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26786" w14:textId="77777777" w:rsidR="00C01D00" w:rsidRDefault="00227064">
      <w:pPr>
        <w:pStyle w:val="a4"/>
        <w:spacing w:line="360" w:lineRule="auto"/>
        <w:jc w:val="center"/>
        <w:rPr>
          <w:b/>
          <w:bCs/>
          <w:spacing w:val="-4"/>
          <w:sz w:val="30"/>
          <w:szCs w:val="30"/>
          <w:lang w:eastAsia="zh-CN"/>
        </w:rPr>
      </w:pPr>
      <w:proofErr w:type="gramStart"/>
      <w:r>
        <w:rPr>
          <w:rFonts w:hint="eastAsia"/>
          <w:b/>
          <w:bCs/>
          <w:spacing w:val="-4"/>
          <w:sz w:val="30"/>
          <w:szCs w:val="30"/>
          <w:lang w:eastAsia="zh-CN"/>
        </w:rPr>
        <w:t>申万宏源证券</w:t>
      </w:r>
      <w:proofErr w:type="gramEnd"/>
      <w:r>
        <w:rPr>
          <w:rFonts w:hint="eastAsia"/>
          <w:b/>
          <w:bCs/>
          <w:spacing w:val="-4"/>
          <w:sz w:val="30"/>
          <w:szCs w:val="30"/>
          <w:lang w:eastAsia="zh-CN"/>
        </w:rPr>
        <w:t>承销保荐有限责任公司</w:t>
      </w:r>
    </w:p>
    <w:p w14:paraId="085C6054" w14:textId="77777777" w:rsidR="00C01D00" w:rsidRDefault="00227064">
      <w:pPr>
        <w:pStyle w:val="a4"/>
        <w:spacing w:line="360" w:lineRule="auto"/>
        <w:jc w:val="center"/>
        <w:rPr>
          <w:b/>
          <w:bCs/>
          <w:spacing w:val="-3"/>
          <w:sz w:val="30"/>
          <w:szCs w:val="30"/>
          <w:lang w:eastAsia="zh-CN"/>
        </w:rPr>
      </w:pPr>
      <w:r>
        <w:rPr>
          <w:b/>
          <w:bCs/>
          <w:spacing w:val="-3"/>
          <w:sz w:val="30"/>
          <w:szCs w:val="30"/>
          <w:lang w:eastAsia="zh-CN"/>
        </w:rPr>
        <w:t>关于</w:t>
      </w:r>
      <w:r>
        <w:rPr>
          <w:rFonts w:hint="eastAsia"/>
          <w:b/>
          <w:bCs/>
          <w:spacing w:val="-3"/>
          <w:sz w:val="30"/>
          <w:szCs w:val="30"/>
          <w:lang w:eastAsia="zh-CN"/>
        </w:rPr>
        <w:t>江苏中利集团股份有限公司</w:t>
      </w:r>
      <w:r>
        <w:rPr>
          <w:b/>
          <w:bCs/>
          <w:spacing w:val="-3"/>
          <w:sz w:val="30"/>
          <w:szCs w:val="30"/>
          <w:lang w:eastAsia="zh-CN"/>
        </w:rPr>
        <w:t>重整投资人受让资本公积</w:t>
      </w:r>
    </w:p>
    <w:p w14:paraId="742E083E" w14:textId="77777777" w:rsidR="00C01D00" w:rsidRDefault="00227064">
      <w:pPr>
        <w:pStyle w:val="a4"/>
        <w:spacing w:line="360" w:lineRule="auto"/>
        <w:jc w:val="center"/>
        <w:rPr>
          <w:sz w:val="30"/>
          <w:szCs w:val="30"/>
          <w:lang w:eastAsia="zh-CN"/>
        </w:rPr>
      </w:pPr>
      <w:r>
        <w:rPr>
          <w:b/>
          <w:bCs/>
          <w:spacing w:val="-3"/>
          <w:sz w:val="30"/>
          <w:szCs w:val="30"/>
          <w:lang w:eastAsia="zh-CN"/>
        </w:rPr>
        <w:t>转增的部分限售股份上市流通的核查意见</w:t>
      </w:r>
    </w:p>
    <w:p w14:paraId="0BEBA914" w14:textId="77777777" w:rsidR="00C01D00" w:rsidRDefault="00227064">
      <w:pPr>
        <w:pStyle w:val="a4"/>
        <w:spacing w:beforeLines="50" w:before="120" w:afterLines="50" w:after="120" w:line="360" w:lineRule="auto"/>
        <w:ind w:firstLineChars="200" w:firstLine="472"/>
        <w:jc w:val="both"/>
        <w:rPr>
          <w:lang w:eastAsia="zh-CN"/>
        </w:rPr>
      </w:pPr>
      <w:proofErr w:type="gramStart"/>
      <w:r>
        <w:rPr>
          <w:rFonts w:hint="eastAsia"/>
          <w:spacing w:val="-4"/>
          <w:lang w:eastAsia="zh-CN"/>
        </w:rPr>
        <w:t>申万宏源证券</w:t>
      </w:r>
      <w:proofErr w:type="gramEnd"/>
      <w:r>
        <w:rPr>
          <w:rFonts w:hint="eastAsia"/>
          <w:spacing w:val="-4"/>
          <w:lang w:eastAsia="zh-CN"/>
        </w:rPr>
        <w:t>承销保荐有限责任公司</w:t>
      </w:r>
      <w:r>
        <w:rPr>
          <w:spacing w:val="-4"/>
          <w:lang w:eastAsia="zh-CN"/>
        </w:rPr>
        <w:t>（以下简称</w:t>
      </w:r>
      <w:r>
        <w:rPr>
          <w:spacing w:val="-4"/>
          <w:lang w:eastAsia="zh-CN"/>
        </w:rPr>
        <w:t>“</w:t>
      </w:r>
      <w:r>
        <w:rPr>
          <w:spacing w:val="-4"/>
          <w:lang w:eastAsia="zh-CN"/>
        </w:rPr>
        <w:t>财务顾问</w:t>
      </w:r>
      <w:r>
        <w:rPr>
          <w:spacing w:val="-4"/>
          <w:lang w:eastAsia="zh-CN"/>
        </w:rPr>
        <w:t>”</w:t>
      </w:r>
      <w:r>
        <w:rPr>
          <w:spacing w:val="-5"/>
          <w:lang w:eastAsia="zh-CN"/>
        </w:rPr>
        <w:t>）根据《中华人民共和国公</w:t>
      </w:r>
      <w:r>
        <w:rPr>
          <w:spacing w:val="-10"/>
          <w:lang w:eastAsia="zh-CN"/>
        </w:rPr>
        <w:t>司法》《中华人民共和国证券法》《深圳证券交易所股票上市规则》《深圳证券交</w:t>
      </w:r>
      <w:r>
        <w:rPr>
          <w:spacing w:val="-1"/>
          <w:lang w:eastAsia="zh-CN"/>
        </w:rPr>
        <w:t>易所上市公司自律监管指引第</w:t>
      </w:r>
      <w:r>
        <w:rPr>
          <w:rFonts w:ascii="Times New Roman" w:eastAsia="Times New Roman" w:hAnsi="Times New Roman" w:cs="Times New Roman"/>
          <w:spacing w:val="-1"/>
          <w:lang w:eastAsia="zh-CN"/>
        </w:rPr>
        <w:t>14</w:t>
      </w:r>
      <w:r>
        <w:rPr>
          <w:spacing w:val="-1"/>
          <w:lang w:eastAsia="zh-CN"/>
        </w:rPr>
        <w:t>号</w:t>
      </w:r>
      <w:r>
        <w:rPr>
          <w:spacing w:val="-1"/>
          <w:lang w:eastAsia="zh-CN"/>
        </w:rPr>
        <w:t>——</w:t>
      </w:r>
      <w:r>
        <w:rPr>
          <w:spacing w:val="-1"/>
          <w:lang w:eastAsia="zh-CN"/>
        </w:rPr>
        <w:t>破产重整等事项》的相关规定，对</w:t>
      </w:r>
      <w:r>
        <w:rPr>
          <w:rFonts w:hint="eastAsia"/>
          <w:spacing w:val="-1"/>
          <w:lang w:eastAsia="zh-CN"/>
        </w:rPr>
        <w:t>江苏中利集团股份有限公司</w:t>
      </w:r>
      <w:r>
        <w:rPr>
          <w:spacing w:val="-12"/>
          <w:lang w:eastAsia="zh-CN"/>
        </w:rPr>
        <w:t>（以下简称</w:t>
      </w:r>
      <w:r>
        <w:rPr>
          <w:spacing w:val="-12"/>
          <w:lang w:eastAsia="zh-CN"/>
        </w:rPr>
        <w:t>“</w:t>
      </w:r>
      <w:r>
        <w:rPr>
          <w:spacing w:val="-12"/>
          <w:lang w:eastAsia="zh-CN"/>
        </w:rPr>
        <w:t>公司</w:t>
      </w:r>
      <w:r>
        <w:rPr>
          <w:spacing w:val="-12"/>
          <w:lang w:eastAsia="zh-CN"/>
        </w:rPr>
        <w:t>”</w:t>
      </w:r>
      <w:r>
        <w:rPr>
          <w:spacing w:val="-12"/>
          <w:lang w:eastAsia="zh-CN"/>
        </w:rPr>
        <w:t>、</w:t>
      </w:r>
      <w:r>
        <w:rPr>
          <w:spacing w:val="-12"/>
          <w:lang w:eastAsia="zh-CN"/>
        </w:rPr>
        <w:t>“</w:t>
      </w:r>
      <w:r>
        <w:rPr>
          <w:spacing w:val="-12"/>
          <w:lang w:eastAsia="zh-CN"/>
        </w:rPr>
        <w:t>上市公司</w:t>
      </w:r>
      <w:r>
        <w:rPr>
          <w:spacing w:val="-13"/>
          <w:lang w:eastAsia="zh-CN"/>
        </w:rPr>
        <w:t>”</w:t>
      </w:r>
      <w:r>
        <w:rPr>
          <w:spacing w:val="-13"/>
          <w:lang w:eastAsia="zh-CN"/>
        </w:rPr>
        <w:t>或</w:t>
      </w:r>
      <w:r>
        <w:rPr>
          <w:spacing w:val="-13"/>
          <w:lang w:eastAsia="zh-CN"/>
        </w:rPr>
        <w:t>“</w:t>
      </w:r>
      <w:r>
        <w:rPr>
          <w:rFonts w:hint="eastAsia"/>
          <w:spacing w:val="-13"/>
          <w:lang w:eastAsia="zh-CN"/>
        </w:rPr>
        <w:t>中利集团</w:t>
      </w:r>
      <w:r>
        <w:rPr>
          <w:spacing w:val="-13"/>
          <w:lang w:eastAsia="zh-CN"/>
        </w:rPr>
        <w:t>”</w:t>
      </w:r>
      <w:r>
        <w:rPr>
          <w:spacing w:val="-13"/>
          <w:lang w:eastAsia="zh-CN"/>
        </w:rPr>
        <w:t>）重整</w:t>
      </w:r>
      <w:r>
        <w:rPr>
          <w:spacing w:val="-3"/>
          <w:lang w:eastAsia="zh-CN"/>
        </w:rPr>
        <w:t>投资人受让资本公积转增的部分限售股份将上市流通事项进行了审慎核查，具体情况如下：</w:t>
      </w:r>
    </w:p>
    <w:p w14:paraId="3E2F4E5C" w14:textId="77777777" w:rsidR="00C01D00" w:rsidRDefault="00227064">
      <w:pPr>
        <w:pStyle w:val="a4"/>
        <w:spacing w:beforeLines="50" w:before="120" w:afterLines="50" w:after="120" w:line="360" w:lineRule="auto"/>
        <w:ind w:firstLineChars="200" w:firstLine="474"/>
        <w:jc w:val="both"/>
        <w:rPr>
          <w:b/>
          <w:bCs/>
          <w:spacing w:val="-4"/>
          <w:lang w:eastAsia="zh-CN"/>
        </w:rPr>
      </w:pPr>
      <w:r>
        <w:rPr>
          <w:rFonts w:hint="eastAsia"/>
          <w:b/>
          <w:bCs/>
          <w:spacing w:val="-4"/>
          <w:lang w:eastAsia="zh-CN"/>
        </w:rPr>
        <w:t>一、本次上市流通的限售股类型</w:t>
      </w:r>
    </w:p>
    <w:p w14:paraId="69952AF3" w14:textId="77777777" w:rsidR="00C01D00" w:rsidRDefault="00227064">
      <w:pPr>
        <w:pStyle w:val="a4"/>
        <w:spacing w:beforeLines="50" w:before="120" w:afterLines="50" w:after="120" w:line="360" w:lineRule="auto"/>
        <w:ind w:firstLineChars="200" w:firstLine="472"/>
        <w:jc w:val="both"/>
        <w:rPr>
          <w:rFonts w:ascii="Times New Roman" w:hAnsi="Times New Roman"/>
          <w:spacing w:val="-4"/>
          <w:lang w:eastAsia="zh-CN"/>
        </w:rPr>
      </w:pPr>
      <w:r>
        <w:rPr>
          <w:rFonts w:ascii="Times New Roman" w:hAnsi="Times New Roman" w:hint="eastAsia"/>
          <w:spacing w:val="-4"/>
          <w:lang w:eastAsia="zh-CN"/>
        </w:rPr>
        <w:t>2024</w:t>
      </w:r>
      <w:r>
        <w:rPr>
          <w:rFonts w:ascii="Times New Roman" w:hAnsi="Times New Roman" w:hint="eastAsia"/>
          <w:spacing w:val="-4"/>
          <w:lang w:eastAsia="zh-CN"/>
        </w:rPr>
        <w:t>年</w:t>
      </w:r>
      <w:r>
        <w:rPr>
          <w:rFonts w:ascii="Times New Roman" w:hAnsi="Times New Roman" w:hint="eastAsia"/>
          <w:spacing w:val="-4"/>
          <w:lang w:eastAsia="zh-CN"/>
        </w:rPr>
        <w:t>11</w:t>
      </w:r>
      <w:r>
        <w:rPr>
          <w:rFonts w:ascii="Times New Roman" w:hAnsi="Times New Roman" w:hint="eastAsia"/>
          <w:spacing w:val="-4"/>
          <w:lang w:eastAsia="zh-CN"/>
        </w:rPr>
        <w:t>月</w:t>
      </w:r>
      <w:r>
        <w:rPr>
          <w:rFonts w:ascii="Times New Roman" w:hAnsi="Times New Roman" w:hint="eastAsia"/>
          <w:spacing w:val="-4"/>
          <w:lang w:eastAsia="zh-CN"/>
        </w:rPr>
        <w:t>8</w:t>
      </w:r>
      <w:r>
        <w:rPr>
          <w:rFonts w:ascii="Times New Roman" w:hAnsi="Times New Roman" w:hint="eastAsia"/>
          <w:spacing w:val="-4"/>
          <w:lang w:eastAsia="zh-CN"/>
        </w:rPr>
        <w:t>日，公司收到苏州中院送达的（</w:t>
      </w:r>
      <w:r>
        <w:rPr>
          <w:rFonts w:ascii="Times New Roman" w:hAnsi="Times New Roman" w:hint="eastAsia"/>
          <w:spacing w:val="-4"/>
          <w:lang w:eastAsia="zh-CN"/>
        </w:rPr>
        <w:t>2024</w:t>
      </w:r>
      <w:r>
        <w:rPr>
          <w:rFonts w:ascii="Times New Roman" w:hAnsi="Times New Roman" w:hint="eastAsia"/>
          <w:spacing w:val="-4"/>
          <w:lang w:eastAsia="zh-CN"/>
        </w:rPr>
        <w:t>）苏</w:t>
      </w:r>
      <w:r>
        <w:rPr>
          <w:rFonts w:ascii="Times New Roman" w:hAnsi="Times New Roman" w:hint="eastAsia"/>
          <w:spacing w:val="-4"/>
          <w:lang w:eastAsia="zh-CN"/>
        </w:rPr>
        <w:t>05</w:t>
      </w:r>
      <w:r>
        <w:rPr>
          <w:rFonts w:ascii="Times New Roman" w:hAnsi="Times New Roman" w:hint="eastAsia"/>
          <w:spacing w:val="-4"/>
          <w:lang w:eastAsia="zh-CN"/>
        </w:rPr>
        <w:t>破</w:t>
      </w:r>
      <w:r>
        <w:rPr>
          <w:rFonts w:ascii="Times New Roman" w:hAnsi="Times New Roman" w:hint="eastAsia"/>
          <w:spacing w:val="-4"/>
          <w:lang w:eastAsia="zh-CN"/>
        </w:rPr>
        <w:t>50</w:t>
      </w:r>
      <w:r>
        <w:rPr>
          <w:rFonts w:ascii="Times New Roman" w:hAnsi="Times New Roman" w:hint="eastAsia"/>
          <w:spacing w:val="-4"/>
          <w:lang w:eastAsia="zh-CN"/>
        </w:rPr>
        <w:t>号《民事裁定书》，受理申请人对公司的重整申请并指定管理人（公告编号：</w:t>
      </w:r>
      <w:r>
        <w:rPr>
          <w:rFonts w:ascii="Times New Roman" w:hAnsi="Times New Roman" w:hint="eastAsia"/>
          <w:spacing w:val="-4"/>
          <w:lang w:eastAsia="zh-CN"/>
        </w:rPr>
        <w:t>2024-113)</w:t>
      </w:r>
      <w:r>
        <w:rPr>
          <w:rFonts w:ascii="Times New Roman" w:hAnsi="Times New Roman" w:hint="eastAsia"/>
          <w:spacing w:val="-4"/>
          <w:lang w:eastAsia="zh-CN"/>
        </w:rPr>
        <w:t>。</w:t>
      </w:r>
    </w:p>
    <w:p w14:paraId="0C8C16CD" w14:textId="77777777" w:rsidR="00C01D00" w:rsidRDefault="00227064">
      <w:pPr>
        <w:pStyle w:val="a4"/>
        <w:spacing w:beforeLines="50" w:before="120" w:afterLines="50" w:after="120" w:line="360" w:lineRule="auto"/>
        <w:ind w:firstLineChars="200" w:firstLine="472"/>
        <w:jc w:val="both"/>
        <w:rPr>
          <w:rFonts w:ascii="Times New Roman" w:hAnsi="Times New Roman"/>
          <w:spacing w:val="-4"/>
          <w:lang w:eastAsia="zh-CN"/>
        </w:rPr>
      </w:pPr>
      <w:r>
        <w:rPr>
          <w:rFonts w:ascii="Times New Roman" w:hAnsi="Times New Roman" w:hint="eastAsia"/>
          <w:spacing w:val="-4"/>
          <w:lang w:eastAsia="zh-CN"/>
        </w:rPr>
        <w:t>2024</w:t>
      </w:r>
      <w:r>
        <w:rPr>
          <w:rFonts w:ascii="Times New Roman" w:hAnsi="Times New Roman" w:hint="eastAsia"/>
          <w:spacing w:val="-4"/>
          <w:lang w:eastAsia="zh-CN"/>
        </w:rPr>
        <w:t>年</w:t>
      </w:r>
      <w:r>
        <w:rPr>
          <w:rFonts w:ascii="Times New Roman" w:hAnsi="Times New Roman" w:hint="eastAsia"/>
          <w:spacing w:val="-4"/>
          <w:lang w:eastAsia="zh-CN"/>
        </w:rPr>
        <w:t>12</w:t>
      </w:r>
      <w:r>
        <w:rPr>
          <w:rFonts w:ascii="Times New Roman" w:hAnsi="Times New Roman" w:hint="eastAsia"/>
          <w:spacing w:val="-4"/>
          <w:lang w:eastAsia="zh-CN"/>
        </w:rPr>
        <w:t>月</w:t>
      </w:r>
      <w:r>
        <w:rPr>
          <w:rFonts w:ascii="Times New Roman" w:hAnsi="Times New Roman" w:hint="eastAsia"/>
          <w:spacing w:val="-4"/>
          <w:lang w:eastAsia="zh-CN"/>
        </w:rPr>
        <w:t>4</w:t>
      </w:r>
      <w:r>
        <w:rPr>
          <w:rFonts w:ascii="Times New Roman" w:hAnsi="Times New Roman" w:hint="eastAsia"/>
          <w:spacing w:val="-4"/>
          <w:lang w:eastAsia="zh-CN"/>
        </w:rPr>
        <w:t>日，公司召开了出资人组会议及</w:t>
      </w:r>
      <w:r>
        <w:rPr>
          <w:rFonts w:ascii="Times New Roman" w:hAnsi="Times New Roman" w:hint="eastAsia"/>
          <w:spacing w:val="-4"/>
          <w:lang w:eastAsia="zh-CN"/>
        </w:rPr>
        <w:t>2024</w:t>
      </w:r>
      <w:r>
        <w:rPr>
          <w:rFonts w:ascii="Times New Roman" w:hAnsi="Times New Roman" w:hint="eastAsia"/>
          <w:spacing w:val="-4"/>
          <w:lang w:eastAsia="zh-CN"/>
        </w:rPr>
        <w:t>年第二次临时股东大会，审议通过了《江苏中利集团股份有限公司重整计划（草案）之出资人权益调整方案》等议案（公告编号：</w:t>
      </w:r>
      <w:r>
        <w:rPr>
          <w:rFonts w:ascii="Times New Roman" w:hAnsi="Times New Roman" w:hint="eastAsia"/>
          <w:spacing w:val="-4"/>
          <w:lang w:eastAsia="zh-CN"/>
        </w:rPr>
        <w:t>2024-127</w:t>
      </w:r>
      <w:r>
        <w:rPr>
          <w:rFonts w:ascii="Times New Roman" w:hAnsi="Times New Roman" w:hint="eastAsia"/>
          <w:spacing w:val="-4"/>
          <w:lang w:eastAsia="zh-CN"/>
        </w:rPr>
        <w:t>）。同日，公司召开了第一次债权人会议，后续债权人表决通过了《重整计划（草案）》（公告编号：</w:t>
      </w:r>
      <w:r>
        <w:rPr>
          <w:rFonts w:ascii="Times New Roman" w:hAnsi="Times New Roman" w:hint="eastAsia"/>
          <w:spacing w:val="-4"/>
          <w:lang w:eastAsia="zh-CN"/>
        </w:rPr>
        <w:t>2024-132</w:t>
      </w:r>
      <w:r>
        <w:rPr>
          <w:rFonts w:ascii="Times New Roman" w:hAnsi="Times New Roman" w:hint="eastAsia"/>
          <w:spacing w:val="-4"/>
          <w:lang w:eastAsia="zh-CN"/>
        </w:rPr>
        <w:t>）。</w:t>
      </w:r>
    </w:p>
    <w:p w14:paraId="5AF2B7C3" w14:textId="77777777" w:rsidR="00C01D00" w:rsidRDefault="00227064">
      <w:pPr>
        <w:pStyle w:val="a4"/>
        <w:spacing w:beforeLines="50" w:before="120" w:afterLines="50" w:after="120" w:line="360" w:lineRule="auto"/>
        <w:ind w:firstLineChars="200" w:firstLine="472"/>
        <w:jc w:val="both"/>
        <w:rPr>
          <w:rFonts w:ascii="Times New Roman" w:hAnsi="Times New Roman"/>
          <w:spacing w:val="-4"/>
          <w:lang w:eastAsia="zh-CN"/>
        </w:rPr>
      </w:pPr>
      <w:r>
        <w:rPr>
          <w:rFonts w:ascii="Times New Roman" w:hAnsi="Times New Roman" w:hint="eastAsia"/>
          <w:spacing w:val="-4"/>
          <w:lang w:eastAsia="zh-CN"/>
        </w:rPr>
        <w:t>2024</w:t>
      </w:r>
      <w:r>
        <w:rPr>
          <w:rFonts w:ascii="Times New Roman" w:hAnsi="Times New Roman" w:hint="eastAsia"/>
          <w:spacing w:val="-4"/>
          <w:lang w:eastAsia="zh-CN"/>
        </w:rPr>
        <w:t>年</w:t>
      </w:r>
      <w:r>
        <w:rPr>
          <w:rFonts w:ascii="Times New Roman" w:hAnsi="Times New Roman" w:hint="eastAsia"/>
          <w:spacing w:val="-4"/>
          <w:lang w:eastAsia="zh-CN"/>
        </w:rPr>
        <w:t>12</w:t>
      </w:r>
      <w:r>
        <w:rPr>
          <w:rFonts w:ascii="Times New Roman" w:hAnsi="Times New Roman" w:hint="eastAsia"/>
          <w:spacing w:val="-4"/>
          <w:lang w:eastAsia="zh-CN"/>
        </w:rPr>
        <w:t>月</w:t>
      </w:r>
      <w:r>
        <w:rPr>
          <w:rFonts w:ascii="Times New Roman" w:hAnsi="Times New Roman" w:hint="eastAsia"/>
          <w:spacing w:val="-4"/>
          <w:lang w:eastAsia="zh-CN"/>
        </w:rPr>
        <w:t>11</w:t>
      </w:r>
      <w:r>
        <w:rPr>
          <w:rFonts w:ascii="Times New Roman" w:hAnsi="Times New Roman" w:hint="eastAsia"/>
          <w:spacing w:val="-4"/>
          <w:lang w:eastAsia="zh-CN"/>
        </w:rPr>
        <w:t>日，公司收到苏州中院送达的（</w:t>
      </w:r>
      <w:r>
        <w:rPr>
          <w:rFonts w:ascii="Times New Roman" w:hAnsi="Times New Roman" w:hint="eastAsia"/>
          <w:spacing w:val="-4"/>
          <w:lang w:eastAsia="zh-CN"/>
        </w:rPr>
        <w:t>2024</w:t>
      </w:r>
      <w:r>
        <w:rPr>
          <w:rFonts w:ascii="Times New Roman" w:hAnsi="Times New Roman" w:hint="eastAsia"/>
          <w:spacing w:val="-4"/>
          <w:lang w:eastAsia="zh-CN"/>
        </w:rPr>
        <w:t>）苏</w:t>
      </w:r>
      <w:r>
        <w:rPr>
          <w:rFonts w:ascii="Times New Roman" w:hAnsi="Times New Roman" w:hint="eastAsia"/>
          <w:spacing w:val="-4"/>
          <w:lang w:eastAsia="zh-CN"/>
        </w:rPr>
        <w:t>05</w:t>
      </w:r>
      <w:r>
        <w:rPr>
          <w:rFonts w:ascii="Times New Roman" w:hAnsi="Times New Roman" w:hint="eastAsia"/>
          <w:spacing w:val="-4"/>
          <w:lang w:eastAsia="zh-CN"/>
        </w:rPr>
        <w:t>破</w:t>
      </w:r>
      <w:r>
        <w:rPr>
          <w:rFonts w:ascii="Times New Roman" w:hAnsi="Times New Roman" w:hint="eastAsia"/>
          <w:spacing w:val="-4"/>
          <w:lang w:eastAsia="zh-CN"/>
        </w:rPr>
        <w:t>50</w:t>
      </w:r>
      <w:r>
        <w:rPr>
          <w:rFonts w:ascii="Times New Roman" w:hAnsi="Times New Roman" w:hint="eastAsia"/>
          <w:spacing w:val="-4"/>
          <w:lang w:eastAsia="zh-CN"/>
        </w:rPr>
        <w:t>号之二《民事裁定书》，法院裁定批准《江苏中利集团股份有限公司重整计划》，并终止公司重整程序。根据重整计划，以公司总股本</w:t>
      </w:r>
      <w:r>
        <w:rPr>
          <w:rFonts w:ascii="Times New Roman" w:hAnsi="Times New Roman" w:hint="eastAsia"/>
          <w:spacing w:val="-4"/>
          <w:lang w:eastAsia="zh-CN"/>
        </w:rPr>
        <w:t>871,787,068</w:t>
      </w:r>
      <w:r>
        <w:rPr>
          <w:rFonts w:ascii="Times New Roman" w:hAnsi="Times New Roman" w:hint="eastAsia"/>
          <w:spacing w:val="-4"/>
          <w:lang w:eastAsia="zh-CN"/>
        </w:rPr>
        <w:t>股为基</w:t>
      </w:r>
      <w:r>
        <w:rPr>
          <w:rFonts w:ascii="Times New Roman" w:hAnsi="Times New Roman" w:hint="eastAsia"/>
          <w:spacing w:val="-4"/>
          <w:lang w:eastAsia="zh-CN"/>
        </w:rPr>
        <w:t>数，按照每</w:t>
      </w:r>
      <w:r>
        <w:rPr>
          <w:rFonts w:ascii="Times New Roman" w:hAnsi="Times New Roman" w:hint="eastAsia"/>
          <w:spacing w:val="-4"/>
          <w:lang w:eastAsia="zh-CN"/>
        </w:rPr>
        <w:t>10</w:t>
      </w:r>
      <w:r>
        <w:rPr>
          <w:rFonts w:ascii="Times New Roman" w:hAnsi="Times New Roman" w:hint="eastAsia"/>
          <w:spacing w:val="-4"/>
          <w:lang w:eastAsia="zh-CN"/>
        </w:rPr>
        <w:t>股转增</w:t>
      </w:r>
      <w:r>
        <w:rPr>
          <w:rFonts w:ascii="Times New Roman" w:hAnsi="Times New Roman" w:hint="eastAsia"/>
          <w:spacing w:val="-4"/>
          <w:lang w:eastAsia="zh-CN"/>
        </w:rPr>
        <w:t>24.50</w:t>
      </w:r>
      <w:r>
        <w:rPr>
          <w:rFonts w:ascii="Times New Roman" w:hAnsi="Times New Roman" w:hint="eastAsia"/>
          <w:spacing w:val="-4"/>
          <w:lang w:eastAsia="zh-CN"/>
        </w:rPr>
        <w:t>股的比例实施资本公积金转增股本，共计转增</w:t>
      </w:r>
      <w:r>
        <w:rPr>
          <w:rFonts w:ascii="Times New Roman" w:hAnsi="Times New Roman" w:hint="eastAsia"/>
          <w:spacing w:val="-4"/>
          <w:lang w:eastAsia="zh-CN"/>
        </w:rPr>
        <w:t>2,135,878,317</w:t>
      </w:r>
      <w:r>
        <w:rPr>
          <w:rFonts w:ascii="Times New Roman" w:hAnsi="Times New Roman" w:hint="eastAsia"/>
          <w:spacing w:val="-4"/>
          <w:lang w:eastAsia="zh-CN"/>
        </w:rPr>
        <w:t>股股票。转增完成后，公司总股本变更为</w:t>
      </w:r>
      <w:r>
        <w:rPr>
          <w:rFonts w:ascii="Times New Roman" w:hAnsi="Times New Roman" w:hint="eastAsia"/>
          <w:spacing w:val="-4"/>
          <w:lang w:eastAsia="zh-CN"/>
        </w:rPr>
        <w:t>3,007,665,385</w:t>
      </w:r>
      <w:r>
        <w:rPr>
          <w:rFonts w:ascii="Times New Roman" w:hAnsi="Times New Roman" w:hint="eastAsia"/>
          <w:spacing w:val="-4"/>
          <w:lang w:eastAsia="zh-CN"/>
        </w:rPr>
        <w:t>股。</w:t>
      </w:r>
    </w:p>
    <w:p w14:paraId="2D4A3016" w14:textId="77777777" w:rsidR="00C01D00" w:rsidRDefault="00227064">
      <w:pPr>
        <w:pStyle w:val="a4"/>
        <w:spacing w:beforeLines="50" w:before="120" w:afterLines="50" w:after="120" w:line="360" w:lineRule="auto"/>
        <w:ind w:firstLineChars="200" w:firstLine="472"/>
        <w:jc w:val="both"/>
        <w:rPr>
          <w:rFonts w:ascii="Times New Roman" w:hAnsi="Times New Roman"/>
          <w:spacing w:val="-4"/>
          <w:lang w:eastAsia="zh-CN"/>
        </w:rPr>
      </w:pPr>
      <w:r>
        <w:rPr>
          <w:rFonts w:ascii="Times New Roman" w:hAnsi="Times New Roman" w:hint="eastAsia"/>
          <w:spacing w:val="-4"/>
          <w:lang w:eastAsia="zh-CN"/>
        </w:rPr>
        <w:t>2024</w:t>
      </w:r>
      <w:r>
        <w:rPr>
          <w:rFonts w:ascii="Times New Roman" w:hAnsi="Times New Roman" w:hint="eastAsia"/>
          <w:spacing w:val="-4"/>
          <w:lang w:eastAsia="zh-CN"/>
        </w:rPr>
        <w:t>年</w:t>
      </w:r>
      <w:r>
        <w:rPr>
          <w:rFonts w:ascii="Times New Roman" w:hAnsi="Times New Roman" w:hint="eastAsia"/>
          <w:spacing w:val="-4"/>
          <w:lang w:eastAsia="zh-CN"/>
        </w:rPr>
        <w:t>12</w:t>
      </w:r>
      <w:r>
        <w:rPr>
          <w:rFonts w:ascii="Times New Roman" w:hAnsi="Times New Roman" w:hint="eastAsia"/>
          <w:spacing w:val="-4"/>
          <w:lang w:eastAsia="zh-CN"/>
        </w:rPr>
        <w:t>月</w:t>
      </w:r>
      <w:r>
        <w:rPr>
          <w:rFonts w:ascii="Times New Roman" w:hAnsi="Times New Roman" w:hint="eastAsia"/>
          <w:spacing w:val="-4"/>
          <w:lang w:eastAsia="zh-CN"/>
        </w:rPr>
        <w:t>27</w:t>
      </w:r>
      <w:r>
        <w:rPr>
          <w:rFonts w:ascii="Times New Roman" w:hAnsi="Times New Roman" w:hint="eastAsia"/>
          <w:spacing w:val="-4"/>
          <w:lang w:eastAsia="zh-CN"/>
        </w:rPr>
        <w:t>日，公司收到苏州中院送达的（</w:t>
      </w:r>
      <w:r>
        <w:rPr>
          <w:rFonts w:ascii="Times New Roman" w:hAnsi="Times New Roman" w:hint="eastAsia"/>
          <w:spacing w:val="-4"/>
          <w:lang w:eastAsia="zh-CN"/>
        </w:rPr>
        <w:t>2024</w:t>
      </w:r>
      <w:r>
        <w:rPr>
          <w:rFonts w:ascii="Times New Roman" w:hAnsi="Times New Roman" w:hint="eastAsia"/>
          <w:spacing w:val="-4"/>
          <w:lang w:eastAsia="zh-CN"/>
        </w:rPr>
        <w:t>）苏</w:t>
      </w:r>
      <w:r>
        <w:rPr>
          <w:rFonts w:ascii="Times New Roman" w:hAnsi="Times New Roman" w:hint="eastAsia"/>
          <w:spacing w:val="-4"/>
          <w:lang w:eastAsia="zh-CN"/>
        </w:rPr>
        <w:t>05</w:t>
      </w:r>
      <w:r>
        <w:rPr>
          <w:rFonts w:ascii="Times New Roman" w:hAnsi="Times New Roman" w:hint="eastAsia"/>
          <w:spacing w:val="-4"/>
          <w:lang w:eastAsia="zh-CN"/>
        </w:rPr>
        <w:t>破</w:t>
      </w:r>
      <w:r>
        <w:rPr>
          <w:rFonts w:ascii="Times New Roman" w:hAnsi="Times New Roman" w:hint="eastAsia"/>
          <w:spacing w:val="-4"/>
          <w:lang w:eastAsia="zh-CN"/>
        </w:rPr>
        <w:t>50</w:t>
      </w:r>
      <w:r>
        <w:rPr>
          <w:rFonts w:ascii="Times New Roman" w:hAnsi="Times New Roman" w:hint="eastAsia"/>
          <w:spacing w:val="-4"/>
          <w:lang w:eastAsia="zh-CN"/>
        </w:rPr>
        <w:t>号之四《民事裁定书》，苏州中院裁定公司重整计划执行完毕，终结公司重整程序。</w:t>
      </w:r>
    </w:p>
    <w:p w14:paraId="699BD6F6" w14:textId="77777777" w:rsidR="00C01D00" w:rsidRDefault="00227064">
      <w:pPr>
        <w:pStyle w:val="a4"/>
        <w:spacing w:beforeLines="50" w:before="120" w:afterLines="50" w:after="120" w:line="360" w:lineRule="auto"/>
        <w:ind w:firstLineChars="200" w:firstLine="472"/>
        <w:jc w:val="both"/>
        <w:rPr>
          <w:rFonts w:ascii="Times New Roman" w:hAnsi="Times New Roman"/>
          <w:spacing w:val="-4"/>
          <w:lang w:eastAsia="zh-CN"/>
        </w:rPr>
      </w:pPr>
      <w:r>
        <w:rPr>
          <w:rFonts w:ascii="Times New Roman" w:hAnsi="Times New Roman"/>
          <w:spacing w:val="-4"/>
          <w:lang w:eastAsia="zh-CN"/>
        </w:rPr>
        <w:t>2025</w:t>
      </w:r>
      <w:r>
        <w:rPr>
          <w:rFonts w:ascii="Times New Roman" w:hAnsi="Times New Roman" w:hint="eastAsia"/>
          <w:spacing w:val="-4"/>
          <w:lang w:eastAsia="zh-CN"/>
        </w:rPr>
        <w:t>年</w:t>
      </w:r>
      <w:r>
        <w:rPr>
          <w:rFonts w:ascii="Times New Roman" w:hAnsi="Times New Roman"/>
          <w:spacing w:val="-4"/>
          <w:lang w:eastAsia="zh-CN"/>
        </w:rPr>
        <w:t>1</w:t>
      </w:r>
      <w:r>
        <w:rPr>
          <w:rFonts w:ascii="Times New Roman" w:hAnsi="Times New Roman" w:hint="eastAsia"/>
          <w:spacing w:val="-4"/>
          <w:lang w:eastAsia="zh-CN"/>
        </w:rPr>
        <w:t>月</w:t>
      </w:r>
      <w:r>
        <w:rPr>
          <w:rFonts w:ascii="Times New Roman" w:hAnsi="Times New Roman"/>
          <w:spacing w:val="-4"/>
          <w:lang w:eastAsia="zh-CN"/>
        </w:rPr>
        <w:t>24</w:t>
      </w:r>
      <w:r>
        <w:rPr>
          <w:rFonts w:ascii="Times New Roman" w:hAnsi="Times New Roman" w:hint="eastAsia"/>
          <w:spacing w:val="-4"/>
          <w:lang w:eastAsia="zh-CN"/>
        </w:rPr>
        <w:t>日，</w:t>
      </w:r>
      <w:proofErr w:type="gramStart"/>
      <w:r>
        <w:rPr>
          <w:rFonts w:ascii="Times New Roman" w:hAnsi="Times New Roman" w:hint="eastAsia"/>
          <w:spacing w:val="-4"/>
          <w:lang w:eastAsia="zh-CN"/>
        </w:rPr>
        <w:t>中建投租赁</w:t>
      </w:r>
      <w:proofErr w:type="gramEnd"/>
      <w:r>
        <w:rPr>
          <w:rFonts w:ascii="Times New Roman" w:hAnsi="Times New Roman" w:hint="eastAsia"/>
          <w:spacing w:val="-4"/>
          <w:lang w:eastAsia="zh-CN"/>
        </w:rPr>
        <w:t>股份有限公司取得公司股份</w:t>
      </w:r>
      <w:r>
        <w:rPr>
          <w:rFonts w:ascii="Times New Roman" w:hAnsi="Times New Roman"/>
          <w:spacing w:val="-4"/>
          <w:lang w:eastAsia="zh-CN"/>
        </w:rPr>
        <w:t>61,950,938</w:t>
      </w:r>
      <w:r>
        <w:rPr>
          <w:rFonts w:ascii="Times New Roman" w:hAnsi="Times New Roman" w:hint="eastAsia"/>
          <w:spacing w:val="-4"/>
          <w:lang w:eastAsia="zh-CN"/>
        </w:rPr>
        <w:t>股；</w:t>
      </w:r>
      <w:r>
        <w:rPr>
          <w:rFonts w:ascii="Times New Roman" w:hAnsi="Times New Roman"/>
          <w:spacing w:val="-4"/>
          <w:lang w:eastAsia="zh-CN"/>
        </w:rPr>
        <w:t>2025</w:t>
      </w:r>
      <w:r>
        <w:rPr>
          <w:rFonts w:ascii="Times New Roman" w:hAnsi="Times New Roman" w:hint="eastAsia"/>
          <w:spacing w:val="-4"/>
          <w:lang w:eastAsia="zh-CN"/>
        </w:rPr>
        <w:t>年</w:t>
      </w:r>
      <w:r>
        <w:rPr>
          <w:rFonts w:ascii="Times New Roman" w:hAnsi="Times New Roman"/>
          <w:spacing w:val="-4"/>
          <w:lang w:eastAsia="zh-CN"/>
        </w:rPr>
        <w:t>2</w:t>
      </w:r>
      <w:r>
        <w:rPr>
          <w:rFonts w:ascii="Times New Roman" w:hAnsi="Times New Roman" w:hint="eastAsia"/>
          <w:spacing w:val="-4"/>
          <w:lang w:eastAsia="zh-CN"/>
        </w:rPr>
        <w:t>月</w:t>
      </w:r>
      <w:r>
        <w:rPr>
          <w:rFonts w:ascii="Times New Roman" w:hAnsi="Times New Roman"/>
          <w:spacing w:val="-4"/>
          <w:lang w:eastAsia="zh-CN"/>
        </w:rPr>
        <w:t>28</w:t>
      </w:r>
      <w:r>
        <w:rPr>
          <w:rFonts w:ascii="Times New Roman" w:hAnsi="Times New Roman" w:hint="eastAsia"/>
          <w:spacing w:val="-4"/>
          <w:lang w:eastAsia="zh-CN"/>
        </w:rPr>
        <w:t>日，交通银行股份有限公司苏州分行取得公司股份</w:t>
      </w:r>
      <w:r>
        <w:rPr>
          <w:rFonts w:ascii="Times New Roman" w:hAnsi="Times New Roman"/>
          <w:spacing w:val="-4"/>
          <w:lang w:eastAsia="zh-CN"/>
        </w:rPr>
        <w:t>17,464,530</w:t>
      </w:r>
      <w:r>
        <w:rPr>
          <w:rFonts w:ascii="Times New Roman" w:hAnsi="Times New Roman" w:hint="eastAsia"/>
          <w:spacing w:val="-4"/>
          <w:lang w:eastAsia="zh-CN"/>
        </w:rPr>
        <w:t>股。</w:t>
      </w:r>
    </w:p>
    <w:p w14:paraId="4AD9E10B" w14:textId="77777777" w:rsidR="00C01D00" w:rsidRDefault="00227064">
      <w:pPr>
        <w:pStyle w:val="a4"/>
        <w:spacing w:beforeLines="50" w:before="120" w:afterLines="50" w:after="120" w:line="360" w:lineRule="auto"/>
        <w:ind w:firstLineChars="200" w:firstLine="472"/>
        <w:jc w:val="both"/>
        <w:rPr>
          <w:rFonts w:ascii="Times New Roman" w:hAnsi="Times New Roman"/>
          <w:spacing w:val="-4"/>
          <w:lang w:eastAsia="zh-CN"/>
        </w:rPr>
      </w:pPr>
      <w:r>
        <w:rPr>
          <w:rFonts w:ascii="Times New Roman" w:hAnsi="Times New Roman" w:hint="eastAsia"/>
          <w:spacing w:val="-4"/>
          <w:lang w:eastAsia="zh-CN"/>
        </w:rPr>
        <w:t>财务投资人限售期即将届满，根据《深</w:t>
      </w:r>
      <w:r>
        <w:rPr>
          <w:rFonts w:ascii="Times New Roman" w:hAnsi="Times New Roman" w:hint="eastAsia"/>
          <w:spacing w:val="-4"/>
          <w:lang w:eastAsia="zh-CN"/>
        </w:rPr>
        <w:t>圳证券交易所上市公司自律监管指引第</w:t>
      </w:r>
      <w:r>
        <w:rPr>
          <w:rFonts w:ascii="Times New Roman" w:hAnsi="Times New Roman" w:hint="eastAsia"/>
          <w:spacing w:val="-4"/>
          <w:lang w:eastAsia="zh-CN"/>
        </w:rPr>
        <w:t>14</w:t>
      </w:r>
      <w:r>
        <w:rPr>
          <w:rFonts w:ascii="Times New Roman" w:hAnsi="Times New Roman" w:hint="eastAsia"/>
          <w:spacing w:val="-4"/>
          <w:lang w:eastAsia="zh-CN"/>
        </w:rPr>
        <w:t>号——破产重整等事项》规定，该部分股票将于</w:t>
      </w:r>
      <w:r>
        <w:rPr>
          <w:rFonts w:ascii="Times New Roman" w:hAnsi="Times New Roman" w:hint="eastAsia"/>
          <w:spacing w:val="-4"/>
          <w:lang w:eastAsia="zh-CN"/>
        </w:rPr>
        <w:t>2026</w:t>
      </w:r>
      <w:r>
        <w:rPr>
          <w:rFonts w:ascii="Times New Roman" w:hAnsi="Times New Roman" w:hint="eastAsia"/>
          <w:spacing w:val="-4"/>
          <w:lang w:eastAsia="zh-CN"/>
        </w:rPr>
        <w:t>年</w:t>
      </w:r>
      <w:r>
        <w:rPr>
          <w:rFonts w:ascii="Times New Roman" w:hAnsi="Times New Roman"/>
          <w:spacing w:val="-4"/>
          <w:lang w:eastAsia="zh-CN"/>
        </w:rPr>
        <w:t>3</w:t>
      </w:r>
      <w:r>
        <w:rPr>
          <w:rFonts w:ascii="Times New Roman" w:hAnsi="Times New Roman" w:hint="eastAsia"/>
          <w:spacing w:val="-4"/>
          <w:lang w:eastAsia="zh-CN"/>
        </w:rPr>
        <w:t>月</w:t>
      </w:r>
      <w:r>
        <w:rPr>
          <w:rFonts w:ascii="Times New Roman" w:hAnsi="Times New Roman"/>
          <w:spacing w:val="-4"/>
          <w:lang w:eastAsia="zh-CN"/>
        </w:rPr>
        <w:t>6</w:t>
      </w:r>
      <w:r>
        <w:rPr>
          <w:rFonts w:ascii="Times New Roman" w:hAnsi="Times New Roman" w:hint="eastAsia"/>
          <w:spacing w:val="-4"/>
          <w:lang w:eastAsia="zh-CN"/>
        </w:rPr>
        <w:t>日起上市流通。</w:t>
      </w:r>
    </w:p>
    <w:p w14:paraId="5A473DCB" w14:textId="77777777" w:rsidR="00C01D00" w:rsidRDefault="00227064">
      <w:pPr>
        <w:pStyle w:val="a4"/>
        <w:spacing w:beforeLines="50" w:before="120" w:afterLines="50" w:after="120" w:line="360" w:lineRule="auto"/>
        <w:ind w:firstLineChars="200" w:firstLine="476"/>
        <w:rPr>
          <w:b/>
          <w:bCs/>
          <w:spacing w:val="-3"/>
          <w:lang w:eastAsia="zh-CN"/>
        </w:rPr>
      </w:pPr>
      <w:r>
        <w:rPr>
          <w:rFonts w:hint="eastAsia"/>
          <w:b/>
          <w:bCs/>
          <w:spacing w:val="-3"/>
          <w:lang w:eastAsia="zh-CN"/>
        </w:rPr>
        <w:lastRenderedPageBreak/>
        <w:t>二、</w:t>
      </w:r>
      <w:r>
        <w:rPr>
          <w:b/>
          <w:bCs/>
          <w:spacing w:val="-3"/>
          <w:lang w:eastAsia="zh-CN"/>
        </w:rPr>
        <w:t>股份登记及锁定期情况</w:t>
      </w:r>
    </w:p>
    <w:p w14:paraId="3627C2FA" w14:textId="77777777" w:rsidR="00C01D00" w:rsidRDefault="00227064">
      <w:pPr>
        <w:pStyle w:val="a4"/>
        <w:spacing w:beforeLines="50" w:before="120" w:afterLines="50" w:after="120" w:line="360" w:lineRule="auto"/>
        <w:ind w:firstLineChars="200" w:firstLine="470"/>
        <w:jc w:val="both"/>
        <w:rPr>
          <w:rFonts w:ascii="Times New Roman" w:hAnsi="Times New Roman"/>
          <w:lang w:eastAsia="zh-CN"/>
        </w:rPr>
      </w:pPr>
      <w:r>
        <w:rPr>
          <w:rFonts w:ascii="Times New Roman" w:hAnsi="Times New Roman"/>
          <w:spacing w:val="-5"/>
          <w:lang w:eastAsia="zh-CN"/>
        </w:rPr>
        <w:t>根据《深圳证券交易所上市公司自律监管指引第</w:t>
      </w:r>
      <w:r>
        <w:rPr>
          <w:rFonts w:ascii="Times New Roman" w:hAnsi="Times New Roman" w:cs="Times New Roman"/>
          <w:spacing w:val="-5"/>
          <w:lang w:eastAsia="zh-CN"/>
        </w:rPr>
        <w:t>14</w:t>
      </w:r>
      <w:r>
        <w:rPr>
          <w:rFonts w:ascii="Times New Roman" w:hAnsi="Times New Roman"/>
          <w:spacing w:val="-5"/>
          <w:lang w:eastAsia="zh-CN"/>
        </w:rPr>
        <w:t>号</w:t>
      </w:r>
      <w:r>
        <w:rPr>
          <w:rFonts w:ascii="Times New Roman" w:hAnsi="Times New Roman"/>
          <w:spacing w:val="-5"/>
          <w:lang w:eastAsia="zh-CN"/>
        </w:rPr>
        <w:t>——</w:t>
      </w:r>
      <w:r>
        <w:rPr>
          <w:rFonts w:ascii="Times New Roman" w:hAnsi="Times New Roman"/>
          <w:spacing w:val="-5"/>
          <w:lang w:eastAsia="zh-CN"/>
        </w:rPr>
        <w:t>破产重整等事项》</w:t>
      </w:r>
      <w:r>
        <w:rPr>
          <w:rFonts w:ascii="Times New Roman" w:hAnsi="Times New Roman"/>
          <w:spacing w:val="-3"/>
          <w:lang w:eastAsia="zh-CN"/>
        </w:rPr>
        <w:t>的规定及中国证券登记结算有限公司出具的《证券过户登记确认书》，</w:t>
      </w:r>
      <w:r>
        <w:rPr>
          <w:rFonts w:ascii="Times New Roman" w:hAnsi="Times New Roman"/>
          <w:spacing w:val="-4"/>
          <w:lang w:eastAsia="zh-CN"/>
        </w:rPr>
        <w:t>重整投资</w:t>
      </w:r>
      <w:r>
        <w:rPr>
          <w:rFonts w:ascii="Times New Roman" w:hAnsi="Times New Roman"/>
          <w:spacing w:val="-2"/>
          <w:lang w:eastAsia="zh-CN"/>
        </w:rPr>
        <w:t>人受让股份情况如下：</w:t>
      </w:r>
    </w:p>
    <w:tbl>
      <w:tblPr>
        <w:tblStyle w:val="TableNormal"/>
        <w:tblW w:w="4998" w:type="pct"/>
        <w:jc w:val="center"/>
        <w:tblInd w:w="0" w:type="dxa"/>
        <w:tblBorders>
          <w:top w:val="single" w:sz="12" w:space="0" w:color="010000"/>
          <w:left w:val="single" w:sz="12" w:space="0" w:color="010000"/>
          <w:bottom w:val="single" w:sz="12" w:space="0" w:color="010000"/>
          <w:right w:val="single" w:sz="12" w:space="0" w:color="010000"/>
          <w:insideH w:val="single" w:sz="4" w:space="0" w:color="010000"/>
          <w:insideV w:val="single" w:sz="4" w:space="0" w:color="010000"/>
        </w:tblBorders>
        <w:tblCellMar>
          <w:left w:w="108" w:type="dxa"/>
          <w:right w:w="108" w:type="dxa"/>
        </w:tblCellMar>
        <w:tblLook w:val="04A0" w:firstRow="1" w:lastRow="0" w:firstColumn="1" w:lastColumn="0" w:noHBand="0" w:noVBand="1"/>
      </w:tblPr>
      <w:tblGrid>
        <w:gridCol w:w="506"/>
        <w:gridCol w:w="3430"/>
        <w:gridCol w:w="1558"/>
        <w:gridCol w:w="1575"/>
        <w:gridCol w:w="1456"/>
      </w:tblGrid>
      <w:tr w:rsidR="00C01D00" w14:paraId="63183452" w14:textId="77777777" w:rsidTr="003C4DAF">
        <w:trPr>
          <w:cantSplit/>
          <w:trHeight w:val="397"/>
          <w:tblHeader/>
          <w:jc w:val="center"/>
        </w:trPr>
        <w:tc>
          <w:tcPr>
            <w:tcW w:w="296" w:type="pct"/>
            <w:shd w:val="clear" w:color="auto" w:fill="auto"/>
            <w:vAlign w:val="center"/>
          </w:tcPr>
          <w:p w14:paraId="75E9A11B" w14:textId="77777777" w:rsidR="00C01D00" w:rsidRDefault="00227064">
            <w:pPr>
              <w:keepNext/>
              <w:jc w:val="center"/>
              <w:rPr>
                <w:rFonts w:ascii="Times New Roman" w:eastAsia="宋体" w:hAnsi="Times New Roman"/>
                <w:b/>
              </w:rPr>
            </w:pPr>
            <w:proofErr w:type="spellStart"/>
            <w:r>
              <w:rPr>
                <w:rFonts w:ascii="Times New Roman" w:eastAsia="宋体" w:hAnsi="Times New Roman"/>
                <w:b/>
              </w:rPr>
              <w:t>序号</w:t>
            </w:r>
            <w:proofErr w:type="spellEnd"/>
          </w:p>
        </w:tc>
        <w:tc>
          <w:tcPr>
            <w:tcW w:w="2012" w:type="pct"/>
            <w:shd w:val="clear" w:color="auto" w:fill="auto"/>
            <w:vAlign w:val="center"/>
          </w:tcPr>
          <w:p w14:paraId="383AC94F" w14:textId="77777777" w:rsidR="00C01D00" w:rsidRDefault="00227064">
            <w:pPr>
              <w:keepNext/>
              <w:jc w:val="center"/>
              <w:rPr>
                <w:rFonts w:ascii="Times New Roman" w:eastAsia="宋体" w:hAnsi="Times New Roman"/>
                <w:b/>
              </w:rPr>
            </w:pPr>
            <w:proofErr w:type="spellStart"/>
            <w:r>
              <w:rPr>
                <w:rFonts w:ascii="Times New Roman" w:eastAsia="宋体" w:hAnsi="Times New Roman"/>
                <w:b/>
              </w:rPr>
              <w:t>股东名称</w:t>
            </w:r>
            <w:proofErr w:type="spellEnd"/>
          </w:p>
        </w:tc>
        <w:tc>
          <w:tcPr>
            <w:tcW w:w="914" w:type="pct"/>
            <w:shd w:val="clear" w:color="auto" w:fill="auto"/>
            <w:vAlign w:val="center"/>
          </w:tcPr>
          <w:p w14:paraId="658E9667" w14:textId="77777777" w:rsidR="00C01D00" w:rsidRDefault="00227064">
            <w:pPr>
              <w:keepNext/>
              <w:jc w:val="center"/>
              <w:rPr>
                <w:rFonts w:ascii="Times New Roman" w:eastAsia="宋体" w:hAnsi="Times New Roman"/>
                <w:b/>
              </w:rPr>
            </w:pPr>
            <w:proofErr w:type="spellStart"/>
            <w:r>
              <w:rPr>
                <w:rFonts w:ascii="Times New Roman" w:eastAsia="宋体" w:hAnsi="Times New Roman"/>
                <w:b/>
              </w:rPr>
              <w:t>取得股份数量（股</w:t>
            </w:r>
            <w:proofErr w:type="spellEnd"/>
            <w:r>
              <w:rPr>
                <w:rFonts w:ascii="Times New Roman" w:eastAsia="宋体" w:hAnsi="Times New Roman"/>
                <w:b/>
              </w:rPr>
              <w:t>）</w:t>
            </w:r>
          </w:p>
        </w:tc>
        <w:tc>
          <w:tcPr>
            <w:tcW w:w="924" w:type="pct"/>
            <w:shd w:val="clear" w:color="auto" w:fill="auto"/>
            <w:vAlign w:val="center"/>
          </w:tcPr>
          <w:p w14:paraId="705F3EAB" w14:textId="77777777" w:rsidR="00C01D00" w:rsidRDefault="00227064">
            <w:pPr>
              <w:keepNext/>
              <w:jc w:val="center"/>
              <w:rPr>
                <w:rFonts w:ascii="Times New Roman" w:eastAsia="宋体" w:hAnsi="Times New Roman"/>
                <w:b/>
                <w:lang w:eastAsia="zh-CN"/>
              </w:rPr>
            </w:pPr>
            <w:r>
              <w:rPr>
                <w:rFonts w:ascii="Times New Roman" w:eastAsia="宋体" w:hAnsi="Times New Roman"/>
                <w:b/>
                <w:lang w:eastAsia="zh-CN"/>
              </w:rPr>
              <w:t>占公司转增后总股本比例</w:t>
            </w:r>
          </w:p>
        </w:tc>
        <w:tc>
          <w:tcPr>
            <w:tcW w:w="854" w:type="pct"/>
            <w:shd w:val="clear" w:color="auto" w:fill="auto"/>
            <w:vAlign w:val="center"/>
          </w:tcPr>
          <w:p w14:paraId="1418BC16" w14:textId="77777777" w:rsidR="00C01D00" w:rsidRDefault="00227064">
            <w:pPr>
              <w:keepNext/>
              <w:jc w:val="center"/>
              <w:rPr>
                <w:rFonts w:ascii="Times New Roman" w:eastAsia="宋体" w:hAnsi="Times New Roman"/>
                <w:b/>
                <w:lang w:eastAsia="zh-CN"/>
              </w:rPr>
            </w:pPr>
            <w:r>
              <w:rPr>
                <w:rFonts w:ascii="Times New Roman" w:eastAsia="宋体" w:hAnsi="Times New Roman" w:hint="eastAsia"/>
                <w:b/>
                <w:lang w:eastAsia="zh-CN"/>
              </w:rPr>
              <w:t>股份性质</w:t>
            </w:r>
          </w:p>
        </w:tc>
      </w:tr>
      <w:tr w:rsidR="00C01D00" w14:paraId="1977D44F" w14:textId="77777777">
        <w:trPr>
          <w:cantSplit/>
          <w:trHeight w:val="397"/>
          <w:jc w:val="center"/>
        </w:trPr>
        <w:tc>
          <w:tcPr>
            <w:tcW w:w="296" w:type="pct"/>
            <w:shd w:val="clear" w:color="auto" w:fill="auto"/>
            <w:vAlign w:val="center"/>
          </w:tcPr>
          <w:p w14:paraId="6CDF6E43" w14:textId="77777777" w:rsidR="00C01D00" w:rsidRDefault="00227064">
            <w:pPr>
              <w:jc w:val="right"/>
              <w:rPr>
                <w:rFonts w:ascii="Times New Roman" w:eastAsia="宋体" w:hAnsi="Times New Roman"/>
              </w:rPr>
            </w:pPr>
            <w:r>
              <w:rPr>
                <w:rFonts w:ascii="Times New Roman" w:eastAsia="宋体" w:hAnsi="Times New Roman"/>
              </w:rPr>
              <w:t>1</w:t>
            </w:r>
          </w:p>
        </w:tc>
        <w:tc>
          <w:tcPr>
            <w:tcW w:w="2012" w:type="pct"/>
            <w:vAlign w:val="center"/>
          </w:tcPr>
          <w:p w14:paraId="2F860808" w14:textId="77777777" w:rsidR="00C01D00" w:rsidRDefault="00227064">
            <w:pPr>
              <w:rPr>
                <w:rFonts w:ascii="Times New Roman" w:eastAsia="宋体" w:hAnsi="Times New Roman"/>
                <w:lang w:eastAsia="zh-CN"/>
              </w:rPr>
            </w:pPr>
            <w:proofErr w:type="gramStart"/>
            <w:r>
              <w:rPr>
                <w:rFonts w:asciiTheme="minorEastAsia" w:eastAsiaTheme="minorEastAsia" w:hAnsiTheme="minorEastAsia" w:hint="eastAsia"/>
                <w:lang w:eastAsia="zh-CN"/>
              </w:rPr>
              <w:t>中建投租赁</w:t>
            </w:r>
            <w:proofErr w:type="gramEnd"/>
            <w:r>
              <w:rPr>
                <w:rFonts w:asciiTheme="minorEastAsia" w:eastAsiaTheme="minorEastAsia" w:hAnsiTheme="minorEastAsia" w:hint="eastAsia"/>
                <w:lang w:eastAsia="zh-CN"/>
              </w:rPr>
              <w:t>股份有限公司</w:t>
            </w:r>
          </w:p>
        </w:tc>
        <w:tc>
          <w:tcPr>
            <w:tcW w:w="914" w:type="pct"/>
            <w:vAlign w:val="center"/>
          </w:tcPr>
          <w:p w14:paraId="301CC11B" w14:textId="77777777" w:rsidR="00C01D00" w:rsidRDefault="00227064">
            <w:pPr>
              <w:jc w:val="right"/>
              <w:rPr>
                <w:rFonts w:ascii="Times New Roman" w:eastAsia="宋体" w:hAnsi="Times New Roman"/>
              </w:rPr>
            </w:pPr>
            <w:r>
              <w:rPr>
                <w:rFonts w:asciiTheme="minorEastAsia" w:eastAsiaTheme="minorEastAsia" w:hAnsiTheme="minorEastAsia"/>
              </w:rPr>
              <w:t>61,950,938</w:t>
            </w:r>
          </w:p>
        </w:tc>
        <w:tc>
          <w:tcPr>
            <w:tcW w:w="924" w:type="pct"/>
            <w:vAlign w:val="center"/>
          </w:tcPr>
          <w:p w14:paraId="77612A78" w14:textId="77777777" w:rsidR="00C01D00" w:rsidRDefault="00227064">
            <w:pPr>
              <w:jc w:val="right"/>
              <w:rPr>
                <w:rFonts w:ascii="Times New Roman" w:eastAsia="宋体" w:hAnsi="Times New Roman"/>
                <w:lang w:eastAsia="zh-CN"/>
              </w:rPr>
            </w:pPr>
            <w:r>
              <w:rPr>
                <w:rFonts w:ascii="Times New Roman" w:eastAsia="宋体" w:hAnsi="Times New Roman" w:hint="eastAsia"/>
                <w:lang w:eastAsia="zh-CN"/>
              </w:rPr>
              <w:t>2.06%</w:t>
            </w:r>
          </w:p>
        </w:tc>
        <w:tc>
          <w:tcPr>
            <w:tcW w:w="854" w:type="pct"/>
            <w:shd w:val="clear" w:color="auto" w:fill="auto"/>
            <w:vAlign w:val="center"/>
          </w:tcPr>
          <w:p w14:paraId="44CE85C7" w14:textId="77777777" w:rsidR="00C01D00" w:rsidRDefault="00227064">
            <w:pPr>
              <w:jc w:val="both"/>
              <w:rPr>
                <w:rFonts w:ascii="Times New Roman" w:eastAsia="宋体" w:hAnsi="Times New Roman"/>
                <w:lang w:eastAsia="zh-CN"/>
              </w:rPr>
            </w:pPr>
            <w:r>
              <w:rPr>
                <w:rFonts w:ascii="Times New Roman" w:eastAsia="宋体" w:hAnsi="Times New Roman" w:hint="eastAsia"/>
                <w:lang w:eastAsia="zh-CN"/>
              </w:rPr>
              <w:t>限售股，过户完成后锁定期</w:t>
            </w:r>
            <w:r>
              <w:rPr>
                <w:rFonts w:ascii="Times New Roman" w:eastAsia="宋体" w:hAnsi="Times New Roman" w:hint="eastAsia"/>
                <w:lang w:eastAsia="zh-CN"/>
              </w:rPr>
              <w:t>12</w:t>
            </w:r>
            <w:r>
              <w:rPr>
                <w:rFonts w:ascii="Times New Roman" w:eastAsia="宋体" w:hAnsi="Times New Roman" w:hint="eastAsia"/>
                <w:lang w:eastAsia="zh-CN"/>
              </w:rPr>
              <w:t>个月</w:t>
            </w:r>
          </w:p>
        </w:tc>
      </w:tr>
      <w:tr w:rsidR="00C01D00" w14:paraId="11239FE2" w14:textId="77777777">
        <w:trPr>
          <w:cantSplit/>
          <w:trHeight w:val="397"/>
          <w:jc w:val="center"/>
        </w:trPr>
        <w:tc>
          <w:tcPr>
            <w:tcW w:w="296" w:type="pct"/>
            <w:shd w:val="clear" w:color="auto" w:fill="auto"/>
            <w:vAlign w:val="center"/>
          </w:tcPr>
          <w:p w14:paraId="07CD4E4D" w14:textId="77777777" w:rsidR="00C01D00" w:rsidRDefault="00227064">
            <w:pPr>
              <w:jc w:val="right"/>
              <w:rPr>
                <w:rFonts w:ascii="Times New Roman" w:eastAsia="宋体" w:hAnsi="Times New Roman"/>
              </w:rPr>
            </w:pPr>
            <w:r>
              <w:rPr>
                <w:rFonts w:ascii="Times New Roman" w:eastAsia="宋体" w:hAnsi="Times New Roman"/>
              </w:rPr>
              <w:t>2</w:t>
            </w:r>
          </w:p>
        </w:tc>
        <w:tc>
          <w:tcPr>
            <w:tcW w:w="2012" w:type="pct"/>
            <w:vAlign w:val="center"/>
          </w:tcPr>
          <w:p w14:paraId="6101BFC7" w14:textId="77777777" w:rsidR="00C01D00" w:rsidRDefault="00227064">
            <w:pPr>
              <w:rPr>
                <w:rFonts w:ascii="Times New Roman" w:eastAsia="宋体" w:hAnsi="Times New Roman"/>
                <w:lang w:eastAsia="zh-CN"/>
              </w:rPr>
            </w:pPr>
            <w:r>
              <w:rPr>
                <w:rFonts w:asciiTheme="minorEastAsia" w:eastAsiaTheme="minorEastAsia" w:hAnsiTheme="minorEastAsia" w:hint="eastAsia"/>
                <w:lang w:eastAsia="zh-CN"/>
              </w:rPr>
              <w:t>交通银行股份有限公司苏州分行</w:t>
            </w:r>
          </w:p>
        </w:tc>
        <w:tc>
          <w:tcPr>
            <w:tcW w:w="914" w:type="pct"/>
            <w:vAlign w:val="center"/>
          </w:tcPr>
          <w:p w14:paraId="1AFE52CD" w14:textId="77777777" w:rsidR="00C01D00" w:rsidRDefault="00227064">
            <w:pPr>
              <w:jc w:val="right"/>
              <w:rPr>
                <w:rFonts w:ascii="Times New Roman" w:eastAsia="宋体" w:hAnsi="Times New Roman"/>
              </w:rPr>
            </w:pPr>
            <w:r>
              <w:rPr>
                <w:rFonts w:asciiTheme="minorEastAsia" w:eastAsiaTheme="minorEastAsia" w:hAnsiTheme="minorEastAsia" w:hint="eastAsia"/>
              </w:rPr>
              <w:t>1</w:t>
            </w:r>
            <w:r>
              <w:rPr>
                <w:rFonts w:asciiTheme="minorEastAsia" w:eastAsiaTheme="minorEastAsia" w:hAnsiTheme="minorEastAsia"/>
              </w:rPr>
              <w:t>7,464,530</w:t>
            </w:r>
          </w:p>
        </w:tc>
        <w:tc>
          <w:tcPr>
            <w:tcW w:w="924" w:type="pct"/>
            <w:vAlign w:val="center"/>
          </w:tcPr>
          <w:p w14:paraId="2FC99E6A" w14:textId="77777777" w:rsidR="00C01D00" w:rsidRDefault="00227064">
            <w:pPr>
              <w:jc w:val="right"/>
              <w:rPr>
                <w:rFonts w:ascii="Times New Roman" w:eastAsia="宋体" w:hAnsi="Times New Roman"/>
                <w:lang w:eastAsia="zh-CN"/>
              </w:rPr>
            </w:pPr>
            <w:r>
              <w:rPr>
                <w:rFonts w:ascii="Times New Roman" w:eastAsia="宋体" w:hAnsi="Times New Roman" w:hint="eastAsia"/>
                <w:lang w:eastAsia="zh-CN"/>
              </w:rPr>
              <w:t>0.58%</w:t>
            </w:r>
          </w:p>
        </w:tc>
        <w:tc>
          <w:tcPr>
            <w:tcW w:w="854" w:type="pct"/>
            <w:shd w:val="clear" w:color="auto" w:fill="auto"/>
            <w:vAlign w:val="center"/>
          </w:tcPr>
          <w:p w14:paraId="38E3BBA3" w14:textId="77777777" w:rsidR="00C01D00" w:rsidRDefault="00227064">
            <w:pPr>
              <w:jc w:val="both"/>
              <w:rPr>
                <w:rFonts w:ascii="Times New Roman" w:eastAsia="宋体" w:hAnsi="Times New Roman"/>
                <w:lang w:eastAsia="zh-CN"/>
              </w:rPr>
            </w:pPr>
            <w:r>
              <w:rPr>
                <w:rFonts w:ascii="Times New Roman" w:eastAsia="宋体" w:hAnsi="Times New Roman" w:hint="eastAsia"/>
                <w:lang w:eastAsia="zh-CN"/>
              </w:rPr>
              <w:t>限售股，过户完成后锁定期</w:t>
            </w:r>
            <w:r>
              <w:rPr>
                <w:rFonts w:ascii="Times New Roman" w:eastAsia="宋体" w:hAnsi="Times New Roman" w:hint="eastAsia"/>
                <w:lang w:eastAsia="zh-CN"/>
              </w:rPr>
              <w:t>12</w:t>
            </w:r>
            <w:r>
              <w:rPr>
                <w:rFonts w:ascii="Times New Roman" w:eastAsia="宋体" w:hAnsi="Times New Roman" w:hint="eastAsia"/>
                <w:lang w:eastAsia="zh-CN"/>
              </w:rPr>
              <w:t>个月</w:t>
            </w:r>
          </w:p>
        </w:tc>
      </w:tr>
      <w:tr w:rsidR="00C01D00" w14:paraId="2AB6C738" w14:textId="77777777">
        <w:trPr>
          <w:cantSplit/>
          <w:trHeight w:val="397"/>
          <w:jc w:val="center"/>
        </w:trPr>
        <w:tc>
          <w:tcPr>
            <w:tcW w:w="296" w:type="pct"/>
            <w:shd w:val="clear" w:color="auto" w:fill="auto"/>
            <w:vAlign w:val="center"/>
          </w:tcPr>
          <w:p w14:paraId="3E568780" w14:textId="77777777" w:rsidR="00C01D00" w:rsidRDefault="00C01D00">
            <w:pPr>
              <w:rPr>
                <w:rFonts w:ascii="Times New Roman" w:eastAsia="宋体" w:hAnsi="Times New Roman"/>
                <w:lang w:eastAsia="zh-CN"/>
              </w:rPr>
            </w:pPr>
          </w:p>
        </w:tc>
        <w:tc>
          <w:tcPr>
            <w:tcW w:w="2012" w:type="pct"/>
            <w:shd w:val="clear" w:color="auto" w:fill="auto"/>
            <w:vAlign w:val="center"/>
          </w:tcPr>
          <w:p w14:paraId="7271E63F" w14:textId="77777777" w:rsidR="00C01D00" w:rsidRDefault="00227064">
            <w:pPr>
              <w:jc w:val="center"/>
              <w:rPr>
                <w:rFonts w:ascii="Times New Roman" w:eastAsia="宋体" w:hAnsi="Times New Roman"/>
                <w:b/>
                <w:bCs/>
              </w:rPr>
            </w:pPr>
            <w:proofErr w:type="spellStart"/>
            <w:r>
              <w:rPr>
                <w:rFonts w:ascii="Times New Roman" w:eastAsia="宋体" w:hAnsi="Times New Roman"/>
                <w:b/>
                <w:bCs/>
              </w:rPr>
              <w:t>合计</w:t>
            </w:r>
            <w:proofErr w:type="spellEnd"/>
          </w:p>
        </w:tc>
        <w:tc>
          <w:tcPr>
            <w:tcW w:w="914" w:type="pct"/>
            <w:shd w:val="clear" w:color="auto" w:fill="auto"/>
            <w:vAlign w:val="center"/>
          </w:tcPr>
          <w:p w14:paraId="0261D6CE" w14:textId="77777777" w:rsidR="00C01D00" w:rsidRDefault="00227064">
            <w:pPr>
              <w:jc w:val="right"/>
              <w:rPr>
                <w:rFonts w:ascii="Times New Roman" w:eastAsia="宋体" w:hAnsi="Times New Roman"/>
                <w:b/>
                <w:bCs/>
              </w:rPr>
            </w:pPr>
            <w:r>
              <w:rPr>
                <w:rFonts w:ascii="Times New Roman" w:eastAsia="宋体" w:hAnsi="Times New Roman"/>
                <w:b/>
              </w:rPr>
              <w:t>79,415,468</w:t>
            </w:r>
          </w:p>
        </w:tc>
        <w:tc>
          <w:tcPr>
            <w:tcW w:w="924" w:type="pct"/>
            <w:shd w:val="clear" w:color="auto" w:fill="auto"/>
            <w:vAlign w:val="center"/>
          </w:tcPr>
          <w:p w14:paraId="31BEBABF" w14:textId="77777777" w:rsidR="00C01D00" w:rsidRDefault="00227064">
            <w:pPr>
              <w:jc w:val="right"/>
              <w:rPr>
                <w:rFonts w:ascii="Times New Roman" w:eastAsia="宋体" w:hAnsi="Times New Roman"/>
                <w:b/>
                <w:bCs/>
                <w:lang w:eastAsia="zh-CN"/>
              </w:rPr>
            </w:pPr>
            <w:r>
              <w:rPr>
                <w:rFonts w:ascii="Times New Roman" w:eastAsia="宋体" w:hAnsi="Times New Roman" w:hint="eastAsia"/>
                <w:b/>
                <w:lang w:eastAsia="zh-CN"/>
              </w:rPr>
              <w:t>2.64%</w:t>
            </w:r>
          </w:p>
        </w:tc>
        <w:tc>
          <w:tcPr>
            <w:tcW w:w="854" w:type="pct"/>
            <w:shd w:val="clear" w:color="auto" w:fill="auto"/>
            <w:vAlign w:val="center"/>
          </w:tcPr>
          <w:p w14:paraId="1B787D3D" w14:textId="77777777" w:rsidR="00C01D00" w:rsidRDefault="00C01D00">
            <w:pPr>
              <w:jc w:val="right"/>
              <w:rPr>
                <w:rFonts w:ascii="Times New Roman" w:eastAsia="宋体" w:hAnsi="Times New Roman"/>
                <w:b/>
                <w:bCs/>
                <w:lang w:eastAsia="zh-CN"/>
              </w:rPr>
            </w:pPr>
          </w:p>
        </w:tc>
      </w:tr>
    </w:tbl>
    <w:p w14:paraId="2BD0ABD9" w14:textId="77777777" w:rsidR="00C01D00" w:rsidRDefault="00227064">
      <w:pPr>
        <w:pStyle w:val="a4"/>
        <w:spacing w:beforeLines="50" w:before="120" w:afterLines="50" w:after="120" w:line="360" w:lineRule="auto"/>
        <w:ind w:firstLineChars="200" w:firstLine="476"/>
        <w:jc w:val="both"/>
        <w:rPr>
          <w:b/>
          <w:bCs/>
          <w:spacing w:val="-3"/>
          <w:lang w:eastAsia="zh-CN"/>
        </w:rPr>
      </w:pPr>
      <w:r>
        <w:rPr>
          <w:rFonts w:hint="eastAsia"/>
          <w:b/>
          <w:bCs/>
          <w:spacing w:val="-3"/>
          <w:lang w:eastAsia="zh-CN"/>
        </w:rPr>
        <w:t>三、</w:t>
      </w:r>
      <w:r>
        <w:rPr>
          <w:b/>
          <w:bCs/>
          <w:spacing w:val="-2"/>
          <w:lang w:eastAsia="zh-CN"/>
        </w:rPr>
        <w:t>本次限售股形成后至今公司股份数量变</w:t>
      </w:r>
      <w:r>
        <w:rPr>
          <w:b/>
          <w:bCs/>
          <w:spacing w:val="-3"/>
          <w:lang w:eastAsia="zh-CN"/>
        </w:rPr>
        <w:t>化情况</w:t>
      </w:r>
    </w:p>
    <w:p w14:paraId="508C4405" w14:textId="77777777" w:rsidR="00C01D00" w:rsidRDefault="00227064">
      <w:pPr>
        <w:pStyle w:val="a4"/>
        <w:spacing w:beforeLines="50" w:before="120" w:afterLines="50" w:after="120" w:line="360" w:lineRule="auto"/>
        <w:ind w:firstLineChars="200" w:firstLine="474"/>
        <w:jc w:val="both"/>
        <w:rPr>
          <w:spacing w:val="-3"/>
          <w:lang w:eastAsia="zh-CN"/>
        </w:rPr>
      </w:pPr>
      <w:r>
        <w:rPr>
          <w:rFonts w:hint="eastAsia"/>
          <w:spacing w:val="-3"/>
          <w:lang w:eastAsia="zh-CN"/>
        </w:rPr>
        <w:t>本次限售股形成后，截至本核查意见出具日，公司总股本未发生变化。</w:t>
      </w:r>
    </w:p>
    <w:p w14:paraId="29D9834D" w14:textId="77777777" w:rsidR="00C01D00" w:rsidRDefault="00227064">
      <w:pPr>
        <w:pStyle w:val="a4"/>
        <w:spacing w:beforeLines="50" w:before="120" w:afterLines="50" w:after="120" w:line="360" w:lineRule="auto"/>
        <w:ind w:firstLineChars="200" w:firstLine="474"/>
        <w:jc w:val="both"/>
        <w:rPr>
          <w:b/>
          <w:bCs/>
          <w:spacing w:val="-4"/>
          <w:lang w:eastAsia="zh-CN"/>
        </w:rPr>
      </w:pPr>
      <w:r>
        <w:rPr>
          <w:rFonts w:hint="eastAsia"/>
          <w:b/>
          <w:bCs/>
          <w:spacing w:val="-4"/>
          <w:lang w:eastAsia="zh-CN"/>
        </w:rPr>
        <w:t>四、本次申请解除限售股份股东对上市公司的非经营资金占用、上市公司对该股东违规担保等情况</w:t>
      </w:r>
    </w:p>
    <w:p w14:paraId="3C746F40" w14:textId="77777777" w:rsidR="00C01D00" w:rsidRDefault="00227064">
      <w:pPr>
        <w:pStyle w:val="a4"/>
        <w:spacing w:beforeLines="50" w:before="120" w:afterLines="50" w:after="120" w:line="360" w:lineRule="auto"/>
        <w:ind w:firstLineChars="200" w:firstLine="472"/>
        <w:jc w:val="both"/>
        <w:rPr>
          <w:spacing w:val="-4"/>
          <w:lang w:eastAsia="zh-CN"/>
        </w:rPr>
      </w:pPr>
      <w:r>
        <w:rPr>
          <w:rFonts w:hint="eastAsia"/>
          <w:spacing w:val="-4"/>
          <w:lang w:eastAsia="zh-CN"/>
        </w:rPr>
        <w:t>截至本公告披露日，本次申请解除限售股份的股东严格履行了承诺，未出现违反承诺的情形，本次限售对象所持的限售股份达到股份解锁条件。</w:t>
      </w:r>
    </w:p>
    <w:p w14:paraId="04E7975F" w14:textId="77777777" w:rsidR="00C01D00" w:rsidRDefault="00227064">
      <w:pPr>
        <w:pStyle w:val="a4"/>
        <w:spacing w:beforeLines="50" w:before="120" w:afterLines="50" w:after="120" w:line="360" w:lineRule="auto"/>
        <w:ind w:firstLineChars="200" w:firstLine="472"/>
        <w:jc w:val="both"/>
        <w:rPr>
          <w:spacing w:val="-4"/>
          <w:lang w:eastAsia="zh-CN"/>
        </w:rPr>
      </w:pPr>
      <w:r>
        <w:rPr>
          <w:rFonts w:hint="eastAsia"/>
          <w:spacing w:val="-4"/>
          <w:lang w:eastAsia="zh-CN"/>
        </w:rPr>
        <w:t>本次解除限售股份股东不存在对公司的非经营性资金占用，不存在公司对上述股东提供违规担保等损害上市公司利益行为的情况。</w:t>
      </w:r>
    </w:p>
    <w:p w14:paraId="4DB3CA21" w14:textId="77777777" w:rsidR="00C01D00" w:rsidRDefault="00227064">
      <w:pPr>
        <w:pStyle w:val="a4"/>
        <w:spacing w:beforeLines="50" w:before="120" w:afterLines="50" w:after="120" w:line="360" w:lineRule="auto"/>
        <w:ind w:firstLineChars="200" w:firstLine="476"/>
        <w:jc w:val="both"/>
        <w:rPr>
          <w:b/>
          <w:bCs/>
          <w:spacing w:val="-3"/>
        </w:rPr>
      </w:pPr>
      <w:proofErr w:type="spellStart"/>
      <w:r>
        <w:rPr>
          <w:rFonts w:hint="eastAsia"/>
          <w:b/>
          <w:bCs/>
          <w:spacing w:val="-3"/>
        </w:rPr>
        <w:t>五、</w:t>
      </w:r>
      <w:r>
        <w:rPr>
          <w:b/>
          <w:bCs/>
          <w:spacing w:val="-3"/>
        </w:rPr>
        <w:t>本次解除限售股份的上市流通安排</w:t>
      </w:r>
      <w:proofErr w:type="spellEnd"/>
    </w:p>
    <w:p w14:paraId="537A2E92" w14:textId="77777777" w:rsidR="00C01D00" w:rsidRDefault="00227064">
      <w:pPr>
        <w:pStyle w:val="a4"/>
        <w:spacing w:beforeLines="50" w:before="120" w:afterLines="50" w:after="120" w:line="360" w:lineRule="auto"/>
        <w:ind w:firstLineChars="200" w:firstLine="470"/>
        <w:rPr>
          <w:rFonts w:ascii="Times New Roman" w:hAnsi="Times New Roman"/>
          <w:spacing w:val="-6"/>
          <w:lang w:eastAsia="zh-CN"/>
        </w:rPr>
      </w:pPr>
      <w:r>
        <w:rPr>
          <w:rFonts w:ascii="Times New Roman" w:hAnsi="Times New Roman" w:cs="Times New Roman"/>
          <w:spacing w:val="-5"/>
          <w:lang w:eastAsia="zh-CN"/>
        </w:rPr>
        <w:t>1</w:t>
      </w:r>
      <w:r>
        <w:rPr>
          <w:rFonts w:ascii="Times New Roman" w:hAnsi="Times New Roman"/>
          <w:spacing w:val="-5"/>
          <w:lang w:eastAsia="zh-CN"/>
        </w:rPr>
        <w:t>、</w:t>
      </w:r>
      <w:r>
        <w:rPr>
          <w:rFonts w:ascii="Times New Roman" w:hAnsi="Times New Roman" w:hint="eastAsia"/>
          <w:spacing w:val="-5"/>
          <w:lang w:eastAsia="zh-CN"/>
        </w:rPr>
        <w:t>本次解除限售股份的数量：</w:t>
      </w:r>
      <w:r>
        <w:rPr>
          <w:rFonts w:ascii="Times New Roman" w:hAnsi="Times New Roman"/>
          <w:spacing w:val="-5"/>
          <w:lang w:eastAsia="zh-CN"/>
        </w:rPr>
        <w:t>79,415,468</w:t>
      </w:r>
      <w:r>
        <w:rPr>
          <w:rFonts w:ascii="Times New Roman" w:hAnsi="Times New Roman" w:hint="eastAsia"/>
          <w:spacing w:val="-5"/>
          <w:lang w:eastAsia="zh-CN"/>
        </w:rPr>
        <w:t>股，占公司总股本的</w:t>
      </w:r>
      <w:r>
        <w:rPr>
          <w:rFonts w:ascii="Times New Roman" w:hAnsi="Times New Roman"/>
          <w:spacing w:val="-5"/>
          <w:lang w:eastAsia="zh-CN"/>
        </w:rPr>
        <w:t>2.64</w:t>
      </w:r>
      <w:r>
        <w:rPr>
          <w:rFonts w:ascii="Times New Roman" w:hAnsi="Times New Roman" w:hint="eastAsia"/>
          <w:spacing w:val="-5"/>
          <w:lang w:eastAsia="zh-CN"/>
        </w:rPr>
        <w:t>%</w:t>
      </w:r>
      <w:r>
        <w:rPr>
          <w:rFonts w:ascii="Times New Roman" w:hAnsi="Times New Roman" w:hint="eastAsia"/>
          <w:spacing w:val="-5"/>
          <w:lang w:eastAsia="zh-CN"/>
        </w:rPr>
        <w:t>。</w:t>
      </w:r>
    </w:p>
    <w:p w14:paraId="58B1B5BA" w14:textId="77777777" w:rsidR="00C01D00" w:rsidRDefault="00227064">
      <w:pPr>
        <w:pStyle w:val="a4"/>
        <w:spacing w:beforeLines="50" w:before="120" w:afterLines="50" w:after="120" w:line="360" w:lineRule="auto"/>
        <w:ind w:firstLineChars="200" w:firstLine="482"/>
        <w:rPr>
          <w:rFonts w:ascii="Times New Roman" w:hAnsi="Times New Roman"/>
          <w:spacing w:val="-3"/>
        </w:rPr>
      </w:pPr>
      <w:r>
        <w:rPr>
          <w:rFonts w:ascii="Times New Roman" w:hAnsi="Times New Roman" w:cs="Times New Roman"/>
          <w:spacing w:val="1"/>
        </w:rPr>
        <w:t>2</w:t>
      </w:r>
      <w:r>
        <w:rPr>
          <w:rFonts w:ascii="Times New Roman" w:hAnsi="Times New Roman"/>
          <w:spacing w:val="1"/>
        </w:rPr>
        <w:t>、</w:t>
      </w:r>
      <w:r>
        <w:rPr>
          <w:rFonts w:ascii="Times New Roman" w:hAnsi="Times New Roman" w:hint="eastAsia"/>
          <w:spacing w:val="1"/>
        </w:rPr>
        <w:t>本次解除限售股份的上市流通日期：</w:t>
      </w:r>
      <w:r>
        <w:rPr>
          <w:rFonts w:ascii="Times New Roman" w:hAnsi="Times New Roman" w:hint="eastAsia"/>
          <w:spacing w:val="1"/>
        </w:rPr>
        <w:t>2026</w:t>
      </w:r>
      <w:r>
        <w:rPr>
          <w:rFonts w:ascii="Times New Roman" w:hAnsi="Times New Roman" w:hint="eastAsia"/>
          <w:spacing w:val="1"/>
        </w:rPr>
        <w:t>年</w:t>
      </w:r>
      <w:r>
        <w:rPr>
          <w:rFonts w:ascii="Times New Roman" w:hAnsi="Times New Roman"/>
          <w:spacing w:val="1"/>
        </w:rPr>
        <w:t>3</w:t>
      </w:r>
      <w:r>
        <w:rPr>
          <w:rFonts w:ascii="Times New Roman" w:hAnsi="Times New Roman" w:hint="eastAsia"/>
          <w:spacing w:val="1"/>
        </w:rPr>
        <w:t>月</w:t>
      </w:r>
      <w:r>
        <w:rPr>
          <w:rFonts w:ascii="Times New Roman" w:hAnsi="Times New Roman"/>
          <w:spacing w:val="1"/>
        </w:rPr>
        <w:t>6</w:t>
      </w:r>
      <w:r>
        <w:rPr>
          <w:rFonts w:ascii="Times New Roman" w:hAnsi="Times New Roman" w:hint="eastAsia"/>
          <w:spacing w:val="1"/>
        </w:rPr>
        <w:t>日。</w:t>
      </w:r>
    </w:p>
    <w:p w14:paraId="11811825" w14:textId="77777777" w:rsidR="00C01D00" w:rsidRDefault="00227064">
      <w:pPr>
        <w:pStyle w:val="a4"/>
        <w:spacing w:beforeLines="50" w:before="120" w:afterLines="50" w:after="120" w:line="360" w:lineRule="auto"/>
        <w:ind w:firstLineChars="200" w:firstLine="476"/>
        <w:rPr>
          <w:rFonts w:ascii="Times New Roman" w:hAnsi="Times New Roman"/>
          <w:spacing w:val="-2"/>
          <w:lang w:eastAsia="zh-CN"/>
        </w:rPr>
      </w:pPr>
      <w:r>
        <w:rPr>
          <w:rFonts w:ascii="Times New Roman" w:hAnsi="Times New Roman" w:cs="Times New Roman"/>
          <w:spacing w:val="-2"/>
          <w:lang w:eastAsia="zh-CN"/>
        </w:rPr>
        <w:t>3</w:t>
      </w:r>
      <w:r>
        <w:rPr>
          <w:rFonts w:ascii="Times New Roman" w:hAnsi="Times New Roman"/>
          <w:spacing w:val="-2"/>
          <w:lang w:eastAsia="zh-CN"/>
        </w:rPr>
        <w:t>、</w:t>
      </w:r>
      <w:r>
        <w:rPr>
          <w:rFonts w:ascii="Times New Roman" w:hAnsi="Times New Roman" w:hint="eastAsia"/>
          <w:spacing w:val="-2"/>
          <w:lang w:eastAsia="zh-CN"/>
        </w:rPr>
        <w:t>本次股份解除限售及上市流通情况如下：</w:t>
      </w:r>
    </w:p>
    <w:tbl>
      <w:tblPr>
        <w:tblStyle w:val="a8"/>
        <w:tblW w:w="5000" w:type="pct"/>
        <w:jc w:val="center"/>
        <w:tblBorders>
          <w:top w:val="single" w:sz="12" w:space="0" w:color="010000"/>
          <w:left w:val="single" w:sz="12" w:space="0" w:color="010000"/>
          <w:bottom w:val="single" w:sz="12" w:space="0" w:color="010000"/>
          <w:right w:val="single" w:sz="12" w:space="0" w:color="010000"/>
          <w:insideH w:val="single" w:sz="4" w:space="0" w:color="010000"/>
          <w:insideV w:val="single" w:sz="4" w:space="0" w:color="010000"/>
        </w:tblBorders>
        <w:tblLook w:val="04A0" w:firstRow="1" w:lastRow="0" w:firstColumn="1" w:lastColumn="0" w:noHBand="0" w:noVBand="1"/>
      </w:tblPr>
      <w:tblGrid>
        <w:gridCol w:w="496"/>
        <w:gridCol w:w="3440"/>
        <w:gridCol w:w="1559"/>
        <w:gridCol w:w="1532"/>
        <w:gridCol w:w="1501"/>
      </w:tblGrid>
      <w:tr w:rsidR="00C01D00" w14:paraId="20C1C179" w14:textId="77777777">
        <w:trPr>
          <w:cantSplit/>
          <w:trHeight w:val="397"/>
          <w:tblHeader/>
          <w:jc w:val="center"/>
        </w:trPr>
        <w:tc>
          <w:tcPr>
            <w:tcW w:w="291" w:type="pct"/>
            <w:shd w:val="clear" w:color="auto" w:fill="auto"/>
            <w:vAlign w:val="center"/>
          </w:tcPr>
          <w:p w14:paraId="00C7927F" w14:textId="77777777" w:rsidR="00C01D00" w:rsidRDefault="00227064">
            <w:pPr>
              <w:keepNext/>
              <w:jc w:val="center"/>
              <w:rPr>
                <w:rFonts w:ascii="Times New Roman" w:eastAsia="宋体" w:hAnsi="Times New Roman"/>
                <w:b/>
              </w:rPr>
            </w:pPr>
            <w:proofErr w:type="spellStart"/>
            <w:r>
              <w:rPr>
                <w:rFonts w:ascii="Times New Roman" w:eastAsia="宋体" w:hAnsi="Times New Roman" w:hint="eastAsia"/>
                <w:b/>
              </w:rPr>
              <w:t>序号</w:t>
            </w:r>
            <w:proofErr w:type="spellEnd"/>
          </w:p>
        </w:tc>
        <w:tc>
          <w:tcPr>
            <w:tcW w:w="2017" w:type="pct"/>
            <w:shd w:val="clear" w:color="auto" w:fill="auto"/>
            <w:vAlign w:val="center"/>
          </w:tcPr>
          <w:p w14:paraId="16976C99" w14:textId="77777777" w:rsidR="00C01D00" w:rsidRDefault="00227064">
            <w:pPr>
              <w:keepNext/>
              <w:jc w:val="center"/>
              <w:rPr>
                <w:rFonts w:ascii="Times New Roman" w:eastAsia="宋体" w:hAnsi="Times New Roman"/>
                <w:b/>
              </w:rPr>
            </w:pPr>
            <w:proofErr w:type="spellStart"/>
            <w:r>
              <w:rPr>
                <w:rFonts w:ascii="Times New Roman" w:eastAsia="宋体" w:hAnsi="Times New Roman" w:hint="eastAsia"/>
                <w:b/>
              </w:rPr>
              <w:t>股东名称</w:t>
            </w:r>
            <w:proofErr w:type="spellEnd"/>
          </w:p>
        </w:tc>
        <w:tc>
          <w:tcPr>
            <w:tcW w:w="914" w:type="pct"/>
            <w:shd w:val="clear" w:color="auto" w:fill="auto"/>
            <w:vAlign w:val="center"/>
          </w:tcPr>
          <w:p w14:paraId="7A4B405D" w14:textId="77777777" w:rsidR="00C01D00" w:rsidRDefault="00227064">
            <w:pPr>
              <w:keepNext/>
              <w:jc w:val="center"/>
              <w:rPr>
                <w:rFonts w:ascii="Times New Roman" w:eastAsia="宋体" w:hAnsi="Times New Roman"/>
                <w:b/>
                <w:lang w:eastAsia="zh-CN"/>
              </w:rPr>
            </w:pPr>
            <w:r>
              <w:rPr>
                <w:rFonts w:ascii="Times New Roman" w:eastAsia="宋体" w:hAnsi="Times New Roman" w:hint="eastAsia"/>
                <w:b/>
                <w:lang w:eastAsia="zh-CN"/>
              </w:rPr>
              <w:t>持有限</w:t>
            </w:r>
            <w:proofErr w:type="gramStart"/>
            <w:r>
              <w:rPr>
                <w:rFonts w:ascii="Times New Roman" w:eastAsia="宋体" w:hAnsi="Times New Roman" w:hint="eastAsia"/>
                <w:b/>
                <w:lang w:eastAsia="zh-CN"/>
              </w:rPr>
              <w:t>售股份</w:t>
            </w:r>
            <w:proofErr w:type="gramEnd"/>
            <w:r>
              <w:rPr>
                <w:rFonts w:ascii="Times New Roman" w:eastAsia="宋体" w:hAnsi="Times New Roman" w:hint="eastAsia"/>
                <w:b/>
                <w:lang w:eastAsia="zh-CN"/>
              </w:rPr>
              <w:t>数量（股）</w:t>
            </w:r>
          </w:p>
        </w:tc>
        <w:tc>
          <w:tcPr>
            <w:tcW w:w="898" w:type="pct"/>
            <w:shd w:val="clear" w:color="auto" w:fill="auto"/>
            <w:vAlign w:val="center"/>
          </w:tcPr>
          <w:p w14:paraId="7E45D09D" w14:textId="77777777" w:rsidR="00C01D00" w:rsidRDefault="00227064">
            <w:pPr>
              <w:keepNext/>
              <w:jc w:val="center"/>
              <w:rPr>
                <w:rFonts w:ascii="Times New Roman" w:eastAsia="宋体" w:hAnsi="Times New Roman"/>
                <w:b/>
                <w:lang w:eastAsia="zh-CN"/>
              </w:rPr>
            </w:pPr>
            <w:r>
              <w:rPr>
                <w:rFonts w:ascii="Times New Roman" w:eastAsia="宋体" w:hAnsi="Times New Roman" w:hint="eastAsia"/>
                <w:b/>
                <w:lang w:eastAsia="zh-CN"/>
              </w:rPr>
              <w:t>本次解除限售数量（股）</w:t>
            </w:r>
          </w:p>
        </w:tc>
        <w:tc>
          <w:tcPr>
            <w:tcW w:w="880" w:type="pct"/>
            <w:shd w:val="clear" w:color="auto" w:fill="auto"/>
            <w:vAlign w:val="center"/>
          </w:tcPr>
          <w:p w14:paraId="0D7CC01A" w14:textId="77777777" w:rsidR="00C01D00" w:rsidRDefault="00227064">
            <w:pPr>
              <w:keepNext/>
              <w:jc w:val="center"/>
              <w:rPr>
                <w:rFonts w:ascii="Times New Roman" w:eastAsia="宋体" w:hAnsi="Times New Roman"/>
                <w:b/>
                <w:lang w:eastAsia="zh-CN"/>
              </w:rPr>
            </w:pPr>
            <w:r>
              <w:rPr>
                <w:rFonts w:ascii="Times New Roman" w:eastAsia="宋体" w:hAnsi="Times New Roman" w:hint="eastAsia"/>
                <w:b/>
                <w:lang w:eastAsia="zh-CN"/>
              </w:rPr>
              <w:t>是否存在质押</w:t>
            </w:r>
            <w:r>
              <w:rPr>
                <w:rFonts w:ascii="Times New Roman" w:eastAsia="宋体" w:hAnsi="Times New Roman" w:hint="eastAsia"/>
                <w:b/>
                <w:lang w:eastAsia="zh-CN"/>
              </w:rPr>
              <w:t>/</w:t>
            </w:r>
            <w:r>
              <w:rPr>
                <w:rFonts w:ascii="Times New Roman" w:eastAsia="宋体" w:hAnsi="Times New Roman" w:hint="eastAsia"/>
                <w:b/>
                <w:lang w:eastAsia="zh-CN"/>
              </w:rPr>
              <w:t>冻结情况</w:t>
            </w:r>
          </w:p>
        </w:tc>
      </w:tr>
      <w:tr w:rsidR="00C01D00" w14:paraId="549760EA" w14:textId="77777777">
        <w:trPr>
          <w:cantSplit/>
          <w:trHeight w:val="397"/>
          <w:jc w:val="center"/>
        </w:trPr>
        <w:tc>
          <w:tcPr>
            <w:tcW w:w="291" w:type="pct"/>
            <w:shd w:val="clear" w:color="auto" w:fill="auto"/>
            <w:vAlign w:val="center"/>
          </w:tcPr>
          <w:p w14:paraId="27BE5C9C" w14:textId="77777777" w:rsidR="00C01D00" w:rsidRDefault="00227064">
            <w:pPr>
              <w:rPr>
                <w:rFonts w:ascii="Times New Roman" w:eastAsia="宋体" w:hAnsi="Times New Roman"/>
              </w:rPr>
            </w:pPr>
            <w:r>
              <w:rPr>
                <w:rFonts w:ascii="Times New Roman" w:eastAsia="宋体" w:hAnsi="Times New Roman" w:hint="eastAsia"/>
              </w:rPr>
              <w:t>1</w:t>
            </w:r>
          </w:p>
        </w:tc>
        <w:tc>
          <w:tcPr>
            <w:tcW w:w="2017" w:type="pct"/>
            <w:vAlign w:val="center"/>
          </w:tcPr>
          <w:p w14:paraId="3A5DE2A4" w14:textId="77777777" w:rsidR="00C01D00" w:rsidRDefault="00227064">
            <w:pPr>
              <w:rPr>
                <w:rFonts w:ascii="Times New Roman" w:eastAsia="宋体" w:hAnsi="Times New Roman"/>
                <w:lang w:eastAsia="zh-CN"/>
              </w:rPr>
            </w:pPr>
            <w:proofErr w:type="gramStart"/>
            <w:r>
              <w:rPr>
                <w:rFonts w:asciiTheme="minorEastAsia" w:eastAsiaTheme="minorEastAsia" w:hAnsiTheme="minorEastAsia" w:hint="eastAsia"/>
                <w:lang w:eastAsia="zh-CN"/>
              </w:rPr>
              <w:t>中建投租赁</w:t>
            </w:r>
            <w:proofErr w:type="gramEnd"/>
            <w:r>
              <w:rPr>
                <w:rFonts w:asciiTheme="minorEastAsia" w:eastAsiaTheme="minorEastAsia" w:hAnsiTheme="minorEastAsia" w:hint="eastAsia"/>
                <w:lang w:eastAsia="zh-CN"/>
              </w:rPr>
              <w:t>股份有限公司</w:t>
            </w:r>
          </w:p>
        </w:tc>
        <w:tc>
          <w:tcPr>
            <w:tcW w:w="914" w:type="pct"/>
            <w:vAlign w:val="center"/>
          </w:tcPr>
          <w:p w14:paraId="0941F310" w14:textId="77777777" w:rsidR="00C01D00" w:rsidRDefault="00227064">
            <w:pPr>
              <w:jc w:val="right"/>
              <w:rPr>
                <w:rFonts w:ascii="Times New Roman" w:eastAsia="宋体" w:hAnsi="Times New Roman"/>
              </w:rPr>
            </w:pPr>
            <w:r>
              <w:rPr>
                <w:rFonts w:asciiTheme="minorEastAsia" w:eastAsiaTheme="minorEastAsia" w:hAnsiTheme="minorEastAsia"/>
              </w:rPr>
              <w:t>61,950,938</w:t>
            </w:r>
          </w:p>
        </w:tc>
        <w:tc>
          <w:tcPr>
            <w:tcW w:w="898" w:type="pct"/>
            <w:vAlign w:val="center"/>
          </w:tcPr>
          <w:p w14:paraId="418BC311" w14:textId="77777777" w:rsidR="00C01D00" w:rsidRDefault="00227064">
            <w:pPr>
              <w:jc w:val="right"/>
              <w:rPr>
                <w:rFonts w:ascii="Times New Roman" w:eastAsia="宋体" w:hAnsi="Times New Roman"/>
              </w:rPr>
            </w:pPr>
            <w:r>
              <w:rPr>
                <w:rFonts w:asciiTheme="minorEastAsia" w:eastAsiaTheme="minorEastAsia" w:hAnsiTheme="minorEastAsia"/>
              </w:rPr>
              <w:t>61,950,938</w:t>
            </w:r>
          </w:p>
        </w:tc>
        <w:tc>
          <w:tcPr>
            <w:tcW w:w="880" w:type="pct"/>
            <w:shd w:val="clear" w:color="auto" w:fill="auto"/>
            <w:vAlign w:val="center"/>
          </w:tcPr>
          <w:p w14:paraId="6DE5CD9E" w14:textId="77777777" w:rsidR="00C01D00" w:rsidRDefault="00227064">
            <w:pPr>
              <w:rPr>
                <w:rFonts w:ascii="Times New Roman" w:eastAsia="宋体" w:hAnsi="Times New Roman"/>
              </w:rPr>
            </w:pPr>
            <w:r>
              <w:rPr>
                <w:rFonts w:ascii="Times New Roman" w:eastAsia="宋体" w:hAnsi="Times New Roman" w:hint="eastAsia"/>
              </w:rPr>
              <w:t>否</w:t>
            </w:r>
          </w:p>
        </w:tc>
      </w:tr>
      <w:tr w:rsidR="00C01D00" w14:paraId="3B2E66E2" w14:textId="77777777">
        <w:trPr>
          <w:cantSplit/>
          <w:trHeight w:val="397"/>
          <w:jc w:val="center"/>
        </w:trPr>
        <w:tc>
          <w:tcPr>
            <w:tcW w:w="291" w:type="pct"/>
            <w:shd w:val="clear" w:color="auto" w:fill="auto"/>
            <w:vAlign w:val="center"/>
          </w:tcPr>
          <w:p w14:paraId="4ACE4FF7" w14:textId="77777777" w:rsidR="00C01D00" w:rsidRDefault="00227064">
            <w:pPr>
              <w:rPr>
                <w:rFonts w:ascii="Times New Roman" w:eastAsia="宋体" w:hAnsi="Times New Roman"/>
              </w:rPr>
            </w:pPr>
            <w:r>
              <w:rPr>
                <w:rFonts w:ascii="Times New Roman" w:eastAsia="宋体" w:hAnsi="Times New Roman" w:hint="eastAsia"/>
              </w:rPr>
              <w:t>2</w:t>
            </w:r>
          </w:p>
        </w:tc>
        <w:tc>
          <w:tcPr>
            <w:tcW w:w="2017" w:type="pct"/>
            <w:vAlign w:val="center"/>
          </w:tcPr>
          <w:p w14:paraId="65B758A8" w14:textId="77777777" w:rsidR="00C01D00" w:rsidRDefault="00227064">
            <w:pPr>
              <w:rPr>
                <w:rFonts w:ascii="Times New Roman" w:eastAsia="宋体" w:hAnsi="Times New Roman"/>
                <w:lang w:eastAsia="zh-CN"/>
              </w:rPr>
            </w:pPr>
            <w:r>
              <w:rPr>
                <w:rFonts w:asciiTheme="minorEastAsia" w:eastAsiaTheme="minorEastAsia" w:hAnsiTheme="minorEastAsia" w:hint="eastAsia"/>
                <w:lang w:eastAsia="zh-CN"/>
              </w:rPr>
              <w:t>交通银行股份有限公司苏州分行</w:t>
            </w:r>
          </w:p>
        </w:tc>
        <w:tc>
          <w:tcPr>
            <w:tcW w:w="914" w:type="pct"/>
            <w:vAlign w:val="center"/>
          </w:tcPr>
          <w:p w14:paraId="687EA7F1" w14:textId="77777777" w:rsidR="00C01D00" w:rsidRDefault="00227064">
            <w:pPr>
              <w:jc w:val="right"/>
              <w:rPr>
                <w:rFonts w:ascii="Times New Roman" w:eastAsia="宋体" w:hAnsi="Times New Roman"/>
              </w:rPr>
            </w:pPr>
            <w:r>
              <w:rPr>
                <w:rFonts w:asciiTheme="minorEastAsia" w:eastAsiaTheme="minorEastAsia" w:hAnsiTheme="minorEastAsia" w:hint="eastAsia"/>
              </w:rPr>
              <w:t>1</w:t>
            </w:r>
            <w:r>
              <w:rPr>
                <w:rFonts w:asciiTheme="minorEastAsia" w:eastAsiaTheme="minorEastAsia" w:hAnsiTheme="minorEastAsia"/>
              </w:rPr>
              <w:t>7,464,530</w:t>
            </w:r>
          </w:p>
        </w:tc>
        <w:tc>
          <w:tcPr>
            <w:tcW w:w="898" w:type="pct"/>
            <w:vAlign w:val="center"/>
          </w:tcPr>
          <w:p w14:paraId="212B58A9" w14:textId="77777777" w:rsidR="00C01D00" w:rsidRDefault="00227064">
            <w:pPr>
              <w:jc w:val="right"/>
              <w:rPr>
                <w:rFonts w:ascii="Times New Roman" w:eastAsia="宋体" w:hAnsi="Times New Roman"/>
              </w:rPr>
            </w:pPr>
            <w:r>
              <w:rPr>
                <w:rFonts w:asciiTheme="minorEastAsia" w:eastAsiaTheme="minorEastAsia" w:hAnsiTheme="minorEastAsia" w:hint="eastAsia"/>
              </w:rPr>
              <w:t>1</w:t>
            </w:r>
            <w:r>
              <w:rPr>
                <w:rFonts w:asciiTheme="minorEastAsia" w:eastAsiaTheme="minorEastAsia" w:hAnsiTheme="minorEastAsia"/>
              </w:rPr>
              <w:t>7,464,530</w:t>
            </w:r>
          </w:p>
        </w:tc>
        <w:tc>
          <w:tcPr>
            <w:tcW w:w="880" w:type="pct"/>
            <w:shd w:val="clear" w:color="auto" w:fill="auto"/>
            <w:vAlign w:val="center"/>
          </w:tcPr>
          <w:p w14:paraId="3A05355C" w14:textId="77777777" w:rsidR="00C01D00" w:rsidRDefault="00227064">
            <w:pPr>
              <w:rPr>
                <w:rFonts w:ascii="Times New Roman" w:eastAsia="宋体" w:hAnsi="Times New Roman"/>
              </w:rPr>
            </w:pPr>
            <w:r>
              <w:rPr>
                <w:rFonts w:ascii="Times New Roman" w:eastAsia="宋体" w:hAnsi="Times New Roman" w:hint="eastAsia"/>
              </w:rPr>
              <w:t>否</w:t>
            </w:r>
          </w:p>
        </w:tc>
      </w:tr>
      <w:tr w:rsidR="00C01D00" w14:paraId="15E60C86" w14:textId="77777777">
        <w:trPr>
          <w:cantSplit/>
          <w:trHeight w:val="397"/>
          <w:jc w:val="center"/>
        </w:trPr>
        <w:tc>
          <w:tcPr>
            <w:tcW w:w="2308" w:type="pct"/>
            <w:gridSpan w:val="2"/>
            <w:shd w:val="clear" w:color="auto" w:fill="auto"/>
            <w:vAlign w:val="center"/>
          </w:tcPr>
          <w:p w14:paraId="3E889217" w14:textId="77777777" w:rsidR="00C01D00" w:rsidRDefault="00227064">
            <w:pPr>
              <w:jc w:val="center"/>
              <w:rPr>
                <w:rFonts w:ascii="Times New Roman" w:eastAsia="宋体" w:hAnsi="Times New Roman"/>
                <w:b/>
              </w:rPr>
            </w:pPr>
            <w:proofErr w:type="spellStart"/>
            <w:r>
              <w:rPr>
                <w:rFonts w:ascii="Times New Roman" w:eastAsia="宋体" w:hAnsi="Times New Roman" w:hint="eastAsia"/>
                <w:b/>
              </w:rPr>
              <w:t>合计</w:t>
            </w:r>
            <w:proofErr w:type="spellEnd"/>
          </w:p>
        </w:tc>
        <w:tc>
          <w:tcPr>
            <w:tcW w:w="914" w:type="pct"/>
            <w:shd w:val="clear" w:color="auto" w:fill="auto"/>
            <w:vAlign w:val="center"/>
          </w:tcPr>
          <w:p w14:paraId="22C53883" w14:textId="77777777" w:rsidR="00C01D00" w:rsidRDefault="00227064">
            <w:pPr>
              <w:jc w:val="right"/>
              <w:rPr>
                <w:rFonts w:ascii="Times New Roman" w:eastAsia="宋体" w:hAnsi="Times New Roman"/>
                <w:b/>
              </w:rPr>
            </w:pPr>
            <w:r>
              <w:rPr>
                <w:rFonts w:ascii="Times New Roman" w:eastAsia="宋体" w:hAnsi="Times New Roman"/>
                <w:b/>
              </w:rPr>
              <w:t>79,415,468</w:t>
            </w:r>
          </w:p>
        </w:tc>
        <w:tc>
          <w:tcPr>
            <w:tcW w:w="898" w:type="pct"/>
            <w:shd w:val="clear" w:color="auto" w:fill="auto"/>
            <w:vAlign w:val="center"/>
          </w:tcPr>
          <w:p w14:paraId="5FC347E4" w14:textId="77777777" w:rsidR="00C01D00" w:rsidRDefault="00227064">
            <w:pPr>
              <w:jc w:val="right"/>
              <w:rPr>
                <w:rFonts w:ascii="Times New Roman" w:eastAsia="宋体" w:hAnsi="Times New Roman"/>
                <w:b/>
              </w:rPr>
            </w:pPr>
            <w:r>
              <w:rPr>
                <w:rFonts w:ascii="Times New Roman" w:eastAsia="宋体" w:hAnsi="Times New Roman"/>
                <w:b/>
              </w:rPr>
              <w:t>79,415,468</w:t>
            </w:r>
          </w:p>
        </w:tc>
        <w:tc>
          <w:tcPr>
            <w:tcW w:w="880" w:type="pct"/>
            <w:shd w:val="clear" w:color="auto" w:fill="auto"/>
            <w:vAlign w:val="center"/>
          </w:tcPr>
          <w:p w14:paraId="12484CEC" w14:textId="77777777" w:rsidR="00C01D00" w:rsidRDefault="00227064">
            <w:pPr>
              <w:rPr>
                <w:rFonts w:ascii="Times New Roman" w:eastAsia="宋体" w:hAnsi="Times New Roman"/>
                <w:b/>
                <w:lang w:eastAsia="zh-CN"/>
              </w:rPr>
            </w:pPr>
            <w:r>
              <w:rPr>
                <w:rFonts w:ascii="Times New Roman" w:eastAsia="宋体" w:hAnsi="Times New Roman" w:hint="eastAsia"/>
                <w:b/>
                <w:lang w:eastAsia="zh-CN"/>
              </w:rPr>
              <w:t>—</w:t>
            </w:r>
          </w:p>
        </w:tc>
      </w:tr>
    </w:tbl>
    <w:p w14:paraId="54A34B63" w14:textId="77777777" w:rsidR="00C01D00" w:rsidRDefault="00227064">
      <w:pPr>
        <w:pStyle w:val="a4"/>
        <w:spacing w:beforeLines="50" w:before="120" w:afterLines="50" w:after="120" w:line="360" w:lineRule="auto"/>
        <w:ind w:firstLineChars="200" w:firstLine="418"/>
        <w:rPr>
          <w:sz w:val="20"/>
          <w:szCs w:val="20"/>
          <w:lang w:eastAsia="zh-CN"/>
        </w:rPr>
      </w:pPr>
      <w:r>
        <w:rPr>
          <w:spacing w:val="9"/>
          <w:sz w:val="20"/>
          <w:szCs w:val="20"/>
          <w:lang w:eastAsia="zh-CN"/>
        </w:rPr>
        <w:t>注：上表中数值若出现总数与各分项数值之和尾数不符，均为四舍五入原因所致。</w:t>
      </w:r>
    </w:p>
    <w:p w14:paraId="62882164" w14:textId="77777777" w:rsidR="00C01D00" w:rsidRDefault="00227064">
      <w:pPr>
        <w:pStyle w:val="a4"/>
        <w:spacing w:beforeLines="50" w:before="120" w:afterLines="50" w:after="120" w:line="360" w:lineRule="auto"/>
        <w:ind w:firstLineChars="200" w:firstLine="476"/>
        <w:rPr>
          <w:b/>
          <w:bCs/>
          <w:spacing w:val="-3"/>
          <w:lang w:eastAsia="zh-CN"/>
        </w:rPr>
      </w:pPr>
      <w:r>
        <w:rPr>
          <w:rFonts w:hint="eastAsia"/>
          <w:b/>
          <w:bCs/>
          <w:spacing w:val="-3"/>
          <w:lang w:eastAsia="zh-CN"/>
        </w:rPr>
        <w:lastRenderedPageBreak/>
        <w:t>六、</w:t>
      </w:r>
      <w:r>
        <w:rPr>
          <w:b/>
          <w:bCs/>
          <w:spacing w:val="-3"/>
          <w:lang w:eastAsia="zh-CN"/>
        </w:rPr>
        <w:t>本次解除限售前后上市公司的股本结构</w:t>
      </w:r>
    </w:p>
    <w:p w14:paraId="37DE1676" w14:textId="77777777" w:rsidR="00C01D00" w:rsidRDefault="00227064">
      <w:pPr>
        <w:pStyle w:val="a4"/>
        <w:spacing w:beforeLines="50" w:before="120" w:afterLines="50" w:after="120" w:line="360" w:lineRule="auto"/>
        <w:ind w:leftChars="200" w:left="420"/>
        <w:jc w:val="both"/>
        <w:rPr>
          <w:spacing w:val="-1"/>
          <w:lang w:eastAsia="zh-CN"/>
        </w:rPr>
      </w:pPr>
      <w:r>
        <w:rPr>
          <w:spacing w:val="-1"/>
          <w:lang w:eastAsia="zh-CN"/>
        </w:rPr>
        <w:t>本次限售股份上市流通前后，公司股本结构的变化情况如下：</w:t>
      </w:r>
    </w:p>
    <w:tbl>
      <w:tblPr>
        <w:tblW w:w="9095" w:type="dxa"/>
        <w:jc w:val="center"/>
        <w:tblLook w:val="04A0" w:firstRow="1" w:lastRow="0" w:firstColumn="1" w:lastColumn="0" w:noHBand="0" w:noVBand="1"/>
      </w:tblPr>
      <w:tblGrid>
        <w:gridCol w:w="2122"/>
        <w:gridCol w:w="1701"/>
        <w:gridCol w:w="951"/>
        <w:gridCol w:w="1600"/>
        <w:gridCol w:w="1701"/>
        <w:gridCol w:w="1020"/>
      </w:tblGrid>
      <w:tr w:rsidR="00C01D00" w14:paraId="56736C6A" w14:textId="77777777">
        <w:trPr>
          <w:trHeight w:val="280"/>
          <w:jc w:val="center"/>
        </w:trPr>
        <w:tc>
          <w:tcPr>
            <w:tcW w:w="2122" w:type="dxa"/>
            <w:vMerge w:val="restart"/>
            <w:tcBorders>
              <w:top w:val="single" w:sz="12" w:space="0" w:color="auto"/>
              <w:left w:val="single" w:sz="12" w:space="0" w:color="auto"/>
              <w:bottom w:val="single" w:sz="4" w:space="0" w:color="000000"/>
              <w:right w:val="single" w:sz="4" w:space="0" w:color="auto"/>
            </w:tcBorders>
            <w:noWrap/>
            <w:vAlign w:val="center"/>
          </w:tcPr>
          <w:p w14:paraId="46133E87" w14:textId="77777777" w:rsidR="00C01D00" w:rsidRDefault="00227064">
            <w:pPr>
              <w:kinsoku/>
              <w:autoSpaceDE/>
              <w:autoSpaceDN/>
              <w:adjustRightInd/>
              <w:snapToGrid/>
              <w:jc w:val="center"/>
              <w:textAlignment w:val="auto"/>
              <w:rPr>
                <w:rFonts w:ascii="宋体" w:eastAsia="宋体" w:hAnsi="宋体" w:cs="宋体"/>
                <w:b/>
                <w:snapToGrid/>
                <w:szCs w:val="20"/>
                <w:lang w:eastAsia="zh-CN"/>
              </w:rPr>
            </w:pPr>
            <w:r>
              <w:rPr>
                <w:rFonts w:ascii="宋体" w:eastAsia="宋体" w:hAnsi="宋体" w:cs="宋体" w:hint="eastAsia"/>
                <w:b/>
                <w:snapToGrid/>
                <w:szCs w:val="20"/>
                <w:lang w:eastAsia="zh-CN"/>
              </w:rPr>
              <w:t>股份类型</w:t>
            </w:r>
          </w:p>
        </w:tc>
        <w:tc>
          <w:tcPr>
            <w:tcW w:w="2652" w:type="dxa"/>
            <w:gridSpan w:val="2"/>
            <w:tcBorders>
              <w:top w:val="single" w:sz="12" w:space="0" w:color="auto"/>
              <w:left w:val="nil"/>
              <w:bottom w:val="single" w:sz="4" w:space="0" w:color="auto"/>
              <w:right w:val="single" w:sz="4" w:space="0" w:color="000000"/>
            </w:tcBorders>
            <w:noWrap/>
            <w:vAlign w:val="center"/>
          </w:tcPr>
          <w:p w14:paraId="326F147A" w14:textId="77777777" w:rsidR="00C01D00" w:rsidRDefault="00227064">
            <w:pPr>
              <w:kinsoku/>
              <w:autoSpaceDE/>
              <w:autoSpaceDN/>
              <w:adjustRightInd/>
              <w:snapToGrid/>
              <w:jc w:val="center"/>
              <w:textAlignment w:val="auto"/>
              <w:rPr>
                <w:rFonts w:ascii="宋体" w:eastAsia="宋体" w:hAnsi="宋体" w:cs="宋体"/>
                <w:b/>
                <w:snapToGrid/>
                <w:szCs w:val="20"/>
                <w:lang w:eastAsia="zh-CN"/>
              </w:rPr>
            </w:pPr>
            <w:r>
              <w:rPr>
                <w:rFonts w:ascii="宋体" w:eastAsia="宋体" w:hAnsi="宋体" w:cs="宋体" w:hint="eastAsia"/>
                <w:b/>
                <w:snapToGrid/>
                <w:szCs w:val="20"/>
                <w:lang w:eastAsia="zh-CN"/>
              </w:rPr>
              <w:t>本次变动前</w:t>
            </w:r>
          </w:p>
        </w:tc>
        <w:tc>
          <w:tcPr>
            <w:tcW w:w="1600" w:type="dxa"/>
            <w:vMerge w:val="restart"/>
            <w:tcBorders>
              <w:top w:val="single" w:sz="12" w:space="0" w:color="auto"/>
              <w:left w:val="single" w:sz="4" w:space="0" w:color="auto"/>
              <w:bottom w:val="single" w:sz="4" w:space="0" w:color="000000"/>
              <w:right w:val="single" w:sz="4" w:space="0" w:color="auto"/>
            </w:tcBorders>
            <w:vAlign w:val="center"/>
          </w:tcPr>
          <w:p w14:paraId="7A75D866" w14:textId="77777777" w:rsidR="00C01D00" w:rsidRDefault="00227064">
            <w:pPr>
              <w:kinsoku/>
              <w:autoSpaceDE/>
              <w:autoSpaceDN/>
              <w:adjustRightInd/>
              <w:snapToGrid/>
              <w:jc w:val="center"/>
              <w:textAlignment w:val="auto"/>
              <w:rPr>
                <w:rFonts w:ascii="宋体" w:eastAsia="宋体" w:hAnsi="宋体" w:cs="宋体"/>
                <w:b/>
                <w:snapToGrid/>
                <w:szCs w:val="20"/>
                <w:lang w:eastAsia="zh-CN"/>
              </w:rPr>
            </w:pPr>
            <w:r>
              <w:rPr>
                <w:rFonts w:ascii="宋体" w:eastAsia="宋体" w:hAnsi="宋体" w:cs="宋体" w:hint="eastAsia"/>
                <w:b/>
                <w:snapToGrid/>
                <w:szCs w:val="20"/>
                <w:lang w:eastAsia="zh-CN"/>
              </w:rPr>
              <w:t>本次变动（股）</w:t>
            </w:r>
          </w:p>
        </w:tc>
        <w:tc>
          <w:tcPr>
            <w:tcW w:w="2721" w:type="dxa"/>
            <w:gridSpan w:val="2"/>
            <w:tcBorders>
              <w:top w:val="single" w:sz="12" w:space="0" w:color="auto"/>
              <w:left w:val="nil"/>
              <w:bottom w:val="single" w:sz="4" w:space="0" w:color="auto"/>
              <w:right w:val="single" w:sz="12" w:space="0" w:color="auto"/>
            </w:tcBorders>
            <w:noWrap/>
            <w:vAlign w:val="center"/>
          </w:tcPr>
          <w:p w14:paraId="41E2A738" w14:textId="77777777" w:rsidR="00C01D00" w:rsidRDefault="00227064">
            <w:pPr>
              <w:kinsoku/>
              <w:autoSpaceDE/>
              <w:autoSpaceDN/>
              <w:adjustRightInd/>
              <w:snapToGrid/>
              <w:jc w:val="center"/>
              <w:textAlignment w:val="auto"/>
              <w:rPr>
                <w:rFonts w:ascii="宋体" w:eastAsia="宋体" w:hAnsi="宋体" w:cs="宋体"/>
                <w:b/>
                <w:snapToGrid/>
                <w:szCs w:val="20"/>
                <w:lang w:eastAsia="zh-CN"/>
              </w:rPr>
            </w:pPr>
            <w:r>
              <w:rPr>
                <w:rFonts w:ascii="宋体" w:eastAsia="宋体" w:hAnsi="宋体" w:cs="宋体" w:hint="eastAsia"/>
                <w:b/>
                <w:snapToGrid/>
                <w:szCs w:val="20"/>
                <w:lang w:eastAsia="zh-CN"/>
              </w:rPr>
              <w:t>本次变动后</w:t>
            </w:r>
          </w:p>
        </w:tc>
      </w:tr>
      <w:tr w:rsidR="00C01D00" w14:paraId="6B1D73E3" w14:textId="77777777">
        <w:trPr>
          <w:trHeight w:val="280"/>
          <w:jc w:val="center"/>
        </w:trPr>
        <w:tc>
          <w:tcPr>
            <w:tcW w:w="2122" w:type="dxa"/>
            <w:vMerge/>
            <w:tcBorders>
              <w:top w:val="single" w:sz="4" w:space="0" w:color="auto"/>
              <w:left w:val="single" w:sz="12" w:space="0" w:color="auto"/>
              <w:bottom w:val="single" w:sz="4" w:space="0" w:color="000000"/>
              <w:right w:val="single" w:sz="4" w:space="0" w:color="auto"/>
            </w:tcBorders>
            <w:vAlign w:val="center"/>
          </w:tcPr>
          <w:p w14:paraId="6B7A8A01" w14:textId="77777777" w:rsidR="00C01D00" w:rsidRDefault="00C01D00">
            <w:pPr>
              <w:kinsoku/>
              <w:autoSpaceDE/>
              <w:autoSpaceDN/>
              <w:adjustRightInd/>
              <w:snapToGrid/>
              <w:textAlignment w:val="auto"/>
              <w:rPr>
                <w:rFonts w:ascii="宋体" w:eastAsia="宋体" w:hAnsi="宋体" w:cs="宋体"/>
                <w:b/>
                <w:snapToGrid/>
                <w:szCs w:val="20"/>
                <w:lang w:eastAsia="zh-CN"/>
              </w:rPr>
            </w:pPr>
          </w:p>
        </w:tc>
        <w:tc>
          <w:tcPr>
            <w:tcW w:w="1701" w:type="dxa"/>
            <w:tcBorders>
              <w:top w:val="nil"/>
              <w:left w:val="nil"/>
              <w:bottom w:val="single" w:sz="4" w:space="0" w:color="auto"/>
              <w:right w:val="single" w:sz="4" w:space="0" w:color="auto"/>
            </w:tcBorders>
            <w:noWrap/>
            <w:vAlign w:val="center"/>
          </w:tcPr>
          <w:p w14:paraId="07F84D19" w14:textId="77777777" w:rsidR="00C01D00" w:rsidRDefault="00227064">
            <w:pPr>
              <w:kinsoku/>
              <w:autoSpaceDE/>
              <w:autoSpaceDN/>
              <w:adjustRightInd/>
              <w:snapToGrid/>
              <w:jc w:val="center"/>
              <w:textAlignment w:val="auto"/>
              <w:rPr>
                <w:rFonts w:ascii="宋体" w:eastAsia="宋体" w:hAnsi="宋体" w:cs="宋体"/>
                <w:b/>
                <w:snapToGrid/>
                <w:szCs w:val="20"/>
                <w:lang w:eastAsia="zh-CN"/>
              </w:rPr>
            </w:pPr>
            <w:r>
              <w:rPr>
                <w:rFonts w:ascii="宋体" w:eastAsia="宋体" w:hAnsi="宋体" w:cs="宋体" w:hint="eastAsia"/>
                <w:b/>
                <w:snapToGrid/>
                <w:szCs w:val="20"/>
                <w:lang w:eastAsia="zh-CN"/>
              </w:rPr>
              <w:t>数量（股）</w:t>
            </w:r>
          </w:p>
        </w:tc>
        <w:tc>
          <w:tcPr>
            <w:tcW w:w="951" w:type="dxa"/>
            <w:tcBorders>
              <w:top w:val="nil"/>
              <w:left w:val="nil"/>
              <w:bottom w:val="single" w:sz="4" w:space="0" w:color="auto"/>
              <w:right w:val="single" w:sz="4" w:space="0" w:color="auto"/>
            </w:tcBorders>
            <w:noWrap/>
            <w:vAlign w:val="center"/>
          </w:tcPr>
          <w:p w14:paraId="074F4C47" w14:textId="77777777" w:rsidR="00C01D00" w:rsidRDefault="00227064">
            <w:pPr>
              <w:kinsoku/>
              <w:autoSpaceDE/>
              <w:autoSpaceDN/>
              <w:adjustRightInd/>
              <w:snapToGrid/>
              <w:jc w:val="center"/>
              <w:textAlignment w:val="auto"/>
              <w:rPr>
                <w:rFonts w:ascii="宋体" w:eastAsia="宋体" w:hAnsi="宋体" w:cs="宋体"/>
                <w:b/>
                <w:snapToGrid/>
                <w:szCs w:val="20"/>
                <w:lang w:eastAsia="zh-CN"/>
              </w:rPr>
            </w:pPr>
            <w:r>
              <w:rPr>
                <w:rFonts w:ascii="宋体" w:eastAsia="宋体" w:hAnsi="宋体" w:cs="宋体" w:hint="eastAsia"/>
                <w:b/>
                <w:snapToGrid/>
                <w:szCs w:val="20"/>
                <w:lang w:eastAsia="zh-CN"/>
              </w:rPr>
              <w:t>占总股本比例</w:t>
            </w:r>
          </w:p>
        </w:tc>
        <w:tc>
          <w:tcPr>
            <w:tcW w:w="1600" w:type="dxa"/>
            <w:vMerge/>
            <w:tcBorders>
              <w:top w:val="single" w:sz="4" w:space="0" w:color="auto"/>
              <w:left w:val="single" w:sz="4" w:space="0" w:color="auto"/>
              <w:bottom w:val="single" w:sz="4" w:space="0" w:color="000000"/>
              <w:right w:val="single" w:sz="4" w:space="0" w:color="auto"/>
            </w:tcBorders>
            <w:vAlign w:val="center"/>
          </w:tcPr>
          <w:p w14:paraId="712C64CE" w14:textId="77777777" w:rsidR="00C01D00" w:rsidRDefault="00C01D00">
            <w:pPr>
              <w:kinsoku/>
              <w:autoSpaceDE/>
              <w:autoSpaceDN/>
              <w:adjustRightInd/>
              <w:snapToGrid/>
              <w:textAlignment w:val="auto"/>
              <w:rPr>
                <w:rFonts w:ascii="宋体" w:eastAsia="宋体" w:hAnsi="宋体" w:cs="宋体"/>
                <w:b/>
                <w:snapToGrid/>
                <w:szCs w:val="20"/>
                <w:lang w:eastAsia="zh-CN"/>
              </w:rPr>
            </w:pPr>
          </w:p>
        </w:tc>
        <w:tc>
          <w:tcPr>
            <w:tcW w:w="1701" w:type="dxa"/>
            <w:tcBorders>
              <w:top w:val="nil"/>
              <w:left w:val="nil"/>
              <w:bottom w:val="single" w:sz="4" w:space="0" w:color="auto"/>
              <w:right w:val="single" w:sz="4" w:space="0" w:color="auto"/>
            </w:tcBorders>
            <w:noWrap/>
            <w:vAlign w:val="center"/>
          </w:tcPr>
          <w:p w14:paraId="502A5AC5" w14:textId="77777777" w:rsidR="00C01D00" w:rsidRDefault="00227064">
            <w:pPr>
              <w:kinsoku/>
              <w:autoSpaceDE/>
              <w:autoSpaceDN/>
              <w:adjustRightInd/>
              <w:snapToGrid/>
              <w:jc w:val="center"/>
              <w:textAlignment w:val="auto"/>
              <w:rPr>
                <w:rFonts w:ascii="宋体" w:eastAsia="宋体" w:hAnsi="宋体" w:cs="宋体"/>
                <w:b/>
                <w:snapToGrid/>
                <w:szCs w:val="20"/>
                <w:lang w:eastAsia="zh-CN"/>
              </w:rPr>
            </w:pPr>
            <w:r>
              <w:rPr>
                <w:rFonts w:ascii="宋体" w:eastAsia="宋体" w:hAnsi="宋体" w:cs="宋体" w:hint="eastAsia"/>
                <w:b/>
                <w:snapToGrid/>
                <w:szCs w:val="20"/>
                <w:lang w:eastAsia="zh-CN"/>
              </w:rPr>
              <w:t>数量（股）</w:t>
            </w:r>
          </w:p>
        </w:tc>
        <w:tc>
          <w:tcPr>
            <w:tcW w:w="1009" w:type="dxa"/>
            <w:tcBorders>
              <w:top w:val="nil"/>
              <w:left w:val="nil"/>
              <w:bottom w:val="single" w:sz="4" w:space="0" w:color="auto"/>
              <w:right w:val="single" w:sz="12" w:space="0" w:color="auto"/>
            </w:tcBorders>
            <w:noWrap/>
            <w:vAlign w:val="center"/>
          </w:tcPr>
          <w:p w14:paraId="45D4B232" w14:textId="77777777" w:rsidR="00C01D00" w:rsidRDefault="00227064">
            <w:pPr>
              <w:kinsoku/>
              <w:autoSpaceDE/>
              <w:autoSpaceDN/>
              <w:adjustRightInd/>
              <w:snapToGrid/>
              <w:jc w:val="center"/>
              <w:textAlignment w:val="auto"/>
              <w:rPr>
                <w:rFonts w:ascii="宋体" w:eastAsia="宋体" w:hAnsi="宋体" w:cs="宋体"/>
                <w:b/>
                <w:snapToGrid/>
                <w:szCs w:val="20"/>
                <w:lang w:eastAsia="zh-CN"/>
              </w:rPr>
            </w:pPr>
            <w:r>
              <w:rPr>
                <w:rFonts w:ascii="宋体" w:eastAsia="宋体" w:hAnsi="宋体" w:cs="宋体" w:hint="eastAsia"/>
                <w:b/>
                <w:snapToGrid/>
                <w:szCs w:val="20"/>
                <w:lang w:eastAsia="zh-CN"/>
              </w:rPr>
              <w:t>占总股本比例</w:t>
            </w:r>
          </w:p>
        </w:tc>
      </w:tr>
      <w:tr w:rsidR="00C01D00" w14:paraId="360911B4" w14:textId="77777777">
        <w:trPr>
          <w:trHeight w:val="280"/>
          <w:jc w:val="center"/>
        </w:trPr>
        <w:tc>
          <w:tcPr>
            <w:tcW w:w="2122" w:type="dxa"/>
            <w:tcBorders>
              <w:top w:val="nil"/>
              <w:left w:val="single" w:sz="12" w:space="0" w:color="auto"/>
              <w:bottom w:val="single" w:sz="4" w:space="0" w:color="auto"/>
              <w:right w:val="single" w:sz="4" w:space="0" w:color="auto"/>
            </w:tcBorders>
            <w:noWrap/>
            <w:vAlign w:val="center"/>
          </w:tcPr>
          <w:p w14:paraId="03C8C49B" w14:textId="77777777" w:rsidR="00C01D00" w:rsidRDefault="00227064">
            <w:pPr>
              <w:kinsoku/>
              <w:autoSpaceDE/>
              <w:autoSpaceDN/>
              <w:adjustRightInd/>
              <w:snapToGrid/>
              <w:spacing w:line="360" w:lineRule="auto"/>
              <w:jc w:val="both"/>
              <w:textAlignment w:val="auto"/>
              <w:rPr>
                <w:rFonts w:ascii="宋体" w:eastAsia="宋体" w:hAnsi="宋体" w:cs="宋体"/>
                <w:snapToGrid/>
                <w:szCs w:val="20"/>
                <w:lang w:eastAsia="zh-CN"/>
              </w:rPr>
            </w:pPr>
            <w:r>
              <w:rPr>
                <w:rFonts w:ascii="宋体" w:eastAsia="宋体" w:hAnsi="宋体" w:cs="宋体" w:hint="eastAsia"/>
                <w:snapToGrid/>
                <w:szCs w:val="20"/>
                <w:lang w:eastAsia="zh-CN"/>
              </w:rPr>
              <w:t>一、限售流通股</w:t>
            </w:r>
          </w:p>
        </w:tc>
        <w:tc>
          <w:tcPr>
            <w:tcW w:w="1701" w:type="dxa"/>
            <w:tcBorders>
              <w:top w:val="nil"/>
              <w:left w:val="nil"/>
              <w:bottom w:val="single" w:sz="4" w:space="0" w:color="auto"/>
              <w:right w:val="single" w:sz="4" w:space="0" w:color="auto"/>
            </w:tcBorders>
            <w:noWrap/>
            <w:vAlign w:val="center"/>
          </w:tcPr>
          <w:p w14:paraId="23FFB76B" w14:textId="77777777" w:rsidR="00C01D00" w:rsidRDefault="00227064">
            <w:pPr>
              <w:kinsoku/>
              <w:autoSpaceDE/>
              <w:autoSpaceDN/>
              <w:adjustRightInd/>
              <w:snapToGrid/>
              <w:spacing w:line="360" w:lineRule="auto"/>
              <w:jc w:val="right"/>
              <w:textAlignment w:val="auto"/>
              <w:rPr>
                <w:rFonts w:ascii="宋体" w:eastAsia="宋体" w:hAnsi="宋体" w:cs="宋体"/>
                <w:snapToGrid/>
                <w:szCs w:val="20"/>
                <w:lang w:eastAsia="zh-CN"/>
              </w:rPr>
            </w:pPr>
            <w:r>
              <w:rPr>
                <w:rFonts w:ascii="宋体" w:eastAsia="宋体" w:hAnsi="宋体" w:cs="宋体"/>
                <w:snapToGrid/>
                <w:szCs w:val="20"/>
                <w:lang w:eastAsia="zh-CN"/>
              </w:rPr>
              <w:t>680,948,545</w:t>
            </w:r>
          </w:p>
        </w:tc>
        <w:tc>
          <w:tcPr>
            <w:tcW w:w="951" w:type="dxa"/>
            <w:tcBorders>
              <w:top w:val="nil"/>
              <w:left w:val="nil"/>
              <w:bottom w:val="single" w:sz="4" w:space="0" w:color="auto"/>
              <w:right w:val="single" w:sz="4" w:space="0" w:color="auto"/>
            </w:tcBorders>
            <w:noWrap/>
            <w:vAlign w:val="center"/>
          </w:tcPr>
          <w:p w14:paraId="22BEDF2E" w14:textId="77777777" w:rsidR="00C01D00" w:rsidRDefault="00227064">
            <w:pPr>
              <w:kinsoku/>
              <w:autoSpaceDE/>
              <w:autoSpaceDN/>
              <w:adjustRightInd/>
              <w:snapToGrid/>
              <w:spacing w:line="360" w:lineRule="auto"/>
              <w:jc w:val="right"/>
              <w:textAlignment w:val="auto"/>
              <w:rPr>
                <w:rFonts w:ascii="宋体" w:eastAsia="宋体" w:hAnsi="宋体" w:cs="宋体"/>
                <w:snapToGrid/>
                <w:szCs w:val="20"/>
                <w:lang w:eastAsia="zh-CN"/>
              </w:rPr>
            </w:pPr>
            <w:r>
              <w:rPr>
                <w:rFonts w:ascii="宋体" w:eastAsia="宋体" w:hAnsi="宋体" w:cs="宋体" w:hint="eastAsia"/>
                <w:snapToGrid/>
                <w:szCs w:val="20"/>
                <w:lang w:eastAsia="zh-CN"/>
              </w:rPr>
              <w:t>22.64%</w:t>
            </w:r>
          </w:p>
        </w:tc>
        <w:tc>
          <w:tcPr>
            <w:tcW w:w="1600" w:type="dxa"/>
            <w:tcBorders>
              <w:top w:val="nil"/>
              <w:left w:val="nil"/>
              <w:bottom w:val="single" w:sz="4" w:space="0" w:color="auto"/>
              <w:right w:val="single" w:sz="4" w:space="0" w:color="auto"/>
            </w:tcBorders>
            <w:noWrap/>
            <w:vAlign w:val="center"/>
          </w:tcPr>
          <w:p w14:paraId="4589DD5F" w14:textId="77777777" w:rsidR="00C01D00" w:rsidRDefault="00227064">
            <w:pPr>
              <w:widowControl w:val="0"/>
              <w:kinsoku/>
              <w:autoSpaceDE/>
              <w:autoSpaceDN/>
              <w:adjustRightInd/>
              <w:snapToGrid/>
              <w:spacing w:line="360" w:lineRule="auto"/>
              <w:jc w:val="right"/>
              <w:textAlignment w:val="auto"/>
              <w:rPr>
                <w:rFonts w:ascii="宋体" w:eastAsia="宋体" w:hAnsi="宋体" w:cs="宋体"/>
                <w:snapToGrid/>
                <w:szCs w:val="20"/>
                <w:lang w:eastAsia="zh-CN"/>
              </w:rPr>
            </w:pPr>
            <w:r>
              <w:rPr>
                <w:rFonts w:ascii="宋体" w:eastAsia="宋体" w:hAnsi="宋体" w:cs="宋体" w:hint="eastAsia"/>
                <w:snapToGrid/>
                <w:szCs w:val="20"/>
                <w:lang w:eastAsia="zh-CN"/>
              </w:rPr>
              <w:t>-</w:t>
            </w:r>
            <w:r>
              <w:rPr>
                <w:rFonts w:ascii="宋体" w:eastAsia="宋体" w:hAnsi="宋体" w:cs="Times New Roman"/>
                <w:snapToGrid/>
                <w:color w:val="auto"/>
                <w:kern w:val="2"/>
                <w:lang w:eastAsia="zh-CN"/>
              </w:rPr>
              <w:t>79,415,468</w:t>
            </w:r>
          </w:p>
        </w:tc>
        <w:tc>
          <w:tcPr>
            <w:tcW w:w="1701" w:type="dxa"/>
            <w:tcBorders>
              <w:top w:val="single" w:sz="4" w:space="0" w:color="auto"/>
              <w:left w:val="nil"/>
              <w:bottom w:val="single" w:sz="4" w:space="0" w:color="auto"/>
              <w:right w:val="single" w:sz="4" w:space="0" w:color="auto"/>
            </w:tcBorders>
            <w:noWrap/>
            <w:vAlign w:val="center"/>
          </w:tcPr>
          <w:p w14:paraId="5D87A9D0" w14:textId="77777777" w:rsidR="00C01D00" w:rsidRDefault="00227064">
            <w:pPr>
              <w:kinsoku/>
              <w:autoSpaceDE/>
              <w:autoSpaceDN/>
              <w:adjustRightInd/>
              <w:snapToGrid/>
              <w:spacing w:line="360" w:lineRule="auto"/>
              <w:jc w:val="right"/>
              <w:textAlignment w:val="auto"/>
              <w:rPr>
                <w:rFonts w:ascii="宋体" w:eastAsia="宋体" w:hAnsi="宋体" w:cs="宋体"/>
                <w:snapToGrid/>
                <w:szCs w:val="20"/>
                <w:lang w:eastAsia="zh-CN"/>
              </w:rPr>
            </w:pPr>
            <w:r>
              <w:rPr>
                <w:rFonts w:ascii="宋体" w:eastAsia="宋体" w:hAnsi="宋体" w:cs="Times New Roman"/>
                <w:snapToGrid/>
                <w:kern w:val="2"/>
                <w:lang w:eastAsia="zh-CN"/>
              </w:rPr>
              <w:t>601</w:t>
            </w:r>
            <w:r>
              <w:rPr>
                <w:rFonts w:ascii="宋体" w:eastAsia="宋体" w:hAnsi="宋体" w:cs="Times New Roman" w:hint="eastAsia"/>
                <w:snapToGrid/>
                <w:kern w:val="2"/>
                <w:lang w:eastAsia="zh-CN"/>
              </w:rPr>
              <w:t>,</w:t>
            </w:r>
            <w:r>
              <w:rPr>
                <w:rFonts w:ascii="宋体" w:eastAsia="宋体" w:hAnsi="宋体" w:cs="Times New Roman"/>
                <w:snapToGrid/>
                <w:kern w:val="2"/>
                <w:lang w:eastAsia="zh-CN"/>
              </w:rPr>
              <w:t>533</w:t>
            </w:r>
            <w:r>
              <w:rPr>
                <w:rFonts w:ascii="宋体" w:eastAsia="宋体" w:hAnsi="宋体" w:cs="Times New Roman" w:hint="eastAsia"/>
                <w:snapToGrid/>
                <w:kern w:val="2"/>
                <w:lang w:eastAsia="zh-CN"/>
              </w:rPr>
              <w:t>,</w:t>
            </w:r>
            <w:r>
              <w:rPr>
                <w:rFonts w:ascii="宋体" w:eastAsia="宋体" w:hAnsi="宋体" w:cs="Times New Roman"/>
                <w:snapToGrid/>
                <w:kern w:val="2"/>
                <w:lang w:eastAsia="zh-CN"/>
              </w:rPr>
              <w:t>077</w:t>
            </w:r>
          </w:p>
        </w:tc>
        <w:tc>
          <w:tcPr>
            <w:tcW w:w="1009" w:type="dxa"/>
            <w:tcBorders>
              <w:top w:val="single" w:sz="4" w:space="0" w:color="auto"/>
              <w:left w:val="single" w:sz="4" w:space="0" w:color="auto"/>
              <w:bottom w:val="single" w:sz="4" w:space="0" w:color="auto"/>
              <w:right w:val="single" w:sz="12" w:space="0" w:color="auto"/>
            </w:tcBorders>
            <w:noWrap/>
            <w:vAlign w:val="center"/>
          </w:tcPr>
          <w:p w14:paraId="70F7CF31" w14:textId="77777777" w:rsidR="00C01D00" w:rsidRDefault="00227064">
            <w:pPr>
              <w:kinsoku/>
              <w:autoSpaceDE/>
              <w:autoSpaceDN/>
              <w:adjustRightInd/>
              <w:snapToGrid/>
              <w:spacing w:line="360" w:lineRule="auto"/>
              <w:jc w:val="right"/>
              <w:textAlignment w:val="auto"/>
              <w:rPr>
                <w:rFonts w:ascii="宋体" w:eastAsia="宋体" w:hAnsi="宋体" w:cs="Times New Roman"/>
                <w:snapToGrid/>
                <w:kern w:val="2"/>
                <w:lang w:eastAsia="zh-CN"/>
              </w:rPr>
            </w:pPr>
            <w:r>
              <w:rPr>
                <w:rFonts w:ascii="宋体" w:eastAsia="宋体" w:hAnsi="宋体" w:cs="Times New Roman" w:hint="eastAsia"/>
                <w:snapToGrid/>
                <w:kern w:val="2"/>
                <w:lang w:eastAsia="zh-CN"/>
              </w:rPr>
              <w:t>20.00%</w:t>
            </w:r>
          </w:p>
        </w:tc>
      </w:tr>
      <w:tr w:rsidR="00C01D00" w14:paraId="08B116A1" w14:textId="77777777">
        <w:trPr>
          <w:trHeight w:val="280"/>
          <w:jc w:val="center"/>
        </w:trPr>
        <w:tc>
          <w:tcPr>
            <w:tcW w:w="2122" w:type="dxa"/>
            <w:tcBorders>
              <w:top w:val="nil"/>
              <w:left w:val="single" w:sz="12" w:space="0" w:color="auto"/>
              <w:bottom w:val="single" w:sz="4" w:space="0" w:color="auto"/>
              <w:right w:val="single" w:sz="4" w:space="0" w:color="auto"/>
            </w:tcBorders>
            <w:noWrap/>
            <w:vAlign w:val="center"/>
          </w:tcPr>
          <w:p w14:paraId="6E17142D" w14:textId="77777777" w:rsidR="00C01D00" w:rsidRDefault="00227064">
            <w:pPr>
              <w:kinsoku/>
              <w:autoSpaceDE/>
              <w:autoSpaceDN/>
              <w:adjustRightInd/>
              <w:snapToGrid/>
              <w:spacing w:line="360" w:lineRule="auto"/>
              <w:jc w:val="both"/>
              <w:textAlignment w:val="auto"/>
              <w:rPr>
                <w:rFonts w:ascii="宋体" w:eastAsia="宋体" w:hAnsi="宋体" w:cs="宋体"/>
                <w:snapToGrid/>
                <w:szCs w:val="20"/>
                <w:lang w:eastAsia="zh-CN"/>
              </w:rPr>
            </w:pPr>
            <w:r>
              <w:rPr>
                <w:rFonts w:ascii="宋体" w:eastAsia="宋体" w:hAnsi="宋体" w:cs="宋体" w:hint="eastAsia"/>
                <w:snapToGrid/>
                <w:szCs w:val="20"/>
                <w:lang w:eastAsia="zh-CN"/>
              </w:rPr>
              <w:t>二、无限</w:t>
            </w:r>
            <w:proofErr w:type="gramStart"/>
            <w:r>
              <w:rPr>
                <w:rFonts w:ascii="宋体" w:eastAsia="宋体" w:hAnsi="宋体" w:cs="宋体" w:hint="eastAsia"/>
                <w:snapToGrid/>
                <w:szCs w:val="20"/>
                <w:lang w:eastAsia="zh-CN"/>
              </w:rPr>
              <w:t>售流通</w:t>
            </w:r>
            <w:proofErr w:type="gramEnd"/>
            <w:r>
              <w:rPr>
                <w:rFonts w:ascii="宋体" w:eastAsia="宋体" w:hAnsi="宋体" w:cs="宋体" w:hint="eastAsia"/>
                <w:snapToGrid/>
                <w:szCs w:val="20"/>
                <w:lang w:eastAsia="zh-CN"/>
              </w:rPr>
              <w:t>股</w:t>
            </w:r>
          </w:p>
        </w:tc>
        <w:tc>
          <w:tcPr>
            <w:tcW w:w="1701" w:type="dxa"/>
            <w:tcBorders>
              <w:top w:val="nil"/>
              <w:left w:val="nil"/>
              <w:bottom w:val="single" w:sz="4" w:space="0" w:color="auto"/>
              <w:right w:val="single" w:sz="4" w:space="0" w:color="auto"/>
            </w:tcBorders>
            <w:noWrap/>
            <w:vAlign w:val="center"/>
          </w:tcPr>
          <w:p w14:paraId="572392AE" w14:textId="77777777" w:rsidR="00C01D00" w:rsidRDefault="00227064">
            <w:pPr>
              <w:kinsoku/>
              <w:autoSpaceDE/>
              <w:autoSpaceDN/>
              <w:adjustRightInd/>
              <w:snapToGrid/>
              <w:spacing w:line="360" w:lineRule="auto"/>
              <w:jc w:val="right"/>
              <w:textAlignment w:val="auto"/>
              <w:rPr>
                <w:rFonts w:ascii="宋体" w:eastAsia="宋体" w:hAnsi="宋体" w:cs="宋体"/>
                <w:snapToGrid/>
                <w:szCs w:val="20"/>
                <w:lang w:eastAsia="zh-CN"/>
              </w:rPr>
            </w:pPr>
            <w:r>
              <w:rPr>
                <w:rFonts w:ascii="宋体" w:eastAsia="宋体" w:hAnsi="宋体" w:cs="宋体"/>
                <w:snapToGrid/>
                <w:szCs w:val="20"/>
                <w:lang w:eastAsia="zh-CN"/>
              </w:rPr>
              <w:t>2,326,716,840</w:t>
            </w:r>
          </w:p>
        </w:tc>
        <w:tc>
          <w:tcPr>
            <w:tcW w:w="951" w:type="dxa"/>
            <w:tcBorders>
              <w:top w:val="nil"/>
              <w:left w:val="nil"/>
              <w:bottom w:val="single" w:sz="4" w:space="0" w:color="auto"/>
              <w:right w:val="single" w:sz="4" w:space="0" w:color="auto"/>
            </w:tcBorders>
            <w:noWrap/>
            <w:vAlign w:val="center"/>
          </w:tcPr>
          <w:p w14:paraId="5C768AB3" w14:textId="77777777" w:rsidR="00C01D00" w:rsidRDefault="00227064">
            <w:pPr>
              <w:kinsoku/>
              <w:autoSpaceDE/>
              <w:autoSpaceDN/>
              <w:adjustRightInd/>
              <w:snapToGrid/>
              <w:spacing w:line="360" w:lineRule="auto"/>
              <w:jc w:val="right"/>
              <w:textAlignment w:val="auto"/>
              <w:rPr>
                <w:rFonts w:ascii="宋体" w:eastAsia="宋体" w:hAnsi="宋体" w:cs="宋体"/>
                <w:snapToGrid/>
                <w:szCs w:val="20"/>
                <w:lang w:eastAsia="zh-CN"/>
              </w:rPr>
            </w:pPr>
            <w:r>
              <w:rPr>
                <w:rFonts w:ascii="宋体" w:eastAsia="宋体" w:hAnsi="宋体" w:cs="宋体" w:hint="eastAsia"/>
                <w:snapToGrid/>
                <w:szCs w:val="20"/>
                <w:lang w:eastAsia="zh-CN"/>
              </w:rPr>
              <w:t>77.36%</w:t>
            </w:r>
          </w:p>
        </w:tc>
        <w:tc>
          <w:tcPr>
            <w:tcW w:w="1600" w:type="dxa"/>
            <w:tcBorders>
              <w:top w:val="nil"/>
              <w:left w:val="nil"/>
              <w:bottom w:val="single" w:sz="4" w:space="0" w:color="auto"/>
              <w:right w:val="single" w:sz="4" w:space="0" w:color="auto"/>
            </w:tcBorders>
            <w:noWrap/>
            <w:vAlign w:val="center"/>
          </w:tcPr>
          <w:p w14:paraId="668B8B9A" w14:textId="77777777" w:rsidR="00C01D00" w:rsidRDefault="00227064">
            <w:pPr>
              <w:widowControl w:val="0"/>
              <w:kinsoku/>
              <w:autoSpaceDE/>
              <w:autoSpaceDN/>
              <w:adjustRightInd/>
              <w:snapToGrid/>
              <w:spacing w:line="360" w:lineRule="auto"/>
              <w:jc w:val="right"/>
              <w:textAlignment w:val="auto"/>
              <w:rPr>
                <w:rFonts w:ascii="宋体" w:eastAsia="宋体" w:hAnsi="宋体" w:cs="宋体"/>
                <w:snapToGrid/>
                <w:szCs w:val="20"/>
                <w:lang w:eastAsia="zh-CN"/>
              </w:rPr>
            </w:pPr>
            <w:r>
              <w:rPr>
                <w:rFonts w:ascii="宋体" w:eastAsia="宋体" w:hAnsi="宋体" w:cs="Times New Roman"/>
                <w:snapToGrid/>
                <w:color w:val="auto"/>
                <w:kern w:val="2"/>
                <w:lang w:eastAsia="zh-CN"/>
              </w:rPr>
              <w:t>79,415,468</w:t>
            </w:r>
          </w:p>
        </w:tc>
        <w:tc>
          <w:tcPr>
            <w:tcW w:w="1701" w:type="dxa"/>
            <w:tcBorders>
              <w:top w:val="single" w:sz="4" w:space="0" w:color="auto"/>
              <w:left w:val="nil"/>
              <w:bottom w:val="single" w:sz="4" w:space="0" w:color="auto"/>
              <w:right w:val="single" w:sz="4" w:space="0" w:color="auto"/>
            </w:tcBorders>
            <w:noWrap/>
            <w:vAlign w:val="center"/>
          </w:tcPr>
          <w:p w14:paraId="30CC9676" w14:textId="77777777" w:rsidR="00C01D00" w:rsidRDefault="00227064">
            <w:pPr>
              <w:kinsoku/>
              <w:autoSpaceDE/>
              <w:autoSpaceDN/>
              <w:adjustRightInd/>
              <w:snapToGrid/>
              <w:spacing w:line="360" w:lineRule="auto"/>
              <w:jc w:val="right"/>
              <w:textAlignment w:val="auto"/>
              <w:rPr>
                <w:rFonts w:ascii="宋体" w:eastAsia="宋体" w:hAnsi="宋体" w:cs="宋体"/>
                <w:snapToGrid/>
                <w:szCs w:val="20"/>
                <w:lang w:eastAsia="zh-CN"/>
              </w:rPr>
            </w:pPr>
            <w:r>
              <w:rPr>
                <w:rFonts w:ascii="宋体" w:eastAsia="宋体" w:hAnsi="宋体" w:cs="Times New Roman" w:hint="eastAsia"/>
                <w:snapToGrid/>
                <w:kern w:val="2"/>
                <w:lang w:eastAsia="zh-CN"/>
              </w:rPr>
              <w:t>2,406,132,308</w:t>
            </w:r>
          </w:p>
        </w:tc>
        <w:tc>
          <w:tcPr>
            <w:tcW w:w="1009" w:type="dxa"/>
            <w:tcBorders>
              <w:top w:val="single" w:sz="4" w:space="0" w:color="auto"/>
              <w:left w:val="single" w:sz="4" w:space="0" w:color="auto"/>
              <w:bottom w:val="single" w:sz="4" w:space="0" w:color="auto"/>
              <w:right w:val="single" w:sz="12" w:space="0" w:color="auto"/>
            </w:tcBorders>
            <w:noWrap/>
            <w:vAlign w:val="center"/>
          </w:tcPr>
          <w:p w14:paraId="15C355D7" w14:textId="77777777" w:rsidR="00C01D00" w:rsidRDefault="00227064">
            <w:pPr>
              <w:kinsoku/>
              <w:autoSpaceDE/>
              <w:autoSpaceDN/>
              <w:adjustRightInd/>
              <w:snapToGrid/>
              <w:spacing w:line="360" w:lineRule="auto"/>
              <w:jc w:val="right"/>
              <w:textAlignment w:val="auto"/>
              <w:rPr>
                <w:rFonts w:ascii="宋体" w:eastAsia="宋体" w:hAnsi="宋体" w:cs="Times New Roman"/>
                <w:snapToGrid/>
                <w:kern w:val="2"/>
                <w:lang w:eastAsia="zh-CN"/>
              </w:rPr>
            </w:pPr>
            <w:r>
              <w:rPr>
                <w:rFonts w:ascii="宋体" w:eastAsia="宋体" w:hAnsi="宋体" w:cs="Times New Roman" w:hint="eastAsia"/>
                <w:snapToGrid/>
                <w:kern w:val="2"/>
                <w:lang w:eastAsia="zh-CN"/>
              </w:rPr>
              <w:t>80.00%</w:t>
            </w:r>
          </w:p>
        </w:tc>
      </w:tr>
      <w:tr w:rsidR="00C01D00" w14:paraId="43BB47FD" w14:textId="77777777">
        <w:trPr>
          <w:trHeight w:val="280"/>
          <w:jc w:val="center"/>
        </w:trPr>
        <w:tc>
          <w:tcPr>
            <w:tcW w:w="2122" w:type="dxa"/>
            <w:tcBorders>
              <w:top w:val="nil"/>
              <w:left w:val="single" w:sz="12" w:space="0" w:color="auto"/>
              <w:bottom w:val="single" w:sz="12" w:space="0" w:color="auto"/>
              <w:right w:val="single" w:sz="4" w:space="0" w:color="auto"/>
            </w:tcBorders>
            <w:noWrap/>
            <w:vAlign w:val="center"/>
          </w:tcPr>
          <w:p w14:paraId="0B1521F0" w14:textId="77777777" w:rsidR="00C01D00" w:rsidRDefault="00227064">
            <w:pPr>
              <w:kinsoku/>
              <w:autoSpaceDE/>
              <w:autoSpaceDN/>
              <w:adjustRightInd/>
              <w:snapToGrid/>
              <w:spacing w:line="360" w:lineRule="auto"/>
              <w:jc w:val="both"/>
              <w:textAlignment w:val="auto"/>
              <w:rPr>
                <w:rFonts w:ascii="宋体" w:eastAsia="宋体" w:hAnsi="宋体" w:cs="宋体"/>
                <w:snapToGrid/>
                <w:szCs w:val="20"/>
                <w:lang w:eastAsia="zh-CN"/>
              </w:rPr>
            </w:pPr>
            <w:r>
              <w:rPr>
                <w:rFonts w:ascii="宋体" w:eastAsia="宋体" w:hAnsi="宋体" w:cs="宋体" w:hint="eastAsia"/>
                <w:snapToGrid/>
                <w:szCs w:val="20"/>
                <w:lang w:eastAsia="zh-CN"/>
              </w:rPr>
              <w:t>三、股份总数</w:t>
            </w:r>
          </w:p>
        </w:tc>
        <w:tc>
          <w:tcPr>
            <w:tcW w:w="1701" w:type="dxa"/>
            <w:tcBorders>
              <w:top w:val="nil"/>
              <w:left w:val="nil"/>
              <w:bottom w:val="single" w:sz="12" w:space="0" w:color="auto"/>
              <w:right w:val="single" w:sz="4" w:space="0" w:color="auto"/>
            </w:tcBorders>
            <w:noWrap/>
            <w:vAlign w:val="center"/>
          </w:tcPr>
          <w:p w14:paraId="0C644020" w14:textId="77777777" w:rsidR="00C01D00" w:rsidRDefault="00227064">
            <w:pPr>
              <w:kinsoku/>
              <w:autoSpaceDE/>
              <w:autoSpaceDN/>
              <w:adjustRightInd/>
              <w:snapToGrid/>
              <w:spacing w:line="360" w:lineRule="auto"/>
              <w:jc w:val="right"/>
              <w:textAlignment w:val="auto"/>
              <w:rPr>
                <w:rFonts w:ascii="宋体" w:eastAsia="宋体" w:hAnsi="宋体" w:cs="宋体"/>
                <w:snapToGrid/>
                <w:szCs w:val="20"/>
                <w:lang w:eastAsia="zh-CN"/>
              </w:rPr>
            </w:pPr>
            <w:r>
              <w:rPr>
                <w:rFonts w:ascii="宋体" w:eastAsia="宋体" w:hAnsi="宋体" w:cs="宋体" w:hint="eastAsia"/>
                <w:snapToGrid/>
                <w:szCs w:val="20"/>
                <w:lang w:eastAsia="zh-CN"/>
              </w:rPr>
              <w:t>3,007,665,385</w:t>
            </w:r>
          </w:p>
        </w:tc>
        <w:tc>
          <w:tcPr>
            <w:tcW w:w="951" w:type="dxa"/>
            <w:tcBorders>
              <w:top w:val="nil"/>
              <w:left w:val="nil"/>
              <w:bottom w:val="single" w:sz="12" w:space="0" w:color="auto"/>
              <w:right w:val="single" w:sz="4" w:space="0" w:color="auto"/>
            </w:tcBorders>
            <w:noWrap/>
            <w:vAlign w:val="center"/>
          </w:tcPr>
          <w:p w14:paraId="5537FE41" w14:textId="77777777" w:rsidR="00C01D00" w:rsidRDefault="00227064">
            <w:pPr>
              <w:kinsoku/>
              <w:autoSpaceDE/>
              <w:autoSpaceDN/>
              <w:adjustRightInd/>
              <w:snapToGrid/>
              <w:spacing w:line="360" w:lineRule="auto"/>
              <w:jc w:val="right"/>
              <w:textAlignment w:val="auto"/>
              <w:rPr>
                <w:rFonts w:ascii="宋体" w:eastAsia="宋体" w:hAnsi="宋体" w:cs="宋体"/>
                <w:snapToGrid/>
                <w:szCs w:val="20"/>
                <w:lang w:eastAsia="zh-CN"/>
              </w:rPr>
            </w:pPr>
            <w:r>
              <w:rPr>
                <w:rFonts w:ascii="宋体" w:eastAsia="宋体" w:hAnsi="宋体" w:cs="宋体" w:hint="eastAsia"/>
                <w:snapToGrid/>
                <w:szCs w:val="20"/>
                <w:lang w:eastAsia="zh-CN"/>
              </w:rPr>
              <w:t>100.00%</w:t>
            </w:r>
          </w:p>
        </w:tc>
        <w:tc>
          <w:tcPr>
            <w:tcW w:w="1600" w:type="dxa"/>
            <w:tcBorders>
              <w:top w:val="nil"/>
              <w:left w:val="nil"/>
              <w:bottom w:val="single" w:sz="12" w:space="0" w:color="auto"/>
              <w:right w:val="single" w:sz="4" w:space="0" w:color="auto"/>
            </w:tcBorders>
            <w:noWrap/>
            <w:vAlign w:val="center"/>
          </w:tcPr>
          <w:p w14:paraId="19BFCD6B" w14:textId="77777777" w:rsidR="00C01D00" w:rsidRDefault="00227064">
            <w:pPr>
              <w:kinsoku/>
              <w:autoSpaceDE/>
              <w:autoSpaceDN/>
              <w:adjustRightInd/>
              <w:snapToGrid/>
              <w:spacing w:line="360" w:lineRule="auto"/>
              <w:jc w:val="right"/>
              <w:textAlignment w:val="auto"/>
              <w:rPr>
                <w:rFonts w:ascii="宋体" w:eastAsia="宋体" w:hAnsi="宋体" w:cs="宋体"/>
                <w:snapToGrid/>
                <w:szCs w:val="20"/>
                <w:lang w:eastAsia="zh-CN"/>
              </w:rPr>
            </w:pPr>
            <w:r>
              <w:rPr>
                <w:rFonts w:ascii="宋体" w:eastAsia="宋体" w:hAnsi="宋体" w:cs="宋体" w:hint="eastAsia"/>
                <w:snapToGrid/>
                <w:szCs w:val="20"/>
                <w:lang w:eastAsia="zh-CN"/>
              </w:rPr>
              <w:t>0</w:t>
            </w:r>
          </w:p>
        </w:tc>
        <w:tc>
          <w:tcPr>
            <w:tcW w:w="1701" w:type="dxa"/>
            <w:tcBorders>
              <w:top w:val="single" w:sz="4" w:space="0" w:color="auto"/>
              <w:left w:val="nil"/>
              <w:bottom w:val="single" w:sz="12" w:space="0" w:color="auto"/>
              <w:right w:val="single" w:sz="4" w:space="0" w:color="auto"/>
            </w:tcBorders>
            <w:noWrap/>
            <w:vAlign w:val="center"/>
          </w:tcPr>
          <w:p w14:paraId="4C5E6541" w14:textId="77777777" w:rsidR="00C01D00" w:rsidRDefault="00227064">
            <w:pPr>
              <w:kinsoku/>
              <w:autoSpaceDE/>
              <w:autoSpaceDN/>
              <w:adjustRightInd/>
              <w:snapToGrid/>
              <w:spacing w:line="360" w:lineRule="auto"/>
              <w:jc w:val="right"/>
              <w:textAlignment w:val="auto"/>
              <w:rPr>
                <w:rFonts w:ascii="宋体" w:eastAsia="宋体" w:hAnsi="宋体" w:cs="宋体"/>
                <w:snapToGrid/>
                <w:szCs w:val="20"/>
                <w:lang w:eastAsia="zh-CN"/>
              </w:rPr>
            </w:pPr>
            <w:r>
              <w:rPr>
                <w:rFonts w:ascii="宋体" w:eastAsia="宋体" w:hAnsi="宋体" w:cs="宋体" w:hint="eastAsia"/>
                <w:snapToGrid/>
                <w:szCs w:val="20"/>
                <w:lang w:eastAsia="zh-CN"/>
              </w:rPr>
              <w:fldChar w:fldCharType="begin"/>
            </w:r>
            <w:r>
              <w:rPr>
                <w:rFonts w:ascii="宋体" w:eastAsia="宋体" w:hAnsi="宋体" w:cs="宋体" w:hint="eastAsia"/>
                <w:snapToGrid/>
                <w:szCs w:val="20"/>
                <w:lang w:eastAsia="zh-CN"/>
              </w:rPr>
              <w:instrText xml:space="preserve"> =SUM(ABOVE) </w:instrText>
            </w:r>
            <w:r>
              <w:rPr>
                <w:rFonts w:ascii="宋体" w:eastAsia="宋体" w:hAnsi="宋体" w:cs="宋体" w:hint="eastAsia"/>
                <w:snapToGrid/>
                <w:szCs w:val="20"/>
                <w:lang w:eastAsia="zh-CN"/>
              </w:rPr>
              <w:fldChar w:fldCharType="separate"/>
            </w:r>
            <w:r>
              <w:rPr>
                <w:rFonts w:ascii="宋体" w:eastAsia="宋体" w:hAnsi="宋体" w:cs="宋体" w:hint="eastAsia"/>
                <w:snapToGrid/>
                <w:szCs w:val="20"/>
                <w:lang w:eastAsia="zh-CN"/>
              </w:rPr>
              <w:t>3,007,665,385</w:t>
            </w:r>
            <w:r>
              <w:rPr>
                <w:rFonts w:ascii="宋体" w:eastAsia="宋体" w:hAnsi="宋体" w:cs="宋体" w:hint="eastAsia"/>
                <w:snapToGrid/>
                <w:szCs w:val="20"/>
                <w:lang w:eastAsia="zh-CN"/>
              </w:rPr>
              <w:fldChar w:fldCharType="end"/>
            </w:r>
          </w:p>
        </w:tc>
        <w:tc>
          <w:tcPr>
            <w:tcW w:w="1009" w:type="dxa"/>
            <w:tcBorders>
              <w:top w:val="single" w:sz="4" w:space="0" w:color="auto"/>
              <w:left w:val="nil"/>
              <w:bottom w:val="single" w:sz="12" w:space="0" w:color="auto"/>
              <w:right w:val="single" w:sz="12" w:space="0" w:color="auto"/>
            </w:tcBorders>
            <w:noWrap/>
            <w:vAlign w:val="center"/>
          </w:tcPr>
          <w:p w14:paraId="03B2FBE6" w14:textId="77777777" w:rsidR="00C01D00" w:rsidRDefault="00227064">
            <w:pPr>
              <w:kinsoku/>
              <w:autoSpaceDE/>
              <w:autoSpaceDN/>
              <w:adjustRightInd/>
              <w:snapToGrid/>
              <w:spacing w:line="360" w:lineRule="auto"/>
              <w:jc w:val="right"/>
              <w:textAlignment w:val="auto"/>
              <w:rPr>
                <w:rFonts w:ascii="宋体" w:eastAsia="宋体" w:hAnsi="宋体" w:cs="Times New Roman"/>
                <w:snapToGrid/>
                <w:kern w:val="2"/>
                <w:lang w:eastAsia="zh-CN"/>
              </w:rPr>
            </w:pPr>
            <w:r>
              <w:rPr>
                <w:rFonts w:ascii="宋体" w:eastAsia="宋体" w:hAnsi="宋体" w:cs="Times New Roman" w:hint="eastAsia"/>
                <w:snapToGrid/>
                <w:kern w:val="2"/>
                <w:lang w:eastAsia="zh-CN"/>
              </w:rPr>
              <w:t>100.00%</w:t>
            </w:r>
          </w:p>
        </w:tc>
      </w:tr>
    </w:tbl>
    <w:p w14:paraId="7B475B2E" w14:textId="77777777" w:rsidR="00C01D00" w:rsidRDefault="00C01D00">
      <w:pPr>
        <w:spacing w:line="68" w:lineRule="exact"/>
      </w:pPr>
    </w:p>
    <w:p w14:paraId="383DCDEB" w14:textId="77777777" w:rsidR="00C01D00" w:rsidRDefault="00227064">
      <w:pPr>
        <w:pStyle w:val="a4"/>
        <w:spacing w:beforeLines="50" w:before="120" w:afterLines="50" w:after="120" w:line="360" w:lineRule="auto"/>
        <w:ind w:firstLineChars="200" w:firstLine="476"/>
        <w:rPr>
          <w:b/>
          <w:bCs/>
          <w:spacing w:val="-3"/>
          <w:lang w:eastAsia="zh-CN"/>
        </w:rPr>
      </w:pPr>
      <w:r>
        <w:rPr>
          <w:rFonts w:hint="eastAsia"/>
          <w:b/>
          <w:bCs/>
          <w:spacing w:val="-3"/>
          <w:lang w:eastAsia="zh-CN"/>
        </w:rPr>
        <w:t>七、</w:t>
      </w:r>
      <w:r>
        <w:rPr>
          <w:b/>
          <w:bCs/>
          <w:spacing w:val="-3"/>
          <w:lang w:eastAsia="zh-CN"/>
        </w:rPr>
        <w:t>财务顾问核查意见</w:t>
      </w:r>
    </w:p>
    <w:p w14:paraId="6451F20F" w14:textId="77777777" w:rsidR="00C01D00" w:rsidRDefault="00227064">
      <w:pPr>
        <w:pStyle w:val="a4"/>
        <w:spacing w:beforeLines="50" w:before="120" w:afterLines="50" w:after="120" w:line="360" w:lineRule="auto"/>
        <w:ind w:firstLineChars="200" w:firstLine="474"/>
        <w:jc w:val="both"/>
        <w:rPr>
          <w:spacing w:val="-3"/>
          <w:lang w:eastAsia="zh-CN"/>
        </w:rPr>
      </w:pPr>
      <w:r>
        <w:rPr>
          <w:rFonts w:hint="eastAsia"/>
          <w:spacing w:val="-3"/>
          <w:lang w:eastAsia="zh-CN"/>
        </w:rPr>
        <w:t>经核查，本财务顾问就上市公司本次限售股份上市流通事项发表核查意见如下：</w:t>
      </w:r>
    </w:p>
    <w:p w14:paraId="24304ED6" w14:textId="77777777" w:rsidR="00C01D00" w:rsidRDefault="00227064">
      <w:pPr>
        <w:pStyle w:val="a4"/>
        <w:numPr>
          <w:ilvl w:val="0"/>
          <w:numId w:val="1"/>
        </w:numPr>
        <w:spacing w:beforeLines="50" w:before="120" w:afterLines="50" w:after="120" w:line="360" w:lineRule="auto"/>
        <w:ind w:firstLineChars="200" w:firstLine="474"/>
        <w:jc w:val="both"/>
        <w:rPr>
          <w:spacing w:val="-3"/>
          <w:lang w:eastAsia="zh-CN"/>
        </w:rPr>
      </w:pPr>
      <w:r>
        <w:rPr>
          <w:rFonts w:hint="eastAsia"/>
          <w:spacing w:val="-3"/>
          <w:lang w:eastAsia="zh-CN"/>
        </w:rPr>
        <w:t>中利集团本次限售股份上市流通符合《中华人民共和国公司法》《中华人民共和国证券法》《深圳证券交易所股票上市规则》《深圳证券交易所上市公司自律监管指引第</w:t>
      </w:r>
      <w:r>
        <w:rPr>
          <w:rFonts w:hint="eastAsia"/>
          <w:spacing w:val="-3"/>
          <w:lang w:eastAsia="zh-CN"/>
        </w:rPr>
        <w:t>14</w:t>
      </w:r>
      <w:r>
        <w:rPr>
          <w:rFonts w:hint="eastAsia"/>
          <w:spacing w:val="-3"/>
          <w:lang w:eastAsia="zh-CN"/>
        </w:rPr>
        <w:t>号——破产重整等事项》等法律、行政法规的规定；</w:t>
      </w:r>
    </w:p>
    <w:p w14:paraId="3D9F5DC0" w14:textId="77777777" w:rsidR="00C01D00" w:rsidRDefault="00227064">
      <w:pPr>
        <w:pStyle w:val="a4"/>
        <w:numPr>
          <w:ilvl w:val="0"/>
          <w:numId w:val="1"/>
        </w:numPr>
        <w:spacing w:beforeLines="50" w:before="120" w:afterLines="50" w:after="120" w:line="360" w:lineRule="auto"/>
        <w:ind w:firstLineChars="200" w:firstLine="474"/>
        <w:jc w:val="both"/>
        <w:rPr>
          <w:spacing w:val="-3"/>
          <w:lang w:eastAsia="zh-CN"/>
        </w:rPr>
      </w:pPr>
      <w:r>
        <w:rPr>
          <w:rFonts w:hint="eastAsia"/>
          <w:spacing w:val="-3"/>
          <w:lang w:eastAsia="zh-CN"/>
        </w:rPr>
        <w:t>本次限售股份解除限售的数量、上市流通时间符合相关法律、行政法规的规定；</w:t>
      </w:r>
    </w:p>
    <w:p w14:paraId="3BF230A4" w14:textId="77777777" w:rsidR="00C01D00" w:rsidRDefault="00227064">
      <w:pPr>
        <w:pStyle w:val="a4"/>
        <w:numPr>
          <w:ilvl w:val="0"/>
          <w:numId w:val="1"/>
        </w:numPr>
        <w:spacing w:beforeLines="50" w:before="120" w:afterLines="50" w:after="120" w:line="360" w:lineRule="auto"/>
        <w:ind w:firstLineChars="200" w:firstLine="474"/>
        <w:jc w:val="both"/>
        <w:rPr>
          <w:spacing w:val="-3"/>
          <w:lang w:eastAsia="zh-CN"/>
        </w:rPr>
      </w:pPr>
      <w:r>
        <w:rPr>
          <w:rFonts w:hint="eastAsia"/>
          <w:spacing w:val="-3"/>
          <w:lang w:eastAsia="zh-CN"/>
        </w:rPr>
        <w:t>财务顾问对中利集团本次限售股份解除限售事项无异议。</w:t>
      </w:r>
    </w:p>
    <w:p w14:paraId="1FEFF3E5" w14:textId="77777777" w:rsidR="00C01D00" w:rsidRDefault="00227064">
      <w:pPr>
        <w:pStyle w:val="a4"/>
        <w:spacing w:beforeLines="50" w:before="120" w:afterLines="50" w:after="120" w:line="360" w:lineRule="auto"/>
        <w:jc w:val="both"/>
        <w:rPr>
          <w:spacing w:val="-3"/>
          <w:lang w:eastAsia="zh-CN"/>
        </w:rPr>
        <w:sectPr w:rsidR="00C01D00">
          <w:headerReference w:type="default" r:id="rId8"/>
          <w:footerReference w:type="default" r:id="rId9"/>
          <w:pgSz w:w="11906" w:h="16838"/>
          <w:pgMar w:top="1440" w:right="1797" w:bottom="1440" w:left="1797" w:header="0" w:footer="0" w:gutter="0"/>
          <w:cols w:space="720"/>
        </w:sectPr>
      </w:pPr>
      <w:r>
        <w:rPr>
          <w:rFonts w:ascii="Times New Roman" w:eastAsiaTheme="minorEastAsia" w:hAnsi="Times New Roman" w:cs="Times New Roman" w:hint="eastAsia"/>
          <w:spacing w:val="-3"/>
          <w:lang w:eastAsia="zh-CN"/>
        </w:rPr>
        <w:t>（以下无正文）</w:t>
      </w:r>
    </w:p>
    <w:p w14:paraId="603C8493" w14:textId="77777777" w:rsidR="00C01D00" w:rsidRDefault="00227064">
      <w:pPr>
        <w:pStyle w:val="a4"/>
        <w:spacing w:beforeLines="50" w:before="120" w:afterLines="50" w:after="120" w:line="360" w:lineRule="auto"/>
        <w:ind w:firstLineChars="200" w:firstLine="474"/>
        <w:rPr>
          <w:rFonts w:ascii="Times New Roman" w:eastAsiaTheme="minorEastAsia" w:hAnsi="Times New Roman" w:cs="Times New Roman"/>
          <w:spacing w:val="-3"/>
          <w:lang w:eastAsia="zh-CN"/>
        </w:rPr>
      </w:pPr>
      <w:r>
        <w:rPr>
          <w:rFonts w:ascii="Times New Roman" w:eastAsiaTheme="minorEastAsia" w:hAnsi="Times New Roman" w:cs="Times New Roman" w:hint="eastAsia"/>
          <w:spacing w:val="-3"/>
          <w:lang w:eastAsia="zh-CN"/>
        </w:rPr>
        <w:lastRenderedPageBreak/>
        <w:t>（本页无正文，为《申万宏源证券承销保荐有限责任公司关于江苏中利集团股份有限公司重整投资人受让资本公积转增的部分限售股份上市流通的核查意见》之盖章页）</w:t>
      </w:r>
    </w:p>
    <w:p w14:paraId="428B795F" w14:textId="77777777" w:rsidR="00C01D00" w:rsidRDefault="00C01D00">
      <w:pPr>
        <w:pStyle w:val="a4"/>
        <w:ind w:right="197"/>
        <w:jc w:val="right"/>
        <w:rPr>
          <w:rFonts w:ascii="Times New Roman" w:eastAsiaTheme="minorEastAsia" w:hAnsi="Times New Roman" w:cs="Times New Roman"/>
          <w:lang w:eastAsia="zh-CN"/>
        </w:rPr>
      </w:pPr>
      <w:bookmarkStart w:id="0" w:name="_Hlk178176561"/>
    </w:p>
    <w:p w14:paraId="24886086" w14:textId="77777777" w:rsidR="00C01D00" w:rsidRDefault="00C01D00">
      <w:pPr>
        <w:pStyle w:val="a4"/>
        <w:ind w:right="197"/>
        <w:jc w:val="right"/>
        <w:rPr>
          <w:rFonts w:ascii="Times New Roman" w:eastAsiaTheme="minorEastAsia" w:hAnsi="Times New Roman" w:cs="Times New Roman"/>
          <w:lang w:eastAsia="zh-CN"/>
        </w:rPr>
      </w:pPr>
    </w:p>
    <w:p w14:paraId="669781AA" w14:textId="77777777" w:rsidR="00C01D00" w:rsidRDefault="00C01D00">
      <w:pPr>
        <w:pStyle w:val="a4"/>
        <w:ind w:right="197"/>
        <w:jc w:val="right"/>
        <w:rPr>
          <w:rFonts w:ascii="Times New Roman" w:eastAsiaTheme="minorEastAsia" w:hAnsi="Times New Roman" w:cs="Times New Roman"/>
          <w:lang w:eastAsia="zh-CN"/>
        </w:rPr>
      </w:pPr>
    </w:p>
    <w:p w14:paraId="41072B84" w14:textId="77777777" w:rsidR="00C01D00" w:rsidRDefault="00C01D00">
      <w:pPr>
        <w:pStyle w:val="a4"/>
        <w:ind w:right="197"/>
        <w:jc w:val="right"/>
        <w:rPr>
          <w:rFonts w:ascii="Times New Roman" w:eastAsiaTheme="minorEastAsia" w:hAnsi="Times New Roman" w:cs="Times New Roman"/>
          <w:lang w:eastAsia="zh-CN"/>
        </w:rPr>
      </w:pPr>
    </w:p>
    <w:p w14:paraId="753D4ADF" w14:textId="77777777" w:rsidR="00C01D00" w:rsidRDefault="00C01D00">
      <w:pPr>
        <w:pStyle w:val="a4"/>
        <w:ind w:right="197"/>
        <w:jc w:val="right"/>
        <w:rPr>
          <w:rFonts w:ascii="Times New Roman" w:eastAsiaTheme="minorEastAsia" w:hAnsi="Times New Roman" w:cs="Times New Roman"/>
          <w:lang w:eastAsia="zh-CN"/>
        </w:rPr>
      </w:pPr>
    </w:p>
    <w:p w14:paraId="30936342" w14:textId="77777777" w:rsidR="00C01D00" w:rsidRDefault="00C01D00">
      <w:pPr>
        <w:pStyle w:val="a4"/>
        <w:ind w:right="197"/>
        <w:jc w:val="right"/>
        <w:rPr>
          <w:rFonts w:ascii="Times New Roman" w:eastAsiaTheme="minorEastAsia" w:hAnsi="Times New Roman" w:cs="Times New Roman"/>
          <w:lang w:eastAsia="zh-CN"/>
        </w:rPr>
      </w:pPr>
    </w:p>
    <w:p w14:paraId="4F4004D7" w14:textId="77777777" w:rsidR="00C01D00" w:rsidRDefault="00C01D00">
      <w:pPr>
        <w:pStyle w:val="a4"/>
        <w:ind w:right="197"/>
        <w:jc w:val="right"/>
        <w:rPr>
          <w:rFonts w:ascii="Times New Roman" w:eastAsiaTheme="minorEastAsia" w:hAnsi="Times New Roman" w:cs="Times New Roman"/>
          <w:lang w:eastAsia="zh-CN"/>
        </w:rPr>
      </w:pPr>
    </w:p>
    <w:p w14:paraId="0092EBC7" w14:textId="77777777" w:rsidR="00C01D00" w:rsidRDefault="00C01D00">
      <w:pPr>
        <w:pStyle w:val="a4"/>
        <w:ind w:right="197"/>
        <w:jc w:val="right"/>
        <w:rPr>
          <w:rFonts w:ascii="Times New Roman" w:eastAsiaTheme="minorEastAsia" w:hAnsi="Times New Roman" w:cs="Times New Roman"/>
          <w:lang w:eastAsia="zh-CN"/>
        </w:rPr>
      </w:pPr>
    </w:p>
    <w:p w14:paraId="11BE11A3" w14:textId="77777777" w:rsidR="00C01D00" w:rsidRDefault="00C01D00">
      <w:pPr>
        <w:pStyle w:val="a4"/>
        <w:ind w:right="197"/>
        <w:jc w:val="right"/>
        <w:rPr>
          <w:rFonts w:ascii="Times New Roman" w:eastAsiaTheme="minorEastAsia" w:hAnsi="Times New Roman" w:cs="Times New Roman"/>
          <w:lang w:eastAsia="zh-CN"/>
        </w:rPr>
      </w:pPr>
    </w:p>
    <w:p w14:paraId="012A5392" w14:textId="77777777" w:rsidR="00C01D00" w:rsidRDefault="00C01D00">
      <w:pPr>
        <w:pStyle w:val="a4"/>
        <w:ind w:right="197"/>
        <w:jc w:val="right"/>
        <w:rPr>
          <w:rFonts w:ascii="Times New Roman" w:eastAsiaTheme="minorEastAsia" w:hAnsi="Times New Roman" w:cs="Times New Roman"/>
          <w:lang w:eastAsia="zh-CN"/>
        </w:rPr>
      </w:pPr>
    </w:p>
    <w:p w14:paraId="204D7E02" w14:textId="77777777" w:rsidR="00C01D00" w:rsidRDefault="00C01D00">
      <w:pPr>
        <w:pStyle w:val="a4"/>
        <w:ind w:right="197"/>
        <w:jc w:val="right"/>
        <w:rPr>
          <w:rFonts w:ascii="Times New Roman" w:eastAsiaTheme="minorEastAsia" w:hAnsi="Times New Roman" w:cs="Times New Roman"/>
          <w:lang w:eastAsia="zh-CN"/>
        </w:rPr>
      </w:pPr>
    </w:p>
    <w:p w14:paraId="449E2EFD" w14:textId="77777777" w:rsidR="00C01D00" w:rsidRDefault="00C01D00">
      <w:pPr>
        <w:pStyle w:val="a4"/>
        <w:ind w:right="197"/>
        <w:jc w:val="right"/>
        <w:rPr>
          <w:rFonts w:ascii="Times New Roman" w:eastAsiaTheme="minorEastAsia" w:hAnsi="Times New Roman" w:cs="Times New Roman"/>
          <w:lang w:eastAsia="zh-CN"/>
        </w:rPr>
      </w:pPr>
    </w:p>
    <w:p w14:paraId="7238A150" w14:textId="77777777" w:rsidR="00C01D00" w:rsidRDefault="00C01D00">
      <w:pPr>
        <w:pStyle w:val="a4"/>
        <w:ind w:right="197"/>
        <w:jc w:val="right"/>
        <w:rPr>
          <w:rFonts w:ascii="Times New Roman" w:eastAsiaTheme="minorEastAsia" w:hAnsi="Times New Roman" w:cs="Times New Roman"/>
          <w:lang w:eastAsia="zh-CN"/>
        </w:rPr>
      </w:pPr>
    </w:p>
    <w:p w14:paraId="54DC095F" w14:textId="77777777" w:rsidR="00C01D00" w:rsidRDefault="00C01D00">
      <w:pPr>
        <w:pStyle w:val="a4"/>
        <w:ind w:right="197"/>
        <w:jc w:val="right"/>
        <w:rPr>
          <w:rFonts w:ascii="Times New Roman" w:eastAsiaTheme="minorEastAsia" w:hAnsi="Times New Roman" w:cs="Times New Roman"/>
          <w:lang w:eastAsia="zh-CN"/>
        </w:rPr>
      </w:pPr>
    </w:p>
    <w:p w14:paraId="7F12C2CB" w14:textId="77777777" w:rsidR="00C01D00" w:rsidRDefault="00C01D00">
      <w:pPr>
        <w:pStyle w:val="a4"/>
        <w:ind w:right="197"/>
        <w:jc w:val="right"/>
        <w:rPr>
          <w:rFonts w:ascii="Times New Roman" w:eastAsiaTheme="minorEastAsia" w:hAnsi="Times New Roman" w:cs="Times New Roman"/>
          <w:lang w:eastAsia="zh-CN"/>
        </w:rPr>
      </w:pPr>
    </w:p>
    <w:p w14:paraId="6459946C" w14:textId="77777777" w:rsidR="00C01D00" w:rsidRDefault="00C01D00">
      <w:pPr>
        <w:pStyle w:val="a4"/>
        <w:ind w:right="197"/>
        <w:jc w:val="right"/>
        <w:rPr>
          <w:rFonts w:ascii="Times New Roman" w:eastAsiaTheme="minorEastAsia" w:hAnsi="Times New Roman" w:cs="Times New Roman"/>
          <w:lang w:eastAsia="zh-CN"/>
        </w:rPr>
      </w:pPr>
    </w:p>
    <w:p w14:paraId="7D102A12" w14:textId="77777777" w:rsidR="00C01D00" w:rsidRDefault="00227064">
      <w:pPr>
        <w:pStyle w:val="a4"/>
        <w:ind w:right="197"/>
        <w:jc w:val="right"/>
        <w:rPr>
          <w:rFonts w:ascii="Times New Roman" w:eastAsiaTheme="minorEastAsia" w:hAnsi="Times New Roman" w:cs="Times New Roman"/>
          <w:lang w:eastAsia="zh-CN"/>
        </w:rPr>
      </w:pPr>
      <w:proofErr w:type="gramStart"/>
      <w:r>
        <w:rPr>
          <w:rFonts w:ascii="Times New Roman" w:eastAsiaTheme="minorEastAsia" w:hAnsi="Times New Roman" w:cs="Times New Roman" w:hint="eastAsia"/>
          <w:lang w:eastAsia="zh-CN"/>
        </w:rPr>
        <w:t>申万宏源证券</w:t>
      </w:r>
      <w:proofErr w:type="gramEnd"/>
      <w:r>
        <w:rPr>
          <w:rFonts w:ascii="Times New Roman" w:eastAsiaTheme="minorEastAsia" w:hAnsi="Times New Roman" w:cs="Times New Roman" w:hint="eastAsia"/>
          <w:lang w:eastAsia="zh-CN"/>
        </w:rPr>
        <w:t>承销保荐有限责任公司</w:t>
      </w:r>
    </w:p>
    <w:bookmarkEnd w:id="0"/>
    <w:p w14:paraId="594F3BC9" w14:textId="77777777" w:rsidR="00C01D00" w:rsidRDefault="00C01D00">
      <w:pPr>
        <w:spacing w:before="9"/>
        <w:rPr>
          <w:rFonts w:ascii="Times New Roman" w:hAnsi="Times New Roman" w:cs="Times New Roman"/>
          <w:sz w:val="23"/>
          <w:szCs w:val="23"/>
          <w:lang w:eastAsia="zh-CN"/>
        </w:rPr>
      </w:pPr>
    </w:p>
    <w:p w14:paraId="51A446C4" w14:textId="77777777" w:rsidR="00C01D00" w:rsidRDefault="00227064">
      <w:pPr>
        <w:pStyle w:val="a4"/>
        <w:ind w:right="197"/>
        <w:jc w:val="right"/>
        <w:rPr>
          <w:rFonts w:ascii="Times New Roman" w:eastAsiaTheme="minorEastAsia" w:hAnsi="Times New Roman" w:cs="Times New Roman"/>
        </w:rPr>
      </w:pPr>
      <w:r>
        <w:rPr>
          <w:rFonts w:ascii="Times New Roman" w:eastAsiaTheme="minorEastAsia" w:hAnsi="Times New Roman" w:cs="Times New Roman" w:hint="eastAsia"/>
        </w:rPr>
        <w:t>年</w:t>
      </w:r>
      <w:r>
        <w:rPr>
          <w:rFonts w:ascii="Times New Roman" w:eastAsiaTheme="minorEastAsia" w:hAnsi="Times New Roman" w:cs="Times New Roman" w:hint="eastAsia"/>
          <w:lang w:eastAsia="zh-CN"/>
        </w:rPr>
        <w:t xml:space="preserve">    </w:t>
      </w:r>
      <w:r>
        <w:rPr>
          <w:rFonts w:ascii="Times New Roman" w:eastAsiaTheme="minorEastAsia" w:hAnsi="Times New Roman" w:cs="Times New Roman" w:hint="eastAsia"/>
        </w:rPr>
        <w:t>月</w:t>
      </w:r>
      <w:r>
        <w:rPr>
          <w:rFonts w:ascii="Times New Roman" w:eastAsiaTheme="minorEastAsia" w:hAnsi="Times New Roman" w:cs="Times New Roman" w:hint="eastAsia"/>
          <w:lang w:eastAsia="zh-CN"/>
        </w:rPr>
        <w:t xml:space="preserve">  </w:t>
      </w:r>
      <w:r>
        <w:rPr>
          <w:rFonts w:ascii="Times New Roman" w:eastAsiaTheme="minorEastAsia" w:hAnsi="Times New Roman" w:cs="Times New Roman"/>
          <w:lang w:eastAsia="zh-CN"/>
        </w:rPr>
        <w:t xml:space="preserve"> </w:t>
      </w:r>
      <w:r>
        <w:rPr>
          <w:rFonts w:ascii="Times New Roman" w:eastAsiaTheme="minorEastAsia" w:hAnsi="Times New Roman" w:cs="Times New Roman" w:hint="eastAsia"/>
          <w:lang w:eastAsia="zh-CN"/>
        </w:rPr>
        <w:t xml:space="preserve"> </w:t>
      </w:r>
      <w:r>
        <w:rPr>
          <w:rFonts w:ascii="Times New Roman" w:eastAsiaTheme="minorEastAsia" w:hAnsi="Times New Roman" w:cs="Times New Roman" w:hint="eastAsia"/>
        </w:rPr>
        <w:t>日</w:t>
      </w:r>
    </w:p>
    <w:p w14:paraId="37545FC3" w14:textId="77777777" w:rsidR="00C01D00" w:rsidRDefault="00C01D00">
      <w:pPr>
        <w:pStyle w:val="a4"/>
        <w:spacing w:beforeLines="50" w:before="120" w:afterLines="50" w:after="120" w:line="360" w:lineRule="auto"/>
        <w:ind w:leftChars="200" w:left="420"/>
        <w:jc w:val="both"/>
        <w:rPr>
          <w:spacing w:val="-3"/>
        </w:rPr>
      </w:pPr>
    </w:p>
    <w:sectPr w:rsidR="00C01D00">
      <w:pgSz w:w="11910" w:h="16840"/>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C11D3" w14:textId="77777777" w:rsidR="00227064" w:rsidRDefault="00227064">
      <w:r>
        <w:separator/>
      </w:r>
    </w:p>
  </w:endnote>
  <w:endnote w:type="continuationSeparator" w:id="0">
    <w:p w14:paraId="309178D3" w14:textId="77777777" w:rsidR="00227064" w:rsidRDefault="0022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1"/>
    <w:family w:val="swiss"/>
    <w:pitch w:val="default"/>
    <w:sig w:usb0="E0002EFF" w:usb1="C000785B" w:usb2="00000009" w:usb3="00000000" w:csb0="400001FF" w:csb1="FFFF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4E8B" w14:textId="77777777" w:rsidR="00C01D00" w:rsidRDefault="00C01D00">
    <w:pP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01B4D" w14:textId="77777777" w:rsidR="00227064" w:rsidRDefault="00227064">
      <w:r>
        <w:separator/>
      </w:r>
    </w:p>
  </w:footnote>
  <w:footnote w:type="continuationSeparator" w:id="0">
    <w:p w14:paraId="3743B564" w14:textId="77777777" w:rsidR="00227064" w:rsidRDefault="00227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B8D32" w14:textId="77777777" w:rsidR="00C01D00" w:rsidRDefault="00C01D00">
    <w:pP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00AD6"/>
    <w:multiLevelType w:val="singleLevel"/>
    <w:tmpl w:val="12000AD6"/>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185694"/>
    <w:rsid w:val="00185694"/>
    <w:rsid w:val="001926FC"/>
    <w:rsid w:val="00227064"/>
    <w:rsid w:val="003949F6"/>
    <w:rsid w:val="003C4DAF"/>
    <w:rsid w:val="00576F9B"/>
    <w:rsid w:val="00A71E11"/>
    <w:rsid w:val="00A76904"/>
    <w:rsid w:val="00B8468C"/>
    <w:rsid w:val="00C01D00"/>
    <w:rsid w:val="00D00031"/>
    <w:rsid w:val="00E33444"/>
    <w:rsid w:val="00E9265C"/>
    <w:rsid w:val="00EC4B07"/>
    <w:rsid w:val="00FD5DEE"/>
    <w:rsid w:val="02656F43"/>
    <w:rsid w:val="04477AA3"/>
    <w:rsid w:val="04657F2A"/>
    <w:rsid w:val="05B541A6"/>
    <w:rsid w:val="096864F2"/>
    <w:rsid w:val="11A55E09"/>
    <w:rsid w:val="11CC783A"/>
    <w:rsid w:val="1219663F"/>
    <w:rsid w:val="13734411"/>
    <w:rsid w:val="14031F46"/>
    <w:rsid w:val="14C66B72"/>
    <w:rsid w:val="1545761A"/>
    <w:rsid w:val="171871B8"/>
    <w:rsid w:val="18B319A9"/>
    <w:rsid w:val="1E8B0515"/>
    <w:rsid w:val="23B51913"/>
    <w:rsid w:val="24D10F97"/>
    <w:rsid w:val="259F4C9D"/>
    <w:rsid w:val="286607CE"/>
    <w:rsid w:val="2D035D2C"/>
    <w:rsid w:val="31E57EDC"/>
    <w:rsid w:val="34BA07A1"/>
    <w:rsid w:val="378E6423"/>
    <w:rsid w:val="3AA839B3"/>
    <w:rsid w:val="3AC151B3"/>
    <w:rsid w:val="3BA50630"/>
    <w:rsid w:val="4083788C"/>
    <w:rsid w:val="43955EE6"/>
    <w:rsid w:val="460431F4"/>
    <w:rsid w:val="461865CE"/>
    <w:rsid w:val="482354F7"/>
    <w:rsid w:val="4AE47F23"/>
    <w:rsid w:val="4EA67471"/>
    <w:rsid w:val="52043CAB"/>
    <w:rsid w:val="52D25D57"/>
    <w:rsid w:val="534454E2"/>
    <w:rsid w:val="56982E14"/>
    <w:rsid w:val="57696F6F"/>
    <w:rsid w:val="5934220A"/>
    <w:rsid w:val="5E2B736D"/>
    <w:rsid w:val="5F577D10"/>
    <w:rsid w:val="5F750471"/>
    <w:rsid w:val="62E17A7F"/>
    <w:rsid w:val="642F3009"/>
    <w:rsid w:val="66C35C8B"/>
    <w:rsid w:val="687621D9"/>
    <w:rsid w:val="691D37DB"/>
    <w:rsid w:val="69391CD3"/>
    <w:rsid w:val="6B0D1397"/>
    <w:rsid w:val="6BC62982"/>
    <w:rsid w:val="6EFD73A5"/>
    <w:rsid w:val="72146F50"/>
    <w:rsid w:val="73C03C7E"/>
    <w:rsid w:val="74100EAA"/>
    <w:rsid w:val="7B09527D"/>
    <w:rsid w:val="7C867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2AA1A8-10A7-480A-A167-160BF4235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style>
  <w:style w:type="paragraph" w:styleId="a4">
    <w:name w:val="Body Text"/>
    <w:basedOn w:val="a"/>
    <w:semiHidden/>
    <w:qFormat/>
    <w:rPr>
      <w:rFonts w:ascii="宋体" w:eastAsia="宋体" w:hAnsi="宋体" w:cs="宋体"/>
      <w:sz w:val="24"/>
      <w:szCs w:val="24"/>
    </w:rPr>
  </w:style>
  <w:style w:type="paragraph" w:styleId="a5">
    <w:name w:val="footer"/>
    <w:basedOn w:val="a"/>
    <w:uiPriority w:val="99"/>
    <w:unhideWhenUsed/>
    <w:pPr>
      <w:tabs>
        <w:tab w:val="center" w:pos="4153"/>
        <w:tab w:val="right" w:pos="8306"/>
      </w:tabs>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jc w:val="center"/>
    </w:pPr>
    <w:rPr>
      <w:sz w:val="18"/>
      <w:szCs w:val="18"/>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Times New Roman" w:eastAsia="Times New Roman" w:hAnsi="Times New Roman" w:cs="Times New Roman"/>
      <w:sz w:val="19"/>
      <w:szCs w:val="19"/>
    </w:rPr>
  </w:style>
  <w:style w:type="character" w:customStyle="1" w:styleId="a7">
    <w:name w:val="页眉 字符"/>
    <w:basedOn w:val="a0"/>
    <w:link w:val="a6"/>
    <w:uiPriority w:val="99"/>
    <w:qFormat/>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18BD7-8FCE-4C4B-B2A5-5DEE0EC1A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346</Words>
  <Characters>1973</Characters>
  <Application>Microsoft Office Word</Application>
  <DocSecurity>0</DocSecurity>
  <Lines>16</Lines>
  <Paragraphs>4</Paragraphs>
  <ScaleCrop>false</ScaleCrop>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洋清 于</cp:lastModifiedBy>
  <cp:revision>5</cp:revision>
  <dcterms:created xsi:type="dcterms:W3CDTF">2025-11-21T20:53:00Z</dcterms:created>
  <dcterms:modified xsi:type="dcterms:W3CDTF">2026-03-03T07:09:00Z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2025-12-26T01:47:00Z</vt:filetime>
  </property>
  <property fmtid="{D5CDD505-2E9C-101B-9397-08002B2CF9AE}" pid="4" name="KSOTemplateDocerSaveRecord">
    <vt:lpwstr>eyJoZGlkIjoiYzg0ZTQ5YjVmNzkwMGY1NjQ2MjI4OTBiYjk3NTE2NzAiLCJ1c2VySWQiOiIxMzEzMTAwNTkwIn0=</vt:lpwstr>
  </property>
  <property fmtid="{D5CDD505-2E9C-101B-9397-08002B2CF9AE}" pid="5" name="KSOProductBuildVer">
    <vt:lpwstr>2052-12.1.0.25225</vt:lpwstr>
  </property>
  <property fmtid="{D5CDD505-2E9C-101B-9397-08002B2CF9AE}" pid="6" name="ICV">
    <vt:lpwstr>4D6257F57AC642A7B865AA7C17311FE2_13</vt:lpwstr>
  </property>
</Properties>
</file>