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07B1" w14:textId="77777777" w:rsidR="001D61AD" w:rsidRPr="003047F5" w:rsidRDefault="00000000">
      <w:pPr>
        <w:spacing w:after="100" w:line="300" w:lineRule="exact"/>
        <w:rPr>
          <w:rFonts w:ascii="宋体" w:eastAsia="宋体" w:hAnsi="宋体" w:cs="宋体" w:hint="eastAsia"/>
          <w:b/>
          <w:bCs/>
          <w:sz w:val="21"/>
          <w:szCs w:val="21"/>
        </w:rPr>
      </w:pPr>
      <w:r w:rsidRPr="003047F5">
        <w:rPr>
          <w:rFonts w:ascii="宋体" w:eastAsia="宋体" w:hAnsi="宋体" w:cs="宋体"/>
          <w:b/>
          <w:bCs/>
          <w:sz w:val="21"/>
          <w:szCs w:val="21"/>
        </w:rPr>
        <w:t>证券代码：002309                  证券简称：中利集团                  公告编号：2026-001</w:t>
      </w:r>
    </w:p>
    <w:p w14:paraId="4B3DC9B9" w14:textId="77777777" w:rsidR="001D61AD" w:rsidRDefault="00000000">
      <w:pPr>
        <w:spacing w:after="0" w:line="560" w:lineRule="exact"/>
        <w:jc w:val="center"/>
        <w:rPr>
          <w:rFonts w:ascii="宋体" w:eastAsia="宋体" w:hAnsi="宋体" w:cs="宋体" w:hint="eastAsia"/>
          <w:b/>
          <w:bCs/>
          <w:sz w:val="30"/>
          <w:szCs w:val="30"/>
        </w:rPr>
      </w:pPr>
      <w:r>
        <w:rPr>
          <w:rFonts w:ascii="宋体" w:eastAsia="宋体" w:hAnsi="宋体" w:cs="宋体"/>
          <w:b/>
          <w:bCs/>
          <w:sz w:val="30"/>
          <w:szCs w:val="30"/>
        </w:rPr>
        <w:t>江苏中利集团股份有限公司</w:t>
      </w:r>
    </w:p>
    <w:p w14:paraId="1C708F6F" w14:textId="77777777" w:rsidR="001D61AD" w:rsidRDefault="00000000">
      <w:pPr>
        <w:spacing w:after="0" w:line="560" w:lineRule="exact"/>
        <w:jc w:val="center"/>
        <w:rPr>
          <w:rFonts w:ascii="宋体" w:eastAsia="宋体" w:hAnsi="宋体" w:cs="宋体" w:hint="eastAsia"/>
          <w:b/>
          <w:bCs/>
          <w:sz w:val="30"/>
          <w:szCs w:val="30"/>
        </w:rPr>
      </w:pPr>
      <w:r>
        <w:rPr>
          <w:rFonts w:ascii="宋体" w:eastAsia="宋体" w:hAnsi="宋体" w:cs="宋体"/>
          <w:b/>
          <w:bCs/>
          <w:sz w:val="30"/>
          <w:szCs w:val="30"/>
        </w:rPr>
        <w:t>2025年度业绩预告</w:t>
      </w:r>
    </w:p>
    <w:p w14:paraId="253B44E8" w14:textId="77777777" w:rsidR="00000000" w:rsidRPr="003047F5" w:rsidRDefault="00000000" w:rsidP="003047F5">
      <w:pPr>
        <w:pStyle w:val="a3"/>
        <w:pBdr>
          <w:top w:val="single" w:sz="6" w:space="10" w:color="000000"/>
          <w:left w:val="single" w:sz="6" w:space="11" w:color="000000"/>
          <w:bottom w:val="single" w:sz="6" w:space="11" w:color="000000"/>
          <w:right w:val="single" w:sz="6" w:space="11" w:color="000000"/>
        </w:pBdr>
        <w:spacing w:line="400" w:lineRule="atLeast"/>
        <w:ind w:firstLineChars="200" w:firstLine="480"/>
        <w:divId w:val="1836066617"/>
      </w:pPr>
      <w:r w:rsidRPr="003047F5">
        <w:rPr>
          <w:rFonts w:hint="eastAsia"/>
        </w:rPr>
        <w:t>本公司及董事会全体成员保证信息披露的内容真实、准确、完整，没有虚假记载、误导性陈述或重大遗漏。</w:t>
      </w:r>
    </w:p>
    <w:p w14:paraId="6DCF38DE" w14:textId="77777777" w:rsidR="001D61AD" w:rsidRPr="003047F5" w:rsidRDefault="00000000" w:rsidP="003047F5">
      <w:pPr>
        <w:pStyle w:val="2"/>
        <w:spacing w:before="0" w:after="0" w:line="400" w:lineRule="exact"/>
        <w:ind w:firstLineChars="200" w:firstLine="482"/>
        <w:rPr>
          <w:rFonts w:ascii="宋体" w:eastAsia="宋体" w:hAnsi="宋体" w:cs="宋体" w:hint="eastAsia"/>
          <w:b/>
          <w:bCs/>
          <w:sz w:val="24"/>
          <w:szCs w:val="24"/>
        </w:rPr>
      </w:pPr>
      <w:bookmarkStart w:id="0" w:name="_Toc988889"/>
      <w:r w:rsidRPr="003047F5">
        <w:rPr>
          <w:rFonts w:ascii="宋体" w:eastAsia="宋体" w:hAnsi="宋体" w:cs="宋体"/>
          <w:b/>
          <w:bCs/>
          <w:sz w:val="24"/>
          <w:szCs w:val="24"/>
        </w:rPr>
        <w:t>一、本期业绩预计情况</w:t>
      </w:r>
      <w:bookmarkEnd w:id="0"/>
    </w:p>
    <w:p w14:paraId="41C58C84" w14:textId="77777777" w:rsidR="001D61AD" w:rsidRPr="003047F5" w:rsidRDefault="00000000" w:rsidP="003047F5">
      <w:pPr>
        <w:spacing w:before="100" w:after="100" w:line="360" w:lineRule="auto"/>
        <w:ind w:firstLineChars="200" w:firstLine="480"/>
        <w:rPr>
          <w:rFonts w:ascii="宋体" w:eastAsia="宋体" w:hAnsi="宋体" w:cs="宋体" w:hint="eastAsia"/>
          <w:sz w:val="24"/>
        </w:rPr>
      </w:pPr>
      <w:r w:rsidRPr="003047F5">
        <w:rPr>
          <w:rFonts w:ascii="宋体" w:eastAsia="宋体" w:hAnsi="宋体" w:cs="宋体"/>
          <w:sz w:val="24"/>
        </w:rPr>
        <w:t>1、业绩预告期间：2025年1月1日至2025年12月31日。</w:t>
      </w:r>
    </w:p>
    <w:p w14:paraId="52AC8522" w14:textId="77777777" w:rsidR="001D61AD" w:rsidRPr="003047F5" w:rsidRDefault="00000000" w:rsidP="003047F5">
      <w:pPr>
        <w:spacing w:before="100" w:after="100" w:line="360" w:lineRule="auto"/>
        <w:ind w:firstLineChars="200" w:firstLine="480"/>
        <w:rPr>
          <w:rFonts w:ascii="宋体" w:eastAsia="宋体" w:hAnsi="宋体" w:cs="宋体" w:hint="eastAsia"/>
          <w:sz w:val="24"/>
        </w:rPr>
      </w:pPr>
      <w:r w:rsidRPr="003047F5">
        <w:rPr>
          <w:rFonts w:ascii="宋体" w:eastAsia="宋体" w:hAnsi="宋体" w:cs="宋体"/>
          <w:sz w:val="24"/>
        </w:rPr>
        <w:t>2、业绩预告情况：预计净利润为负值</w:t>
      </w:r>
    </w:p>
    <w:p w14:paraId="3F7C59BF" w14:textId="77777777" w:rsidR="001D61AD" w:rsidRPr="003047F5" w:rsidRDefault="00000000" w:rsidP="003047F5">
      <w:pPr>
        <w:spacing w:after="0" w:line="360" w:lineRule="auto"/>
        <w:ind w:firstLineChars="200" w:firstLine="480"/>
        <w:rPr>
          <w:rFonts w:ascii="宋体" w:eastAsia="宋体" w:hAnsi="宋体" w:cs="宋体" w:hint="eastAsia"/>
          <w:sz w:val="24"/>
        </w:rPr>
      </w:pPr>
      <w:r w:rsidRPr="003047F5">
        <w:rPr>
          <w:rFonts w:ascii="宋体" w:eastAsia="宋体" w:hAnsi="宋体" w:cs="宋体"/>
          <w:sz w:val="24"/>
        </w:rPr>
        <w:t>（1）以区间数进行业绩预告的</w:t>
      </w:r>
    </w:p>
    <w:p w14:paraId="208BB98C" w14:textId="77777777" w:rsidR="001D61AD" w:rsidRPr="003047F5" w:rsidRDefault="00000000" w:rsidP="003047F5">
      <w:pPr>
        <w:spacing w:after="0" w:line="360" w:lineRule="auto"/>
        <w:jc w:val="right"/>
        <w:rPr>
          <w:rFonts w:ascii="宋体" w:eastAsia="宋体" w:hAnsi="宋体" w:cs="宋体" w:hint="eastAsia"/>
          <w:sz w:val="24"/>
        </w:rPr>
      </w:pPr>
      <w:r w:rsidRPr="003047F5">
        <w:rPr>
          <w:rFonts w:ascii="宋体" w:eastAsia="宋体" w:hAnsi="宋体" w:cs="宋体"/>
          <w:sz w:val="24"/>
        </w:rPr>
        <w:t>单位：万元</w:t>
      </w:r>
    </w:p>
    <w:tbl>
      <w:tblPr>
        <w:tblW w:w="949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44"/>
        <w:gridCol w:w="1418"/>
        <w:gridCol w:w="689"/>
        <w:gridCol w:w="1437"/>
        <w:gridCol w:w="2410"/>
      </w:tblGrid>
      <w:tr w:rsidR="001D61AD" w:rsidRPr="003047F5" w14:paraId="2148D035" w14:textId="77777777" w:rsidTr="003047F5">
        <w:trPr>
          <w:trHeight w:val="460"/>
        </w:trPr>
        <w:tc>
          <w:tcPr>
            <w:tcW w:w="3544" w:type="dxa"/>
            <w:vAlign w:val="center"/>
          </w:tcPr>
          <w:p w14:paraId="2B59FC70" w14:textId="77777777" w:rsidR="001D61AD" w:rsidRPr="003047F5" w:rsidRDefault="00000000">
            <w:pPr>
              <w:spacing w:before="40" w:after="40" w:line="560" w:lineRule="exact"/>
              <w:jc w:val="center"/>
              <w:rPr>
                <w:rFonts w:ascii="宋体" w:eastAsia="宋体" w:hAnsi="宋体" w:cs="宋体" w:hint="eastAsia"/>
                <w:b/>
                <w:bCs/>
                <w:sz w:val="24"/>
              </w:rPr>
            </w:pPr>
            <w:r w:rsidRPr="003047F5">
              <w:rPr>
                <w:rFonts w:ascii="宋体" w:eastAsia="宋体" w:hAnsi="宋体" w:cs="宋体"/>
                <w:b/>
                <w:bCs/>
                <w:sz w:val="24"/>
              </w:rPr>
              <w:t>项  目</w:t>
            </w:r>
          </w:p>
        </w:tc>
        <w:tc>
          <w:tcPr>
            <w:tcW w:w="3544" w:type="dxa"/>
            <w:gridSpan w:val="3"/>
            <w:vAlign w:val="center"/>
          </w:tcPr>
          <w:p w14:paraId="36362097" w14:textId="77777777" w:rsidR="001D61AD" w:rsidRPr="003047F5" w:rsidRDefault="00000000">
            <w:pPr>
              <w:spacing w:after="0" w:line="560" w:lineRule="exact"/>
              <w:jc w:val="center"/>
              <w:rPr>
                <w:rFonts w:ascii="宋体" w:eastAsia="宋体" w:hAnsi="宋体" w:cs="宋体" w:hint="eastAsia"/>
                <w:b/>
                <w:bCs/>
                <w:sz w:val="24"/>
              </w:rPr>
            </w:pPr>
            <w:r w:rsidRPr="003047F5">
              <w:rPr>
                <w:rFonts w:ascii="宋体" w:eastAsia="宋体" w:hAnsi="宋体" w:cs="宋体"/>
                <w:b/>
                <w:bCs/>
                <w:sz w:val="24"/>
              </w:rPr>
              <w:t>本报告期</w:t>
            </w:r>
          </w:p>
        </w:tc>
        <w:tc>
          <w:tcPr>
            <w:tcW w:w="2410" w:type="dxa"/>
            <w:vAlign w:val="center"/>
          </w:tcPr>
          <w:p w14:paraId="558D1AC5" w14:textId="77777777" w:rsidR="001D61AD" w:rsidRPr="003047F5" w:rsidRDefault="00000000">
            <w:pPr>
              <w:spacing w:after="0" w:line="560" w:lineRule="exact"/>
              <w:jc w:val="center"/>
              <w:rPr>
                <w:rFonts w:ascii="宋体" w:eastAsia="宋体" w:hAnsi="宋体" w:cs="宋体" w:hint="eastAsia"/>
                <w:b/>
                <w:bCs/>
                <w:sz w:val="24"/>
              </w:rPr>
            </w:pPr>
            <w:r w:rsidRPr="003047F5">
              <w:rPr>
                <w:rFonts w:ascii="宋体" w:eastAsia="宋体" w:hAnsi="宋体" w:cs="宋体"/>
                <w:b/>
                <w:bCs/>
                <w:sz w:val="24"/>
              </w:rPr>
              <w:t>上年同期</w:t>
            </w:r>
          </w:p>
        </w:tc>
      </w:tr>
      <w:tr w:rsidR="001D61AD" w:rsidRPr="003047F5" w14:paraId="2F08771C" w14:textId="77777777" w:rsidTr="003047F5">
        <w:trPr>
          <w:trHeight w:val="400"/>
        </w:trPr>
        <w:tc>
          <w:tcPr>
            <w:tcW w:w="3544" w:type="dxa"/>
            <w:vAlign w:val="center"/>
          </w:tcPr>
          <w:p w14:paraId="01685687" w14:textId="77777777" w:rsidR="001D61AD" w:rsidRPr="003047F5" w:rsidRDefault="00000000">
            <w:pPr>
              <w:spacing w:before="40" w:after="40" w:line="400" w:lineRule="exact"/>
              <w:rPr>
                <w:rFonts w:ascii="宋体" w:eastAsia="宋体" w:hAnsi="宋体" w:cs="宋体" w:hint="eastAsia"/>
                <w:sz w:val="24"/>
              </w:rPr>
            </w:pPr>
            <w:r w:rsidRPr="003047F5">
              <w:rPr>
                <w:rFonts w:ascii="宋体" w:eastAsia="宋体" w:hAnsi="宋体" w:cs="宋体"/>
                <w:sz w:val="24"/>
              </w:rPr>
              <w:t>归属于上市公司股东的净利润</w:t>
            </w:r>
          </w:p>
        </w:tc>
        <w:tc>
          <w:tcPr>
            <w:tcW w:w="1418" w:type="dxa"/>
            <w:vAlign w:val="center"/>
          </w:tcPr>
          <w:p w14:paraId="1ACC2148" w14:textId="77777777" w:rsidR="001D61AD" w:rsidRPr="003047F5" w:rsidRDefault="00000000">
            <w:pPr>
              <w:spacing w:after="0" w:line="400" w:lineRule="exact"/>
              <w:jc w:val="right"/>
              <w:rPr>
                <w:rFonts w:ascii="宋体" w:eastAsia="宋体" w:hAnsi="宋体" w:cs="宋体" w:hint="eastAsia"/>
                <w:sz w:val="24"/>
              </w:rPr>
            </w:pPr>
            <w:r w:rsidRPr="003047F5">
              <w:rPr>
                <w:rFonts w:ascii="宋体" w:eastAsia="宋体" w:hAnsi="宋体" w:cs="宋体"/>
                <w:sz w:val="24"/>
              </w:rPr>
              <w:t>-6,000</w:t>
            </w:r>
          </w:p>
        </w:tc>
        <w:tc>
          <w:tcPr>
            <w:tcW w:w="689" w:type="dxa"/>
            <w:vAlign w:val="center"/>
          </w:tcPr>
          <w:p w14:paraId="24258F64" w14:textId="77777777" w:rsidR="001D61AD" w:rsidRPr="003047F5" w:rsidRDefault="00000000">
            <w:pPr>
              <w:spacing w:after="0" w:line="400" w:lineRule="exact"/>
              <w:jc w:val="center"/>
              <w:rPr>
                <w:rFonts w:ascii="宋体" w:eastAsia="宋体" w:hAnsi="宋体" w:cs="宋体" w:hint="eastAsia"/>
                <w:sz w:val="24"/>
              </w:rPr>
            </w:pPr>
            <w:r w:rsidRPr="003047F5">
              <w:rPr>
                <w:rFonts w:ascii="宋体" w:eastAsia="宋体" w:hAnsi="宋体" w:cs="宋体"/>
                <w:sz w:val="24"/>
              </w:rPr>
              <w:t>～</w:t>
            </w:r>
          </w:p>
        </w:tc>
        <w:tc>
          <w:tcPr>
            <w:tcW w:w="1437" w:type="dxa"/>
            <w:vAlign w:val="center"/>
          </w:tcPr>
          <w:p w14:paraId="4FFAB233" w14:textId="77777777" w:rsidR="001D61AD" w:rsidRPr="003047F5" w:rsidRDefault="00000000">
            <w:pPr>
              <w:spacing w:after="0" w:line="400" w:lineRule="exact"/>
              <w:jc w:val="right"/>
              <w:rPr>
                <w:rFonts w:ascii="宋体" w:eastAsia="宋体" w:hAnsi="宋体" w:cs="宋体" w:hint="eastAsia"/>
                <w:sz w:val="24"/>
              </w:rPr>
            </w:pPr>
            <w:r w:rsidRPr="003047F5">
              <w:rPr>
                <w:rFonts w:ascii="宋体" w:eastAsia="宋体" w:hAnsi="宋体" w:cs="宋体"/>
                <w:sz w:val="24"/>
              </w:rPr>
              <w:t>-3,500</w:t>
            </w:r>
          </w:p>
        </w:tc>
        <w:tc>
          <w:tcPr>
            <w:tcW w:w="2410" w:type="dxa"/>
            <w:vAlign w:val="center"/>
          </w:tcPr>
          <w:p w14:paraId="5F933FEE" w14:textId="77777777" w:rsidR="001D61AD" w:rsidRPr="003047F5" w:rsidRDefault="00000000">
            <w:pPr>
              <w:spacing w:after="0" w:line="400" w:lineRule="exact"/>
              <w:jc w:val="right"/>
              <w:rPr>
                <w:rFonts w:ascii="宋体" w:eastAsia="宋体" w:hAnsi="宋体" w:cs="宋体" w:hint="eastAsia"/>
                <w:sz w:val="24"/>
              </w:rPr>
            </w:pPr>
            <w:r w:rsidRPr="003047F5">
              <w:rPr>
                <w:rFonts w:ascii="宋体" w:eastAsia="宋体" w:hAnsi="宋体" w:cs="宋体"/>
                <w:sz w:val="24"/>
              </w:rPr>
              <w:t>-117,412.61</w:t>
            </w:r>
          </w:p>
        </w:tc>
      </w:tr>
      <w:tr w:rsidR="001D61AD" w:rsidRPr="003047F5" w14:paraId="7EF5793E" w14:textId="77777777" w:rsidTr="003047F5">
        <w:trPr>
          <w:trHeight w:val="400"/>
        </w:trPr>
        <w:tc>
          <w:tcPr>
            <w:tcW w:w="3544" w:type="dxa"/>
            <w:vAlign w:val="center"/>
          </w:tcPr>
          <w:p w14:paraId="72CE4B5B" w14:textId="77777777" w:rsidR="001D61AD" w:rsidRPr="003047F5" w:rsidRDefault="00000000">
            <w:pPr>
              <w:spacing w:after="0" w:line="400" w:lineRule="exact"/>
              <w:rPr>
                <w:rFonts w:ascii="宋体" w:eastAsia="宋体" w:hAnsi="宋体" w:cs="宋体" w:hint="eastAsia"/>
                <w:sz w:val="24"/>
              </w:rPr>
            </w:pPr>
            <w:r w:rsidRPr="003047F5">
              <w:rPr>
                <w:rFonts w:ascii="宋体" w:eastAsia="宋体" w:hAnsi="宋体" w:cs="宋体"/>
                <w:sz w:val="24"/>
              </w:rPr>
              <w:t>扣除非经常性损益后的净利润</w:t>
            </w:r>
          </w:p>
        </w:tc>
        <w:tc>
          <w:tcPr>
            <w:tcW w:w="1418" w:type="dxa"/>
            <w:vAlign w:val="center"/>
          </w:tcPr>
          <w:p w14:paraId="6F2DC842" w14:textId="77777777" w:rsidR="001D61AD" w:rsidRPr="003047F5" w:rsidRDefault="00000000">
            <w:pPr>
              <w:spacing w:after="0" w:line="400" w:lineRule="exact"/>
              <w:jc w:val="right"/>
              <w:rPr>
                <w:rFonts w:ascii="宋体" w:eastAsia="宋体" w:hAnsi="宋体" w:cs="宋体" w:hint="eastAsia"/>
                <w:sz w:val="24"/>
              </w:rPr>
            </w:pPr>
            <w:r w:rsidRPr="003047F5">
              <w:rPr>
                <w:rFonts w:ascii="宋体" w:eastAsia="宋体" w:hAnsi="宋体" w:cs="宋体"/>
                <w:sz w:val="24"/>
              </w:rPr>
              <w:t>-35,000</w:t>
            </w:r>
          </w:p>
        </w:tc>
        <w:tc>
          <w:tcPr>
            <w:tcW w:w="689" w:type="dxa"/>
            <w:vAlign w:val="center"/>
          </w:tcPr>
          <w:p w14:paraId="4A6882E3" w14:textId="77777777" w:rsidR="001D61AD" w:rsidRPr="003047F5" w:rsidRDefault="00000000">
            <w:pPr>
              <w:spacing w:after="0" w:line="400" w:lineRule="exact"/>
              <w:jc w:val="center"/>
              <w:rPr>
                <w:rFonts w:ascii="宋体" w:eastAsia="宋体" w:hAnsi="宋体" w:cs="宋体" w:hint="eastAsia"/>
                <w:sz w:val="24"/>
              </w:rPr>
            </w:pPr>
            <w:r w:rsidRPr="003047F5">
              <w:rPr>
                <w:rFonts w:ascii="宋体" w:eastAsia="宋体" w:hAnsi="宋体" w:cs="宋体"/>
                <w:sz w:val="24"/>
              </w:rPr>
              <w:t>～</w:t>
            </w:r>
          </w:p>
        </w:tc>
        <w:tc>
          <w:tcPr>
            <w:tcW w:w="1437" w:type="dxa"/>
            <w:vAlign w:val="center"/>
          </w:tcPr>
          <w:p w14:paraId="2672227F" w14:textId="77777777" w:rsidR="001D61AD" w:rsidRPr="003047F5" w:rsidRDefault="00000000">
            <w:pPr>
              <w:spacing w:after="0" w:line="400" w:lineRule="exact"/>
              <w:jc w:val="right"/>
              <w:rPr>
                <w:rFonts w:ascii="宋体" w:eastAsia="宋体" w:hAnsi="宋体" w:cs="宋体" w:hint="eastAsia"/>
                <w:sz w:val="24"/>
              </w:rPr>
            </w:pPr>
            <w:r w:rsidRPr="003047F5">
              <w:rPr>
                <w:rFonts w:ascii="宋体" w:eastAsia="宋体" w:hAnsi="宋体" w:cs="宋体"/>
                <w:sz w:val="24"/>
              </w:rPr>
              <w:t>-24,000</w:t>
            </w:r>
          </w:p>
        </w:tc>
        <w:tc>
          <w:tcPr>
            <w:tcW w:w="2410" w:type="dxa"/>
            <w:vAlign w:val="center"/>
          </w:tcPr>
          <w:p w14:paraId="03A2286C" w14:textId="77777777" w:rsidR="001D61AD" w:rsidRPr="003047F5" w:rsidRDefault="00000000">
            <w:pPr>
              <w:spacing w:after="0" w:line="400" w:lineRule="exact"/>
              <w:jc w:val="right"/>
              <w:rPr>
                <w:rFonts w:ascii="宋体" w:eastAsia="宋体" w:hAnsi="宋体" w:cs="宋体" w:hint="eastAsia"/>
                <w:sz w:val="24"/>
              </w:rPr>
            </w:pPr>
            <w:r w:rsidRPr="003047F5">
              <w:rPr>
                <w:rFonts w:ascii="宋体" w:eastAsia="宋体" w:hAnsi="宋体" w:cs="宋体"/>
                <w:sz w:val="24"/>
              </w:rPr>
              <w:t>-225,177.81</w:t>
            </w:r>
          </w:p>
        </w:tc>
      </w:tr>
      <w:tr w:rsidR="001D61AD" w:rsidRPr="003047F5" w14:paraId="1352C5C5" w14:textId="77777777" w:rsidTr="003047F5">
        <w:trPr>
          <w:trHeight w:val="400"/>
        </w:trPr>
        <w:tc>
          <w:tcPr>
            <w:tcW w:w="3544" w:type="dxa"/>
            <w:vAlign w:val="center"/>
          </w:tcPr>
          <w:p w14:paraId="2A3940B4" w14:textId="77777777" w:rsidR="001D61AD" w:rsidRPr="003047F5" w:rsidRDefault="00000000">
            <w:pPr>
              <w:spacing w:after="0" w:line="400" w:lineRule="exact"/>
              <w:rPr>
                <w:rFonts w:ascii="宋体" w:eastAsia="宋体" w:hAnsi="宋体" w:cs="宋体" w:hint="eastAsia"/>
                <w:sz w:val="24"/>
              </w:rPr>
            </w:pPr>
            <w:r w:rsidRPr="003047F5">
              <w:rPr>
                <w:rFonts w:ascii="宋体" w:eastAsia="宋体" w:hAnsi="宋体" w:cs="宋体"/>
                <w:sz w:val="24"/>
              </w:rPr>
              <w:t>基本每股收益（元/股）</w:t>
            </w:r>
          </w:p>
        </w:tc>
        <w:tc>
          <w:tcPr>
            <w:tcW w:w="1418" w:type="dxa"/>
            <w:vAlign w:val="center"/>
          </w:tcPr>
          <w:p w14:paraId="7173F28F" w14:textId="77777777" w:rsidR="001D61AD" w:rsidRPr="003047F5" w:rsidRDefault="00000000">
            <w:pPr>
              <w:spacing w:after="0" w:line="400" w:lineRule="exact"/>
              <w:jc w:val="right"/>
              <w:rPr>
                <w:rFonts w:ascii="宋体" w:eastAsia="宋体" w:hAnsi="宋体" w:cs="宋体" w:hint="eastAsia"/>
                <w:sz w:val="24"/>
              </w:rPr>
            </w:pPr>
            <w:r w:rsidRPr="003047F5">
              <w:rPr>
                <w:rFonts w:ascii="宋体" w:eastAsia="宋体" w:hAnsi="宋体" w:cs="宋体"/>
                <w:sz w:val="24"/>
              </w:rPr>
              <w:t>-0.02</w:t>
            </w:r>
          </w:p>
        </w:tc>
        <w:tc>
          <w:tcPr>
            <w:tcW w:w="689" w:type="dxa"/>
            <w:vAlign w:val="center"/>
          </w:tcPr>
          <w:p w14:paraId="082D487F" w14:textId="77777777" w:rsidR="001D61AD" w:rsidRPr="003047F5" w:rsidRDefault="00000000">
            <w:pPr>
              <w:spacing w:after="0" w:line="400" w:lineRule="exact"/>
              <w:jc w:val="center"/>
              <w:rPr>
                <w:rFonts w:ascii="宋体" w:eastAsia="宋体" w:hAnsi="宋体" w:cs="宋体" w:hint="eastAsia"/>
                <w:sz w:val="24"/>
              </w:rPr>
            </w:pPr>
            <w:r w:rsidRPr="003047F5">
              <w:rPr>
                <w:rFonts w:ascii="宋体" w:eastAsia="宋体" w:hAnsi="宋体" w:cs="宋体"/>
                <w:sz w:val="24"/>
              </w:rPr>
              <w:t>～</w:t>
            </w:r>
          </w:p>
        </w:tc>
        <w:tc>
          <w:tcPr>
            <w:tcW w:w="1437" w:type="dxa"/>
            <w:vAlign w:val="center"/>
          </w:tcPr>
          <w:p w14:paraId="4C42DD05" w14:textId="77777777" w:rsidR="001D61AD" w:rsidRPr="003047F5" w:rsidRDefault="00000000">
            <w:pPr>
              <w:spacing w:after="0" w:line="400" w:lineRule="exact"/>
              <w:jc w:val="right"/>
              <w:rPr>
                <w:rFonts w:ascii="宋体" w:eastAsia="宋体" w:hAnsi="宋体" w:cs="宋体" w:hint="eastAsia"/>
                <w:sz w:val="24"/>
              </w:rPr>
            </w:pPr>
            <w:r w:rsidRPr="003047F5">
              <w:rPr>
                <w:rFonts w:ascii="宋体" w:eastAsia="宋体" w:hAnsi="宋体" w:cs="宋体"/>
                <w:sz w:val="24"/>
              </w:rPr>
              <w:t>-0.013</w:t>
            </w:r>
          </w:p>
        </w:tc>
        <w:tc>
          <w:tcPr>
            <w:tcW w:w="2410" w:type="dxa"/>
            <w:vAlign w:val="center"/>
          </w:tcPr>
          <w:p w14:paraId="3C25DB17" w14:textId="77777777" w:rsidR="001D61AD" w:rsidRPr="003047F5" w:rsidRDefault="00000000">
            <w:pPr>
              <w:spacing w:after="0" w:line="400" w:lineRule="exact"/>
              <w:jc w:val="right"/>
              <w:rPr>
                <w:rFonts w:ascii="宋体" w:eastAsia="宋体" w:hAnsi="宋体" w:cs="宋体" w:hint="eastAsia"/>
                <w:sz w:val="24"/>
              </w:rPr>
            </w:pPr>
            <w:r w:rsidRPr="003047F5">
              <w:rPr>
                <w:rFonts w:ascii="宋体" w:eastAsia="宋体" w:hAnsi="宋体" w:cs="宋体"/>
                <w:sz w:val="24"/>
              </w:rPr>
              <w:t>-0.46</w:t>
            </w:r>
          </w:p>
        </w:tc>
      </w:tr>
    </w:tbl>
    <w:p w14:paraId="6979C3D2" w14:textId="77777777" w:rsidR="001D61AD" w:rsidRPr="003047F5" w:rsidRDefault="00000000" w:rsidP="003047F5">
      <w:pPr>
        <w:pStyle w:val="2"/>
        <w:spacing w:after="0" w:line="400" w:lineRule="exact"/>
        <w:ind w:firstLineChars="200" w:firstLine="482"/>
        <w:rPr>
          <w:rFonts w:ascii="宋体" w:eastAsia="宋体" w:hAnsi="宋体" w:cs="宋体" w:hint="eastAsia"/>
          <w:b/>
          <w:bCs/>
          <w:sz w:val="24"/>
          <w:szCs w:val="24"/>
        </w:rPr>
      </w:pPr>
      <w:bookmarkStart w:id="1" w:name="_Toc988890"/>
      <w:r w:rsidRPr="003047F5">
        <w:rPr>
          <w:rFonts w:ascii="宋体" w:eastAsia="宋体" w:hAnsi="宋体" w:cs="宋体"/>
          <w:b/>
          <w:bCs/>
          <w:sz w:val="24"/>
          <w:szCs w:val="24"/>
        </w:rPr>
        <w:t>二、与会计师事务所沟通情况</w:t>
      </w:r>
      <w:bookmarkEnd w:id="1"/>
    </w:p>
    <w:p w14:paraId="7F5A4466" w14:textId="77777777" w:rsidR="00000000" w:rsidRPr="003047F5" w:rsidRDefault="00000000" w:rsidP="003047F5">
      <w:pPr>
        <w:pStyle w:val="a3"/>
        <w:spacing w:before="0" w:beforeAutospacing="0" w:after="0" w:afterAutospacing="0" w:line="360" w:lineRule="auto"/>
        <w:ind w:firstLine="480"/>
        <w:jc w:val="both"/>
        <w:divId w:val="801773615"/>
        <w:rPr>
          <w:rFonts w:cs="Times New Roman"/>
        </w:rPr>
      </w:pPr>
      <w:r w:rsidRPr="003047F5">
        <w:rPr>
          <w:rFonts w:cs="Times New Roman" w:hint="eastAsia"/>
        </w:rPr>
        <w:t>本次业绩预告相关数据是公司财务部门初步测算的结果，公司已就业绩预告有关重大事项与会计师事务所进行了预沟通，公司与会计师事务所在本报告期内的业绩预告方面不存在分歧。</w:t>
      </w:r>
    </w:p>
    <w:p w14:paraId="44FEF996" w14:textId="77777777" w:rsidR="001D61AD" w:rsidRPr="003047F5" w:rsidRDefault="00000000" w:rsidP="003047F5">
      <w:pPr>
        <w:pStyle w:val="2"/>
        <w:spacing w:before="0" w:after="0" w:line="360" w:lineRule="auto"/>
        <w:ind w:firstLineChars="200" w:firstLine="482"/>
        <w:rPr>
          <w:rFonts w:ascii="宋体" w:eastAsia="宋体" w:hAnsi="宋体" w:cs="宋体" w:hint="eastAsia"/>
          <w:b/>
          <w:bCs/>
          <w:sz w:val="24"/>
          <w:szCs w:val="24"/>
        </w:rPr>
      </w:pPr>
      <w:bookmarkStart w:id="2" w:name="_Toc988891"/>
      <w:r w:rsidRPr="003047F5">
        <w:rPr>
          <w:rFonts w:ascii="宋体" w:eastAsia="宋体" w:hAnsi="宋体" w:cs="宋体"/>
          <w:b/>
          <w:bCs/>
          <w:sz w:val="24"/>
          <w:szCs w:val="24"/>
        </w:rPr>
        <w:t>三、业绩变动原因说明</w:t>
      </w:r>
      <w:bookmarkEnd w:id="2"/>
    </w:p>
    <w:p w14:paraId="04B9C524" w14:textId="77777777" w:rsidR="00000000" w:rsidRPr="003047F5" w:rsidRDefault="00000000">
      <w:pPr>
        <w:pStyle w:val="a3"/>
        <w:spacing w:before="0" w:beforeAutospacing="0" w:after="0" w:afterAutospacing="0" w:line="360" w:lineRule="auto"/>
        <w:ind w:firstLine="480"/>
        <w:jc w:val="both"/>
        <w:divId w:val="802694798"/>
        <w:rPr>
          <w:rFonts w:ascii="Times New Roman" w:hAnsi="Times New Roman" w:cs="Times New Roman"/>
        </w:rPr>
      </w:pPr>
      <w:r w:rsidRPr="003047F5">
        <w:rPr>
          <w:rFonts w:cs="Times New Roman" w:hint="eastAsia"/>
        </w:rPr>
        <w:t>本报告期，光</w:t>
      </w:r>
      <w:proofErr w:type="gramStart"/>
      <w:r w:rsidRPr="003047F5">
        <w:rPr>
          <w:rFonts w:cs="Times New Roman" w:hint="eastAsia"/>
        </w:rPr>
        <w:t>伏行业</w:t>
      </w:r>
      <w:proofErr w:type="gramEnd"/>
      <w:r w:rsidRPr="003047F5">
        <w:rPr>
          <w:rFonts w:cs="Times New Roman" w:hint="eastAsia"/>
        </w:rPr>
        <w:t>竞争持续加剧，市场有效需求疲软，同时叠加国际贸易保护政策的影响，导致公司光</w:t>
      </w:r>
      <w:proofErr w:type="gramStart"/>
      <w:r w:rsidRPr="003047F5">
        <w:rPr>
          <w:rFonts w:cs="Times New Roman" w:hint="eastAsia"/>
        </w:rPr>
        <w:t>伏业务</w:t>
      </w:r>
      <w:proofErr w:type="gramEnd"/>
      <w:r w:rsidRPr="003047F5">
        <w:rPr>
          <w:rFonts w:cs="Times New Roman" w:hint="eastAsia"/>
        </w:rPr>
        <w:t>市场拓展受限、盈利能力不足，从而导致公司整体业绩出现一定亏损。</w:t>
      </w:r>
    </w:p>
    <w:p w14:paraId="65CC9ACA" w14:textId="77777777" w:rsidR="00000000" w:rsidRPr="003047F5" w:rsidRDefault="00000000">
      <w:pPr>
        <w:pStyle w:val="a3"/>
        <w:spacing w:before="0" w:beforeAutospacing="0" w:after="0" w:afterAutospacing="0" w:line="360" w:lineRule="auto"/>
        <w:ind w:firstLine="480"/>
        <w:jc w:val="both"/>
        <w:divId w:val="802694798"/>
        <w:rPr>
          <w:rFonts w:ascii="Times New Roman" w:hAnsi="Times New Roman" w:cs="Times New Roman"/>
        </w:rPr>
      </w:pPr>
      <w:r w:rsidRPr="003047F5">
        <w:rPr>
          <w:rFonts w:cs="Times New Roman" w:hint="eastAsia"/>
        </w:rPr>
        <w:t>本报告期内，公司通过提升运营管理水平、采取降本提质行动、剥离低效无效资产、改善资产质量，使得亏损同比大幅减少。</w:t>
      </w:r>
    </w:p>
    <w:p w14:paraId="755B37BB" w14:textId="77777777" w:rsidR="001D61AD" w:rsidRPr="003047F5" w:rsidRDefault="00000000" w:rsidP="003047F5">
      <w:pPr>
        <w:pStyle w:val="2"/>
        <w:spacing w:before="0" w:after="0" w:line="360" w:lineRule="auto"/>
        <w:ind w:firstLineChars="200" w:firstLine="482"/>
        <w:rPr>
          <w:rFonts w:ascii="宋体" w:eastAsia="宋体" w:hAnsi="宋体" w:cs="宋体" w:hint="eastAsia"/>
          <w:b/>
          <w:bCs/>
          <w:sz w:val="24"/>
          <w:szCs w:val="24"/>
        </w:rPr>
      </w:pPr>
      <w:bookmarkStart w:id="3" w:name="_Toc988892"/>
      <w:r w:rsidRPr="003047F5">
        <w:rPr>
          <w:rFonts w:ascii="宋体" w:eastAsia="宋体" w:hAnsi="宋体" w:cs="宋体"/>
          <w:b/>
          <w:bCs/>
          <w:sz w:val="24"/>
          <w:szCs w:val="24"/>
        </w:rPr>
        <w:t>四、其他相关说明</w:t>
      </w:r>
      <w:bookmarkEnd w:id="3"/>
    </w:p>
    <w:p w14:paraId="477606E8" w14:textId="77777777" w:rsidR="00000000" w:rsidRPr="003047F5" w:rsidRDefault="00000000">
      <w:pPr>
        <w:pStyle w:val="a3"/>
        <w:spacing w:before="0" w:beforeAutospacing="0" w:after="0" w:afterAutospacing="0" w:line="360" w:lineRule="auto"/>
        <w:ind w:firstLine="480"/>
        <w:jc w:val="both"/>
        <w:divId w:val="1833717706"/>
        <w:rPr>
          <w:rFonts w:ascii="Times New Roman" w:hAnsi="Times New Roman" w:cs="Times New Roman"/>
        </w:rPr>
      </w:pPr>
      <w:r w:rsidRPr="003047F5">
        <w:rPr>
          <w:rFonts w:cs="Times New Roman" w:hint="eastAsia"/>
        </w:rPr>
        <w:t> 本次业绩预告相关数据是公司财务部门根据当前情况初步测算的结果，未经会计师事务所审计，最终以会计师事务所出具的2025年年度审计报告为准。</w:t>
      </w:r>
    </w:p>
    <w:p w14:paraId="439D21EF" w14:textId="38BF6D94" w:rsidR="001D61AD" w:rsidRPr="003047F5" w:rsidRDefault="00000000" w:rsidP="003047F5">
      <w:pPr>
        <w:pStyle w:val="a3"/>
        <w:spacing w:before="0" w:beforeAutospacing="0" w:after="0" w:afterAutospacing="0" w:line="360" w:lineRule="auto"/>
        <w:ind w:firstLine="480"/>
        <w:jc w:val="both"/>
        <w:divId w:val="1833717706"/>
        <w:rPr>
          <w:rFonts w:ascii="Times New Roman" w:hAnsi="Times New Roman" w:cs="Times New Roman" w:hint="eastAsia"/>
        </w:rPr>
      </w:pPr>
      <w:r w:rsidRPr="003047F5">
        <w:rPr>
          <w:rFonts w:cs="Times New Roman" w:hint="eastAsia"/>
          <w:color w:val="000000"/>
        </w:rPr>
        <w:lastRenderedPageBreak/>
        <w:t>公司指定信息披露媒体为《证券时报》《证券日报》《上海证券报》和巨潮资讯网（www.cninfo.com.cn)，公司所有信息均以在上述指定媒体刊登的信息为准。敬请广大投资者理性投资，注意投资风险</w:t>
      </w:r>
      <w:r w:rsidRPr="003047F5">
        <w:rPr>
          <w:rFonts w:cs="Times New Roman" w:hint="eastAsia"/>
        </w:rPr>
        <w:t>。</w:t>
      </w:r>
      <w:bookmarkStart w:id="4" w:name="_Toc988893"/>
      <w:bookmarkEnd w:id="4"/>
    </w:p>
    <w:p w14:paraId="429A0FDE" w14:textId="77777777" w:rsidR="003047F5" w:rsidRDefault="003047F5" w:rsidP="003047F5">
      <w:pPr>
        <w:spacing w:after="0" w:line="400" w:lineRule="exact"/>
        <w:ind w:firstLineChars="200" w:firstLine="480"/>
        <w:rPr>
          <w:rFonts w:ascii="宋体" w:eastAsia="宋体" w:hAnsi="宋体" w:cs="宋体"/>
          <w:sz w:val="24"/>
        </w:rPr>
      </w:pPr>
    </w:p>
    <w:p w14:paraId="7E2BB8E5" w14:textId="6D8280F4" w:rsidR="001D61AD" w:rsidRPr="003047F5" w:rsidRDefault="00000000">
      <w:pPr>
        <w:spacing w:after="1000" w:line="400" w:lineRule="exact"/>
        <w:ind w:firstLineChars="200" w:firstLine="480"/>
        <w:rPr>
          <w:rFonts w:ascii="宋体" w:eastAsia="宋体" w:hAnsi="宋体" w:cs="宋体" w:hint="eastAsia"/>
          <w:sz w:val="24"/>
        </w:rPr>
      </w:pPr>
      <w:r w:rsidRPr="003047F5">
        <w:rPr>
          <w:rFonts w:ascii="宋体" w:eastAsia="宋体" w:hAnsi="宋体" w:cs="宋体"/>
          <w:sz w:val="24"/>
        </w:rPr>
        <w:t>特此公告。</w:t>
      </w:r>
    </w:p>
    <w:p w14:paraId="1DFCD635" w14:textId="027D87C4" w:rsidR="001D61AD" w:rsidRPr="003047F5" w:rsidRDefault="00000000" w:rsidP="003047F5">
      <w:pPr>
        <w:spacing w:after="0" w:line="360" w:lineRule="auto"/>
        <w:jc w:val="right"/>
        <w:rPr>
          <w:rFonts w:ascii="宋体" w:eastAsia="宋体" w:hAnsi="宋体" w:cs="宋体" w:hint="eastAsia"/>
          <w:sz w:val="24"/>
        </w:rPr>
      </w:pPr>
      <w:r w:rsidRPr="003047F5">
        <w:rPr>
          <w:rFonts w:ascii="宋体" w:eastAsia="宋体" w:hAnsi="宋体" w:cs="宋体"/>
          <w:sz w:val="24"/>
        </w:rPr>
        <w:t>江苏中利集团股份有限公司董事会</w:t>
      </w:r>
    </w:p>
    <w:p w14:paraId="07B260A3" w14:textId="77777777" w:rsidR="001D61AD" w:rsidRPr="003047F5" w:rsidRDefault="00000000" w:rsidP="003047F5">
      <w:pPr>
        <w:spacing w:after="0" w:line="360" w:lineRule="auto"/>
        <w:jc w:val="right"/>
        <w:rPr>
          <w:rFonts w:ascii="宋体" w:eastAsia="宋体" w:hAnsi="宋体" w:cs="宋体" w:hint="eastAsia"/>
          <w:sz w:val="24"/>
        </w:rPr>
      </w:pPr>
      <w:r w:rsidRPr="003047F5">
        <w:rPr>
          <w:rFonts w:ascii="宋体" w:eastAsia="宋体" w:hAnsi="宋体" w:cs="宋体"/>
          <w:sz w:val="24"/>
        </w:rPr>
        <w:t>2026年01月20日</w:t>
      </w:r>
    </w:p>
    <w:sectPr w:rsidR="001D61AD" w:rsidRPr="003047F5">
      <w:pgSz w:w="11905" w:h="16840"/>
      <w:pgMar w:top="1440" w:right="1134" w:bottom="1440" w:left="1134" w:header="850" w:footer="992" w:gutter="0"/>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420"/>
  <w:characterSpacingControl w:val="doNotCompress"/>
  <w:compat>
    <w:useFELayout/>
    <w:compatSetting w:name="compatibilityMode" w:uri="http://schemas.microsoft.com/office/word" w:val="14"/>
    <w:compatSetting w:name="useWord2013TrackBottomHyphenation" w:uri="http://schemas.microsoft.com/office/word" w:val="1"/>
  </w:compat>
  <w:rsids>
    <w:rsidRoot w:val="001D61AD"/>
    <w:rsid w:val="001D61AD"/>
    <w:rsid w:val="003047F5"/>
    <w:rsid w:val="00862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89809"/>
  <w15:docId w15:val="{FA352343-D089-46B6-BD88-BE45A6D7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line="240" w:lineRule="auto"/>
      <w:outlineLvl w:val="1"/>
    </w:pPr>
    <w:rPr>
      <w:sz w:val="21"/>
      <w:szCs w:val="21"/>
    </w:rPr>
  </w:style>
  <w:style w:type="paragraph" w:styleId="3">
    <w:name w:val="heading 3"/>
    <w:basedOn w:val="a"/>
    <w:next w:val="a"/>
    <w:uiPriority w:val="9"/>
    <w:semiHidden/>
    <w:unhideWhenUsed/>
    <w:qFormat/>
    <w:rsid w:val="00B74129"/>
    <w:pPr>
      <w:keepNext/>
      <w:keepLines/>
      <w:spacing w:before="300" w:after="300" w:line="241" w:lineRule="auto"/>
      <w:jc w:val="both"/>
      <w:outlineLvl w:val="2"/>
    </w:pPr>
    <w:rPr>
      <w:rFonts w:eastAsia="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TOC1">
    <w:name w:val="toc 1"/>
    <w:basedOn w:val="a"/>
    <w:next w:val="a"/>
    <w:autoRedefine/>
    <w:uiPriority w:val="39"/>
  </w:style>
  <w:style w:type="paragraph" w:styleId="TOC2">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line="240" w:lineRule="auto"/>
    </w:pPr>
    <w:rPr>
      <w:rFonts w:ascii="宋体" w:eastAsia="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773615">
      <w:bodyDiv w:val="1"/>
      <w:marLeft w:val="0"/>
      <w:marRight w:val="0"/>
      <w:marTop w:val="0"/>
      <w:marBottom w:val="0"/>
      <w:divBdr>
        <w:top w:val="none" w:sz="0" w:space="0" w:color="auto"/>
        <w:left w:val="none" w:sz="0" w:space="0" w:color="auto"/>
        <w:bottom w:val="none" w:sz="0" w:space="0" w:color="auto"/>
        <w:right w:val="none" w:sz="0" w:space="0" w:color="auto"/>
      </w:divBdr>
    </w:div>
    <w:div w:id="802694798">
      <w:bodyDiv w:val="1"/>
      <w:marLeft w:val="0"/>
      <w:marRight w:val="0"/>
      <w:marTop w:val="0"/>
      <w:marBottom w:val="0"/>
      <w:divBdr>
        <w:top w:val="none" w:sz="0" w:space="0" w:color="auto"/>
        <w:left w:val="none" w:sz="0" w:space="0" w:color="auto"/>
        <w:bottom w:val="none" w:sz="0" w:space="0" w:color="auto"/>
        <w:right w:val="none" w:sz="0" w:space="0" w:color="auto"/>
      </w:divBdr>
    </w:div>
    <w:div w:id="1833717706">
      <w:bodyDiv w:val="1"/>
      <w:marLeft w:val="0"/>
      <w:marRight w:val="0"/>
      <w:marTop w:val="0"/>
      <w:marBottom w:val="0"/>
      <w:divBdr>
        <w:top w:val="none" w:sz="0" w:space="0" w:color="auto"/>
        <w:left w:val="none" w:sz="0" w:space="0" w:color="auto"/>
        <w:bottom w:val="none" w:sz="0" w:space="0" w:color="auto"/>
        <w:right w:val="none" w:sz="0" w:space="0" w:color="auto"/>
      </w:divBdr>
    </w:div>
    <w:div w:id="1836066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周玲</cp:lastModifiedBy>
  <cp:revision>2</cp:revision>
  <dcterms:created xsi:type="dcterms:W3CDTF">2026-01-19T09:16:00Z</dcterms:created>
  <dcterms:modified xsi:type="dcterms:W3CDTF">2026-01-19T09:20:00Z</dcterms:modified>
</cp:coreProperties>
</file>