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E343" w14:textId="77777777" w:rsidR="001006F9" w:rsidRPr="005D7E8A" w:rsidRDefault="00371742" w:rsidP="005D7E8A">
      <w:pPr>
        <w:spacing w:beforeLines="100" w:before="312" w:afterLines="100" w:after="312" w:line="360" w:lineRule="auto"/>
        <w:jc w:val="center"/>
        <w:rPr>
          <w:rFonts w:ascii="宋体" w:eastAsia="宋体" w:hAnsi="宋体" w:cs="宋体" w:hint="eastAsia"/>
          <w:szCs w:val="21"/>
        </w:rPr>
      </w:pPr>
      <w:r w:rsidRPr="005D7E8A">
        <w:rPr>
          <w:rFonts w:ascii="宋体" w:eastAsia="宋体" w:hAnsi="宋体" w:cs="宋体"/>
          <w:szCs w:val="21"/>
        </w:rPr>
        <w:t>证券代码：002309                证券简称：中利集团                公告编号：</w:t>
      </w:r>
      <w:r w:rsidR="005D7E8A">
        <w:rPr>
          <w:rFonts w:ascii="宋体" w:eastAsia="宋体" w:hAnsi="宋体" w:cs="宋体"/>
          <w:szCs w:val="21"/>
        </w:rPr>
        <w:t>2025-079</w:t>
      </w:r>
    </w:p>
    <w:p w14:paraId="7B9D38B5" w14:textId="77777777" w:rsidR="001006F9" w:rsidRDefault="00371742" w:rsidP="00AD6A55">
      <w:pPr>
        <w:spacing w:beforeLines="100" w:before="312" w:afterLines="100" w:after="312" w:line="360" w:lineRule="auto"/>
        <w:jc w:val="center"/>
        <w:rPr>
          <w:rFonts w:ascii="宋体" w:eastAsia="宋体" w:hAnsi="宋体" w:cs="宋体" w:hint="eastAsia"/>
          <w:b/>
          <w:bCs/>
          <w:sz w:val="36"/>
          <w:szCs w:val="36"/>
        </w:rPr>
      </w:pPr>
      <w:r>
        <w:rPr>
          <w:rFonts w:ascii="宋体" w:eastAsia="宋体" w:hAnsi="宋体" w:cs="宋体"/>
          <w:b/>
          <w:bCs/>
          <w:sz w:val="36"/>
          <w:szCs w:val="36"/>
        </w:rPr>
        <w:t>江苏中利集团股份有限公司2025年半年度报告摘要</w:t>
      </w:r>
    </w:p>
    <w:p w14:paraId="599580DF" w14:textId="77777777" w:rsidR="001006F9" w:rsidRPr="00AD6A55" w:rsidRDefault="00371742" w:rsidP="00BC05ED">
      <w:pPr>
        <w:pStyle w:val="2"/>
        <w:spacing w:before="300" w:after="300" w:line="320" w:lineRule="exact"/>
        <w:rPr>
          <w:rFonts w:ascii="宋体" w:eastAsia="宋体" w:hAnsi="宋体" w:cs="宋体" w:hint="eastAsia"/>
          <w:b/>
          <w:bCs/>
          <w:sz w:val="24"/>
          <w:szCs w:val="24"/>
        </w:rPr>
      </w:pPr>
      <w:bookmarkStart w:id="0" w:name="_Toc988889"/>
      <w:r w:rsidRPr="00AD6A55">
        <w:rPr>
          <w:rFonts w:ascii="宋体" w:eastAsia="宋体" w:hAnsi="宋体" w:cs="宋体"/>
          <w:b/>
          <w:bCs/>
          <w:sz w:val="24"/>
          <w:szCs w:val="24"/>
        </w:rPr>
        <w:t>一、重要提示</w:t>
      </w:r>
      <w:bookmarkEnd w:id="0"/>
    </w:p>
    <w:p w14:paraId="577DD46F" w14:textId="77777777" w:rsidR="001006F9" w:rsidRPr="00AD6A55" w:rsidRDefault="00371742" w:rsidP="00AD6A55">
      <w:pPr>
        <w:spacing w:line="360" w:lineRule="auto"/>
        <w:jc w:val="both"/>
        <w:rPr>
          <w:rFonts w:ascii="宋体" w:eastAsia="宋体" w:hAnsi="宋体" w:cs="宋体" w:hint="eastAsia"/>
          <w:sz w:val="24"/>
          <w:szCs w:val="24"/>
        </w:rPr>
      </w:pPr>
      <w:proofErr w:type="gramStart"/>
      <w:r w:rsidRPr="00AD6A55">
        <w:rPr>
          <w:rFonts w:ascii="宋体" w:eastAsia="宋体" w:hAnsi="宋体" w:cs="宋体"/>
          <w:sz w:val="24"/>
          <w:szCs w:val="24"/>
        </w:rPr>
        <w:t>本半年度</w:t>
      </w:r>
      <w:proofErr w:type="gramEnd"/>
      <w:r w:rsidRPr="00AD6A55">
        <w:rPr>
          <w:rFonts w:ascii="宋体" w:eastAsia="宋体" w:hAnsi="宋体" w:cs="宋体"/>
          <w:sz w:val="24"/>
          <w:szCs w:val="24"/>
        </w:rPr>
        <w:t>报告摘要来自半年度报告全文，为全面了解本公司的经营成果、财务状况及未来发展规划，投资者应当到证监会指定媒体仔细阅读半年度报告全文。</w:t>
      </w:r>
    </w:p>
    <w:p w14:paraId="114B95F8"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所有董事均</w:t>
      </w:r>
      <w:proofErr w:type="gramStart"/>
      <w:r w:rsidRPr="00AD6A55">
        <w:rPr>
          <w:rFonts w:ascii="宋体" w:eastAsia="宋体" w:hAnsi="宋体" w:cs="宋体"/>
          <w:sz w:val="24"/>
          <w:szCs w:val="24"/>
        </w:rPr>
        <w:t>已出席</w:t>
      </w:r>
      <w:proofErr w:type="gramEnd"/>
      <w:r w:rsidRPr="00AD6A55">
        <w:rPr>
          <w:rFonts w:ascii="宋体" w:eastAsia="宋体" w:hAnsi="宋体" w:cs="宋体"/>
          <w:sz w:val="24"/>
          <w:szCs w:val="24"/>
        </w:rPr>
        <w:t>了审议本报告的董事会会议。</w:t>
      </w:r>
    </w:p>
    <w:p w14:paraId="1BC5174C"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非标准审计意见提示</w:t>
      </w:r>
    </w:p>
    <w:p w14:paraId="731B8E08"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 xml:space="preserve">□适用 </w:t>
      </w:r>
      <w:r w:rsidRPr="00AD6A55">
        <w:rPr>
          <w:rFonts w:ascii="宋体" w:eastAsia="宋体" w:hAnsi="宋体" w:cs="宋体"/>
          <w:sz w:val="24"/>
          <w:szCs w:val="24"/>
        </w:rPr>
        <w:sym w:font="Wingdings 2" w:char="F052"/>
      </w:r>
      <w:r w:rsidRPr="00AD6A55">
        <w:rPr>
          <w:rFonts w:ascii="宋体" w:eastAsia="宋体" w:hAnsi="宋体" w:cs="宋体"/>
          <w:sz w:val="24"/>
          <w:szCs w:val="24"/>
        </w:rPr>
        <w:t>不适用</w:t>
      </w:r>
    </w:p>
    <w:p w14:paraId="0324B76E"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董事会审议的报告期利润分配预案或公积金转增股本预案</w:t>
      </w:r>
    </w:p>
    <w:p w14:paraId="329DA771"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 xml:space="preserve">□适用 </w:t>
      </w:r>
      <w:r w:rsidRPr="00AD6A55">
        <w:rPr>
          <w:rFonts w:ascii="宋体" w:eastAsia="宋体" w:hAnsi="宋体" w:cs="宋体"/>
          <w:sz w:val="24"/>
          <w:szCs w:val="24"/>
        </w:rPr>
        <w:sym w:font="Wingdings 2" w:char="F052"/>
      </w:r>
      <w:r w:rsidRPr="00AD6A55">
        <w:rPr>
          <w:rFonts w:ascii="宋体" w:eastAsia="宋体" w:hAnsi="宋体" w:cs="宋体"/>
          <w:sz w:val="24"/>
          <w:szCs w:val="24"/>
        </w:rPr>
        <w:t>不适用</w:t>
      </w:r>
    </w:p>
    <w:p w14:paraId="652D6188"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公司计划</w:t>
      </w:r>
      <w:proofErr w:type="gramStart"/>
      <w:r w:rsidRPr="00AD6A55">
        <w:rPr>
          <w:rFonts w:ascii="宋体" w:eastAsia="宋体" w:hAnsi="宋体" w:cs="宋体"/>
          <w:sz w:val="24"/>
          <w:szCs w:val="24"/>
        </w:rPr>
        <w:t>不</w:t>
      </w:r>
      <w:proofErr w:type="gramEnd"/>
      <w:r w:rsidRPr="00AD6A55">
        <w:rPr>
          <w:rFonts w:ascii="宋体" w:eastAsia="宋体" w:hAnsi="宋体" w:cs="宋体"/>
          <w:sz w:val="24"/>
          <w:szCs w:val="24"/>
        </w:rPr>
        <w:t>派发现金红利，不送红股，不以公积金转增股本。</w:t>
      </w:r>
    </w:p>
    <w:p w14:paraId="19039A31"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董事会决议通过的本报告期优先股利润分配预案</w:t>
      </w:r>
    </w:p>
    <w:p w14:paraId="3A3EFFFA"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 xml:space="preserve">□适用 </w:t>
      </w:r>
      <w:r w:rsidRPr="00AD6A55">
        <w:rPr>
          <w:rFonts w:ascii="宋体" w:eastAsia="宋体" w:hAnsi="宋体" w:cs="宋体"/>
          <w:sz w:val="24"/>
          <w:szCs w:val="24"/>
        </w:rPr>
        <w:sym w:font="Wingdings 2" w:char="F052"/>
      </w:r>
      <w:r w:rsidRPr="00AD6A55">
        <w:rPr>
          <w:rFonts w:ascii="宋体" w:eastAsia="宋体" w:hAnsi="宋体" w:cs="宋体"/>
          <w:sz w:val="24"/>
          <w:szCs w:val="24"/>
        </w:rPr>
        <w:t>不适用</w:t>
      </w:r>
    </w:p>
    <w:p w14:paraId="1DEED9D0" w14:textId="77777777" w:rsidR="001006F9" w:rsidRDefault="00371742">
      <w:pPr>
        <w:pStyle w:val="2"/>
        <w:spacing w:before="300" w:after="300" w:line="320" w:lineRule="exact"/>
        <w:rPr>
          <w:rFonts w:ascii="宋体" w:eastAsia="宋体" w:hAnsi="宋体" w:cs="宋体" w:hint="eastAsia"/>
          <w:b/>
          <w:bCs/>
          <w:sz w:val="24"/>
          <w:szCs w:val="24"/>
        </w:rPr>
      </w:pPr>
      <w:bookmarkStart w:id="1" w:name="_Toc988890"/>
      <w:r>
        <w:rPr>
          <w:rFonts w:ascii="宋体" w:eastAsia="宋体" w:hAnsi="宋体" w:cs="宋体"/>
          <w:b/>
          <w:bCs/>
          <w:sz w:val="24"/>
          <w:szCs w:val="24"/>
        </w:rPr>
        <w:t>二、公司基本情况</w:t>
      </w:r>
      <w:bookmarkEnd w:id="1"/>
    </w:p>
    <w:p w14:paraId="6F26B8AE" w14:textId="77777777" w:rsidR="001006F9" w:rsidRPr="00AD6A55" w:rsidRDefault="00371742">
      <w:pPr>
        <w:pStyle w:val="3"/>
        <w:spacing w:line="280" w:lineRule="exact"/>
        <w:jc w:val="left"/>
        <w:rPr>
          <w:rFonts w:ascii="宋体" w:hAnsi="宋体" w:cs="宋体" w:hint="eastAsia"/>
          <w:b/>
          <w:bCs/>
          <w:sz w:val="24"/>
          <w:szCs w:val="24"/>
        </w:rPr>
      </w:pPr>
      <w:bookmarkStart w:id="2" w:name="_Toc988891"/>
      <w:r w:rsidRPr="00AD6A55">
        <w:rPr>
          <w:rFonts w:ascii="宋体" w:hAnsi="宋体" w:cs="宋体"/>
          <w:b/>
          <w:bCs/>
          <w:sz w:val="24"/>
          <w:szCs w:val="24"/>
        </w:rPr>
        <w:t>1、公司简介</w:t>
      </w:r>
      <w:bookmarkEnd w:id="2"/>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13"/>
        <w:gridCol w:w="2142"/>
        <w:gridCol w:w="1071"/>
        <w:gridCol w:w="1071"/>
        <w:gridCol w:w="2142"/>
      </w:tblGrid>
      <w:tr w:rsidR="001006F9" w:rsidRPr="00AD6A55" w14:paraId="21F82E77" w14:textId="77777777" w:rsidTr="00AD6A55">
        <w:trPr>
          <w:trHeight w:val="240"/>
        </w:trPr>
        <w:tc>
          <w:tcPr>
            <w:tcW w:w="3213" w:type="dxa"/>
            <w:vAlign w:val="center"/>
          </w:tcPr>
          <w:p w14:paraId="3B87ED49"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股票简称</w:t>
            </w:r>
          </w:p>
        </w:tc>
        <w:tc>
          <w:tcPr>
            <w:tcW w:w="2142" w:type="dxa"/>
            <w:vAlign w:val="center"/>
          </w:tcPr>
          <w:p w14:paraId="68A6EFF2"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中利集团</w:t>
            </w:r>
          </w:p>
        </w:tc>
        <w:tc>
          <w:tcPr>
            <w:tcW w:w="2142" w:type="dxa"/>
            <w:gridSpan w:val="2"/>
            <w:vAlign w:val="center"/>
          </w:tcPr>
          <w:p w14:paraId="674FFC5D"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股票代码</w:t>
            </w:r>
          </w:p>
        </w:tc>
        <w:tc>
          <w:tcPr>
            <w:tcW w:w="2142" w:type="dxa"/>
            <w:vAlign w:val="center"/>
          </w:tcPr>
          <w:p w14:paraId="029179BE"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002309</w:t>
            </w:r>
          </w:p>
        </w:tc>
      </w:tr>
      <w:tr w:rsidR="001006F9" w:rsidRPr="00AD6A55" w14:paraId="34B68E7A" w14:textId="77777777" w:rsidTr="00AD6A55">
        <w:trPr>
          <w:trHeight w:val="240"/>
        </w:trPr>
        <w:tc>
          <w:tcPr>
            <w:tcW w:w="3213" w:type="dxa"/>
            <w:vAlign w:val="center"/>
          </w:tcPr>
          <w:p w14:paraId="491B46CD"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股票上市交易所</w:t>
            </w:r>
          </w:p>
        </w:tc>
        <w:tc>
          <w:tcPr>
            <w:tcW w:w="6426" w:type="dxa"/>
            <w:gridSpan w:val="4"/>
            <w:vAlign w:val="center"/>
          </w:tcPr>
          <w:p w14:paraId="36780076"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深圳证券交易所</w:t>
            </w:r>
          </w:p>
        </w:tc>
      </w:tr>
      <w:tr w:rsidR="001006F9" w:rsidRPr="00AD6A55" w14:paraId="1FAE6EC0" w14:textId="77777777" w:rsidTr="00AD6A55">
        <w:trPr>
          <w:trHeight w:val="240"/>
        </w:trPr>
        <w:tc>
          <w:tcPr>
            <w:tcW w:w="3213" w:type="dxa"/>
            <w:vAlign w:val="center"/>
          </w:tcPr>
          <w:p w14:paraId="5A84AF77"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变更前的股票简称（如有）</w:t>
            </w:r>
          </w:p>
        </w:tc>
        <w:tc>
          <w:tcPr>
            <w:tcW w:w="6426" w:type="dxa"/>
            <w:gridSpan w:val="4"/>
            <w:vAlign w:val="center"/>
          </w:tcPr>
          <w:p w14:paraId="2F4C5D92"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r>
      <w:tr w:rsidR="001006F9" w:rsidRPr="00AD6A55" w14:paraId="6C505955" w14:textId="77777777" w:rsidTr="00AD6A55">
        <w:trPr>
          <w:trHeight w:val="240"/>
        </w:trPr>
        <w:tc>
          <w:tcPr>
            <w:tcW w:w="3213" w:type="dxa"/>
            <w:vAlign w:val="center"/>
          </w:tcPr>
          <w:p w14:paraId="01DB84E2"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联系人和联系方式</w:t>
            </w:r>
          </w:p>
        </w:tc>
        <w:tc>
          <w:tcPr>
            <w:tcW w:w="3213" w:type="dxa"/>
            <w:gridSpan w:val="2"/>
            <w:vAlign w:val="center"/>
          </w:tcPr>
          <w:p w14:paraId="5D85905E"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董事会秘书</w:t>
            </w:r>
          </w:p>
        </w:tc>
        <w:tc>
          <w:tcPr>
            <w:tcW w:w="3213" w:type="dxa"/>
            <w:gridSpan w:val="2"/>
            <w:vAlign w:val="center"/>
          </w:tcPr>
          <w:p w14:paraId="68003DD1"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证券事务代表</w:t>
            </w:r>
          </w:p>
        </w:tc>
      </w:tr>
      <w:tr w:rsidR="001006F9" w:rsidRPr="00AD6A55" w14:paraId="3D1E1A1D" w14:textId="77777777" w:rsidTr="00AD6A55">
        <w:trPr>
          <w:trHeight w:val="240"/>
        </w:trPr>
        <w:tc>
          <w:tcPr>
            <w:tcW w:w="3213" w:type="dxa"/>
            <w:vAlign w:val="center"/>
          </w:tcPr>
          <w:p w14:paraId="61800CFC"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姓名</w:t>
            </w:r>
          </w:p>
        </w:tc>
        <w:tc>
          <w:tcPr>
            <w:tcW w:w="3213" w:type="dxa"/>
            <w:gridSpan w:val="2"/>
            <w:vAlign w:val="center"/>
          </w:tcPr>
          <w:p w14:paraId="087F0A2C"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廖嘉琦</w:t>
            </w:r>
          </w:p>
        </w:tc>
        <w:tc>
          <w:tcPr>
            <w:tcW w:w="3213" w:type="dxa"/>
            <w:gridSpan w:val="2"/>
            <w:vAlign w:val="center"/>
          </w:tcPr>
          <w:p w14:paraId="0CB5FFAC" w14:textId="77777777" w:rsidR="001006F9" w:rsidRPr="00AD6A55" w:rsidRDefault="00371742" w:rsidP="00AD6A55">
            <w:pPr>
              <w:spacing w:line="276" w:lineRule="auto"/>
              <w:rPr>
                <w:rFonts w:ascii="宋体" w:eastAsia="宋体" w:hAnsi="宋体" w:cs="宋体" w:hint="eastAsia"/>
                <w:szCs w:val="21"/>
              </w:rPr>
            </w:pPr>
            <w:proofErr w:type="gramStart"/>
            <w:r w:rsidRPr="00AD6A55">
              <w:rPr>
                <w:rFonts w:ascii="宋体" w:eastAsia="宋体" w:hAnsi="宋体" w:cs="宋体"/>
                <w:szCs w:val="21"/>
              </w:rPr>
              <w:t>周玲</w:t>
            </w:r>
            <w:proofErr w:type="gramEnd"/>
          </w:p>
        </w:tc>
      </w:tr>
      <w:tr w:rsidR="001006F9" w:rsidRPr="00AD6A55" w14:paraId="5170F583" w14:textId="77777777" w:rsidTr="00AD6A55">
        <w:trPr>
          <w:trHeight w:val="240"/>
        </w:trPr>
        <w:tc>
          <w:tcPr>
            <w:tcW w:w="3213" w:type="dxa"/>
            <w:vAlign w:val="center"/>
          </w:tcPr>
          <w:p w14:paraId="46DC9FF4"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办公地址</w:t>
            </w:r>
          </w:p>
        </w:tc>
        <w:tc>
          <w:tcPr>
            <w:tcW w:w="3213" w:type="dxa"/>
            <w:gridSpan w:val="2"/>
            <w:vAlign w:val="center"/>
          </w:tcPr>
          <w:p w14:paraId="18F1302E"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江苏省常熟东南经济开发区</w:t>
            </w:r>
          </w:p>
        </w:tc>
        <w:tc>
          <w:tcPr>
            <w:tcW w:w="3213" w:type="dxa"/>
            <w:gridSpan w:val="2"/>
            <w:vAlign w:val="center"/>
          </w:tcPr>
          <w:p w14:paraId="77D214B2"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江苏省常熟东南经济开发区</w:t>
            </w:r>
          </w:p>
        </w:tc>
      </w:tr>
      <w:tr w:rsidR="001006F9" w:rsidRPr="00AD6A55" w14:paraId="0772BF06" w14:textId="77777777" w:rsidTr="00AD6A55">
        <w:trPr>
          <w:trHeight w:val="240"/>
        </w:trPr>
        <w:tc>
          <w:tcPr>
            <w:tcW w:w="3213" w:type="dxa"/>
            <w:vAlign w:val="center"/>
          </w:tcPr>
          <w:p w14:paraId="75877E60"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电话</w:t>
            </w:r>
          </w:p>
        </w:tc>
        <w:tc>
          <w:tcPr>
            <w:tcW w:w="3213" w:type="dxa"/>
            <w:gridSpan w:val="2"/>
            <w:vAlign w:val="center"/>
          </w:tcPr>
          <w:p w14:paraId="6A08164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0512-52571188</w:t>
            </w:r>
          </w:p>
        </w:tc>
        <w:tc>
          <w:tcPr>
            <w:tcW w:w="3213" w:type="dxa"/>
            <w:gridSpan w:val="2"/>
            <w:vAlign w:val="center"/>
          </w:tcPr>
          <w:p w14:paraId="534B3666"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0512-52571188</w:t>
            </w:r>
          </w:p>
        </w:tc>
      </w:tr>
      <w:tr w:rsidR="001006F9" w:rsidRPr="00AD6A55" w14:paraId="420AE46E" w14:textId="77777777" w:rsidTr="00AD6A55">
        <w:trPr>
          <w:trHeight w:val="240"/>
        </w:trPr>
        <w:tc>
          <w:tcPr>
            <w:tcW w:w="3213" w:type="dxa"/>
            <w:vAlign w:val="center"/>
          </w:tcPr>
          <w:p w14:paraId="58170618"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电子信箱</w:t>
            </w:r>
          </w:p>
        </w:tc>
        <w:tc>
          <w:tcPr>
            <w:tcW w:w="3213" w:type="dxa"/>
            <w:gridSpan w:val="2"/>
            <w:vAlign w:val="center"/>
          </w:tcPr>
          <w:p w14:paraId="0651BA69"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zhonglidm@zhongli.com</w:t>
            </w:r>
          </w:p>
        </w:tc>
        <w:tc>
          <w:tcPr>
            <w:tcW w:w="3213" w:type="dxa"/>
            <w:gridSpan w:val="2"/>
            <w:vAlign w:val="center"/>
          </w:tcPr>
          <w:p w14:paraId="08691302"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zhonglidm@zhongli.com</w:t>
            </w:r>
          </w:p>
        </w:tc>
      </w:tr>
    </w:tbl>
    <w:p w14:paraId="36EA2C59" w14:textId="77777777" w:rsidR="001006F9" w:rsidRPr="00AD6A55" w:rsidRDefault="00371742" w:rsidP="00AD6A55">
      <w:pPr>
        <w:pStyle w:val="3"/>
        <w:spacing w:line="280" w:lineRule="exact"/>
        <w:jc w:val="left"/>
        <w:rPr>
          <w:rFonts w:ascii="宋体" w:hAnsi="宋体" w:cs="宋体" w:hint="eastAsia"/>
          <w:b/>
          <w:bCs/>
          <w:sz w:val="24"/>
          <w:szCs w:val="24"/>
        </w:rPr>
      </w:pPr>
      <w:bookmarkStart w:id="3" w:name="_Toc988892"/>
      <w:r w:rsidRPr="00AD6A55">
        <w:rPr>
          <w:rFonts w:ascii="宋体" w:hAnsi="宋体" w:cs="宋体"/>
          <w:b/>
          <w:bCs/>
          <w:sz w:val="24"/>
          <w:szCs w:val="24"/>
        </w:rPr>
        <w:t>2、主要会计数据和财务指标</w:t>
      </w:r>
      <w:bookmarkEnd w:id="3"/>
    </w:p>
    <w:p w14:paraId="50B42ABF"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公司是否需追溯调整或重述以前年度会计数据</w:t>
      </w:r>
    </w:p>
    <w:p w14:paraId="2AD8C81D"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sym w:font="Wingdings 2" w:char="F052"/>
      </w:r>
      <w:r w:rsidRPr="00AD6A55">
        <w:rPr>
          <w:rFonts w:ascii="宋体" w:eastAsia="宋体" w:hAnsi="宋体" w:cs="宋体"/>
          <w:sz w:val="24"/>
          <w:szCs w:val="24"/>
        </w:rPr>
        <w:t>是 □否</w:t>
      </w:r>
    </w:p>
    <w:p w14:paraId="5981DB7F"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lastRenderedPageBreak/>
        <w:t>追溯调整或重述原因</w:t>
      </w:r>
    </w:p>
    <w:p w14:paraId="65CE849B"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会计差错更正</w:t>
      </w:r>
    </w:p>
    <w:tbl>
      <w:tblPr>
        <w:tblW w:w="978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52"/>
        <w:gridCol w:w="1984"/>
        <w:gridCol w:w="1985"/>
        <w:gridCol w:w="1984"/>
        <w:gridCol w:w="1276"/>
      </w:tblGrid>
      <w:tr w:rsidR="001006F9" w:rsidRPr="00AD6A55" w14:paraId="15069DF1" w14:textId="77777777" w:rsidTr="008E1030">
        <w:trPr>
          <w:trHeight w:val="240"/>
        </w:trPr>
        <w:tc>
          <w:tcPr>
            <w:tcW w:w="2552" w:type="dxa"/>
            <w:vMerge w:val="restart"/>
            <w:vAlign w:val="center"/>
          </w:tcPr>
          <w:p w14:paraId="3EC2169C" w14:textId="77777777" w:rsidR="001006F9" w:rsidRPr="00AD6A55" w:rsidRDefault="001006F9" w:rsidP="00AD6A55">
            <w:pPr>
              <w:spacing w:line="276" w:lineRule="auto"/>
              <w:rPr>
                <w:rFonts w:hint="eastAsia"/>
                <w:szCs w:val="21"/>
              </w:rPr>
            </w:pPr>
          </w:p>
        </w:tc>
        <w:tc>
          <w:tcPr>
            <w:tcW w:w="1984" w:type="dxa"/>
            <w:vMerge w:val="restart"/>
            <w:vAlign w:val="center"/>
          </w:tcPr>
          <w:p w14:paraId="36EA3284"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本报告期</w:t>
            </w:r>
          </w:p>
        </w:tc>
        <w:tc>
          <w:tcPr>
            <w:tcW w:w="3969" w:type="dxa"/>
            <w:gridSpan w:val="2"/>
            <w:vAlign w:val="center"/>
          </w:tcPr>
          <w:p w14:paraId="51A0D59B"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上年同期</w:t>
            </w:r>
          </w:p>
        </w:tc>
        <w:tc>
          <w:tcPr>
            <w:tcW w:w="1276" w:type="dxa"/>
            <w:vAlign w:val="center"/>
          </w:tcPr>
          <w:p w14:paraId="222F8B7A"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本报告期比上年同期增减</w:t>
            </w:r>
          </w:p>
        </w:tc>
      </w:tr>
      <w:tr w:rsidR="001006F9" w:rsidRPr="00AD6A55" w14:paraId="563ACE9B" w14:textId="77777777" w:rsidTr="008E1030">
        <w:trPr>
          <w:trHeight w:val="240"/>
        </w:trPr>
        <w:tc>
          <w:tcPr>
            <w:tcW w:w="2552" w:type="dxa"/>
            <w:vMerge/>
            <w:vAlign w:val="center"/>
          </w:tcPr>
          <w:p w14:paraId="39E5D921" w14:textId="77777777" w:rsidR="001006F9" w:rsidRPr="00AD6A55" w:rsidRDefault="001006F9" w:rsidP="00AD6A55">
            <w:pPr>
              <w:spacing w:line="276" w:lineRule="auto"/>
              <w:rPr>
                <w:rFonts w:hint="eastAsia"/>
                <w:szCs w:val="21"/>
              </w:rPr>
            </w:pPr>
          </w:p>
        </w:tc>
        <w:tc>
          <w:tcPr>
            <w:tcW w:w="1984" w:type="dxa"/>
            <w:vMerge/>
            <w:vAlign w:val="center"/>
          </w:tcPr>
          <w:p w14:paraId="41C791C4" w14:textId="77777777" w:rsidR="001006F9" w:rsidRPr="00AD6A55" w:rsidRDefault="001006F9" w:rsidP="00AD6A55">
            <w:pPr>
              <w:spacing w:line="276" w:lineRule="auto"/>
              <w:rPr>
                <w:rFonts w:hint="eastAsia"/>
                <w:szCs w:val="21"/>
              </w:rPr>
            </w:pPr>
          </w:p>
        </w:tc>
        <w:tc>
          <w:tcPr>
            <w:tcW w:w="1985" w:type="dxa"/>
            <w:vAlign w:val="center"/>
          </w:tcPr>
          <w:p w14:paraId="202FF0AF"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调整前</w:t>
            </w:r>
          </w:p>
        </w:tc>
        <w:tc>
          <w:tcPr>
            <w:tcW w:w="1984" w:type="dxa"/>
            <w:vAlign w:val="center"/>
          </w:tcPr>
          <w:p w14:paraId="6A31334D"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调整后</w:t>
            </w:r>
          </w:p>
        </w:tc>
        <w:tc>
          <w:tcPr>
            <w:tcW w:w="1276" w:type="dxa"/>
            <w:vAlign w:val="center"/>
          </w:tcPr>
          <w:p w14:paraId="7C8A06FB"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调整后</w:t>
            </w:r>
          </w:p>
        </w:tc>
      </w:tr>
      <w:tr w:rsidR="001006F9" w:rsidRPr="00AD6A55" w14:paraId="2889215F" w14:textId="77777777" w:rsidTr="008E1030">
        <w:trPr>
          <w:trHeight w:val="240"/>
        </w:trPr>
        <w:tc>
          <w:tcPr>
            <w:tcW w:w="2552" w:type="dxa"/>
            <w:vAlign w:val="center"/>
          </w:tcPr>
          <w:p w14:paraId="2915013A"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营业收入（元）</w:t>
            </w:r>
          </w:p>
        </w:tc>
        <w:tc>
          <w:tcPr>
            <w:tcW w:w="1984" w:type="dxa"/>
            <w:vAlign w:val="center"/>
          </w:tcPr>
          <w:p w14:paraId="25DCDDA5"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837,249,635.38</w:t>
            </w:r>
          </w:p>
        </w:tc>
        <w:tc>
          <w:tcPr>
            <w:tcW w:w="1985" w:type="dxa"/>
            <w:vAlign w:val="center"/>
          </w:tcPr>
          <w:p w14:paraId="252FD909"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1,818,844,053.03</w:t>
            </w:r>
          </w:p>
        </w:tc>
        <w:tc>
          <w:tcPr>
            <w:tcW w:w="1984" w:type="dxa"/>
            <w:vAlign w:val="center"/>
          </w:tcPr>
          <w:p w14:paraId="37A5FCCC"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1,260,646,348.80</w:t>
            </w:r>
          </w:p>
        </w:tc>
        <w:tc>
          <w:tcPr>
            <w:tcW w:w="1276" w:type="dxa"/>
            <w:vAlign w:val="center"/>
          </w:tcPr>
          <w:p w14:paraId="75DFDF5E"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-33.59%</w:t>
            </w:r>
          </w:p>
        </w:tc>
      </w:tr>
      <w:tr w:rsidR="001006F9" w:rsidRPr="00AD6A55" w14:paraId="6C0A7872" w14:textId="77777777" w:rsidTr="008E1030">
        <w:trPr>
          <w:trHeight w:val="240"/>
        </w:trPr>
        <w:tc>
          <w:tcPr>
            <w:tcW w:w="2552" w:type="dxa"/>
            <w:vAlign w:val="center"/>
          </w:tcPr>
          <w:p w14:paraId="2FD1F5AE"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归属于上市公司股东的净利润（元）</w:t>
            </w:r>
          </w:p>
        </w:tc>
        <w:tc>
          <w:tcPr>
            <w:tcW w:w="1984" w:type="dxa"/>
            <w:vAlign w:val="center"/>
          </w:tcPr>
          <w:p w14:paraId="24CAE895"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-71,217,028.32</w:t>
            </w:r>
          </w:p>
        </w:tc>
        <w:tc>
          <w:tcPr>
            <w:tcW w:w="1985" w:type="dxa"/>
            <w:vAlign w:val="center"/>
          </w:tcPr>
          <w:p w14:paraId="174963D7"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-265,770,947.02</w:t>
            </w:r>
          </w:p>
        </w:tc>
        <w:tc>
          <w:tcPr>
            <w:tcW w:w="1984" w:type="dxa"/>
            <w:vAlign w:val="center"/>
          </w:tcPr>
          <w:p w14:paraId="7587DC0F"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-265,770,947.02</w:t>
            </w:r>
          </w:p>
        </w:tc>
        <w:tc>
          <w:tcPr>
            <w:tcW w:w="1276" w:type="dxa"/>
            <w:vAlign w:val="center"/>
          </w:tcPr>
          <w:p w14:paraId="78122B0D"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73.20%</w:t>
            </w:r>
          </w:p>
        </w:tc>
      </w:tr>
      <w:tr w:rsidR="001006F9" w:rsidRPr="00AD6A55" w14:paraId="56773672" w14:textId="77777777" w:rsidTr="008E1030">
        <w:trPr>
          <w:trHeight w:val="240"/>
        </w:trPr>
        <w:tc>
          <w:tcPr>
            <w:tcW w:w="2552" w:type="dxa"/>
            <w:vAlign w:val="center"/>
          </w:tcPr>
          <w:p w14:paraId="68BBAED0"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归属于上市公司股东的扣除非经常性损益的净利润（元）</w:t>
            </w:r>
          </w:p>
        </w:tc>
        <w:tc>
          <w:tcPr>
            <w:tcW w:w="1984" w:type="dxa"/>
            <w:vAlign w:val="center"/>
          </w:tcPr>
          <w:p w14:paraId="032E5614"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-107,573,130.67</w:t>
            </w:r>
          </w:p>
        </w:tc>
        <w:tc>
          <w:tcPr>
            <w:tcW w:w="1985" w:type="dxa"/>
            <w:vAlign w:val="center"/>
          </w:tcPr>
          <w:p w14:paraId="23A9020D"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-265,483,128.06</w:t>
            </w:r>
          </w:p>
        </w:tc>
        <w:tc>
          <w:tcPr>
            <w:tcW w:w="1984" w:type="dxa"/>
            <w:vAlign w:val="center"/>
          </w:tcPr>
          <w:p w14:paraId="25C07CD3"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-265,483,128.06</w:t>
            </w:r>
          </w:p>
        </w:tc>
        <w:tc>
          <w:tcPr>
            <w:tcW w:w="1276" w:type="dxa"/>
            <w:vAlign w:val="center"/>
          </w:tcPr>
          <w:p w14:paraId="64817BCC"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59.48%</w:t>
            </w:r>
          </w:p>
        </w:tc>
      </w:tr>
      <w:tr w:rsidR="001006F9" w:rsidRPr="00AD6A55" w14:paraId="7A5892A9" w14:textId="77777777" w:rsidTr="008E1030">
        <w:trPr>
          <w:trHeight w:val="240"/>
        </w:trPr>
        <w:tc>
          <w:tcPr>
            <w:tcW w:w="2552" w:type="dxa"/>
            <w:vAlign w:val="center"/>
          </w:tcPr>
          <w:p w14:paraId="36709E7D"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经营活动产生的现金流量净额（元）</w:t>
            </w:r>
          </w:p>
        </w:tc>
        <w:tc>
          <w:tcPr>
            <w:tcW w:w="1984" w:type="dxa"/>
            <w:vAlign w:val="center"/>
          </w:tcPr>
          <w:p w14:paraId="197CEA8B"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702,934,152.36</w:t>
            </w:r>
          </w:p>
        </w:tc>
        <w:tc>
          <w:tcPr>
            <w:tcW w:w="1985" w:type="dxa"/>
            <w:vAlign w:val="center"/>
          </w:tcPr>
          <w:p w14:paraId="683E94C2"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18,067,735.02</w:t>
            </w:r>
          </w:p>
        </w:tc>
        <w:tc>
          <w:tcPr>
            <w:tcW w:w="1984" w:type="dxa"/>
            <w:vAlign w:val="center"/>
          </w:tcPr>
          <w:p w14:paraId="43DDD482"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18,067,735.02</w:t>
            </w:r>
          </w:p>
        </w:tc>
        <w:tc>
          <w:tcPr>
            <w:tcW w:w="1276" w:type="dxa"/>
            <w:vAlign w:val="center"/>
          </w:tcPr>
          <w:p w14:paraId="302E46A2"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3,790.55%</w:t>
            </w:r>
          </w:p>
        </w:tc>
      </w:tr>
      <w:tr w:rsidR="001006F9" w:rsidRPr="00AD6A55" w14:paraId="424A74B9" w14:textId="77777777" w:rsidTr="008E1030">
        <w:trPr>
          <w:trHeight w:val="240"/>
        </w:trPr>
        <w:tc>
          <w:tcPr>
            <w:tcW w:w="2552" w:type="dxa"/>
            <w:vAlign w:val="center"/>
          </w:tcPr>
          <w:p w14:paraId="32FF471F"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基本每股收益（元/股）</w:t>
            </w:r>
          </w:p>
        </w:tc>
        <w:tc>
          <w:tcPr>
            <w:tcW w:w="1984" w:type="dxa"/>
            <w:vAlign w:val="center"/>
          </w:tcPr>
          <w:p w14:paraId="06582F21"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-0.03</w:t>
            </w:r>
          </w:p>
        </w:tc>
        <w:tc>
          <w:tcPr>
            <w:tcW w:w="1985" w:type="dxa"/>
            <w:vAlign w:val="center"/>
          </w:tcPr>
          <w:p w14:paraId="0014C7AE"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-0.10</w:t>
            </w:r>
          </w:p>
        </w:tc>
        <w:tc>
          <w:tcPr>
            <w:tcW w:w="1984" w:type="dxa"/>
            <w:vAlign w:val="center"/>
          </w:tcPr>
          <w:p w14:paraId="383D04A6"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-0.10</w:t>
            </w:r>
          </w:p>
        </w:tc>
        <w:tc>
          <w:tcPr>
            <w:tcW w:w="1276" w:type="dxa"/>
            <w:vAlign w:val="center"/>
          </w:tcPr>
          <w:p w14:paraId="17E8351E"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70.00%</w:t>
            </w:r>
          </w:p>
        </w:tc>
      </w:tr>
      <w:tr w:rsidR="001006F9" w:rsidRPr="00AD6A55" w14:paraId="3B2BCF67" w14:textId="77777777" w:rsidTr="008E1030">
        <w:trPr>
          <w:trHeight w:val="240"/>
        </w:trPr>
        <w:tc>
          <w:tcPr>
            <w:tcW w:w="2552" w:type="dxa"/>
            <w:vAlign w:val="center"/>
          </w:tcPr>
          <w:p w14:paraId="3D6CB938"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稀释每股收益（元/股）</w:t>
            </w:r>
          </w:p>
        </w:tc>
        <w:tc>
          <w:tcPr>
            <w:tcW w:w="1984" w:type="dxa"/>
            <w:vAlign w:val="center"/>
          </w:tcPr>
          <w:p w14:paraId="0F0A7549"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-0.03</w:t>
            </w:r>
          </w:p>
        </w:tc>
        <w:tc>
          <w:tcPr>
            <w:tcW w:w="1985" w:type="dxa"/>
            <w:vAlign w:val="center"/>
          </w:tcPr>
          <w:p w14:paraId="1F422021"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-0.10</w:t>
            </w:r>
          </w:p>
        </w:tc>
        <w:tc>
          <w:tcPr>
            <w:tcW w:w="1984" w:type="dxa"/>
            <w:vAlign w:val="center"/>
          </w:tcPr>
          <w:p w14:paraId="46D744B7"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-0.10</w:t>
            </w:r>
          </w:p>
        </w:tc>
        <w:tc>
          <w:tcPr>
            <w:tcW w:w="1276" w:type="dxa"/>
            <w:vAlign w:val="center"/>
          </w:tcPr>
          <w:p w14:paraId="4B73F932"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70.00%</w:t>
            </w:r>
          </w:p>
        </w:tc>
      </w:tr>
      <w:tr w:rsidR="008E1030" w:rsidRPr="00AD6A55" w14:paraId="39C7E249" w14:textId="77777777" w:rsidTr="008E1030">
        <w:trPr>
          <w:trHeight w:val="240"/>
        </w:trPr>
        <w:tc>
          <w:tcPr>
            <w:tcW w:w="2552" w:type="dxa"/>
            <w:vAlign w:val="center"/>
          </w:tcPr>
          <w:p w14:paraId="1AC06CE6" w14:textId="77777777" w:rsidR="008E1030" w:rsidRPr="00AD6A55" w:rsidRDefault="008E1030" w:rsidP="008E1030">
            <w:pPr>
              <w:spacing w:before="40" w:after="40" w:line="276" w:lineRule="auto"/>
              <w:rPr>
                <w:rFonts w:ascii="宋体" w:eastAsia="宋体" w:hAnsi="宋体" w:cs="宋体" w:hint="eastAsia"/>
                <w:szCs w:val="21"/>
              </w:rPr>
            </w:pPr>
            <w:r w:rsidRPr="00AD6A55">
              <w:rPr>
                <w:rFonts w:ascii="宋体" w:eastAsia="宋体" w:hAnsi="宋体" w:cs="宋体"/>
                <w:szCs w:val="21"/>
              </w:rPr>
              <w:t>加权平均净资产收益率</w:t>
            </w:r>
          </w:p>
        </w:tc>
        <w:tc>
          <w:tcPr>
            <w:tcW w:w="1984" w:type="dxa"/>
            <w:vAlign w:val="center"/>
          </w:tcPr>
          <w:p w14:paraId="631E7C29" w14:textId="77777777" w:rsidR="008E1030" w:rsidRPr="00AD6A55" w:rsidRDefault="008E1030" w:rsidP="008E1030">
            <w:pPr>
              <w:spacing w:line="276" w:lineRule="auto"/>
              <w:jc w:val="right"/>
              <w:rPr>
                <w:rFonts w:ascii="宋体" w:eastAsia="宋体" w:hAnsi="宋体" w:cs="宋体" w:hint="eastAsia"/>
                <w:szCs w:val="21"/>
              </w:rPr>
            </w:pPr>
            <w:r w:rsidRPr="00AD6A55">
              <w:rPr>
                <w:rFonts w:ascii="宋体" w:eastAsia="宋体" w:hAnsi="宋体" w:cs="宋体"/>
                <w:szCs w:val="21"/>
              </w:rPr>
              <w:t>-4.28%</w:t>
            </w:r>
          </w:p>
        </w:tc>
        <w:tc>
          <w:tcPr>
            <w:tcW w:w="1985" w:type="dxa"/>
            <w:vAlign w:val="center"/>
          </w:tcPr>
          <w:p w14:paraId="238E0B1C" w14:textId="4C30F7C6" w:rsidR="008E1030" w:rsidRPr="00AD6A55" w:rsidRDefault="008E1030" w:rsidP="008E1030">
            <w:pPr>
              <w:spacing w:line="276" w:lineRule="auto"/>
              <w:jc w:val="right"/>
              <w:rPr>
                <w:rFonts w:ascii="宋体" w:eastAsia="宋体" w:hAnsi="宋体" w:cs="宋体" w:hint="eastAsia"/>
                <w:szCs w:val="21"/>
              </w:rPr>
            </w:pPr>
            <w:r>
              <w:rPr>
                <w:rFonts w:ascii="宋体" w:eastAsia="宋体" w:hAnsi="宋体" w:cs="宋体" w:hint="eastAsia"/>
                <w:sz w:val="18"/>
                <w:szCs w:val="18"/>
              </w:rPr>
              <w:t>不适用</w:t>
            </w:r>
          </w:p>
        </w:tc>
        <w:tc>
          <w:tcPr>
            <w:tcW w:w="1984" w:type="dxa"/>
            <w:vAlign w:val="center"/>
          </w:tcPr>
          <w:p w14:paraId="1B4CFF53" w14:textId="7B3444C7" w:rsidR="008E1030" w:rsidRPr="00AD6A55" w:rsidRDefault="008E1030" w:rsidP="008E1030">
            <w:pPr>
              <w:spacing w:line="276" w:lineRule="auto"/>
              <w:jc w:val="right"/>
              <w:rPr>
                <w:rFonts w:ascii="宋体" w:eastAsia="宋体" w:hAnsi="宋体" w:cs="宋体" w:hint="eastAsia"/>
                <w:szCs w:val="21"/>
              </w:rPr>
            </w:pPr>
            <w:r>
              <w:rPr>
                <w:rFonts w:ascii="宋体" w:eastAsia="宋体" w:hAnsi="宋体" w:cs="宋体" w:hint="eastAsia"/>
                <w:sz w:val="18"/>
                <w:szCs w:val="18"/>
              </w:rPr>
              <w:t>不适用</w:t>
            </w:r>
          </w:p>
        </w:tc>
        <w:tc>
          <w:tcPr>
            <w:tcW w:w="1276" w:type="dxa"/>
            <w:vAlign w:val="center"/>
          </w:tcPr>
          <w:p w14:paraId="73EBD7EF" w14:textId="0A83BE9D" w:rsidR="008E1030" w:rsidRPr="00AD6A55" w:rsidRDefault="008E1030" w:rsidP="008E1030">
            <w:pPr>
              <w:spacing w:line="276" w:lineRule="auto"/>
              <w:jc w:val="right"/>
              <w:rPr>
                <w:rFonts w:ascii="宋体" w:eastAsia="宋体" w:hAnsi="宋体" w:cs="宋体" w:hint="eastAsia"/>
                <w:szCs w:val="21"/>
              </w:rPr>
            </w:pPr>
            <w:r>
              <w:rPr>
                <w:rFonts w:ascii="宋体" w:eastAsia="宋体" w:hAnsi="宋体" w:cs="宋体" w:hint="eastAsia"/>
                <w:sz w:val="18"/>
                <w:szCs w:val="18"/>
              </w:rPr>
              <w:t>不适用</w:t>
            </w:r>
          </w:p>
        </w:tc>
      </w:tr>
      <w:tr w:rsidR="001006F9" w:rsidRPr="00AD6A55" w14:paraId="233B7905" w14:textId="77777777" w:rsidTr="008E1030">
        <w:trPr>
          <w:trHeight w:val="240"/>
        </w:trPr>
        <w:tc>
          <w:tcPr>
            <w:tcW w:w="2552" w:type="dxa"/>
            <w:vMerge w:val="restart"/>
            <w:vAlign w:val="center"/>
          </w:tcPr>
          <w:p w14:paraId="4440EB1A" w14:textId="77777777" w:rsidR="001006F9" w:rsidRPr="00AD6A55" w:rsidRDefault="001006F9" w:rsidP="00AD6A55">
            <w:pPr>
              <w:spacing w:line="276" w:lineRule="auto"/>
              <w:rPr>
                <w:rFonts w:hint="eastAsia"/>
                <w:szCs w:val="21"/>
              </w:rPr>
            </w:pPr>
          </w:p>
        </w:tc>
        <w:tc>
          <w:tcPr>
            <w:tcW w:w="1984" w:type="dxa"/>
            <w:vMerge w:val="restart"/>
            <w:vAlign w:val="center"/>
          </w:tcPr>
          <w:p w14:paraId="09882375"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本报告期末</w:t>
            </w:r>
          </w:p>
        </w:tc>
        <w:tc>
          <w:tcPr>
            <w:tcW w:w="3969" w:type="dxa"/>
            <w:gridSpan w:val="2"/>
            <w:vAlign w:val="center"/>
          </w:tcPr>
          <w:p w14:paraId="46C4FF45"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上年度末</w:t>
            </w:r>
          </w:p>
        </w:tc>
        <w:tc>
          <w:tcPr>
            <w:tcW w:w="1276" w:type="dxa"/>
            <w:vAlign w:val="center"/>
          </w:tcPr>
          <w:p w14:paraId="0E81C3A6"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本报告期末比上年度末增减</w:t>
            </w:r>
          </w:p>
        </w:tc>
      </w:tr>
      <w:tr w:rsidR="001006F9" w:rsidRPr="00AD6A55" w14:paraId="16B19320" w14:textId="77777777" w:rsidTr="008E1030">
        <w:trPr>
          <w:trHeight w:val="240"/>
        </w:trPr>
        <w:tc>
          <w:tcPr>
            <w:tcW w:w="2552" w:type="dxa"/>
            <w:vMerge/>
            <w:vAlign w:val="center"/>
          </w:tcPr>
          <w:p w14:paraId="3B9E73C2" w14:textId="77777777" w:rsidR="001006F9" w:rsidRPr="00AD6A55" w:rsidRDefault="001006F9" w:rsidP="00AD6A55">
            <w:pPr>
              <w:spacing w:line="276" w:lineRule="auto"/>
              <w:rPr>
                <w:rFonts w:hint="eastAsia"/>
                <w:szCs w:val="21"/>
              </w:rPr>
            </w:pPr>
          </w:p>
        </w:tc>
        <w:tc>
          <w:tcPr>
            <w:tcW w:w="1984" w:type="dxa"/>
            <w:vMerge/>
            <w:vAlign w:val="center"/>
          </w:tcPr>
          <w:p w14:paraId="48CBA322" w14:textId="77777777" w:rsidR="001006F9" w:rsidRPr="00AD6A55" w:rsidRDefault="001006F9" w:rsidP="00AD6A55">
            <w:pPr>
              <w:spacing w:line="276" w:lineRule="auto"/>
              <w:rPr>
                <w:rFonts w:hint="eastAsia"/>
                <w:szCs w:val="21"/>
              </w:rPr>
            </w:pPr>
          </w:p>
        </w:tc>
        <w:tc>
          <w:tcPr>
            <w:tcW w:w="1985" w:type="dxa"/>
            <w:vAlign w:val="center"/>
          </w:tcPr>
          <w:p w14:paraId="473E1808"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调整前</w:t>
            </w:r>
          </w:p>
        </w:tc>
        <w:tc>
          <w:tcPr>
            <w:tcW w:w="1984" w:type="dxa"/>
            <w:vAlign w:val="center"/>
          </w:tcPr>
          <w:p w14:paraId="342CCC17"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调整后</w:t>
            </w:r>
          </w:p>
        </w:tc>
        <w:tc>
          <w:tcPr>
            <w:tcW w:w="1276" w:type="dxa"/>
            <w:vAlign w:val="center"/>
          </w:tcPr>
          <w:p w14:paraId="359E5863"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调整后</w:t>
            </w:r>
          </w:p>
        </w:tc>
      </w:tr>
      <w:tr w:rsidR="001006F9" w:rsidRPr="00AD6A55" w14:paraId="5F2D809A" w14:textId="77777777" w:rsidTr="008E1030">
        <w:trPr>
          <w:trHeight w:val="240"/>
        </w:trPr>
        <w:tc>
          <w:tcPr>
            <w:tcW w:w="2552" w:type="dxa"/>
            <w:vAlign w:val="center"/>
          </w:tcPr>
          <w:p w14:paraId="3565FF34"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总资产（元）</w:t>
            </w:r>
          </w:p>
        </w:tc>
        <w:tc>
          <w:tcPr>
            <w:tcW w:w="1984" w:type="dxa"/>
            <w:vAlign w:val="center"/>
          </w:tcPr>
          <w:p w14:paraId="24FC39CC"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5,094,777,468.19</w:t>
            </w:r>
          </w:p>
        </w:tc>
        <w:tc>
          <w:tcPr>
            <w:tcW w:w="1985" w:type="dxa"/>
            <w:vAlign w:val="center"/>
          </w:tcPr>
          <w:p w14:paraId="7B41FAA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5,524,164,637.48</w:t>
            </w:r>
          </w:p>
        </w:tc>
        <w:tc>
          <w:tcPr>
            <w:tcW w:w="1984" w:type="dxa"/>
            <w:vAlign w:val="center"/>
          </w:tcPr>
          <w:p w14:paraId="2D39FE09"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5,524,164,637.48</w:t>
            </w:r>
          </w:p>
        </w:tc>
        <w:tc>
          <w:tcPr>
            <w:tcW w:w="1276" w:type="dxa"/>
            <w:vAlign w:val="center"/>
          </w:tcPr>
          <w:p w14:paraId="24D3749D"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-7.77%</w:t>
            </w:r>
          </w:p>
        </w:tc>
      </w:tr>
      <w:tr w:rsidR="001006F9" w:rsidRPr="00AD6A55" w14:paraId="13FC3952" w14:textId="77777777" w:rsidTr="008E1030">
        <w:trPr>
          <w:trHeight w:val="240"/>
        </w:trPr>
        <w:tc>
          <w:tcPr>
            <w:tcW w:w="2552" w:type="dxa"/>
            <w:vAlign w:val="center"/>
          </w:tcPr>
          <w:p w14:paraId="6FAB7E6A"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归属于上市公司股东的净资产（元）</w:t>
            </w:r>
          </w:p>
        </w:tc>
        <w:tc>
          <w:tcPr>
            <w:tcW w:w="1984" w:type="dxa"/>
            <w:vAlign w:val="center"/>
          </w:tcPr>
          <w:p w14:paraId="211DACFC"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1,810,392,830.97</w:t>
            </w:r>
          </w:p>
        </w:tc>
        <w:tc>
          <w:tcPr>
            <w:tcW w:w="1985" w:type="dxa"/>
            <w:vAlign w:val="center"/>
          </w:tcPr>
          <w:p w14:paraId="0A81F86C"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1,420,101,526.57</w:t>
            </w:r>
          </w:p>
        </w:tc>
        <w:tc>
          <w:tcPr>
            <w:tcW w:w="1984" w:type="dxa"/>
            <w:vAlign w:val="center"/>
          </w:tcPr>
          <w:p w14:paraId="3723F58A"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1,420,101,526.57</w:t>
            </w:r>
          </w:p>
        </w:tc>
        <w:tc>
          <w:tcPr>
            <w:tcW w:w="1276" w:type="dxa"/>
            <w:vAlign w:val="center"/>
          </w:tcPr>
          <w:p w14:paraId="798F92B6"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27.48%</w:t>
            </w:r>
          </w:p>
        </w:tc>
      </w:tr>
    </w:tbl>
    <w:p w14:paraId="4E2FB32A"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会计政策变更的原因及会计差错更正的情况</w:t>
      </w:r>
    </w:p>
    <w:p w14:paraId="16F92AD3" w14:textId="77777777" w:rsidR="00776D71" w:rsidRPr="00AD6A55" w:rsidRDefault="00371742" w:rsidP="00AD6A55">
      <w:pPr>
        <w:pStyle w:val="a3"/>
        <w:spacing w:before="0" w:beforeAutospacing="0" w:after="0" w:afterAutospacing="0" w:line="360" w:lineRule="auto"/>
        <w:ind w:firstLineChars="200" w:firstLine="480"/>
        <w:jc w:val="both"/>
        <w:divId w:val="681131339"/>
        <w:rPr>
          <w:rFonts w:hint="eastAsia"/>
        </w:rPr>
      </w:pPr>
      <w:r w:rsidRPr="00AD6A55">
        <w:rPr>
          <w:rFonts w:hint="eastAsia"/>
        </w:rPr>
        <w:t>公司2024年开展了光伏电池片和组件业务，按照《企业会计准则第 14号——收入》相关规定，公司判断该业务采用总额法确认收入。在后续业务履约过程中，公司综合考虑了相关事实与情况，包括（1）企业是否承担向客户转让商品的主要责任；（2）企业是否在转让商品之前或之后承担了该商品的存货风险；（3）企业是否有权自主决定所交易商品的价格。经公司审慎分析，并结合审计机构意见，基于谨慎性原则，公司对上述业务由“总额法”调整为“净额法”核算。</w:t>
      </w:r>
    </w:p>
    <w:p w14:paraId="6FECAEF3" w14:textId="77777777" w:rsidR="00776D71" w:rsidRPr="00AD6A55" w:rsidRDefault="00371742" w:rsidP="00AD6A55">
      <w:pPr>
        <w:pStyle w:val="a3"/>
        <w:spacing w:before="0" w:beforeAutospacing="0" w:after="0" w:afterAutospacing="0" w:line="360" w:lineRule="auto"/>
        <w:ind w:firstLineChars="200" w:firstLine="480"/>
        <w:divId w:val="681131339"/>
        <w:rPr>
          <w:rFonts w:hint="eastAsia"/>
        </w:rPr>
      </w:pPr>
      <w:r w:rsidRPr="00AD6A55">
        <w:rPr>
          <w:rFonts w:hint="eastAsia"/>
        </w:rPr>
        <w:t>详见公司于2025年4月22日披露的《关于2024年前三季度各期会计差错更正及追溯调整的公告》（详见公告：2025-063）。</w:t>
      </w:r>
    </w:p>
    <w:p w14:paraId="6600995C" w14:textId="77777777" w:rsidR="001006F9" w:rsidRPr="00AD6A55" w:rsidRDefault="00371742">
      <w:pPr>
        <w:pStyle w:val="3"/>
        <w:spacing w:line="280" w:lineRule="exact"/>
        <w:jc w:val="left"/>
        <w:rPr>
          <w:rFonts w:ascii="宋体" w:hAnsi="宋体" w:cs="宋体" w:hint="eastAsia"/>
          <w:b/>
          <w:bCs/>
          <w:sz w:val="24"/>
          <w:szCs w:val="24"/>
        </w:rPr>
      </w:pPr>
      <w:bookmarkStart w:id="4" w:name="_Toc988893"/>
      <w:r w:rsidRPr="00AD6A55">
        <w:rPr>
          <w:rFonts w:ascii="宋体" w:hAnsi="宋体" w:cs="宋体"/>
          <w:b/>
          <w:bCs/>
          <w:sz w:val="24"/>
          <w:szCs w:val="24"/>
        </w:rPr>
        <w:lastRenderedPageBreak/>
        <w:t>3、公司股东数量及持股情况</w:t>
      </w:r>
      <w:bookmarkEnd w:id="4"/>
    </w:p>
    <w:p w14:paraId="40084CA4" w14:textId="77777777" w:rsidR="001006F9" w:rsidRPr="00AD6A55" w:rsidRDefault="00371742">
      <w:pPr>
        <w:spacing w:before="120" w:after="120" w:line="240" w:lineRule="exact"/>
        <w:jc w:val="right"/>
        <w:rPr>
          <w:rFonts w:ascii="宋体" w:eastAsia="宋体" w:hAnsi="宋体" w:cs="宋体" w:hint="eastAsia"/>
          <w:sz w:val="24"/>
          <w:szCs w:val="24"/>
        </w:rPr>
      </w:pPr>
      <w:r w:rsidRPr="00AD6A55">
        <w:rPr>
          <w:rFonts w:ascii="宋体" w:eastAsia="宋体" w:hAnsi="宋体" w:cs="宋体"/>
          <w:sz w:val="24"/>
          <w:szCs w:val="24"/>
        </w:rPr>
        <w:t>单位：股</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1843"/>
        <w:gridCol w:w="851"/>
        <w:gridCol w:w="1417"/>
        <w:gridCol w:w="1418"/>
        <w:gridCol w:w="1134"/>
        <w:gridCol w:w="708"/>
      </w:tblGrid>
      <w:tr w:rsidR="001006F9" w:rsidRPr="00AD6A55" w14:paraId="5B7A5595" w14:textId="77777777" w:rsidTr="00AD6A55">
        <w:trPr>
          <w:trHeight w:val="240"/>
        </w:trPr>
        <w:tc>
          <w:tcPr>
            <w:tcW w:w="4111" w:type="dxa"/>
            <w:gridSpan w:val="2"/>
            <w:vAlign w:val="center"/>
          </w:tcPr>
          <w:p w14:paraId="197110D6"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报告期末普通股股东总数</w:t>
            </w:r>
          </w:p>
        </w:tc>
        <w:tc>
          <w:tcPr>
            <w:tcW w:w="851" w:type="dxa"/>
            <w:vAlign w:val="center"/>
          </w:tcPr>
          <w:p w14:paraId="219FB2BE"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26,440</w:t>
            </w:r>
          </w:p>
        </w:tc>
        <w:tc>
          <w:tcPr>
            <w:tcW w:w="2835" w:type="dxa"/>
            <w:gridSpan w:val="2"/>
            <w:vAlign w:val="center"/>
          </w:tcPr>
          <w:p w14:paraId="0698E411"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报告期末表决权恢复的优先股股东总数（如有）</w:t>
            </w:r>
          </w:p>
        </w:tc>
        <w:tc>
          <w:tcPr>
            <w:tcW w:w="1842" w:type="dxa"/>
            <w:gridSpan w:val="2"/>
            <w:vAlign w:val="center"/>
          </w:tcPr>
          <w:p w14:paraId="327206C4"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412132FC" w14:textId="77777777" w:rsidTr="00AD6A55">
        <w:trPr>
          <w:trHeight w:val="240"/>
        </w:trPr>
        <w:tc>
          <w:tcPr>
            <w:tcW w:w="9639" w:type="dxa"/>
            <w:gridSpan w:val="7"/>
            <w:vAlign w:val="center"/>
          </w:tcPr>
          <w:p w14:paraId="7F3220CC"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前10名股东持股情况（不含通过转融通出借股份）</w:t>
            </w:r>
          </w:p>
        </w:tc>
      </w:tr>
      <w:tr w:rsidR="001006F9" w:rsidRPr="00AD6A55" w14:paraId="0F09627B" w14:textId="77777777" w:rsidTr="00AD6A55">
        <w:trPr>
          <w:trHeight w:val="240"/>
        </w:trPr>
        <w:tc>
          <w:tcPr>
            <w:tcW w:w="2268" w:type="dxa"/>
            <w:vMerge w:val="restart"/>
            <w:vAlign w:val="center"/>
          </w:tcPr>
          <w:p w14:paraId="31ADD792"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股东名称</w:t>
            </w:r>
          </w:p>
        </w:tc>
        <w:tc>
          <w:tcPr>
            <w:tcW w:w="1843" w:type="dxa"/>
            <w:vMerge w:val="restart"/>
            <w:vAlign w:val="center"/>
          </w:tcPr>
          <w:p w14:paraId="7533D6B3"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股东性质</w:t>
            </w:r>
          </w:p>
        </w:tc>
        <w:tc>
          <w:tcPr>
            <w:tcW w:w="851" w:type="dxa"/>
            <w:vMerge w:val="restart"/>
            <w:vAlign w:val="center"/>
          </w:tcPr>
          <w:p w14:paraId="60C088FC"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持股比例</w:t>
            </w:r>
          </w:p>
        </w:tc>
        <w:tc>
          <w:tcPr>
            <w:tcW w:w="1417" w:type="dxa"/>
            <w:vMerge w:val="restart"/>
            <w:vAlign w:val="center"/>
          </w:tcPr>
          <w:p w14:paraId="55542468"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持股数量</w:t>
            </w:r>
          </w:p>
        </w:tc>
        <w:tc>
          <w:tcPr>
            <w:tcW w:w="1418" w:type="dxa"/>
            <w:vMerge w:val="restart"/>
            <w:vAlign w:val="center"/>
          </w:tcPr>
          <w:p w14:paraId="18058319"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持有有限</w:t>
            </w:r>
            <w:proofErr w:type="gramStart"/>
            <w:r w:rsidRPr="00AD6A55">
              <w:rPr>
                <w:rFonts w:ascii="宋体" w:eastAsia="宋体" w:hAnsi="宋体" w:cs="宋体"/>
                <w:szCs w:val="21"/>
              </w:rPr>
              <w:t>售条件</w:t>
            </w:r>
            <w:proofErr w:type="gramEnd"/>
            <w:r w:rsidRPr="00AD6A55">
              <w:rPr>
                <w:rFonts w:ascii="宋体" w:eastAsia="宋体" w:hAnsi="宋体" w:cs="宋体"/>
                <w:szCs w:val="21"/>
              </w:rPr>
              <w:t>的股份数量</w:t>
            </w:r>
          </w:p>
        </w:tc>
        <w:tc>
          <w:tcPr>
            <w:tcW w:w="1842" w:type="dxa"/>
            <w:gridSpan w:val="2"/>
            <w:vAlign w:val="center"/>
          </w:tcPr>
          <w:p w14:paraId="26831D57"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质押、标记或冻结情况</w:t>
            </w:r>
          </w:p>
        </w:tc>
      </w:tr>
      <w:tr w:rsidR="001006F9" w:rsidRPr="00AD6A55" w14:paraId="1E8CE5BA" w14:textId="77777777" w:rsidTr="00AD6A55">
        <w:trPr>
          <w:trHeight w:val="240"/>
        </w:trPr>
        <w:tc>
          <w:tcPr>
            <w:tcW w:w="2268" w:type="dxa"/>
            <w:vMerge/>
            <w:vAlign w:val="center"/>
          </w:tcPr>
          <w:p w14:paraId="7613D449" w14:textId="77777777" w:rsidR="001006F9" w:rsidRPr="00AD6A55" w:rsidRDefault="001006F9" w:rsidP="00AD6A55">
            <w:pPr>
              <w:spacing w:line="276" w:lineRule="auto"/>
              <w:rPr>
                <w:rFonts w:hint="eastAsia"/>
                <w:szCs w:val="21"/>
              </w:rPr>
            </w:pPr>
          </w:p>
        </w:tc>
        <w:tc>
          <w:tcPr>
            <w:tcW w:w="1843" w:type="dxa"/>
            <w:vMerge/>
            <w:vAlign w:val="center"/>
          </w:tcPr>
          <w:p w14:paraId="71C3D8EC" w14:textId="77777777" w:rsidR="001006F9" w:rsidRPr="00AD6A55" w:rsidRDefault="001006F9" w:rsidP="00AD6A55">
            <w:pPr>
              <w:spacing w:line="276" w:lineRule="auto"/>
              <w:rPr>
                <w:rFonts w:hint="eastAsia"/>
                <w:szCs w:val="21"/>
              </w:rPr>
            </w:pPr>
          </w:p>
        </w:tc>
        <w:tc>
          <w:tcPr>
            <w:tcW w:w="851" w:type="dxa"/>
            <w:vMerge/>
            <w:vAlign w:val="center"/>
          </w:tcPr>
          <w:p w14:paraId="0165BEDD" w14:textId="77777777" w:rsidR="001006F9" w:rsidRPr="00AD6A55" w:rsidRDefault="001006F9" w:rsidP="00AD6A55">
            <w:pPr>
              <w:spacing w:line="276" w:lineRule="auto"/>
              <w:rPr>
                <w:rFonts w:hint="eastAsia"/>
                <w:szCs w:val="21"/>
              </w:rPr>
            </w:pPr>
          </w:p>
        </w:tc>
        <w:tc>
          <w:tcPr>
            <w:tcW w:w="1417" w:type="dxa"/>
            <w:vMerge/>
            <w:vAlign w:val="center"/>
          </w:tcPr>
          <w:p w14:paraId="3757D1C4" w14:textId="77777777" w:rsidR="001006F9" w:rsidRPr="00AD6A55" w:rsidRDefault="001006F9" w:rsidP="00AD6A55">
            <w:pPr>
              <w:spacing w:line="276" w:lineRule="auto"/>
              <w:rPr>
                <w:rFonts w:hint="eastAsia"/>
                <w:szCs w:val="21"/>
              </w:rPr>
            </w:pPr>
          </w:p>
        </w:tc>
        <w:tc>
          <w:tcPr>
            <w:tcW w:w="1418" w:type="dxa"/>
            <w:vMerge/>
            <w:vAlign w:val="center"/>
          </w:tcPr>
          <w:p w14:paraId="3F172FDC" w14:textId="77777777" w:rsidR="001006F9" w:rsidRPr="00AD6A55" w:rsidRDefault="001006F9" w:rsidP="00AD6A55">
            <w:pPr>
              <w:spacing w:line="276" w:lineRule="auto"/>
              <w:rPr>
                <w:rFonts w:hint="eastAsia"/>
                <w:szCs w:val="21"/>
              </w:rPr>
            </w:pPr>
          </w:p>
        </w:tc>
        <w:tc>
          <w:tcPr>
            <w:tcW w:w="1134" w:type="dxa"/>
            <w:vAlign w:val="center"/>
          </w:tcPr>
          <w:p w14:paraId="7793E030"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股份状态</w:t>
            </w:r>
          </w:p>
        </w:tc>
        <w:tc>
          <w:tcPr>
            <w:tcW w:w="708" w:type="dxa"/>
            <w:vAlign w:val="center"/>
          </w:tcPr>
          <w:p w14:paraId="7F0C8666" w14:textId="77777777" w:rsidR="001006F9" w:rsidRPr="00AD6A55" w:rsidRDefault="00371742" w:rsidP="00AD6A55">
            <w:pPr>
              <w:spacing w:before="40" w:after="40" w:line="276" w:lineRule="auto"/>
              <w:jc w:val="center"/>
              <w:rPr>
                <w:rFonts w:ascii="宋体" w:eastAsia="宋体" w:hAnsi="宋体" w:cs="宋体" w:hint="eastAsia"/>
                <w:szCs w:val="21"/>
              </w:rPr>
            </w:pPr>
            <w:r w:rsidRPr="00AD6A55">
              <w:rPr>
                <w:rFonts w:ascii="宋体" w:eastAsia="宋体" w:hAnsi="宋体" w:cs="宋体"/>
                <w:szCs w:val="21"/>
              </w:rPr>
              <w:t>数量</w:t>
            </w:r>
          </w:p>
        </w:tc>
      </w:tr>
      <w:tr w:rsidR="001006F9" w:rsidRPr="00AD6A55" w14:paraId="7DAFFF0D" w14:textId="77777777" w:rsidTr="00AD6A55">
        <w:trPr>
          <w:trHeight w:val="240"/>
        </w:trPr>
        <w:tc>
          <w:tcPr>
            <w:tcW w:w="2268" w:type="dxa"/>
            <w:vAlign w:val="center"/>
          </w:tcPr>
          <w:p w14:paraId="1E55CEFD"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常熟光</w:t>
            </w:r>
            <w:proofErr w:type="gramStart"/>
            <w:r w:rsidRPr="00AD6A55">
              <w:rPr>
                <w:rFonts w:ascii="宋体" w:eastAsia="宋体" w:hAnsi="宋体" w:cs="宋体"/>
                <w:szCs w:val="21"/>
              </w:rPr>
              <w:t>晟</w:t>
            </w:r>
            <w:proofErr w:type="gramEnd"/>
            <w:r w:rsidRPr="00AD6A55">
              <w:rPr>
                <w:rFonts w:ascii="宋体" w:eastAsia="宋体" w:hAnsi="宋体" w:cs="宋体"/>
                <w:szCs w:val="21"/>
              </w:rPr>
              <w:t>新能源有限公司</w:t>
            </w:r>
          </w:p>
        </w:tc>
        <w:tc>
          <w:tcPr>
            <w:tcW w:w="1843" w:type="dxa"/>
            <w:vAlign w:val="center"/>
          </w:tcPr>
          <w:p w14:paraId="5CF27F26"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境内非国有法人</w:t>
            </w:r>
          </w:p>
        </w:tc>
        <w:tc>
          <w:tcPr>
            <w:tcW w:w="851" w:type="dxa"/>
            <w:vAlign w:val="center"/>
          </w:tcPr>
          <w:p w14:paraId="5E04BA55"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20.00%</w:t>
            </w:r>
          </w:p>
        </w:tc>
        <w:tc>
          <w:tcPr>
            <w:tcW w:w="1417" w:type="dxa"/>
            <w:vAlign w:val="center"/>
          </w:tcPr>
          <w:p w14:paraId="766D2D6F"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601,533,077</w:t>
            </w:r>
          </w:p>
        </w:tc>
        <w:tc>
          <w:tcPr>
            <w:tcW w:w="1418" w:type="dxa"/>
            <w:vAlign w:val="center"/>
          </w:tcPr>
          <w:p w14:paraId="5575045E"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601,533,077</w:t>
            </w:r>
          </w:p>
        </w:tc>
        <w:tc>
          <w:tcPr>
            <w:tcW w:w="1134" w:type="dxa"/>
            <w:vAlign w:val="center"/>
          </w:tcPr>
          <w:p w14:paraId="05356C88"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6D9163D6"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21AC8463" w14:textId="77777777" w:rsidTr="00AD6A55">
        <w:trPr>
          <w:trHeight w:val="240"/>
        </w:trPr>
        <w:tc>
          <w:tcPr>
            <w:tcW w:w="2268" w:type="dxa"/>
            <w:vAlign w:val="center"/>
          </w:tcPr>
          <w:p w14:paraId="63D88EBB"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江苏中利集团股份有限公司破产企业财产处置专用账户</w:t>
            </w:r>
          </w:p>
        </w:tc>
        <w:tc>
          <w:tcPr>
            <w:tcW w:w="1843" w:type="dxa"/>
            <w:vAlign w:val="center"/>
          </w:tcPr>
          <w:p w14:paraId="05E88343"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境内非国有法人</w:t>
            </w:r>
          </w:p>
        </w:tc>
        <w:tc>
          <w:tcPr>
            <w:tcW w:w="851" w:type="dxa"/>
            <w:vAlign w:val="center"/>
          </w:tcPr>
          <w:p w14:paraId="44006753"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6.10%</w:t>
            </w:r>
          </w:p>
        </w:tc>
        <w:tc>
          <w:tcPr>
            <w:tcW w:w="1417" w:type="dxa"/>
            <w:vAlign w:val="center"/>
          </w:tcPr>
          <w:p w14:paraId="5E88A7A7"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183,542,151</w:t>
            </w:r>
          </w:p>
        </w:tc>
        <w:tc>
          <w:tcPr>
            <w:tcW w:w="1418" w:type="dxa"/>
            <w:vAlign w:val="center"/>
          </w:tcPr>
          <w:p w14:paraId="3B949CF7"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c>
          <w:tcPr>
            <w:tcW w:w="1134" w:type="dxa"/>
            <w:vAlign w:val="center"/>
          </w:tcPr>
          <w:p w14:paraId="4F568DC4"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4689707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624F72DC" w14:textId="77777777" w:rsidTr="00AD6A55">
        <w:trPr>
          <w:trHeight w:val="240"/>
        </w:trPr>
        <w:tc>
          <w:tcPr>
            <w:tcW w:w="2268" w:type="dxa"/>
            <w:vAlign w:val="center"/>
          </w:tcPr>
          <w:p w14:paraId="725F86CE"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杜月姣</w:t>
            </w:r>
          </w:p>
        </w:tc>
        <w:tc>
          <w:tcPr>
            <w:tcW w:w="1843" w:type="dxa"/>
            <w:vAlign w:val="center"/>
          </w:tcPr>
          <w:p w14:paraId="55C3798E"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境内自然人</w:t>
            </w:r>
          </w:p>
        </w:tc>
        <w:tc>
          <w:tcPr>
            <w:tcW w:w="851" w:type="dxa"/>
            <w:vAlign w:val="center"/>
          </w:tcPr>
          <w:p w14:paraId="471B2C01"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4.99%</w:t>
            </w:r>
          </w:p>
        </w:tc>
        <w:tc>
          <w:tcPr>
            <w:tcW w:w="1417" w:type="dxa"/>
            <w:vAlign w:val="center"/>
          </w:tcPr>
          <w:p w14:paraId="78740005"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150,000,000</w:t>
            </w:r>
          </w:p>
        </w:tc>
        <w:tc>
          <w:tcPr>
            <w:tcW w:w="1418" w:type="dxa"/>
            <w:vAlign w:val="center"/>
          </w:tcPr>
          <w:p w14:paraId="1531C1F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150,000,000</w:t>
            </w:r>
          </w:p>
        </w:tc>
        <w:tc>
          <w:tcPr>
            <w:tcW w:w="1134" w:type="dxa"/>
            <w:vAlign w:val="center"/>
          </w:tcPr>
          <w:p w14:paraId="30EB0E34"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448CA2D4"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3C19BE54" w14:textId="77777777" w:rsidTr="00AD6A55">
        <w:trPr>
          <w:trHeight w:val="240"/>
        </w:trPr>
        <w:tc>
          <w:tcPr>
            <w:tcW w:w="2268" w:type="dxa"/>
            <w:vAlign w:val="center"/>
          </w:tcPr>
          <w:p w14:paraId="1CF64594"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刘青科</w:t>
            </w:r>
          </w:p>
        </w:tc>
        <w:tc>
          <w:tcPr>
            <w:tcW w:w="1843" w:type="dxa"/>
            <w:vAlign w:val="center"/>
          </w:tcPr>
          <w:p w14:paraId="2ED80892"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境内自然人</w:t>
            </w:r>
          </w:p>
        </w:tc>
        <w:tc>
          <w:tcPr>
            <w:tcW w:w="851" w:type="dxa"/>
            <w:vAlign w:val="center"/>
          </w:tcPr>
          <w:p w14:paraId="30CD9FA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2.93%</w:t>
            </w:r>
          </w:p>
        </w:tc>
        <w:tc>
          <w:tcPr>
            <w:tcW w:w="1417" w:type="dxa"/>
            <w:vAlign w:val="center"/>
          </w:tcPr>
          <w:p w14:paraId="5B72C8F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88,014,147</w:t>
            </w:r>
          </w:p>
        </w:tc>
        <w:tc>
          <w:tcPr>
            <w:tcW w:w="1418" w:type="dxa"/>
            <w:vAlign w:val="center"/>
          </w:tcPr>
          <w:p w14:paraId="5D94C33C"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88,014,147</w:t>
            </w:r>
          </w:p>
        </w:tc>
        <w:tc>
          <w:tcPr>
            <w:tcW w:w="1134" w:type="dxa"/>
            <w:vAlign w:val="center"/>
          </w:tcPr>
          <w:p w14:paraId="2F12B947"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7C5AA285"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2664B07D" w14:textId="77777777" w:rsidTr="00AD6A55">
        <w:trPr>
          <w:trHeight w:val="240"/>
        </w:trPr>
        <w:tc>
          <w:tcPr>
            <w:tcW w:w="2268" w:type="dxa"/>
            <w:vAlign w:val="center"/>
          </w:tcPr>
          <w:p w14:paraId="42A779A7"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中国东方国际资产管理有限公司－中国东方收益增强基金</w:t>
            </w:r>
          </w:p>
        </w:tc>
        <w:tc>
          <w:tcPr>
            <w:tcW w:w="1843" w:type="dxa"/>
            <w:vAlign w:val="center"/>
          </w:tcPr>
          <w:p w14:paraId="2DF2CD0B"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境外法人</w:t>
            </w:r>
          </w:p>
        </w:tc>
        <w:tc>
          <w:tcPr>
            <w:tcW w:w="851" w:type="dxa"/>
            <w:vAlign w:val="center"/>
          </w:tcPr>
          <w:p w14:paraId="56B0DC83"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2.84%</w:t>
            </w:r>
          </w:p>
        </w:tc>
        <w:tc>
          <w:tcPr>
            <w:tcW w:w="1417" w:type="dxa"/>
            <w:vAlign w:val="center"/>
          </w:tcPr>
          <w:p w14:paraId="5A086C4C"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85,280,657</w:t>
            </w:r>
          </w:p>
        </w:tc>
        <w:tc>
          <w:tcPr>
            <w:tcW w:w="1418" w:type="dxa"/>
            <w:vAlign w:val="center"/>
          </w:tcPr>
          <w:p w14:paraId="102F903B"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85,280,657</w:t>
            </w:r>
          </w:p>
        </w:tc>
        <w:tc>
          <w:tcPr>
            <w:tcW w:w="1134" w:type="dxa"/>
            <w:vAlign w:val="center"/>
          </w:tcPr>
          <w:p w14:paraId="0BBCDB23"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672F8DED"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0743A79B" w14:textId="77777777" w:rsidTr="00AD6A55">
        <w:trPr>
          <w:trHeight w:val="240"/>
        </w:trPr>
        <w:tc>
          <w:tcPr>
            <w:tcW w:w="2268" w:type="dxa"/>
            <w:vAlign w:val="center"/>
          </w:tcPr>
          <w:p w14:paraId="7FD37AC1"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深圳市招平三号投资中心（有限合伙）</w:t>
            </w:r>
          </w:p>
        </w:tc>
        <w:tc>
          <w:tcPr>
            <w:tcW w:w="1843" w:type="dxa"/>
            <w:vAlign w:val="center"/>
          </w:tcPr>
          <w:p w14:paraId="6F194C06"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境内非国有法人</w:t>
            </w:r>
          </w:p>
        </w:tc>
        <w:tc>
          <w:tcPr>
            <w:tcW w:w="851" w:type="dxa"/>
            <w:vAlign w:val="center"/>
          </w:tcPr>
          <w:p w14:paraId="38868395"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2.50%</w:t>
            </w:r>
          </w:p>
        </w:tc>
        <w:tc>
          <w:tcPr>
            <w:tcW w:w="1417" w:type="dxa"/>
            <w:vAlign w:val="center"/>
          </w:tcPr>
          <w:p w14:paraId="1B72B94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75,092,013</w:t>
            </w:r>
          </w:p>
        </w:tc>
        <w:tc>
          <w:tcPr>
            <w:tcW w:w="1418" w:type="dxa"/>
            <w:vAlign w:val="center"/>
          </w:tcPr>
          <w:p w14:paraId="1B3AC3F1"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75,092,013</w:t>
            </w:r>
          </w:p>
        </w:tc>
        <w:tc>
          <w:tcPr>
            <w:tcW w:w="1134" w:type="dxa"/>
            <w:vAlign w:val="center"/>
          </w:tcPr>
          <w:p w14:paraId="387BC4A6"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7F33F4CF"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76B057F9" w14:textId="77777777" w:rsidTr="00AD6A55">
        <w:trPr>
          <w:trHeight w:val="240"/>
        </w:trPr>
        <w:tc>
          <w:tcPr>
            <w:tcW w:w="2268" w:type="dxa"/>
            <w:vAlign w:val="center"/>
          </w:tcPr>
          <w:p w14:paraId="4981A94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湖北华楚国科十一号投资合伙企业（有限合伙）</w:t>
            </w:r>
          </w:p>
        </w:tc>
        <w:tc>
          <w:tcPr>
            <w:tcW w:w="1843" w:type="dxa"/>
            <w:vAlign w:val="center"/>
          </w:tcPr>
          <w:p w14:paraId="0E478C3E"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境内非国有法人</w:t>
            </w:r>
          </w:p>
        </w:tc>
        <w:tc>
          <w:tcPr>
            <w:tcW w:w="851" w:type="dxa"/>
            <w:vAlign w:val="center"/>
          </w:tcPr>
          <w:p w14:paraId="69DBE7A2"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2.34%</w:t>
            </w:r>
          </w:p>
        </w:tc>
        <w:tc>
          <w:tcPr>
            <w:tcW w:w="1417" w:type="dxa"/>
            <w:vAlign w:val="center"/>
          </w:tcPr>
          <w:p w14:paraId="34522C23"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70,411,318</w:t>
            </w:r>
          </w:p>
        </w:tc>
        <w:tc>
          <w:tcPr>
            <w:tcW w:w="1418" w:type="dxa"/>
            <w:vAlign w:val="center"/>
          </w:tcPr>
          <w:p w14:paraId="4F73FEF9"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70,411,318</w:t>
            </w:r>
          </w:p>
        </w:tc>
        <w:tc>
          <w:tcPr>
            <w:tcW w:w="1134" w:type="dxa"/>
            <w:vAlign w:val="center"/>
          </w:tcPr>
          <w:p w14:paraId="30098281"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77E065DA"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380CBACE" w14:textId="77777777" w:rsidTr="00AD6A55">
        <w:trPr>
          <w:trHeight w:val="240"/>
        </w:trPr>
        <w:tc>
          <w:tcPr>
            <w:tcW w:w="2268" w:type="dxa"/>
            <w:vAlign w:val="center"/>
          </w:tcPr>
          <w:p w14:paraId="662BEE5B" w14:textId="77777777" w:rsidR="001006F9" w:rsidRPr="00AD6A55" w:rsidRDefault="00371742" w:rsidP="00AD6A55">
            <w:pPr>
              <w:spacing w:line="276" w:lineRule="auto"/>
              <w:rPr>
                <w:rFonts w:ascii="宋体" w:eastAsia="宋体" w:hAnsi="宋体" w:cs="宋体" w:hint="eastAsia"/>
                <w:szCs w:val="21"/>
              </w:rPr>
            </w:pPr>
            <w:proofErr w:type="gramStart"/>
            <w:r w:rsidRPr="00AD6A55">
              <w:rPr>
                <w:rFonts w:ascii="宋体" w:eastAsia="宋体" w:hAnsi="宋体" w:cs="宋体"/>
                <w:szCs w:val="21"/>
              </w:rPr>
              <w:t>中建投租赁</w:t>
            </w:r>
            <w:proofErr w:type="gramEnd"/>
            <w:r w:rsidRPr="00AD6A55">
              <w:rPr>
                <w:rFonts w:ascii="宋体" w:eastAsia="宋体" w:hAnsi="宋体" w:cs="宋体"/>
                <w:szCs w:val="21"/>
              </w:rPr>
              <w:t>股份有限公司</w:t>
            </w:r>
          </w:p>
        </w:tc>
        <w:tc>
          <w:tcPr>
            <w:tcW w:w="1843" w:type="dxa"/>
            <w:vAlign w:val="center"/>
          </w:tcPr>
          <w:p w14:paraId="3E63FF7C"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境内非国有法人</w:t>
            </w:r>
          </w:p>
        </w:tc>
        <w:tc>
          <w:tcPr>
            <w:tcW w:w="851" w:type="dxa"/>
            <w:vAlign w:val="center"/>
          </w:tcPr>
          <w:p w14:paraId="1D4D1D81"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2.06%</w:t>
            </w:r>
          </w:p>
        </w:tc>
        <w:tc>
          <w:tcPr>
            <w:tcW w:w="1417" w:type="dxa"/>
            <w:vAlign w:val="center"/>
          </w:tcPr>
          <w:p w14:paraId="32718F1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61,950,938</w:t>
            </w:r>
          </w:p>
        </w:tc>
        <w:tc>
          <w:tcPr>
            <w:tcW w:w="1418" w:type="dxa"/>
            <w:vAlign w:val="center"/>
          </w:tcPr>
          <w:p w14:paraId="498B4C2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61,950,938</w:t>
            </w:r>
          </w:p>
        </w:tc>
        <w:tc>
          <w:tcPr>
            <w:tcW w:w="1134" w:type="dxa"/>
            <w:vAlign w:val="center"/>
          </w:tcPr>
          <w:p w14:paraId="7FF57C7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07B4A438"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11918B10" w14:textId="77777777" w:rsidTr="00AD6A55">
        <w:trPr>
          <w:trHeight w:val="240"/>
        </w:trPr>
        <w:tc>
          <w:tcPr>
            <w:tcW w:w="2268" w:type="dxa"/>
            <w:vAlign w:val="center"/>
          </w:tcPr>
          <w:p w14:paraId="5B674F18"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中国东方国际资产管理有限公司－稳健收益基金1号</w:t>
            </w:r>
          </w:p>
        </w:tc>
        <w:tc>
          <w:tcPr>
            <w:tcW w:w="1843" w:type="dxa"/>
            <w:vAlign w:val="center"/>
          </w:tcPr>
          <w:p w14:paraId="255238E4"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境外法人</w:t>
            </w:r>
          </w:p>
        </w:tc>
        <w:tc>
          <w:tcPr>
            <w:tcW w:w="851" w:type="dxa"/>
            <w:vAlign w:val="center"/>
          </w:tcPr>
          <w:p w14:paraId="5E5D4F41"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2.02%</w:t>
            </w:r>
          </w:p>
        </w:tc>
        <w:tc>
          <w:tcPr>
            <w:tcW w:w="1417" w:type="dxa"/>
            <w:vAlign w:val="center"/>
          </w:tcPr>
          <w:p w14:paraId="3CB654F1"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60,847,675</w:t>
            </w:r>
          </w:p>
        </w:tc>
        <w:tc>
          <w:tcPr>
            <w:tcW w:w="1418" w:type="dxa"/>
            <w:vAlign w:val="center"/>
          </w:tcPr>
          <w:p w14:paraId="39E583B5"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60,847,675</w:t>
            </w:r>
          </w:p>
        </w:tc>
        <w:tc>
          <w:tcPr>
            <w:tcW w:w="1134" w:type="dxa"/>
            <w:vAlign w:val="center"/>
          </w:tcPr>
          <w:p w14:paraId="34FA8EA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0B3F2C42"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78FE2738" w14:textId="77777777" w:rsidTr="00AD6A55">
        <w:trPr>
          <w:trHeight w:val="240"/>
        </w:trPr>
        <w:tc>
          <w:tcPr>
            <w:tcW w:w="2268" w:type="dxa"/>
            <w:vAlign w:val="center"/>
          </w:tcPr>
          <w:p w14:paraId="1790A94D"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农银企航（苏州）私募基金管理有限公司</w:t>
            </w:r>
          </w:p>
        </w:tc>
        <w:tc>
          <w:tcPr>
            <w:tcW w:w="1843" w:type="dxa"/>
            <w:vAlign w:val="center"/>
          </w:tcPr>
          <w:p w14:paraId="23BBA333"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国有法人</w:t>
            </w:r>
          </w:p>
        </w:tc>
        <w:tc>
          <w:tcPr>
            <w:tcW w:w="851" w:type="dxa"/>
            <w:vAlign w:val="center"/>
          </w:tcPr>
          <w:p w14:paraId="7070A627"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1.99%</w:t>
            </w:r>
          </w:p>
        </w:tc>
        <w:tc>
          <w:tcPr>
            <w:tcW w:w="1417" w:type="dxa"/>
            <w:vAlign w:val="center"/>
          </w:tcPr>
          <w:p w14:paraId="2CA32313"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60,000,000</w:t>
            </w:r>
          </w:p>
        </w:tc>
        <w:tc>
          <w:tcPr>
            <w:tcW w:w="1418" w:type="dxa"/>
            <w:vAlign w:val="center"/>
          </w:tcPr>
          <w:p w14:paraId="098561F4"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60,000,000</w:t>
            </w:r>
          </w:p>
        </w:tc>
        <w:tc>
          <w:tcPr>
            <w:tcW w:w="1134" w:type="dxa"/>
            <w:vAlign w:val="center"/>
          </w:tcPr>
          <w:p w14:paraId="5D0B7D2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c>
          <w:tcPr>
            <w:tcW w:w="708" w:type="dxa"/>
            <w:vAlign w:val="center"/>
          </w:tcPr>
          <w:p w14:paraId="1CCCD46D" w14:textId="77777777" w:rsidR="001006F9" w:rsidRPr="00AD6A55" w:rsidRDefault="00371742" w:rsidP="00AD6A55">
            <w:pPr>
              <w:spacing w:line="276" w:lineRule="auto"/>
              <w:jc w:val="right"/>
              <w:rPr>
                <w:rFonts w:ascii="宋体" w:eastAsia="宋体" w:hAnsi="宋体" w:cs="宋体" w:hint="eastAsia"/>
                <w:szCs w:val="21"/>
              </w:rPr>
            </w:pPr>
            <w:r w:rsidRPr="00AD6A55">
              <w:rPr>
                <w:rFonts w:ascii="宋体" w:eastAsia="宋体" w:hAnsi="宋体" w:cs="宋体"/>
                <w:szCs w:val="21"/>
              </w:rPr>
              <w:t>0</w:t>
            </w:r>
          </w:p>
        </w:tc>
      </w:tr>
      <w:tr w:rsidR="001006F9" w:rsidRPr="00AD6A55" w14:paraId="570F8B9B" w14:textId="77777777" w:rsidTr="00AD6A55">
        <w:trPr>
          <w:trHeight w:val="240"/>
        </w:trPr>
        <w:tc>
          <w:tcPr>
            <w:tcW w:w="4111" w:type="dxa"/>
            <w:gridSpan w:val="2"/>
            <w:vAlign w:val="center"/>
          </w:tcPr>
          <w:p w14:paraId="49339670"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上述股东关联关系或一致行动的说明</w:t>
            </w:r>
          </w:p>
        </w:tc>
        <w:tc>
          <w:tcPr>
            <w:tcW w:w="5528" w:type="dxa"/>
            <w:gridSpan w:val="5"/>
            <w:vAlign w:val="center"/>
          </w:tcPr>
          <w:p w14:paraId="5B1F33B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公司未知上述股东之间是否存在关联关系，也未知上述股东之间是否属于《上市公司收购管理办法》中规定的一致行动人。</w:t>
            </w:r>
          </w:p>
        </w:tc>
      </w:tr>
      <w:tr w:rsidR="001006F9" w:rsidRPr="00AD6A55" w14:paraId="280B8C61" w14:textId="77777777" w:rsidTr="00AD6A55">
        <w:trPr>
          <w:trHeight w:val="240"/>
        </w:trPr>
        <w:tc>
          <w:tcPr>
            <w:tcW w:w="4111" w:type="dxa"/>
            <w:gridSpan w:val="2"/>
            <w:vAlign w:val="center"/>
          </w:tcPr>
          <w:p w14:paraId="0A6BA5E2"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参与融资融券业务股东情况说明（如有）</w:t>
            </w:r>
          </w:p>
        </w:tc>
        <w:tc>
          <w:tcPr>
            <w:tcW w:w="5528" w:type="dxa"/>
            <w:gridSpan w:val="5"/>
            <w:vAlign w:val="center"/>
          </w:tcPr>
          <w:p w14:paraId="5EC78A2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不适用</w:t>
            </w:r>
          </w:p>
        </w:tc>
      </w:tr>
    </w:tbl>
    <w:p w14:paraId="5E151E08"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持股5%以上股东、前10名股东及前10名无限</w:t>
      </w:r>
      <w:proofErr w:type="gramStart"/>
      <w:r w:rsidRPr="00AD6A55">
        <w:rPr>
          <w:rFonts w:ascii="宋体" w:eastAsia="宋体" w:hAnsi="宋体" w:cs="宋体"/>
          <w:sz w:val="24"/>
          <w:szCs w:val="24"/>
        </w:rPr>
        <w:t>售流通</w:t>
      </w:r>
      <w:proofErr w:type="gramEnd"/>
      <w:r w:rsidRPr="00AD6A55">
        <w:rPr>
          <w:rFonts w:ascii="宋体" w:eastAsia="宋体" w:hAnsi="宋体" w:cs="宋体"/>
          <w:sz w:val="24"/>
          <w:szCs w:val="24"/>
        </w:rPr>
        <w:t>股股东参与转融通业务出借股份情况</w:t>
      </w:r>
    </w:p>
    <w:p w14:paraId="6B2E0CF8"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 xml:space="preserve">□适用 </w:t>
      </w:r>
      <w:r w:rsidRPr="00AD6A55">
        <w:rPr>
          <w:rFonts w:ascii="宋体" w:eastAsia="宋体" w:hAnsi="宋体" w:cs="宋体"/>
          <w:sz w:val="24"/>
          <w:szCs w:val="24"/>
        </w:rPr>
        <w:sym w:font="Wingdings 2" w:char="F052"/>
      </w:r>
      <w:r w:rsidRPr="00AD6A55">
        <w:rPr>
          <w:rFonts w:ascii="宋体" w:eastAsia="宋体" w:hAnsi="宋体" w:cs="宋体"/>
          <w:sz w:val="24"/>
          <w:szCs w:val="24"/>
        </w:rPr>
        <w:t>不适用</w:t>
      </w:r>
    </w:p>
    <w:p w14:paraId="60B46DCB"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前10名股东及前10名无限</w:t>
      </w:r>
      <w:proofErr w:type="gramStart"/>
      <w:r w:rsidRPr="00AD6A55">
        <w:rPr>
          <w:rFonts w:ascii="宋体" w:eastAsia="宋体" w:hAnsi="宋体" w:cs="宋体"/>
          <w:sz w:val="24"/>
          <w:szCs w:val="24"/>
        </w:rPr>
        <w:t>售流通</w:t>
      </w:r>
      <w:proofErr w:type="gramEnd"/>
      <w:r w:rsidRPr="00AD6A55">
        <w:rPr>
          <w:rFonts w:ascii="宋体" w:eastAsia="宋体" w:hAnsi="宋体" w:cs="宋体"/>
          <w:sz w:val="24"/>
          <w:szCs w:val="24"/>
        </w:rPr>
        <w:t>股股东因转融通出借/归还原因导致较上期发生变化</w:t>
      </w:r>
    </w:p>
    <w:p w14:paraId="04E4ED93"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 xml:space="preserve">□适用 </w:t>
      </w:r>
      <w:r w:rsidRPr="00AD6A55">
        <w:rPr>
          <w:rFonts w:ascii="宋体" w:eastAsia="宋体" w:hAnsi="宋体" w:cs="宋体"/>
          <w:sz w:val="24"/>
          <w:szCs w:val="24"/>
        </w:rPr>
        <w:sym w:font="Wingdings 2" w:char="F052"/>
      </w:r>
      <w:r w:rsidRPr="00AD6A55">
        <w:rPr>
          <w:rFonts w:ascii="宋体" w:eastAsia="宋体" w:hAnsi="宋体" w:cs="宋体"/>
          <w:sz w:val="24"/>
          <w:szCs w:val="24"/>
        </w:rPr>
        <w:t>不适用</w:t>
      </w:r>
    </w:p>
    <w:p w14:paraId="5D7AD84C" w14:textId="77777777" w:rsidR="001006F9" w:rsidRPr="00AD6A55" w:rsidRDefault="00371742">
      <w:pPr>
        <w:pStyle w:val="3"/>
        <w:spacing w:line="280" w:lineRule="exact"/>
        <w:jc w:val="left"/>
        <w:rPr>
          <w:rFonts w:ascii="宋体" w:hAnsi="宋体" w:cs="宋体" w:hint="eastAsia"/>
          <w:b/>
          <w:bCs/>
          <w:sz w:val="24"/>
          <w:szCs w:val="24"/>
        </w:rPr>
      </w:pPr>
      <w:bookmarkStart w:id="5" w:name="_Toc988894"/>
      <w:r w:rsidRPr="00AD6A55">
        <w:rPr>
          <w:rFonts w:ascii="宋体" w:hAnsi="宋体" w:cs="宋体"/>
          <w:b/>
          <w:bCs/>
          <w:sz w:val="24"/>
          <w:szCs w:val="24"/>
        </w:rPr>
        <w:lastRenderedPageBreak/>
        <w:t>4、控股股东或实际控制人变更情况</w:t>
      </w:r>
      <w:bookmarkEnd w:id="5"/>
    </w:p>
    <w:p w14:paraId="4CC8C8C8"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控股股东报告期内变更</w:t>
      </w:r>
    </w:p>
    <w:p w14:paraId="4DCB6D15"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sym w:font="Wingdings 2" w:char="F052"/>
      </w:r>
      <w:r w:rsidRPr="00AD6A55">
        <w:rPr>
          <w:rFonts w:ascii="宋体" w:eastAsia="宋体" w:hAnsi="宋体" w:cs="宋体"/>
          <w:sz w:val="24"/>
          <w:szCs w:val="24"/>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20"/>
        <w:gridCol w:w="4819"/>
      </w:tblGrid>
      <w:tr w:rsidR="001006F9" w:rsidRPr="00AD6A55" w14:paraId="6F2AC3C8" w14:textId="77777777" w:rsidTr="00AD6A55">
        <w:trPr>
          <w:trHeight w:val="240"/>
        </w:trPr>
        <w:tc>
          <w:tcPr>
            <w:tcW w:w="4820" w:type="dxa"/>
            <w:vAlign w:val="center"/>
          </w:tcPr>
          <w:p w14:paraId="1024A2F6"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新控股股东名称</w:t>
            </w:r>
          </w:p>
        </w:tc>
        <w:tc>
          <w:tcPr>
            <w:tcW w:w="4820" w:type="dxa"/>
            <w:vAlign w:val="center"/>
          </w:tcPr>
          <w:p w14:paraId="688C7328"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常熟光</w:t>
            </w:r>
            <w:proofErr w:type="gramStart"/>
            <w:r w:rsidRPr="00AD6A55">
              <w:rPr>
                <w:rFonts w:ascii="宋体" w:eastAsia="宋体" w:hAnsi="宋体" w:cs="宋体"/>
                <w:szCs w:val="21"/>
              </w:rPr>
              <w:t>晟</w:t>
            </w:r>
            <w:proofErr w:type="gramEnd"/>
            <w:r w:rsidRPr="00AD6A55">
              <w:rPr>
                <w:rFonts w:ascii="宋体" w:eastAsia="宋体" w:hAnsi="宋体" w:cs="宋体"/>
                <w:szCs w:val="21"/>
              </w:rPr>
              <w:t>新能源有限公司</w:t>
            </w:r>
          </w:p>
        </w:tc>
      </w:tr>
      <w:tr w:rsidR="001006F9" w:rsidRPr="00AD6A55" w14:paraId="60B1D300" w14:textId="77777777" w:rsidTr="00AD6A55">
        <w:trPr>
          <w:trHeight w:val="240"/>
        </w:trPr>
        <w:tc>
          <w:tcPr>
            <w:tcW w:w="4820" w:type="dxa"/>
            <w:vAlign w:val="center"/>
          </w:tcPr>
          <w:p w14:paraId="56A5D255"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变更日期</w:t>
            </w:r>
          </w:p>
        </w:tc>
        <w:tc>
          <w:tcPr>
            <w:tcW w:w="4820" w:type="dxa"/>
            <w:vAlign w:val="center"/>
          </w:tcPr>
          <w:p w14:paraId="3282D854"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2024年12月31日</w:t>
            </w:r>
          </w:p>
        </w:tc>
      </w:tr>
      <w:tr w:rsidR="001006F9" w:rsidRPr="00AD6A55" w14:paraId="52399397" w14:textId="77777777" w:rsidTr="00AD6A55">
        <w:trPr>
          <w:trHeight w:val="240"/>
        </w:trPr>
        <w:tc>
          <w:tcPr>
            <w:tcW w:w="4820" w:type="dxa"/>
            <w:vAlign w:val="center"/>
          </w:tcPr>
          <w:p w14:paraId="20F88197"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指定网站查询索引</w:t>
            </w:r>
          </w:p>
        </w:tc>
        <w:tc>
          <w:tcPr>
            <w:tcW w:w="4820" w:type="dxa"/>
            <w:vAlign w:val="center"/>
          </w:tcPr>
          <w:p w14:paraId="7890487B"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巨潮资讯网</w:t>
            </w:r>
          </w:p>
        </w:tc>
      </w:tr>
      <w:tr w:rsidR="001006F9" w:rsidRPr="00AD6A55" w14:paraId="4D702701" w14:textId="77777777" w:rsidTr="00AD6A55">
        <w:trPr>
          <w:trHeight w:val="240"/>
        </w:trPr>
        <w:tc>
          <w:tcPr>
            <w:tcW w:w="4820" w:type="dxa"/>
            <w:vAlign w:val="center"/>
          </w:tcPr>
          <w:p w14:paraId="05DFD9E8"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指定网站披露日期</w:t>
            </w:r>
          </w:p>
        </w:tc>
        <w:tc>
          <w:tcPr>
            <w:tcW w:w="4820" w:type="dxa"/>
            <w:vAlign w:val="center"/>
          </w:tcPr>
          <w:p w14:paraId="77B748C8"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2025年01月02日</w:t>
            </w:r>
          </w:p>
        </w:tc>
      </w:tr>
    </w:tbl>
    <w:p w14:paraId="62951F10"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实际控制人报告期内变更</w:t>
      </w:r>
    </w:p>
    <w:p w14:paraId="0DD59084"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sym w:font="Wingdings 2" w:char="F052"/>
      </w:r>
      <w:r w:rsidRPr="00AD6A55">
        <w:rPr>
          <w:rFonts w:ascii="宋体" w:eastAsia="宋体" w:hAnsi="宋体" w:cs="宋体"/>
          <w:sz w:val="24"/>
          <w:szCs w:val="24"/>
        </w:rPr>
        <w:t>适用 □不适用</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20"/>
        <w:gridCol w:w="4819"/>
      </w:tblGrid>
      <w:tr w:rsidR="001006F9" w:rsidRPr="00AD6A55" w14:paraId="4F36365F" w14:textId="77777777" w:rsidTr="00AD6A55">
        <w:trPr>
          <w:trHeight w:val="240"/>
        </w:trPr>
        <w:tc>
          <w:tcPr>
            <w:tcW w:w="4820" w:type="dxa"/>
            <w:vAlign w:val="center"/>
          </w:tcPr>
          <w:p w14:paraId="5515DA6A"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新实际控制人名称</w:t>
            </w:r>
          </w:p>
        </w:tc>
        <w:tc>
          <w:tcPr>
            <w:tcW w:w="4820" w:type="dxa"/>
            <w:vAlign w:val="center"/>
          </w:tcPr>
          <w:p w14:paraId="4268F2C5"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厦门市人民政府国有资产监督管理委员会</w:t>
            </w:r>
          </w:p>
        </w:tc>
      </w:tr>
      <w:tr w:rsidR="001006F9" w:rsidRPr="00AD6A55" w14:paraId="66965734" w14:textId="77777777" w:rsidTr="00AD6A55">
        <w:trPr>
          <w:trHeight w:val="240"/>
        </w:trPr>
        <w:tc>
          <w:tcPr>
            <w:tcW w:w="4820" w:type="dxa"/>
            <w:vAlign w:val="center"/>
          </w:tcPr>
          <w:p w14:paraId="6DD0CD4D"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变更日期</w:t>
            </w:r>
          </w:p>
        </w:tc>
        <w:tc>
          <w:tcPr>
            <w:tcW w:w="4820" w:type="dxa"/>
            <w:vAlign w:val="center"/>
          </w:tcPr>
          <w:p w14:paraId="7E60E74C"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2025年02月06日</w:t>
            </w:r>
          </w:p>
        </w:tc>
      </w:tr>
      <w:tr w:rsidR="001006F9" w:rsidRPr="00AD6A55" w14:paraId="59C8C643" w14:textId="77777777" w:rsidTr="00AD6A55">
        <w:trPr>
          <w:trHeight w:val="240"/>
        </w:trPr>
        <w:tc>
          <w:tcPr>
            <w:tcW w:w="4820" w:type="dxa"/>
            <w:vAlign w:val="center"/>
          </w:tcPr>
          <w:p w14:paraId="309C44D3"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指定网站查询索引</w:t>
            </w:r>
          </w:p>
        </w:tc>
        <w:tc>
          <w:tcPr>
            <w:tcW w:w="4820" w:type="dxa"/>
            <w:vAlign w:val="center"/>
          </w:tcPr>
          <w:p w14:paraId="760931CF"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巨潮资讯网</w:t>
            </w:r>
          </w:p>
        </w:tc>
      </w:tr>
      <w:tr w:rsidR="001006F9" w:rsidRPr="00AD6A55" w14:paraId="125A78A8" w14:textId="77777777" w:rsidTr="00AD6A55">
        <w:trPr>
          <w:trHeight w:val="240"/>
        </w:trPr>
        <w:tc>
          <w:tcPr>
            <w:tcW w:w="4820" w:type="dxa"/>
            <w:vAlign w:val="center"/>
          </w:tcPr>
          <w:p w14:paraId="066AE01F" w14:textId="77777777" w:rsidR="001006F9" w:rsidRPr="00AD6A55" w:rsidRDefault="00371742" w:rsidP="00AD6A55">
            <w:pPr>
              <w:spacing w:before="40" w:after="40" w:line="276" w:lineRule="auto"/>
              <w:rPr>
                <w:rFonts w:ascii="宋体" w:eastAsia="宋体" w:hAnsi="宋体" w:cs="宋体" w:hint="eastAsia"/>
                <w:szCs w:val="21"/>
              </w:rPr>
            </w:pPr>
            <w:r w:rsidRPr="00AD6A55">
              <w:rPr>
                <w:rFonts w:ascii="宋体" w:eastAsia="宋体" w:hAnsi="宋体" w:cs="宋体"/>
                <w:szCs w:val="21"/>
              </w:rPr>
              <w:t>指定网站披露日期</w:t>
            </w:r>
          </w:p>
        </w:tc>
        <w:tc>
          <w:tcPr>
            <w:tcW w:w="4820" w:type="dxa"/>
            <w:vAlign w:val="center"/>
          </w:tcPr>
          <w:p w14:paraId="4D24A854" w14:textId="77777777" w:rsidR="001006F9" w:rsidRPr="00AD6A55" w:rsidRDefault="00371742" w:rsidP="00AD6A55">
            <w:pPr>
              <w:spacing w:line="276" w:lineRule="auto"/>
              <w:rPr>
                <w:rFonts w:ascii="宋体" w:eastAsia="宋体" w:hAnsi="宋体" w:cs="宋体" w:hint="eastAsia"/>
                <w:szCs w:val="21"/>
              </w:rPr>
            </w:pPr>
            <w:r w:rsidRPr="00AD6A55">
              <w:rPr>
                <w:rFonts w:ascii="宋体" w:eastAsia="宋体" w:hAnsi="宋体" w:cs="宋体"/>
                <w:szCs w:val="21"/>
              </w:rPr>
              <w:t>2025年02月07日</w:t>
            </w:r>
          </w:p>
        </w:tc>
      </w:tr>
    </w:tbl>
    <w:p w14:paraId="33D38C37" w14:textId="77777777" w:rsidR="001006F9" w:rsidRPr="00AD6A55" w:rsidRDefault="00371742">
      <w:pPr>
        <w:pStyle w:val="3"/>
        <w:spacing w:line="280" w:lineRule="exact"/>
        <w:jc w:val="left"/>
        <w:rPr>
          <w:rFonts w:ascii="宋体" w:hAnsi="宋体" w:cs="宋体" w:hint="eastAsia"/>
          <w:b/>
          <w:bCs/>
          <w:sz w:val="24"/>
          <w:szCs w:val="24"/>
        </w:rPr>
      </w:pPr>
      <w:bookmarkStart w:id="6" w:name="_Toc988895"/>
      <w:r w:rsidRPr="00AD6A55">
        <w:rPr>
          <w:rFonts w:ascii="宋体" w:hAnsi="宋体" w:cs="宋体"/>
          <w:b/>
          <w:bCs/>
          <w:sz w:val="24"/>
          <w:szCs w:val="24"/>
        </w:rPr>
        <w:t>5、公司优先股股东总数及前10名优先股股东持股情况表</w:t>
      </w:r>
      <w:bookmarkEnd w:id="6"/>
    </w:p>
    <w:p w14:paraId="55B6E2E2"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 xml:space="preserve">□适用 </w:t>
      </w:r>
      <w:r w:rsidRPr="00AD6A55">
        <w:rPr>
          <w:rFonts w:ascii="宋体" w:eastAsia="宋体" w:hAnsi="宋体" w:cs="宋体"/>
          <w:sz w:val="24"/>
          <w:szCs w:val="24"/>
        </w:rPr>
        <w:sym w:font="Wingdings 2" w:char="F052"/>
      </w:r>
      <w:r w:rsidRPr="00AD6A55">
        <w:rPr>
          <w:rFonts w:ascii="宋体" w:eastAsia="宋体" w:hAnsi="宋体" w:cs="宋体"/>
          <w:sz w:val="24"/>
          <w:szCs w:val="24"/>
        </w:rPr>
        <w:t>不适用</w:t>
      </w:r>
    </w:p>
    <w:p w14:paraId="642AEE30" w14:textId="77777777" w:rsidR="001006F9" w:rsidRPr="00AD6A55" w:rsidRDefault="00371742" w:rsidP="00AD6A55">
      <w:pPr>
        <w:spacing w:line="360" w:lineRule="auto"/>
        <w:rPr>
          <w:rFonts w:ascii="宋体" w:eastAsia="宋体" w:hAnsi="宋体" w:cs="宋体" w:hint="eastAsia"/>
          <w:sz w:val="24"/>
          <w:szCs w:val="24"/>
        </w:rPr>
      </w:pPr>
      <w:r w:rsidRPr="00AD6A55">
        <w:rPr>
          <w:rFonts w:ascii="宋体" w:eastAsia="宋体" w:hAnsi="宋体" w:cs="宋体"/>
          <w:sz w:val="24"/>
          <w:szCs w:val="24"/>
        </w:rPr>
        <w:t>公司报告期无优先股股东持股情况。</w:t>
      </w:r>
    </w:p>
    <w:p w14:paraId="5E008B77" w14:textId="77777777" w:rsidR="001006F9" w:rsidRPr="00AD6A55" w:rsidRDefault="00371742">
      <w:pPr>
        <w:pStyle w:val="3"/>
        <w:spacing w:line="280" w:lineRule="exact"/>
        <w:jc w:val="left"/>
        <w:rPr>
          <w:rFonts w:ascii="宋体" w:hAnsi="宋体" w:cs="宋体" w:hint="eastAsia"/>
          <w:b/>
          <w:bCs/>
          <w:sz w:val="24"/>
          <w:szCs w:val="24"/>
        </w:rPr>
      </w:pPr>
      <w:bookmarkStart w:id="7" w:name="_Toc988896"/>
      <w:r w:rsidRPr="00AD6A55">
        <w:rPr>
          <w:rFonts w:ascii="宋体" w:hAnsi="宋体" w:cs="宋体"/>
          <w:b/>
          <w:bCs/>
          <w:sz w:val="24"/>
          <w:szCs w:val="24"/>
        </w:rPr>
        <w:t>6、在半年度报告批准报出日存续的债券情况</w:t>
      </w:r>
      <w:bookmarkEnd w:id="7"/>
    </w:p>
    <w:p w14:paraId="55F340E0" w14:textId="77777777" w:rsidR="001006F9" w:rsidRPr="00AD6A55" w:rsidRDefault="00371742">
      <w:pPr>
        <w:spacing w:before="40" w:after="40" w:line="240" w:lineRule="exact"/>
        <w:rPr>
          <w:rFonts w:ascii="宋体" w:eastAsia="宋体" w:hAnsi="宋体" w:cs="宋体" w:hint="eastAsia"/>
          <w:sz w:val="24"/>
          <w:szCs w:val="24"/>
        </w:rPr>
      </w:pPr>
      <w:r w:rsidRPr="00AD6A55">
        <w:rPr>
          <w:rFonts w:ascii="宋体" w:eastAsia="宋体" w:hAnsi="宋体" w:cs="宋体"/>
          <w:sz w:val="24"/>
          <w:szCs w:val="24"/>
        </w:rPr>
        <w:t xml:space="preserve">□适用 </w:t>
      </w:r>
      <w:r w:rsidRPr="00AD6A55">
        <w:rPr>
          <w:rFonts w:ascii="宋体" w:eastAsia="宋体" w:hAnsi="宋体" w:cs="宋体"/>
          <w:sz w:val="24"/>
          <w:szCs w:val="24"/>
        </w:rPr>
        <w:sym w:font="Wingdings 2" w:char="F052"/>
      </w:r>
      <w:r w:rsidRPr="00AD6A55">
        <w:rPr>
          <w:rFonts w:ascii="宋体" w:eastAsia="宋体" w:hAnsi="宋体" w:cs="宋体"/>
          <w:sz w:val="24"/>
          <w:szCs w:val="24"/>
        </w:rPr>
        <w:t>不适用</w:t>
      </w:r>
    </w:p>
    <w:p w14:paraId="700CB9BF" w14:textId="77777777" w:rsidR="001006F9" w:rsidRPr="00AD6A55" w:rsidRDefault="00371742">
      <w:pPr>
        <w:pStyle w:val="2"/>
        <w:spacing w:before="300" w:after="300" w:line="320" w:lineRule="exact"/>
        <w:rPr>
          <w:rFonts w:ascii="宋体" w:eastAsia="宋体" w:hAnsi="宋体" w:cs="宋体" w:hint="eastAsia"/>
          <w:b/>
          <w:bCs/>
          <w:sz w:val="24"/>
          <w:szCs w:val="24"/>
        </w:rPr>
      </w:pPr>
      <w:bookmarkStart w:id="8" w:name="_Toc988897"/>
      <w:r w:rsidRPr="00AD6A55">
        <w:rPr>
          <w:rFonts w:ascii="宋体" w:eastAsia="宋体" w:hAnsi="宋体" w:cs="宋体"/>
          <w:b/>
          <w:bCs/>
          <w:sz w:val="24"/>
          <w:szCs w:val="24"/>
        </w:rPr>
        <w:t>三、重要事项</w:t>
      </w:r>
      <w:bookmarkEnd w:id="8"/>
    </w:p>
    <w:p w14:paraId="333ED590" w14:textId="77777777" w:rsidR="00776D71" w:rsidRPr="00CE1034" w:rsidRDefault="00371742" w:rsidP="00CE1034">
      <w:pPr>
        <w:pStyle w:val="a3"/>
        <w:spacing w:before="0" w:beforeAutospacing="0" w:after="0" w:afterAutospacing="0" w:line="360" w:lineRule="auto"/>
        <w:ind w:firstLine="420"/>
        <w:jc w:val="both"/>
        <w:divId w:val="236478740"/>
        <w:rPr>
          <w:rFonts w:hint="eastAsia"/>
        </w:rPr>
      </w:pPr>
      <w:r w:rsidRPr="00CE1034">
        <w:rPr>
          <w:rFonts w:hint="eastAsia"/>
        </w:rPr>
        <w:t>2025年上半年，公司实现营业收入8.37亿元，同比下降33.59%,主要是光</w:t>
      </w:r>
      <w:proofErr w:type="gramStart"/>
      <w:r w:rsidRPr="00CE1034">
        <w:rPr>
          <w:rFonts w:hint="eastAsia"/>
        </w:rPr>
        <w:t>伏业务</w:t>
      </w:r>
      <w:proofErr w:type="gramEnd"/>
      <w:r w:rsidRPr="00CE1034">
        <w:rPr>
          <w:rFonts w:hint="eastAsia"/>
        </w:rPr>
        <w:t>的生产经营尚处于恢复阶段，同时受市场环境的影响，规模效应无法良好体现，导致营业收入同比出现下降；公司实现归属于母公司净利润-0.71亿元，同比减少亏损1.95亿元，降本提质初见成效，有息负债规模同比大幅缩小，期间费用同比大幅减少，上半年亏损幅度同比明显收窄。2025年半年度末，公司总资产为50.95亿元，归属于母公司的所有者权益为18.10亿元。</w:t>
      </w:r>
    </w:p>
    <w:p w14:paraId="0C93D4D9" w14:textId="77777777" w:rsidR="00776D71" w:rsidRPr="00CE1034" w:rsidRDefault="00371742" w:rsidP="00CE1034">
      <w:pPr>
        <w:pStyle w:val="a3"/>
        <w:spacing w:before="0" w:beforeAutospacing="0" w:after="0" w:afterAutospacing="0" w:line="360" w:lineRule="auto"/>
        <w:ind w:firstLine="420"/>
        <w:jc w:val="both"/>
        <w:divId w:val="236478740"/>
        <w:rPr>
          <w:rFonts w:hint="eastAsia"/>
        </w:rPr>
      </w:pPr>
      <w:r w:rsidRPr="00CE1034">
        <w:rPr>
          <w:rFonts w:hint="eastAsia"/>
        </w:rPr>
        <w:t>报告期内，公司通过完成董事会改组换届，调整经营管理团队，引入先进管理理念，进一步完善了经营决策机制。同时，公司如期完成了摘星摘帽的工作，公司基本面实现实质性好转、核心风险得到有效化解、内控治理取得显著成效。</w:t>
      </w:r>
    </w:p>
    <w:p w14:paraId="1E595303" w14:textId="77777777" w:rsidR="00371742" w:rsidRPr="00CE1034" w:rsidRDefault="00371742" w:rsidP="00CE1034">
      <w:pPr>
        <w:pStyle w:val="a3"/>
        <w:spacing w:before="0" w:beforeAutospacing="0" w:after="0" w:afterAutospacing="0" w:line="360" w:lineRule="auto"/>
        <w:ind w:firstLine="420"/>
        <w:jc w:val="both"/>
        <w:divId w:val="236478740"/>
        <w:rPr>
          <w:rFonts w:hint="eastAsia"/>
        </w:rPr>
      </w:pPr>
      <w:r w:rsidRPr="00CE1034">
        <w:rPr>
          <w:rFonts w:hint="eastAsia"/>
        </w:rPr>
        <w:lastRenderedPageBreak/>
        <w:t>上半年，公司召开董事会8次、股东大会3次、独立董事专门会议2次、审计委员会7次、提名委员会3次、薪酬与考核委员会1次，审议了《公司章程》等60项议案。董事会严格按照股东会的决议和授权认真执行公司股东会通过的各项决议。董事会下设各委员会以认真负责的态度履行各自职责，开展工作。独立董事们在涉及公司重大事项方面充分表达意见，发挥重要作用。</w:t>
      </w:r>
    </w:p>
    <w:sectPr w:rsidR="00371742" w:rsidRPr="00CE1034">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84AC" w14:textId="77777777" w:rsidR="00E71628" w:rsidRDefault="00E71628">
      <w:pPr>
        <w:rPr>
          <w:rFonts w:hint="eastAsia"/>
        </w:rPr>
      </w:pPr>
      <w:r>
        <w:separator/>
      </w:r>
    </w:p>
  </w:endnote>
  <w:endnote w:type="continuationSeparator" w:id="0">
    <w:p w14:paraId="47EA9E07" w14:textId="77777777" w:rsidR="00E71628" w:rsidRDefault="00E716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A20B" w14:textId="77777777" w:rsidR="001006F9" w:rsidRDefault="00371742">
    <w:pPr>
      <w:pStyle w:val="fotter1"/>
      <w:rPr>
        <w:rFonts w:hint="eastAsia"/>
      </w:rPr>
    </w:pPr>
    <w:r>
      <w:fldChar w:fldCharType="begin"/>
    </w:r>
    <w:r>
      <w:instrText>PAGE   \* MERGEFORMAT</w:instrText>
    </w:r>
    <w:r>
      <w:fldChar w:fldCharType="separate"/>
    </w:r>
    <w:r w:rsidR="00BC05E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6559" w14:textId="77777777" w:rsidR="00E71628" w:rsidRDefault="00E71628">
      <w:pPr>
        <w:rPr>
          <w:rFonts w:hint="eastAsia"/>
        </w:rPr>
      </w:pPr>
      <w:r>
        <w:separator/>
      </w:r>
    </w:p>
  </w:footnote>
  <w:footnote w:type="continuationSeparator" w:id="0">
    <w:p w14:paraId="0CF5F906" w14:textId="77777777" w:rsidR="00E71628" w:rsidRDefault="00E7162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E2EA" w14:textId="77777777" w:rsidR="001006F9" w:rsidRDefault="00371742">
    <w:pPr>
      <w:pStyle w:val="Header1"/>
      <w:pBdr>
        <w:bottom w:val="single" w:sz="6" w:space="1" w:color="auto"/>
      </w:pBdr>
      <w:rPr>
        <w:rFonts w:hint="eastAsia"/>
      </w:rPr>
    </w:pPr>
    <w:r>
      <w:t>江苏中利集团股份有限公司2025年半年度报告摘要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F9"/>
    <w:rsid w:val="001006F9"/>
    <w:rsid w:val="00371742"/>
    <w:rsid w:val="004D735E"/>
    <w:rsid w:val="005D7E8A"/>
    <w:rsid w:val="00725DE2"/>
    <w:rsid w:val="00776D71"/>
    <w:rsid w:val="008E1030"/>
    <w:rsid w:val="008F1FDB"/>
    <w:rsid w:val="00A133EE"/>
    <w:rsid w:val="00AD6A55"/>
    <w:rsid w:val="00BA7B0C"/>
    <w:rsid w:val="00BC05ED"/>
    <w:rsid w:val="00CE1034"/>
    <w:rsid w:val="00E71628"/>
    <w:rsid w:val="00EA29F4"/>
    <w:rsid w:val="00EA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63CED"/>
  <w15:docId w15:val="{1BA0AFF6-B2B0-46A3-B449-250B3E5E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TOC1">
    <w:name w:val="toc 1"/>
    <w:basedOn w:val="a"/>
    <w:next w:val="a"/>
    <w:autoRedefine/>
    <w:uiPriority w:val="39"/>
  </w:style>
  <w:style w:type="paragraph" w:styleId="TOC2">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5D7E8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D7E8A"/>
    <w:rPr>
      <w:sz w:val="18"/>
      <w:szCs w:val="18"/>
    </w:rPr>
  </w:style>
  <w:style w:type="paragraph" w:styleId="a6">
    <w:name w:val="footer"/>
    <w:basedOn w:val="a"/>
    <w:link w:val="a7"/>
    <w:uiPriority w:val="99"/>
    <w:unhideWhenUsed/>
    <w:rsid w:val="005D7E8A"/>
    <w:pPr>
      <w:tabs>
        <w:tab w:val="center" w:pos="4153"/>
        <w:tab w:val="right" w:pos="8306"/>
      </w:tabs>
      <w:snapToGrid w:val="0"/>
    </w:pPr>
    <w:rPr>
      <w:sz w:val="18"/>
      <w:szCs w:val="18"/>
    </w:rPr>
  </w:style>
  <w:style w:type="character" w:customStyle="1" w:styleId="a7">
    <w:name w:val="页脚 字符"/>
    <w:basedOn w:val="a0"/>
    <w:link w:val="a6"/>
    <w:uiPriority w:val="99"/>
    <w:rsid w:val="005D7E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78740">
      <w:bodyDiv w:val="1"/>
      <w:marLeft w:val="0"/>
      <w:marRight w:val="0"/>
      <w:marTop w:val="0"/>
      <w:marBottom w:val="0"/>
      <w:divBdr>
        <w:top w:val="none" w:sz="0" w:space="0" w:color="auto"/>
        <w:left w:val="none" w:sz="0" w:space="0" w:color="auto"/>
        <w:bottom w:val="none" w:sz="0" w:space="0" w:color="auto"/>
        <w:right w:val="none" w:sz="0" w:space="0" w:color="auto"/>
      </w:divBdr>
    </w:div>
    <w:div w:id="68113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周玲</dc:creator>
  <cp:lastModifiedBy>周玲</cp:lastModifiedBy>
  <cp:revision>2</cp:revision>
  <dcterms:created xsi:type="dcterms:W3CDTF">2025-08-27T09:18:00Z</dcterms:created>
  <dcterms:modified xsi:type="dcterms:W3CDTF">2025-08-27T09:18:00Z</dcterms:modified>
</cp:coreProperties>
</file>