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26D" w:rsidRPr="002E3E23" w:rsidRDefault="00CC6257" w:rsidP="002E3E23">
      <w:pPr>
        <w:spacing w:beforeLines="100" w:before="312" w:afterLines="100" w:after="312" w:line="360" w:lineRule="auto"/>
        <w:rPr>
          <w:rFonts w:ascii="宋体" w:eastAsia="宋体" w:hAnsi="宋体" w:cs="宋体"/>
          <w:szCs w:val="18"/>
        </w:rPr>
      </w:pPr>
      <w:r w:rsidRPr="002E3E23">
        <w:rPr>
          <w:rFonts w:ascii="宋体" w:eastAsia="宋体" w:hAnsi="宋体" w:cs="宋体"/>
          <w:szCs w:val="18"/>
        </w:rPr>
        <w:t xml:space="preserve">证券代码：002309            </w:t>
      </w:r>
      <w:r w:rsidR="002E3E23">
        <w:rPr>
          <w:rFonts w:ascii="宋体" w:eastAsia="宋体" w:hAnsi="宋体" w:cs="宋体"/>
          <w:szCs w:val="18"/>
        </w:rPr>
        <w:t xml:space="preserve">   </w:t>
      </w:r>
      <w:r w:rsidRPr="002E3E23">
        <w:rPr>
          <w:rFonts w:ascii="宋体" w:eastAsia="宋体" w:hAnsi="宋体" w:cs="宋体"/>
          <w:szCs w:val="18"/>
        </w:rPr>
        <w:t xml:space="preserve">    证券简称：*ST中利            </w:t>
      </w:r>
      <w:r w:rsidR="002E3E23">
        <w:rPr>
          <w:rFonts w:ascii="宋体" w:eastAsia="宋体" w:hAnsi="宋体" w:cs="宋体"/>
          <w:szCs w:val="18"/>
        </w:rPr>
        <w:t xml:space="preserve">   </w:t>
      </w:r>
      <w:r w:rsidRPr="002E3E23">
        <w:rPr>
          <w:rFonts w:ascii="宋体" w:eastAsia="宋体" w:hAnsi="宋体" w:cs="宋体"/>
          <w:szCs w:val="18"/>
        </w:rPr>
        <w:t xml:space="preserve">    公告编号：</w:t>
      </w:r>
      <w:r w:rsidR="005E45A6" w:rsidRPr="002E3E23">
        <w:rPr>
          <w:rFonts w:ascii="宋体" w:eastAsia="宋体" w:hAnsi="宋体" w:cs="宋体"/>
          <w:szCs w:val="18"/>
        </w:rPr>
        <w:t>2025-055</w:t>
      </w:r>
    </w:p>
    <w:p w:rsidR="005E026D" w:rsidRDefault="00CC6257" w:rsidP="002E3E23">
      <w:pPr>
        <w:spacing w:beforeLines="100" w:before="312" w:afterLines="100" w:after="312" w:line="360" w:lineRule="auto"/>
        <w:jc w:val="center"/>
        <w:rPr>
          <w:rFonts w:ascii="宋体" w:eastAsia="宋体" w:hAnsi="宋体" w:cs="宋体"/>
          <w:b/>
          <w:bCs/>
          <w:sz w:val="36"/>
          <w:szCs w:val="36"/>
        </w:rPr>
      </w:pPr>
      <w:r>
        <w:rPr>
          <w:rFonts w:ascii="宋体" w:eastAsia="宋体" w:hAnsi="宋体" w:cs="宋体"/>
          <w:b/>
          <w:bCs/>
          <w:sz w:val="36"/>
          <w:szCs w:val="36"/>
        </w:rPr>
        <w:t>江苏中利集团股份有限公司2024年年度报告摘要</w:t>
      </w:r>
    </w:p>
    <w:p w:rsidR="005E026D" w:rsidRDefault="00CC6257">
      <w:pPr>
        <w:pStyle w:val="2"/>
        <w:spacing w:before="300" w:after="300" w:line="320" w:lineRule="exact"/>
        <w:rPr>
          <w:rFonts w:ascii="宋体" w:eastAsia="宋体" w:hAnsi="宋体" w:cs="宋体"/>
          <w:b/>
          <w:bCs/>
          <w:sz w:val="24"/>
          <w:szCs w:val="24"/>
        </w:rPr>
      </w:pPr>
      <w:bookmarkStart w:id="0" w:name="_Toc988889"/>
      <w:r>
        <w:rPr>
          <w:rFonts w:ascii="宋体" w:eastAsia="宋体" w:hAnsi="宋体" w:cs="宋体"/>
          <w:b/>
          <w:bCs/>
          <w:sz w:val="24"/>
          <w:szCs w:val="24"/>
        </w:rPr>
        <w:t>一、重要提示</w:t>
      </w:r>
      <w:bookmarkEnd w:id="0"/>
    </w:p>
    <w:p w:rsidR="005E026D" w:rsidRPr="002E3E23" w:rsidRDefault="00CC6257" w:rsidP="002E3E23">
      <w:pPr>
        <w:spacing w:line="360" w:lineRule="auto"/>
        <w:ind w:firstLineChars="200" w:firstLine="480"/>
        <w:rPr>
          <w:rFonts w:ascii="宋体" w:eastAsia="宋体" w:hAnsi="宋体" w:cs="宋体"/>
          <w:sz w:val="24"/>
          <w:szCs w:val="24"/>
        </w:rPr>
      </w:pPr>
      <w:r w:rsidRPr="002E3E23">
        <w:rPr>
          <w:rFonts w:ascii="宋体" w:eastAsia="宋体" w:hAnsi="宋体" w:cs="宋体"/>
          <w:sz w:val="24"/>
          <w:szCs w:val="24"/>
        </w:rPr>
        <w:t>本年度报告摘要来自年度报告全文，为全面了解本公司的经营成果、财务状况及未来发展规划，投资者应当到证监会指定媒体仔细阅读年度报告全文。</w:t>
      </w:r>
    </w:p>
    <w:p w:rsidR="005E026D" w:rsidRPr="002E3E23" w:rsidRDefault="00CC6257" w:rsidP="002E3E23">
      <w:pPr>
        <w:spacing w:line="360" w:lineRule="auto"/>
        <w:ind w:firstLineChars="200" w:firstLine="480"/>
        <w:rPr>
          <w:rFonts w:ascii="宋体" w:eastAsia="宋体" w:hAnsi="宋体" w:cs="宋体"/>
          <w:sz w:val="24"/>
          <w:szCs w:val="24"/>
        </w:rPr>
      </w:pPr>
      <w:r w:rsidRPr="002E3E23">
        <w:rPr>
          <w:rFonts w:ascii="宋体" w:eastAsia="宋体" w:hAnsi="宋体" w:cs="宋体"/>
          <w:sz w:val="24"/>
          <w:szCs w:val="24"/>
        </w:rPr>
        <w:t>所有董事均</w:t>
      </w:r>
      <w:proofErr w:type="gramStart"/>
      <w:r w:rsidRPr="002E3E23">
        <w:rPr>
          <w:rFonts w:ascii="宋体" w:eastAsia="宋体" w:hAnsi="宋体" w:cs="宋体"/>
          <w:sz w:val="24"/>
          <w:szCs w:val="24"/>
        </w:rPr>
        <w:t>已出席</w:t>
      </w:r>
      <w:proofErr w:type="gramEnd"/>
      <w:r w:rsidRPr="002E3E23">
        <w:rPr>
          <w:rFonts w:ascii="宋体" w:eastAsia="宋体" w:hAnsi="宋体" w:cs="宋体"/>
          <w:sz w:val="24"/>
          <w:szCs w:val="24"/>
        </w:rPr>
        <w:t>了审议本报告的董事会会议。</w:t>
      </w:r>
    </w:p>
    <w:p w:rsidR="005E026D" w:rsidRPr="002E3E23" w:rsidRDefault="00CC6257" w:rsidP="002E3E23">
      <w:pPr>
        <w:spacing w:line="360" w:lineRule="auto"/>
        <w:ind w:firstLineChars="200" w:firstLine="480"/>
        <w:rPr>
          <w:rFonts w:ascii="宋体" w:eastAsia="宋体" w:hAnsi="宋体" w:cs="宋体"/>
          <w:sz w:val="24"/>
          <w:szCs w:val="24"/>
        </w:rPr>
      </w:pPr>
      <w:r w:rsidRPr="002E3E23">
        <w:rPr>
          <w:rFonts w:ascii="宋体" w:eastAsia="宋体" w:hAnsi="宋体" w:cs="宋体"/>
          <w:sz w:val="24"/>
          <w:szCs w:val="24"/>
        </w:rPr>
        <w:t>非标准审计意见提示</w:t>
      </w:r>
    </w:p>
    <w:p w:rsidR="005E026D" w:rsidRPr="002E3E23" w:rsidRDefault="00CC6257" w:rsidP="002E3E23">
      <w:pPr>
        <w:spacing w:line="360" w:lineRule="auto"/>
        <w:ind w:firstLineChars="200" w:firstLine="480"/>
        <w:rPr>
          <w:rFonts w:ascii="宋体" w:eastAsia="宋体" w:hAnsi="宋体" w:cs="宋体"/>
          <w:sz w:val="24"/>
          <w:szCs w:val="24"/>
        </w:rPr>
      </w:pPr>
      <w:r w:rsidRPr="002E3E23">
        <w:rPr>
          <w:rFonts w:ascii="宋体" w:eastAsia="宋体" w:hAnsi="宋体" w:cs="宋体"/>
          <w:sz w:val="24"/>
          <w:szCs w:val="24"/>
        </w:rPr>
        <w:t xml:space="preserve">□适用 </w:t>
      </w:r>
      <w:r w:rsidRPr="002E3E23">
        <w:rPr>
          <w:rFonts w:ascii="宋体" w:eastAsia="宋体" w:hAnsi="宋体" w:cs="宋体"/>
          <w:sz w:val="24"/>
          <w:szCs w:val="24"/>
        </w:rPr>
        <w:sym w:font="Wingdings 2" w:char="F052"/>
      </w:r>
      <w:r w:rsidRPr="002E3E23">
        <w:rPr>
          <w:rFonts w:ascii="宋体" w:eastAsia="宋体" w:hAnsi="宋体" w:cs="宋体"/>
          <w:sz w:val="24"/>
          <w:szCs w:val="24"/>
        </w:rPr>
        <w:t>不适用</w:t>
      </w:r>
    </w:p>
    <w:p w:rsidR="005E026D" w:rsidRPr="002E3E23" w:rsidRDefault="00CC6257" w:rsidP="002E3E23">
      <w:pPr>
        <w:spacing w:line="360" w:lineRule="auto"/>
        <w:ind w:firstLineChars="200" w:firstLine="480"/>
        <w:rPr>
          <w:rFonts w:ascii="宋体" w:eastAsia="宋体" w:hAnsi="宋体" w:cs="宋体"/>
          <w:sz w:val="24"/>
          <w:szCs w:val="24"/>
        </w:rPr>
      </w:pPr>
      <w:r w:rsidRPr="002E3E23">
        <w:rPr>
          <w:rFonts w:ascii="宋体" w:eastAsia="宋体" w:hAnsi="宋体" w:cs="宋体"/>
          <w:sz w:val="24"/>
          <w:szCs w:val="24"/>
        </w:rPr>
        <w:t>董事会审议的报告期利润分配预案或公积金转增股本预案</w:t>
      </w:r>
    </w:p>
    <w:p w:rsidR="005E026D" w:rsidRPr="002E3E23" w:rsidRDefault="00CC6257" w:rsidP="002E3E23">
      <w:pPr>
        <w:spacing w:line="360" w:lineRule="auto"/>
        <w:ind w:firstLineChars="200" w:firstLine="480"/>
        <w:rPr>
          <w:rFonts w:ascii="宋体" w:eastAsia="宋体" w:hAnsi="宋体" w:cs="宋体"/>
          <w:sz w:val="24"/>
          <w:szCs w:val="24"/>
        </w:rPr>
      </w:pPr>
      <w:r w:rsidRPr="002E3E23">
        <w:rPr>
          <w:rFonts w:ascii="宋体" w:eastAsia="宋体" w:hAnsi="宋体" w:cs="宋体"/>
          <w:sz w:val="24"/>
          <w:szCs w:val="24"/>
        </w:rPr>
        <w:t xml:space="preserve">□适用 </w:t>
      </w:r>
      <w:r w:rsidRPr="002E3E23">
        <w:rPr>
          <w:rFonts w:ascii="宋体" w:eastAsia="宋体" w:hAnsi="宋体" w:cs="宋体"/>
          <w:sz w:val="24"/>
          <w:szCs w:val="24"/>
        </w:rPr>
        <w:sym w:font="Wingdings 2" w:char="F052"/>
      </w:r>
      <w:r w:rsidRPr="002E3E23">
        <w:rPr>
          <w:rFonts w:ascii="宋体" w:eastAsia="宋体" w:hAnsi="宋体" w:cs="宋体"/>
          <w:sz w:val="24"/>
          <w:szCs w:val="24"/>
        </w:rPr>
        <w:t>不适用</w:t>
      </w:r>
    </w:p>
    <w:p w:rsidR="005E026D" w:rsidRPr="002E3E23" w:rsidRDefault="00CC6257" w:rsidP="002E3E23">
      <w:pPr>
        <w:spacing w:line="360" w:lineRule="auto"/>
        <w:ind w:firstLineChars="200" w:firstLine="480"/>
        <w:rPr>
          <w:rFonts w:ascii="宋体" w:eastAsia="宋体" w:hAnsi="宋体" w:cs="宋体"/>
          <w:sz w:val="24"/>
          <w:szCs w:val="24"/>
        </w:rPr>
      </w:pPr>
      <w:r w:rsidRPr="002E3E23">
        <w:rPr>
          <w:rFonts w:ascii="宋体" w:eastAsia="宋体" w:hAnsi="宋体" w:cs="宋体"/>
          <w:sz w:val="24"/>
          <w:szCs w:val="24"/>
        </w:rPr>
        <w:t>公司计划</w:t>
      </w:r>
      <w:proofErr w:type="gramStart"/>
      <w:r w:rsidRPr="002E3E23">
        <w:rPr>
          <w:rFonts w:ascii="宋体" w:eastAsia="宋体" w:hAnsi="宋体" w:cs="宋体"/>
          <w:sz w:val="24"/>
          <w:szCs w:val="24"/>
        </w:rPr>
        <w:t>不</w:t>
      </w:r>
      <w:proofErr w:type="gramEnd"/>
      <w:r w:rsidRPr="002E3E23">
        <w:rPr>
          <w:rFonts w:ascii="宋体" w:eastAsia="宋体" w:hAnsi="宋体" w:cs="宋体"/>
          <w:sz w:val="24"/>
          <w:szCs w:val="24"/>
        </w:rPr>
        <w:t>派发现金红利，不送红股，不以公积金转增股本。</w:t>
      </w:r>
    </w:p>
    <w:p w:rsidR="005E026D" w:rsidRPr="002E3E23" w:rsidRDefault="00CC6257" w:rsidP="002E3E23">
      <w:pPr>
        <w:spacing w:line="360" w:lineRule="auto"/>
        <w:ind w:firstLineChars="200" w:firstLine="480"/>
        <w:rPr>
          <w:rFonts w:ascii="宋体" w:eastAsia="宋体" w:hAnsi="宋体" w:cs="宋体"/>
          <w:sz w:val="24"/>
          <w:szCs w:val="24"/>
        </w:rPr>
      </w:pPr>
      <w:r w:rsidRPr="002E3E23">
        <w:rPr>
          <w:rFonts w:ascii="宋体" w:eastAsia="宋体" w:hAnsi="宋体" w:cs="宋体"/>
          <w:sz w:val="24"/>
          <w:szCs w:val="24"/>
        </w:rPr>
        <w:t>董事会决议通过的本报告期优先股利润分配预案</w:t>
      </w:r>
    </w:p>
    <w:p w:rsidR="005E026D" w:rsidRPr="002E3E23" w:rsidRDefault="00CC6257" w:rsidP="002E3E23">
      <w:pPr>
        <w:spacing w:line="360" w:lineRule="auto"/>
        <w:ind w:firstLineChars="200" w:firstLine="480"/>
        <w:rPr>
          <w:rFonts w:ascii="宋体" w:eastAsia="宋体" w:hAnsi="宋体" w:cs="宋体"/>
          <w:sz w:val="24"/>
          <w:szCs w:val="24"/>
        </w:rPr>
      </w:pPr>
      <w:r w:rsidRPr="002E3E23">
        <w:rPr>
          <w:rFonts w:ascii="宋体" w:eastAsia="宋体" w:hAnsi="宋体" w:cs="宋体"/>
          <w:sz w:val="24"/>
          <w:szCs w:val="24"/>
        </w:rPr>
        <w:t xml:space="preserve">□适用 </w:t>
      </w:r>
      <w:r w:rsidR="0075778B" w:rsidRPr="002E3E23">
        <w:rPr>
          <w:rFonts w:ascii="宋体" w:eastAsia="宋体" w:hAnsi="宋体" w:cs="宋体"/>
          <w:sz w:val="24"/>
          <w:szCs w:val="24"/>
        </w:rPr>
        <w:sym w:font="Wingdings 2" w:char="F052"/>
      </w:r>
      <w:r w:rsidRPr="002E3E23">
        <w:rPr>
          <w:rFonts w:ascii="宋体" w:eastAsia="宋体" w:hAnsi="宋体" w:cs="宋体"/>
          <w:sz w:val="24"/>
          <w:szCs w:val="24"/>
        </w:rPr>
        <w:t>不适用</w:t>
      </w:r>
    </w:p>
    <w:p w:rsidR="005E026D" w:rsidRDefault="00CC6257">
      <w:pPr>
        <w:pStyle w:val="2"/>
        <w:spacing w:before="300" w:after="300" w:line="320" w:lineRule="exact"/>
        <w:rPr>
          <w:rFonts w:ascii="宋体" w:eastAsia="宋体" w:hAnsi="宋体" w:cs="宋体"/>
          <w:b/>
          <w:bCs/>
          <w:sz w:val="24"/>
          <w:szCs w:val="24"/>
        </w:rPr>
      </w:pPr>
      <w:bookmarkStart w:id="1" w:name="_Toc988890"/>
      <w:r>
        <w:rPr>
          <w:rFonts w:ascii="宋体" w:eastAsia="宋体" w:hAnsi="宋体" w:cs="宋体"/>
          <w:b/>
          <w:bCs/>
          <w:sz w:val="24"/>
          <w:szCs w:val="24"/>
        </w:rPr>
        <w:t>二、公司基本情况</w:t>
      </w:r>
      <w:bookmarkEnd w:id="1"/>
    </w:p>
    <w:p w:rsidR="005E026D" w:rsidRPr="00DC016D" w:rsidRDefault="00CC6257">
      <w:pPr>
        <w:pStyle w:val="3"/>
        <w:spacing w:line="280" w:lineRule="exact"/>
        <w:jc w:val="left"/>
        <w:rPr>
          <w:rFonts w:ascii="宋体" w:hAnsi="宋体" w:cs="宋体"/>
          <w:b/>
          <w:bCs/>
          <w:szCs w:val="24"/>
        </w:rPr>
      </w:pPr>
      <w:bookmarkStart w:id="2" w:name="_Toc988891"/>
      <w:r w:rsidRPr="00DC016D">
        <w:rPr>
          <w:rFonts w:ascii="宋体" w:hAnsi="宋体" w:cs="宋体"/>
          <w:b/>
          <w:bCs/>
          <w:szCs w:val="24"/>
        </w:rPr>
        <w:t>1、公司简介</w:t>
      </w:r>
      <w:bookmarkEnd w:id="2"/>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717"/>
        <w:gridCol w:w="2962"/>
        <w:gridCol w:w="14"/>
        <w:gridCol w:w="1466"/>
        <w:gridCol w:w="1480"/>
      </w:tblGrid>
      <w:tr w:rsidR="005E026D" w:rsidRPr="00FC401F" w:rsidTr="00580E0C">
        <w:trPr>
          <w:trHeight w:val="240"/>
        </w:trPr>
        <w:tc>
          <w:tcPr>
            <w:tcW w:w="3717" w:type="dxa"/>
            <w:shd w:val="clear" w:color="auto" w:fill="FFFFFF" w:themeFill="background1"/>
            <w:vAlign w:val="center"/>
          </w:tcPr>
          <w:p w:rsidR="005E026D" w:rsidRPr="00FC401F" w:rsidRDefault="00CC6257">
            <w:pPr>
              <w:spacing w:before="40" w:after="40" w:line="240" w:lineRule="exact"/>
              <w:rPr>
                <w:rFonts w:ascii="宋体" w:eastAsia="宋体" w:hAnsi="宋体" w:cs="宋体"/>
                <w:szCs w:val="18"/>
              </w:rPr>
            </w:pPr>
            <w:r w:rsidRPr="00FC401F">
              <w:rPr>
                <w:rFonts w:ascii="宋体" w:eastAsia="宋体" w:hAnsi="宋体" w:cs="宋体"/>
                <w:szCs w:val="18"/>
              </w:rPr>
              <w:t>股票简称</w:t>
            </w:r>
          </w:p>
        </w:tc>
        <w:tc>
          <w:tcPr>
            <w:tcW w:w="2962" w:type="dxa"/>
            <w:shd w:val="clear" w:color="auto" w:fill="FFFFFF" w:themeFill="background1"/>
            <w:vAlign w:val="center"/>
          </w:tcPr>
          <w:p w:rsidR="005E026D" w:rsidRPr="00FC401F" w:rsidRDefault="00CC6257">
            <w:pPr>
              <w:spacing w:line="240" w:lineRule="exact"/>
              <w:rPr>
                <w:rFonts w:ascii="宋体" w:eastAsia="宋体" w:hAnsi="宋体" w:cs="宋体"/>
                <w:szCs w:val="18"/>
              </w:rPr>
            </w:pPr>
            <w:r w:rsidRPr="00FC401F">
              <w:rPr>
                <w:rFonts w:ascii="宋体" w:eastAsia="宋体" w:hAnsi="宋体" w:cs="宋体"/>
                <w:szCs w:val="18"/>
              </w:rPr>
              <w:t>*ST中利</w:t>
            </w:r>
          </w:p>
        </w:tc>
        <w:tc>
          <w:tcPr>
            <w:tcW w:w="1480" w:type="dxa"/>
            <w:gridSpan w:val="2"/>
            <w:shd w:val="clear" w:color="auto" w:fill="FFFFFF" w:themeFill="background1"/>
            <w:vAlign w:val="center"/>
          </w:tcPr>
          <w:p w:rsidR="005E026D" w:rsidRPr="00FC401F" w:rsidRDefault="00CC6257">
            <w:pPr>
              <w:spacing w:before="40" w:after="40" w:line="240" w:lineRule="exact"/>
              <w:rPr>
                <w:rFonts w:ascii="宋体" w:eastAsia="宋体" w:hAnsi="宋体" w:cs="宋体"/>
                <w:szCs w:val="18"/>
              </w:rPr>
            </w:pPr>
            <w:r w:rsidRPr="00FC401F">
              <w:rPr>
                <w:rFonts w:ascii="宋体" w:eastAsia="宋体" w:hAnsi="宋体" w:cs="宋体"/>
                <w:szCs w:val="18"/>
              </w:rPr>
              <w:t>股票代码</w:t>
            </w:r>
          </w:p>
        </w:tc>
        <w:tc>
          <w:tcPr>
            <w:tcW w:w="1480" w:type="dxa"/>
            <w:shd w:val="clear" w:color="auto" w:fill="FFFFFF" w:themeFill="background1"/>
            <w:vAlign w:val="center"/>
          </w:tcPr>
          <w:p w:rsidR="005E026D" w:rsidRPr="00FC401F" w:rsidRDefault="00CC6257">
            <w:pPr>
              <w:spacing w:line="240" w:lineRule="exact"/>
              <w:rPr>
                <w:rFonts w:ascii="宋体" w:eastAsia="宋体" w:hAnsi="宋体" w:cs="宋体"/>
                <w:szCs w:val="18"/>
              </w:rPr>
            </w:pPr>
            <w:r w:rsidRPr="00FC401F">
              <w:rPr>
                <w:rFonts w:ascii="宋体" w:eastAsia="宋体" w:hAnsi="宋体" w:cs="宋体"/>
                <w:szCs w:val="18"/>
              </w:rPr>
              <w:t>002309</w:t>
            </w:r>
          </w:p>
        </w:tc>
      </w:tr>
      <w:tr w:rsidR="005E026D" w:rsidRPr="00FC401F" w:rsidTr="00580E0C">
        <w:trPr>
          <w:trHeight w:val="240"/>
        </w:trPr>
        <w:tc>
          <w:tcPr>
            <w:tcW w:w="3717" w:type="dxa"/>
            <w:shd w:val="clear" w:color="auto" w:fill="FFFFFF" w:themeFill="background1"/>
            <w:vAlign w:val="center"/>
          </w:tcPr>
          <w:p w:rsidR="005E026D" w:rsidRPr="00FC401F" w:rsidRDefault="00CC6257">
            <w:pPr>
              <w:spacing w:before="40" w:after="40" w:line="240" w:lineRule="exact"/>
              <w:rPr>
                <w:rFonts w:ascii="宋体" w:eastAsia="宋体" w:hAnsi="宋体" w:cs="宋体"/>
                <w:szCs w:val="18"/>
              </w:rPr>
            </w:pPr>
            <w:r w:rsidRPr="00FC401F">
              <w:rPr>
                <w:rFonts w:ascii="宋体" w:eastAsia="宋体" w:hAnsi="宋体" w:cs="宋体"/>
                <w:szCs w:val="18"/>
              </w:rPr>
              <w:t>股票上市交易所</w:t>
            </w:r>
          </w:p>
        </w:tc>
        <w:tc>
          <w:tcPr>
            <w:tcW w:w="5922" w:type="dxa"/>
            <w:gridSpan w:val="4"/>
            <w:shd w:val="clear" w:color="auto" w:fill="FFFFFF" w:themeFill="background1"/>
            <w:vAlign w:val="center"/>
          </w:tcPr>
          <w:p w:rsidR="005E026D" w:rsidRPr="00FC401F" w:rsidRDefault="00CC6257">
            <w:pPr>
              <w:spacing w:line="240" w:lineRule="exact"/>
              <w:rPr>
                <w:rFonts w:ascii="宋体" w:eastAsia="宋体" w:hAnsi="宋体" w:cs="宋体"/>
                <w:szCs w:val="18"/>
              </w:rPr>
            </w:pPr>
            <w:r w:rsidRPr="00FC401F">
              <w:rPr>
                <w:rFonts w:ascii="宋体" w:eastAsia="宋体" w:hAnsi="宋体" w:cs="宋体"/>
                <w:szCs w:val="18"/>
              </w:rPr>
              <w:t>深圳证券交易所</w:t>
            </w:r>
          </w:p>
        </w:tc>
      </w:tr>
      <w:tr w:rsidR="005E026D" w:rsidRPr="00FC401F" w:rsidTr="00580E0C">
        <w:trPr>
          <w:trHeight w:val="240"/>
        </w:trPr>
        <w:tc>
          <w:tcPr>
            <w:tcW w:w="3717" w:type="dxa"/>
            <w:shd w:val="clear" w:color="auto" w:fill="FFFFFF" w:themeFill="background1"/>
            <w:vAlign w:val="center"/>
          </w:tcPr>
          <w:p w:rsidR="005E026D" w:rsidRPr="00FC401F" w:rsidRDefault="00CC6257">
            <w:pPr>
              <w:spacing w:before="40" w:after="40" w:line="240" w:lineRule="exact"/>
              <w:rPr>
                <w:rFonts w:ascii="宋体" w:eastAsia="宋体" w:hAnsi="宋体" w:cs="宋体"/>
                <w:szCs w:val="18"/>
              </w:rPr>
            </w:pPr>
            <w:r w:rsidRPr="00FC401F">
              <w:rPr>
                <w:rFonts w:ascii="宋体" w:eastAsia="宋体" w:hAnsi="宋体" w:cs="宋体"/>
                <w:szCs w:val="18"/>
              </w:rPr>
              <w:t>变更前的股票简称（如有）</w:t>
            </w:r>
          </w:p>
        </w:tc>
        <w:tc>
          <w:tcPr>
            <w:tcW w:w="5922" w:type="dxa"/>
            <w:gridSpan w:val="4"/>
            <w:shd w:val="clear" w:color="auto" w:fill="FFFFFF" w:themeFill="background1"/>
            <w:vAlign w:val="center"/>
          </w:tcPr>
          <w:p w:rsidR="005E026D" w:rsidRPr="00FC401F" w:rsidRDefault="00CC6257">
            <w:pPr>
              <w:spacing w:line="240" w:lineRule="exact"/>
              <w:rPr>
                <w:rFonts w:ascii="宋体" w:eastAsia="宋体" w:hAnsi="宋体" w:cs="宋体"/>
                <w:szCs w:val="18"/>
              </w:rPr>
            </w:pPr>
            <w:r w:rsidRPr="00FC401F">
              <w:rPr>
                <w:rFonts w:ascii="宋体" w:eastAsia="宋体" w:hAnsi="宋体" w:cs="宋体"/>
                <w:szCs w:val="18"/>
              </w:rPr>
              <w:t>不适用</w:t>
            </w:r>
          </w:p>
        </w:tc>
      </w:tr>
      <w:tr w:rsidR="005E026D" w:rsidRPr="00FC401F" w:rsidTr="00580E0C">
        <w:trPr>
          <w:trHeight w:val="240"/>
        </w:trPr>
        <w:tc>
          <w:tcPr>
            <w:tcW w:w="3717" w:type="dxa"/>
            <w:shd w:val="clear" w:color="auto" w:fill="FFFFFF" w:themeFill="background1"/>
            <w:vAlign w:val="center"/>
          </w:tcPr>
          <w:p w:rsidR="005E026D" w:rsidRPr="00FC401F" w:rsidRDefault="00CC6257">
            <w:pPr>
              <w:spacing w:before="40" w:after="40" w:line="240" w:lineRule="exact"/>
              <w:jc w:val="center"/>
              <w:rPr>
                <w:rFonts w:ascii="宋体" w:eastAsia="宋体" w:hAnsi="宋体" w:cs="宋体"/>
                <w:szCs w:val="18"/>
              </w:rPr>
            </w:pPr>
            <w:r w:rsidRPr="00FC401F">
              <w:rPr>
                <w:rFonts w:ascii="宋体" w:eastAsia="宋体" w:hAnsi="宋体" w:cs="宋体"/>
                <w:szCs w:val="18"/>
              </w:rPr>
              <w:t>联系人和联系方式</w:t>
            </w:r>
          </w:p>
        </w:tc>
        <w:tc>
          <w:tcPr>
            <w:tcW w:w="2976" w:type="dxa"/>
            <w:gridSpan w:val="2"/>
            <w:shd w:val="clear" w:color="auto" w:fill="FFFFFF" w:themeFill="background1"/>
            <w:vAlign w:val="center"/>
          </w:tcPr>
          <w:p w:rsidR="005E026D" w:rsidRPr="00FC401F" w:rsidRDefault="00CC6257">
            <w:pPr>
              <w:spacing w:before="40" w:after="40" w:line="240" w:lineRule="exact"/>
              <w:jc w:val="center"/>
              <w:rPr>
                <w:rFonts w:ascii="宋体" w:eastAsia="宋体" w:hAnsi="宋体" w:cs="宋体"/>
                <w:szCs w:val="18"/>
              </w:rPr>
            </w:pPr>
            <w:r w:rsidRPr="00FC401F">
              <w:rPr>
                <w:rFonts w:ascii="宋体" w:eastAsia="宋体" w:hAnsi="宋体" w:cs="宋体"/>
                <w:szCs w:val="18"/>
              </w:rPr>
              <w:t>董事会秘书</w:t>
            </w:r>
          </w:p>
        </w:tc>
        <w:tc>
          <w:tcPr>
            <w:tcW w:w="2946" w:type="dxa"/>
            <w:gridSpan w:val="2"/>
            <w:shd w:val="clear" w:color="auto" w:fill="FFFFFF" w:themeFill="background1"/>
            <w:vAlign w:val="center"/>
          </w:tcPr>
          <w:p w:rsidR="005E026D" w:rsidRPr="00FC401F" w:rsidRDefault="00CC6257">
            <w:pPr>
              <w:spacing w:before="40" w:after="40" w:line="240" w:lineRule="exact"/>
              <w:jc w:val="center"/>
              <w:rPr>
                <w:rFonts w:ascii="宋体" w:eastAsia="宋体" w:hAnsi="宋体" w:cs="宋体"/>
                <w:szCs w:val="18"/>
              </w:rPr>
            </w:pPr>
            <w:r w:rsidRPr="00FC401F">
              <w:rPr>
                <w:rFonts w:ascii="宋体" w:eastAsia="宋体" w:hAnsi="宋体" w:cs="宋体"/>
                <w:szCs w:val="18"/>
              </w:rPr>
              <w:t>证券事务代表</w:t>
            </w:r>
          </w:p>
        </w:tc>
      </w:tr>
      <w:tr w:rsidR="005E026D" w:rsidRPr="00FC401F" w:rsidTr="00580E0C">
        <w:trPr>
          <w:trHeight w:val="240"/>
        </w:trPr>
        <w:tc>
          <w:tcPr>
            <w:tcW w:w="3717" w:type="dxa"/>
            <w:shd w:val="clear" w:color="auto" w:fill="FFFFFF" w:themeFill="background1"/>
            <w:vAlign w:val="center"/>
          </w:tcPr>
          <w:p w:rsidR="005E026D" w:rsidRPr="00FC401F" w:rsidRDefault="00CC6257">
            <w:pPr>
              <w:spacing w:before="40" w:after="40" w:line="240" w:lineRule="exact"/>
              <w:rPr>
                <w:rFonts w:ascii="宋体" w:eastAsia="宋体" w:hAnsi="宋体" w:cs="宋体"/>
                <w:szCs w:val="18"/>
              </w:rPr>
            </w:pPr>
            <w:r w:rsidRPr="00FC401F">
              <w:rPr>
                <w:rFonts w:ascii="宋体" w:eastAsia="宋体" w:hAnsi="宋体" w:cs="宋体"/>
                <w:szCs w:val="18"/>
              </w:rPr>
              <w:t>姓名</w:t>
            </w:r>
          </w:p>
        </w:tc>
        <w:tc>
          <w:tcPr>
            <w:tcW w:w="2976" w:type="dxa"/>
            <w:gridSpan w:val="2"/>
            <w:shd w:val="clear" w:color="auto" w:fill="FFFFFF" w:themeFill="background1"/>
            <w:vAlign w:val="center"/>
          </w:tcPr>
          <w:p w:rsidR="005E026D" w:rsidRPr="00FC401F" w:rsidRDefault="00CC6257">
            <w:pPr>
              <w:spacing w:line="240" w:lineRule="exact"/>
              <w:rPr>
                <w:rFonts w:ascii="宋体" w:eastAsia="宋体" w:hAnsi="宋体" w:cs="宋体"/>
                <w:szCs w:val="18"/>
              </w:rPr>
            </w:pPr>
            <w:r w:rsidRPr="00FC401F">
              <w:rPr>
                <w:rFonts w:ascii="宋体" w:eastAsia="宋体" w:hAnsi="宋体" w:cs="宋体"/>
                <w:szCs w:val="18"/>
              </w:rPr>
              <w:t>廖嘉琦</w:t>
            </w:r>
          </w:p>
        </w:tc>
        <w:tc>
          <w:tcPr>
            <w:tcW w:w="2946" w:type="dxa"/>
            <w:gridSpan w:val="2"/>
            <w:shd w:val="clear" w:color="auto" w:fill="FFFFFF" w:themeFill="background1"/>
            <w:vAlign w:val="center"/>
          </w:tcPr>
          <w:p w:rsidR="005E026D" w:rsidRPr="00FC401F" w:rsidRDefault="00CC6257">
            <w:pPr>
              <w:spacing w:line="240" w:lineRule="exact"/>
              <w:rPr>
                <w:rFonts w:ascii="宋体" w:eastAsia="宋体" w:hAnsi="宋体" w:cs="宋体"/>
                <w:szCs w:val="18"/>
              </w:rPr>
            </w:pPr>
            <w:proofErr w:type="gramStart"/>
            <w:r w:rsidRPr="00FC401F">
              <w:rPr>
                <w:rFonts w:ascii="宋体" w:eastAsia="宋体" w:hAnsi="宋体" w:cs="宋体"/>
                <w:szCs w:val="18"/>
              </w:rPr>
              <w:t>周玲</w:t>
            </w:r>
            <w:proofErr w:type="gramEnd"/>
          </w:p>
        </w:tc>
      </w:tr>
      <w:tr w:rsidR="005E026D" w:rsidRPr="00FC401F" w:rsidTr="00580E0C">
        <w:trPr>
          <w:trHeight w:val="240"/>
        </w:trPr>
        <w:tc>
          <w:tcPr>
            <w:tcW w:w="3717" w:type="dxa"/>
            <w:shd w:val="clear" w:color="auto" w:fill="FFFFFF" w:themeFill="background1"/>
            <w:vAlign w:val="center"/>
          </w:tcPr>
          <w:p w:rsidR="005E026D" w:rsidRPr="00FC401F" w:rsidRDefault="00CC6257">
            <w:pPr>
              <w:spacing w:before="40" w:after="40" w:line="240" w:lineRule="exact"/>
              <w:rPr>
                <w:rFonts w:ascii="宋体" w:eastAsia="宋体" w:hAnsi="宋体" w:cs="宋体"/>
                <w:szCs w:val="18"/>
              </w:rPr>
            </w:pPr>
            <w:r w:rsidRPr="00FC401F">
              <w:rPr>
                <w:rFonts w:ascii="宋体" w:eastAsia="宋体" w:hAnsi="宋体" w:cs="宋体"/>
                <w:szCs w:val="18"/>
              </w:rPr>
              <w:t>办公地址</w:t>
            </w:r>
          </w:p>
        </w:tc>
        <w:tc>
          <w:tcPr>
            <w:tcW w:w="2976" w:type="dxa"/>
            <w:gridSpan w:val="2"/>
            <w:shd w:val="clear" w:color="auto" w:fill="FFFFFF" w:themeFill="background1"/>
            <w:vAlign w:val="center"/>
          </w:tcPr>
          <w:p w:rsidR="005E026D" w:rsidRPr="00FC401F" w:rsidRDefault="00CC6257">
            <w:pPr>
              <w:spacing w:line="240" w:lineRule="exact"/>
              <w:rPr>
                <w:rFonts w:ascii="宋体" w:eastAsia="宋体" w:hAnsi="宋体" w:cs="宋体"/>
                <w:szCs w:val="18"/>
              </w:rPr>
            </w:pPr>
            <w:r w:rsidRPr="00FC401F">
              <w:rPr>
                <w:rFonts w:ascii="宋体" w:eastAsia="宋体" w:hAnsi="宋体" w:cs="宋体"/>
                <w:szCs w:val="18"/>
              </w:rPr>
              <w:t>江苏省常熟东南经济开发区</w:t>
            </w:r>
          </w:p>
        </w:tc>
        <w:tc>
          <w:tcPr>
            <w:tcW w:w="2946" w:type="dxa"/>
            <w:gridSpan w:val="2"/>
            <w:shd w:val="clear" w:color="auto" w:fill="FFFFFF" w:themeFill="background1"/>
            <w:vAlign w:val="center"/>
          </w:tcPr>
          <w:p w:rsidR="005E026D" w:rsidRPr="00FC401F" w:rsidRDefault="00CC6257">
            <w:pPr>
              <w:spacing w:line="240" w:lineRule="exact"/>
              <w:rPr>
                <w:rFonts w:ascii="宋体" w:eastAsia="宋体" w:hAnsi="宋体" w:cs="宋体"/>
                <w:szCs w:val="18"/>
              </w:rPr>
            </w:pPr>
            <w:r w:rsidRPr="00FC401F">
              <w:rPr>
                <w:rFonts w:ascii="宋体" w:eastAsia="宋体" w:hAnsi="宋体" w:cs="宋体"/>
                <w:szCs w:val="18"/>
              </w:rPr>
              <w:t>江苏省常熟东南经济开发区</w:t>
            </w:r>
          </w:p>
        </w:tc>
      </w:tr>
      <w:tr w:rsidR="005E026D" w:rsidRPr="00FC401F" w:rsidTr="00580E0C">
        <w:trPr>
          <w:trHeight w:val="240"/>
        </w:trPr>
        <w:tc>
          <w:tcPr>
            <w:tcW w:w="3717" w:type="dxa"/>
            <w:shd w:val="clear" w:color="auto" w:fill="FFFFFF" w:themeFill="background1"/>
            <w:vAlign w:val="center"/>
          </w:tcPr>
          <w:p w:rsidR="005E026D" w:rsidRPr="00FC401F" w:rsidRDefault="00CC6257">
            <w:pPr>
              <w:spacing w:before="40" w:after="40" w:line="240" w:lineRule="exact"/>
              <w:rPr>
                <w:rFonts w:ascii="宋体" w:eastAsia="宋体" w:hAnsi="宋体" w:cs="宋体"/>
                <w:szCs w:val="18"/>
              </w:rPr>
            </w:pPr>
            <w:r w:rsidRPr="00FC401F">
              <w:rPr>
                <w:rFonts w:ascii="宋体" w:eastAsia="宋体" w:hAnsi="宋体" w:cs="宋体"/>
                <w:szCs w:val="18"/>
              </w:rPr>
              <w:t>传真</w:t>
            </w:r>
          </w:p>
        </w:tc>
        <w:tc>
          <w:tcPr>
            <w:tcW w:w="2976" w:type="dxa"/>
            <w:gridSpan w:val="2"/>
            <w:shd w:val="clear" w:color="auto" w:fill="FFFFFF" w:themeFill="background1"/>
            <w:vAlign w:val="center"/>
          </w:tcPr>
          <w:p w:rsidR="005E026D" w:rsidRPr="00FC401F" w:rsidRDefault="00CC6257">
            <w:pPr>
              <w:spacing w:line="240" w:lineRule="exact"/>
              <w:rPr>
                <w:rFonts w:ascii="宋体" w:eastAsia="宋体" w:hAnsi="宋体" w:cs="宋体"/>
                <w:szCs w:val="18"/>
              </w:rPr>
            </w:pPr>
            <w:r w:rsidRPr="00FC401F">
              <w:rPr>
                <w:rFonts w:ascii="宋体" w:eastAsia="宋体" w:hAnsi="宋体" w:cs="宋体"/>
                <w:szCs w:val="18"/>
              </w:rPr>
              <w:t>0512-52572288</w:t>
            </w:r>
          </w:p>
        </w:tc>
        <w:tc>
          <w:tcPr>
            <w:tcW w:w="2946" w:type="dxa"/>
            <w:gridSpan w:val="2"/>
            <w:shd w:val="clear" w:color="auto" w:fill="FFFFFF" w:themeFill="background1"/>
            <w:vAlign w:val="center"/>
          </w:tcPr>
          <w:p w:rsidR="005E026D" w:rsidRPr="00FC401F" w:rsidRDefault="00CC6257">
            <w:pPr>
              <w:spacing w:line="240" w:lineRule="exact"/>
              <w:rPr>
                <w:rFonts w:ascii="宋体" w:eastAsia="宋体" w:hAnsi="宋体" w:cs="宋体"/>
                <w:szCs w:val="18"/>
              </w:rPr>
            </w:pPr>
            <w:r w:rsidRPr="00FC401F">
              <w:rPr>
                <w:rFonts w:ascii="宋体" w:eastAsia="宋体" w:hAnsi="宋体" w:cs="宋体"/>
                <w:szCs w:val="18"/>
              </w:rPr>
              <w:t>0512-52572288</w:t>
            </w:r>
          </w:p>
        </w:tc>
      </w:tr>
      <w:tr w:rsidR="005E026D" w:rsidRPr="00FC401F" w:rsidTr="00580E0C">
        <w:trPr>
          <w:trHeight w:val="240"/>
        </w:trPr>
        <w:tc>
          <w:tcPr>
            <w:tcW w:w="3717" w:type="dxa"/>
            <w:shd w:val="clear" w:color="auto" w:fill="FFFFFF" w:themeFill="background1"/>
            <w:vAlign w:val="center"/>
          </w:tcPr>
          <w:p w:rsidR="005E026D" w:rsidRPr="00FC401F" w:rsidRDefault="00CC6257">
            <w:pPr>
              <w:spacing w:before="40" w:after="40" w:line="240" w:lineRule="exact"/>
              <w:rPr>
                <w:rFonts w:ascii="宋体" w:eastAsia="宋体" w:hAnsi="宋体" w:cs="宋体"/>
                <w:szCs w:val="18"/>
              </w:rPr>
            </w:pPr>
            <w:r w:rsidRPr="00FC401F">
              <w:rPr>
                <w:rFonts w:ascii="宋体" w:eastAsia="宋体" w:hAnsi="宋体" w:cs="宋体"/>
                <w:szCs w:val="18"/>
              </w:rPr>
              <w:t>电话</w:t>
            </w:r>
          </w:p>
        </w:tc>
        <w:tc>
          <w:tcPr>
            <w:tcW w:w="2976" w:type="dxa"/>
            <w:gridSpan w:val="2"/>
            <w:shd w:val="clear" w:color="auto" w:fill="FFFFFF" w:themeFill="background1"/>
            <w:vAlign w:val="center"/>
          </w:tcPr>
          <w:p w:rsidR="005E026D" w:rsidRPr="00FC401F" w:rsidRDefault="00CC6257">
            <w:pPr>
              <w:spacing w:line="240" w:lineRule="exact"/>
              <w:rPr>
                <w:rFonts w:ascii="宋体" w:eastAsia="宋体" w:hAnsi="宋体" w:cs="宋体"/>
                <w:szCs w:val="18"/>
              </w:rPr>
            </w:pPr>
            <w:r w:rsidRPr="00FC401F">
              <w:rPr>
                <w:rFonts w:ascii="宋体" w:eastAsia="宋体" w:hAnsi="宋体" w:cs="宋体"/>
                <w:szCs w:val="18"/>
              </w:rPr>
              <w:t>0512-52571188</w:t>
            </w:r>
          </w:p>
        </w:tc>
        <w:tc>
          <w:tcPr>
            <w:tcW w:w="2946" w:type="dxa"/>
            <w:gridSpan w:val="2"/>
            <w:shd w:val="clear" w:color="auto" w:fill="FFFFFF" w:themeFill="background1"/>
            <w:vAlign w:val="center"/>
          </w:tcPr>
          <w:p w:rsidR="005E026D" w:rsidRPr="00FC401F" w:rsidRDefault="00CC6257">
            <w:pPr>
              <w:spacing w:line="240" w:lineRule="exact"/>
              <w:rPr>
                <w:rFonts w:ascii="宋体" w:eastAsia="宋体" w:hAnsi="宋体" w:cs="宋体"/>
                <w:szCs w:val="18"/>
              </w:rPr>
            </w:pPr>
            <w:r w:rsidRPr="00FC401F">
              <w:rPr>
                <w:rFonts w:ascii="宋体" w:eastAsia="宋体" w:hAnsi="宋体" w:cs="宋体"/>
                <w:szCs w:val="18"/>
              </w:rPr>
              <w:t>0512-52571188</w:t>
            </w:r>
          </w:p>
        </w:tc>
      </w:tr>
      <w:tr w:rsidR="005E026D" w:rsidRPr="00FC401F" w:rsidTr="00580E0C">
        <w:trPr>
          <w:trHeight w:val="240"/>
        </w:trPr>
        <w:tc>
          <w:tcPr>
            <w:tcW w:w="3717" w:type="dxa"/>
            <w:shd w:val="clear" w:color="auto" w:fill="FFFFFF" w:themeFill="background1"/>
            <w:vAlign w:val="center"/>
          </w:tcPr>
          <w:p w:rsidR="005E026D" w:rsidRPr="00FC401F" w:rsidRDefault="00CC6257">
            <w:pPr>
              <w:spacing w:before="40" w:after="40" w:line="240" w:lineRule="exact"/>
              <w:rPr>
                <w:rFonts w:ascii="宋体" w:eastAsia="宋体" w:hAnsi="宋体" w:cs="宋体"/>
                <w:szCs w:val="18"/>
              </w:rPr>
            </w:pPr>
            <w:r w:rsidRPr="00FC401F">
              <w:rPr>
                <w:rFonts w:ascii="宋体" w:eastAsia="宋体" w:hAnsi="宋体" w:cs="宋体"/>
                <w:szCs w:val="18"/>
              </w:rPr>
              <w:t>电子信箱</w:t>
            </w:r>
          </w:p>
        </w:tc>
        <w:tc>
          <w:tcPr>
            <w:tcW w:w="2976" w:type="dxa"/>
            <w:gridSpan w:val="2"/>
            <w:shd w:val="clear" w:color="auto" w:fill="FFFFFF" w:themeFill="background1"/>
            <w:vAlign w:val="center"/>
          </w:tcPr>
          <w:p w:rsidR="005E026D" w:rsidRPr="00FC401F" w:rsidRDefault="00CC6257">
            <w:pPr>
              <w:spacing w:line="240" w:lineRule="exact"/>
              <w:rPr>
                <w:rFonts w:ascii="宋体" w:eastAsia="宋体" w:hAnsi="宋体" w:cs="宋体"/>
                <w:szCs w:val="18"/>
              </w:rPr>
            </w:pPr>
            <w:r w:rsidRPr="00FC401F">
              <w:rPr>
                <w:rFonts w:ascii="宋体" w:eastAsia="宋体" w:hAnsi="宋体" w:cs="宋体"/>
                <w:szCs w:val="18"/>
              </w:rPr>
              <w:t>zhonglidm@zhongli.com</w:t>
            </w:r>
          </w:p>
        </w:tc>
        <w:tc>
          <w:tcPr>
            <w:tcW w:w="2946" w:type="dxa"/>
            <w:gridSpan w:val="2"/>
            <w:shd w:val="clear" w:color="auto" w:fill="FFFFFF" w:themeFill="background1"/>
            <w:vAlign w:val="center"/>
          </w:tcPr>
          <w:p w:rsidR="005E026D" w:rsidRPr="00FC401F" w:rsidRDefault="00CC6257">
            <w:pPr>
              <w:spacing w:line="240" w:lineRule="exact"/>
              <w:rPr>
                <w:rFonts w:ascii="宋体" w:eastAsia="宋体" w:hAnsi="宋体" w:cs="宋体"/>
                <w:szCs w:val="18"/>
              </w:rPr>
            </w:pPr>
            <w:r w:rsidRPr="00FC401F">
              <w:rPr>
                <w:rFonts w:ascii="宋体" w:eastAsia="宋体" w:hAnsi="宋体" w:cs="宋体"/>
                <w:szCs w:val="18"/>
              </w:rPr>
              <w:t>zhonglidm@zhongli.com</w:t>
            </w:r>
          </w:p>
        </w:tc>
      </w:tr>
    </w:tbl>
    <w:p w:rsidR="005E026D" w:rsidRPr="00DC016D" w:rsidRDefault="00CC6257">
      <w:pPr>
        <w:pStyle w:val="3"/>
        <w:spacing w:line="280" w:lineRule="exact"/>
        <w:jc w:val="left"/>
        <w:rPr>
          <w:rFonts w:ascii="宋体" w:hAnsi="宋体" w:cs="宋体"/>
          <w:b/>
          <w:bCs/>
          <w:szCs w:val="24"/>
        </w:rPr>
      </w:pPr>
      <w:bookmarkStart w:id="3" w:name="_Toc988892"/>
      <w:r w:rsidRPr="00DC016D">
        <w:rPr>
          <w:rFonts w:ascii="宋体" w:hAnsi="宋体" w:cs="宋体"/>
          <w:b/>
          <w:bCs/>
          <w:szCs w:val="24"/>
        </w:rPr>
        <w:t>2、报告期主要业务或产品简介</w:t>
      </w:r>
      <w:bookmarkEnd w:id="3"/>
    </w:p>
    <w:p w:rsidR="007954C7" w:rsidRPr="00DC016D" w:rsidRDefault="00CC6257">
      <w:pPr>
        <w:pStyle w:val="a3"/>
        <w:spacing w:before="0" w:beforeAutospacing="0" w:after="0" w:afterAutospacing="0" w:line="360" w:lineRule="auto"/>
        <w:jc w:val="both"/>
        <w:divId w:val="875240252"/>
      </w:pPr>
      <w:r w:rsidRPr="00DC016D">
        <w:rPr>
          <w:rFonts w:hint="eastAsia"/>
        </w:rPr>
        <w:t>（一）公司从事的主要业务</w:t>
      </w:r>
    </w:p>
    <w:p w:rsidR="007954C7" w:rsidRPr="00DC016D" w:rsidRDefault="00CC6257">
      <w:pPr>
        <w:pStyle w:val="a3"/>
        <w:spacing w:before="0" w:beforeAutospacing="0" w:after="0" w:afterAutospacing="0" w:line="360" w:lineRule="auto"/>
        <w:ind w:firstLine="420"/>
        <w:jc w:val="both"/>
        <w:divId w:val="875240252"/>
      </w:pPr>
      <w:r w:rsidRPr="00DC016D">
        <w:rPr>
          <w:rFonts w:hint="eastAsia"/>
        </w:rPr>
        <w:t>报告期内，公司仍然保持“一体两翼”业务体系架构：光</w:t>
      </w:r>
      <w:proofErr w:type="gramStart"/>
      <w:r w:rsidRPr="00DC016D">
        <w:rPr>
          <w:rFonts w:hint="eastAsia"/>
        </w:rPr>
        <w:t>伏业务</w:t>
      </w:r>
      <w:proofErr w:type="gramEnd"/>
      <w:r w:rsidRPr="00DC016D">
        <w:rPr>
          <w:rFonts w:hint="eastAsia"/>
        </w:rPr>
        <w:t>和线缆业务。公司在本报告</w:t>
      </w:r>
      <w:proofErr w:type="gramStart"/>
      <w:r w:rsidRPr="00DC016D">
        <w:rPr>
          <w:rFonts w:hint="eastAsia"/>
        </w:rPr>
        <w:t>期末对</w:t>
      </w:r>
      <w:proofErr w:type="gramEnd"/>
      <w:r w:rsidRPr="00DC016D">
        <w:rPr>
          <w:rFonts w:hint="eastAsia"/>
        </w:rPr>
        <w:t>重整计划执行完毕，标志着公司重整圆满结束。</w:t>
      </w:r>
    </w:p>
    <w:p w:rsidR="007954C7" w:rsidRPr="00DC016D" w:rsidRDefault="00CC6257">
      <w:pPr>
        <w:pStyle w:val="a3"/>
        <w:spacing w:before="0" w:beforeAutospacing="0" w:after="0" w:afterAutospacing="0" w:line="360" w:lineRule="auto"/>
        <w:ind w:firstLine="420"/>
        <w:jc w:val="both"/>
        <w:divId w:val="875240252"/>
      </w:pPr>
      <w:r w:rsidRPr="00DC016D">
        <w:rPr>
          <w:rFonts w:hint="eastAsia"/>
        </w:rPr>
        <w:t>1.光伏业务</w:t>
      </w:r>
    </w:p>
    <w:p w:rsidR="007954C7" w:rsidRPr="00DC016D" w:rsidRDefault="00CC6257">
      <w:pPr>
        <w:pStyle w:val="a3"/>
        <w:spacing w:before="0" w:beforeAutospacing="0" w:after="0" w:afterAutospacing="0" w:line="360" w:lineRule="auto"/>
        <w:ind w:firstLine="420"/>
        <w:jc w:val="both"/>
        <w:divId w:val="875240252"/>
      </w:pPr>
      <w:r w:rsidRPr="00DC016D">
        <w:rPr>
          <w:rFonts w:hint="eastAsia"/>
        </w:rPr>
        <w:lastRenderedPageBreak/>
        <w:t>光</w:t>
      </w:r>
      <w:proofErr w:type="gramStart"/>
      <w:r w:rsidRPr="00DC016D">
        <w:rPr>
          <w:rFonts w:hint="eastAsia"/>
        </w:rPr>
        <w:t>伏制造</w:t>
      </w:r>
      <w:proofErr w:type="gramEnd"/>
      <w:r w:rsidRPr="00DC016D">
        <w:rPr>
          <w:rFonts w:hint="eastAsia"/>
        </w:rPr>
        <w:t>业务方面，公司致力于单晶高效光伏电池和大尺寸光伏组件的研发、生产及销售。光伏组件产品类型主要包括P型组件（单面、双面、轻质）、全系N型</w:t>
      </w:r>
      <w:proofErr w:type="spellStart"/>
      <w:r w:rsidRPr="00DC016D">
        <w:rPr>
          <w:rFonts w:hint="eastAsia"/>
        </w:rPr>
        <w:t>TOPCon</w:t>
      </w:r>
      <w:proofErr w:type="spellEnd"/>
      <w:r w:rsidRPr="00DC016D">
        <w:rPr>
          <w:rFonts w:hint="eastAsia"/>
        </w:rPr>
        <w:t>组件（182mm、210mm）包括全黑组件、对BC、HJT等路线有专利技术储备；产品规格主要包括48片、54片、60片、66片、72片、78片等；产品功率在350W-715W之间，能够满足光</w:t>
      </w:r>
      <w:proofErr w:type="gramStart"/>
      <w:r w:rsidRPr="00DC016D">
        <w:rPr>
          <w:rFonts w:hint="eastAsia"/>
        </w:rPr>
        <w:t>伏市场</w:t>
      </w:r>
      <w:proofErr w:type="gramEnd"/>
      <w:r w:rsidRPr="00DC016D">
        <w:rPr>
          <w:rFonts w:hint="eastAsia"/>
        </w:rPr>
        <w:t>各应用场景主流需求。</w:t>
      </w:r>
    </w:p>
    <w:p w:rsidR="007954C7" w:rsidRPr="00DC016D" w:rsidRDefault="00CC6257">
      <w:pPr>
        <w:pStyle w:val="a3"/>
        <w:spacing w:before="0" w:beforeAutospacing="0" w:after="0" w:afterAutospacing="0" w:line="360" w:lineRule="auto"/>
        <w:ind w:firstLine="420"/>
        <w:jc w:val="both"/>
        <w:divId w:val="875240252"/>
      </w:pPr>
      <w:r w:rsidRPr="00DC016D">
        <w:rPr>
          <w:rFonts w:hint="eastAsia"/>
        </w:rPr>
        <w:t>光伏电站业务方面，公司制定了“产品+光储系统+服务”一体化发展战略。依托自身光</w:t>
      </w:r>
      <w:proofErr w:type="gramStart"/>
      <w:r w:rsidRPr="00DC016D">
        <w:rPr>
          <w:rFonts w:hint="eastAsia"/>
        </w:rPr>
        <w:t>伏制造</w:t>
      </w:r>
      <w:proofErr w:type="gramEnd"/>
      <w:r w:rsidRPr="00DC016D">
        <w:rPr>
          <w:rFonts w:hint="eastAsia"/>
        </w:rPr>
        <w:t>业务的优势，长期致力于工商业分布式电站、户用分布式电站、集中式地面电站的开发与建设，熟悉国内外客户对光</w:t>
      </w:r>
      <w:proofErr w:type="gramStart"/>
      <w:r w:rsidRPr="00DC016D">
        <w:rPr>
          <w:rFonts w:hint="eastAsia"/>
        </w:rPr>
        <w:t>伏</w:t>
      </w:r>
      <w:proofErr w:type="gramEnd"/>
      <w:r w:rsidRPr="00DC016D">
        <w:rPr>
          <w:rFonts w:hint="eastAsia"/>
        </w:rPr>
        <w:t>电站的需求，能为客户提供光伏发电系统整体解决方案</w:t>
      </w:r>
      <w:proofErr w:type="gramStart"/>
      <w:r w:rsidRPr="00DC016D">
        <w:rPr>
          <w:rFonts w:hint="eastAsia"/>
        </w:rPr>
        <w:t>和光储一体化</w:t>
      </w:r>
      <w:proofErr w:type="gramEnd"/>
      <w:r w:rsidRPr="00DC016D">
        <w:rPr>
          <w:rFonts w:hint="eastAsia"/>
        </w:rPr>
        <w:t>解决方案，并提供光伏电站的运营维护服务。</w:t>
      </w:r>
    </w:p>
    <w:p w:rsidR="007954C7" w:rsidRPr="00DC016D" w:rsidRDefault="00CC6257">
      <w:pPr>
        <w:pStyle w:val="a3"/>
        <w:spacing w:before="0" w:beforeAutospacing="0" w:after="0" w:afterAutospacing="0" w:line="360" w:lineRule="auto"/>
        <w:ind w:firstLine="420"/>
        <w:jc w:val="both"/>
        <w:divId w:val="875240252"/>
      </w:pPr>
      <w:r w:rsidRPr="00DC016D">
        <w:rPr>
          <w:rFonts w:hint="eastAsia"/>
        </w:rPr>
        <w:t>2.线缆业务</w:t>
      </w:r>
    </w:p>
    <w:p w:rsidR="007954C7" w:rsidRPr="00DC016D" w:rsidRDefault="00CC6257" w:rsidP="00DC016D">
      <w:pPr>
        <w:pStyle w:val="a3"/>
        <w:spacing w:before="0" w:beforeAutospacing="0" w:after="0" w:afterAutospacing="0" w:line="360" w:lineRule="auto"/>
        <w:ind w:firstLine="420"/>
        <w:jc w:val="both"/>
        <w:divId w:val="875240252"/>
      </w:pPr>
      <w:r w:rsidRPr="00DC016D">
        <w:rPr>
          <w:rFonts w:hint="eastAsia"/>
        </w:rPr>
        <w:t>公司主要线缆产品包括阻燃耐火软电缆，舰船用电缆、高铁用电缆、铁路信号线缆、光伏线缆、风机线缆、新能源汽车及充电桩线缆、液冷电缆、电力储能系统用电池连接电缆、UL电子线缆、数据通信线缆、矿用电缆、海洋工程平台用电缆、服务器用电缆、光纤预制棒及光纤等专业化、高品质产品，可以满足不同特定场景对线缆功能的要求。公司聚焦线缆业务销售区域和应用领域的双扩张，目前公司线缆业务版图已覆盖国内全区域以及澳洲、美洲、东南亚等部分地区，产品应用领域随着客户与市场的需求也在不断拓宽。</w:t>
      </w:r>
    </w:p>
    <w:p w:rsidR="007954C7" w:rsidRPr="00DC016D" w:rsidRDefault="00CC6257">
      <w:pPr>
        <w:pStyle w:val="a3"/>
        <w:spacing w:before="0" w:beforeAutospacing="0" w:after="0" w:afterAutospacing="0" w:line="360" w:lineRule="auto"/>
        <w:jc w:val="both"/>
        <w:divId w:val="875240252"/>
      </w:pPr>
      <w:r w:rsidRPr="00DC016D">
        <w:rPr>
          <w:rFonts w:hint="eastAsia"/>
        </w:rPr>
        <w:t>（二）公司主要经营模式</w:t>
      </w:r>
    </w:p>
    <w:p w:rsidR="007954C7" w:rsidRPr="00DC016D" w:rsidRDefault="00CC6257">
      <w:pPr>
        <w:pStyle w:val="a3"/>
        <w:spacing w:before="0" w:beforeAutospacing="0" w:after="0" w:afterAutospacing="0" w:line="360" w:lineRule="auto"/>
        <w:ind w:firstLine="420"/>
        <w:jc w:val="both"/>
        <w:divId w:val="875240252"/>
      </w:pPr>
      <w:r w:rsidRPr="00DC016D">
        <w:rPr>
          <w:rFonts w:hint="eastAsia"/>
        </w:rPr>
        <w:t>报告期内，公司主要业务的经营模式未发生重大变化：</w:t>
      </w:r>
    </w:p>
    <w:p w:rsidR="007954C7" w:rsidRPr="00DC016D" w:rsidRDefault="00CC6257">
      <w:pPr>
        <w:pStyle w:val="a3"/>
        <w:spacing w:before="0" w:beforeAutospacing="0" w:after="0" w:afterAutospacing="0" w:line="360" w:lineRule="auto"/>
        <w:ind w:firstLine="420"/>
        <w:jc w:val="both"/>
        <w:divId w:val="875240252"/>
      </w:pPr>
      <w:r w:rsidRPr="00DC016D">
        <w:rPr>
          <w:rFonts w:hint="eastAsia"/>
        </w:rPr>
        <w:t>1.光伏业务</w:t>
      </w:r>
    </w:p>
    <w:p w:rsidR="007954C7" w:rsidRPr="00DC016D" w:rsidRDefault="00CC6257">
      <w:pPr>
        <w:pStyle w:val="a3"/>
        <w:spacing w:before="0" w:beforeAutospacing="0" w:after="0" w:afterAutospacing="0" w:line="360" w:lineRule="auto"/>
        <w:ind w:firstLine="420"/>
        <w:jc w:val="both"/>
        <w:divId w:val="875240252"/>
      </w:pPr>
      <w:r w:rsidRPr="00DC016D">
        <w:rPr>
          <w:rFonts w:hint="eastAsia"/>
        </w:rPr>
        <w:t>（1）光伏电池片及组件产品采用直销的销售模式，公司拥有自己的销售团队，通过已建成的全球营销服务网络，直接向客户销售高品质、高可靠性的“腾晖”</w:t>
      </w:r>
      <w:proofErr w:type="gramStart"/>
      <w:r w:rsidRPr="00DC016D">
        <w:rPr>
          <w:rFonts w:hint="eastAsia"/>
        </w:rPr>
        <w:t>品牌光</w:t>
      </w:r>
      <w:proofErr w:type="gramEnd"/>
      <w:r w:rsidRPr="00DC016D">
        <w:rPr>
          <w:rFonts w:hint="eastAsia"/>
        </w:rPr>
        <w:t>伏产品。公司通过与目标市场的优秀新能源企业达成战略合作意向，在资源整合、技术支持、产品互补、市场营销和品牌推广等方面展开全方位的合作，进一步实现市场的拓展。</w:t>
      </w:r>
    </w:p>
    <w:p w:rsidR="007954C7" w:rsidRPr="00DC016D" w:rsidRDefault="00CC6257">
      <w:pPr>
        <w:pStyle w:val="a3"/>
        <w:spacing w:before="0" w:beforeAutospacing="0" w:after="0" w:afterAutospacing="0" w:line="360" w:lineRule="auto"/>
        <w:ind w:firstLine="420"/>
        <w:jc w:val="both"/>
        <w:divId w:val="875240252"/>
      </w:pPr>
      <w:r w:rsidRPr="00DC016D">
        <w:rPr>
          <w:rFonts w:hint="eastAsia"/>
        </w:rPr>
        <w:t>（2）公司拥有电力工程施工总承包二级资质，旗下拥有新能源专业乙级设计公司，具有专业能力承接各类型光伏电站的EPC总包工程，并承担电站运营维护管理。</w:t>
      </w:r>
    </w:p>
    <w:p w:rsidR="007954C7" w:rsidRPr="00DC016D" w:rsidRDefault="00CC6257">
      <w:pPr>
        <w:pStyle w:val="a3"/>
        <w:spacing w:before="0" w:beforeAutospacing="0" w:after="0" w:afterAutospacing="0" w:line="360" w:lineRule="auto"/>
        <w:ind w:firstLine="420"/>
        <w:jc w:val="both"/>
        <w:divId w:val="875240252"/>
      </w:pPr>
      <w:r w:rsidRPr="00DC016D">
        <w:rPr>
          <w:rFonts w:hint="eastAsia"/>
        </w:rPr>
        <w:t>2.线缆业务</w:t>
      </w:r>
    </w:p>
    <w:p w:rsidR="00F96924" w:rsidRPr="00DC016D" w:rsidRDefault="00CC6257" w:rsidP="00F96924">
      <w:pPr>
        <w:pStyle w:val="a3"/>
        <w:spacing w:before="0" w:beforeAutospacing="0" w:after="0" w:afterAutospacing="0" w:line="360" w:lineRule="auto"/>
        <w:ind w:firstLine="420"/>
        <w:jc w:val="both"/>
        <w:divId w:val="875240252"/>
      </w:pPr>
      <w:r w:rsidRPr="00DC016D">
        <w:rPr>
          <w:rFonts w:hint="eastAsia"/>
        </w:rPr>
        <w:t>公司线缆业务采用以销定产的方式制定生产计划，并采用直销的销售模式。重整期间在经营团队的努力之下，保持着“中利”和“海豹”品牌在行业内的影响力，在维护核心优质客户的同时积极开发新客户群体。</w:t>
      </w:r>
    </w:p>
    <w:p w:rsidR="007954C7" w:rsidRPr="00DC016D" w:rsidRDefault="00CC6257">
      <w:pPr>
        <w:pStyle w:val="a3"/>
        <w:spacing w:before="0" w:beforeAutospacing="0" w:after="0" w:afterAutospacing="0" w:line="360" w:lineRule="auto"/>
        <w:jc w:val="both"/>
        <w:divId w:val="875240252"/>
      </w:pPr>
      <w:r w:rsidRPr="00DC016D">
        <w:rPr>
          <w:rFonts w:hint="eastAsia"/>
        </w:rPr>
        <w:t>（三）公司经营情况</w:t>
      </w:r>
    </w:p>
    <w:p w:rsidR="007954C7" w:rsidRPr="00DC016D" w:rsidRDefault="00CC6257">
      <w:pPr>
        <w:pStyle w:val="a3"/>
        <w:spacing w:before="0" w:beforeAutospacing="0" w:after="0" w:afterAutospacing="0" w:line="360" w:lineRule="auto"/>
        <w:ind w:firstLine="420"/>
        <w:jc w:val="both"/>
        <w:divId w:val="875240252"/>
      </w:pPr>
      <w:r w:rsidRPr="00DC016D">
        <w:rPr>
          <w:rFonts w:hint="eastAsia"/>
        </w:rPr>
        <w:lastRenderedPageBreak/>
        <w:t>2024年度，公司实现营业收入23.58亿元，同比下降41.80%；实现归属于母公司净利润-11.74亿元，同比减少亏损3.23亿元；总资产55.24亿元，归属于母公司的所有者权益14.20亿元。报告期内，公司业绩变动的主要原因如下：</w:t>
      </w:r>
    </w:p>
    <w:p w:rsidR="007954C7" w:rsidRPr="00DC016D" w:rsidRDefault="00CC6257">
      <w:pPr>
        <w:pStyle w:val="a3"/>
        <w:spacing w:before="0" w:beforeAutospacing="0" w:after="0" w:afterAutospacing="0" w:line="360" w:lineRule="auto"/>
        <w:ind w:firstLine="420"/>
        <w:jc w:val="both"/>
        <w:divId w:val="875240252"/>
      </w:pPr>
      <w:r w:rsidRPr="00DC016D">
        <w:rPr>
          <w:rFonts w:hint="eastAsia"/>
        </w:rPr>
        <w:t>1.公司处于破产重整阶段，受资金紧张、债务缠身等因素影响，销售订单承接大幅受限，线缆、光</w:t>
      </w:r>
      <w:proofErr w:type="gramStart"/>
      <w:r w:rsidRPr="00DC016D">
        <w:rPr>
          <w:rFonts w:hint="eastAsia"/>
        </w:rPr>
        <w:t>伏市场</w:t>
      </w:r>
      <w:proofErr w:type="gramEnd"/>
      <w:r w:rsidRPr="00DC016D">
        <w:rPr>
          <w:rFonts w:hint="eastAsia"/>
        </w:rPr>
        <w:t>环境愈加严峻，报告期营业收入同比下降41.80%，经营业绩同比下滑。</w:t>
      </w:r>
    </w:p>
    <w:p w:rsidR="007954C7" w:rsidRPr="00DC016D" w:rsidRDefault="00CC6257">
      <w:pPr>
        <w:pStyle w:val="a3"/>
        <w:spacing w:before="0" w:beforeAutospacing="0" w:after="0" w:afterAutospacing="0" w:line="360" w:lineRule="auto"/>
        <w:ind w:firstLine="420"/>
        <w:jc w:val="both"/>
        <w:divId w:val="875240252"/>
      </w:pPr>
      <w:r w:rsidRPr="00DC016D">
        <w:rPr>
          <w:rFonts w:hint="eastAsia"/>
        </w:rPr>
        <w:t>2.公司因执行重整计划，实现债务重组收益17.26亿元；报告期末，公司对产能落后的低效资产计提资产减值准备，同比增加8.01亿元；支付重整相关费用，同比增加</w:t>
      </w:r>
      <w:r w:rsidR="00C91D77">
        <w:rPr>
          <w:rFonts w:hint="eastAsia"/>
        </w:rPr>
        <w:t>3.0</w:t>
      </w:r>
      <w:r w:rsidR="00C91D77">
        <w:t>2</w:t>
      </w:r>
      <w:r w:rsidRPr="00DC016D">
        <w:rPr>
          <w:rFonts w:hint="eastAsia"/>
        </w:rPr>
        <w:t>亿元；因未决诉讼等或有事项新增预计负债约2.88亿元。</w:t>
      </w:r>
    </w:p>
    <w:p w:rsidR="007954C7" w:rsidRPr="00DC016D" w:rsidRDefault="00CC6257">
      <w:pPr>
        <w:pStyle w:val="a3"/>
        <w:spacing w:before="0" w:beforeAutospacing="0" w:after="0" w:afterAutospacing="0" w:line="360" w:lineRule="auto"/>
        <w:ind w:firstLine="420"/>
        <w:jc w:val="both"/>
        <w:divId w:val="875240252"/>
      </w:pPr>
      <w:r w:rsidRPr="00DC016D">
        <w:rPr>
          <w:rFonts w:hint="eastAsia"/>
        </w:rPr>
        <w:t>报告期内，在各方的大力支持和指导下，公司顺利完成重整工作，妥善化解了债务风险和经营风险以及历史遗留问题，优化了资产负债结构，引入实力雄厚且有资源背景的重整投资人注入增量资金并获得综合赋能。公司的基本面得以根本性改善，生产经营将逐步回归正常轨道并得以持续发展。</w:t>
      </w:r>
    </w:p>
    <w:p w:rsidR="005E026D" w:rsidRPr="00C366AE" w:rsidRDefault="00CC6257">
      <w:pPr>
        <w:pStyle w:val="3"/>
        <w:spacing w:line="280" w:lineRule="exact"/>
        <w:jc w:val="left"/>
        <w:rPr>
          <w:rFonts w:ascii="宋体" w:hAnsi="宋体" w:cs="宋体"/>
          <w:b/>
          <w:bCs/>
          <w:szCs w:val="24"/>
        </w:rPr>
      </w:pPr>
      <w:bookmarkStart w:id="4" w:name="_Toc988893"/>
      <w:r w:rsidRPr="00C366AE">
        <w:rPr>
          <w:rFonts w:ascii="宋体" w:hAnsi="宋体" w:cs="宋体"/>
          <w:b/>
          <w:bCs/>
          <w:szCs w:val="24"/>
        </w:rPr>
        <w:t>3、主要会计数据和财务指标</w:t>
      </w:r>
      <w:bookmarkEnd w:id="4"/>
    </w:p>
    <w:p w:rsidR="005E026D" w:rsidRPr="00C366AE" w:rsidRDefault="00CC6257">
      <w:pPr>
        <w:keepNext/>
        <w:keepLines/>
        <w:spacing w:before="300" w:after="300" w:line="280" w:lineRule="exact"/>
        <w:outlineLvl w:val="3"/>
        <w:rPr>
          <w:rFonts w:ascii="宋体" w:eastAsia="宋体" w:hAnsi="宋体" w:cs="宋体"/>
          <w:b/>
          <w:bCs/>
          <w:sz w:val="24"/>
          <w:szCs w:val="24"/>
        </w:rPr>
      </w:pPr>
      <w:bookmarkStart w:id="5" w:name="_Toc988894"/>
      <w:r w:rsidRPr="00C366AE">
        <w:rPr>
          <w:rFonts w:ascii="宋体" w:eastAsia="宋体" w:hAnsi="宋体" w:cs="宋体"/>
          <w:b/>
          <w:bCs/>
          <w:sz w:val="24"/>
          <w:szCs w:val="24"/>
        </w:rPr>
        <w:t>（1） 近三年主要会计数据和财务指标</w:t>
      </w:r>
      <w:bookmarkEnd w:id="5"/>
    </w:p>
    <w:p w:rsidR="005E026D" w:rsidRPr="00C366AE" w:rsidRDefault="00CC6257" w:rsidP="00655C88">
      <w:pPr>
        <w:spacing w:line="360" w:lineRule="auto"/>
        <w:rPr>
          <w:rFonts w:ascii="宋体" w:eastAsia="宋体" w:hAnsi="宋体" w:cs="宋体"/>
          <w:sz w:val="24"/>
          <w:szCs w:val="24"/>
        </w:rPr>
      </w:pPr>
      <w:r w:rsidRPr="00C366AE">
        <w:rPr>
          <w:rFonts w:ascii="宋体" w:eastAsia="宋体" w:hAnsi="宋体" w:cs="宋体"/>
          <w:sz w:val="24"/>
          <w:szCs w:val="24"/>
        </w:rPr>
        <w:t>公司是否需追溯调整或重述以前年度会计数据</w:t>
      </w:r>
    </w:p>
    <w:p w:rsidR="005E026D" w:rsidRPr="00C366AE" w:rsidRDefault="00CC6257" w:rsidP="00655C88">
      <w:pPr>
        <w:spacing w:line="360" w:lineRule="auto"/>
        <w:rPr>
          <w:rFonts w:ascii="宋体" w:eastAsia="宋体" w:hAnsi="宋体" w:cs="宋体"/>
          <w:sz w:val="24"/>
          <w:szCs w:val="24"/>
        </w:rPr>
      </w:pPr>
      <w:r w:rsidRPr="00C366AE">
        <w:rPr>
          <w:rFonts w:ascii="宋体" w:eastAsia="宋体" w:hAnsi="宋体" w:cs="宋体"/>
          <w:sz w:val="24"/>
          <w:szCs w:val="24"/>
        </w:rPr>
        <w:t xml:space="preserve">□是 </w:t>
      </w:r>
      <w:r w:rsidRPr="00C366AE">
        <w:rPr>
          <w:rFonts w:ascii="宋体" w:eastAsia="宋体" w:hAnsi="宋体" w:cs="宋体"/>
          <w:sz w:val="24"/>
          <w:szCs w:val="24"/>
        </w:rPr>
        <w:sym w:font="Wingdings 2" w:char="F052"/>
      </w:r>
      <w:r w:rsidRPr="00C366AE">
        <w:rPr>
          <w:rFonts w:ascii="宋体" w:eastAsia="宋体" w:hAnsi="宋体" w:cs="宋体"/>
          <w:sz w:val="24"/>
          <w:szCs w:val="24"/>
        </w:rPr>
        <w:t>否</w:t>
      </w:r>
    </w:p>
    <w:p w:rsidR="005E026D" w:rsidRPr="00A84678" w:rsidRDefault="00CC6257" w:rsidP="00655C88">
      <w:pPr>
        <w:spacing w:before="60" w:after="60" w:line="240" w:lineRule="exact"/>
        <w:jc w:val="right"/>
        <w:rPr>
          <w:rFonts w:ascii="宋体" w:eastAsia="宋体" w:hAnsi="宋体" w:cs="宋体"/>
          <w:sz w:val="24"/>
          <w:szCs w:val="18"/>
        </w:rPr>
      </w:pPr>
      <w:r w:rsidRPr="00A84678">
        <w:rPr>
          <w:rFonts w:ascii="宋体" w:eastAsia="宋体" w:hAnsi="宋体" w:cs="宋体"/>
          <w:sz w:val="24"/>
          <w:szCs w:val="18"/>
        </w:rPr>
        <w:t>单位：元</w:t>
      </w:r>
    </w:p>
    <w:tbl>
      <w:tblPr>
        <w:tblW w:w="9755"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927"/>
        <w:gridCol w:w="2044"/>
        <w:gridCol w:w="2268"/>
        <w:gridCol w:w="1588"/>
        <w:gridCol w:w="1928"/>
      </w:tblGrid>
      <w:tr w:rsidR="005E026D" w:rsidRPr="00A84678" w:rsidTr="00580E0C">
        <w:trPr>
          <w:trHeight w:val="240"/>
        </w:trPr>
        <w:tc>
          <w:tcPr>
            <w:tcW w:w="1927" w:type="dxa"/>
            <w:shd w:val="clear" w:color="auto" w:fill="FFFFFF" w:themeFill="background1"/>
            <w:vAlign w:val="center"/>
          </w:tcPr>
          <w:p w:rsidR="005E026D" w:rsidRPr="00A84678" w:rsidRDefault="005E026D">
            <w:pPr>
              <w:rPr>
                <w:szCs w:val="21"/>
              </w:rPr>
            </w:pPr>
          </w:p>
        </w:tc>
        <w:tc>
          <w:tcPr>
            <w:tcW w:w="2044" w:type="dxa"/>
            <w:shd w:val="clear" w:color="auto" w:fill="FFFFFF" w:themeFill="background1"/>
            <w:vAlign w:val="center"/>
          </w:tcPr>
          <w:p w:rsidR="005E026D" w:rsidRPr="00A84678" w:rsidRDefault="00CC6257">
            <w:pPr>
              <w:spacing w:before="40" w:after="40" w:line="240" w:lineRule="exact"/>
              <w:jc w:val="center"/>
              <w:rPr>
                <w:rFonts w:ascii="宋体" w:eastAsia="宋体" w:hAnsi="宋体" w:cs="宋体"/>
                <w:szCs w:val="21"/>
              </w:rPr>
            </w:pPr>
            <w:r w:rsidRPr="00A84678">
              <w:rPr>
                <w:rFonts w:ascii="宋体" w:eastAsia="宋体" w:hAnsi="宋体" w:cs="宋体"/>
                <w:szCs w:val="21"/>
              </w:rPr>
              <w:t>2024年末</w:t>
            </w:r>
          </w:p>
        </w:tc>
        <w:tc>
          <w:tcPr>
            <w:tcW w:w="2268" w:type="dxa"/>
            <w:shd w:val="clear" w:color="auto" w:fill="FFFFFF" w:themeFill="background1"/>
            <w:vAlign w:val="center"/>
          </w:tcPr>
          <w:p w:rsidR="005E026D" w:rsidRPr="00A84678" w:rsidRDefault="00CC6257">
            <w:pPr>
              <w:spacing w:before="40" w:after="40" w:line="240" w:lineRule="exact"/>
              <w:jc w:val="center"/>
              <w:rPr>
                <w:rFonts w:ascii="宋体" w:eastAsia="宋体" w:hAnsi="宋体" w:cs="宋体"/>
                <w:szCs w:val="21"/>
              </w:rPr>
            </w:pPr>
            <w:r w:rsidRPr="00A84678">
              <w:rPr>
                <w:rFonts w:ascii="宋体" w:eastAsia="宋体" w:hAnsi="宋体" w:cs="宋体"/>
                <w:szCs w:val="21"/>
              </w:rPr>
              <w:t>2023年末</w:t>
            </w:r>
          </w:p>
        </w:tc>
        <w:tc>
          <w:tcPr>
            <w:tcW w:w="1588" w:type="dxa"/>
            <w:shd w:val="clear" w:color="auto" w:fill="FFFFFF" w:themeFill="background1"/>
            <w:vAlign w:val="center"/>
          </w:tcPr>
          <w:p w:rsidR="005E026D" w:rsidRPr="00A84678" w:rsidRDefault="00CC6257">
            <w:pPr>
              <w:spacing w:before="40" w:after="40" w:line="240" w:lineRule="exact"/>
              <w:jc w:val="center"/>
              <w:rPr>
                <w:rFonts w:ascii="宋体" w:eastAsia="宋体" w:hAnsi="宋体" w:cs="宋体"/>
                <w:szCs w:val="21"/>
              </w:rPr>
            </w:pPr>
            <w:r w:rsidRPr="00A84678">
              <w:rPr>
                <w:rFonts w:ascii="宋体" w:eastAsia="宋体" w:hAnsi="宋体" w:cs="宋体"/>
                <w:szCs w:val="21"/>
              </w:rPr>
              <w:t>本年末比上年末增减</w:t>
            </w:r>
          </w:p>
        </w:tc>
        <w:tc>
          <w:tcPr>
            <w:tcW w:w="1928" w:type="dxa"/>
            <w:shd w:val="clear" w:color="auto" w:fill="FFFFFF" w:themeFill="background1"/>
            <w:vAlign w:val="center"/>
          </w:tcPr>
          <w:p w:rsidR="005E026D" w:rsidRPr="00A84678" w:rsidRDefault="00CC6257">
            <w:pPr>
              <w:spacing w:before="40" w:after="40" w:line="240" w:lineRule="exact"/>
              <w:jc w:val="center"/>
              <w:rPr>
                <w:rFonts w:ascii="宋体" w:eastAsia="宋体" w:hAnsi="宋体" w:cs="宋体"/>
                <w:szCs w:val="21"/>
              </w:rPr>
            </w:pPr>
            <w:r w:rsidRPr="00A84678">
              <w:rPr>
                <w:rFonts w:ascii="宋体" w:eastAsia="宋体" w:hAnsi="宋体" w:cs="宋体"/>
                <w:szCs w:val="21"/>
              </w:rPr>
              <w:t>2022年末</w:t>
            </w:r>
          </w:p>
        </w:tc>
      </w:tr>
      <w:tr w:rsidR="005E026D" w:rsidRPr="00A84678" w:rsidTr="00580E0C">
        <w:trPr>
          <w:trHeight w:val="240"/>
        </w:trPr>
        <w:tc>
          <w:tcPr>
            <w:tcW w:w="1927" w:type="dxa"/>
            <w:shd w:val="clear" w:color="auto" w:fill="FFFFFF" w:themeFill="background1"/>
            <w:vAlign w:val="center"/>
          </w:tcPr>
          <w:p w:rsidR="005E026D" w:rsidRPr="00A84678" w:rsidRDefault="00CC6257">
            <w:pPr>
              <w:spacing w:before="40" w:after="40" w:line="240" w:lineRule="exact"/>
              <w:rPr>
                <w:rFonts w:ascii="宋体" w:eastAsia="宋体" w:hAnsi="宋体" w:cs="宋体"/>
                <w:szCs w:val="21"/>
              </w:rPr>
            </w:pPr>
            <w:r w:rsidRPr="00A84678">
              <w:rPr>
                <w:rFonts w:ascii="宋体" w:eastAsia="宋体" w:hAnsi="宋体" w:cs="宋体"/>
                <w:szCs w:val="21"/>
              </w:rPr>
              <w:t>总资产</w:t>
            </w:r>
          </w:p>
        </w:tc>
        <w:tc>
          <w:tcPr>
            <w:tcW w:w="2044" w:type="dxa"/>
            <w:shd w:val="clear" w:color="auto" w:fill="FFFFFF" w:themeFill="background1"/>
            <w:vAlign w:val="center"/>
          </w:tcPr>
          <w:p w:rsidR="005E026D" w:rsidRPr="00A84678" w:rsidRDefault="00CC6257">
            <w:pPr>
              <w:spacing w:line="240" w:lineRule="exact"/>
              <w:jc w:val="right"/>
              <w:rPr>
                <w:rFonts w:ascii="宋体" w:eastAsia="宋体" w:hAnsi="宋体" w:cs="宋体"/>
                <w:szCs w:val="21"/>
              </w:rPr>
            </w:pPr>
            <w:r w:rsidRPr="00A84678">
              <w:rPr>
                <w:rFonts w:ascii="宋体" w:eastAsia="宋体" w:hAnsi="宋体" w:cs="宋体"/>
                <w:szCs w:val="21"/>
              </w:rPr>
              <w:t>5,524,164,637.48</w:t>
            </w:r>
          </w:p>
        </w:tc>
        <w:tc>
          <w:tcPr>
            <w:tcW w:w="2268" w:type="dxa"/>
            <w:shd w:val="clear" w:color="auto" w:fill="FFFFFF" w:themeFill="background1"/>
            <w:vAlign w:val="center"/>
          </w:tcPr>
          <w:p w:rsidR="005E026D" w:rsidRPr="00A84678" w:rsidRDefault="00CC6257">
            <w:pPr>
              <w:spacing w:line="240" w:lineRule="exact"/>
              <w:jc w:val="right"/>
              <w:rPr>
                <w:rFonts w:ascii="宋体" w:eastAsia="宋体" w:hAnsi="宋体" w:cs="宋体"/>
                <w:szCs w:val="21"/>
              </w:rPr>
            </w:pPr>
            <w:r w:rsidRPr="00A84678">
              <w:rPr>
                <w:rFonts w:ascii="宋体" w:eastAsia="宋体" w:hAnsi="宋体" w:cs="宋体"/>
                <w:szCs w:val="21"/>
              </w:rPr>
              <w:t>7,712,405,206.77</w:t>
            </w:r>
          </w:p>
        </w:tc>
        <w:tc>
          <w:tcPr>
            <w:tcW w:w="1588" w:type="dxa"/>
            <w:shd w:val="clear" w:color="auto" w:fill="FFFFFF" w:themeFill="background1"/>
            <w:vAlign w:val="center"/>
          </w:tcPr>
          <w:p w:rsidR="005E026D" w:rsidRPr="00A84678" w:rsidRDefault="00CC6257">
            <w:pPr>
              <w:spacing w:line="240" w:lineRule="exact"/>
              <w:jc w:val="right"/>
              <w:rPr>
                <w:rFonts w:ascii="宋体" w:eastAsia="宋体" w:hAnsi="宋体" w:cs="宋体"/>
                <w:szCs w:val="21"/>
              </w:rPr>
            </w:pPr>
            <w:r w:rsidRPr="00A84678">
              <w:rPr>
                <w:rFonts w:ascii="宋体" w:eastAsia="宋体" w:hAnsi="宋体" w:cs="宋体"/>
                <w:szCs w:val="21"/>
              </w:rPr>
              <w:t>-28.37%</w:t>
            </w:r>
          </w:p>
        </w:tc>
        <w:tc>
          <w:tcPr>
            <w:tcW w:w="1928" w:type="dxa"/>
            <w:shd w:val="clear" w:color="auto" w:fill="FFFFFF" w:themeFill="background1"/>
            <w:vAlign w:val="center"/>
          </w:tcPr>
          <w:p w:rsidR="005E026D" w:rsidRPr="00A84678" w:rsidRDefault="00CC6257">
            <w:pPr>
              <w:spacing w:line="240" w:lineRule="exact"/>
              <w:jc w:val="right"/>
              <w:rPr>
                <w:rFonts w:ascii="宋体" w:eastAsia="宋体" w:hAnsi="宋体" w:cs="宋体"/>
                <w:szCs w:val="21"/>
              </w:rPr>
            </w:pPr>
            <w:r w:rsidRPr="00A84678">
              <w:rPr>
                <w:rFonts w:ascii="宋体" w:eastAsia="宋体" w:hAnsi="宋体" w:cs="宋体"/>
                <w:szCs w:val="21"/>
              </w:rPr>
              <w:t>9,602,418,552.28</w:t>
            </w:r>
          </w:p>
        </w:tc>
      </w:tr>
      <w:tr w:rsidR="005E026D" w:rsidRPr="00A84678" w:rsidTr="00580E0C">
        <w:trPr>
          <w:trHeight w:val="240"/>
        </w:trPr>
        <w:tc>
          <w:tcPr>
            <w:tcW w:w="1927" w:type="dxa"/>
            <w:shd w:val="clear" w:color="auto" w:fill="FFFFFF" w:themeFill="background1"/>
            <w:vAlign w:val="center"/>
          </w:tcPr>
          <w:p w:rsidR="005E026D" w:rsidRPr="00A84678" w:rsidRDefault="00CC6257">
            <w:pPr>
              <w:spacing w:before="40" w:after="40" w:line="240" w:lineRule="exact"/>
              <w:rPr>
                <w:rFonts w:ascii="宋体" w:eastAsia="宋体" w:hAnsi="宋体" w:cs="宋体"/>
                <w:szCs w:val="21"/>
              </w:rPr>
            </w:pPr>
            <w:r w:rsidRPr="00A84678">
              <w:rPr>
                <w:rFonts w:ascii="宋体" w:eastAsia="宋体" w:hAnsi="宋体" w:cs="宋体"/>
                <w:szCs w:val="21"/>
              </w:rPr>
              <w:t>归属于上市公司股东的净资产</w:t>
            </w:r>
          </w:p>
        </w:tc>
        <w:tc>
          <w:tcPr>
            <w:tcW w:w="2044" w:type="dxa"/>
            <w:shd w:val="clear" w:color="auto" w:fill="FFFFFF" w:themeFill="background1"/>
            <w:vAlign w:val="center"/>
          </w:tcPr>
          <w:p w:rsidR="005E026D" w:rsidRPr="00A84678" w:rsidRDefault="00CC6257">
            <w:pPr>
              <w:spacing w:line="240" w:lineRule="exact"/>
              <w:jc w:val="right"/>
              <w:rPr>
                <w:rFonts w:ascii="宋体" w:eastAsia="宋体" w:hAnsi="宋体" w:cs="宋体"/>
                <w:szCs w:val="21"/>
              </w:rPr>
            </w:pPr>
            <w:r w:rsidRPr="00A84678">
              <w:rPr>
                <w:rFonts w:ascii="宋体" w:eastAsia="宋体" w:hAnsi="宋体" w:cs="宋体"/>
                <w:szCs w:val="21"/>
              </w:rPr>
              <w:t>1,420,101,526.57</w:t>
            </w:r>
          </w:p>
        </w:tc>
        <w:tc>
          <w:tcPr>
            <w:tcW w:w="2268" w:type="dxa"/>
            <w:shd w:val="clear" w:color="auto" w:fill="FFFFFF" w:themeFill="background1"/>
            <w:vAlign w:val="center"/>
          </w:tcPr>
          <w:p w:rsidR="005E026D" w:rsidRPr="00A84678" w:rsidRDefault="00CC6257">
            <w:pPr>
              <w:spacing w:line="240" w:lineRule="exact"/>
              <w:jc w:val="right"/>
              <w:rPr>
                <w:rFonts w:ascii="宋体" w:eastAsia="宋体" w:hAnsi="宋体" w:cs="宋体"/>
                <w:szCs w:val="21"/>
              </w:rPr>
            </w:pPr>
            <w:r w:rsidRPr="00A84678">
              <w:rPr>
                <w:rFonts w:ascii="宋体" w:eastAsia="宋体" w:hAnsi="宋体" w:cs="宋体"/>
                <w:szCs w:val="21"/>
              </w:rPr>
              <w:t>-558,303,262.46</w:t>
            </w:r>
          </w:p>
        </w:tc>
        <w:tc>
          <w:tcPr>
            <w:tcW w:w="1588" w:type="dxa"/>
            <w:shd w:val="clear" w:color="auto" w:fill="FFFFFF" w:themeFill="background1"/>
            <w:vAlign w:val="center"/>
          </w:tcPr>
          <w:p w:rsidR="005E026D" w:rsidRPr="00A84678" w:rsidRDefault="00CC6257">
            <w:pPr>
              <w:spacing w:line="240" w:lineRule="exact"/>
              <w:jc w:val="right"/>
              <w:rPr>
                <w:rFonts w:ascii="宋体" w:eastAsia="宋体" w:hAnsi="宋体" w:cs="宋体"/>
                <w:szCs w:val="21"/>
              </w:rPr>
            </w:pPr>
            <w:r w:rsidRPr="00A84678">
              <w:rPr>
                <w:rFonts w:ascii="宋体" w:eastAsia="宋体" w:hAnsi="宋体" w:cs="宋体"/>
                <w:szCs w:val="21"/>
              </w:rPr>
              <w:t>354.36%</w:t>
            </w:r>
          </w:p>
        </w:tc>
        <w:tc>
          <w:tcPr>
            <w:tcW w:w="1928" w:type="dxa"/>
            <w:shd w:val="clear" w:color="auto" w:fill="FFFFFF" w:themeFill="background1"/>
            <w:vAlign w:val="center"/>
          </w:tcPr>
          <w:p w:rsidR="005E026D" w:rsidRPr="00A84678" w:rsidRDefault="00CC6257">
            <w:pPr>
              <w:spacing w:line="240" w:lineRule="exact"/>
              <w:jc w:val="right"/>
              <w:rPr>
                <w:rFonts w:ascii="宋体" w:eastAsia="宋体" w:hAnsi="宋体" w:cs="宋体"/>
                <w:szCs w:val="21"/>
              </w:rPr>
            </w:pPr>
            <w:r w:rsidRPr="00A84678">
              <w:rPr>
                <w:rFonts w:ascii="宋体" w:eastAsia="宋体" w:hAnsi="宋体" w:cs="宋体"/>
                <w:szCs w:val="21"/>
              </w:rPr>
              <w:t>1,004,359,482.86</w:t>
            </w:r>
          </w:p>
        </w:tc>
      </w:tr>
      <w:tr w:rsidR="005E026D" w:rsidRPr="00A84678" w:rsidTr="00580E0C">
        <w:trPr>
          <w:trHeight w:val="240"/>
        </w:trPr>
        <w:tc>
          <w:tcPr>
            <w:tcW w:w="1927" w:type="dxa"/>
            <w:shd w:val="clear" w:color="auto" w:fill="FFFFFF" w:themeFill="background1"/>
            <w:vAlign w:val="center"/>
          </w:tcPr>
          <w:p w:rsidR="005E026D" w:rsidRPr="00A84678" w:rsidRDefault="005E026D">
            <w:pPr>
              <w:rPr>
                <w:szCs w:val="21"/>
              </w:rPr>
            </w:pPr>
          </w:p>
        </w:tc>
        <w:tc>
          <w:tcPr>
            <w:tcW w:w="2044" w:type="dxa"/>
            <w:shd w:val="clear" w:color="auto" w:fill="FFFFFF" w:themeFill="background1"/>
            <w:vAlign w:val="center"/>
          </w:tcPr>
          <w:p w:rsidR="005E026D" w:rsidRPr="00A84678" w:rsidRDefault="00CC6257">
            <w:pPr>
              <w:spacing w:before="40" w:after="40" w:line="240" w:lineRule="exact"/>
              <w:jc w:val="center"/>
              <w:rPr>
                <w:rFonts w:ascii="宋体" w:eastAsia="宋体" w:hAnsi="宋体" w:cs="宋体"/>
                <w:szCs w:val="21"/>
              </w:rPr>
            </w:pPr>
            <w:r w:rsidRPr="00A84678">
              <w:rPr>
                <w:rFonts w:ascii="宋体" w:eastAsia="宋体" w:hAnsi="宋体" w:cs="宋体"/>
                <w:szCs w:val="21"/>
              </w:rPr>
              <w:t>2024年</w:t>
            </w:r>
          </w:p>
        </w:tc>
        <w:tc>
          <w:tcPr>
            <w:tcW w:w="2268" w:type="dxa"/>
            <w:shd w:val="clear" w:color="auto" w:fill="FFFFFF" w:themeFill="background1"/>
            <w:vAlign w:val="center"/>
          </w:tcPr>
          <w:p w:rsidR="005E026D" w:rsidRPr="00A84678" w:rsidRDefault="00CC6257">
            <w:pPr>
              <w:spacing w:before="40" w:after="40" w:line="240" w:lineRule="exact"/>
              <w:jc w:val="center"/>
              <w:rPr>
                <w:rFonts w:ascii="宋体" w:eastAsia="宋体" w:hAnsi="宋体" w:cs="宋体"/>
                <w:szCs w:val="21"/>
              </w:rPr>
            </w:pPr>
            <w:r w:rsidRPr="00A84678">
              <w:rPr>
                <w:rFonts w:ascii="宋体" w:eastAsia="宋体" w:hAnsi="宋体" w:cs="宋体"/>
                <w:szCs w:val="21"/>
              </w:rPr>
              <w:t>2023年</w:t>
            </w:r>
          </w:p>
        </w:tc>
        <w:tc>
          <w:tcPr>
            <w:tcW w:w="1588" w:type="dxa"/>
            <w:shd w:val="clear" w:color="auto" w:fill="FFFFFF" w:themeFill="background1"/>
            <w:vAlign w:val="center"/>
          </w:tcPr>
          <w:p w:rsidR="005E026D" w:rsidRPr="00A84678" w:rsidRDefault="00CC6257">
            <w:pPr>
              <w:spacing w:before="40" w:after="40" w:line="240" w:lineRule="exact"/>
              <w:jc w:val="center"/>
              <w:rPr>
                <w:rFonts w:ascii="宋体" w:eastAsia="宋体" w:hAnsi="宋体" w:cs="宋体"/>
                <w:szCs w:val="21"/>
              </w:rPr>
            </w:pPr>
            <w:r w:rsidRPr="00A84678">
              <w:rPr>
                <w:rFonts w:ascii="宋体" w:eastAsia="宋体" w:hAnsi="宋体" w:cs="宋体"/>
                <w:szCs w:val="21"/>
              </w:rPr>
              <w:t>本年比上年增减</w:t>
            </w:r>
          </w:p>
        </w:tc>
        <w:tc>
          <w:tcPr>
            <w:tcW w:w="1928" w:type="dxa"/>
            <w:shd w:val="clear" w:color="auto" w:fill="FFFFFF" w:themeFill="background1"/>
            <w:vAlign w:val="center"/>
          </w:tcPr>
          <w:p w:rsidR="005E026D" w:rsidRPr="00A84678" w:rsidRDefault="00CC6257">
            <w:pPr>
              <w:spacing w:before="40" w:after="40" w:line="240" w:lineRule="exact"/>
              <w:jc w:val="center"/>
              <w:rPr>
                <w:rFonts w:ascii="宋体" w:eastAsia="宋体" w:hAnsi="宋体" w:cs="宋体"/>
                <w:szCs w:val="21"/>
              </w:rPr>
            </w:pPr>
            <w:r w:rsidRPr="00A84678">
              <w:rPr>
                <w:rFonts w:ascii="宋体" w:eastAsia="宋体" w:hAnsi="宋体" w:cs="宋体"/>
                <w:szCs w:val="21"/>
              </w:rPr>
              <w:t>2022年</w:t>
            </w:r>
          </w:p>
        </w:tc>
      </w:tr>
      <w:tr w:rsidR="005E026D" w:rsidRPr="00A84678" w:rsidTr="00580E0C">
        <w:trPr>
          <w:trHeight w:val="240"/>
        </w:trPr>
        <w:tc>
          <w:tcPr>
            <w:tcW w:w="1927" w:type="dxa"/>
            <w:shd w:val="clear" w:color="auto" w:fill="FFFFFF" w:themeFill="background1"/>
            <w:vAlign w:val="center"/>
          </w:tcPr>
          <w:p w:rsidR="005E026D" w:rsidRPr="00A84678" w:rsidRDefault="00CC6257">
            <w:pPr>
              <w:spacing w:before="40" w:after="40" w:line="240" w:lineRule="exact"/>
              <w:rPr>
                <w:rFonts w:ascii="宋体" w:eastAsia="宋体" w:hAnsi="宋体" w:cs="宋体"/>
                <w:szCs w:val="21"/>
              </w:rPr>
            </w:pPr>
            <w:r w:rsidRPr="00A84678">
              <w:rPr>
                <w:rFonts w:ascii="宋体" w:eastAsia="宋体" w:hAnsi="宋体" w:cs="宋体"/>
                <w:szCs w:val="21"/>
              </w:rPr>
              <w:t>营业收入</w:t>
            </w:r>
          </w:p>
        </w:tc>
        <w:tc>
          <w:tcPr>
            <w:tcW w:w="2044" w:type="dxa"/>
            <w:shd w:val="clear" w:color="auto" w:fill="FFFFFF" w:themeFill="background1"/>
            <w:vAlign w:val="center"/>
          </w:tcPr>
          <w:p w:rsidR="005E026D" w:rsidRPr="00A84678" w:rsidRDefault="00CC6257">
            <w:pPr>
              <w:spacing w:line="240" w:lineRule="exact"/>
              <w:jc w:val="right"/>
              <w:rPr>
                <w:rFonts w:ascii="宋体" w:eastAsia="宋体" w:hAnsi="宋体" w:cs="宋体"/>
                <w:szCs w:val="21"/>
              </w:rPr>
            </w:pPr>
            <w:r w:rsidRPr="00A84678">
              <w:rPr>
                <w:rFonts w:ascii="宋体" w:eastAsia="宋体" w:hAnsi="宋体" w:cs="宋体"/>
                <w:szCs w:val="21"/>
              </w:rPr>
              <w:t>2,357,979,747.56</w:t>
            </w:r>
          </w:p>
        </w:tc>
        <w:tc>
          <w:tcPr>
            <w:tcW w:w="2268" w:type="dxa"/>
            <w:shd w:val="clear" w:color="auto" w:fill="FFFFFF" w:themeFill="background1"/>
            <w:vAlign w:val="center"/>
          </w:tcPr>
          <w:p w:rsidR="005E026D" w:rsidRPr="00A84678" w:rsidRDefault="00CC6257">
            <w:pPr>
              <w:spacing w:line="240" w:lineRule="exact"/>
              <w:jc w:val="right"/>
              <w:rPr>
                <w:rFonts w:ascii="宋体" w:eastAsia="宋体" w:hAnsi="宋体" w:cs="宋体"/>
                <w:szCs w:val="21"/>
              </w:rPr>
            </w:pPr>
            <w:r w:rsidRPr="00A84678">
              <w:rPr>
                <w:rFonts w:ascii="宋体" w:eastAsia="宋体" w:hAnsi="宋体" w:cs="宋体"/>
                <w:szCs w:val="21"/>
              </w:rPr>
              <w:t>4,051,283,736.03</w:t>
            </w:r>
          </w:p>
        </w:tc>
        <w:tc>
          <w:tcPr>
            <w:tcW w:w="1588" w:type="dxa"/>
            <w:shd w:val="clear" w:color="auto" w:fill="FFFFFF" w:themeFill="background1"/>
            <w:vAlign w:val="center"/>
          </w:tcPr>
          <w:p w:rsidR="005E026D" w:rsidRPr="00A84678" w:rsidRDefault="00CC6257">
            <w:pPr>
              <w:spacing w:line="240" w:lineRule="exact"/>
              <w:jc w:val="right"/>
              <w:rPr>
                <w:rFonts w:ascii="宋体" w:eastAsia="宋体" w:hAnsi="宋体" w:cs="宋体"/>
                <w:szCs w:val="21"/>
              </w:rPr>
            </w:pPr>
            <w:r w:rsidRPr="00A84678">
              <w:rPr>
                <w:rFonts w:ascii="宋体" w:eastAsia="宋体" w:hAnsi="宋体" w:cs="宋体"/>
                <w:szCs w:val="21"/>
              </w:rPr>
              <w:t>-41.80%</w:t>
            </w:r>
          </w:p>
        </w:tc>
        <w:tc>
          <w:tcPr>
            <w:tcW w:w="1928" w:type="dxa"/>
            <w:shd w:val="clear" w:color="auto" w:fill="FFFFFF" w:themeFill="background1"/>
            <w:vAlign w:val="center"/>
          </w:tcPr>
          <w:p w:rsidR="005E026D" w:rsidRPr="00A84678" w:rsidRDefault="00CC6257">
            <w:pPr>
              <w:spacing w:line="240" w:lineRule="exact"/>
              <w:jc w:val="right"/>
              <w:rPr>
                <w:rFonts w:ascii="宋体" w:eastAsia="宋体" w:hAnsi="宋体" w:cs="宋体"/>
                <w:szCs w:val="21"/>
              </w:rPr>
            </w:pPr>
            <w:r w:rsidRPr="00A84678">
              <w:rPr>
                <w:rFonts w:ascii="宋体" w:eastAsia="宋体" w:hAnsi="宋体" w:cs="宋体"/>
                <w:szCs w:val="21"/>
              </w:rPr>
              <w:t>8,165,891,813.89</w:t>
            </w:r>
          </w:p>
        </w:tc>
      </w:tr>
      <w:tr w:rsidR="005E026D" w:rsidRPr="00A84678" w:rsidTr="00580E0C">
        <w:trPr>
          <w:trHeight w:val="240"/>
        </w:trPr>
        <w:tc>
          <w:tcPr>
            <w:tcW w:w="1927" w:type="dxa"/>
            <w:shd w:val="clear" w:color="auto" w:fill="FFFFFF" w:themeFill="background1"/>
            <w:vAlign w:val="center"/>
          </w:tcPr>
          <w:p w:rsidR="005E026D" w:rsidRPr="00A84678" w:rsidRDefault="00CC6257">
            <w:pPr>
              <w:spacing w:before="40" w:after="40" w:line="240" w:lineRule="exact"/>
              <w:rPr>
                <w:rFonts w:ascii="宋体" w:eastAsia="宋体" w:hAnsi="宋体" w:cs="宋体"/>
                <w:szCs w:val="21"/>
              </w:rPr>
            </w:pPr>
            <w:r w:rsidRPr="00A84678">
              <w:rPr>
                <w:rFonts w:ascii="宋体" w:eastAsia="宋体" w:hAnsi="宋体" w:cs="宋体"/>
                <w:szCs w:val="21"/>
              </w:rPr>
              <w:t>归属于上市公司股东的净利润</w:t>
            </w:r>
          </w:p>
        </w:tc>
        <w:tc>
          <w:tcPr>
            <w:tcW w:w="2044" w:type="dxa"/>
            <w:shd w:val="clear" w:color="auto" w:fill="FFFFFF" w:themeFill="background1"/>
            <w:vAlign w:val="center"/>
          </w:tcPr>
          <w:p w:rsidR="005E026D" w:rsidRPr="00A84678" w:rsidRDefault="00CC6257">
            <w:pPr>
              <w:spacing w:line="240" w:lineRule="exact"/>
              <w:jc w:val="right"/>
              <w:rPr>
                <w:rFonts w:ascii="宋体" w:eastAsia="宋体" w:hAnsi="宋体" w:cs="宋体"/>
                <w:szCs w:val="21"/>
              </w:rPr>
            </w:pPr>
            <w:r w:rsidRPr="00A84678">
              <w:rPr>
                <w:rFonts w:ascii="宋体" w:eastAsia="宋体" w:hAnsi="宋体" w:cs="宋体"/>
                <w:szCs w:val="21"/>
              </w:rPr>
              <w:t>-1,174,126,055.60</w:t>
            </w:r>
          </w:p>
        </w:tc>
        <w:tc>
          <w:tcPr>
            <w:tcW w:w="2268" w:type="dxa"/>
            <w:shd w:val="clear" w:color="auto" w:fill="FFFFFF" w:themeFill="background1"/>
            <w:vAlign w:val="center"/>
          </w:tcPr>
          <w:p w:rsidR="005E026D" w:rsidRPr="00A84678" w:rsidRDefault="00CC6257">
            <w:pPr>
              <w:spacing w:line="240" w:lineRule="exact"/>
              <w:jc w:val="right"/>
              <w:rPr>
                <w:rFonts w:ascii="宋体" w:eastAsia="宋体" w:hAnsi="宋体" w:cs="宋体"/>
                <w:szCs w:val="21"/>
              </w:rPr>
            </w:pPr>
            <w:r w:rsidRPr="00A84678">
              <w:rPr>
                <w:rFonts w:ascii="宋体" w:eastAsia="宋体" w:hAnsi="宋体" w:cs="宋体"/>
                <w:szCs w:val="21"/>
              </w:rPr>
              <w:t>-1,496,533,239.05</w:t>
            </w:r>
          </w:p>
        </w:tc>
        <w:tc>
          <w:tcPr>
            <w:tcW w:w="1588" w:type="dxa"/>
            <w:shd w:val="clear" w:color="auto" w:fill="FFFFFF" w:themeFill="background1"/>
            <w:vAlign w:val="center"/>
          </w:tcPr>
          <w:p w:rsidR="005E026D" w:rsidRPr="00A84678" w:rsidRDefault="00CC6257">
            <w:pPr>
              <w:spacing w:line="240" w:lineRule="exact"/>
              <w:jc w:val="right"/>
              <w:rPr>
                <w:rFonts w:ascii="宋体" w:eastAsia="宋体" w:hAnsi="宋体" w:cs="宋体"/>
                <w:szCs w:val="21"/>
              </w:rPr>
            </w:pPr>
            <w:r w:rsidRPr="00A84678">
              <w:rPr>
                <w:rFonts w:ascii="宋体" w:eastAsia="宋体" w:hAnsi="宋体" w:cs="宋体"/>
                <w:szCs w:val="21"/>
              </w:rPr>
              <w:t>21.54%</w:t>
            </w:r>
          </w:p>
        </w:tc>
        <w:tc>
          <w:tcPr>
            <w:tcW w:w="1928" w:type="dxa"/>
            <w:shd w:val="clear" w:color="auto" w:fill="FFFFFF" w:themeFill="background1"/>
            <w:vAlign w:val="center"/>
          </w:tcPr>
          <w:p w:rsidR="005E026D" w:rsidRPr="00A84678" w:rsidRDefault="00CC6257">
            <w:pPr>
              <w:spacing w:line="240" w:lineRule="exact"/>
              <w:jc w:val="right"/>
              <w:rPr>
                <w:rFonts w:ascii="宋体" w:eastAsia="宋体" w:hAnsi="宋体" w:cs="宋体"/>
                <w:szCs w:val="21"/>
              </w:rPr>
            </w:pPr>
            <w:r w:rsidRPr="00A84678">
              <w:rPr>
                <w:rFonts w:ascii="宋体" w:eastAsia="宋体" w:hAnsi="宋体" w:cs="宋体"/>
                <w:szCs w:val="21"/>
              </w:rPr>
              <w:t>-475,578,383.85</w:t>
            </w:r>
          </w:p>
        </w:tc>
      </w:tr>
      <w:tr w:rsidR="005E026D" w:rsidRPr="00A84678" w:rsidTr="00580E0C">
        <w:trPr>
          <w:trHeight w:val="240"/>
        </w:trPr>
        <w:tc>
          <w:tcPr>
            <w:tcW w:w="1927" w:type="dxa"/>
            <w:shd w:val="clear" w:color="auto" w:fill="FFFFFF" w:themeFill="background1"/>
            <w:vAlign w:val="center"/>
          </w:tcPr>
          <w:p w:rsidR="005E026D" w:rsidRPr="00A84678" w:rsidRDefault="00CC6257">
            <w:pPr>
              <w:spacing w:before="40" w:after="40" w:line="240" w:lineRule="exact"/>
              <w:rPr>
                <w:rFonts w:ascii="宋体" w:eastAsia="宋体" w:hAnsi="宋体" w:cs="宋体"/>
                <w:szCs w:val="21"/>
              </w:rPr>
            </w:pPr>
            <w:r w:rsidRPr="00A84678">
              <w:rPr>
                <w:rFonts w:ascii="宋体" w:eastAsia="宋体" w:hAnsi="宋体" w:cs="宋体"/>
                <w:szCs w:val="21"/>
              </w:rPr>
              <w:t>归属于上市公司股东的扣除非经常性损益的净利润</w:t>
            </w:r>
          </w:p>
        </w:tc>
        <w:tc>
          <w:tcPr>
            <w:tcW w:w="2044" w:type="dxa"/>
            <w:shd w:val="clear" w:color="auto" w:fill="FFFFFF" w:themeFill="background1"/>
            <w:vAlign w:val="center"/>
          </w:tcPr>
          <w:p w:rsidR="005E026D" w:rsidRPr="00A84678" w:rsidRDefault="00CC6257">
            <w:pPr>
              <w:spacing w:line="240" w:lineRule="exact"/>
              <w:jc w:val="right"/>
              <w:rPr>
                <w:rFonts w:ascii="宋体" w:eastAsia="宋体" w:hAnsi="宋体" w:cs="宋体"/>
                <w:szCs w:val="21"/>
              </w:rPr>
            </w:pPr>
            <w:r w:rsidRPr="00A84678">
              <w:rPr>
                <w:rFonts w:ascii="宋体" w:eastAsia="宋体" w:hAnsi="宋体" w:cs="宋体"/>
                <w:szCs w:val="21"/>
              </w:rPr>
              <w:t>-2,251,778,068.46</w:t>
            </w:r>
          </w:p>
        </w:tc>
        <w:tc>
          <w:tcPr>
            <w:tcW w:w="2268" w:type="dxa"/>
            <w:shd w:val="clear" w:color="auto" w:fill="FFFFFF" w:themeFill="background1"/>
            <w:vAlign w:val="center"/>
          </w:tcPr>
          <w:p w:rsidR="005E026D" w:rsidRPr="00A84678" w:rsidRDefault="00CC6257">
            <w:pPr>
              <w:spacing w:line="240" w:lineRule="exact"/>
              <w:jc w:val="right"/>
              <w:rPr>
                <w:rFonts w:ascii="宋体" w:eastAsia="宋体" w:hAnsi="宋体" w:cs="宋体"/>
                <w:szCs w:val="21"/>
              </w:rPr>
            </w:pPr>
            <w:r w:rsidRPr="00A84678">
              <w:rPr>
                <w:rFonts w:ascii="宋体" w:eastAsia="宋体" w:hAnsi="宋体" w:cs="宋体"/>
                <w:szCs w:val="21"/>
              </w:rPr>
              <w:t>-1,302,800,824.40</w:t>
            </w:r>
          </w:p>
        </w:tc>
        <w:tc>
          <w:tcPr>
            <w:tcW w:w="1588" w:type="dxa"/>
            <w:shd w:val="clear" w:color="auto" w:fill="FFFFFF" w:themeFill="background1"/>
            <w:vAlign w:val="center"/>
          </w:tcPr>
          <w:p w:rsidR="005E026D" w:rsidRPr="00A84678" w:rsidRDefault="00CC6257">
            <w:pPr>
              <w:spacing w:line="240" w:lineRule="exact"/>
              <w:jc w:val="right"/>
              <w:rPr>
                <w:rFonts w:ascii="宋体" w:eastAsia="宋体" w:hAnsi="宋体" w:cs="宋体"/>
                <w:szCs w:val="21"/>
              </w:rPr>
            </w:pPr>
            <w:r w:rsidRPr="00A84678">
              <w:rPr>
                <w:rFonts w:ascii="宋体" w:eastAsia="宋体" w:hAnsi="宋体" w:cs="宋体"/>
                <w:szCs w:val="21"/>
              </w:rPr>
              <w:t>-72.84%</w:t>
            </w:r>
          </w:p>
        </w:tc>
        <w:tc>
          <w:tcPr>
            <w:tcW w:w="1928" w:type="dxa"/>
            <w:shd w:val="clear" w:color="auto" w:fill="FFFFFF" w:themeFill="background1"/>
            <w:vAlign w:val="center"/>
          </w:tcPr>
          <w:p w:rsidR="005E026D" w:rsidRPr="00A84678" w:rsidRDefault="00CC6257">
            <w:pPr>
              <w:spacing w:line="240" w:lineRule="exact"/>
              <w:jc w:val="right"/>
              <w:rPr>
                <w:rFonts w:ascii="宋体" w:eastAsia="宋体" w:hAnsi="宋体" w:cs="宋体"/>
                <w:szCs w:val="21"/>
              </w:rPr>
            </w:pPr>
            <w:r w:rsidRPr="00A84678">
              <w:rPr>
                <w:rFonts w:ascii="宋体" w:eastAsia="宋体" w:hAnsi="宋体" w:cs="宋体"/>
                <w:szCs w:val="21"/>
              </w:rPr>
              <w:t>-747,183,880.21</w:t>
            </w:r>
          </w:p>
        </w:tc>
      </w:tr>
      <w:tr w:rsidR="005E026D" w:rsidRPr="00A84678" w:rsidTr="00580E0C">
        <w:trPr>
          <w:trHeight w:val="240"/>
        </w:trPr>
        <w:tc>
          <w:tcPr>
            <w:tcW w:w="1927" w:type="dxa"/>
            <w:shd w:val="clear" w:color="auto" w:fill="FFFFFF" w:themeFill="background1"/>
            <w:vAlign w:val="center"/>
          </w:tcPr>
          <w:p w:rsidR="005E026D" w:rsidRPr="00A84678" w:rsidRDefault="00CC6257">
            <w:pPr>
              <w:spacing w:before="40" w:after="40" w:line="240" w:lineRule="exact"/>
              <w:rPr>
                <w:rFonts w:ascii="宋体" w:eastAsia="宋体" w:hAnsi="宋体" w:cs="宋体"/>
                <w:szCs w:val="21"/>
              </w:rPr>
            </w:pPr>
            <w:r w:rsidRPr="00A84678">
              <w:rPr>
                <w:rFonts w:ascii="宋体" w:eastAsia="宋体" w:hAnsi="宋体" w:cs="宋体"/>
                <w:szCs w:val="21"/>
              </w:rPr>
              <w:t>经营活动产生的现金流量净额</w:t>
            </w:r>
          </w:p>
        </w:tc>
        <w:tc>
          <w:tcPr>
            <w:tcW w:w="2044" w:type="dxa"/>
            <w:shd w:val="clear" w:color="auto" w:fill="FFFFFF" w:themeFill="background1"/>
            <w:vAlign w:val="center"/>
          </w:tcPr>
          <w:p w:rsidR="005E026D" w:rsidRPr="00A84678" w:rsidRDefault="00CC6257">
            <w:pPr>
              <w:spacing w:line="240" w:lineRule="exact"/>
              <w:jc w:val="right"/>
              <w:rPr>
                <w:rFonts w:ascii="宋体" w:eastAsia="宋体" w:hAnsi="宋体" w:cs="宋体"/>
                <w:szCs w:val="21"/>
              </w:rPr>
            </w:pPr>
            <w:r w:rsidRPr="00A84678">
              <w:rPr>
                <w:rFonts w:ascii="宋体" w:eastAsia="宋体" w:hAnsi="宋体" w:cs="宋体"/>
                <w:szCs w:val="21"/>
              </w:rPr>
              <w:t>-659,205,323.72</w:t>
            </w:r>
          </w:p>
        </w:tc>
        <w:tc>
          <w:tcPr>
            <w:tcW w:w="2268" w:type="dxa"/>
            <w:shd w:val="clear" w:color="auto" w:fill="FFFFFF" w:themeFill="background1"/>
            <w:vAlign w:val="center"/>
          </w:tcPr>
          <w:p w:rsidR="005E026D" w:rsidRPr="00A84678" w:rsidRDefault="00CC6257">
            <w:pPr>
              <w:spacing w:line="240" w:lineRule="exact"/>
              <w:jc w:val="right"/>
              <w:rPr>
                <w:rFonts w:ascii="宋体" w:eastAsia="宋体" w:hAnsi="宋体" w:cs="宋体"/>
                <w:szCs w:val="21"/>
              </w:rPr>
            </w:pPr>
            <w:r w:rsidRPr="00A84678">
              <w:rPr>
                <w:rFonts w:ascii="宋体" w:eastAsia="宋体" w:hAnsi="宋体" w:cs="宋体"/>
                <w:szCs w:val="21"/>
              </w:rPr>
              <w:t>289,661,826.87</w:t>
            </w:r>
          </w:p>
        </w:tc>
        <w:tc>
          <w:tcPr>
            <w:tcW w:w="1588" w:type="dxa"/>
            <w:shd w:val="clear" w:color="auto" w:fill="FFFFFF" w:themeFill="background1"/>
            <w:vAlign w:val="center"/>
          </w:tcPr>
          <w:p w:rsidR="005E026D" w:rsidRPr="00A84678" w:rsidRDefault="00CC6257">
            <w:pPr>
              <w:spacing w:line="240" w:lineRule="exact"/>
              <w:jc w:val="right"/>
              <w:rPr>
                <w:rFonts w:ascii="宋体" w:eastAsia="宋体" w:hAnsi="宋体" w:cs="宋体"/>
                <w:szCs w:val="21"/>
              </w:rPr>
            </w:pPr>
            <w:r w:rsidRPr="00A84678">
              <w:rPr>
                <w:rFonts w:ascii="宋体" w:eastAsia="宋体" w:hAnsi="宋体" w:cs="宋体"/>
                <w:szCs w:val="21"/>
              </w:rPr>
              <w:t>-327.58%</w:t>
            </w:r>
          </w:p>
        </w:tc>
        <w:tc>
          <w:tcPr>
            <w:tcW w:w="1928" w:type="dxa"/>
            <w:shd w:val="clear" w:color="auto" w:fill="FFFFFF" w:themeFill="background1"/>
            <w:vAlign w:val="center"/>
          </w:tcPr>
          <w:p w:rsidR="005E026D" w:rsidRPr="00A84678" w:rsidRDefault="00CC6257">
            <w:pPr>
              <w:spacing w:line="240" w:lineRule="exact"/>
              <w:jc w:val="right"/>
              <w:rPr>
                <w:rFonts w:ascii="宋体" w:eastAsia="宋体" w:hAnsi="宋体" w:cs="宋体"/>
                <w:szCs w:val="21"/>
              </w:rPr>
            </w:pPr>
            <w:r w:rsidRPr="00A84678">
              <w:rPr>
                <w:rFonts w:ascii="宋体" w:eastAsia="宋体" w:hAnsi="宋体" w:cs="宋体"/>
                <w:szCs w:val="21"/>
              </w:rPr>
              <w:t>387,179,858.18</w:t>
            </w:r>
          </w:p>
        </w:tc>
      </w:tr>
      <w:tr w:rsidR="005E026D" w:rsidRPr="00A84678" w:rsidTr="00580E0C">
        <w:trPr>
          <w:trHeight w:val="240"/>
        </w:trPr>
        <w:tc>
          <w:tcPr>
            <w:tcW w:w="1927" w:type="dxa"/>
            <w:shd w:val="clear" w:color="auto" w:fill="FFFFFF" w:themeFill="background1"/>
            <w:vAlign w:val="center"/>
          </w:tcPr>
          <w:p w:rsidR="005E026D" w:rsidRPr="00A84678" w:rsidRDefault="00CC6257">
            <w:pPr>
              <w:spacing w:before="40" w:after="40" w:line="240" w:lineRule="exact"/>
              <w:rPr>
                <w:rFonts w:ascii="宋体" w:eastAsia="宋体" w:hAnsi="宋体" w:cs="宋体"/>
                <w:szCs w:val="21"/>
              </w:rPr>
            </w:pPr>
            <w:r w:rsidRPr="00A84678">
              <w:rPr>
                <w:rFonts w:ascii="宋体" w:eastAsia="宋体" w:hAnsi="宋体" w:cs="宋体"/>
                <w:szCs w:val="21"/>
              </w:rPr>
              <w:t>基本每股收益（元/股）</w:t>
            </w:r>
          </w:p>
        </w:tc>
        <w:tc>
          <w:tcPr>
            <w:tcW w:w="2044" w:type="dxa"/>
            <w:shd w:val="clear" w:color="auto" w:fill="FFFFFF" w:themeFill="background1"/>
            <w:vAlign w:val="center"/>
          </w:tcPr>
          <w:p w:rsidR="005E026D" w:rsidRPr="00A84678" w:rsidRDefault="00CC6257">
            <w:pPr>
              <w:spacing w:line="240" w:lineRule="exact"/>
              <w:jc w:val="right"/>
              <w:rPr>
                <w:rFonts w:ascii="宋体" w:eastAsia="宋体" w:hAnsi="宋体" w:cs="宋体"/>
                <w:szCs w:val="21"/>
              </w:rPr>
            </w:pPr>
            <w:r w:rsidRPr="00A84678">
              <w:rPr>
                <w:rFonts w:ascii="宋体" w:eastAsia="宋体" w:hAnsi="宋体" w:cs="宋体"/>
                <w:szCs w:val="21"/>
              </w:rPr>
              <w:t>-0.46</w:t>
            </w:r>
          </w:p>
        </w:tc>
        <w:tc>
          <w:tcPr>
            <w:tcW w:w="2268" w:type="dxa"/>
            <w:shd w:val="clear" w:color="auto" w:fill="FFFFFF" w:themeFill="background1"/>
            <w:vAlign w:val="center"/>
          </w:tcPr>
          <w:p w:rsidR="005E026D" w:rsidRPr="00A84678" w:rsidRDefault="00CC6257">
            <w:pPr>
              <w:spacing w:line="240" w:lineRule="exact"/>
              <w:jc w:val="right"/>
              <w:rPr>
                <w:rFonts w:ascii="宋体" w:eastAsia="宋体" w:hAnsi="宋体" w:cs="宋体"/>
                <w:szCs w:val="21"/>
              </w:rPr>
            </w:pPr>
            <w:r w:rsidRPr="00A84678">
              <w:rPr>
                <w:rFonts w:ascii="宋体" w:eastAsia="宋体" w:hAnsi="宋体" w:cs="宋体"/>
                <w:szCs w:val="21"/>
              </w:rPr>
              <w:t>-0.58</w:t>
            </w:r>
          </w:p>
        </w:tc>
        <w:tc>
          <w:tcPr>
            <w:tcW w:w="1588" w:type="dxa"/>
            <w:shd w:val="clear" w:color="auto" w:fill="FFFFFF" w:themeFill="background1"/>
            <w:vAlign w:val="center"/>
          </w:tcPr>
          <w:p w:rsidR="005E026D" w:rsidRPr="00A84678" w:rsidRDefault="00CC6257">
            <w:pPr>
              <w:spacing w:line="240" w:lineRule="exact"/>
              <w:jc w:val="right"/>
              <w:rPr>
                <w:rFonts w:ascii="宋体" w:eastAsia="宋体" w:hAnsi="宋体" w:cs="宋体"/>
                <w:szCs w:val="21"/>
              </w:rPr>
            </w:pPr>
            <w:r w:rsidRPr="00A84678">
              <w:rPr>
                <w:rFonts w:ascii="宋体" w:eastAsia="宋体" w:hAnsi="宋体" w:cs="宋体"/>
                <w:szCs w:val="21"/>
              </w:rPr>
              <w:t>20.69%</w:t>
            </w:r>
          </w:p>
        </w:tc>
        <w:tc>
          <w:tcPr>
            <w:tcW w:w="1928" w:type="dxa"/>
            <w:shd w:val="clear" w:color="auto" w:fill="FFFFFF" w:themeFill="background1"/>
            <w:vAlign w:val="center"/>
          </w:tcPr>
          <w:p w:rsidR="005E026D" w:rsidRPr="00A84678" w:rsidRDefault="00CC6257">
            <w:pPr>
              <w:spacing w:line="240" w:lineRule="exact"/>
              <w:jc w:val="right"/>
              <w:rPr>
                <w:rFonts w:ascii="宋体" w:eastAsia="宋体" w:hAnsi="宋体" w:cs="宋体"/>
                <w:szCs w:val="21"/>
              </w:rPr>
            </w:pPr>
            <w:r w:rsidRPr="00A84678">
              <w:rPr>
                <w:rFonts w:ascii="宋体" w:eastAsia="宋体" w:hAnsi="宋体" w:cs="宋体"/>
                <w:szCs w:val="21"/>
              </w:rPr>
              <w:t>-0.55</w:t>
            </w:r>
          </w:p>
        </w:tc>
      </w:tr>
      <w:tr w:rsidR="005E026D" w:rsidRPr="00A84678" w:rsidTr="00580E0C">
        <w:trPr>
          <w:trHeight w:val="240"/>
        </w:trPr>
        <w:tc>
          <w:tcPr>
            <w:tcW w:w="1927" w:type="dxa"/>
            <w:shd w:val="clear" w:color="auto" w:fill="FFFFFF" w:themeFill="background1"/>
            <w:vAlign w:val="center"/>
          </w:tcPr>
          <w:p w:rsidR="005E026D" w:rsidRPr="00A84678" w:rsidRDefault="00CC6257">
            <w:pPr>
              <w:spacing w:before="40" w:after="40" w:line="240" w:lineRule="exact"/>
              <w:rPr>
                <w:rFonts w:ascii="宋体" w:eastAsia="宋体" w:hAnsi="宋体" w:cs="宋体"/>
                <w:szCs w:val="21"/>
              </w:rPr>
            </w:pPr>
            <w:r w:rsidRPr="00A84678">
              <w:rPr>
                <w:rFonts w:ascii="宋体" w:eastAsia="宋体" w:hAnsi="宋体" w:cs="宋体"/>
                <w:szCs w:val="21"/>
              </w:rPr>
              <w:t>稀释每股收益（元/股）</w:t>
            </w:r>
          </w:p>
        </w:tc>
        <w:tc>
          <w:tcPr>
            <w:tcW w:w="2044" w:type="dxa"/>
            <w:shd w:val="clear" w:color="auto" w:fill="FFFFFF" w:themeFill="background1"/>
            <w:vAlign w:val="center"/>
          </w:tcPr>
          <w:p w:rsidR="005E026D" w:rsidRPr="00A84678" w:rsidRDefault="00CC6257">
            <w:pPr>
              <w:spacing w:line="240" w:lineRule="exact"/>
              <w:jc w:val="right"/>
              <w:rPr>
                <w:rFonts w:ascii="宋体" w:eastAsia="宋体" w:hAnsi="宋体" w:cs="宋体"/>
                <w:szCs w:val="21"/>
              </w:rPr>
            </w:pPr>
            <w:r w:rsidRPr="00A84678">
              <w:rPr>
                <w:rFonts w:ascii="宋体" w:eastAsia="宋体" w:hAnsi="宋体" w:cs="宋体"/>
                <w:szCs w:val="21"/>
              </w:rPr>
              <w:t>-0.46</w:t>
            </w:r>
          </w:p>
        </w:tc>
        <w:tc>
          <w:tcPr>
            <w:tcW w:w="2268" w:type="dxa"/>
            <w:shd w:val="clear" w:color="auto" w:fill="FFFFFF" w:themeFill="background1"/>
            <w:vAlign w:val="center"/>
          </w:tcPr>
          <w:p w:rsidR="005E026D" w:rsidRPr="00A84678" w:rsidRDefault="00CC6257">
            <w:pPr>
              <w:spacing w:line="240" w:lineRule="exact"/>
              <w:jc w:val="right"/>
              <w:rPr>
                <w:rFonts w:ascii="宋体" w:eastAsia="宋体" w:hAnsi="宋体" w:cs="宋体"/>
                <w:szCs w:val="21"/>
              </w:rPr>
            </w:pPr>
            <w:r w:rsidRPr="00A84678">
              <w:rPr>
                <w:rFonts w:ascii="宋体" w:eastAsia="宋体" w:hAnsi="宋体" w:cs="宋体"/>
                <w:szCs w:val="21"/>
              </w:rPr>
              <w:t>-0.58</w:t>
            </w:r>
          </w:p>
        </w:tc>
        <w:tc>
          <w:tcPr>
            <w:tcW w:w="1588" w:type="dxa"/>
            <w:shd w:val="clear" w:color="auto" w:fill="FFFFFF" w:themeFill="background1"/>
            <w:vAlign w:val="center"/>
          </w:tcPr>
          <w:p w:rsidR="005E026D" w:rsidRPr="00A84678" w:rsidRDefault="00CC6257">
            <w:pPr>
              <w:spacing w:line="240" w:lineRule="exact"/>
              <w:jc w:val="right"/>
              <w:rPr>
                <w:rFonts w:ascii="宋体" w:eastAsia="宋体" w:hAnsi="宋体" w:cs="宋体"/>
                <w:szCs w:val="21"/>
              </w:rPr>
            </w:pPr>
            <w:r w:rsidRPr="00A84678">
              <w:rPr>
                <w:rFonts w:ascii="宋体" w:eastAsia="宋体" w:hAnsi="宋体" w:cs="宋体"/>
                <w:szCs w:val="21"/>
              </w:rPr>
              <w:t>20.69%</w:t>
            </w:r>
          </w:p>
        </w:tc>
        <w:tc>
          <w:tcPr>
            <w:tcW w:w="1928" w:type="dxa"/>
            <w:shd w:val="clear" w:color="auto" w:fill="FFFFFF" w:themeFill="background1"/>
            <w:vAlign w:val="center"/>
          </w:tcPr>
          <w:p w:rsidR="005E026D" w:rsidRPr="00A84678" w:rsidRDefault="00CC6257">
            <w:pPr>
              <w:spacing w:line="240" w:lineRule="exact"/>
              <w:jc w:val="right"/>
              <w:rPr>
                <w:rFonts w:ascii="宋体" w:eastAsia="宋体" w:hAnsi="宋体" w:cs="宋体"/>
                <w:szCs w:val="21"/>
              </w:rPr>
            </w:pPr>
            <w:r w:rsidRPr="00A84678">
              <w:rPr>
                <w:rFonts w:ascii="宋体" w:eastAsia="宋体" w:hAnsi="宋体" w:cs="宋体"/>
                <w:szCs w:val="21"/>
              </w:rPr>
              <w:t>-0.55</w:t>
            </w:r>
          </w:p>
        </w:tc>
      </w:tr>
      <w:tr w:rsidR="005E026D" w:rsidRPr="00A84678" w:rsidTr="00580E0C">
        <w:trPr>
          <w:trHeight w:val="240"/>
        </w:trPr>
        <w:tc>
          <w:tcPr>
            <w:tcW w:w="1927" w:type="dxa"/>
            <w:shd w:val="clear" w:color="auto" w:fill="FFFFFF" w:themeFill="background1"/>
            <w:vAlign w:val="center"/>
          </w:tcPr>
          <w:p w:rsidR="005E026D" w:rsidRPr="00A84678" w:rsidRDefault="00CC6257">
            <w:pPr>
              <w:spacing w:before="40" w:after="40" w:line="240" w:lineRule="exact"/>
              <w:rPr>
                <w:rFonts w:ascii="宋体" w:eastAsia="宋体" w:hAnsi="宋体" w:cs="宋体"/>
                <w:szCs w:val="21"/>
              </w:rPr>
            </w:pPr>
            <w:r w:rsidRPr="00A84678">
              <w:rPr>
                <w:rFonts w:ascii="宋体" w:eastAsia="宋体" w:hAnsi="宋体" w:cs="宋体"/>
                <w:szCs w:val="21"/>
              </w:rPr>
              <w:t>加权平均净资产收益率</w:t>
            </w:r>
          </w:p>
        </w:tc>
        <w:tc>
          <w:tcPr>
            <w:tcW w:w="2044" w:type="dxa"/>
            <w:shd w:val="clear" w:color="auto" w:fill="FFFFFF" w:themeFill="background1"/>
            <w:vAlign w:val="center"/>
          </w:tcPr>
          <w:p w:rsidR="005E026D" w:rsidRPr="00A84678" w:rsidRDefault="00AE3F14">
            <w:pPr>
              <w:spacing w:line="240" w:lineRule="exact"/>
              <w:jc w:val="right"/>
              <w:rPr>
                <w:rFonts w:ascii="宋体" w:eastAsia="宋体" w:hAnsi="宋体" w:cs="宋体"/>
                <w:szCs w:val="21"/>
              </w:rPr>
            </w:pPr>
            <w:r>
              <w:rPr>
                <w:rFonts w:ascii="宋体" w:eastAsia="宋体" w:hAnsi="宋体" w:cs="宋体" w:hint="eastAsia"/>
                <w:szCs w:val="21"/>
              </w:rPr>
              <w:t>不适用</w:t>
            </w:r>
          </w:p>
        </w:tc>
        <w:tc>
          <w:tcPr>
            <w:tcW w:w="2268" w:type="dxa"/>
            <w:shd w:val="clear" w:color="auto" w:fill="FFFFFF" w:themeFill="background1"/>
            <w:vAlign w:val="center"/>
          </w:tcPr>
          <w:p w:rsidR="005E026D" w:rsidRPr="00A84678" w:rsidRDefault="00CC6257">
            <w:pPr>
              <w:spacing w:line="240" w:lineRule="exact"/>
              <w:jc w:val="right"/>
              <w:rPr>
                <w:rFonts w:ascii="宋体" w:eastAsia="宋体" w:hAnsi="宋体" w:cs="宋体"/>
                <w:szCs w:val="21"/>
              </w:rPr>
            </w:pPr>
            <w:r w:rsidRPr="00A84678">
              <w:rPr>
                <w:rFonts w:ascii="宋体" w:eastAsia="宋体" w:hAnsi="宋体" w:cs="宋体"/>
                <w:szCs w:val="21"/>
              </w:rPr>
              <w:t>-671.01%</w:t>
            </w:r>
          </w:p>
        </w:tc>
        <w:tc>
          <w:tcPr>
            <w:tcW w:w="1588" w:type="dxa"/>
            <w:shd w:val="clear" w:color="auto" w:fill="FFFFFF" w:themeFill="background1"/>
            <w:vAlign w:val="center"/>
          </w:tcPr>
          <w:p w:rsidR="005E026D" w:rsidRPr="00A84678" w:rsidRDefault="00AE3F14">
            <w:pPr>
              <w:spacing w:line="240" w:lineRule="exact"/>
              <w:jc w:val="right"/>
              <w:rPr>
                <w:rFonts w:ascii="宋体" w:eastAsia="宋体" w:hAnsi="宋体" w:cs="宋体"/>
                <w:szCs w:val="21"/>
              </w:rPr>
            </w:pPr>
            <w:r>
              <w:rPr>
                <w:rFonts w:ascii="宋体" w:eastAsia="宋体" w:hAnsi="宋体" w:cs="宋体" w:hint="eastAsia"/>
                <w:szCs w:val="21"/>
              </w:rPr>
              <w:t>不适用</w:t>
            </w:r>
          </w:p>
        </w:tc>
        <w:tc>
          <w:tcPr>
            <w:tcW w:w="1928" w:type="dxa"/>
            <w:shd w:val="clear" w:color="auto" w:fill="FFFFFF" w:themeFill="background1"/>
            <w:vAlign w:val="center"/>
          </w:tcPr>
          <w:p w:rsidR="005E026D" w:rsidRPr="00A84678" w:rsidRDefault="00CC6257">
            <w:pPr>
              <w:spacing w:line="240" w:lineRule="exact"/>
              <w:jc w:val="right"/>
              <w:rPr>
                <w:rFonts w:ascii="宋体" w:eastAsia="宋体" w:hAnsi="宋体" w:cs="宋体"/>
                <w:szCs w:val="21"/>
              </w:rPr>
            </w:pPr>
            <w:r w:rsidRPr="00A84678">
              <w:rPr>
                <w:rFonts w:ascii="宋体" w:eastAsia="宋体" w:hAnsi="宋体" w:cs="宋体"/>
                <w:szCs w:val="21"/>
              </w:rPr>
              <w:t>-39.04%</w:t>
            </w:r>
          </w:p>
        </w:tc>
      </w:tr>
    </w:tbl>
    <w:p w:rsidR="006718EC" w:rsidRPr="006718EC" w:rsidRDefault="006718EC" w:rsidP="006718EC">
      <w:pPr>
        <w:spacing w:line="360" w:lineRule="auto"/>
        <w:jc w:val="both"/>
        <w:rPr>
          <w:rFonts w:ascii="宋体" w:eastAsia="宋体" w:hAnsi="宋体"/>
        </w:rPr>
      </w:pPr>
      <w:bookmarkStart w:id="6" w:name="_Toc988895"/>
      <w:r w:rsidRPr="006718EC">
        <w:rPr>
          <w:rFonts w:ascii="宋体" w:eastAsia="宋体" w:hAnsi="宋体" w:hint="eastAsia"/>
        </w:rPr>
        <w:lastRenderedPageBreak/>
        <w:t>注</w:t>
      </w:r>
      <w:r w:rsidRPr="006718EC">
        <w:rPr>
          <w:rFonts w:ascii="宋体" w:eastAsia="宋体" w:hAnsi="宋体"/>
        </w:rPr>
        <w:t>1：公司2024年度归属于公司普通股股东的净利润为-1,174,126,055.60元，加权平均净资产为-1,152,107,163.32元。因此无法正常计算加权平均净资产收益率。</w:t>
      </w:r>
    </w:p>
    <w:p w:rsidR="005E026D" w:rsidRPr="00C366AE" w:rsidRDefault="00CC6257">
      <w:pPr>
        <w:keepNext/>
        <w:keepLines/>
        <w:spacing w:before="300" w:after="300" w:line="280" w:lineRule="exact"/>
        <w:outlineLvl w:val="3"/>
        <w:rPr>
          <w:rFonts w:ascii="宋体" w:eastAsia="宋体" w:hAnsi="宋体" w:cs="宋体"/>
          <w:b/>
          <w:bCs/>
          <w:sz w:val="24"/>
          <w:szCs w:val="24"/>
        </w:rPr>
      </w:pPr>
      <w:r w:rsidRPr="00C366AE">
        <w:rPr>
          <w:rFonts w:ascii="宋体" w:eastAsia="宋体" w:hAnsi="宋体" w:cs="宋体"/>
          <w:b/>
          <w:bCs/>
          <w:sz w:val="24"/>
          <w:szCs w:val="24"/>
        </w:rPr>
        <w:t>（2） 分季度主要会计数据</w:t>
      </w:r>
      <w:bookmarkEnd w:id="6"/>
    </w:p>
    <w:p w:rsidR="005E026D" w:rsidRPr="00C366AE" w:rsidRDefault="00CC6257">
      <w:pPr>
        <w:spacing w:before="120" w:after="120" w:line="240" w:lineRule="exact"/>
        <w:jc w:val="right"/>
        <w:rPr>
          <w:rFonts w:ascii="宋体" w:eastAsia="宋体" w:hAnsi="宋体" w:cs="宋体"/>
          <w:sz w:val="24"/>
          <w:szCs w:val="18"/>
        </w:rPr>
      </w:pPr>
      <w:r w:rsidRPr="00C366AE">
        <w:rPr>
          <w:rFonts w:ascii="宋体" w:eastAsia="宋体" w:hAnsi="宋体" w:cs="宋体"/>
          <w:sz w:val="24"/>
          <w:szCs w:val="18"/>
        </w:rPr>
        <w:t>单位：元</w:t>
      </w:r>
    </w:p>
    <w:tbl>
      <w:tblPr>
        <w:tblW w:w="978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927"/>
        <w:gridCol w:w="1928"/>
        <w:gridCol w:w="1928"/>
        <w:gridCol w:w="1928"/>
        <w:gridCol w:w="2072"/>
      </w:tblGrid>
      <w:tr w:rsidR="005E026D" w:rsidRPr="00A84678" w:rsidTr="00580E0C">
        <w:trPr>
          <w:trHeight w:val="240"/>
          <w:jc w:val="center"/>
        </w:trPr>
        <w:tc>
          <w:tcPr>
            <w:tcW w:w="1927" w:type="dxa"/>
            <w:shd w:val="clear" w:color="auto" w:fill="FFFFFF" w:themeFill="background1"/>
            <w:vAlign w:val="center"/>
          </w:tcPr>
          <w:p w:rsidR="005E026D" w:rsidRPr="00A84678" w:rsidRDefault="005E026D"/>
        </w:tc>
        <w:tc>
          <w:tcPr>
            <w:tcW w:w="1928" w:type="dxa"/>
            <w:shd w:val="clear" w:color="auto" w:fill="FFFFFF" w:themeFill="background1"/>
            <w:vAlign w:val="center"/>
          </w:tcPr>
          <w:p w:rsidR="005E026D" w:rsidRPr="00A84678" w:rsidRDefault="00CC6257">
            <w:pPr>
              <w:spacing w:before="40" w:after="40" w:line="240" w:lineRule="exact"/>
              <w:jc w:val="center"/>
              <w:rPr>
                <w:rFonts w:ascii="宋体" w:eastAsia="宋体" w:hAnsi="宋体" w:cs="宋体"/>
                <w:szCs w:val="18"/>
              </w:rPr>
            </w:pPr>
            <w:r w:rsidRPr="00A84678">
              <w:rPr>
                <w:rFonts w:ascii="宋体" w:eastAsia="宋体" w:hAnsi="宋体" w:cs="宋体"/>
                <w:szCs w:val="18"/>
              </w:rPr>
              <w:t>第一季度</w:t>
            </w:r>
          </w:p>
        </w:tc>
        <w:tc>
          <w:tcPr>
            <w:tcW w:w="1928" w:type="dxa"/>
            <w:shd w:val="clear" w:color="auto" w:fill="FFFFFF" w:themeFill="background1"/>
            <w:vAlign w:val="center"/>
          </w:tcPr>
          <w:p w:rsidR="005E026D" w:rsidRPr="00A84678" w:rsidRDefault="00CC6257">
            <w:pPr>
              <w:spacing w:before="40" w:after="40" w:line="240" w:lineRule="exact"/>
              <w:jc w:val="center"/>
              <w:rPr>
                <w:rFonts w:ascii="宋体" w:eastAsia="宋体" w:hAnsi="宋体" w:cs="宋体"/>
                <w:szCs w:val="18"/>
              </w:rPr>
            </w:pPr>
            <w:r w:rsidRPr="00A84678">
              <w:rPr>
                <w:rFonts w:ascii="宋体" w:eastAsia="宋体" w:hAnsi="宋体" w:cs="宋体"/>
                <w:szCs w:val="18"/>
              </w:rPr>
              <w:t>第二季度</w:t>
            </w:r>
          </w:p>
        </w:tc>
        <w:tc>
          <w:tcPr>
            <w:tcW w:w="1928" w:type="dxa"/>
            <w:shd w:val="clear" w:color="auto" w:fill="FFFFFF" w:themeFill="background1"/>
            <w:vAlign w:val="center"/>
          </w:tcPr>
          <w:p w:rsidR="005E026D" w:rsidRPr="00A84678" w:rsidRDefault="00CC6257">
            <w:pPr>
              <w:spacing w:before="40" w:after="40" w:line="240" w:lineRule="exact"/>
              <w:jc w:val="center"/>
              <w:rPr>
                <w:rFonts w:ascii="宋体" w:eastAsia="宋体" w:hAnsi="宋体" w:cs="宋体"/>
                <w:szCs w:val="18"/>
              </w:rPr>
            </w:pPr>
            <w:r w:rsidRPr="00A84678">
              <w:rPr>
                <w:rFonts w:ascii="宋体" w:eastAsia="宋体" w:hAnsi="宋体" w:cs="宋体"/>
                <w:szCs w:val="18"/>
              </w:rPr>
              <w:t>第三季度</w:t>
            </w:r>
          </w:p>
        </w:tc>
        <w:tc>
          <w:tcPr>
            <w:tcW w:w="2072" w:type="dxa"/>
            <w:shd w:val="clear" w:color="auto" w:fill="FFFFFF" w:themeFill="background1"/>
            <w:vAlign w:val="center"/>
          </w:tcPr>
          <w:p w:rsidR="005E026D" w:rsidRPr="00A84678" w:rsidRDefault="00CC6257">
            <w:pPr>
              <w:spacing w:before="40" w:after="40" w:line="240" w:lineRule="exact"/>
              <w:jc w:val="center"/>
              <w:rPr>
                <w:rFonts w:ascii="宋体" w:eastAsia="宋体" w:hAnsi="宋体" w:cs="宋体"/>
                <w:szCs w:val="18"/>
              </w:rPr>
            </w:pPr>
            <w:r w:rsidRPr="00A84678">
              <w:rPr>
                <w:rFonts w:ascii="宋体" w:eastAsia="宋体" w:hAnsi="宋体" w:cs="宋体"/>
                <w:szCs w:val="18"/>
              </w:rPr>
              <w:t>第四季度</w:t>
            </w:r>
          </w:p>
        </w:tc>
      </w:tr>
      <w:tr w:rsidR="005E026D" w:rsidRPr="00A84678" w:rsidTr="00580E0C">
        <w:trPr>
          <w:trHeight w:val="240"/>
          <w:jc w:val="center"/>
        </w:trPr>
        <w:tc>
          <w:tcPr>
            <w:tcW w:w="1927" w:type="dxa"/>
            <w:shd w:val="clear" w:color="auto" w:fill="FFFFFF" w:themeFill="background1"/>
            <w:vAlign w:val="center"/>
          </w:tcPr>
          <w:p w:rsidR="005E026D" w:rsidRPr="00A84678" w:rsidRDefault="00CC6257">
            <w:pPr>
              <w:spacing w:before="40" w:after="40" w:line="240" w:lineRule="exact"/>
              <w:rPr>
                <w:rFonts w:ascii="宋体" w:eastAsia="宋体" w:hAnsi="宋体" w:cs="宋体"/>
                <w:szCs w:val="18"/>
              </w:rPr>
            </w:pPr>
            <w:r w:rsidRPr="00A84678">
              <w:rPr>
                <w:rFonts w:ascii="宋体" w:eastAsia="宋体" w:hAnsi="宋体" w:cs="宋体"/>
                <w:szCs w:val="18"/>
              </w:rPr>
              <w:t>营业收入</w:t>
            </w:r>
          </w:p>
        </w:tc>
        <w:tc>
          <w:tcPr>
            <w:tcW w:w="1928" w:type="dxa"/>
            <w:shd w:val="clear" w:color="auto" w:fill="FFFFFF" w:themeFill="background1"/>
            <w:vAlign w:val="center"/>
          </w:tcPr>
          <w:p w:rsidR="005E026D" w:rsidRPr="00A84678" w:rsidRDefault="00CC6257">
            <w:pPr>
              <w:spacing w:line="240" w:lineRule="exact"/>
              <w:jc w:val="right"/>
              <w:rPr>
                <w:rFonts w:ascii="宋体" w:eastAsia="宋体" w:hAnsi="宋体" w:cs="宋体"/>
                <w:szCs w:val="18"/>
              </w:rPr>
            </w:pPr>
            <w:r w:rsidRPr="00A84678">
              <w:rPr>
                <w:rFonts w:ascii="宋体" w:eastAsia="宋体" w:hAnsi="宋体" w:cs="宋体"/>
                <w:szCs w:val="18"/>
              </w:rPr>
              <w:t>559,296,786.09</w:t>
            </w:r>
          </w:p>
        </w:tc>
        <w:tc>
          <w:tcPr>
            <w:tcW w:w="1928" w:type="dxa"/>
            <w:shd w:val="clear" w:color="auto" w:fill="FFFFFF" w:themeFill="background1"/>
            <w:vAlign w:val="center"/>
          </w:tcPr>
          <w:p w:rsidR="005E026D" w:rsidRPr="00A84678" w:rsidRDefault="00CC6257">
            <w:pPr>
              <w:spacing w:line="240" w:lineRule="exact"/>
              <w:jc w:val="right"/>
              <w:rPr>
                <w:rFonts w:ascii="宋体" w:eastAsia="宋体" w:hAnsi="宋体" w:cs="宋体"/>
                <w:szCs w:val="18"/>
              </w:rPr>
            </w:pPr>
            <w:r w:rsidRPr="00A84678">
              <w:rPr>
                <w:rFonts w:ascii="宋体" w:eastAsia="宋体" w:hAnsi="宋体" w:cs="宋体"/>
                <w:szCs w:val="18"/>
              </w:rPr>
              <w:t>701,349,562.71</w:t>
            </w:r>
          </w:p>
        </w:tc>
        <w:tc>
          <w:tcPr>
            <w:tcW w:w="1928" w:type="dxa"/>
            <w:shd w:val="clear" w:color="auto" w:fill="FFFFFF" w:themeFill="background1"/>
            <w:vAlign w:val="center"/>
          </w:tcPr>
          <w:p w:rsidR="005E026D" w:rsidRPr="00A84678" w:rsidRDefault="00CC6257">
            <w:pPr>
              <w:spacing w:line="240" w:lineRule="exact"/>
              <w:jc w:val="right"/>
              <w:rPr>
                <w:rFonts w:ascii="宋体" w:eastAsia="宋体" w:hAnsi="宋体" w:cs="宋体"/>
                <w:szCs w:val="18"/>
              </w:rPr>
            </w:pPr>
            <w:r w:rsidRPr="00A84678">
              <w:rPr>
                <w:rFonts w:ascii="宋体" w:eastAsia="宋体" w:hAnsi="宋体" w:cs="宋体"/>
                <w:szCs w:val="18"/>
              </w:rPr>
              <w:t>558,626,395.75</w:t>
            </w:r>
          </w:p>
        </w:tc>
        <w:tc>
          <w:tcPr>
            <w:tcW w:w="2072" w:type="dxa"/>
            <w:shd w:val="clear" w:color="auto" w:fill="FFFFFF" w:themeFill="background1"/>
            <w:vAlign w:val="center"/>
          </w:tcPr>
          <w:p w:rsidR="005E026D" w:rsidRPr="00A84678" w:rsidRDefault="00CC6257">
            <w:pPr>
              <w:spacing w:line="240" w:lineRule="exact"/>
              <w:jc w:val="right"/>
              <w:rPr>
                <w:rFonts w:ascii="宋体" w:eastAsia="宋体" w:hAnsi="宋体" w:cs="宋体"/>
                <w:szCs w:val="18"/>
              </w:rPr>
            </w:pPr>
            <w:r w:rsidRPr="00A84678">
              <w:rPr>
                <w:rFonts w:ascii="宋体" w:eastAsia="宋体" w:hAnsi="宋体" w:cs="宋体"/>
                <w:szCs w:val="18"/>
              </w:rPr>
              <w:t>538,707,003.01</w:t>
            </w:r>
          </w:p>
        </w:tc>
      </w:tr>
      <w:tr w:rsidR="005E026D" w:rsidRPr="00A84678" w:rsidTr="00580E0C">
        <w:trPr>
          <w:trHeight w:val="240"/>
          <w:jc w:val="center"/>
        </w:trPr>
        <w:tc>
          <w:tcPr>
            <w:tcW w:w="1927" w:type="dxa"/>
            <w:shd w:val="clear" w:color="auto" w:fill="FFFFFF" w:themeFill="background1"/>
            <w:vAlign w:val="center"/>
          </w:tcPr>
          <w:p w:rsidR="005E026D" w:rsidRPr="00A84678" w:rsidRDefault="00CC6257">
            <w:pPr>
              <w:spacing w:before="40" w:after="40" w:line="240" w:lineRule="exact"/>
              <w:rPr>
                <w:rFonts w:ascii="宋体" w:eastAsia="宋体" w:hAnsi="宋体" w:cs="宋体"/>
                <w:szCs w:val="18"/>
              </w:rPr>
            </w:pPr>
            <w:r w:rsidRPr="00A84678">
              <w:rPr>
                <w:rFonts w:ascii="宋体" w:eastAsia="宋体" w:hAnsi="宋体" w:cs="宋体"/>
                <w:szCs w:val="18"/>
              </w:rPr>
              <w:t>归属于上市公司股东的净利润</w:t>
            </w:r>
          </w:p>
        </w:tc>
        <w:tc>
          <w:tcPr>
            <w:tcW w:w="1928" w:type="dxa"/>
            <w:shd w:val="clear" w:color="auto" w:fill="FFFFFF" w:themeFill="background1"/>
            <w:vAlign w:val="center"/>
          </w:tcPr>
          <w:p w:rsidR="005E026D" w:rsidRPr="00A84678" w:rsidRDefault="00CC6257">
            <w:pPr>
              <w:spacing w:line="240" w:lineRule="exact"/>
              <w:jc w:val="right"/>
              <w:rPr>
                <w:rFonts w:ascii="宋体" w:eastAsia="宋体" w:hAnsi="宋体" w:cs="宋体"/>
                <w:szCs w:val="18"/>
              </w:rPr>
            </w:pPr>
            <w:r w:rsidRPr="00A84678">
              <w:rPr>
                <w:rFonts w:ascii="宋体" w:eastAsia="宋体" w:hAnsi="宋体" w:cs="宋体"/>
                <w:szCs w:val="18"/>
              </w:rPr>
              <w:t>-186,871,532.37</w:t>
            </w:r>
          </w:p>
        </w:tc>
        <w:tc>
          <w:tcPr>
            <w:tcW w:w="1928" w:type="dxa"/>
            <w:shd w:val="clear" w:color="auto" w:fill="FFFFFF" w:themeFill="background1"/>
            <w:vAlign w:val="center"/>
          </w:tcPr>
          <w:p w:rsidR="005E026D" w:rsidRPr="00A84678" w:rsidRDefault="00CC6257">
            <w:pPr>
              <w:spacing w:line="240" w:lineRule="exact"/>
              <w:jc w:val="right"/>
              <w:rPr>
                <w:rFonts w:ascii="宋体" w:eastAsia="宋体" w:hAnsi="宋体" w:cs="宋体"/>
                <w:szCs w:val="18"/>
              </w:rPr>
            </w:pPr>
            <w:r w:rsidRPr="00A84678">
              <w:rPr>
                <w:rFonts w:ascii="宋体" w:eastAsia="宋体" w:hAnsi="宋体" w:cs="宋体"/>
                <w:szCs w:val="18"/>
              </w:rPr>
              <w:t>-78,899,414.65</w:t>
            </w:r>
          </w:p>
        </w:tc>
        <w:tc>
          <w:tcPr>
            <w:tcW w:w="1928" w:type="dxa"/>
            <w:shd w:val="clear" w:color="auto" w:fill="FFFFFF" w:themeFill="background1"/>
            <w:vAlign w:val="center"/>
          </w:tcPr>
          <w:p w:rsidR="005E026D" w:rsidRPr="00A84678" w:rsidRDefault="00CC6257">
            <w:pPr>
              <w:spacing w:line="240" w:lineRule="exact"/>
              <w:jc w:val="right"/>
              <w:rPr>
                <w:rFonts w:ascii="宋体" w:eastAsia="宋体" w:hAnsi="宋体" w:cs="宋体"/>
                <w:szCs w:val="18"/>
              </w:rPr>
            </w:pPr>
            <w:r w:rsidRPr="00A84678">
              <w:rPr>
                <w:rFonts w:ascii="宋体" w:eastAsia="宋体" w:hAnsi="宋体" w:cs="宋体"/>
                <w:szCs w:val="18"/>
              </w:rPr>
              <w:t>-187,780,961.90</w:t>
            </w:r>
          </w:p>
        </w:tc>
        <w:tc>
          <w:tcPr>
            <w:tcW w:w="2072" w:type="dxa"/>
            <w:shd w:val="clear" w:color="auto" w:fill="FFFFFF" w:themeFill="background1"/>
            <w:vAlign w:val="center"/>
          </w:tcPr>
          <w:p w:rsidR="005E026D" w:rsidRPr="00A84678" w:rsidRDefault="00CC6257">
            <w:pPr>
              <w:spacing w:line="240" w:lineRule="exact"/>
              <w:jc w:val="right"/>
              <w:rPr>
                <w:rFonts w:ascii="宋体" w:eastAsia="宋体" w:hAnsi="宋体" w:cs="宋体"/>
                <w:szCs w:val="18"/>
              </w:rPr>
            </w:pPr>
            <w:r w:rsidRPr="00A84678">
              <w:rPr>
                <w:rFonts w:ascii="宋体" w:eastAsia="宋体" w:hAnsi="宋体" w:cs="宋体"/>
                <w:szCs w:val="18"/>
              </w:rPr>
              <w:t>-720,574,146.68</w:t>
            </w:r>
          </w:p>
        </w:tc>
      </w:tr>
      <w:tr w:rsidR="005E026D" w:rsidRPr="00A84678" w:rsidTr="00580E0C">
        <w:trPr>
          <w:trHeight w:val="240"/>
          <w:jc w:val="center"/>
        </w:trPr>
        <w:tc>
          <w:tcPr>
            <w:tcW w:w="1927" w:type="dxa"/>
            <w:shd w:val="clear" w:color="auto" w:fill="FFFFFF" w:themeFill="background1"/>
            <w:vAlign w:val="center"/>
          </w:tcPr>
          <w:p w:rsidR="005E026D" w:rsidRPr="00A84678" w:rsidRDefault="00CC6257">
            <w:pPr>
              <w:spacing w:before="40" w:after="40" w:line="240" w:lineRule="exact"/>
              <w:rPr>
                <w:rFonts w:ascii="宋体" w:eastAsia="宋体" w:hAnsi="宋体" w:cs="宋体"/>
                <w:szCs w:val="18"/>
              </w:rPr>
            </w:pPr>
            <w:r w:rsidRPr="00A84678">
              <w:rPr>
                <w:rFonts w:ascii="宋体" w:eastAsia="宋体" w:hAnsi="宋体" w:cs="宋体"/>
                <w:szCs w:val="18"/>
              </w:rPr>
              <w:t>归属于上市公司股东的扣除非经常性损益的净利润</w:t>
            </w:r>
          </w:p>
        </w:tc>
        <w:tc>
          <w:tcPr>
            <w:tcW w:w="1928" w:type="dxa"/>
            <w:shd w:val="clear" w:color="auto" w:fill="FFFFFF" w:themeFill="background1"/>
            <w:vAlign w:val="center"/>
          </w:tcPr>
          <w:p w:rsidR="005E026D" w:rsidRPr="00A84678" w:rsidRDefault="00CC6257">
            <w:pPr>
              <w:spacing w:line="240" w:lineRule="exact"/>
              <w:jc w:val="right"/>
              <w:rPr>
                <w:rFonts w:ascii="宋体" w:eastAsia="宋体" w:hAnsi="宋体" w:cs="宋体"/>
                <w:szCs w:val="18"/>
              </w:rPr>
            </w:pPr>
            <w:r w:rsidRPr="00A84678">
              <w:rPr>
                <w:rFonts w:ascii="宋体" w:eastAsia="宋体" w:hAnsi="宋体" w:cs="宋体"/>
                <w:szCs w:val="18"/>
              </w:rPr>
              <w:t>-181,426,951.36</w:t>
            </w:r>
          </w:p>
        </w:tc>
        <w:tc>
          <w:tcPr>
            <w:tcW w:w="1928" w:type="dxa"/>
            <w:shd w:val="clear" w:color="auto" w:fill="FFFFFF" w:themeFill="background1"/>
            <w:vAlign w:val="center"/>
          </w:tcPr>
          <w:p w:rsidR="005E026D" w:rsidRPr="00A84678" w:rsidRDefault="00CC6257">
            <w:pPr>
              <w:spacing w:line="240" w:lineRule="exact"/>
              <w:jc w:val="right"/>
              <w:rPr>
                <w:rFonts w:ascii="宋体" w:eastAsia="宋体" w:hAnsi="宋体" w:cs="宋体"/>
                <w:szCs w:val="18"/>
              </w:rPr>
            </w:pPr>
            <w:r w:rsidRPr="00A84678">
              <w:rPr>
                <w:rFonts w:ascii="宋体" w:eastAsia="宋体" w:hAnsi="宋体" w:cs="宋体"/>
                <w:szCs w:val="18"/>
              </w:rPr>
              <w:t>-84,056,176.70</w:t>
            </w:r>
          </w:p>
        </w:tc>
        <w:tc>
          <w:tcPr>
            <w:tcW w:w="1928" w:type="dxa"/>
            <w:shd w:val="clear" w:color="auto" w:fill="FFFFFF" w:themeFill="background1"/>
            <w:vAlign w:val="center"/>
          </w:tcPr>
          <w:p w:rsidR="005E026D" w:rsidRPr="00A84678" w:rsidRDefault="00CC6257">
            <w:pPr>
              <w:spacing w:line="240" w:lineRule="exact"/>
              <w:jc w:val="right"/>
              <w:rPr>
                <w:rFonts w:ascii="宋体" w:eastAsia="宋体" w:hAnsi="宋体" w:cs="宋体"/>
                <w:szCs w:val="18"/>
              </w:rPr>
            </w:pPr>
            <w:r w:rsidRPr="00A84678">
              <w:rPr>
                <w:rFonts w:ascii="宋体" w:eastAsia="宋体" w:hAnsi="宋体" w:cs="宋体"/>
                <w:szCs w:val="18"/>
              </w:rPr>
              <w:t>-192,082,878.28</w:t>
            </w:r>
          </w:p>
        </w:tc>
        <w:tc>
          <w:tcPr>
            <w:tcW w:w="2072" w:type="dxa"/>
            <w:shd w:val="clear" w:color="auto" w:fill="FFFFFF" w:themeFill="background1"/>
            <w:vAlign w:val="center"/>
          </w:tcPr>
          <w:p w:rsidR="005E026D" w:rsidRPr="00A84678" w:rsidRDefault="00CC6257">
            <w:pPr>
              <w:spacing w:line="240" w:lineRule="exact"/>
              <w:jc w:val="right"/>
              <w:rPr>
                <w:rFonts w:ascii="宋体" w:eastAsia="宋体" w:hAnsi="宋体" w:cs="宋体"/>
                <w:szCs w:val="18"/>
              </w:rPr>
            </w:pPr>
            <w:r w:rsidRPr="00A84678">
              <w:rPr>
                <w:rFonts w:ascii="宋体" w:eastAsia="宋体" w:hAnsi="宋体" w:cs="宋体"/>
                <w:szCs w:val="18"/>
              </w:rPr>
              <w:t>-1,794,212,062.12</w:t>
            </w:r>
          </w:p>
        </w:tc>
      </w:tr>
      <w:tr w:rsidR="005E026D" w:rsidRPr="00A84678" w:rsidTr="00580E0C">
        <w:trPr>
          <w:trHeight w:val="240"/>
          <w:jc w:val="center"/>
        </w:trPr>
        <w:tc>
          <w:tcPr>
            <w:tcW w:w="1927" w:type="dxa"/>
            <w:shd w:val="clear" w:color="auto" w:fill="FFFFFF" w:themeFill="background1"/>
            <w:vAlign w:val="center"/>
          </w:tcPr>
          <w:p w:rsidR="005E026D" w:rsidRPr="00A84678" w:rsidRDefault="00CC6257">
            <w:pPr>
              <w:spacing w:before="40" w:after="40" w:line="240" w:lineRule="exact"/>
              <w:rPr>
                <w:rFonts w:ascii="宋体" w:eastAsia="宋体" w:hAnsi="宋体" w:cs="宋体"/>
                <w:szCs w:val="18"/>
              </w:rPr>
            </w:pPr>
            <w:r w:rsidRPr="00A84678">
              <w:rPr>
                <w:rFonts w:ascii="宋体" w:eastAsia="宋体" w:hAnsi="宋体" w:cs="宋体"/>
                <w:szCs w:val="18"/>
              </w:rPr>
              <w:t>经营活动产生的现金流量净额</w:t>
            </w:r>
          </w:p>
        </w:tc>
        <w:tc>
          <w:tcPr>
            <w:tcW w:w="1928" w:type="dxa"/>
            <w:shd w:val="clear" w:color="auto" w:fill="FFFFFF" w:themeFill="background1"/>
            <w:vAlign w:val="center"/>
          </w:tcPr>
          <w:p w:rsidR="005E026D" w:rsidRPr="00A84678" w:rsidRDefault="00CC6257">
            <w:pPr>
              <w:spacing w:line="240" w:lineRule="exact"/>
              <w:jc w:val="right"/>
              <w:rPr>
                <w:rFonts w:ascii="宋体" w:eastAsia="宋体" w:hAnsi="宋体" w:cs="宋体"/>
                <w:szCs w:val="18"/>
              </w:rPr>
            </w:pPr>
            <w:r w:rsidRPr="00A84678">
              <w:rPr>
                <w:rFonts w:ascii="宋体" w:eastAsia="宋体" w:hAnsi="宋体" w:cs="宋体"/>
                <w:szCs w:val="18"/>
              </w:rPr>
              <w:t>-45,994,366.29</w:t>
            </w:r>
          </w:p>
        </w:tc>
        <w:tc>
          <w:tcPr>
            <w:tcW w:w="1928" w:type="dxa"/>
            <w:shd w:val="clear" w:color="auto" w:fill="FFFFFF" w:themeFill="background1"/>
            <w:vAlign w:val="center"/>
          </w:tcPr>
          <w:p w:rsidR="005E026D" w:rsidRPr="00A84678" w:rsidRDefault="00CC6257">
            <w:pPr>
              <w:spacing w:line="240" w:lineRule="exact"/>
              <w:jc w:val="right"/>
              <w:rPr>
                <w:rFonts w:ascii="宋体" w:eastAsia="宋体" w:hAnsi="宋体" w:cs="宋体"/>
                <w:szCs w:val="18"/>
              </w:rPr>
            </w:pPr>
            <w:r w:rsidRPr="00A84678">
              <w:rPr>
                <w:rFonts w:ascii="宋体" w:eastAsia="宋体" w:hAnsi="宋体" w:cs="宋体"/>
                <w:szCs w:val="18"/>
              </w:rPr>
              <w:t>64,062,101.31</w:t>
            </w:r>
          </w:p>
        </w:tc>
        <w:tc>
          <w:tcPr>
            <w:tcW w:w="1928" w:type="dxa"/>
            <w:shd w:val="clear" w:color="auto" w:fill="FFFFFF" w:themeFill="background1"/>
            <w:vAlign w:val="center"/>
          </w:tcPr>
          <w:p w:rsidR="005E026D" w:rsidRPr="00A84678" w:rsidRDefault="00CC6257">
            <w:pPr>
              <w:spacing w:line="240" w:lineRule="exact"/>
              <w:jc w:val="right"/>
              <w:rPr>
                <w:rFonts w:ascii="宋体" w:eastAsia="宋体" w:hAnsi="宋体" w:cs="宋体"/>
                <w:szCs w:val="18"/>
              </w:rPr>
            </w:pPr>
            <w:r w:rsidRPr="00A84678">
              <w:rPr>
                <w:rFonts w:ascii="宋体" w:eastAsia="宋体" w:hAnsi="宋体" w:cs="宋体"/>
                <w:szCs w:val="18"/>
              </w:rPr>
              <w:t>-75,308,257.91</w:t>
            </w:r>
          </w:p>
        </w:tc>
        <w:tc>
          <w:tcPr>
            <w:tcW w:w="2072" w:type="dxa"/>
            <w:shd w:val="clear" w:color="auto" w:fill="FFFFFF" w:themeFill="background1"/>
            <w:vAlign w:val="center"/>
          </w:tcPr>
          <w:p w:rsidR="005E026D" w:rsidRPr="00A84678" w:rsidRDefault="00CC6257">
            <w:pPr>
              <w:spacing w:line="240" w:lineRule="exact"/>
              <w:jc w:val="right"/>
              <w:rPr>
                <w:rFonts w:ascii="宋体" w:eastAsia="宋体" w:hAnsi="宋体" w:cs="宋体"/>
                <w:szCs w:val="18"/>
              </w:rPr>
            </w:pPr>
            <w:r w:rsidRPr="00A84678">
              <w:rPr>
                <w:rFonts w:ascii="宋体" w:eastAsia="宋体" w:hAnsi="宋体" w:cs="宋体"/>
                <w:szCs w:val="18"/>
              </w:rPr>
              <w:t>-601,964,800.83</w:t>
            </w:r>
          </w:p>
        </w:tc>
      </w:tr>
    </w:tbl>
    <w:p w:rsidR="005E026D" w:rsidRPr="00C366AE" w:rsidRDefault="00CC6257" w:rsidP="00C366AE">
      <w:pPr>
        <w:spacing w:line="360" w:lineRule="auto"/>
        <w:rPr>
          <w:rFonts w:ascii="宋体" w:eastAsia="宋体" w:hAnsi="宋体" w:cs="宋体"/>
          <w:sz w:val="24"/>
          <w:szCs w:val="24"/>
        </w:rPr>
      </w:pPr>
      <w:r w:rsidRPr="00C366AE">
        <w:rPr>
          <w:rFonts w:ascii="宋体" w:eastAsia="宋体" w:hAnsi="宋体" w:cs="宋体"/>
          <w:sz w:val="24"/>
          <w:szCs w:val="24"/>
        </w:rPr>
        <w:t>上述财务指标或其加总数是否与公司已披露季度报告、半年度报告相关财务指标存在重大差异</w:t>
      </w:r>
    </w:p>
    <w:p w:rsidR="005E026D" w:rsidRPr="00C366AE" w:rsidRDefault="00CC6257" w:rsidP="00C366AE">
      <w:pPr>
        <w:spacing w:line="360" w:lineRule="auto"/>
        <w:rPr>
          <w:rFonts w:ascii="宋体" w:eastAsia="宋体" w:hAnsi="宋体" w:cs="宋体"/>
          <w:sz w:val="24"/>
          <w:szCs w:val="24"/>
        </w:rPr>
      </w:pPr>
      <w:r w:rsidRPr="00C366AE">
        <w:rPr>
          <w:rFonts w:ascii="宋体" w:eastAsia="宋体" w:hAnsi="宋体" w:cs="宋体"/>
          <w:sz w:val="24"/>
          <w:szCs w:val="24"/>
        </w:rPr>
        <w:sym w:font="Wingdings 2" w:char="F052"/>
      </w:r>
      <w:r w:rsidRPr="00C366AE">
        <w:rPr>
          <w:rFonts w:ascii="宋体" w:eastAsia="宋体" w:hAnsi="宋体" w:cs="宋体"/>
          <w:sz w:val="24"/>
          <w:szCs w:val="24"/>
        </w:rPr>
        <w:t>是 □否</w:t>
      </w:r>
    </w:p>
    <w:p w:rsidR="007954C7" w:rsidRPr="00C366AE" w:rsidRDefault="00CC6257" w:rsidP="00C366AE">
      <w:pPr>
        <w:pStyle w:val="a3"/>
        <w:spacing w:before="0" w:beforeAutospacing="0" w:after="0" w:afterAutospacing="0" w:line="360" w:lineRule="auto"/>
        <w:jc w:val="both"/>
        <w:divId w:val="1788809903"/>
      </w:pPr>
      <w:r w:rsidRPr="00C366AE">
        <w:rPr>
          <w:rFonts w:hint="eastAsia"/>
        </w:rPr>
        <w:t>   公司2024年开展了光伏电池片和组件业务，按照《企业会计准则第14号——收入》相关规定，公司判断该业务采用总额法确认收入。在后续业务履约过程中，公司综合考虑了相关事实与情况，包括（1）企业是否承担向客户转让商品的主要责任；（2）企业是否在转让商品之前或之后承担了该商品的存货风险；（3）企业是否有权自主决定所交易商品的价格。经公司审慎分析，并结合审计机构意见，基于谨慎性原则，公司对上述业务由“总额法”调整为“净额法”核算。 </w:t>
      </w:r>
    </w:p>
    <w:p w:rsidR="005E026D" w:rsidRPr="00C366AE" w:rsidRDefault="00CC6257">
      <w:pPr>
        <w:pStyle w:val="3"/>
        <w:spacing w:line="280" w:lineRule="exact"/>
        <w:jc w:val="left"/>
        <w:rPr>
          <w:rFonts w:ascii="宋体" w:hAnsi="宋体" w:cs="宋体"/>
          <w:b/>
          <w:bCs/>
          <w:szCs w:val="24"/>
        </w:rPr>
      </w:pPr>
      <w:bookmarkStart w:id="7" w:name="_Toc988896"/>
      <w:r w:rsidRPr="00C366AE">
        <w:rPr>
          <w:rFonts w:ascii="宋体" w:hAnsi="宋体" w:cs="宋体"/>
          <w:b/>
          <w:bCs/>
          <w:szCs w:val="24"/>
        </w:rPr>
        <w:t>4、股本及股东情况</w:t>
      </w:r>
      <w:bookmarkEnd w:id="7"/>
    </w:p>
    <w:p w:rsidR="005E026D" w:rsidRPr="00C366AE" w:rsidRDefault="00CC6257">
      <w:pPr>
        <w:keepNext/>
        <w:keepLines/>
        <w:spacing w:before="300" w:after="300" w:line="280" w:lineRule="exact"/>
        <w:outlineLvl w:val="3"/>
        <w:rPr>
          <w:rFonts w:ascii="宋体" w:eastAsia="宋体" w:hAnsi="宋体" w:cs="宋体"/>
          <w:b/>
          <w:bCs/>
          <w:sz w:val="24"/>
          <w:szCs w:val="24"/>
        </w:rPr>
      </w:pPr>
      <w:bookmarkStart w:id="8" w:name="_Toc988897"/>
      <w:r w:rsidRPr="00C366AE">
        <w:rPr>
          <w:rFonts w:ascii="宋体" w:eastAsia="宋体" w:hAnsi="宋体" w:cs="宋体"/>
          <w:b/>
          <w:bCs/>
          <w:sz w:val="24"/>
          <w:szCs w:val="24"/>
        </w:rPr>
        <w:t>（1） 普通股股东和表决权恢复的优先股股东数量及前10名股东持股情况表</w:t>
      </w:r>
      <w:bookmarkEnd w:id="8"/>
    </w:p>
    <w:p w:rsidR="005E026D" w:rsidRPr="00C366AE" w:rsidRDefault="00CC6257">
      <w:pPr>
        <w:spacing w:before="40" w:after="40" w:line="240" w:lineRule="exact"/>
        <w:jc w:val="right"/>
        <w:rPr>
          <w:rFonts w:ascii="宋体" w:eastAsia="宋体" w:hAnsi="宋体" w:cs="宋体"/>
          <w:sz w:val="24"/>
          <w:szCs w:val="18"/>
        </w:rPr>
      </w:pPr>
      <w:r w:rsidRPr="00C366AE">
        <w:rPr>
          <w:rFonts w:ascii="宋体" w:eastAsia="宋体" w:hAnsi="宋体" w:cs="宋体"/>
          <w:sz w:val="24"/>
          <w:szCs w:val="18"/>
        </w:rPr>
        <w:t>单位：股</w:t>
      </w:r>
    </w:p>
    <w:tbl>
      <w:tblPr>
        <w:tblW w:w="9639"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071"/>
        <w:gridCol w:w="1071"/>
        <w:gridCol w:w="1071"/>
        <w:gridCol w:w="1071"/>
        <w:gridCol w:w="1071"/>
        <w:gridCol w:w="1071"/>
        <w:gridCol w:w="1071"/>
        <w:gridCol w:w="1071"/>
        <w:gridCol w:w="1071"/>
      </w:tblGrid>
      <w:tr w:rsidR="005E026D" w:rsidRPr="00A6046C" w:rsidTr="00580E0C">
        <w:trPr>
          <w:trHeight w:val="240"/>
        </w:trPr>
        <w:tc>
          <w:tcPr>
            <w:tcW w:w="1071" w:type="dxa"/>
            <w:shd w:val="clear" w:color="auto" w:fill="FFFFFF" w:themeFill="background1"/>
            <w:vAlign w:val="center"/>
          </w:tcPr>
          <w:p w:rsidR="005E026D" w:rsidRPr="00A6046C" w:rsidRDefault="00CC6257">
            <w:pPr>
              <w:spacing w:before="40" w:after="40" w:line="240" w:lineRule="exact"/>
              <w:rPr>
                <w:rFonts w:ascii="宋体" w:eastAsia="宋体" w:hAnsi="宋体" w:cs="宋体"/>
                <w:szCs w:val="21"/>
              </w:rPr>
            </w:pPr>
            <w:r w:rsidRPr="00A6046C">
              <w:rPr>
                <w:rFonts w:ascii="宋体" w:eastAsia="宋体" w:hAnsi="宋体" w:cs="宋体"/>
                <w:szCs w:val="21"/>
              </w:rPr>
              <w:t>报告期末普通股股东总数</w:t>
            </w:r>
          </w:p>
        </w:tc>
        <w:tc>
          <w:tcPr>
            <w:tcW w:w="1071" w:type="dxa"/>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25,868</w:t>
            </w:r>
          </w:p>
        </w:tc>
        <w:tc>
          <w:tcPr>
            <w:tcW w:w="1071" w:type="dxa"/>
            <w:shd w:val="clear" w:color="auto" w:fill="FFFFFF" w:themeFill="background1"/>
            <w:vAlign w:val="center"/>
          </w:tcPr>
          <w:p w:rsidR="005E026D" w:rsidRPr="00A6046C" w:rsidRDefault="00CC6257">
            <w:pPr>
              <w:spacing w:before="40" w:after="40" w:line="240" w:lineRule="exact"/>
              <w:rPr>
                <w:rFonts w:ascii="宋体" w:eastAsia="宋体" w:hAnsi="宋体" w:cs="宋体"/>
                <w:szCs w:val="21"/>
              </w:rPr>
            </w:pPr>
            <w:r w:rsidRPr="00A6046C">
              <w:rPr>
                <w:rFonts w:ascii="宋体" w:eastAsia="宋体" w:hAnsi="宋体" w:cs="宋体"/>
                <w:szCs w:val="21"/>
              </w:rPr>
              <w:t>年度报告披露日前一个月末普通股股东总数</w:t>
            </w:r>
          </w:p>
        </w:tc>
        <w:tc>
          <w:tcPr>
            <w:tcW w:w="1071" w:type="dxa"/>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25,101</w:t>
            </w:r>
          </w:p>
        </w:tc>
        <w:tc>
          <w:tcPr>
            <w:tcW w:w="1071" w:type="dxa"/>
            <w:shd w:val="clear" w:color="auto" w:fill="FFFFFF" w:themeFill="background1"/>
            <w:vAlign w:val="center"/>
          </w:tcPr>
          <w:p w:rsidR="005E026D" w:rsidRPr="00A6046C" w:rsidRDefault="00CC6257">
            <w:pPr>
              <w:spacing w:before="40" w:after="40" w:line="240" w:lineRule="exact"/>
              <w:rPr>
                <w:rFonts w:ascii="宋体" w:eastAsia="宋体" w:hAnsi="宋体" w:cs="宋体"/>
                <w:szCs w:val="21"/>
              </w:rPr>
            </w:pPr>
            <w:r w:rsidRPr="00A6046C">
              <w:rPr>
                <w:rFonts w:ascii="宋体" w:eastAsia="宋体" w:hAnsi="宋体" w:cs="宋体"/>
                <w:szCs w:val="21"/>
              </w:rPr>
              <w:t>报告期末表决权恢复的优先股股东总数</w:t>
            </w:r>
          </w:p>
        </w:tc>
        <w:tc>
          <w:tcPr>
            <w:tcW w:w="1071" w:type="dxa"/>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0</w:t>
            </w:r>
          </w:p>
        </w:tc>
        <w:tc>
          <w:tcPr>
            <w:tcW w:w="2142" w:type="dxa"/>
            <w:gridSpan w:val="2"/>
            <w:shd w:val="clear" w:color="auto" w:fill="FFFFFF" w:themeFill="background1"/>
            <w:vAlign w:val="center"/>
          </w:tcPr>
          <w:p w:rsidR="005E026D" w:rsidRPr="00A6046C" w:rsidRDefault="00CC6257">
            <w:pPr>
              <w:spacing w:before="40" w:after="40" w:line="240" w:lineRule="exact"/>
              <w:rPr>
                <w:rFonts w:ascii="宋体" w:eastAsia="宋体" w:hAnsi="宋体" w:cs="宋体"/>
                <w:szCs w:val="21"/>
              </w:rPr>
            </w:pPr>
            <w:r w:rsidRPr="00A6046C">
              <w:rPr>
                <w:rFonts w:ascii="宋体" w:eastAsia="宋体" w:hAnsi="宋体" w:cs="宋体"/>
                <w:szCs w:val="21"/>
              </w:rPr>
              <w:t>年度报告披露日前一个月末表决权恢复的优先股股东总数</w:t>
            </w:r>
          </w:p>
        </w:tc>
        <w:tc>
          <w:tcPr>
            <w:tcW w:w="1071" w:type="dxa"/>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0</w:t>
            </w:r>
          </w:p>
        </w:tc>
      </w:tr>
      <w:tr w:rsidR="005E026D" w:rsidRPr="00A6046C" w:rsidTr="00580E0C">
        <w:trPr>
          <w:trHeight w:val="240"/>
        </w:trPr>
        <w:tc>
          <w:tcPr>
            <w:tcW w:w="9639" w:type="dxa"/>
            <w:gridSpan w:val="9"/>
            <w:shd w:val="clear" w:color="auto" w:fill="FFFFFF" w:themeFill="background1"/>
            <w:vAlign w:val="center"/>
          </w:tcPr>
          <w:p w:rsidR="005E026D" w:rsidRPr="00A6046C" w:rsidRDefault="00CC6257">
            <w:pPr>
              <w:spacing w:before="40" w:after="40" w:line="240" w:lineRule="exact"/>
              <w:jc w:val="center"/>
              <w:rPr>
                <w:rFonts w:ascii="宋体" w:eastAsia="宋体" w:hAnsi="宋体" w:cs="宋体"/>
                <w:szCs w:val="21"/>
              </w:rPr>
            </w:pPr>
            <w:r w:rsidRPr="00A6046C">
              <w:rPr>
                <w:rFonts w:ascii="宋体" w:eastAsia="宋体" w:hAnsi="宋体" w:cs="宋体"/>
                <w:szCs w:val="21"/>
              </w:rPr>
              <w:t>前10名股东持股情况（不含通过转融通出借股份）</w:t>
            </w:r>
          </w:p>
        </w:tc>
      </w:tr>
      <w:tr w:rsidR="005E026D" w:rsidRPr="00A6046C" w:rsidTr="00580E0C">
        <w:trPr>
          <w:trHeight w:val="240"/>
        </w:trPr>
        <w:tc>
          <w:tcPr>
            <w:tcW w:w="1071" w:type="dxa"/>
            <w:vMerge w:val="restart"/>
            <w:shd w:val="clear" w:color="auto" w:fill="FFFFFF" w:themeFill="background1"/>
            <w:vAlign w:val="center"/>
          </w:tcPr>
          <w:p w:rsidR="005E026D" w:rsidRPr="00A6046C" w:rsidRDefault="00CC6257">
            <w:pPr>
              <w:spacing w:before="40" w:after="40" w:line="240" w:lineRule="exact"/>
              <w:jc w:val="center"/>
              <w:rPr>
                <w:rFonts w:ascii="宋体" w:eastAsia="宋体" w:hAnsi="宋体" w:cs="宋体"/>
                <w:szCs w:val="21"/>
              </w:rPr>
            </w:pPr>
            <w:r w:rsidRPr="00A6046C">
              <w:rPr>
                <w:rFonts w:ascii="宋体" w:eastAsia="宋体" w:hAnsi="宋体" w:cs="宋体"/>
                <w:szCs w:val="21"/>
              </w:rPr>
              <w:t>股东名称</w:t>
            </w:r>
          </w:p>
        </w:tc>
        <w:tc>
          <w:tcPr>
            <w:tcW w:w="1071" w:type="dxa"/>
            <w:vMerge w:val="restart"/>
            <w:shd w:val="clear" w:color="auto" w:fill="FFFFFF" w:themeFill="background1"/>
            <w:vAlign w:val="center"/>
          </w:tcPr>
          <w:p w:rsidR="005E026D" w:rsidRPr="00A6046C" w:rsidRDefault="00CC6257">
            <w:pPr>
              <w:spacing w:before="40" w:after="40" w:line="240" w:lineRule="exact"/>
              <w:jc w:val="center"/>
              <w:rPr>
                <w:rFonts w:ascii="宋体" w:eastAsia="宋体" w:hAnsi="宋体" w:cs="宋体"/>
                <w:szCs w:val="21"/>
              </w:rPr>
            </w:pPr>
            <w:r w:rsidRPr="00A6046C">
              <w:rPr>
                <w:rFonts w:ascii="宋体" w:eastAsia="宋体" w:hAnsi="宋体" w:cs="宋体"/>
                <w:szCs w:val="21"/>
              </w:rPr>
              <w:t>股东性质</w:t>
            </w:r>
          </w:p>
        </w:tc>
        <w:tc>
          <w:tcPr>
            <w:tcW w:w="1071" w:type="dxa"/>
            <w:vMerge w:val="restart"/>
            <w:shd w:val="clear" w:color="auto" w:fill="FFFFFF" w:themeFill="background1"/>
            <w:vAlign w:val="center"/>
          </w:tcPr>
          <w:p w:rsidR="005E026D" w:rsidRPr="00A6046C" w:rsidRDefault="00CC6257">
            <w:pPr>
              <w:spacing w:before="40" w:after="40" w:line="240" w:lineRule="exact"/>
              <w:jc w:val="center"/>
              <w:rPr>
                <w:rFonts w:ascii="宋体" w:eastAsia="宋体" w:hAnsi="宋体" w:cs="宋体"/>
                <w:szCs w:val="21"/>
              </w:rPr>
            </w:pPr>
            <w:r w:rsidRPr="00A6046C">
              <w:rPr>
                <w:rFonts w:ascii="宋体" w:eastAsia="宋体" w:hAnsi="宋体" w:cs="宋体"/>
                <w:szCs w:val="21"/>
              </w:rPr>
              <w:t>持股比例</w:t>
            </w:r>
          </w:p>
        </w:tc>
        <w:tc>
          <w:tcPr>
            <w:tcW w:w="2142" w:type="dxa"/>
            <w:gridSpan w:val="2"/>
            <w:vMerge w:val="restart"/>
            <w:shd w:val="clear" w:color="auto" w:fill="FFFFFF" w:themeFill="background1"/>
            <w:vAlign w:val="center"/>
          </w:tcPr>
          <w:p w:rsidR="005E026D" w:rsidRPr="00A6046C" w:rsidRDefault="00CC6257">
            <w:pPr>
              <w:spacing w:before="40" w:after="40" w:line="240" w:lineRule="exact"/>
              <w:jc w:val="center"/>
              <w:rPr>
                <w:rFonts w:ascii="宋体" w:eastAsia="宋体" w:hAnsi="宋体" w:cs="宋体"/>
                <w:szCs w:val="21"/>
              </w:rPr>
            </w:pPr>
            <w:r w:rsidRPr="00A6046C">
              <w:rPr>
                <w:rFonts w:ascii="宋体" w:eastAsia="宋体" w:hAnsi="宋体" w:cs="宋体"/>
                <w:szCs w:val="21"/>
              </w:rPr>
              <w:t>持股数量</w:t>
            </w:r>
          </w:p>
        </w:tc>
        <w:tc>
          <w:tcPr>
            <w:tcW w:w="2142" w:type="dxa"/>
            <w:gridSpan w:val="2"/>
            <w:vMerge w:val="restart"/>
            <w:shd w:val="clear" w:color="auto" w:fill="FFFFFF" w:themeFill="background1"/>
            <w:vAlign w:val="center"/>
          </w:tcPr>
          <w:p w:rsidR="005E026D" w:rsidRPr="00A6046C" w:rsidRDefault="00CC6257">
            <w:pPr>
              <w:spacing w:before="40" w:after="40" w:line="240" w:lineRule="exact"/>
              <w:jc w:val="center"/>
              <w:rPr>
                <w:rFonts w:ascii="宋体" w:eastAsia="宋体" w:hAnsi="宋体" w:cs="宋体"/>
                <w:szCs w:val="21"/>
              </w:rPr>
            </w:pPr>
            <w:r w:rsidRPr="00A6046C">
              <w:rPr>
                <w:rFonts w:ascii="宋体" w:eastAsia="宋体" w:hAnsi="宋体" w:cs="宋体"/>
                <w:szCs w:val="21"/>
              </w:rPr>
              <w:t>持有有限</w:t>
            </w:r>
            <w:proofErr w:type="gramStart"/>
            <w:r w:rsidRPr="00A6046C">
              <w:rPr>
                <w:rFonts w:ascii="宋体" w:eastAsia="宋体" w:hAnsi="宋体" w:cs="宋体"/>
                <w:szCs w:val="21"/>
              </w:rPr>
              <w:t>售条件</w:t>
            </w:r>
            <w:proofErr w:type="gramEnd"/>
            <w:r w:rsidRPr="00A6046C">
              <w:rPr>
                <w:rFonts w:ascii="宋体" w:eastAsia="宋体" w:hAnsi="宋体" w:cs="宋体"/>
                <w:szCs w:val="21"/>
              </w:rPr>
              <w:t>的股份数量</w:t>
            </w:r>
          </w:p>
        </w:tc>
        <w:tc>
          <w:tcPr>
            <w:tcW w:w="2142" w:type="dxa"/>
            <w:gridSpan w:val="2"/>
            <w:shd w:val="clear" w:color="auto" w:fill="FFFFFF" w:themeFill="background1"/>
            <w:vAlign w:val="center"/>
          </w:tcPr>
          <w:p w:rsidR="005E026D" w:rsidRPr="00A6046C" w:rsidRDefault="00CC6257">
            <w:pPr>
              <w:spacing w:before="40" w:after="40" w:line="240" w:lineRule="exact"/>
              <w:jc w:val="center"/>
              <w:rPr>
                <w:rFonts w:ascii="宋体" w:eastAsia="宋体" w:hAnsi="宋体" w:cs="宋体"/>
                <w:szCs w:val="21"/>
              </w:rPr>
            </w:pPr>
            <w:r w:rsidRPr="00A6046C">
              <w:rPr>
                <w:rFonts w:ascii="宋体" w:eastAsia="宋体" w:hAnsi="宋体" w:cs="宋体"/>
                <w:szCs w:val="21"/>
              </w:rPr>
              <w:t>质押、标记或冻结情况</w:t>
            </w:r>
          </w:p>
        </w:tc>
      </w:tr>
      <w:tr w:rsidR="005E026D" w:rsidRPr="00A6046C" w:rsidTr="00580E0C">
        <w:trPr>
          <w:trHeight w:val="240"/>
        </w:trPr>
        <w:tc>
          <w:tcPr>
            <w:tcW w:w="1071" w:type="dxa"/>
            <w:vMerge/>
            <w:shd w:val="clear" w:color="auto" w:fill="FFFFFF" w:themeFill="background1"/>
            <w:vAlign w:val="center"/>
          </w:tcPr>
          <w:p w:rsidR="005E026D" w:rsidRPr="00A6046C" w:rsidRDefault="005E026D">
            <w:pPr>
              <w:rPr>
                <w:szCs w:val="21"/>
              </w:rPr>
            </w:pPr>
          </w:p>
        </w:tc>
        <w:tc>
          <w:tcPr>
            <w:tcW w:w="1071" w:type="dxa"/>
            <w:vMerge/>
            <w:shd w:val="clear" w:color="auto" w:fill="FFFFFF" w:themeFill="background1"/>
            <w:vAlign w:val="center"/>
          </w:tcPr>
          <w:p w:rsidR="005E026D" w:rsidRPr="00A6046C" w:rsidRDefault="005E026D">
            <w:pPr>
              <w:rPr>
                <w:szCs w:val="21"/>
              </w:rPr>
            </w:pPr>
          </w:p>
        </w:tc>
        <w:tc>
          <w:tcPr>
            <w:tcW w:w="1071" w:type="dxa"/>
            <w:vMerge/>
            <w:shd w:val="clear" w:color="auto" w:fill="FFFFFF" w:themeFill="background1"/>
            <w:vAlign w:val="center"/>
          </w:tcPr>
          <w:p w:rsidR="005E026D" w:rsidRPr="00A6046C" w:rsidRDefault="005E026D">
            <w:pPr>
              <w:rPr>
                <w:szCs w:val="21"/>
              </w:rPr>
            </w:pPr>
          </w:p>
        </w:tc>
        <w:tc>
          <w:tcPr>
            <w:tcW w:w="2142" w:type="dxa"/>
            <w:gridSpan w:val="2"/>
            <w:vMerge/>
            <w:shd w:val="clear" w:color="auto" w:fill="FFFFFF" w:themeFill="background1"/>
            <w:vAlign w:val="center"/>
          </w:tcPr>
          <w:p w:rsidR="005E026D" w:rsidRPr="00A6046C" w:rsidRDefault="005E026D">
            <w:pPr>
              <w:rPr>
                <w:szCs w:val="21"/>
              </w:rPr>
            </w:pPr>
          </w:p>
        </w:tc>
        <w:tc>
          <w:tcPr>
            <w:tcW w:w="2142" w:type="dxa"/>
            <w:gridSpan w:val="2"/>
            <w:vMerge/>
            <w:shd w:val="clear" w:color="auto" w:fill="FFFFFF" w:themeFill="background1"/>
            <w:vAlign w:val="center"/>
          </w:tcPr>
          <w:p w:rsidR="005E026D" w:rsidRPr="00A6046C" w:rsidRDefault="005E026D">
            <w:pPr>
              <w:rPr>
                <w:szCs w:val="21"/>
              </w:rPr>
            </w:pPr>
          </w:p>
        </w:tc>
        <w:tc>
          <w:tcPr>
            <w:tcW w:w="1071" w:type="dxa"/>
            <w:shd w:val="clear" w:color="auto" w:fill="FFFFFF" w:themeFill="background1"/>
            <w:vAlign w:val="center"/>
          </w:tcPr>
          <w:p w:rsidR="005E026D" w:rsidRPr="00A6046C" w:rsidRDefault="00CC6257">
            <w:pPr>
              <w:spacing w:before="40" w:after="40" w:line="240" w:lineRule="exact"/>
              <w:jc w:val="center"/>
              <w:rPr>
                <w:rFonts w:ascii="宋体" w:eastAsia="宋体" w:hAnsi="宋体" w:cs="宋体"/>
                <w:szCs w:val="21"/>
              </w:rPr>
            </w:pPr>
            <w:r w:rsidRPr="00A6046C">
              <w:rPr>
                <w:rFonts w:ascii="宋体" w:eastAsia="宋体" w:hAnsi="宋体" w:cs="宋体"/>
                <w:szCs w:val="21"/>
              </w:rPr>
              <w:t>股份状态</w:t>
            </w:r>
          </w:p>
        </w:tc>
        <w:tc>
          <w:tcPr>
            <w:tcW w:w="1071" w:type="dxa"/>
            <w:shd w:val="clear" w:color="auto" w:fill="FFFFFF" w:themeFill="background1"/>
            <w:vAlign w:val="center"/>
          </w:tcPr>
          <w:p w:rsidR="005E026D" w:rsidRPr="00A6046C" w:rsidRDefault="00CC6257">
            <w:pPr>
              <w:spacing w:before="40" w:after="40" w:line="240" w:lineRule="exact"/>
              <w:jc w:val="center"/>
              <w:rPr>
                <w:rFonts w:ascii="宋体" w:eastAsia="宋体" w:hAnsi="宋体" w:cs="宋体"/>
                <w:szCs w:val="21"/>
              </w:rPr>
            </w:pPr>
            <w:r w:rsidRPr="00A6046C">
              <w:rPr>
                <w:rFonts w:ascii="宋体" w:eastAsia="宋体" w:hAnsi="宋体" w:cs="宋体"/>
                <w:szCs w:val="21"/>
              </w:rPr>
              <w:t>数量</w:t>
            </w:r>
          </w:p>
        </w:tc>
      </w:tr>
      <w:tr w:rsidR="005E026D" w:rsidRPr="00A6046C" w:rsidTr="00580E0C">
        <w:trPr>
          <w:trHeight w:val="240"/>
        </w:trPr>
        <w:tc>
          <w:tcPr>
            <w:tcW w:w="1071" w:type="dxa"/>
            <w:shd w:val="clear" w:color="auto" w:fill="FFFFFF" w:themeFill="background1"/>
            <w:vAlign w:val="center"/>
          </w:tcPr>
          <w:p w:rsidR="005E026D" w:rsidRPr="00A6046C" w:rsidRDefault="00CC6257">
            <w:pPr>
              <w:spacing w:line="240" w:lineRule="exact"/>
              <w:rPr>
                <w:rFonts w:ascii="宋体" w:eastAsia="宋体" w:hAnsi="宋体" w:cs="宋体"/>
                <w:szCs w:val="21"/>
              </w:rPr>
            </w:pPr>
            <w:r w:rsidRPr="00A6046C">
              <w:rPr>
                <w:rFonts w:ascii="宋体" w:eastAsia="宋体" w:hAnsi="宋体" w:cs="宋体"/>
                <w:szCs w:val="21"/>
              </w:rPr>
              <w:t>常熟光</w:t>
            </w:r>
            <w:proofErr w:type="gramStart"/>
            <w:r w:rsidRPr="00A6046C">
              <w:rPr>
                <w:rFonts w:ascii="宋体" w:eastAsia="宋体" w:hAnsi="宋体" w:cs="宋体"/>
                <w:szCs w:val="21"/>
              </w:rPr>
              <w:t>晟</w:t>
            </w:r>
            <w:proofErr w:type="gramEnd"/>
            <w:r w:rsidRPr="00A6046C">
              <w:rPr>
                <w:rFonts w:ascii="宋体" w:eastAsia="宋体" w:hAnsi="宋体" w:cs="宋体"/>
                <w:szCs w:val="21"/>
              </w:rPr>
              <w:t>新能源有限公司</w:t>
            </w:r>
          </w:p>
        </w:tc>
        <w:tc>
          <w:tcPr>
            <w:tcW w:w="1071" w:type="dxa"/>
            <w:shd w:val="clear" w:color="auto" w:fill="FFFFFF" w:themeFill="background1"/>
            <w:vAlign w:val="center"/>
          </w:tcPr>
          <w:p w:rsidR="005E026D" w:rsidRPr="00A6046C" w:rsidRDefault="00CC6257">
            <w:pPr>
              <w:spacing w:line="240" w:lineRule="exact"/>
              <w:rPr>
                <w:rFonts w:ascii="宋体" w:eastAsia="宋体" w:hAnsi="宋体" w:cs="宋体"/>
                <w:szCs w:val="21"/>
              </w:rPr>
            </w:pPr>
            <w:r w:rsidRPr="00A6046C">
              <w:rPr>
                <w:rFonts w:ascii="宋体" w:eastAsia="宋体" w:hAnsi="宋体" w:cs="宋体"/>
                <w:szCs w:val="21"/>
              </w:rPr>
              <w:t>国有法人</w:t>
            </w:r>
          </w:p>
        </w:tc>
        <w:tc>
          <w:tcPr>
            <w:tcW w:w="1071" w:type="dxa"/>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20.00%</w:t>
            </w:r>
          </w:p>
        </w:tc>
        <w:tc>
          <w:tcPr>
            <w:tcW w:w="2142" w:type="dxa"/>
            <w:gridSpan w:val="2"/>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601,533,077</w:t>
            </w:r>
          </w:p>
        </w:tc>
        <w:tc>
          <w:tcPr>
            <w:tcW w:w="2142" w:type="dxa"/>
            <w:gridSpan w:val="2"/>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601,533,077</w:t>
            </w:r>
          </w:p>
        </w:tc>
        <w:tc>
          <w:tcPr>
            <w:tcW w:w="1071" w:type="dxa"/>
            <w:shd w:val="clear" w:color="auto" w:fill="FFFFFF" w:themeFill="background1"/>
            <w:vAlign w:val="center"/>
          </w:tcPr>
          <w:p w:rsidR="005E026D" w:rsidRPr="00A6046C" w:rsidRDefault="00CC6257">
            <w:pPr>
              <w:spacing w:line="240" w:lineRule="exact"/>
              <w:rPr>
                <w:rFonts w:ascii="宋体" w:eastAsia="宋体" w:hAnsi="宋体" w:cs="宋体"/>
                <w:szCs w:val="21"/>
              </w:rPr>
            </w:pPr>
            <w:r w:rsidRPr="00A6046C">
              <w:rPr>
                <w:rFonts w:ascii="宋体" w:eastAsia="宋体" w:hAnsi="宋体" w:cs="宋体"/>
                <w:szCs w:val="21"/>
              </w:rPr>
              <w:t>不适用</w:t>
            </w:r>
          </w:p>
        </w:tc>
        <w:tc>
          <w:tcPr>
            <w:tcW w:w="1071" w:type="dxa"/>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0</w:t>
            </w:r>
          </w:p>
        </w:tc>
      </w:tr>
      <w:tr w:rsidR="005E026D" w:rsidRPr="00A6046C" w:rsidTr="00580E0C">
        <w:trPr>
          <w:trHeight w:val="240"/>
        </w:trPr>
        <w:tc>
          <w:tcPr>
            <w:tcW w:w="1071" w:type="dxa"/>
            <w:shd w:val="clear" w:color="auto" w:fill="FFFFFF" w:themeFill="background1"/>
            <w:vAlign w:val="center"/>
          </w:tcPr>
          <w:p w:rsidR="005E026D" w:rsidRPr="00A6046C" w:rsidRDefault="00CC6257">
            <w:pPr>
              <w:spacing w:line="240" w:lineRule="exact"/>
              <w:rPr>
                <w:rFonts w:ascii="宋体" w:eastAsia="宋体" w:hAnsi="宋体" w:cs="宋体"/>
                <w:szCs w:val="21"/>
              </w:rPr>
            </w:pPr>
            <w:r w:rsidRPr="00A6046C">
              <w:rPr>
                <w:rFonts w:ascii="宋体" w:eastAsia="宋体" w:hAnsi="宋体" w:cs="宋体"/>
                <w:szCs w:val="21"/>
              </w:rPr>
              <w:t>江苏中利集团股份</w:t>
            </w:r>
            <w:r w:rsidRPr="00A6046C">
              <w:rPr>
                <w:rFonts w:ascii="宋体" w:eastAsia="宋体" w:hAnsi="宋体" w:cs="宋体"/>
                <w:szCs w:val="21"/>
              </w:rPr>
              <w:lastRenderedPageBreak/>
              <w:t>有限公司破产企业财产处置专用账户</w:t>
            </w:r>
          </w:p>
        </w:tc>
        <w:tc>
          <w:tcPr>
            <w:tcW w:w="1071" w:type="dxa"/>
            <w:shd w:val="clear" w:color="auto" w:fill="FFFFFF" w:themeFill="background1"/>
            <w:vAlign w:val="center"/>
          </w:tcPr>
          <w:p w:rsidR="005E026D" w:rsidRPr="00A6046C" w:rsidRDefault="00CC6257">
            <w:pPr>
              <w:spacing w:line="240" w:lineRule="exact"/>
              <w:rPr>
                <w:rFonts w:ascii="宋体" w:eastAsia="宋体" w:hAnsi="宋体" w:cs="宋体"/>
                <w:szCs w:val="21"/>
              </w:rPr>
            </w:pPr>
            <w:r w:rsidRPr="00A6046C">
              <w:rPr>
                <w:rFonts w:ascii="宋体" w:eastAsia="宋体" w:hAnsi="宋体" w:cs="宋体"/>
                <w:szCs w:val="21"/>
              </w:rPr>
              <w:lastRenderedPageBreak/>
              <w:t>其他</w:t>
            </w:r>
          </w:p>
        </w:tc>
        <w:tc>
          <w:tcPr>
            <w:tcW w:w="1071" w:type="dxa"/>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14.21%</w:t>
            </w:r>
          </w:p>
        </w:tc>
        <w:tc>
          <w:tcPr>
            <w:tcW w:w="2142" w:type="dxa"/>
            <w:gridSpan w:val="2"/>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427,280,046</w:t>
            </w:r>
          </w:p>
        </w:tc>
        <w:tc>
          <w:tcPr>
            <w:tcW w:w="2142" w:type="dxa"/>
            <w:gridSpan w:val="2"/>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79,415,468</w:t>
            </w:r>
          </w:p>
        </w:tc>
        <w:tc>
          <w:tcPr>
            <w:tcW w:w="1071" w:type="dxa"/>
            <w:shd w:val="clear" w:color="auto" w:fill="FFFFFF" w:themeFill="background1"/>
            <w:vAlign w:val="center"/>
          </w:tcPr>
          <w:p w:rsidR="005E026D" w:rsidRPr="00A6046C" w:rsidRDefault="00CC6257">
            <w:pPr>
              <w:spacing w:line="240" w:lineRule="exact"/>
              <w:rPr>
                <w:rFonts w:ascii="宋体" w:eastAsia="宋体" w:hAnsi="宋体" w:cs="宋体"/>
                <w:szCs w:val="21"/>
              </w:rPr>
            </w:pPr>
            <w:r w:rsidRPr="00A6046C">
              <w:rPr>
                <w:rFonts w:ascii="宋体" w:eastAsia="宋体" w:hAnsi="宋体" w:cs="宋体"/>
                <w:szCs w:val="21"/>
              </w:rPr>
              <w:t>不适用</w:t>
            </w:r>
          </w:p>
        </w:tc>
        <w:tc>
          <w:tcPr>
            <w:tcW w:w="1071" w:type="dxa"/>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0</w:t>
            </w:r>
          </w:p>
        </w:tc>
      </w:tr>
      <w:tr w:rsidR="005E026D" w:rsidRPr="00A6046C" w:rsidTr="00580E0C">
        <w:trPr>
          <w:trHeight w:val="240"/>
        </w:trPr>
        <w:tc>
          <w:tcPr>
            <w:tcW w:w="1071" w:type="dxa"/>
            <w:shd w:val="clear" w:color="auto" w:fill="FFFFFF" w:themeFill="background1"/>
            <w:vAlign w:val="center"/>
          </w:tcPr>
          <w:p w:rsidR="005E026D" w:rsidRPr="00A6046C" w:rsidRDefault="00CC6257">
            <w:pPr>
              <w:spacing w:line="240" w:lineRule="exact"/>
              <w:rPr>
                <w:rFonts w:ascii="宋体" w:eastAsia="宋体" w:hAnsi="宋体" w:cs="宋体"/>
                <w:szCs w:val="21"/>
              </w:rPr>
            </w:pPr>
            <w:r w:rsidRPr="00A6046C">
              <w:rPr>
                <w:rFonts w:ascii="宋体" w:eastAsia="宋体" w:hAnsi="宋体" w:cs="宋体"/>
                <w:szCs w:val="21"/>
              </w:rPr>
              <w:t>杜月姣</w:t>
            </w:r>
          </w:p>
        </w:tc>
        <w:tc>
          <w:tcPr>
            <w:tcW w:w="1071" w:type="dxa"/>
            <w:shd w:val="clear" w:color="auto" w:fill="FFFFFF" w:themeFill="background1"/>
            <w:vAlign w:val="center"/>
          </w:tcPr>
          <w:p w:rsidR="005E026D" w:rsidRPr="00A6046C" w:rsidRDefault="00CC6257">
            <w:pPr>
              <w:spacing w:line="240" w:lineRule="exact"/>
              <w:rPr>
                <w:rFonts w:ascii="宋体" w:eastAsia="宋体" w:hAnsi="宋体" w:cs="宋体"/>
                <w:szCs w:val="21"/>
              </w:rPr>
            </w:pPr>
            <w:r w:rsidRPr="00A6046C">
              <w:rPr>
                <w:rFonts w:ascii="宋体" w:eastAsia="宋体" w:hAnsi="宋体" w:cs="宋体"/>
                <w:szCs w:val="21"/>
              </w:rPr>
              <w:t>境内自然人</w:t>
            </w:r>
          </w:p>
        </w:tc>
        <w:tc>
          <w:tcPr>
            <w:tcW w:w="1071" w:type="dxa"/>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4.99%</w:t>
            </w:r>
          </w:p>
        </w:tc>
        <w:tc>
          <w:tcPr>
            <w:tcW w:w="2142" w:type="dxa"/>
            <w:gridSpan w:val="2"/>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150,000,000</w:t>
            </w:r>
          </w:p>
        </w:tc>
        <w:tc>
          <w:tcPr>
            <w:tcW w:w="2142" w:type="dxa"/>
            <w:gridSpan w:val="2"/>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150,000,000</w:t>
            </w:r>
          </w:p>
        </w:tc>
        <w:tc>
          <w:tcPr>
            <w:tcW w:w="1071" w:type="dxa"/>
            <w:shd w:val="clear" w:color="auto" w:fill="FFFFFF" w:themeFill="background1"/>
            <w:vAlign w:val="center"/>
          </w:tcPr>
          <w:p w:rsidR="005E026D" w:rsidRPr="00A6046C" w:rsidRDefault="00CC6257">
            <w:pPr>
              <w:spacing w:line="240" w:lineRule="exact"/>
              <w:rPr>
                <w:rFonts w:ascii="宋体" w:eastAsia="宋体" w:hAnsi="宋体" w:cs="宋体"/>
                <w:szCs w:val="21"/>
              </w:rPr>
            </w:pPr>
            <w:r w:rsidRPr="00A6046C">
              <w:rPr>
                <w:rFonts w:ascii="宋体" w:eastAsia="宋体" w:hAnsi="宋体" w:cs="宋体"/>
                <w:szCs w:val="21"/>
              </w:rPr>
              <w:t>不适用</w:t>
            </w:r>
          </w:p>
        </w:tc>
        <w:tc>
          <w:tcPr>
            <w:tcW w:w="1071" w:type="dxa"/>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0</w:t>
            </w:r>
          </w:p>
        </w:tc>
      </w:tr>
      <w:tr w:rsidR="005E026D" w:rsidRPr="00A6046C" w:rsidTr="00580E0C">
        <w:trPr>
          <w:trHeight w:val="240"/>
        </w:trPr>
        <w:tc>
          <w:tcPr>
            <w:tcW w:w="1071" w:type="dxa"/>
            <w:shd w:val="clear" w:color="auto" w:fill="FFFFFF" w:themeFill="background1"/>
            <w:vAlign w:val="center"/>
          </w:tcPr>
          <w:p w:rsidR="005E026D" w:rsidRPr="00A6046C" w:rsidRDefault="00CC6257">
            <w:pPr>
              <w:spacing w:line="240" w:lineRule="exact"/>
              <w:rPr>
                <w:rFonts w:ascii="宋体" w:eastAsia="宋体" w:hAnsi="宋体" w:cs="宋体"/>
                <w:szCs w:val="21"/>
              </w:rPr>
            </w:pPr>
            <w:r w:rsidRPr="00A6046C">
              <w:rPr>
                <w:rFonts w:ascii="宋体" w:eastAsia="宋体" w:hAnsi="宋体" w:cs="宋体"/>
                <w:szCs w:val="21"/>
              </w:rPr>
              <w:t>刘青科</w:t>
            </w:r>
          </w:p>
        </w:tc>
        <w:tc>
          <w:tcPr>
            <w:tcW w:w="1071" w:type="dxa"/>
            <w:shd w:val="clear" w:color="auto" w:fill="FFFFFF" w:themeFill="background1"/>
            <w:vAlign w:val="center"/>
          </w:tcPr>
          <w:p w:rsidR="005E026D" w:rsidRPr="00A6046C" w:rsidRDefault="00CC6257">
            <w:pPr>
              <w:spacing w:line="240" w:lineRule="exact"/>
              <w:rPr>
                <w:rFonts w:ascii="宋体" w:eastAsia="宋体" w:hAnsi="宋体" w:cs="宋体"/>
                <w:szCs w:val="21"/>
              </w:rPr>
            </w:pPr>
            <w:r w:rsidRPr="00A6046C">
              <w:rPr>
                <w:rFonts w:ascii="宋体" w:eastAsia="宋体" w:hAnsi="宋体" w:cs="宋体"/>
                <w:szCs w:val="21"/>
              </w:rPr>
              <w:t>境内自然人</w:t>
            </w:r>
          </w:p>
        </w:tc>
        <w:tc>
          <w:tcPr>
            <w:tcW w:w="1071" w:type="dxa"/>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2.93%</w:t>
            </w:r>
          </w:p>
        </w:tc>
        <w:tc>
          <w:tcPr>
            <w:tcW w:w="2142" w:type="dxa"/>
            <w:gridSpan w:val="2"/>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88,014,147</w:t>
            </w:r>
          </w:p>
        </w:tc>
        <w:tc>
          <w:tcPr>
            <w:tcW w:w="2142" w:type="dxa"/>
            <w:gridSpan w:val="2"/>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88,014,147</w:t>
            </w:r>
          </w:p>
        </w:tc>
        <w:tc>
          <w:tcPr>
            <w:tcW w:w="1071" w:type="dxa"/>
            <w:shd w:val="clear" w:color="auto" w:fill="FFFFFF" w:themeFill="background1"/>
            <w:vAlign w:val="center"/>
          </w:tcPr>
          <w:p w:rsidR="005E026D" w:rsidRPr="00A6046C" w:rsidRDefault="00CC6257">
            <w:pPr>
              <w:spacing w:line="240" w:lineRule="exact"/>
              <w:rPr>
                <w:rFonts w:ascii="宋体" w:eastAsia="宋体" w:hAnsi="宋体" w:cs="宋体"/>
                <w:szCs w:val="21"/>
              </w:rPr>
            </w:pPr>
            <w:r w:rsidRPr="00A6046C">
              <w:rPr>
                <w:rFonts w:ascii="宋体" w:eastAsia="宋体" w:hAnsi="宋体" w:cs="宋体"/>
                <w:szCs w:val="21"/>
              </w:rPr>
              <w:t>不适用</w:t>
            </w:r>
          </w:p>
        </w:tc>
        <w:tc>
          <w:tcPr>
            <w:tcW w:w="1071" w:type="dxa"/>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0</w:t>
            </w:r>
          </w:p>
        </w:tc>
      </w:tr>
      <w:tr w:rsidR="005E026D" w:rsidRPr="00A6046C" w:rsidTr="00580E0C">
        <w:trPr>
          <w:trHeight w:val="240"/>
        </w:trPr>
        <w:tc>
          <w:tcPr>
            <w:tcW w:w="1071" w:type="dxa"/>
            <w:shd w:val="clear" w:color="auto" w:fill="FFFFFF" w:themeFill="background1"/>
            <w:vAlign w:val="center"/>
          </w:tcPr>
          <w:p w:rsidR="005E026D" w:rsidRPr="00A6046C" w:rsidRDefault="00CC6257">
            <w:pPr>
              <w:spacing w:line="240" w:lineRule="exact"/>
              <w:rPr>
                <w:rFonts w:ascii="宋体" w:eastAsia="宋体" w:hAnsi="宋体" w:cs="宋体"/>
                <w:szCs w:val="21"/>
              </w:rPr>
            </w:pPr>
            <w:r w:rsidRPr="00A6046C">
              <w:rPr>
                <w:rFonts w:ascii="宋体" w:eastAsia="宋体" w:hAnsi="宋体" w:cs="宋体"/>
                <w:szCs w:val="21"/>
              </w:rPr>
              <w:t>中国东方国际资产管理有限公司－中国东方收益增强基金</w:t>
            </w:r>
          </w:p>
        </w:tc>
        <w:tc>
          <w:tcPr>
            <w:tcW w:w="1071" w:type="dxa"/>
            <w:shd w:val="clear" w:color="auto" w:fill="FFFFFF" w:themeFill="background1"/>
            <w:vAlign w:val="center"/>
          </w:tcPr>
          <w:p w:rsidR="005E026D" w:rsidRPr="00A6046C" w:rsidRDefault="00CC6257">
            <w:pPr>
              <w:spacing w:line="240" w:lineRule="exact"/>
              <w:rPr>
                <w:rFonts w:ascii="宋体" w:eastAsia="宋体" w:hAnsi="宋体" w:cs="宋体"/>
                <w:szCs w:val="21"/>
              </w:rPr>
            </w:pPr>
            <w:r w:rsidRPr="00A6046C">
              <w:rPr>
                <w:rFonts w:ascii="宋体" w:eastAsia="宋体" w:hAnsi="宋体" w:cs="宋体"/>
                <w:szCs w:val="21"/>
              </w:rPr>
              <w:t>境外法人</w:t>
            </w:r>
          </w:p>
        </w:tc>
        <w:tc>
          <w:tcPr>
            <w:tcW w:w="1071" w:type="dxa"/>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2.84%</w:t>
            </w:r>
          </w:p>
        </w:tc>
        <w:tc>
          <w:tcPr>
            <w:tcW w:w="2142" w:type="dxa"/>
            <w:gridSpan w:val="2"/>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85,280,657</w:t>
            </w:r>
          </w:p>
        </w:tc>
        <w:tc>
          <w:tcPr>
            <w:tcW w:w="2142" w:type="dxa"/>
            <w:gridSpan w:val="2"/>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85,280,657</w:t>
            </w:r>
          </w:p>
        </w:tc>
        <w:tc>
          <w:tcPr>
            <w:tcW w:w="1071" w:type="dxa"/>
            <w:shd w:val="clear" w:color="auto" w:fill="FFFFFF" w:themeFill="background1"/>
            <w:vAlign w:val="center"/>
          </w:tcPr>
          <w:p w:rsidR="005E026D" w:rsidRPr="00A6046C" w:rsidRDefault="00CC6257">
            <w:pPr>
              <w:spacing w:line="240" w:lineRule="exact"/>
              <w:rPr>
                <w:rFonts w:ascii="宋体" w:eastAsia="宋体" w:hAnsi="宋体" w:cs="宋体"/>
                <w:szCs w:val="21"/>
              </w:rPr>
            </w:pPr>
            <w:r w:rsidRPr="00A6046C">
              <w:rPr>
                <w:rFonts w:ascii="宋体" w:eastAsia="宋体" w:hAnsi="宋体" w:cs="宋体"/>
                <w:szCs w:val="21"/>
              </w:rPr>
              <w:t>不适用</w:t>
            </w:r>
          </w:p>
        </w:tc>
        <w:tc>
          <w:tcPr>
            <w:tcW w:w="1071" w:type="dxa"/>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0</w:t>
            </w:r>
          </w:p>
        </w:tc>
      </w:tr>
      <w:tr w:rsidR="005E026D" w:rsidRPr="00A6046C" w:rsidTr="00580E0C">
        <w:trPr>
          <w:trHeight w:val="240"/>
        </w:trPr>
        <w:tc>
          <w:tcPr>
            <w:tcW w:w="1071" w:type="dxa"/>
            <w:shd w:val="clear" w:color="auto" w:fill="FFFFFF" w:themeFill="background1"/>
            <w:vAlign w:val="center"/>
          </w:tcPr>
          <w:p w:rsidR="005E026D" w:rsidRPr="00A6046C" w:rsidRDefault="00CC6257">
            <w:pPr>
              <w:spacing w:line="240" w:lineRule="exact"/>
              <w:rPr>
                <w:rFonts w:ascii="宋体" w:eastAsia="宋体" w:hAnsi="宋体" w:cs="宋体"/>
                <w:szCs w:val="21"/>
              </w:rPr>
            </w:pPr>
            <w:r w:rsidRPr="00A6046C">
              <w:rPr>
                <w:rFonts w:ascii="宋体" w:eastAsia="宋体" w:hAnsi="宋体" w:cs="宋体"/>
                <w:szCs w:val="21"/>
              </w:rPr>
              <w:t>深圳市招平三号投资中心（有限合伙）</w:t>
            </w:r>
          </w:p>
        </w:tc>
        <w:tc>
          <w:tcPr>
            <w:tcW w:w="1071" w:type="dxa"/>
            <w:shd w:val="clear" w:color="auto" w:fill="FFFFFF" w:themeFill="background1"/>
            <w:vAlign w:val="center"/>
          </w:tcPr>
          <w:p w:rsidR="005E026D" w:rsidRPr="00A6046C" w:rsidRDefault="00CC6257">
            <w:pPr>
              <w:spacing w:line="240" w:lineRule="exact"/>
              <w:rPr>
                <w:rFonts w:ascii="宋体" w:eastAsia="宋体" w:hAnsi="宋体" w:cs="宋体"/>
                <w:szCs w:val="21"/>
              </w:rPr>
            </w:pPr>
            <w:r w:rsidRPr="00A6046C">
              <w:rPr>
                <w:rFonts w:ascii="宋体" w:eastAsia="宋体" w:hAnsi="宋体" w:cs="宋体"/>
                <w:szCs w:val="21"/>
              </w:rPr>
              <w:t>境内非国有法人</w:t>
            </w:r>
          </w:p>
        </w:tc>
        <w:tc>
          <w:tcPr>
            <w:tcW w:w="1071" w:type="dxa"/>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2.50%</w:t>
            </w:r>
          </w:p>
        </w:tc>
        <w:tc>
          <w:tcPr>
            <w:tcW w:w="2142" w:type="dxa"/>
            <w:gridSpan w:val="2"/>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75,092,013</w:t>
            </w:r>
          </w:p>
        </w:tc>
        <w:tc>
          <w:tcPr>
            <w:tcW w:w="2142" w:type="dxa"/>
            <w:gridSpan w:val="2"/>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75,092,013</w:t>
            </w:r>
          </w:p>
        </w:tc>
        <w:tc>
          <w:tcPr>
            <w:tcW w:w="1071" w:type="dxa"/>
            <w:shd w:val="clear" w:color="auto" w:fill="FFFFFF" w:themeFill="background1"/>
            <w:vAlign w:val="center"/>
          </w:tcPr>
          <w:p w:rsidR="005E026D" w:rsidRPr="00A6046C" w:rsidRDefault="00CC6257">
            <w:pPr>
              <w:spacing w:line="240" w:lineRule="exact"/>
              <w:rPr>
                <w:rFonts w:ascii="宋体" w:eastAsia="宋体" w:hAnsi="宋体" w:cs="宋体"/>
                <w:szCs w:val="21"/>
              </w:rPr>
            </w:pPr>
            <w:r w:rsidRPr="00A6046C">
              <w:rPr>
                <w:rFonts w:ascii="宋体" w:eastAsia="宋体" w:hAnsi="宋体" w:cs="宋体"/>
                <w:szCs w:val="21"/>
              </w:rPr>
              <w:t>不适用</w:t>
            </w:r>
          </w:p>
        </w:tc>
        <w:tc>
          <w:tcPr>
            <w:tcW w:w="1071" w:type="dxa"/>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0</w:t>
            </w:r>
          </w:p>
        </w:tc>
      </w:tr>
      <w:tr w:rsidR="005E026D" w:rsidRPr="00A6046C" w:rsidTr="00580E0C">
        <w:trPr>
          <w:trHeight w:val="240"/>
        </w:trPr>
        <w:tc>
          <w:tcPr>
            <w:tcW w:w="1071" w:type="dxa"/>
            <w:shd w:val="clear" w:color="auto" w:fill="FFFFFF" w:themeFill="background1"/>
            <w:vAlign w:val="center"/>
          </w:tcPr>
          <w:p w:rsidR="005E026D" w:rsidRPr="00A6046C" w:rsidRDefault="00CC6257">
            <w:pPr>
              <w:spacing w:line="240" w:lineRule="exact"/>
              <w:rPr>
                <w:rFonts w:ascii="宋体" w:eastAsia="宋体" w:hAnsi="宋体" w:cs="宋体"/>
                <w:szCs w:val="21"/>
              </w:rPr>
            </w:pPr>
            <w:r w:rsidRPr="00A6046C">
              <w:rPr>
                <w:rFonts w:ascii="宋体" w:eastAsia="宋体" w:hAnsi="宋体" w:cs="宋体"/>
                <w:szCs w:val="21"/>
              </w:rPr>
              <w:t>湖北华楚国科十一号投资合伙企业（有限合伙）</w:t>
            </w:r>
          </w:p>
        </w:tc>
        <w:tc>
          <w:tcPr>
            <w:tcW w:w="1071" w:type="dxa"/>
            <w:shd w:val="clear" w:color="auto" w:fill="FFFFFF" w:themeFill="background1"/>
            <w:vAlign w:val="center"/>
          </w:tcPr>
          <w:p w:rsidR="005E026D" w:rsidRPr="00A6046C" w:rsidRDefault="00CC6257">
            <w:pPr>
              <w:spacing w:line="240" w:lineRule="exact"/>
              <w:rPr>
                <w:rFonts w:ascii="宋体" w:eastAsia="宋体" w:hAnsi="宋体" w:cs="宋体"/>
                <w:szCs w:val="21"/>
              </w:rPr>
            </w:pPr>
            <w:r w:rsidRPr="00A6046C">
              <w:rPr>
                <w:rFonts w:ascii="宋体" w:eastAsia="宋体" w:hAnsi="宋体" w:cs="宋体"/>
                <w:szCs w:val="21"/>
              </w:rPr>
              <w:t>境内非国有法人</w:t>
            </w:r>
          </w:p>
        </w:tc>
        <w:tc>
          <w:tcPr>
            <w:tcW w:w="1071" w:type="dxa"/>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2.34%</w:t>
            </w:r>
          </w:p>
        </w:tc>
        <w:tc>
          <w:tcPr>
            <w:tcW w:w="2142" w:type="dxa"/>
            <w:gridSpan w:val="2"/>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70,411,318</w:t>
            </w:r>
          </w:p>
        </w:tc>
        <w:tc>
          <w:tcPr>
            <w:tcW w:w="2142" w:type="dxa"/>
            <w:gridSpan w:val="2"/>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70,411,318</w:t>
            </w:r>
          </w:p>
        </w:tc>
        <w:tc>
          <w:tcPr>
            <w:tcW w:w="1071" w:type="dxa"/>
            <w:shd w:val="clear" w:color="auto" w:fill="FFFFFF" w:themeFill="background1"/>
            <w:vAlign w:val="center"/>
          </w:tcPr>
          <w:p w:rsidR="005E026D" w:rsidRPr="00A6046C" w:rsidRDefault="00CC6257">
            <w:pPr>
              <w:spacing w:line="240" w:lineRule="exact"/>
              <w:rPr>
                <w:rFonts w:ascii="宋体" w:eastAsia="宋体" w:hAnsi="宋体" w:cs="宋体"/>
                <w:szCs w:val="21"/>
              </w:rPr>
            </w:pPr>
            <w:r w:rsidRPr="00A6046C">
              <w:rPr>
                <w:rFonts w:ascii="宋体" w:eastAsia="宋体" w:hAnsi="宋体" w:cs="宋体"/>
                <w:szCs w:val="21"/>
              </w:rPr>
              <w:t>不适用</w:t>
            </w:r>
          </w:p>
        </w:tc>
        <w:tc>
          <w:tcPr>
            <w:tcW w:w="1071" w:type="dxa"/>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0</w:t>
            </w:r>
          </w:p>
        </w:tc>
      </w:tr>
      <w:tr w:rsidR="005E026D" w:rsidRPr="00A6046C" w:rsidTr="00580E0C">
        <w:trPr>
          <w:trHeight w:val="240"/>
        </w:trPr>
        <w:tc>
          <w:tcPr>
            <w:tcW w:w="1071" w:type="dxa"/>
            <w:shd w:val="clear" w:color="auto" w:fill="FFFFFF" w:themeFill="background1"/>
            <w:vAlign w:val="center"/>
          </w:tcPr>
          <w:p w:rsidR="005E026D" w:rsidRPr="00A6046C" w:rsidRDefault="00CC6257">
            <w:pPr>
              <w:spacing w:line="240" w:lineRule="exact"/>
              <w:rPr>
                <w:rFonts w:ascii="宋体" w:eastAsia="宋体" w:hAnsi="宋体" w:cs="宋体"/>
                <w:szCs w:val="21"/>
              </w:rPr>
            </w:pPr>
            <w:r w:rsidRPr="00A6046C">
              <w:rPr>
                <w:rFonts w:ascii="宋体" w:eastAsia="宋体" w:hAnsi="宋体" w:cs="宋体"/>
                <w:szCs w:val="21"/>
              </w:rPr>
              <w:t>中国东方国际资产管理有限公司－稳健收益基金1号</w:t>
            </w:r>
          </w:p>
        </w:tc>
        <w:tc>
          <w:tcPr>
            <w:tcW w:w="1071" w:type="dxa"/>
            <w:shd w:val="clear" w:color="auto" w:fill="FFFFFF" w:themeFill="background1"/>
            <w:vAlign w:val="center"/>
          </w:tcPr>
          <w:p w:rsidR="005E026D" w:rsidRPr="00A6046C" w:rsidRDefault="00CC6257">
            <w:pPr>
              <w:spacing w:line="240" w:lineRule="exact"/>
              <w:rPr>
                <w:rFonts w:ascii="宋体" w:eastAsia="宋体" w:hAnsi="宋体" w:cs="宋体"/>
                <w:szCs w:val="21"/>
              </w:rPr>
            </w:pPr>
            <w:r w:rsidRPr="00A6046C">
              <w:rPr>
                <w:rFonts w:ascii="宋体" w:eastAsia="宋体" w:hAnsi="宋体" w:cs="宋体"/>
                <w:szCs w:val="21"/>
              </w:rPr>
              <w:t>境外法人</w:t>
            </w:r>
          </w:p>
        </w:tc>
        <w:tc>
          <w:tcPr>
            <w:tcW w:w="1071" w:type="dxa"/>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2.02%</w:t>
            </w:r>
          </w:p>
        </w:tc>
        <w:tc>
          <w:tcPr>
            <w:tcW w:w="2142" w:type="dxa"/>
            <w:gridSpan w:val="2"/>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60,847,675</w:t>
            </w:r>
          </w:p>
        </w:tc>
        <w:tc>
          <w:tcPr>
            <w:tcW w:w="2142" w:type="dxa"/>
            <w:gridSpan w:val="2"/>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60,847,675</w:t>
            </w:r>
          </w:p>
        </w:tc>
        <w:tc>
          <w:tcPr>
            <w:tcW w:w="1071" w:type="dxa"/>
            <w:shd w:val="clear" w:color="auto" w:fill="FFFFFF" w:themeFill="background1"/>
            <w:vAlign w:val="center"/>
          </w:tcPr>
          <w:p w:rsidR="005E026D" w:rsidRPr="00A6046C" w:rsidRDefault="00CC6257">
            <w:pPr>
              <w:spacing w:line="240" w:lineRule="exact"/>
              <w:rPr>
                <w:rFonts w:ascii="宋体" w:eastAsia="宋体" w:hAnsi="宋体" w:cs="宋体"/>
                <w:szCs w:val="21"/>
              </w:rPr>
            </w:pPr>
            <w:r w:rsidRPr="00A6046C">
              <w:rPr>
                <w:rFonts w:ascii="宋体" w:eastAsia="宋体" w:hAnsi="宋体" w:cs="宋体"/>
                <w:szCs w:val="21"/>
              </w:rPr>
              <w:t>不适用</w:t>
            </w:r>
          </w:p>
        </w:tc>
        <w:tc>
          <w:tcPr>
            <w:tcW w:w="1071" w:type="dxa"/>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0</w:t>
            </w:r>
          </w:p>
        </w:tc>
      </w:tr>
      <w:tr w:rsidR="005E026D" w:rsidRPr="00A6046C" w:rsidTr="00580E0C">
        <w:trPr>
          <w:trHeight w:val="240"/>
        </w:trPr>
        <w:tc>
          <w:tcPr>
            <w:tcW w:w="1071" w:type="dxa"/>
            <w:shd w:val="clear" w:color="auto" w:fill="FFFFFF" w:themeFill="background1"/>
            <w:vAlign w:val="center"/>
          </w:tcPr>
          <w:p w:rsidR="005E026D" w:rsidRPr="00A6046C" w:rsidRDefault="00CC6257">
            <w:pPr>
              <w:spacing w:line="240" w:lineRule="exact"/>
              <w:rPr>
                <w:rFonts w:ascii="宋体" w:eastAsia="宋体" w:hAnsi="宋体" w:cs="宋体"/>
                <w:szCs w:val="21"/>
              </w:rPr>
            </w:pPr>
            <w:r w:rsidRPr="00A6046C">
              <w:rPr>
                <w:rFonts w:ascii="宋体" w:eastAsia="宋体" w:hAnsi="宋体" w:cs="宋体"/>
                <w:szCs w:val="21"/>
              </w:rPr>
              <w:t>农银企航（苏州）私募基金管理有限公司</w:t>
            </w:r>
          </w:p>
        </w:tc>
        <w:tc>
          <w:tcPr>
            <w:tcW w:w="1071" w:type="dxa"/>
            <w:shd w:val="clear" w:color="auto" w:fill="FFFFFF" w:themeFill="background1"/>
            <w:vAlign w:val="center"/>
          </w:tcPr>
          <w:p w:rsidR="005E026D" w:rsidRPr="00A6046C" w:rsidRDefault="00CC6257">
            <w:pPr>
              <w:spacing w:line="240" w:lineRule="exact"/>
              <w:rPr>
                <w:rFonts w:ascii="宋体" w:eastAsia="宋体" w:hAnsi="宋体" w:cs="宋体"/>
                <w:szCs w:val="21"/>
              </w:rPr>
            </w:pPr>
            <w:r w:rsidRPr="00A6046C">
              <w:rPr>
                <w:rFonts w:ascii="宋体" w:eastAsia="宋体" w:hAnsi="宋体" w:cs="宋体"/>
                <w:szCs w:val="21"/>
              </w:rPr>
              <w:t>国有法人</w:t>
            </w:r>
          </w:p>
        </w:tc>
        <w:tc>
          <w:tcPr>
            <w:tcW w:w="1071" w:type="dxa"/>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1.99%</w:t>
            </w:r>
          </w:p>
        </w:tc>
        <w:tc>
          <w:tcPr>
            <w:tcW w:w="2142" w:type="dxa"/>
            <w:gridSpan w:val="2"/>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60,000,000</w:t>
            </w:r>
          </w:p>
        </w:tc>
        <w:tc>
          <w:tcPr>
            <w:tcW w:w="2142" w:type="dxa"/>
            <w:gridSpan w:val="2"/>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60,000,000</w:t>
            </w:r>
          </w:p>
        </w:tc>
        <w:tc>
          <w:tcPr>
            <w:tcW w:w="1071" w:type="dxa"/>
            <w:shd w:val="clear" w:color="auto" w:fill="FFFFFF" w:themeFill="background1"/>
            <w:vAlign w:val="center"/>
          </w:tcPr>
          <w:p w:rsidR="005E026D" w:rsidRPr="00A6046C" w:rsidRDefault="00CC6257">
            <w:pPr>
              <w:spacing w:line="240" w:lineRule="exact"/>
              <w:rPr>
                <w:rFonts w:ascii="宋体" w:eastAsia="宋体" w:hAnsi="宋体" w:cs="宋体"/>
                <w:szCs w:val="21"/>
              </w:rPr>
            </w:pPr>
            <w:r w:rsidRPr="00A6046C">
              <w:rPr>
                <w:rFonts w:ascii="宋体" w:eastAsia="宋体" w:hAnsi="宋体" w:cs="宋体"/>
                <w:szCs w:val="21"/>
              </w:rPr>
              <w:t>不适用</w:t>
            </w:r>
          </w:p>
        </w:tc>
        <w:tc>
          <w:tcPr>
            <w:tcW w:w="1071" w:type="dxa"/>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0</w:t>
            </w:r>
          </w:p>
        </w:tc>
      </w:tr>
      <w:tr w:rsidR="005E026D" w:rsidRPr="00A6046C" w:rsidTr="00580E0C">
        <w:trPr>
          <w:trHeight w:val="240"/>
        </w:trPr>
        <w:tc>
          <w:tcPr>
            <w:tcW w:w="1071" w:type="dxa"/>
            <w:shd w:val="clear" w:color="auto" w:fill="FFFFFF" w:themeFill="background1"/>
            <w:vAlign w:val="center"/>
          </w:tcPr>
          <w:p w:rsidR="005E026D" w:rsidRPr="00A6046C" w:rsidRDefault="00CC6257">
            <w:pPr>
              <w:spacing w:line="240" w:lineRule="exact"/>
              <w:rPr>
                <w:rFonts w:ascii="宋体" w:eastAsia="宋体" w:hAnsi="宋体" w:cs="宋体"/>
                <w:szCs w:val="21"/>
              </w:rPr>
            </w:pPr>
            <w:r w:rsidRPr="00A6046C">
              <w:rPr>
                <w:rFonts w:ascii="宋体" w:eastAsia="宋体" w:hAnsi="宋体" w:cs="宋体"/>
                <w:szCs w:val="21"/>
              </w:rPr>
              <w:t>阎蕊</w:t>
            </w:r>
          </w:p>
        </w:tc>
        <w:tc>
          <w:tcPr>
            <w:tcW w:w="1071" w:type="dxa"/>
            <w:shd w:val="clear" w:color="auto" w:fill="FFFFFF" w:themeFill="background1"/>
            <w:vAlign w:val="center"/>
          </w:tcPr>
          <w:p w:rsidR="005E026D" w:rsidRPr="00A6046C" w:rsidRDefault="00CC6257">
            <w:pPr>
              <w:spacing w:line="240" w:lineRule="exact"/>
              <w:rPr>
                <w:rFonts w:ascii="宋体" w:eastAsia="宋体" w:hAnsi="宋体" w:cs="宋体"/>
                <w:szCs w:val="21"/>
              </w:rPr>
            </w:pPr>
            <w:r w:rsidRPr="00A6046C">
              <w:rPr>
                <w:rFonts w:ascii="宋体" w:eastAsia="宋体" w:hAnsi="宋体" w:cs="宋体"/>
                <w:szCs w:val="21"/>
              </w:rPr>
              <w:t>境内自然人</w:t>
            </w:r>
          </w:p>
        </w:tc>
        <w:tc>
          <w:tcPr>
            <w:tcW w:w="1071" w:type="dxa"/>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1.95%</w:t>
            </w:r>
          </w:p>
        </w:tc>
        <w:tc>
          <w:tcPr>
            <w:tcW w:w="2142" w:type="dxa"/>
            <w:gridSpan w:val="2"/>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58,676,098</w:t>
            </w:r>
          </w:p>
        </w:tc>
        <w:tc>
          <w:tcPr>
            <w:tcW w:w="2142" w:type="dxa"/>
            <w:gridSpan w:val="2"/>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58,676,098</w:t>
            </w:r>
          </w:p>
        </w:tc>
        <w:tc>
          <w:tcPr>
            <w:tcW w:w="1071" w:type="dxa"/>
            <w:shd w:val="clear" w:color="auto" w:fill="FFFFFF" w:themeFill="background1"/>
            <w:vAlign w:val="center"/>
          </w:tcPr>
          <w:p w:rsidR="005E026D" w:rsidRPr="00A6046C" w:rsidRDefault="00CC6257">
            <w:pPr>
              <w:spacing w:line="240" w:lineRule="exact"/>
              <w:rPr>
                <w:rFonts w:ascii="宋体" w:eastAsia="宋体" w:hAnsi="宋体" w:cs="宋体"/>
                <w:szCs w:val="21"/>
              </w:rPr>
            </w:pPr>
            <w:r w:rsidRPr="00A6046C">
              <w:rPr>
                <w:rFonts w:ascii="宋体" w:eastAsia="宋体" w:hAnsi="宋体" w:cs="宋体"/>
                <w:szCs w:val="21"/>
              </w:rPr>
              <w:t>不适用</w:t>
            </w:r>
          </w:p>
        </w:tc>
        <w:tc>
          <w:tcPr>
            <w:tcW w:w="1071" w:type="dxa"/>
            <w:shd w:val="clear" w:color="auto" w:fill="FFFFFF" w:themeFill="background1"/>
            <w:vAlign w:val="center"/>
          </w:tcPr>
          <w:p w:rsidR="005E026D" w:rsidRPr="00A6046C" w:rsidRDefault="00CC6257">
            <w:pPr>
              <w:spacing w:line="240" w:lineRule="exact"/>
              <w:jc w:val="right"/>
              <w:rPr>
                <w:rFonts w:ascii="宋体" w:eastAsia="宋体" w:hAnsi="宋体" w:cs="宋体"/>
                <w:szCs w:val="21"/>
              </w:rPr>
            </w:pPr>
            <w:r w:rsidRPr="00A6046C">
              <w:rPr>
                <w:rFonts w:ascii="宋体" w:eastAsia="宋体" w:hAnsi="宋体" w:cs="宋体"/>
                <w:szCs w:val="21"/>
              </w:rPr>
              <w:t>0</w:t>
            </w:r>
          </w:p>
        </w:tc>
      </w:tr>
      <w:tr w:rsidR="005E026D" w:rsidRPr="00A6046C" w:rsidTr="00580E0C">
        <w:trPr>
          <w:trHeight w:val="240"/>
        </w:trPr>
        <w:tc>
          <w:tcPr>
            <w:tcW w:w="2142" w:type="dxa"/>
            <w:gridSpan w:val="2"/>
            <w:shd w:val="clear" w:color="auto" w:fill="FFFFFF" w:themeFill="background1"/>
            <w:vAlign w:val="center"/>
          </w:tcPr>
          <w:p w:rsidR="005E026D" w:rsidRPr="00A6046C" w:rsidRDefault="00CC6257">
            <w:pPr>
              <w:spacing w:before="40" w:after="40" w:line="240" w:lineRule="exact"/>
              <w:rPr>
                <w:rFonts w:ascii="宋体" w:eastAsia="宋体" w:hAnsi="宋体" w:cs="宋体"/>
                <w:szCs w:val="21"/>
              </w:rPr>
            </w:pPr>
            <w:r w:rsidRPr="00A6046C">
              <w:rPr>
                <w:rFonts w:ascii="宋体" w:eastAsia="宋体" w:hAnsi="宋体" w:cs="宋体"/>
                <w:szCs w:val="21"/>
              </w:rPr>
              <w:t>上述股东关联关系或一致行动的说明</w:t>
            </w:r>
          </w:p>
        </w:tc>
        <w:tc>
          <w:tcPr>
            <w:tcW w:w="7497" w:type="dxa"/>
            <w:gridSpan w:val="7"/>
            <w:shd w:val="clear" w:color="auto" w:fill="FFFFFF" w:themeFill="background1"/>
            <w:vAlign w:val="center"/>
          </w:tcPr>
          <w:p w:rsidR="005E026D" w:rsidRPr="00A6046C" w:rsidRDefault="00CC6257">
            <w:pPr>
              <w:spacing w:line="240" w:lineRule="exact"/>
              <w:rPr>
                <w:rFonts w:ascii="宋体" w:eastAsia="宋体" w:hAnsi="宋体" w:cs="宋体"/>
                <w:szCs w:val="21"/>
              </w:rPr>
            </w:pPr>
            <w:r w:rsidRPr="00A6046C">
              <w:rPr>
                <w:rFonts w:ascii="宋体" w:eastAsia="宋体" w:hAnsi="宋体" w:cs="宋体"/>
                <w:szCs w:val="21"/>
              </w:rPr>
              <w:t>公司未知上述股东之间是否存在关联关系，也未知上述股东之间是否属于《上市公司收购管理办法》中规定的一致行动人。</w:t>
            </w:r>
          </w:p>
        </w:tc>
      </w:tr>
      <w:tr w:rsidR="005E026D" w:rsidRPr="00A6046C" w:rsidTr="00580E0C">
        <w:trPr>
          <w:trHeight w:val="240"/>
        </w:trPr>
        <w:tc>
          <w:tcPr>
            <w:tcW w:w="2142" w:type="dxa"/>
            <w:gridSpan w:val="2"/>
            <w:shd w:val="clear" w:color="auto" w:fill="FFFFFF" w:themeFill="background1"/>
            <w:vAlign w:val="center"/>
          </w:tcPr>
          <w:p w:rsidR="005E026D" w:rsidRPr="00A6046C" w:rsidRDefault="00CC6257">
            <w:pPr>
              <w:spacing w:before="40" w:after="40" w:line="240" w:lineRule="exact"/>
              <w:rPr>
                <w:rFonts w:ascii="宋体" w:eastAsia="宋体" w:hAnsi="宋体" w:cs="宋体"/>
                <w:szCs w:val="21"/>
              </w:rPr>
            </w:pPr>
            <w:r w:rsidRPr="00A6046C">
              <w:rPr>
                <w:rFonts w:ascii="宋体" w:eastAsia="宋体" w:hAnsi="宋体" w:cs="宋体"/>
                <w:szCs w:val="21"/>
              </w:rPr>
              <w:t>参与融资融券业务股东情况说明（如有）</w:t>
            </w:r>
          </w:p>
        </w:tc>
        <w:tc>
          <w:tcPr>
            <w:tcW w:w="7497" w:type="dxa"/>
            <w:gridSpan w:val="7"/>
            <w:shd w:val="clear" w:color="auto" w:fill="FFFFFF" w:themeFill="background1"/>
            <w:vAlign w:val="center"/>
          </w:tcPr>
          <w:p w:rsidR="005E026D" w:rsidRPr="00A6046C" w:rsidRDefault="00CC6257">
            <w:pPr>
              <w:spacing w:line="240" w:lineRule="exact"/>
              <w:rPr>
                <w:rFonts w:ascii="宋体" w:eastAsia="宋体" w:hAnsi="宋体" w:cs="宋体"/>
                <w:szCs w:val="21"/>
              </w:rPr>
            </w:pPr>
            <w:r w:rsidRPr="00A6046C">
              <w:rPr>
                <w:rFonts w:ascii="宋体" w:eastAsia="宋体" w:hAnsi="宋体" w:cs="宋体"/>
                <w:szCs w:val="21"/>
              </w:rPr>
              <w:t>不适用</w:t>
            </w:r>
          </w:p>
        </w:tc>
      </w:tr>
    </w:tbl>
    <w:p w:rsidR="005E026D" w:rsidRPr="00C366AE" w:rsidRDefault="00CC6257" w:rsidP="00C366AE">
      <w:pPr>
        <w:spacing w:line="360" w:lineRule="auto"/>
        <w:rPr>
          <w:rFonts w:ascii="宋体" w:eastAsia="宋体" w:hAnsi="宋体" w:cs="宋体"/>
          <w:sz w:val="24"/>
          <w:szCs w:val="24"/>
        </w:rPr>
      </w:pPr>
      <w:r w:rsidRPr="00C366AE">
        <w:rPr>
          <w:rFonts w:ascii="宋体" w:eastAsia="宋体" w:hAnsi="宋体" w:cs="宋体"/>
          <w:sz w:val="24"/>
          <w:szCs w:val="24"/>
        </w:rPr>
        <w:t>持股5%以上股东、前10名股东及前10名无限</w:t>
      </w:r>
      <w:proofErr w:type="gramStart"/>
      <w:r w:rsidRPr="00C366AE">
        <w:rPr>
          <w:rFonts w:ascii="宋体" w:eastAsia="宋体" w:hAnsi="宋体" w:cs="宋体"/>
          <w:sz w:val="24"/>
          <w:szCs w:val="24"/>
        </w:rPr>
        <w:t>售流通</w:t>
      </w:r>
      <w:proofErr w:type="gramEnd"/>
      <w:r w:rsidRPr="00C366AE">
        <w:rPr>
          <w:rFonts w:ascii="宋体" w:eastAsia="宋体" w:hAnsi="宋体" w:cs="宋体"/>
          <w:sz w:val="24"/>
          <w:szCs w:val="24"/>
        </w:rPr>
        <w:t>股股东参与转融通业务出借股份情况</w:t>
      </w:r>
    </w:p>
    <w:p w:rsidR="005E026D" w:rsidRPr="00C366AE" w:rsidRDefault="00CC6257" w:rsidP="00C366AE">
      <w:pPr>
        <w:spacing w:line="360" w:lineRule="auto"/>
        <w:rPr>
          <w:rFonts w:ascii="宋体" w:eastAsia="宋体" w:hAnsi="宋体" w:cs="宋体"/>
          <w:sz w:val="24"/>
          <w:szCs w:val="24"/>
        </w:rPr>
      </w:pPr>
      <w:r w:rsidRPr="00C366AE">
        <w:rPr>
          <w:rFonts w:ascii="宋体" w:eastAsia="宋体" w:hAnsi="宋体" w:cs="宋体"/>
          <w:sz w:val="24"/>
          <w:szCs w:val="24"/>
        </w:rPr>
        <w:t xml:space="preserve">□适用 </w:t>
      </w:r>
      <w:r w:rsidRPr="00C366AE">
        <w:rPr>
          <w:rFonts w:ascii="宋体" w:eastAsia="宋体" w:hAnsi="宋体" w:cs="宋体"/>
          <w:sz w:val="24"/>
          <w:szCs w:val="24"/>
        </w:rPr>
        <w:sym w:font="Wingdings 2" w:char="F052"/>
      </w:r>
      <w:r w:rsidRPr="00C366AE">
        <w:rPr>
          <w:rFonts w:ascii="宋体" w:eastAsia="宋体" w:hAnsi="宋体" w:cs="宋体"/>
          <w:sz w:val="24"/>
          <w:szCs w:val="24"/>
        </w:rPr>
        <w:t>不适用</w:t>
      </w:r>
    </w:p>
    <w:p w:rsidR="005E026D" w:rsidRPr="00C366AE" w:rsidRDefault="00CC6257" w:rsidP="00C366AE">
      <w:pPr>
        <w:spacing w:line="360" w:lineRule="auto"/>
        <w:rPr>
          <w:rFonts w:ascii="宋体" w:eastAsia="宋体" w:hAnsi="宋体" w:cs="宋体"/>
          <w:sz w:val="24"/>
          <w:szCs w:val="24"/>
        </w:rPr>
      </w:pPr>
      <w:r w:rsidRPr="00C366AE">
        <w:rPr>
          <w:rFonts w:ascii="宋体" w:eastAsia="宋体" w:hAnsi="宋体" w:cs="宋体"/>
          <w:sz w:val="24"/>
          <w:szCs w:val="24"/>
        </w:rPr>
        <w:t>前10名股东及前10名无限</w:t>
      </w:r>
      <w:proofErr w:type="gramStart"/>
      <w:r w:rsidRPr="00C366AE">
        <w:rPr>
          <w:rFonts w:ascii="宋体" w:eastAsia="宋体" w:hAnsi="宋体" w:cs="宋体"/>
          <w:sz w:val="24"/>
          <w:szCs w:val="24"/>
        </w:rPr>
        <w:t>售流通</w:t>
      </w:r>
      <w:proofErr w:type="gramEnd"/>
      <w:r w:rsidRPr="00C366AE">
        <w:rPr>
          <w:rFonts w:ascii="宋体" w:eastAsia="宋体" w:hAnsi="宋体" w:cs="宋体"/>
          <w:sz w:val="24"/>
          <w:szCs w:val="24"/>
        </w:rPr>
        <w:t>股股东因转融通出借/归还原因导致较上期发生变化</w:t>
      </w:r>
    </w:p>
    <w:p w:rsidR="005E026D" w:rsidRPr="00C366AE" w:rsidRDefault="00CC6257" w:rsidP="00C366AE">
      <w:pPr>
        <w:spacing w:line="360" w:lineRule="auto"/>
        <w:rPr>
          <w:rFonts w:ascii="宋体" w:eastAsia="宋体" w:hAnsi="宋体" w:cs="宋体"/>
          <w:sz w:val="24"/>
          <w:szCs w:val="24"/>
        </w:rPr>
      </w:pPr>
      <w:r w:rsidRPr="00C366AE">
        <w:rPr>
          <w:rFonts w:ascii="宋体" w:eastAsia="宋体" w:hAnsi="宋体" w:cs="宋体"/>
          <w:sz w:val="24"/>
          <w:szCs w:val="24"/>
        </w:rPr>
        <w:t xml:space="preserve">□适用 </w:t>
      </w:r>
      <w:r w:rsidRPr="00C366AE">
        <w:rPr>
          <w:rFonts w:ascii="宋体" w:eastAsia="宋体" w:hAnsi="宋体" w:cs="宋体"/>
          <w:sz w:val="24"/>
          <w:szCs w:val="24"/>
        </w:rPr>
        <w:sym w:font="Wingdings 2" w:char="F052"/>
      </w:r>
      <w:r w:rsidRPr="00C366AE">
        <w:rPr>
          <w:rFonts w:ascii="宋体" w:eastAsia="宋体" w:hAnsi="宋体" w:cs="宋体"/>
          <w:sz w:val="24"/>
          <w:szCs w:val="24"/>
        </w:rPr>
        <w:t>不适用</w:t>
      </w:r>
    </w:p>
    <w:p w:rsidR="005E026D" w:rsidRPr="00C366AE" w:rsidRDefault="00CC6257" w:rsidP="00C366AE">
      <w:pPr>
        <w:keepNext/>
        <w:keepLines/>
        <w:spacing w:line="360" w:lineRule="auto"/>
        <w:outlineLvl w:val="3"/>
        <w:rPr>
          <w:rFonts w:ascii="宋体" w:eastAsia="宋体" w:hAnsi="宋体" w:cs="宋体"/>
          <w:b/>
          <w:bCs/>
          <w:sz w:val="24"/>
          <w:szCs w:val="24"/>
        </w:rPr>
      </w:pPr>
      <w:bookmarkStart w:id="9" w:name="_Toc988898"/>
      <w:r w:rsidRPr="00C366AE">
        <w:rPr>
          <w:rFonts w:ascii="宋体" w:eastAsia="宋体" w:hAnsi="宋体" w:cs="宋体"/>
          <w:b/>
          <w:bCs/>
          <w:sz w:val="24"/>
          <w:szCs w:val="24"/>
        </w:rPr>
        <w:t>（2） 公司优先股股东总数及前10名优先股股东持股情况表</w:t>
      </w:r>
      <w:bookmarkEnd w:id="9"/>
    </w:p>
    <w:p w:rsidR="005E026D" w:rsidRPr="00C366AE" w:rsidRDefault="00CC6257" w:rsidP="00C366AE">
      <w:pPr>
        <w:spacing w:line="360" w:lineRule="auto"/>
        <w:rPr>
          <w:rFonts w:ascii="宋体" w:eastAsia="宋体" w:hAnsi="宋体" w:cs="宋体"/>
          <w:sz w:val="24"/>
          <w:szCs w:val="24"/>
        </w:rPr>
      </w:pPr>
      <w:r w:rsidRPr="00C366AE">
        <w:rPr>
          <w:rFonts w:ascii="宋体" w:eastAsia="宋体" w:hAnsi="宋体" w:cs="宋体"/>
          <w:sz w:val="24"/>
          <w:szCs w:val="24"/>
        </w:rPr>
        <w:t xml:space="preserve">□适用 </w:t>
      </w:r>
      <w:r w:rsidRPr="00C366AE">
        <w:rPr>
          <w:rFonts w:ascii="宋体" w:eastAsia="宋体" w:hAnsi="宋体" w:cs="宋体"/>
          <w:sz w:val="24"/>
          <w:szCs w:val="24"/>
        </w:rPr>
        <w:sym w:font="Wingdings 2" w:char="F052"/>
      </w:r>
      <w:r w:rsidRPr="00C366AE">
        <w:rPr>
          <w:rFonts w:ascii="宋体" w:eastAsia="宋体" w:hAnsi="宋体" w:cs="宋体"/>
          <w:sz w:val="24"/>
          <w:szCs w:val="24"/>
        </w:rPr>
        <w:t>不适用</w:t>
      </w:r>
    </w:p>
    <w:p w:rsidR="005E026D" w:rsidRPr="00C366AE" w:rsidRDefault="00CC6257" w:rsidP="00C366AE">
      <w:pPr>
        <w:spacing w:line="360" w:lineRule="auto"/>
        <w:rPr>
          <w:rFonts w:ascii="宋体" w:eastAsia="宋体" w:hAnsi="宋体" w:cs="宋体"/>
          <w:sz w:val="24"/>
          <w:szCs w:val="24"/>
        </w:rPr>
      </w:pPr>
      <w:r w:rsidRPr="00C366AE">
        <w:rPr>
          <w:rFonts w:ascii="宋体" w:eastAsia="宋体" w:hAnsi="宋体" w:cs="宋体"/>
          <w:sz w:val="24"/>
          <w:szCs w:val="24"/>
        </w:rPr>
        <w:t>公司报告期无优先股股东持股情况。</w:t>
      </w:r>
    </w:p>
    <w:p w:rsidR="005E026D" w:rsidRPr="00C366AE" w:rsidRDefault="00CC6257">
      <w:pPr>
        <w:keepNext/>
        <w:keepLines/>
        <w:spacing w:before="300" w:after="300" w:line="280" w:lineRule="exact"/>
        <w:outlineLvl w:val="3"/>
        <w:rPr>
          <w:rFonts w:ascii="宋体" w:eastAsia="宋体" w:hAnsi="宋体" w:cs="宋体"/>
          <w:b/>
          <w:bCs/>
          <w:sz w:val="24"/>
          <w:szCs w:val="24"/>
        </w:rPr>
      </w:pPr>
      <w:bookmarkStart w:id="10" w:name="_Toc988899"/>
      <w:r w:rsidRPr="00C366AE">
        <w:rPr>
          <w:rFonts w:ascii="宋体" w:eastAsia="宋体" w:hAnsi="宋体" w:cs="宋体"/>
          <w:b/>
          <w:bCs/>
          <w:sz w:val="24"/>
          <w:szCs w:val="24"/>
        </w:rPr>
        <w:lastRenderedPageBreak/>
        <w:t>（3） 以方框图形式披露公司与实际控制人之间的产权及控制关系</w:t>
      </w:r>
      <w:bookmarkEnd w:id="10"/>
    </w:p>
    <w:p w:rsidR="005E026D" w:rsidRPr="00C366AE" w:rsidRDefault="00CC6257" w:rsidP="009614D6">
      <w:pPr>
        <w:spacing w:before="40" w:after="40" w:line="0" w:lineRule="atLeast"/>
        <w:jc w:val="center"/>
        <w:rPr>
          <w:rFonts w:ascii="Times New Roman" w:eastAsia="宋体" w:hAnsi="Times New Roman" w:cs="Times New Roman"/>
          <w:sz w:val="24"/>
          <w:szCs w:val="24"/>
        </w:rPr>
      </w:pPr>
      <w:r w:rsidRPr="00C366AE">
        <w:rPr>
          <w:rFonts w:ascii="Times New Roman" w:eastAsia="宋体" w:hAnsi="Times New Roman" w:cs="Times New Roman"/>
          <w:noProof/>
          <w:sz w:val="24"/>
          <w:szCs w:val="24"/>
        </w:rPr>
        <w:drawing>
          <wp:inline distT="0" distB="0" distL="0" distR="0">
            <wp:extent cx="3244850" cy="33985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6" cstate="print">
                      <a:extLst/>
                    </a:blip>
                    <a:stretch>
                      <a:fillRect/>
                    </a:stretch>
                  </pic:blipFill>
                  <pic:spPr>
                    <a:xfrm>
                      <a:off x="0" y="0"/>
                      <a:ext cx="3249464" cy="3403356"/>
                    </a:xfrm>
                    <a:prstGeom prst="rect">
                      <a:avLst/>
                    </a:prstGeom>
                  </pic:spPr>
                </pic:pic>
              </a:graphicData>
            </a:graphic>
          </wp:inline>
        </w:drawing>
      </w:r>
    </w:p>
    <w:p w:rsidR="005E026D" w:rsidRPr="00C366AE" w:rsidRDefault="00CC6257">
      <w:pPr>
        <w:pStyle w:val="3"/>
        <w:spacing w:line="280" w:lineRule="exact"/>
        <w:jc w:val="left"/>
        <w:rPr>
          <w:rFonts w:ascii="宋体" w:hAnsi="宋体" w:cs="宋体"/>
          <w:b/>
          <w:bCs/>
          <w:szCs w:val="24"/>
        </w:rPr>
      </w:pPr>
      <w:bookmarkStart w:id="11" w:name="_Toc988900"/>
      <w:r w:rsidRPr="00C366AE">
        <w:rPr>
          <w:rFonts w:ascii="宋体" w:hAnsi="宋体" w:cs="宋体"/>
          <w:b/>
          <w:bCs/>
          <w:szCs w:val="24"/>
        </w:rPr>
        <w:t>5、在年度报告批准报出日存续的债券情况</w:t>
      </w:r>
      <w:bookmarkEnd w:id="11"/>
    </w:p>
    <w:p w:rsidR="005E026D" w:rsidRPr="00C366AE" w:rsidRDefault="00CC6257">
      <w:pPr>
        <w:spacing w:before="100" w:after="100" w:line="240" w:lineRule="exact"/>
        <w:rPr>
          <w:rFonts w:ascii="宋体" w:eastAsia="宋体" w:hAnsi="宋体" w:cs="宋体"/>
          <w:sz w:val="24"/>
          <w:szCs w:val="24"/>
        </w:rPr>
      </w:pPr>
      <w:r w:rsidRPr="00C366AE">
        <w:rPr>
          <w:rFonts w:ascii="宋体" w:eastAsia="宋体" w:hAnsi="宋体" w:cs="宋体"/>
          <w:sz w:val="24"/>
          <w:szCs w:val="24"/>
        </w:rPr>
        <w:t xml:space="preserve">□适用 </w:t>
      </w:r>
      <w:r w:rsidRPr="00C366AE">
        <w:rPr>
          <w:rFonts w:ascii="宋体" w:eastAsia="宋体" w:hAnsi="宋体" w:cs="宋体"/>
          <w:sz w:val="24"/>
          <w:szCs w:val="24"/>
        </w:rPr>
        <w:sym w:font="Wingdings 2" w:char="F052"/>
      </w:r>
      <w:r w:rsidRPr="00C366AE">
        <w:rPr>
          <w:rFonts w:ascii="宋体" w:eastAsia="宋体" w:hAnsi="宋体" w:cs="宋体"/>
          <w:sz w:val="24"/>
          <w:szCs w:val="24"/>
        </w:rPr>
        <w:t>不适用</w:t>
      </w:r>
    </w:p>
    <w:p w:rsidR="005E026D" w:rsidRPr="00C366AE" w:rsidRDefault="00CC6257">
      <w:pPr>
        <w:pStyle w:val="2"/>
        <w:spacing w:before="300" w:after="300" w:line="320" w:lineRule="exact"/>
        <w:rPr>
          <w:rFonts w:ascii="宋体" w:eastAsia="宋体" w:hAnsi="宋体" w:cs="宋体"/>
          <w:b/>
          <w:bCs/>
          <w:sz w:val="24"/>
          <w:szCs w:val="24"/>
        </w:rPr>
      </w:pPr>
      <w:bookmarkStart w:id="12" w:name="_Toc988901"/>
      <w:r w:rsidRPr="00C366AE">
        <w:rPr>
          <w:rFonts w:ascii="宋体" w:eastAsia="宋体" w:hAnsi="宋体" w:cs="宋体"/>
          <w:b/>
          <w:bCs/>
          <w:sz w:val="24"/>
          <w:szCs w:val="24"/>
        </w:rPr>
        <w:t>三、重要事项</w:t>
      </w:r>
      <w:bookmarkEnd w:id="12"/>
    </w:p>
    <w:p w:rsidR="007954C7" w:rsidRPr="00C366AE" w:rsidRDefault="00CC6257">
      <w:pPr>
        <w:pStyle w:val="a3"/>
        <w:spacing w:before="0" w:beforeAutospacing="0" w:after="0" w:afterAutospacing="0" w:line="360" w:lineRule="auto"/>
        <w:divId w:val="1350907595"/>
      </w:pPr>
      <w:r w:rsidRPr="00C366AE">
        <w:rPr>
          <w:rFonts w:hint="eastAsia"/>
        </w:rPr>
        <w:t>（一）发展战略</w:t>
      </w:r>
    </w:p>
    <w:p w:rsidR="007954C7" w:rsidRPr="00C366AE" w:rsidRDefault="00CC6257">
      <w:pPr>
        <w:pStyle w:val="a3"/>
        <w:spacing w:before="0" w:beforeAutospacing="0" w:after="0" w:afterAutospacing="0" w:line="360" w:lineRule="auto"/>
        <w:ind w:firstLine="420"/>
        <w:jc w:val="both"/>
        <w:divId w:val="1350907595"/>
      </w:pPr>
      <w:r w:rsidRPr="00C366AE">
        <w:rPr>
          <w:rFonts w:hint="eastAsia"/>
        </w:rPr>
        <w:t>2025年是公司革故鼎新、扬帆起航的元年，公司将坚持以“光伏+线缆”</w:t>
      </w:r>
      <w:proofErr w:type="gramStart"/>
      <w:r w:rsidRPr="00C366AE">
        <w:rPr>
          <w:rFonts w:hint="eastAsia"/>
        </w:rPr>
        <w:t>双核心</w:t>
      </w:r>
      <w:proofErr w:type="gramEnd"/>
      <w:r w:rsidRPr="00C366AE">
        <w:rPr>
          <w:rFonts w:hint="eastAsia"/>
        </w:rPr>
        <w:t>业务驱动发展，瞄准行业技术前沿，持续加强全球研发以及产、供、销方面的服务能力，以客户需求为中心进行产品和技术的更新迭代，进一步推进业务全球化，全力开创可持续高质量发展的新局面。</w:t>
      </w:r>
    </w:p>
    <w:p w:rsidR="007954C7" w:rsidRPr="00C366AE" w:rsidRDefault="00CC6257">
      <w:pPr>
        <w:pStyle w:val="a3"/>
        <w:spacing w:before="0" w:beforeAutospacing="0" w:after="0" w:afterAutospacing="0" w:line="360" w:lineRule="auto"/>
        <w:divId w:val="1350907595"/>
      </w:pPr>
      <w:r w:rsidRPr="00C366AE">
        <w:rPr>
          <w:rFonts w:hint="eastAsia"/>
          <w:color w:val="000000"/>
        </w:rPr>
        <w:t>（二）经营计划</w:t>
      </w:r>
    </w:p>
    <w:p w:rsidR="007954C7" w:rsidRPr="00C366AE" w:rsidRDefault="00CC6257">
      <w:pPr>
        <w:pStyle w:val="a3"/>
        <w:spacing w:before="0" w:beforeAutospacing="0" w:after="0" w:afterAutospacing="0" w:line="360" w:lineRule="auto"/>
        <w:ind w:firstLine="420"/>
        <w:jc w:val="both"/>
        <w:divId w:val="1350907595"/>
      </w:pPr>
      <w:r w:rsidRPr="00C366AE">
        <w:rPr>
          <w:rFonts w:hint="eastAsia"/>
        </w:rPr>
        <w:t>1.线缆业务</w:t>
      </w:r>
    </w:p>
    <w:p w:rsidR="007954C7" w:rsidRPr="00C366AE" w:rsidRDefault="00CC6257">
      <w:pPr>
        <w:pStyle w:val="a3"/>
        <w:spacing w:before="0" w:beforeAutospacing="0" w:after="0" w:afterAutospacing="0" w:line="360" w:lineRule="auto"/>
        <w:ind w:firstLine="420"/>
        <w:jc w:val="both"/>
        <w:divId w:val="1350907595"/>
      </w:pPr>
      <w:r w:rsidRPr="00C366AE">
        <w:rPr>
          <w:rFonts w:hint="eastAsia"/>
        </w:rPr>
        <w:t>（1）融入国内国际双循环。强化国内市场拓展，加强与现有国内优质客户的业务联系，同时发挥与控股股东的业务协同优势，开发新客户群体，恢复并扩大市场份额；加快海外业务布局，组建国际化人才团队，推进线缆品牌国际化。</w:t>
      </w:r>
    </w:p>
    <w:p w:rsidR="007954C7" w:rsidRPr="00C366AE" w:rsidRDefault="00CC6257">
      <w:pPr>
        <w:pStyle w:val="a3"/>
        <w:spacing w:before="0" w:beforeAutospacing="0" w:after="0" w:afterAutospacing="0" w:line="360" w:lineRule="auto"/>
        <w:ind w:firstLine="420"/>
        <w:jc w:val="both"/>
        <w:divId w:val="1350907595"/>
      </w:pPr>
      <w:r w:rsidRPr="00C366AE">
        <w:rPr>
          <w:rFonts w:hint="eastAsia"/>
        </w:rPr>
        <w:t>（2）</w:t>
      </w:r>
      <w:proofErr w:type="gramStart"/>
      <w:r w:rsidRPr="00C366AE">
        <w:rPr>
          <w:rFonts w:hint="eastAsia"/>
        </w:rPr>
        <w:t>提升风控管理</w:t>
      </w:r>
      <w:proofErr w:type="gramEnd"/>
      <w:r w:rsidRPr="00C366AE">
        <w:rPr>
          <w:rFonts w:hint="eastAsia"/>
        </w:rPr>
        <w:t>，强化合</w:t>
      </w:r>
      <w:proofErr w:type="gramStart"/>
      <w:r w:rsidRPr="00C366AE">
        <w:rPr>
          <w:rFonts w:hint="eastAsia"/>
        </w:rPr>
        <w:t>规</w:t>
      </w:r>
      <w:proofErr w:type="gramEnd"/>
      <w:r w:rsidRPr="00C366AE">
        <w:rPr>
          <w:rFonts w:hint="eastAsia"/>
        </w:rPr>
        <w:t>经营。通过科技赋能整合线缆板块产能，实现对各个生产基地的采、产、销全流程的风险识别，有效防范和降低业务风险；强化合</w:t>
      </w:r>
      <w:proofErr w:type="gramStart"/>
      <w:r w:rsidRPr="00C366AE">
        <w:rPr>
          <w:rFonts w:hint="eastAsia"/>
        </w:rPr>
        <w:t>规</w:t>
      </w:r>
      <w:proofErr w:type="gramEnd"/>
      <w:r w:rsidRPr="00C366AE">
        <w:rPr>
          <w:rFonts w:hint="eastAsia"/>
        </w:rPr>
        <w:t>经营意识，加强采购成本、相关费用的管控力度，努力降低生产成本，提高经营效益。</w:t>
      </w:r>
    </w:p>
    <w:p w:rsidR="007954C7" w:rsidRPr="00C366AE" w:rsidRDefault="00CC6257">
      <w:pPr>
        <w:pStyle w:val="a3"/>
        <w:spacing w:before="0" w:beforeAutospacing="0" w:after="0" w:afterAutospacing="0" w:line="360" w:lineRule="auto"/>
        <w:ind w:firstLine="420"/>
        <w:jc w:val="both"/>
        <w:divId w:val="1350907595"/>
      </w:pPr>
      <w:r w:rsidRPr="00C366AE">
        <w:rPr>
          <w:rFonts w:hint="eastAsia"/>
        </w:rPr>
        <w:lastRenderedPageBreak/>
        <w:t>（3）加强金融赋能，做好套期保值。建立金融工具管理制度，加强对金融工具的理解与运用，合理使用金融工具对冲原材料、产成品的价格波动风险，做好套期保值工作，稳定盈利水平。</w:t>
      </w:r>
    </w:p>
    <w:p w:rsidR="007954C7" w:rsidRPr="00C366AE" w:rsidRDefault="00CC6257">
      <w:pPr>
        <w:pStyle w:val="a3"/>
        <w:spacing w:before="0" w:beforeAutospacing="0" w:after="0" w:afterAutospacing="0" w:line="360" w:lineRule="auto"/>
        <w:ind w:firstLine="420"/>
        <w:jc w:val="both"/>
        <w:divId w:val="1350907595"/>
      </w:pPr>
      <w:r w:rsidRPr="00C366AE">
        <w:rPr>
          <w:rFonts w:hint="eastAsia"/>
        </w:rPr>
        <w:t>2.光伏业务</w:t>
      </w:r>
    </w:p>
    <w:p w:rsidR="007954C7" w:rsidRPr="00C366AE" w:rsidRDefault="00CC6257">
      <w:pPr>
        <w:pStyle w:val="a3"/>
        <w:spacing w:before="0" w:beforeAutospacing="0" w:after="0" w:afterAutospacing="0" w:line="360" w:lineRule="auto"/>
        <w:ind w:firstLine="420"/>
        <w:jc w:val="both"/>
        <w:divId w:val="1350907595"/>
      </w:pPr>
      <w:r w:rsidRPr="00C366AE">
        <w:rPr>
          <w:rFonts w:hint="eastAsia"/>
        </w:rPr>
        <w:t>（1）加强品牌影响力，强化全球布局。</w:t>
      </w:r>
      <w:proofErr w:type="gramStart"/>
      <w:r w:rsidRPr="00C366AE">
        <w:rPr>
          <w:rFonts w:hint="eastAsia"/>
        </w:rPr>
        <w:t>以腾晖</w:t>
      </w:r>
      <w:proofErr w:type="gramEnd"/>
      <w:r w:rsidRPr="00C366AE">
        <w:rPr>
          <w:rFonts w:hint="eastAsia"/>
        </w:rPr>
        <w:t>光伏重回彭博新能源财经Tier1名单为契机，加速品牌出海，增强全球客户</w:t>
      </w:r>
      <w:proofErr w:type="gramStart"/>
      <w:r w:rsidRPr="00C366AE">
        <w:rPr>
          <w:rFonts w:hint="eastAsia"/>
        </w:rPr>
        <w:t>对腾晖</w:t>
      </w:r>
      <w:proofErr w:type="gramEnd"/>
      <w:r w:rsidRPr="00C366AE">
        <w:rPr>
          <w:rFonts w:hint="eastAsia"/>
        </w:rPr>
        <w:t>光伏的认知度与信心。面对复杂多变的海外贸易环境，逐步完善海外配套产业链，强化海外高价值市场供应链稳定性。推动光</w:t>
      </w:r>
      <w:proofErr w:type="gramStart"/>
      <w:r w:rsidRPr="00C366AE">
        <w:rPr>
          <w:rFonts w:hint="eastAsia"/>
        </w:rPr>
        <w:t>伏海外</w:t>
      </w:r>
      <w:proofErr w:type="gramEnd"/>
      <w:r w:rsidRPr="00C366AE">
        <w:rPr>
          <w:rFonts w:hint="eastAsia"/>
        </w:rPr>
        <w:t>制造本土化，响应海外贸易政策，避免贸易壁垒、关税制裁等风险。</w:t>
      </w:r>
    </w:p>
    <w:p w:rsidR="007954C7" w:rsidRPr="00C366AE" w:rsidRDefault="00CC6257">
      <w:pPr>
        <w:pStyle w:val="a3"/>
        <w:spacing w:before="0" w:beforeAutospacing="0" w:after="0" w:afterAutospacing="0" w:line="360" w:lineRule="auto"/>
        <w:ind w:firstLine="420"/>
        <w:jc w:val="both"/>
        <w:divId w:val="1350907595"/>
      </w:pPr>
      <w:r w:rsidRPr="00C366AE">
        <w:rPr>
          <w:rFonts w:hint="eastAsia"/>
        </w:rPr>
        <w:t>（2）坚持技术开发与产品创新。密切关注国内外技术发展的前沿和趋势，在技术开发和产品创新方面保持合理投入，聚焦构建长期可持续发展能力和技术优势。</w:t>
      </w:r>
    </w:p>
    <w:p w:rsidR="00CC6257" w:rsidRPr="00C366AE" w:rsidRDefault="00CC6257">
      <w:pPr>
        <w:pStyle w:val="a3"/>
        <w:spacing w:before="0" w:beforeAutospacing="0" w:after="0" w:afterAutospacing="0" w:line="360" w:lineRule="auto"/>
        <w:ind w:firstLine="420"/>
        <w:jc w:val="both"/>
        <w:divId w:val="1350907595"/>
      </w:pPr>
      <w:r w:rsidRPr="00C366AE">
        <w:rPr>
          <w:rFonts w:hint="eastAsia"/>
        </w:rPr>
        <w:t>（3）科技赋能业务。</w:t>
      </w:r>
      <w:proofErr w:type="gramStart"/>
      <w:r w:rsidRPr="00C366AE">
        <w:rPr>
          <w:rFonts w:hint="eastAsia"/>
        </w:rPr>
        <w:t>推进业财</w:t>
      </w:r>
      <w:proofErr w:type="gramEnd"/>
      <w:r w:rsidRPr="00C366AE">
        <w:rPr>
          <w:rFonts w:hint="eastAsia"/>
        </w:rPr>
        <w:t>一体化新系统建设，构建统一数字化管理平台，实现流程标准化，强化风险识别、管控能力。推进</w:t>
      </w:r>
      <w:proofErr w:type="gramStart"/>
      <w:r w:rsidRPr="00C366AE">
        <w:rPr>
          <w:rFonts w:hint="eastAsia"/>
        </w:rPr>
        <w:t>主数据</w:t>
      </w:r>
      <w:proofErr w:type="gramEnd"/>
      <w:r w:rsidRPr="00C366AE">
        <w:rPr>
          <w:rFonts w:hint="eastAsia"/>
        </w:rPr>
        <w:t>治理，提高管理精细度，提升业务核心竞争力。</w:t>
      </w:r>
      <w:bookmarkStart w:id="13" w:name="_GoBack"/>
      <w:bookmarkEnd w:id="13"/>
    </w:p>
    <w:sectPr w:rsidR="00CC6257" w:rsidRPr="00C366AE" w:rsidSect="00580E0C">
      <w:headerReference w:type="default" r:id="rId7"/>
      <w:footerReference w:type="default" r:id="rId8"/>
      <w:pgSz w:w="11905" w:h="16840"/>
      <w:pgMar w:top="850" w:right="1134" w:bottom="850" w:left="1134" w:header="850"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521" w:rsidRDefault="00A07521">
      <w:r>
        <w:separator/>
      </w:r>
    </w:p>
  </w:endnote>
  <w:endnote w:type="continuationSeparator" w:id="0">
    <w:p w:rsidR="00A07521" w:rsidRDefault="00A07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26D" w:rsidRDefault="00CC6257">
    <w:pPr>
      <w:pStyle w:val="fotter1"/>
    </w:pPr>
    <w:r>
      <w:fldChar w:fldCharType="begin"/>
    </w:r>
    <w:r>
      <w:instrText>PAGE   \* MERGEFORMAT</w:instrText>
    </w:r>
    <w:r>
      <w:fldChar w:fldCharType="separate"/>
    </w:r>
    <w:r w:rsidR="00580E0C">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521" w:rsidRDefault="00A07521">
      <w:r>
        <w:separator/>
      </w:r>
    </w:p>
  </w:footnote>
  <w:footnote w:type="continuationSeparator" w:id="0">
    <w:p w:rsidR="00A07521" w:rsidRDefault="00A07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26D" w:rsidRDefault="00CC6257">
    <w:pPr>
      <w:pStyle w:val="Header1"/>
      <w:pBdr>
        <w:bottom w:val="single" w:sz="6" w:space="1" w:color="auto"/>
      </w:pBdr>
    </w:pPr>
    <w:r>
      <w:t>江苏中利集团股份有限公司2024年年度报告摘要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26D"/>
    <w:rsid w:val="00067FF8"/>
    <w:rsid w:val="000F0CB0"/>
    <w:rsid w:val="002E3E23"/>
    <w:rsid w:val="003254E6"/>
    <w:rsid w:val="0046053F"/>
    <w:rsid w:val="00535F94"/>
    <w:rsid w:val="00580E0C"/>
    <w:rsid w:val="005E026D"/>
    <w:rsid w:val="005E45A6"/>
    <w:rsid w:val="00655C88"/>
    <w:rsid w:val="006718EC"/>
    <w:rsid w:val="00733D16"/>
    <w:rsid w:val="0075778B"/>
    <w:rsid w:val="007954C7"/>
    <w:rsid w:val="00812080"/>
    <w:rsid w:val="009614D6"/>
    <w:rsid w:val="00A07521"/>
    <w:rsid w:val="00A6046C"/>
    <w:rsid w:val="00A80815"/>
    <w:rsid w:val="00A84678"/>
    <w:rsid w:val="00AE3F14"/>
    <w:rsid w:val="00C366AE"/>
    <w:rsid w:val="00C91D77"/>
    <w:rsid w:val="00CC6257"/>
    <w:rsid w:val="00CE614F"/>
    <w:rsid w:val="00D63A53"/>
    <w:rsid w:val="00DC016D"/>
    <w:rsid w:val="00DC3281"/>
    <w:rsid w:val="00E0548C"/>
    <w:rsid w:val="00E240AE"/>
    <w:rsid w:val="00E704E1"/>
    <w:rsid w:val="00E74F25"/>
    <w:rsid w:val="00F96924"/>
    <w:rsid w:val="00FC4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52CEE2-B699-4552-AED1-613AA30F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DC016D"/>
    <w:pPr>
      <w:keepNext/>
      <w:keepLines/>
      <w:spacing w:before="300" w:after="300" w:line="241" w:lineRule="auto"/>
      <w:jc w:val="both"/>
      <w:outlineLvl w:val="2"/>
    </w:pPr>
    <w:rPr>
      <w:rFonts w:eastAsia="宋体"/>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center"/>
    </w:pPr>
    <w:rPr>
      <w:rFonts w:ascii="仿宋" w:eastAsia="仿宋"/>
      <w:szCs w:val="21"/>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a5"/>
    <w:uiPriority w:val="99"/>
    <w:unhideWhenUsed/>
    <w:rsid w:val="006718E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718EC"/>
    <w:rPr>
      <w:sz w:val="18"/>
      <w:szCs w:val="18"/>
    </w:rPr>
  </w:style>
  <w:style w:type="paragraph" w:styleId="a6">
    <w:name w:val="footer"/>
    <w:basedOn w:val="a"/>
    <w:link w:val="a7"/>
    <w:uiPriority w:val="99"/>
    <w:unhideWhenUsed/>
    <w:rsid w:val="006718EC"/>
    <w:pPr>
      <w:tabs>
        <w:tab w:val="center" w:pos="4153"/>
        <w:tab w:val="right" w:pos="8306"/>
      </w:tabs>
      <w:snapToGrid w:val="0"/>
    </w:pPr>
    <w:rPr>
      <w:sz w:val="18"/>
      <w:szCs w:val="18"/>
    </w:rPr>
  </w:style>
  <w:style w:type="character" w:customStyle="1" w:styleId="a7">
    <w:name w:val="页脚 字符"/>
    <w:basedOn w:val="a0"/>
    <w:link w:val="a6"/>
    <w:uiPriority w:val="99"/>
    <w:rsid w:val="006718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240252">
      <w:bodyDiv w:val="1"/>
      <w:marLeft w:val="0"/>
      <w:marRight w:val="0"/>
      <w:marTop w:val="0"/>
      <w:marBottom w:val="0"/>
      <w:divBdr>
        <w:top w:val="none" w:sz="0" w:space="0" w:color="auto"/>
        <w:left w:val="none" w:sz="0" w:space="0" w:color="auto"/>
        <w:bottom w:val="none" w:sz="0" w:space="0" w:color="auto"/>
        <w:right w:val="none" w:sz="0" w:space="0" w:color="auto"/>
      </w:divBdr>
    </w:div>
    <w:div w:id="1350907595">
      <w:bodyDiv w:val="1"/>
      <w:marLeft w:val="0"/>
      <w:marRight w:val="0"/>
      <w:marTop w:val="0"/>
      <w:marBottom w:val="0"/>
      <w:divBdr>
        <w:top w:val="none" w:sz="0" w:space="0" w:color="auto"/>
        <w:left w:val="none" w:sz="0" w:space="0" w:color="auto"/>
        <w:bottom w:val="none" w:sz="0" w:space="0" w:color="auto"/>
        <w:right w:val="none" w:sz="0" w:space="0" w:color="auto"/>
      </w:divBdr>
    </w:div>
    <w:div w:id="1788809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792</Words>
  <Characters>4515</Characters>
  <Application>Microsoft Office Word</Application>
  <DocSecurity>0</DocSecurity>
  <Lines>37</Lines>
  <Paragraphs>10</Paragraphs>
  <ScaleCrop>false</ScaleCrop>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宋泽林</dc:creator>
  <cp:lastModifiedBy>user</cp:lastModifiedBy>
  <cp:revision>41</cp:revision>
  <dcterms:created xsi:type="dcterms:W3CDTF">2025-04-21T06:50:00Z</dcterms:created>
  <dcterms:modified xsi:type="dcterms:W3CDTF">2025-04-21T13:06:00Z</dcterms:modified>
</cp:coreProperties>
</file>