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6BE50" w14:textId="77777777" w:rsidR="00632E5B" w:rsidRDefault="00107901">
      <w:pPr>
        <w:spacing w:before="2400" w:line="773" w:lineRule="exact"/>
        <w:jc w:val="center"/>
        <w:rPr>
          <w:rFonts w:ascii="宋体" w:eastAsia="宋体" w:hAnsi="宋体" w:cs="宋体" w:hint="eastAsia"/>
          <w:b/>
          <w:bCs/>
          <w:sz w:val="36"/>
          <w:szCs w:val="36"/>
        </w:rPr>
      </w:pPr>
      <w:r>
        <w:rPr>
          <w:rFonts w:ascii="宋体" w:eastAsia="宋体" w:hAnsi="宋体" w:cs="宋体"/>
          <w:b/>
          <w:bCs/>
          <w:sz w:val="36"/>
          <w:szCs w:val="36"/>
        </w:rPr>
        <w:t>江苏中利集团股份有限公司</w:t>
      </w:r>
    </w:p>
    <w:p w14:paraId="2A6FC021" w14:textId="77777777" w:rsidR="00632E5B" w:rsidRDefault="00107901">
      <w:pPr>
        <w:spacing w:before="1000" w:line="240" w:lineRule="exact"/>
        <w:jc w:val="center"/>
        <w:rPr>
          <w:rFonts w:ascii="宋体" w:eastAsia="宋体" w:hAnsi="宋体" w:cs="宋体" w:hint="eastAsia"/>
          <w:b/>
          <w:bCs/>
          <w:sz w:val="32"/>
          <w:szCs w:val="32"/>
        </w:rPr>
      </w:pPr>
      <w:r>
        <w:rPr>
          <w:rFonts w:ascii="宋体" w:eastAsia="宋体" w:hAnsi="宋体" w:cs="宋体"/>
          <w:b/>
          <w:bCs/>
          <w:sz w:val="32"/>
          <w:szCs w:val="32"/>
        </w:rPr>
        <w:t>2024年年度报告</w:t>
      </w:r>
    </w:p>
    <w:p w14:paraId="1C2A8D41" w14:textId="77777777" w:rsidR="00632E5B" w:rsidRDefault="00632E5B">
      <w:pPr>
        <w:spacing w:before="1000" w:line="240" w:lineRule="exact"/>
        <w:jc w:val="center"/>
        <w:rPr>
          <w:rFonts w:ascii="宋体" w:eastAsia="宋体" w:hAnsi="宋体" w:cs="宋体" w:hint="eastAsia"/>
          <w:b/>
          <w:bCs/>
          <w:szCs w:val="21"/>
        </w:rPr>
      </w:pPr>
    </w:p>
    <w:p w14:paraId="2779B33B" w14:textId="77777777" w:rsidR="00632E5B" w:rsidRDefault="00632E5B">
      <w:pPr>
        <w:spacing w:before="1000" w:after="1000" w:line="0" w:lineRule="atLeast"/>
        <w:jc w:val="center"/>
        <w:rPr>
          <w:rFonts w:ascii="Times New Roman" w:eastAsia="宋体" w:hAnsi="Times New Roman" w:cs="Times New Roman"/>
        </w:rPr>
      </w:pPr>
    </w:p>
    <w:p w14:paraId="60517DA3" w14:textId="77777777" w:rsidR="004C344C" w:rsidRDefault="004C344C">
      <w:pPr>
        <w:spacing w:before="400" w:line="320" w:lineRule="exact"/>
        <w:jc w:val="center"/>
        <w:rPr>
          <w:rFonts w:ascii="宋体" w:eastAsia="宋体" w:hAnsi="宋体" w:cs="宋体" w:hint="eastAsia"/>
          <w:b/>
          <w:bCs/>
          <w:sz w:val="32"/>
          <w:szCs w:val="32"/>
        </w:rPr>
      </w:pPr>
    </w:p>
    <w:p w14:paraId="75AEEA68" w14:textId="77777777" w:rsidR="004C344C" w:rsidRDefault="004C344C">
      <w:pPr>
        <w:spacing w:before="400" w:line="320" w:lineRule="exact"/>
        <w:jc w:val="center"/>
        <w:rPr>
          <w:rFonts w:ascii="宋体" w:eastAsia="宋体" w:hAnsi="宋体" w:cs="宋体" w:hint="eastAsia"/>
          <w:b/>
          <w:bCs/>
          <w:sz w:val="32"/>
          <w:szCs w:val="32"/>
        </w:rPr>
      </w:pPr>
    </w:p>
    <w:p w14:paraId="734BBD3B" w14:textId="77777777" w:rsidR="004C344C" w:rsidRDefault="004C344C">
      <w:pPr>
        <w:spacing w:before="400" w:line="320" w:lineRule="exact"/>
        <w:jc w:val="center"/>
        <w:rPr>
          <w:rFonts w:ascii="宋体" w:eastAsia="宋体" w:hAnsi="宋体" w:cs="宋体" w:hint="eastAsia"/>
          <w:b/>
          <w:bCs/>
          <w:sz w:val="32"/>
          <w:szCs w:val="32"/>
        </w:rPr>
      </w:pPr>
    </w:p>
    <w:p w14:paraId="567E9B44" w14:textId="77777777" w:rsidR="004C344C" w:rsidRDefault="004C344C">
      <w:pPr>
        <w:spacing w:before="400" w:line="320" w:lineRule="exact"/>
        <w:jc w:val="center"/>
        <w:rPr>
          <w:rFonts w:ascii="宋体" w:eastAsia="宋体" w:hAnsi="宋体" w:cs="宋体" w:hint="eastAsia"/>
          <w:b/>
          <w:bCs/>
          <w:sz w:val="32"/>
          <w:szCs w:val="32"/>
        </w:rPr>
      </w:pPr>
    </w:p>
    <w:p w14:paraId="634770F4" w14:textId="77777777" w:rsidR="004C344C" w:rsidRPr="00AC2E33" w:rsidRDefault="004C344C">
      <w:pPr>
        <w:spacing w:before="400" w:line="320" w:lineRule="exact"/>
        <w:jc w:val="center"/>
        <w:rPr>
          <w:rFonts w:ascii="宋体" w:eastAsia="宋体" w:hAnsi="宋体" w:cs="宋体" w:hint="eastAsia"/>
          <w:b/>
          <w:bCs/>
          <w:sz w:val="32"/>
          <w:szCs w:val="32"/>
        </w:rPr>
      </w:pPr>
    </w:p>
    <w:p w14:paraId="6DDE5589" w14:textId="77777777" w:rsidR="004C344C" w:rsidRDefault="004C344C">
      <w:pPr>
        <w:spacing w:before="400" w:line="320" w:lineRule="exact"/>
        <w:jc w:val="center"/>
        <w:rPr>
          <w:rFonts w:ascii="宋体" w:eastAsia="宋体" w:hAnsi="宋体" w:cs="宋体" w:hint="eastAsia"/>
          <w:b/>
          <w:bCs/>
          <w:sz w:val="32"/>
          <w:szCs w:val="32"/>
        </w:rPr>
      </w:pPr>
    </w:p>
    <w:p w14:paraId="02DDB641" w14:textId="6F7B7257" w:rsidR="00632E5B" w:rsidRDefault="004571D4">
      <w:pPr>
        <w:spacing w:before="400" w:line="320" w:lineRule="exact"/>
        <w:jc w:val="center"/>
        <w:rPr>
          <w:rFonts w:ascii="宋体" w:eastAsia="宋体" w:hAnsi="宋体" w:cs="宋体" w:hint="eastAsia"/>
          <w:b/>
          <w:bCs/>
          <w:sz w:val="32"/>
          <w:szCs w:val="32"/>
        </w:rPr>
      </w:pPr>
      <w:r>
        <w:rPr>
          <w:rFonts w:ascii="宋体" w:eastAsia="宋体" w:hAnsi="宋体" w:cs="宋体" w:hint="eastAsia"/>
          <w:b/>
          <w:bCs/>
          <w:sz w:val="32"/>
          <w:szCs w:val="32"/>
        </w:rPr>
        <w:t>2</w:t>
      </w:r>
      <w:r>
        <w:rPr>
          <w:rFonts w:ascii="宋体" w:eastAsia="宋体" w:hAnsi="宋体" w:cs="宋体"/>
          <w:b/>
          <w:bCs/>
          <w:sz w:val="32"/>
          <w:szCs w:val="32"/>
        </w:rPr>
        <w:t>025</w:t>
      </w:r>
      <w:r>
        <w:rPr>
          <w:rFonts w:ascii="宋体" w:eastAsia="宋体" w:hAnsi="宋体" w:cs="宋体" w:hint="eastAsia"/>
          <w:b/>
          <w:bCs/>
          <w:sz w:val="32"/>
          <w:szCs w:val="32"/>
        </w:rPr>
        <w:t>年4月2</w:t>
      </w:r>
      <w:r>
        <w:rPr>
          <w:rFonts w:ascii="宋体" w:eastAsia="宋体" w:hAnsi="宋体" w:cs="宋体"/>
          <w:b/>
          <w:bCs/>
          <w:sz w:val="32"/>
          <w:szCs w:val="32"/>
        </w:rPr>
        <w:t>2</w:t>
      </w:r>
      <w:r>
        <w:rPr>
          <w:rFonts w:ascii="宋体" w:eastAsia="宋体" w:hAnsi="宋体" w:cs="宋体" w:hint="eastAsia"/>
          <w:b/>
          <w:bCs/>
          <w:sz w:val="32"/>
          <w:szCs w:val="32"/>
        </w:rPr>
        <w:t>日</w:t>
      </w:r>
    </w:p>
    <w:p w14:paraId="0EA58A99" w14:textId="77777777" w:rsidR="00632E5B" w:rsidRDefault="00107901">
      <w:r>
        <w:br w:type="page"/>
      </w:r>
    </w:p>
    <w:p w14:paraId="7FC2BEC9" w14:textId="77777777" w:rsidR="00632E5B" w:rsidRDefault="00107901">
      <w:pPr>
        <w:spacing w:before="1000" w:after="40" w:line="440" w:lineRule="exact"/>
        <w:jc w:val="center"/>
        <w:rPr>
          <w:rFonts w:ascii="宋体" w:eastAsia="宋体" w:hAnsi="宋体" w:cs="宋体" w:hint="eastAsia"/>
          <w:b/>
          <w:bCs/>
          <w:sz w:val="44"/>
          <w:szCs w:val="44"/>
        </w:rPr>
      </w:pPr>
      <w:r>
        <w:rPr>
          <w:rFonts w:ascii="宋体" w:eastAsia="宋体" w:hAnsi="宋体" w:cs="宋体"/>
          <w:b/>
          <w:bCs/>
          <w:sz w:val="44"/>
          <w:szCs w:val="44"/>
        </w:rPr>
        <w:lastRenderedPageBreak/>
        <w:t>2024年年度报告</w:t>
      </w:r>
    </w:p>
    <w:p w14:paraId="6D1E267E" w14:textId="77777777" w:rsidR="00632E5B" w:rsidRDefault="00107901">
      <w:pPr>
        <w:pStyle w:val="headingh1"/>
        <w:spacing w:before="340" w:after="330" w:line="773" w:lineRule="exact"/>
        <w:jc w:val="center"/>
        <w:rPr>
          <w:rFonts w:ascii="宋体" w:eastAsia="宋体" w:hAnsi="宋体" w:cs="宋体" w:hint="eastAsia"/>
          <w:b/>
          <w:bCs/>
          <w:sz w:val="32"/>
          <w:szCs w:val="32"/>
        </w:rPr>
      </w:pPr>
      <w:bookmarkStart w:id="0" w:name="_Toc988889"/>
      <w:r>
        <w:rPr>
          <w:rFonts w:ascii="宋体" w:eastAsia="宋体" w:hAnsi="宋体" w:cs="宋体"/>
          <w:b/>
          <w:bCs/>
          <w:sz w:val="32"/>
          <w:szCs w:val="32"/>
        </w:rPr>
        <w:t>第一节 重要提示、目录和释义</w:t>
      </w:r>
      <w:bookmarkEnd w:id="0"/>
    </w:p>
    <w:p w14:paraId="38B7AB2E" w14:textId="77777777" w:rsidR="00632E5B" w:rsidRDefault="00107901" w:rsidP="009844FF">
      <w:pPr>
        <w:spacing w:before="40" w:after="40" w:line="560" w:lineRule="exact"/>
        <w:ind w:firstLineChars="200" w:firstLine="562"/>
        <w:jc w:val="both"/>
        <w:rPr>
          <w:rFonts w:ascii="宋体" w:eastAsia="宋体" w:hAnsi="宋体" w:cs="宋体" w:hint="eastAsia"/>
          <w:b/>
          <w:bCs/>
          <w:sz w:val="28"/>
          <w:szCs w:val="28"/>
        </w:rPr>
      </w:pPr>
      <w:r>
        <w:rPr>
          <w:rFonts w:ascii="宋体" w:eastAsia="宋体" w:hAnsi="宋体" w:cs="宋体"/>
          <w:b/>
          <w:bCs/>
          <w:sz w:val="28"/>
          <w:szCs w:val="28"/>
        </w:rPr>
        <w:t>公司董事会、监事会及董事、监事、高级管理人员保证年度报告内容的真实、准确、完整，不存在虚假记载、误导性陈述或重大遗漏，并承担个别和连带的法律责任。</w:t>
      </w:r>
    </w:p>
    <w:p w14:paraId="792EE3D7" w14:textId="77777777" w:rsidR="00632E5B" w:rsidRDefault="00107901" w:rsidP="009844FF">
      <w:pPr>
        <w:spacing w:line="560" w:lineRule="exact"/>
        <w:ind w:firstLineChars="200" w:firstLine="562"/>
        <w:jc w:val="both"/>
        <w:rPr>
          <w:rFonts w:ascii="宋体" w:eastAsia="宋体" w:hAnsi="宋体" w:cs="宋体" w:hint="eastAsia"/>
          <w:b/>
          <w:bCs/>
          <w:sz w:val="28"/>
          <w:szCs w:val="28"/>
        </w:rPr>
      </w:pPr>
      <w:r>
        <w:rPr>
          <w:rFonts w:ascii="宋体" w:eastAsia="宋体" w:hAnsi="宋体" w:cs="宋体"/>
          <w:b/>
          <w:bCs/>
          <w:sz w:val="28"/>
          <w:szCs w:val="28"/>
        </w:rPr>
        <w:t>公司负责人许加纳、主管会计工作负责人廖嘉琦及会计机构负责人（会计主管人员）廖嘉琦声明：保证本年度报告中财务报告的真实、准确、完整。</w:t>
      </w:r>
    </w:p>
    <w:p w14:paraId="16E7B109" w14:textId="77777777" w:rsidR="00632E5B" w:rsidRDefault="00107901">
      <w:pPr>
        <w:spacing w:line="560" w:lineRule="exact"/>
        <w:rPr>
          <w:rFonts w:ascii="宋体" w:eastAsia="宋体" w:hAnsi="宋体" w:cs="宋体" w:hint="eastAsia"/>
          <w:b/>
          <w:bCs/>
          <w:sz w:val="28"/>
          <w:szCs w:val="28"/>
        </w:rPr>
      </w:pPr>
      <w:r>
        <w:rPr>
          <w:rFonts w:ascii="宋体" w:eastAsia="宋体" w:hAnsi="宋体" w:cs="宋体"/>
          <w:b/>
          <w:bCs/>
          <w:sz w:val="28"/>
          <w:szCs w:val="28"/>
        </w:rPr>
        <w:t>所有董事均已出席了审议本报告的董事会会议。</w:t>
      </w:r>
    </w:p>
    <w:p w14:paraId="517F588C" w14:textId="77777777" w:rsidR="00E72F0C" w:rsidRDefault="00107901" w:rsidP="009844FF">
      <w:pPr>
        <w:pStyle w:val="a3"/>
        <w:spacing w:beforeAutospacing="0" w:afterAutospacing="0" w:line="560" w:lineRule="atLeast"/>
        <w:ind w:firstLine="648"/>
        <w:jc w:val="both"/>
        <w:divId w:val="37777819"/>
        <w:rPr>
          <w:rFonts w:hint="eastAsia"/>
          <w:b/>
          <w:bCs/>
          <w:sz w:val="28"/>
          <w:szCs w:val="28"/>
        </w:rPr>
      </w:pPr>
      <w:r>
        <w:rPr>
          <w:rFonts w:hint="eastAsia"/>
          <w:b/>
          <w:bCs/>
          <w:sz w:val="28"/>
          <w:szCs w:val="28"/>
        </w:rPr>
        <w:t>本报告中所涉及的未来计划、发展战略等前瞻性陈述，并不构成公司对投资者的实质承诺，敬请投资者及相关人士对此保持足够的风险认识，理解计划、预测与承诺之间的差异，注意投资风险。</w:t>
      </w:r>
    </w:p>
    <w:p w14:paraId="1D74C821" w14:textId="77777777" w:rsidR="00E72F0C" w:rsidRDefault="00107901" w:rsidP="009844FF">
      <w:pPr>
        <w:pStyle w:val="a3"/>
        <w:spacing w:beforeAutospacing="0" w:afterAutospacing="0" w:line="560" w:lineRule="atLeast"/>
        <w:ind w:firstLine="648"/>
        <w:jc w:val="both"/>
        <w:divId w:val="1583299711"/>
        <w:rPr>
          <w:rFonts w:hint="eastAsia"/>
          <w:b/>
          <w:bCs/>
          <w:sz w:val="28"/>
          <w:szCs w:val="28"/>
        </w:rPr>
      </w:pPr>
      <w:r>
        <w:rPr>
          <w:rFonts w:hint="eastAsia"/>
          <w:b/>
          <w:bCs/>
          <w:sz w:val="28"/>
          <w:szCs w:val="28"/>
        </w:rPr>
        <w:t>公司董事会提请投资者关注公司在经营过程中可能面临的风险，敬请查阅第三节“管理层讨论与分析”之“十一、公司未来发展的展望”中经营过程中可能面临的风险分析及应对措施之内容。</w:t>
      </w:r>
    </w:p>
    <w:p w14:paraId="242E6897" w14:textId="77777777" w:rsidR="00632E5B" w:rsidRDefault="00107901" w:rsidP="009844FF">
      <w:pPr>
        <w:spacing w:line="560" w:lineRule="exact"/>
        <w:ind w:firstLineChars="200" w:firstLine="562"/>
        <w:jc w:val="both"/>
        <w:rPr>
          <w:rFonts w:ascii="宋体" w:eastAsia="宋体" w:hAnsi="宋体" w:cs="宋体" w:hint="eastAsia"/>
          <w:b/>
          <w:bCs/>
          <w:sz w:val="28"/>
          <w:szCs w:val="28"/>
        </w:rPr>
      </w:pPr>
      <w:r>
        <w:rPr>
          <w:rFonts w:ascii="宋体" w:eastAsia="宋体" w:hAnsi="宋体" w:cs="宋体"/>
          <w:b/>
          <w:bCs/>
          <w:sz w:val="28"/>
          <w:szCs w:val="28"/>
        </w:rPr>
        <w:t>公司计划不派发现金红利，不送红股，不以公积金转增股本。</w:t>
      </w:r>
    </w:p>
    <w:p w14:paraId="236F3117" w14:textId="77777777" w:rsidR="00632E5B" w:rsidRDefault="00107901">
      <w:r>
        <w:br w:type="page"/>
      </w:r>
    </w:p>
    <w:p w14:paraId="7BBAF6B9" w14:textId="07171020" w:rsidR="00632E5B" w:rsidRDefault="00107901">
      <w:pPr>
        <w:spacing w:line="720" w:lineRule="exact"/>
        <w:jc w:val="center"/>
        <w:rPr>
          <w:rFonts w:ascii="宋体" w:eastAsia="宋体" w:hAnsi="宋体" w:cs="宋体" w:hint="eastAsia"/>
          <w:b/>
          <w:bCs/>
          <w:sz w:val="36"/>
          <w:szCs w:val="36"/>
        </w:rPr>
      </w:pPr>
      <w:r>
        <w:rPr>
          <w:rFonts w:ascii="宋体" w:eastAsia="宋体" w:hAnsi="宋体" w:cs="宋体"/>
          <w:b/>
          <w:bCs/>
          <w:sz w:val="36"/>
          <w:szCs w:val="36"/>
        </w:rPr>
        <w:lastRenderedPageBreak/>
        <w:t>目录</w:t>
      </w:r>
    </w:p>
    <w:p w14:paraId="1AD2607D" w14:textId="77777777" w:rsidR="00571CAE" w:rsidRDefault="00571CAE" w:rsidP="00571CAE">
      <w:pPr>
        <w:jc w:val="center"/>
        <w:rPr>
          <w:rFonts w:ascii="宋体" w:eastAsia="宋体" w:hAnsi="宋体" w:cs="宋体" w:hint="eastAsia"/>
          <w:b/>
          <w:bCs/>
          <w:sz w:val="36"/>
          <w:szCs w:val="36"/>
        </w:rPr>
      </w:pPr>
    </w:p>
    <w:p w14:paraId="4E982053" w14:textId="169F3BEF" w:rsidR="00632E5B" w:rsidRPr="00571CAE" w:rsidRDefault="00107901" w:rsidP="00CF417C">
      <w:pPr>
        <w:pStyle w:val="TOC1"/>
        <w:rPr>
          <w:rFonts w:asciiTheme="minorEastAsia" w:hAnsiTheme="minorEastAsia" w:hint="eastAsia"/>
          <w:b/>
          <w:noProof/>
        </w:rPr>
      </w:pPr>
      <w:r w:rsidRPr="00571CAE">
        <w:rPr>
          <w:rFonts w:asciiTheme="minorEastAsia" w:hAnsiTheme="minorEastAsia"/>
          <w:b/>
        </w:rPr>
        <w:fldChar w:fldCharType="begin"/>
      </w:r>
      <w:r w:rsidRPr="00571CAE">
        <w:rPr>
          <w:rFonts w:asciiTheme="minorEastAsia" w:hAnsiTheme="minorEastAsia"/>
          <w:b/>
        </w:rPr>
        <w:instrText xml:space="preserve"> </w:instrText>
      </w:r>
      <w:r w:rsidRPr="00571CAE">
        <w:rPr>
          <w:rFonts w:asciiTheme="minorEastAsia" w:hAnsiTheme="minorEastAsia" w:hint="eastAsia"/>
          <w:b/>
        </w:rPr>
        <w:instrText>TOC \o "1-2" \h \z \u</w:instrText>
      </w:r>
      <w:r w:rsidRPr="00571CAE">
        <w:rPr>
          <w:rFonts w:asciiTheme="minorEastAsia" w:hAnsiTheme="minorEastAsia"/>
          <w:b/>
        </w:rPr>
        <w:instrText xml:space="preserve"> </w:instrText>
      </w:r>
      <w:r w:rsidRPr="00571CAE">
        <w:rPr>
          <w:rFonts w:asciiTheme="minorEastAsia" w:hAnsiTheme="minorEastAsia"/>
          <w:b/>
        </w:rPr>
        <w:fldChar w:fldCharType="separate"/>
      </w:r>
      <w:hyperlink w:anchor="_Toc988889" w:history="1">
        <w:r w:rsidRPr="00571CAE">
          <w:rPr>
            <w:rFonts w:asciiTheme="minorEastAsia" w:hAnsiTheme="minorEastAsia" w:hint="eastAsia"/>
            <w:b/>
            <w:bCs/>
            <w:noProof/>
            <w:sz w:val="24"/>
          </w:rPr>
          <w:t>第一节 重要提示、目录和释义</w:t>
        </w:r>
        <w:r w:rsidRPr="00571CAE">
          <w:rPr>
            <w:rFonts w:asciiTheme="minorEastAsia" w:hAnsiTheme="minorEastAsia"/>
            <w:b/>
            <w:noProof/>
            <w:webHidden/>
          </w:rPr>
          <w:tab/>
        </w:r>
        <w:r w:rsidRPr="00571CAE">
          <w:rPr>
            <w:rFonts w:asciiTheme="minorEastAsia" w:hAnsiTheme="minorEastAsia"/>
            <w:b/>
            <w:noProof/>
            <w:webHidden/>
          </w:rPr>
          <w:fldChar w:fldCharType="begin"/>
        </w:r>
        <w:r w:rsidRPr="00571CAE">
          <w:rPr>
            <w:rFonts w:asciiTheme="minorEastAsia" w:hAnsiTheme="minorEastAsia"/>
            <w:b/>
            <w:noProof/>
            <w:webHidden/>
          </w:rPr>
          <w:instrText xml:space="preserve"> PAGEREF _Toc988889 \h </w:instrText>
        </w:r>
        <w:r w:rsidRPr="00571CAE">
          <w:rPr>
            <w:rFonts w:asciiTheme="minorEastAsia" w:hAnsiTheme="minorEastAsia"/>
            <w:b/>
            <w:noProof/>
            <w:webHidden/>
          </w:rPr>
        </w:r>
        <w:r w:rsidRPr="00571CAE">
          <w:rPr>
            <w:rFonts w:asciiTheme="minorEastAsia" w:hAnsiTheme="minorEastAsia"/>
            <w:b/>
            <w:noProof/>
            <w:webHidden/>
          </w:rPr>
          <w:fldChar w:fldCharType="separate"/>
        </w:r>
        <w:r w:rsidR="00F273B9">
          <w:rPr>
            <w:rFonts w:asciiTheme="minorEastAsia" w:hAnsiTheme="minorEastAsia" w:hint="eastAsia"/>
            <w:b/>
            <w:noProof/>
            <w:webHidden/>
          </w:rPr>
          <w:t>2</w:t>
        </w:r>
        <w:r w:rsidRPr="00571CAE">
          <w:rPr>
            <w:rFonts w:asciiTheme="minorEastAsia" w:hAnsiTheme="minorEastAsia"/>
            <w:b/>
            <w:noProof/>
            <w:webHidden/>
          </w:rPr>
          <w:fldChar w:fldCharType="end"/>
        </w:r>
      </w:hyperlink>
    </w:p>
    <w:p w14:paraId="3D1CF994" w14:textId="27FAA062" w:rsidR="00632E5B" w:rsidRPr="00571CAE" w:rsidRDefault="00107901" w:rsidP="00CF417C">
      <w:pPr>
        <w:pStyle w:val="TOC1"/>
        <w:rPr>
          <w:rFonts w:asciiTheme="minorEastAsia" w:hAnsiTheme="minorEastAsia" w:hint="eastAsia"/>
          <w:b/>
          <w:noProof/>
        </w:rPr>
      </w:pPr>
      <w:hyperlink w:anchor="_Toc988890" w:history="1">
        <w:r w:rsidRPr="00571CAE">
          <w:rPr>
            <w:rFonts w:asciiTheme="minorEastAsia" w:hAnsiTheme="minorEastAsia" w:hint="eastAsia"/>
            <w:b/>
            <w:bCs/>
            <w:noProof/>
            <w:sz w:val="24"/>
          </w:rPr>
          <w:t>第二节 公司简介和主要财务指标</w:t>
        </w:r>
        <w:r w:rsidRPr="00571CAE">
          <w:rPr>
            <w:rFonts w:asciiTheme="minorEastAsia" w:hAnsiTheme="minorEastAsia"/>
            <w:b/>
            <w:noProof/>
            <w:webHidden/>
          </w:rPr>
          <w:tab/>
        </w:r>
        <w:r w:rsidRPr="00571CAE">
          <w:rPr>
            <w:rFonts w:asciiTheme="minorEastAsia" w:hAnsiTheme="minorEastAsia"/>
            <w:b/>
            <w:noProof/>
            <w:webHidden/>
          </w:rPr>
          <w:fldChar w:fldCharType="begin"/>
        </w:r>
        <w:r w:rsidRPr="00571CAE">
          <w:rPr>
            <w:rFonts w:asciiTheme="minorEastAsia" w:hAnsiTheme="minorEastAsia"/>
            <w:b/>
            <w:noProof/>
            <w:webHidden/>
          </w:rPr>
          <w:instrText xml:space="preserve"> PAGEREF _Toc988890 \h </w:instrText>
        </w:r>
        <w:r w:rsidRPr="00571CAE">
          <w:rPr>
            <w:rFonts w:asciiTheme="minorEastAsia" w:hAnsiTheme="minorEastAsia"/>
            <w:b/>
            <w:noProof/>
            <w:webHidden/>
          </w:rPr>
        </w:r>
        <w:r w:rsidRPr="00571CAE">
          <w:rPr>
            <w:rFonts w:asciiTheme="minorEastAsia" w:hAnsiTheme="minorEastAsia"/>
            <w:b/>
            <w:noProof/>
            <w:webHidden/>
          </w:rPr>
          <w:fldChar w:fldCharType="separate"/>
        </w:r>
        <w:r w:rsidR="00F273B9">
          <w:rPr>
            <w:rFonts w:asciiTheme="minorEastAsia" w:hAnsiTheme="minorEastAsia" w:hint="eastAsia"/>
            <w:b/>
            <w:noProof/>
            <w:webHidden/>
          </w:rPr>
          <w:t>7</w:t>
        </w:r>
        <w:r w:rsidRPr="00571CAE">
          <w:rPr>
            <w:rFonts w:asciiTheme="minorEastAsia" w:hAnsiTheme="minorEastAsia"/>
            <w:b/>
            <w:noProof/>
            <w:webHidden/>
          </w:rPr>
          <w:fldChar w:fldCharType="end"/>
        </w:r>
      </w:hyperlink>
    </w:p>
    <w:p w14:paraId="1B9F6C0C" w14:textId="1EFA16CA" w:rsidR="00632E5B" w:rsidRPr="00571CAE" w:rsidRDefault="00107901" w:rsidP="00CF417C">
      <w:pPr>
        <w:pStyle w:val="TOC1"/>
        <w:rPr>
          <w:rFonts w:asciiTheme="minorEastAsia" w:hAnsiTheme="minorEastAsia" w:hint="eastAsia"/>
          <w:b/>
          <w:noProof/>
        </w:rPr>
      </w:pPr>
      <w:hyperlink w:anchor="_Toc988902" w:history="1">
        <w:r w:rsidRPr="00571CAE">
          <w:rPr>
            <w:rFonts w:asciiTheme="minorEastAsia" w:hAnsiTheme="minorEastAsia" w:hint="eastAsia"/>
            <w:b/>
            <w:bCs/>
            <w:noProof/>
            <w:sz w:val="24"/>
          </w:rPr>
          <w:t>第三节 管理层讨论与分析</w:t>
        </w:r>
        <w:r w:rsidRPr="00571CAE">
          <w:rPr>
            <w:rFonts w:asciiTheme="minorEastAsia" w:hAnsiTheme="minorEastAsia"/>
            <w:b/>
            <w:noProof/>
            <w:webHidden/>
          </w:rPr>
          <w:tab/>
        </w:r>
        <w:r w:rsidRPr="00571CAE">
          <w:rPr>
            <w:rFonts w:asciiTheme="minorEastAsia" w:hAnsiTheme="minorEastAsia"/>
            <w:b/>
            <w:noProof/>
            <w:webHidden/>
          </w:rPr>
          <w:fldChar w:fldCharType="begin"/>
        </w:r>
        <w:r w:rsidRPr="00571CAE">
          <w:rPr>
            <w:rFonts w:asciiTheme="minorEastAsia" w:hAnsiTheme="minorEastAsia"/>
            <w:b/>
            <w:noProof/>
            <w:webHidden/>
          </w:rPr>
          <w:instrText xml:space="preserve"> PAGEREF _Toc988902 \h </w:instrText>
        </w:r>
        <w:r w:rsidRPr="00571CAE">
          <w:rPr>
            <w:rFonts w:asciiTheme="minorEastAsia" w:hAnsiTheme="minorEastAsia"/>
            <w:b/>
            <w:noProof/>
            <w:webHidden/>
          </w:rPr>
        </w:r>
        <w:r w:rsidRPr="00571CAE">
          <w:rPr>
            <w:rFonts w:asciiTheme="minorEastAsia" w:hAnsiTheme="minorEastAsia"/>
            <w:b/>
            <w:noProof/>
            <w:webHidden/>
          </w:rPr>
          <w:fldChar w:fldCharType="separate"/>
        </w:r>
        <w:r w:rsidR="00F273B9">
          <w:rPr>
            <w:rFonts w:asciiTheme="minorEastAsia" w:hAnsiTheme="minorEastAsia" w:hint="eastAsia"/>
            <w:b/>
            <w:noProof/>
            <w:webHidden/>
          </w:rPr>
          <w:t>11</w:t>
        </w:r>
        <w:r w:rsidRPr="00571CAE">
          <w:rPr>
            <w:rFonts w:asciiTheme="minorEastAsia" w:hAnsiTheme="minorEastAsia"/>
            <w:b/>
            <w:noProof/>
            <w:webHidden/>
          </w:rPr>
          <w:fldChar w:fldCharType="end"/>
        </w:r>
      </w:hyperlink>
    </w:p>
    <w:p w14:paraId="4E00D490" w14:textId="55A0C12D" w:rsidR="00632E5B" w:rsidRPr="00571CAE" w:rsidRDefault="00107901" w:rsidP="00CF417C">
      <w:pPr>
        <w:pStyle w:val="TOC1"/>
        <w:rPr>
          <w:rFonts w:asciiTheme="minorEastAsia" w:hAnsiTheme="minorEastAsia" w:hint="eastAsia"/>
          <w:b/>
          <w:noProof/>
        </w:rPr>
      </w:pPr>
      <w:hyperlink w:anchor="_Toc988945" w:history="1">
        <w:r w:rsidRPr="00571CAE">
          <w:rPr>
            <w:rFonts w:asciiTheme="minorEastAsia" w:hAnsiTheme="minorEastAsia" w:hint="eastAsia"/>
            <w:b/>
            <w:bCs/>
            <w:noProof/>
            <w:sz w:val="24"/>
          </w:rPr>
          <w:t>第四节 公司治理</w:t>
        </w:r>
        <w:r w:rsidRPr="00571CAE">
          <w:rPr>
            <w:rFonts w:asciiTheme="minorEastAsia" w:hAnsiTheme="minorEastAsia"/>
            <w:b/>
            <w:noProof/>
            <w:webHidden/>
          </w:rPr>
          <w:tab/>
        </w:r>
        <w:r w:rsidRPr="00571CAE">
          <w:rPr>
            <w:rFonts w:asciiTheme="minorEastAsia" w:hAnsiTheme="minorEastAsia"/>
            <w:b/>
            <w:noProof/>
            <w:webHidden/>
          </w:rPr>
          <w:fldChar w:fldCharType="begin"/>
        </w:r>
        <w:r w:rsidRPr="00571CAE">
          <w:rPr>
            <w:rFonts w:asciiTheme="minorEastAsia" w:hAnsiTheme="minorEastAsia"/>
            <w:b/>
            <w:noProof/>
            <w:webHidden/>
          </w:rPr>
          <w:instrText xml:space="preserve"> PAGEREF _Toc988945 \h </w:instrText>
        </w:r>
        <w:r w:rsidRPr="00571CAE">
          <w:rPr>
            <w:rFonts w:asciiTheme="minorEastAsia" w:hAnsiTheme="minorEastAsia"/>
            <w:b/>
            <w:noProof/>
            <w:webHidden/>
          </w:rPr>
        </w:r>
        <w:r w:rsidRPr="00571CAE">
          <w:rPr>
            <w:rFonts w:asciiTheme="minorEastAsia" w:hAnsiTheme="minorEastAsia"/>
            <w:b/>
            <w:noProof/>
            <w:webHidden/>
          </w:rPr>
          <w:fldChar w:fldCharType="separate"/>
        </w:r>
        <w:r w:rsidR="00F273B9">
          <w:rPr>
            <w:rFonts w:asciiTheme="minorEastAsia" w:hAnsiTheme="minorEastAsia" w:hint="eastAsia"/>
            <w:b/>
            <w:noProof/>
            <w:webHidden/>
          </w:rPr>
          <w:t>43</w:t>
        </w:r>
        <w:r w:rsidRPr="00571CAE">
          <w:rPr>
            <w:rFonts w:asciiTheme="minorEastAsia" w:hAnsiTheme="minorEastAsia"/>
            <w:b/>
            <w:noProof/>
            <w:webHidden/>
          </w:rPr>
          <w:fldChar w:fldCharType="end"/>
        </w:r>
      </w:hyperlink>
    </w:p>
    <w:p w14:paraId="10E767BD" w14:textId="09B9C3FE" w:rsidR="00632E5B" w:rsidRPr="00571CAE" w:rsidRDefault="00107901" w:rsidP="00CF417C">
      <w:pPr>
        <w:pStyle w:val="TOC1"/>
        <w:rPr>
          <w:rFonts w:asciiTheme="minorEastAsia" w:hAnsiTheme="minorEastAsia" w:hint="eastAsia"/>
          <w:b/>
          <w:noProof/>
        </w:rPr>
      </w:pPr>
      <w:hyperlink w:anchor="_Toc988978" w:history="1">
        <w:r w:rsidRPr="00571CAE">
          <w:rPr>
            <w:rFonts w:asciiTheme="minorEastAsia" w:hAnsiTheme="minorEastAsia" w:hint="eastAsia"/>
            <w:b/>
            <w:bCs/>
            <w:noProof/>
            <w:sz w:val="24"/>
          </w:rPr>
          <w:t>第五节 环境和社会责任</w:t>
        </w:r>
        <w:r w:rsidRPr="00571CAE">
          <w:rPr>
            <w:rFonts w:asciiTheme="minorEastAsia" w:hAnsiTheme="minorEastAsia"/>
            <w:b/>
            <w:noProof/>
            <w:webHidden/>
          </w:rPr>
          <w:tab/>
        </w:r>
        <w:r w:rsidRPr="00571CAE">
          <w:rPr>
            <w:rFonts w:asciiTheme="minorEastAsia" w:hAnsiTheme="minorEastAsia"/>
            <w:b/>
            <w:noProof/>
            <w:webHidden/>
          </w:rPr>
          <w:fldChar w:fldCharType="begin"/>
        </w:r>
        <w:r w:rsidRPr="00571CAE">
          <w:rPr>
            <w:rFonts w:asciiTheme="minorEastAsia" w:hAnsiTheme="minorEastAsia"/>
            <w:b/>
            <w:noProof/>
            <w:webHidden/>
          </w:rPr>
          <w:instrText xml:space="preserve"> PAGEREF _Toc988978 \h </w:instrText>
        </w:r>
        <w:r w:rsidRPr="00571CAE">
          <w:rPr>
            <w:rFonts w:asciiTheme="minorEastAsia" w:hAnsiTheme="minorEastAsia"/>
            <w:b/>
            <w:noProof/>
            <w:webHidden/>
          </w:rPr>
        </w:r>
        <w:r w:rsidRPr="00571CAE">
          <w:rPr>
            <w:rFonts w:asciiTheme="minorEastAsia" w:hAnsiTheme="minorEastAsia"/>
            <w:b/>
            <w:noProof/>
            <w:webHidden/>
          </w:rPr>
          <w:fldChar w:fldCharType="separate"/>
        </w:r>
        <w:r w:rsidR="00F273B9">
          <w:rPr>
            <w:rFonts w:asciiTheme="minorEastAsia" w:hAnsiTheme="minorEastAsia" w:hint="eastAsia"/>
            <w:b/>
            <w:noProof/>
            <w:webHidden/>
          </w:rPr>
          <w:t>65</w:t>
        </w:r>
        <w:r w:rsidRPr="00571CAE">
          <w:rPr>
            <w:rFonts w:asciiTheme="minorEastAsia" w:hAnsiTheme="minorEastAsia"/>
            <w:b/>
            <w:noProof/>
            <w:webHidden/>
          </w:rPr>
          <w:fldChar w:fldCharType="end"/>
        </w:r>
      </w:hyperlink>
    </w:p>
    <w:p w14:paraId="188385D2" w14:textId="4B4FE6A9" w:rsidR="00632E5B" w:rsidRPr="00571CAE" w:rsidRDefault="00107901" w:rsidP="00CF417C">
      <w:pPr>
        <w:pStyle w:val="TOC1"/>
        <w:rPr>
          <w:rFonts w:asciiTheme="minorEastAsia" w:hAnsiTheme="minorEastAsia" w:hint="eastAsia"/>
          <w:b/>
          <w:noProof/>
        </w:rPr>
      </w:pPr>
      <w:hyperlink w:anchor="_Toc988982" w:history="1">
        <w:r w:rsidRPr="00571CAE">
          <w:rPr>
            <w:rFonts w:asciiTheme="minorEastAsia" w:hAnsiTheme="minorEastAsia" w:hint="eastAsia"/>
            <w:b/>
            <w:bCs/>
            <w:noProof/>
            <w:sz w:val="24"/>
          </w:rPr>
          <w:t>第六节 重要事项</w:t>
        </w:r>
        <w:r w:rsidRPr="00571CAE">
          <w:rPr>
            <w:rFonts w:asciiTheme="minorEastAsia" w:hAnsiTheme="minorEastAsia"/>
            <w:b/>
            <w:noProof/>
            <w:webHidden/>
          </w:rPr>
          <w:tab/>
        </w:r>
        <w:r w:rsidRPr="00571CAE">
          <w:rPr>
            <w:rFonts w:asciiTheme="minorEastAsia" w:hAnsiTheme="minorEastAsia"/>
            <w:b/>
            <w:noProof/>
            <w:webHidden/>
          </w:rPr>
          <w:fldChar w:fldCharType="begin"/>
        </w:r>
        <w:r w:rsidRPr="00571CAE">
          <w:rPr>
            <w:rFonts w:asciiTheme="minorEastAsia" w:hAnsiTheme="minorEastAsia"/>
            <w:b/>
            <w:noProof/>
            <w:webHidden/>
          </w:rPr>
          <w:instrText xml:space="preserve"> PAGEREF _Toc988982 \h </w:instrText>
        </w:r>
        <w:r w:rsidRPr="00571CAE">
          <w:rPr>
            <w:rFonts w:asciiTheme="minorEastAsia" w:hAnsiTheme="minorEastAsia"/>
            <w:b/>
            <w:noProof/>
            <w:webHidden/>
          </w:rPr>
        </w:r>
        <w:r w:rsidRPr="00571CAE">
          <w:rPr>
            <w:rFonts w:asciiTheme="minorEastAsia" w:hAnsiTheme="minorEastAsia"/>
            <w:b/>
            <w:noProof/>
            <w:webHidden/>
          </w:rPr>
          <w:fldChar w:fldCharType="separate"/>
        </w:r>
        <w:r w:rsidR="00F273B9">
          <w:rPr>
            <w:rFonts w:asciiTheme="minorEastAsia" w:hAnsiTheme="minorEastAsia" w:hint="eastAsia"/>
            <w:b/>
            <w:noProof/>
            <w:webHidden/>
          </w:rPr>
          <w:t>69</w:t>
        </w:r>
        <w:r w:rsidRPr="00571CAE">
          <w:rPr>
            <w:rFonts w:asciiTheme="minorEastAsia" w:hAnsiTheme="minorEastAsia"/>
            <w:b/>
            <w:noProof/>
            <w:webHidden/>
          </w:rPr>
          <w:fldChar w:fldCharType="end"/>
        </w:r>
      </w:hyperlink>
    </w:p>
    <w:p w14:paraId="08B179B2" w14:textId="78226901" w:rsidR="00632E5B" w:rsidRPr="00571CAE" w:rsidRDefault="00107901" w:rsidP="00CF417C">
      <w:pPr>
        <w:pStyle w:val="TOC1"/>
        <w:rPr>
          <w:rFonts w:asciiTheme="minorEastAsia" w:hAnsiTheme="minorEastAsia" w:hint="eastAsia"/>
          <w:b/>
          <w:noProof/>
        </w:rPr>
      </w:pPr>
      <w:hyperlink w:anchor="_Toc989018" w:history="1">
        <w:r w:rsidRPr="00571CAE">
          <w:rPr>
            <w:rFonts w:asciiTheme="minorEastAsia" w:hAnsiTheme="minorEastAsia" w:hint="eastAsia"/>
            <w:b/>
            <w:bCs/>
            <w:noProof/>
            <w:sz w:val="24"/>
          </w:rPr>
          <w:t>第七节 股份变动及股东情况</w:t>
        </w:r>
        <w:r w:rsidRPr="00571CAE">
          <w:rPr>
            <w:rFonts w:asciiTheme="minorEastAsia" w:hAnsiTheme="minorEastAsia"/>
            <w:b/>
            <w:noProof/>
            <w:webHidden/>
          </w:rPr>
          <w:tab/>
        </w:r>
        <w:r w:rsidRPr="00571CAE">
          <w:rPr>
            <w:rFonts w:asciiTheme="minorEastAsia" w:hAnsiTheme="minorEastAsia"/>
            <w:b/>
            <w:noProof/>
            <w:webHidden/>
          </w:rPr>
          <w:fldChar w:fldCharType="begin"/>
        </w:r>
        <w:r w:rsidRPr="00571CAE">
          <w:rPr>
            <w:rFonts w:asciiTheme="minorEastAsia" w:hAnsiTheme="minorEastAsia"/>
            <w:b/>
            <w:noProof/>
            <w:webHidden/>
          </w:rPr>
          <w:instrText xml:space="preserve"> PAGEREF _Toc989018 \h </w:instrText>
        </w:r>
        <w:r w:rsidRPr="00571CAE">
          <w:rPr>
            <w:rFonts w:asciiTheme="minorEastAsia" w:hAnsiTheme="minorEastAsia"/>
            <w:b/>
            <w:noProof/>
            <w:webHidden/>
          </w:rPr>
        </w:r>
        <w:r w:rsidRPr="00571CAE">
          <w:rPr>
            <w:rFonts w:asciiTheme="minorEastAsia" w:hAnsiTheme="minorEastAsia"/>
            <w:b/>
            <w:noProof/>
            <w:webHidden/>
          </w:rPr>
          <w:fldChar w:fldCharType="separate"/>
        </w:r>
        <w:r w:rsidR="00F273B9">
          <w:rPr>
            <w:rFonts w:asciiTheme="minorEastAsia" w:hAnsiTheme="minorEastAsia" w:hint="eastAsia"/>
            <w:b/>
            <w:noProof/>
            <w:webHidden/>
          </w:rPr>
          <w:t>101</w:t>
        </w:r>
        <w:r w:rsidRPr="00571CAE">
          <w:rPr>
            <w:rFonts w:asciiTheme="minorEastAsia" w:hAnsiTheme="minorEastAsia"/>
            <w:b/>
            <w:noProof/>
            <w:webHidden/>
          </w:rPr>
          <w:fldChar w:fldCharType="end"/>
        </w:r>
      </w:hyperlink>
    </w:p>
    <w:p w14:paraId="1B96622E" w14:textId="0D884D86" w:rsidR="00632E5B" w:rsidRPr="00571CAE" w:rsidRDefault="00107901" w:rsidP="00CF417C">
      <w:pPr>
        <w:pStyle w:val="TOC1"/>
        <w:rPr>
          <w:rFonts w:asciiTheme="minorEastAsia" w:hAnsiTheme="minorEastAsia" w:hint="eastAsia"/>
          <w:b/>
          <w:noProof/>
        </w:rPr>
      </w:pPr>
      <w:hyperlink w:anchor="_Toc989034" w:history="1">
        <w:r w:rsidRPr="00571CAE">
          <w:rPr>
            <w:rFonts w:asciiTheme="minorEastAsia" w:hAnsiTheme="minorEastAsia" w:hint="eastAsia"/>
            <w:b/>
            <w:bCs/>
            <w:noProof/>
            <w:sz w:val="24"/>
          </w:rPr>
          <w:t>第八节 优先股相关情况</w:t>
        </w:r>
        <w:r w:rsidRPr="00571CAE">
          <w:rPr>
            <w:rFonts w:asciiTheme="minorEastAsia" w:hAnsiTheme="minorEastAsia"/>
            <w:b/>
            <w:noProof/>
            <w:webHidden/>
          </w:rPr>
          <w:tab/>
        </w:r>
        <w:r w:rsidRPr="00571CAE">
          <w:rPr>
            <w:rFonts w:asciiTheme="minorEastAsia" w:hAnsiTheme="minorEastAsia"/>
            <w:b/>
            <w:noProof/>
            <w:webHidden/>
          </w:rPr>
          <w:fldChar w:fldCharType="begin"/>
        </w:r>
        <w:r w:rsidRPr="00571CAE">
          <w:rPr>
            <w:rFonts w:asciiTheme="minorEastAsia" w:hAnsiTheme="minorEastAsia"/>
            <w:b/>
            <w:noProof/>
            <w:webHidden/>
          </w:rPr>
          <w:instrText xml:space="preserve"> PAGEREF _Toc989034 \h </w:instrText>
        </w:r>
        <w:r w:rsidRPr="00571CAE">
          <w:rPr>
            <w:rFonts w:asciiTheme="minorEastAsia" w:hAnsiTheme="minorEastAsia"/>
            <w:b/>
            <w:noProof/>
            <w:webHidden/>
          </w:rPr>
        </w:r>
        <w:r w:rsidRPr="00571CAE">
          <w:rPr>
            <w:rFonts w:asciiTheme="minorEastAsia" w:hAnsiTheme="minorEastAsia"/>
            <w:b/>
            <w:noProof/>
            <w:webHidden/>
          </w:rPr>
          <w:fldChar w:fldCharType="separate"/>
        </w:r>
        <w:r w:rsidR="00F273B9">
          <w:rPr>
            <w:rFonts w:asciiTheme="minorEastAsia" w:hAnsiTheme="minorEastAsia" w:hint="eastAsia"/>
            <w:b/>
            <w:noProof/>
            <w:webHidden/>
          </w:rPr>
          <w:t>110</w:t>
        </w:r>
        <w:r w:rsidRPr="00571CAE">
          <w:rPr>
            <w:rFonts w:asciiTheme="minorEastAsia" w:hAnsiTheme="minorEastAsia"/>
            <w:b/>
            <w:noProof/>
            <w:webHidden/>
          </w:rPr>
          <w:fldChar w:fldCharType="end"/>
        </w:r>
      </w:hyperlink>
    </w:p>
    <w:p w14:paraId="7341413F" w14:textId="3A271809" w:rsidR="00632E5B" w:rsidRPr="00571CAE" w:rsidRDefault="00107901" w:rsidP="00CF417C">
      <w:pPr>
        <w:pStyle w:val="TOC1"/>
        <w:rPr>
          <w:rFonts w:asciiTheme="minorEastAsia" w:hAnsiTheme="minorEastAsia" w:hint="eastAsia"/>
          <w:b/>
          <w:noProof/>
        </w:rPr>
      </w:pPr>
      <w:hyperlink w:anchor="_Toc989035" w:history="1">
        <w:r w:rsidRPr="00571CAE">
          <w:rPr>
            <w:rFonts w:asciiTheme="minorEastAsia" w:hAnsiTheme="minorEastAsia" w:hint="eastAsia"/>
            <w:b/>
            <w:bCs/>
            <w:noProof/>
            <w:sz w:val="24"/>
          </w:rPr>
          <w:t>第九节 债券相关情况</w:t>
        </w:r>
        <w:r w:rsidRPr="00571CAE">
          <w:rPr>
            <w:rFonts w:asciiTheme="minorEastAsia" w:hAnsiTheme="minorEastAsia"/>
            <w:b/>
            <w:noProof/>
            <w:webHidden/>
          </w:rPr>
          <w:tab/>
        </w:r>
        <w:r w:rsidRPr="00571CAE">
          <w:rPr>
            <w:rFonts w:asciiTheme="minorEastAsia" w:hAnsiTheme="minorEastAsia"/>
            <w:b/>
            <w:noProof/>
            <w:webHidden/>
          </w:rPr>
          <w:fldChar w:fldCharType="begin"/>
        </w:r>
        <w:r w:rsidRPr="00571CAE">
          <w:rPr>
            <w:rFonts w:asciiTheme="minorEastAsia" w:hAnsiTheme="minorEastAsia"/>
            <w:b/>
            <w:noProof/>
            <w:webHidden/>
          </w:rPr>
          <w:instrText xml:space="preserve"> PAGEREF _Toc989035 \h </w:instrText>
        </w:r>
        <w:r w:rsidRPr="00571CAE">
          <w:rPr>
            <w:rFonts w:asciiTheme="minorEastAsia" w:hAnsiTheme="minorEastAsia"/>
            <w:b/>
            <w:noProof/>
            <w:webHidden/>
          </w:rPr>
        </w:r>
        <w:r w:rsidRPr="00571CAE">
          <w:rPr>
            <w:rFonts w:asciiTheme="minorEastAsia" w:hAnsiTheme="minorEastAsia"/>
            <w:b/>
            <w:noProof/>
            <w:webHidden/>
          </w:rPr>
          <w:fldChar w:fldCharType="separate"/>
        </w:r>
        <w:r w:rsidR="00F273B9">
          <w:rPr>
            <w:rFonts w:asciiTheme="minorEastAsia" w:hAnsiTheme="minorEastAsia" w:hint="eastAsia"/>
            <w:b/>
            <w:noProof/>
            <w:webHidden/>
          </w:rPr>
          <w:t>111</w:t>
        </w:r>
        <w:r w:rsidRPr="00571CAE">
          <w:rPr>
            <w:rFonts w:asciiTheme="minorEastAsia" w:hAnsiTheme="minorEastAsia"/>
            <w:b/>
            <w:noProof/>
            <w:webHidden/>
          </w:rPr>
          <w:fldChar w:fldCharType="end"/>
        </w:r>
      </w:hyperlink>
    </w:p>
    <w:p w14:paraId="2970F31E" w14:textId="4F6DEE4C" w:rsidR="00632E5B" w:rsidRPr="00571CAE" w:rsidRDefault="00107901" w:rsidP="00CF417C">
      <w:pPr>
        <w:pStyle w:val="TOC1"/>
        <w:rPr>
          <w:rFonts w:asciiTheme="minorEastAsia" w:hAnsiTheme="minorEastAsia" w:hint="eastAsia"/>
          <w:b/>
          <w:noProof/>
        </w:rPr>
      </w:pPr>
      <w:hyperlink w:anchor="_Toc989036" w:history="1">
        <w:r w:rsidRPr="00571CAE">
          <w:rPr>
            <w:rFonts w:asciiTheme="minorEastAsia" w:hAnsiTheme="minorEastAsia" w:hint="eastAsia"/>
            <w:b/>
            <w:bCs/>
            <w:noProof/>
            <w:sz w:val="24"/>
          </w:rPr>
          <w:t>第十节 财务报告</w:t>
        </w:r>
        <w:r w:rsidRPr="00571CAE">
          <w:rPr>
            <w:rFonts w:asciiTheme="minorEastAsia" w:hAnsiTheme="minorEastAsia"/>
            <w:b/>
            <w:noProof/>
            <w:webHidden/>
          </w:rPr>
          <w:tab/>
        </w:r>
        <w:r w:rsidRPr="00571CAE">
          <w:rPr>
            <w:rFonts w:asciiTheme="minorEastAsia" w:hAnsiTheme="minorEastAsia"/>
            <w:b/>
            <w:noProof/>
            <w:webHidden/>
          </w:rPr>
          <w:fldChar w:fldCharType="begin"/>
        </w:r>
        <w:r w:rsidRPr="00571CAE">
          <w:rPr>
            <w:rFonts w:asciiTheme="minorEastAsia" w:hAnsiTheme="minorEastAsia"/>
            <w:b/>
            <w:noProof/>
            <w:webHidden/>
          </w:rPr>
          <w:instrText xml:space="preserve"> PAGEREF _Toc989036 \h </w:instrText>
        </w:r>
        <w:r w:rsidRPr="00571CAE">
          <w:rPr>
            <w:rFonts w:asciiTheme="minorEastAsia" w:hAnsiTheme="minorEastAsia"/>
            <w:b/>
            <w:noProof/>
            <w:webHidden/>
          </w:rPr>
        </w:r>
        <w:r w:rsidRPr="00571CAE">
          <w:rPr>
            <w:rFonts w:asciiTheme="minorEastAsia" w:hAnsiTheme="minorEastAsia"/>
            <w:b/>
            <w:noProof/>
            <w:webHidden/>
          </w:rPr>
          <w:fldChar w:fldCharType="separate"/>
        </w:r>
        <w:r w:rsidR="00F273B9">
          <w:rPr>
            <w:rFonts w:asciiTheme="minorEastAsia" w:hAnsiTheme="minorEastAsia" w:hint="eastAsia"/>
            <w:b/>
            <w:noProof/>
            <w:webHidden/>
          </w:rPr>
          <w:t>112</w:t>
        </w:r>
        <w:r w:rsidRPr="00571CAE">
          <w:rPr>
            <w:rFonts w:asciiTheme="minorEastAsia" w:hAnsiTheme="minorEastAsia"/>
            <w:b/>
            <w:noProof/>
            <w:webHidden/>
          </w:rPr>
          <w:fldChar w:fldCharType="end"/>
        </w:r>
      </w:hyperlink>
      <w:r w:rsidRPr="00571CAE">
        <w:rPr>
          <w:rFonts w:asciiTheme="minorEastAsia" w:hAnsiTheme="minorEastAsia"/>
          <w:b/>
        </w:rPr>
        <w:fldChar w:fldCharType="end"/>
      </w:r>
    </w:p>
    <w:p w14:paraId="6D2B88A8" w14:textId="77777777" w:rsidR="00632E5B" w:rsidRDefault="00107901" w:rsidP="00CF417C">
      <w:r>
        <w:br w:type="page"/>
      </w:r>
    </w:p>
    <w:p w14:paraId="3A268F2A" w14:textId="77777777" w:rsidR="00632E5B" w:rsidRDefault="00107901">
      <w:pPr>
        <w:spacing w:line="640" w:lineRule="exact"/>
        <w:jc w:val="center"/>
        <w:rPr>
          <w:rFonts w:ascii="宋体" w:eastAsia="宋体" w:hAnsi="宋体" w:cs="宋体" w:hint="eastAsia"/>
          <w:b/>
          <w:bCs/>
          <w:sz w:val="32"/>
          <w:szCs w:val="32"/>
        </w:rPr>
      </w:pPr>
      <w:r>
        <w:rPr>
          <w:rFonts w:ascii="宋体" w:eastAsia="宋体" w:hAnsi="宋体" w:cs="宋体"/>
          <w:b/>
          <w:bCs/>
          <w:sz w:val="32"/>
          <w:szCs w:val="32"/>
        </w:rPr>
        <w:lastRenderedPageBreak/>
        <w:t>备查文件目录</w:t>
      </w:r>
    </w:p>
    <w:p w14:paraId="744F1B17" w14:textId="77777777" w:rsidR="00E72F0C" w:rsidRPr="00AF2A13" w:rsidRDefault="00107901">
      <w:pPr>
        <w:pStyle w:val="a3"/>
        <w:spacing w:line="560" w:lineRule="atLeast"/>
        <w:ind w:firstLine="408"/>
        <w:divId w:val="1535802884"/>
        <w:rPr>
          <w:rFonts w:hint="eastAsia"/>
          <w:sz w:val="21"/>
          <w:szCs w:val="18"/>
        </w:rPr>
      </w:pPr>
      <w:r w:rsidRPr="00AF2A13">
        <w:rPr>
          <w:rFonts w:hint="eastAsia"/>
          <w:sz w:val="21"/>
          <w:szCs w:val="18"/>
        </w:rPr>
        <w:t>一、载有公司负责人、主管会计工作负责人、会计机构负责人签名并盖章的财务报表；</w:t>
      </w:r>
    </w:p>
    <w:p w14:paraId="19CF4395" w14:textId="77777777" w:rsidR="00E72F0C" w:rsidRPr="00AF2A13" w:rsidRDefault="00107901">
      <w:pPr>
        <w:pStyle w:val="a3"/>
        <w:spacing w:line="560" w:lineRule="atLeast"/>
        <w:ind w:firstLine="408"/>
        <w:divId w:val="1535802884"/>
        <w:rPr>
          <w:rFonts w:hint="eastAsia"/>
          <w:sz w:val="21"/>
          <w:szCs w:val="18"/>
        </w:rPr>
      </w:pPr>
      <w:r w:rsidRPr="00AF2A13">
        <w:rPr>
          <w:rFonts w:hint="eastAsia"/>
          <w:sz w:val="21"/>
          <w:szCs w:val="18"/>
        </w:rPr>
        <w:t>二、载有会计师事务所盖章，注册会计师签名并盖章的审计报告原件；</w:t>
      </w:r>
    </w:p>
    <w:p w14:paraId="3F607948" w14:textId="77777777" w:rsidR="00E72F0C" w:rsidRPr="00AF2A13" w:rsidRDefault="00107901">
      <w:pPr>
        <w:pStyle w:val="a3"/>
        <w:spacing w:line="560" w:lineRule="atLeast"/>
        <w:ind w:firstLine="408"/>
        <w:divId w:val="1535802884"/>
        <w:rPr>
          <w:rFonts w:hint="eastAsia"/>
          <w:sz w:val="21"/>
          <w:szCs w:val="18"/>
        </w:rPr>
      </w:pPr>
      <w:r w:rsidRPr="00AF2A13">
        <w:rPr>
          <w:rFonts w:hint="eastAsia"/>
          <w:sz w:val="21"/>
          <w:szCs w:val="18"/>
        </w:rPr>
        <w:t>三、报告期内公开披露过的所有公司文件的正本及公告的原稿；</w:t>
      </w:r>
    </w:p>
    <w:p w14:paraId="731983F0" w14:textId="77777777" w:rsidR="00E72F0C" w:rsidRPr="00AF2A13" w:rsidRDefault="00107901">
      <w:pPr>
        <w:pStyle w:val="a3"/>
        <w:spacing w:line="560" w:lineRule="atLeast"/>
        <w:ind w:firstLine="408"/>
        <w:divId w:val="1535802884"/>
        <w:rPr>
          <w:rFonts w:hint="eastAsia"/>
          <w:sz w:val="21"/>
          <w:szCs w:val="18"/>
        </w:rPr>
      </w:pPr>
      <w:r w:rsidRPr="00AF2A13">
        <w:rPr>
          <w:rFonts w:hint="eastAsia"/>
          <w:sz w:val="21"/>
          <w:szCs w:val="18"/>
        </w:rPr>
        <w:t>四、以上备查文件的备置地点：公司。</w:t>
      </w:r>
    </w:p>
    <w:p w14:paraId="34E784A6" w14:textId="77777777" w:rsidR="00632E5B" w:rsidRDefault="00107901">
      <w:r>
        <w:br w:type="page"/>
      </w:r>
    </w:p>
    <w:p w14:paraId="30D8B4E3" w14:textId="77777777" w:rsidR="00632E5B" w:rsidRDefault="00107901">
      <w:pPr>
        <w:spacing w:before="40" w:after="40" w:line="560" w:lineRule="exact"/>
        <w:jc w:val="center"/>
        <w:rPr>
          <w:rFonts w:ascii="宋体" w:eastAsia="宋体" w:hAnsi="宋体" w:cs="宋体" w:hint="eastAsia"/>
          <w:b/>
          <w:bCs/>
          <w:sz w:val="32"/>
          <w:szCs w:val="32"/>
        </w:rPr>
      </w:pPr>
      <w:r>
        <w:rPr>
          <w:rFonts w:ascii="宋体" w:eastAsia="宋体" w:hAnsi="宋体" w:cs="宋体"/>
          <w:b/>
          <w:bCs/>
          <w:sz w:val="32"/>
          <w:szCs w:val="32"/>
        </w:rPr>
        <w:lastRenderedPageBreak/>
        <w:t>释义</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52F7151D" w14:textId="77777777" w:rsidTr="00AF2A13">
        <w:trPr>
          <w:trHeight w:val="240"/>
        </w:trPr>
        <w:tc>
          <w:tcPr>
            <w:tcW w:w="3213" w:type="dxa"/>
            <w:shd w:val="clear" w:color="auto" w:fill="FFFFFF" w:themeFill="background1"/>
            <w:vAlign w:val="center"/>
          </w:tcPr>
          <w:p w14:paraId="04A0477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释义项</w:t>
            </w:r>
          </w:p>
        </w:tc>
        <w:tc>
          <w:tcPr>
            <w:tcW w:w="3213" w:type="dxa"/>
            <w:shd w:val="clear" w:color="auto" w:fill="FFFFFF" w:themeFill="background1"/>
            <w:vAlign w:val="center"/>
          </w:tcPr>
          <w:p w14:paraId="13E2D31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213" w:type="dxa"/>
            <w:shd w:val="clear" w:color="auto" w:fill="FFFFFF" w:themeFill="background1"/>
            <w:vAlign w:val="center"/>
          </w:tcPr>
          <w:p w14:paraId="7FC8BC9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释义内容</w:t>
            </w:r>
          </w:p>
        </w:tc>
      </w:tr>
      <w:tr w:rsidR="00632E5B" w14:paraId="13119BB4" w14:textId="77777777" w:rsidTr="00AF2A13">
        <w:trPr>
          <w:trHeight w:val="240"/>
        </w:trPr>
        <w:tc>
          <w:tcPr>
            <w:tcW w:w="3213" w:type="dxa"/>
            <w:shd w:val="clear" w:color="auto" w:fill="FFFFFF" w:themeFill="background1"/>
            <w:vAlign w:val="center"/>
          </w:tcPr>
          <w:p w14:paraId="6BF1DEE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公司、本公司、中利集团</w:t>
            </w:r>
          </w:p>
        </w:tc>
        <w:tc>
          <w:tcPr>
            <w:tcW w:w="3213" w:type="dxa"/>
            <w:shd w:val="clear" w:color="auto" w:fill="FFFFFF" w:themeFill="background1"/>
            <w:vAlign w:val="center"/>
          </w:tcPr>
          <w:p w14:paraId="390187A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213" w:type="dxa"/>
            <w:shd w:val="clear" w:color="auto" w:fill="FFFFFF" w:themeFill="background1"/>
            <w:vAlign w:val="center"/>
          </w:tcPr>
          <w:p w14:paraId="0ABD166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江苏中利集团股份有限公司</w:t>
            </w:r>
          </w:p>
        </w:tc>
      </w:tr>
      <w:tr w:rsidR="00632E5B" w14:paraId="0C6F2A84" w14:textId="77777777" w:rsidTr="00AF2A13">
        <w:trPr>
          <w:trHeight w:val="240"/>
        </w:trPr>
        <w:tc>
          <w:tcPr>
            <w:tcW w:w="3213" w:type="dxa"/>
            <w:shd w:val="clear" w:color="auto" w:fill="FFFFFF" w:themeFill="background1"/>
            <w:vAlign w:val="center"/>
          </w:tcPr>
          <w:p w14:paraId="258F0EE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常熟光晟、控股股东</w:t>
            </w:r>
          </w:p>
        </w:tc>
        <w:tc>
          <w:tcPr>
            <w:tcW w:w="3213" w:type="dxa"/>
            <w:shd w:val="clear" w:color="auto" w:fill="FFFFFF" w:themeFill="background1"/>
            <w:vAlign w:val="center"/>
          </w:tcPr>
          <w:p w14:paraId="7C3B647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213" w:type="dxa"/>
            <w:shd w:val="clear" w:color="auto" w:fill="FFFFFF" w:themeFill="background1"/>
            <w:vAlign w:val="center"/>
          </w:tcPr>
          <w:p w14:paraId="0D8A446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常熟光晟新能源有限公司</w:t>
            </w:r>
          </w:p>
        </w:tc>
      </w:tr>
      <w:tr w:rsidR="00632E5B" w14:paraId="0B92C275" w14:textId="77777777" w:rsidTr="00AF2A13">
        <w:trPr>
          <w:trHeight w:val="240"/>
        </w:trPr>
        <w:tc>
          <w:tcPr>
            <w:tcW w:w="3213" w:type="dxa"/>
            <w:shd w:val="clear" w:color="auto" w:fill="FFFFFF" w:themeFill="background1"/>
            <w:vAlign w:val="center"/>
          </w:tcPr>
          <w:p w14:paraId="1FBED08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厦门国资委</w:t>
            </w:r>
          </w:p>
        </w:tc>
        <w:tc>
          <w:tcPr>
            <w:tcW w:w="3213" w:type="dxa"/>
            <w:shd w:val="clear" w:color="auto" w:fill="FFFFFF" w:themeFill="background1"/>
            <w:vAlign w:val="center"/>
          </w:tcPr>
          <w:p w14:paraId="7652F5A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213" w:type="dxa"/>
            <w:shd w:val="clear" w:color="auto" w:fill="FFFFFF" w:themeFill="background1"/>
            <w:vAlign w:val="center"/>
          </w:tcPr>
          <w:p w14:paraId="67A6F85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厦门市人民政府国有资产监督管理委员会</w:t>
            </w:r>
          </w:p>
        </w:tc>
      </w:tr>
      <w:tr w:rsidR="00632E5B" w14:paraId="6AA7E8D1" w14:textId="77777777" w:rsidTr="00AF2A13">
        <w:trPr>
          <w:trHeight w:val="240"/>
        </w:trPr>
        <w:tc>
          <w:tcPr>
            <w:tcW w:w="3213" w:type="dxa"/>
            <w:shd w:val="clear" w:color="auto" w:fill="FFFFFF" w:themeFill="background1"/>
            <w:vAlign w:val="center"/>
          </w:tcPr>
          <w:p w14:paraId="183ABE9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临时管理人、管理人</w:t>
            </w:r>
          </w:p>
        </w:tc>
        <w:tc>
          <w:tcPr>
            <w:tcW w:w="3213" w:type="dxa"/>
            <w:shd w:val="clear" w:color="auto" w:fill="FFFFFF" w:themeFill="background1"/>
            <w:vAlign w:val="center"/>
          </w:tcPr>
          <w:p w14:paraId="20AEC0F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213" w:type="dxa"/>
            <w:shd w:val="clear" w:color="auto" w:fill="FFFFFF" w:themeFill="background1"/>
            <w:vAlign w:val="center"/>
          </w:tcPr>
          <w:p w14:paraId="6B2E4F5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江苏中利集团股份有限公司清算组</w:t>
            </w:r>
          </w:p>
        </w:tc>
      </w:tr>
      <w:tr w:rsidR="00632E5B" w14:paraId="60C08E5B" w14:textId="77777777" w:rsidTr="00AF2A13">
        <w:trPr>
          <w:trHeight w:val="240"/>
        </w:trPr>
        <w:tc>
          <w:tcPr>
            <w:tcW w:w="3213" w:type="dxa"/>
            <w:shd w:val="clear" w:color="auto" w:fill="FFFFFF" w:themeFill="background1"/>
            <w:vAlign w:val="center"/>
          </w:tcPr>
          <w:p w14:paraId="469B9D2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苏州中院</w:t>
            </w:r>
          </w:p>
        </w:tc>
        <w:tc>
          <w:tcPr>
            <w:tcW w:w="3213" w:type="dxa"/>
            <w:shd w:val="clear" w:color="auto" w:fill="FFFFFF" w:themeFill="background1"/>
            <w:vAlign w:val="center"/>
          </w:tcPr>
          <w:p w14:paraId="5AE7B07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213" w:type="dxa"/>
            <w:shd w:val="clear" w:color="auto" w:fill="FFFFFF" w:themeFill="background1"/>
            <w:vAlign w:val="center"/>
          </w:tcPr>
          <w:p w14:paraId="056A796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苏州市中级人民法院</w:t>
            </w:r>
          </w:p>
        </w:tc>
      </w:tr>
      <w:tr w:rsidR="00632E5B" w14:paraId="3D37061D" w14:textId="77777777" w:rsidTr="00AF2A13">
        <w:trPr>
          <w:trHeight w:val="240"/>
        </w:trPr>
        <w:tc>
          <w:tcPr>
            <w:tcW w:w="3213" w:type="dxa"/>
            <w:shd w:val="clear" w:color="auto" w:fill="FFFFFF" w:themeFill="background1"/>
            <w:vAlign w:val="center"/>
          </w:tcPr>
          <w:p w14:paraId="5622116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中联光电</w:t>
            </w:r>
          </w:p>
        </w:tc>
        <w:tc>
          <w:tcPr>
            <w:tcW w:w="3213" w:type="dxa"/>
            <w:shd w:val="clear" w:color="auto" w:fill="FFFFFF" w:themeFill="background1"/>
            <w:vAlign w:val="center"/>
          </w:tcPr>
          <w:p w14:paraId="740255C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213" w:type="dxa"/>
            <w:shd w:val="clear" w:color="auto" w:fill="FFFFFF" w:themeFill="background1"/>
            <w:vAlign w:val="center"/>
          </w:tcPr>
          <w:p w14:paraId="18A2EBA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常熟市中联光电新材料有限责任公司</w:t>
            </w:r>
          </w:p>
        </w:tc>
      </w:tr>
      <w:tr w:rsidR="00632E5B" w14:paraId="60F8202E" w14:textId="77777777" w:rsidTr="00AF2A13">
        <w:trPr>
          <w:trHeight w:val="240"/>
        </w:trPr>
        <w:tc>
          <w:tcPr>
            <w:tcW w:w="3213" w:type="dxa"/>
            <w:shd w:val="clear" w:color="auto" w:fill="FFFFFF" w:themeFill="background1"/>
            <w:vAlign w:val="center"/>
          </w:tcPr>
          <w:p w14:paraId="02F252F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辽宁中德</w:t>
            </w:r>
          </w:p>
        </w:tc>
        <w:tc>
          <w:tcPr>
            <w:tcW w:w="3213" w:type="dxa"/>
            <w:shd w:val="clear" w:color="auto" w:fill="FFFFFF" w:themeFill="background1"/>
            <w:vAlign w:val="center"/>
          </w:tcPr>
          <w:p w14:paraId="25658BB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213" w:type="dxa"/>
            <w:shd w:val="clear" w:color="auto" w:fill="FFFFFF" w:themeFill="background1"/>
            <w:vAlign w:val="center"/>
          </w:tcPr>
          <w:p w14:paraId="43AD0DD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辽宁中德电缆有限公司</w:t>
            </w:r>
          </w:p>
        </w:tc>
      </w:tr>
      <w:tr w:rsidR="00632E5B" w14:paraId="6A7C1253" w14:textId="77777777" w:rsidTr="00AF2A13">
        <w:trPr>
          <w:trHeight w:val="240"/>
        </w:trPr>
        <w:tc>
          <w:tcPr>
            <w:tcW w:w="3213" w:type="dxa"/>
            <w:shd w:val="clear" w:color="auto" w:fill="FFFFFF" w:themeFill="background1"/>
            <w:vAlign w:val="center"/>
          </w:tcPr>
          <w:p w14:paraId="29F77E5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腾晖光伏</w:t>
            </w:r>
          </w:p>
        </w:tc>
        <w:tc>
          <w:tcPr>
            <w:tcW w:w="3213" w:type="dxa"/>
            <w:shd w:val="clear" w:color="auto" w:fill="FFFFFF" w:themeFill="background1"/>
            <w:vAlign w:val="center"/>
          </w:tcPr>
          <w:p w14:paraId="16B5E21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213" w:type="dxa"/>
            <w:shd w:val="clear" w:color="auto" w:fill="FFFFFF" w:themeFill="background1"/>
            <w:vAlign w:val="center"/>
          </w:tcPr>
          <w:p w14:paraId="5AAE443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苏州腾晖光伏技术有限公司</w:t>
            </w:r>
          </w:p>
        </w:tc>
      </w:tr>
      <w:tr w:rsidR="00632E5B" w14:paraId="4EDED95E" w14:textId="77777777" w:rsidTr="00AF2A13">
        <w:trPr>
          <w:trHeight w:val="240"/>
        </w:trPr>
        <w:tc>
          <w:tcPr>
            <w:tcW w:w="3213" w:type="dxa"/>
            <w:shd w:val="clear" w:color="auto" w:fill="FFFFFF" w:themeFill="background1"/>
            <w:vAlign w:val="center"/>
          </w:tcPr>
          <w:p w14:paraId="34D7EF4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宁夏中盛</w:t>
            </w:r>
          </w:p>
        </w:tc>
        <w:tc>
          <w:tcPr>
            <w:tcW w:w="3213" w:type="dxa"/>
            <w:shd w:val="clear" w:color="auto" w:fill="FFFFFF" w:themeFill="background1"/>
            <w:vAlign w:val="center"/>
          </w:tcPr>
          <w:p w14:paraId="5B02D9D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213" w:type="dxa"/>
            <w:shd w:val="clear" w:color="auto" w:fill="FFFFFF" w:themeFill="background1"/>
            <w:vAlign w:val="center"/>
          </w:tcPr>
          <w:p w14:paraId="176D158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宁夏中盛电缆技术有限公司</w:t>
            </w:r>
          </w:p>
        </w:tc>
      </w:tr>
      <w:tr w:rsidR="00632E5B" w14:paraId="3159D341" w14:textId="77777777" w:rsidTr="00AF2A13">
        <w:trPr>
          <w:trHeight w:val="240"/>
        </w:trPr>
        <w:tc>
          <w:tcPr>
            <w:tcW w:w="3213" w:type="dxa"/>
            <w:shd w:val="clear" w:color="auto" w:fill="FFFFFF" w:themeFill="background1"/>
            <w:vAlign w:val="center"/>
          </w:tcPr>
          <w:p w14:paraId="5645CD6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常州船缆</w:t>
            </w:r>
          </w:p>
        </w:tc>
        <w:tc>
          <w:tcPr>
            <w:tcW w:w="3213" w:type="dxa"/>
            <w:shd w:val="clear" w:color="auto" w:fill="FFFFFF" w:themeFill="background1"/>
            <w:vAlign w:val="center"/>
          </w:tcPr>
          <w:p w14:paraId="4EE4E11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213" w:type="dxa"/>
            <w:shd w:val="clear" w:color="auto" w:fill="FFFFFF" w:themeFill="background1"/>
            <w:vAlign w:val="center"/>
          </w:tcPr>
          <w:p w14:paraId="3D9C544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常州船用电缆有限责任公司</w:t>
            </w:r>
          </w:p>
        </w:tc>
      </w:tr>
      <w:tr w:rsidR="00632E5B" w14:paraId="4FCF108C" w14:textId="77777777" w:rsidTr="00AF2A13">
        <w:trPr>
          <w:trHeight w:val="240"/>
        </w:trPr>
        <w:tc>
          <w:tcPr>
            <w:tcW w:w="3213" w:type="dxa"/>
            <w:shd w:val="clear" w:color="auto" w:fill="FFFFFF" w:themeFill="background1"/>
            <w:vAlign w:val="center"/>
          </w:tcPr>
          <w:p w14:paraId="5E0A259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青海中利</w:t>
            </w:r>
          </w:p>
        </w:tc>
        <w:tc>
          <w:tcPr>
            <w:tcW w:w="3213" w:type="dxa"/>
            <w:shd w:val="clear" w:color="auto" w:fill="FFFFFF" w:themeFill="background1"/>
            <w:vAlign w:val="center"/>
          </w:tcPr>
          <w:p w14:paraId="465064C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213" w:type="dxa"/>
            <w:shd w:val="clear" w:color="auto" w:fill="FFFFFF" w:themeFill="background1"/>
            <w:vAlign w:val="center"/>
          </w:tcPr>
          <w:p w14:paraId="1535E64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青海中利光纤技术有限公司</w:t>
            </w:r>
          </w:p>
        </w:tc>
      </w:tr>
      <w:tr w:rsidR="00632E5B" w14:paraId="2FB8D687" w14:textId="77777777" w:rsidTr="00AF2A13">
        <w:trPr>
          <w:trHeight w:val="240"/>
        </w:trPr>
        <w:tc>
          <w:tcPr>
            <w:tcW w:w="3213" w:type="dxa"/>
            <w:shd w:val="clear" w:color="auto" w:fill="FFFFFF" w:themeFill="background1"/>
            <w:vAlign w:val="center"/>
          </w:tcPr>
          <w:p w14:paraId="55BAA8E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常熟利星</w:t>
            </w:r>
          </w:p>
        </w:tc>
        <w:tc>
          <w:tcPr>
            <w:tcW w:w="3213" w:type="dxa"/>
            <w:shd w:val="clear" w:color="auto" w:fill="FFFFFF" w:themeFill="background1"/>
            <w:vAlign w:val="center"/>
          </w:tcPr>
          <w:p w14:paraId="74EE317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213" w:type="dxa"/>
            <w:shd w:val="clear" w:color="auto" w:fill="FFFFFF" w:themeFill="background1"/>
            <w:vAlign w:val="center"/>
          </w:tcPr>
          <w:p w14:paraId="70EC2E4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常熟利星光电科技有限公司</w:t>
            </w:r>
          </w:p>
        </w:tc>
      </w:tr>
      <w:tr w:rsidR="00632E5B" w14:paraId="74EDE86D" w14:textId="77777777" w:rsidTr="00AF2A13">
        <w:trPr>
          <w:trHeight w:val="240"/>
        </w:trPr>
        <w:tc>
          <w:tcPr>
            <w:tcW w:w="3213" w:type="dxa"/>
            <w:shd w:val="clear" w:color="auto" w:fill="FFFFFF" w:themeFill="background1"/>
            <w:vAlign w:val="center"/>
          </w:tcPr>
          <w:p w14:paraId="610AC67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腾晖泰国</w:t>
            </w:r>
          </w:p>
        </w:tc>
        <w:tc>
          <w:tcPr>
            <w:tcW w:w="3213" w:type="dxa"/>
            <w:shd w:val="clear" w:color="auto" w:fill="FFFFFF" w:themeFill="background1"/>
            <w:vAlign w:val="center"/>
          </w:tcPr>
          <w:p w14:paraId="756BCF3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213" w:type="dxa"/>
            <w:shd w:val="clear" w:color="auto" w:fill="FFFFFF" w:themeFill="background1"/>
            <w:vAlign w:val="center"/>
          </w:tcPr>
          <w:p w14:paraId="43FA507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腾晖技术（泰国）有限公司</w:t>
            </w:r>
          </w:p>
        </w:tc>
      </w:tr>
      <w:tr w:rsidR="00632E5B" w14:paraId="00EAC1DD" w14:textId="77777777" w:rsidTr="00AF2A13">
        <w:trPr>
          <w:trHeight w:val="240"/>
        </w:trPr>
        <w:tc>
          <w:tcPr>
            <w:tcW w:w="3213" w:type="dxa"/>
            <w:shd w:val="clear" w:color="auto" w:fill="FFFFFF" w:themeFill="background1"/>
            <w:vAlign w:val="center"/>
          </w:tcPr>
          <w:p w14:paraId="65FA9FD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中利控股</w:t>
            </w:r>
          </w:p>
        </w:tc>
        <w:tc>
          <w:tcPr>
            <w:tcW w:w="3213" w:type="dxa"/>
            <w:shd w:val="clear" w:color="auto" w:fill="FFFFFF" w:themeFill="background1"/>
            <w:vAlign w:val="center"/>
          </w:tcPr>
          <w:p w14:paraId="5AD22FC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213" w:type="dxa"/>
            <w:shd w:val="clear" w:color="auto" w:fill="FFFFFF" w:themeFill="background1"/>
            <w:vAlign w:val="center"/>
          </w:tcPr>
          <w:p w14:paraId="4C80B69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江苏中利控股集团有限公司</w:t>
            </w:r>
          </w:p>
        </w:tc>
      </w:tr>
      <w:tr w:rsidR="00632E5B" w14:paraId="2C39EBAB" w14:textId="77777777" w:rsidTr="00AF2A13">
        <w:trPr>
          <w:trHeight w:val="240"/>
        </w:trPr>
        <w:tc>
          <w:tcPr>
            <w:tcW w:w="3213" w:type="dxa"/>
            <w:shd w:val="clear" w:color="auto" w:fill="FFFFFF" w:themeFill="background1"/>
            <w:vAlign w:val="center"/>
          </w:tcPr>
          <w:p w14:paraId="491BF56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比克动力</w:t>
            </w:r>
          </w:p>
        </w:tc>
        <w:tc>
          <w:tcPr>
            <w:tcW w:w="3213" w:type="dxa"/>
            <w:shd w:val="clear" w:color="auto" w:fill="FFFFFF" w:themeFill="background1"/>
            <w:vAlign w:val="center"/>
          </w:tcPr>
          <w:p w14:paraId="50A3550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213" w:type="dxa"/>
            <w:shd w:val="clear" w:color="auto" w:fill="FFFFFF" w:themeFill="background1"/>
            <w:vAlign w:val="center"/>
          </w:tcPr>
          <w:p w14:paraId="2500D6B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深圳市比克动力电池有限公司</w:t>
            </w:r>
          </w:p>
        </w:tc>
      </w:tr>
      <w:tr w:rsidR="00632E5B" w14:paraId="71FA0B51" w14:textId="77777777" w:rsidTr="00AF2A13">
        <w:trPr>
          <w:trHeight w:val="240"/>
        </w:trPr>
        <w:tc>
          <w:tcPr>
            <w:tcW w:w="3213" w:type="dxa"/>
            <w:shd w:val="clear" w:color="auto" w:fill="FFFFFF" w:themeFill="background1"/>
            <w:vAlign w:val="center"/>
          </w:tcPr>
          <w:p w14:paraId="4512DA0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中国证监会</w:t>
            </w:r>
          </w:p>
        </w:tc>
        <w:tc>
          <w:tcPr>
            <w:tcW w:w="3213" w:type="dxa"/>
            <w:shd w:val="clear" w:color="auto" w:fill="FFFFFF" w:themeFill="background1"/>
            <w:vAlign w:val="center"/>
          </w:tcPr>
          <w:p w14:paraId="7F42653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213" w:type="dxa"/>
            <w:shd w:val="clear" w:color="auto" w:fill="FFFFFF" w:themeFill="background1"/>
            <w:vAlign w:val="center"/>
          </w:tcPr>
          <w:p w14:paraId="31324E7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中国证券监督管理委员会</w:t>
            </w:r>
          </w:p>
        </w:tc>
      </w:tr>
      <w:tr w:rsidR="00632E5B" w14:paraId="347903CF" w14:textId="77777777" w:rsidTr="00AF2A13">
        <w:trPr>
          <w:trHeight w:val="240"/>
        </w:trPr>
        <w:tc>
          <w:tcPr>
            <w:tcW w:w="3213" w:type="dxa"/>
            <w:shd w:val="clear" w:color="auto" w:fill="FFFFFF" w:themeFill="background1"/>
            <w:vAlign w:val="center"/>
          </w:tcPr>
          <w:p w14:paraId="2091109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深交所</w:t>
            </w:r>
          </w:p>
        </w:tc>
        <w:tc>
          <w:tcPr>
            <w:tcW w:w="3213" w:type="dxa"/>
            <w:shd w:val="clear" w:color="auto" w:fill="FFFFFF" w:themeFill="background1"/>
            <w:vAlign w:val="center"/>
          </w:tcPr>
          <w:p w14:paraId="78358B7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213" w:type="dxa"/>
            <w:shd w:val="clear" w:color="auto" w:fill="FFFFFF" w:themeFill="background1"/>
            <w:vAlign w:val="center"/>
          </w:tcPr>
          <w:p w14:paraId="3934AA6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深圳证券交易所</w:t>
            </w:r>
          </w:p>
        </w:tc>
      </w:tr>
      <w:tr w:rsidR="00632E5B" w14:paraId="42B11831" w14:textId="77777777" w:rsidTr="00AF2A13">
        <w:trPr>
          <w:trHeight w:val="240"/>
        </w:trPr>
        <w:tc>
          <w:tcPr>
            <w:tcW w:w="3213" w:type="dxa"/>
            <w:shd w:val="clear" w:color="auto" w:fill="FFFFFF" w:themeFill="background1"/>
            <w:vAlign w:val="center"/>
          </w:tcPr>
          <w:p w14:paraId="2193FB5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苏亚金诚</w:t>
            </w:r>
          </w:p>
        </w:tc>
        <w:tc>
          <w:tcPr>
            <w:tcW w:w="3213" w:type="dxa"/>
            <w:shd w:val="clear" w:color="auto" w:fill="FFFFFF" w:themeFill="background1"/>
            <w:vAlign w:val="center"/>
          </w:tcPr>
          <w:p w14:paraId="451EC61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213" w:type="dxa"/>
            <w:shd w:val="clear" w:color="auto" w:fill="FFFFFF" w:themeFill="background1"/>
            <w:vAlign w:val="center"/>
          </w:tcPr>
          <w:p w14:paraId="48A37AF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苏亚金诚会计师事务所（特殊普通合伙）</w:t>
            </w:r>
          </w:p>
        </w:tc>
      </w:tr>
      <w:tr w:rsidR="00632E5B" w14:paraId="345967C4" w14:textId="77777777" w:rsidTr="00AF2A13">
        <w:trPr>
          <w:trHeight w:val="240"/>
        </w:trPr>
        <w:tc>
          <w:tcPr>
            <w:tcW w:w="3213" w:type="dxa"/>
            <w:shd w:val="clear" w:color="auto" w:fill="FFFFFF" w:themeFill="background1"/>
            <w:vAlign w:val="center"/>
          </w:tcPr>
          <w:p w14:paraId="1EF9EE1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《公司章程》</w:t>
            </w:r>
          </w:p>
        </w:tc>
        <w:tc>
          <w:tcPr>
            <w:tcW w:w="3213" w:type="dxa"/>
            <w:shd w:val="clear" w:color="auto" w:fill="FFFFFF" w:themeFill="background1"/>
            <w:vAlign w:val="center"/>
          </w:tcPr>
          <w:p w14:paraId="752EA29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213" w:type="dxa"/>
            <w:shd w:val="clear" w:color="auto" w:fill="FFFFFF" w:themeFill="background1"/>
            <w:vAlign w:val="center"/>
          </w:tcPr>
          <w:p w14:paraId="19217A3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现行有效的《江苏中利集团股份有限公司章程》</w:t>
            </w:r>
          </w:p>
        </w:tc>
      </w:tr>
      <w:tr w:rsidR="00632E5B" w14:paraId="6626CE52" w14:textId="77777777" w:rsidTr="00AF2A13">
        <w:trPr>
          <w:trHeight w:val="240"/>
        </w:trPr>
        <w:tc>
          <w:tcPr>
            <w:tcW w:w="3213" w:type="dxa"/>
            <w:shd w:val="clear" w:color="auto" w:fill="FFFFFF" w:themeFill="background1"/>
            <w:vAlign w:val="center"/>
          </w:tcPr>
          <w:p w14:paraId="64EEAC5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阻燃耐火软电缆、软电缆</w:t>
            </w:r>
          </w:p>
        </w:tc>
        <w:tc>
          <w:tcPr>
            <w:tcW w:w="3213" w:type="dxa"/>
            <w:shd w:val="clear" w:color="auto" w:fill="FFFFFF" w:themeFill="background1"/>
            <w:vAlign w:val="center"/>
          </w:tcPr>
          <w:p w14:paraId="33571D5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213" w:type="dxa"/>
            <w:shd w:val="clear" w:color="auto" w:fill="FFFFFF" w:themeFill="background1"/>
            <w:vAlign w:val="center"/>
          </w:tcPr>
          <w:p w14:paraId="300C626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通过特殊的导体绞合工艺和使用特种电缆料使得电缆具有阻燃、柔软、耐火等特性。该类电缆可满足防火、耐火等特定需求领域以及对电缆布局有特殊需求的领域。</w:t>
            </w:r>
          </w:p>
        </w:tc>
      </w:tr>
      <w:tr w:rsidR="00632E5B" w14:paraId="1A71E1A5" w14:textId="77777777" w:rsidTr="00AF2A13">
        <w:trPr>
          <w:trHeight w:val="240"/>
        </w:trPr>
        <w:tc>
          <w:tcPr>
            <w:tcW w:w="3213" w:type="dxa"/>
            <w:shd w:val="clear" w:color="auto" w:fill="FFFFFF" w:themeFill="background1"/>
            <w:vAlign w:val="center"/>
          </w:tcPr>
          <w:p w14:paraId="79C60AA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钙钛矿</w:t>
            </w:r>
          </w:p>
        </w:tc>
        <w:tc>
          <w:tcPr>
            <w:tcW w:w="3213" w:type="dxa"/>
            <w:shd w:val="clear" w:color="auto" w:fill="FFFFFF" w:themeFill="background1"/>
            <w:vAlign w:val="center"/>
          </w:tcPr>
          <w:p w14:paraId="3D92E9C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213" w:type="dxa"/>
            <w:shd w:val="clear" w:color="auto" w:fill="FFFFFF" w:themeFill="background1"/>
            <w:vAlign w:val="center"/>
          </w:tcPr>
          <w:p w14:paraId="48204E8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钙钛矿型电池（perovskite solar cells），是利用钙钛矿型的有机金属卤化物半导体作为吸光材料的太阳能电池。</w:t>
            </w:r>
          </w:p>
        </w:tc>
      </w:tr>
      <w:tr w:rsidR="00632E5B" w14:paraId="6002EF10" w14:textId="77777777" w:rsidTr="00AF2A13">
        <w:trPr>
          <w:trHeight w:val="240"/>
        </w:trPr>
        <w:tc>
          <w:tcPr>
            <w:tcW w:w="3213" w:type="dxa"/>
            <w:shd w:val="clear" w:color="auto" w:fill="FFFFFF" w:themeFill="background1"/>
            <w:vAlign w:val="center"/>
          </w:tcPr>
          <w:p w14:paraId="1DEA44C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IBC</w:t>
            </w:r>
          </w:p>
        </w:tc>
        <w:tc>
          <w:tcPr>
            <w:tcW w:w="3213" w:type="dxa"/>
            <w:shd w:val="clear" w:color="auto" w:fill="FFFFFF" w:themeFill="background1"/>
            <w:vAlign w:val="center"/>
          </w:tcPr>
          <w:p w14:paraId="3F5DEF0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213" w:type="dxa"/>
            <w:shd w:val="clear" w:color="auto" w:fill="FFFFFF" w:themeFill="background1"/>
            <w:vAlign w:val="center"/>
          </w:tcPr>
          <w:p w14:paraId="11A7736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IBC电池（Interdigitated Back Contact），全背电极接触晶硅光伏电池，是将太阳能电池的正负两极金属接触均移到电池片背面的技术。</w:t>
            </w:r>
          </w:p>
        </w:tc>
      </w:tr>
      <w:tr w:rsidR="00632E5B" w14:paraId="1F5031DC" w14:textId="77777777" w:rsidTr="00AF2A13">
        <w:trPr>
          <w:trHeight w:val="240"/>
        </w:trPr>
        <w:tc>
          <w:tcPr>
            <w:tcW w:w="3213" w:type="dxa"/>
            <w:shd w:val="clear" w:color="auto" w:fill="FFFFFF" w:themeFill="background1"/>
            <w:vAlign w:val="center"/>
          </w:tcPr>
          <w:p w14:paraId="6B9A1EF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HJT/异质结</w:t>
            </w:r>
          </w:p>
        </w:tc>
        <w:tc>
          <w:tcPr>
            <w:tcW w:w="3213" w:type="dxa"/>
            <w:shd w:val="clear" w:color="auto" w:fill="FFFFFF" w:themeFill="background1"/>
            <w:vAlign w:val="center"/>
          </w:tcPr>
          <w:p w14:paraId="12A1CD2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213" w:type="dxa"/>
            <w:shd w:val="clear" w:color="auto" w:fill="FFFFFF" w:themeFill="background1"/>
            <w:vAlign w:val="center"/>
          </w:tcPr>
          <w:p w14:paraId="6447533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异质结电池（Heterojunction），在晶体硅片上沉积一层非掺杂（本征）氢化非晶硅薄膜和一层与晶体硅掺杂种类相反的掺杂氢化非晶硅薄膜，采取该工艺措施后，有更好的光电转换效率和温度特性。</w:t>
            </w:r>
          </w:p>
        </w:tc>
      </w:tr>
      <w:tr w:rsidR="00632E5B" w14:paraId="72AC8B4E" w14:textId="77777777" w:rsidTr="00AF2A13">
        <w:trPr>
          <w:trHeight w:val="240"/>
        </w:trPr>
        <w:tc>
          <w:tcPr>
            <w:tcW w:w="3213" w:type="dxa"/>
            <w:shd w:val="clear" w:color="auto" w:fill="FFFFFF" w:themeFill="background1"/>
            <w:vAlign w:val="center"/>
          </w:tcPr>
          <w:p w14:paraId="62958655" w14:textId="77777777" w:rsidR="00632E5B" w:rsidRDefault="00107901">
            <w:pPr>
              <w:spacing w:line="240" w:lineRule="exact"/>
              <w:rPr>
                <w:rFonts w:ascii="宋体" w:eastAsia="宋体" w:hAnsi="宋体" w:cs="宋体" w:hint="eastAsia"/>
                <w:sz w:val="18"/>
                <w:szCs w:val="18"/>
              </w:rPr>
            </w:pPr>
            <w:proofErr w:type="spellStart"/>
            <w:r>
              <w:rPr>
                <w:rFonts w:ascii="宋体" w:eastAsia="宋体" w:hAnsi="宋体" w:cs="宋体"/>
                <w:sz w:val="18"/>
                <w:szCs w:val="18"/>
              </w:rPr>
              <w:t>TOPCon</w:t>
            </w:r>
            <w:proofErr w:type="spellEnd"/>
          </w:p>
        </w:tc>
        <w:tc>
          <w:tcPr>
            <w:tcW w:w="3213" w:type="dxa"/>
            <w:shd w:val="clear" w:color="auto" w:fill="FFFFFF" w:themeFill="background1"/>
            <w:vAlign w:val="center"/>
          </w:tcPr>
          <w:p w14:paraId="1D4F5AA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213" w:type="dxa"/>
            <w:shd w:val="clear" w:color="auto" w:fill="FFFFFF" w:themeFill="background1"/>
            <w:vAlign w:val="center"/>
          </w:tcPr>
          <w:p w14:paraId="085652A0" w14:textId="77777777" w:rsidR="00632E5B" w:rsidRDefault="00107901">
            <w:pPr>
              <w:spacing w:line="240" w:lineRule="exact"/>
              <w:rPr>
                <w:rFonts w:ascii="宋体" w:eastAsia="宋体" w:hAnsi="宋体" w:cs="宋体" w:hint="eastAsia"/>
                <w:sz w:val="18"/>
                <w:szCs w:val="18"/>
              </w:rPr>
            </w:pPr>
            <w:proofErr w:type="spellStart"/>
            <w:r>
              <w:rPr>
                <w:rFonts w:ascii="宋体" w:eastAsia="宋体" w:hAnsi="宋体" w:cs="宋体"/>
                <w:sz w:val="18"/>
                <w:szCs w:val="18"/>
              </w:rPr>
              <w:t>TOPCon</w:t>
            </w:r>
            <w:proofErr w:type="spellEnd"/>
            <w:r>
              <w:rPr>
                <w:rFonts w:ascii="宋体" w:eastAsia="宋体" w:hAnsi="宋体" w:cs="宋体"/>
                <w:sz w:val="18"/>
                <w:szCs w:val="18"/>
              </w:rPr>
              <w:t>电池（Tunnel Oxide Passivated Contact），为钝化接触的一种。即在电池背面制备一层超薄的隧穿氧化层和一层高掺杂的多晶硅薄层，二者共同形成了钝化接触结构。</w:t>
            </w:r>
          </w:p>
        </w:tc>
      </w:tr>
      <w:tr w:rsidR="00632E5B" w14:paraId="1104955D" w14:textId="77777777" w:rsidTr="00AF2A13">
        <w:trPr>
          <w:trHeight w:val="240"/>
        </w:trPr>
        <w:tc>
          <w:tcPr>
            <w:tcW w:w="3213" w:type="dxa"/>
            <w:shd w:val="clear" w:color="auto" w:fill="FFFFFF" w:themeFill="background1"/>
            <w:vAlign w:val="center"/>
          </w:tcPr>
          <w:p w14:paraId="60691E9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光伏电池片</w:t>
            </w:r>
          </w:p>
        </w:tc>
        <w:tc>
          <w:tcPr>
            <w:tcW w:w="3213" w:type="dxa"/>
            <w:shd w:val="clear" w:color="auto" w:fill="FFFFFF" w:themeFill="background1"/>
            <w:vAlign w:val="center"/>
          </w:tcPr>
          <w:p w14:paraId="3BC7F01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213" w:type="dxa"/>
            <w:shd w:val="clear" w:color="auto" w:fill="FFFFFF" w:themeFill="background1"/>
            <w:vAlign w:val="center"/>
          </w:tcPr>
          <w:p w14:paraId="005326C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指太阳能发电单元，也叫太阳能电池片，通过在一定衬底（如硅片、玻</w:t>
            </w:r>
            <w:r>
              <w:rPr>
                <w:rFonts w:ascii="宋体" w:eastAsia="宋体" w:hAnsi="宋体" w:cs="宋体"/>
                <w:sz w:val="18"/>
                <w:szCs w:val="18"/>
              </w:rPr>
              <w:lastRenderedPageBreak/>
              <w:t>璃、陶瓷、不锈钢等）上生长各种薄膜，形成半导体 PN 结，把太阳光能转换为电能，该技术 1954 年由贝尔实验室发明。</w:t>
            </w:r>
          </w:p>
        </w:tc>
      </w:tr>
      <w:tr w:rsidR="00632E5B" w14:paraId="67B949C2" w14:textId="77777777" w:rsidTr="00AF2A13">
        <w:trPr>
          <w:trHeight w:val="240"/>
        </w:trPr>
        <w:tc>
          <w:tcPr>
            <w:tcW w:w="3213" w:type="dxa"/>
            <w:shd w:val="clear" w:color="auto" w:fill="FFFFFF" w:themeFill="background1"/>
            <w:vAlign w:val="center"/>
          </w:tcPr>
          <w:p w14:paraId="77E2D32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lastRenderedPageBreak/>
              <w:t>光伏组件</w:t>
            </w:r>
          </w:p>
        </w:tc>
        <w:tc>
          <w:tcPr>
            <w:tcW w:w="3213" w:type="dxa"/>
            <w:shd w:val="clear" w:color="auto" w:fill="FFFFFF" w:themeFill="background1"/>
            <w:vAlign w:val="center"/>
          </w:tcPr>
          <w:p w14:paraId="53CC24A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213" w:type="dxa"/>
            <w:shd w:val="clear" w:color="auto" w:fill="FFFFFF" w:themeFill="background1"/>
            <w:vAlign w:val="center"/>
          </w:tcPr>
          <w:p w14:paraId="59A69BF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指由若干个太阳能发电单元通过串并联的方式组成，其功能是将功率较小的太阳能发电单元放大成为可单独使用的光电器件，可以单独使用为各类蓄电池充电，也可以多片串联或并联使用，并作为离网或并网太阳能供电系统的发电单元。</w:t>
            </w:r>
          </w:p>
        </w:tc>
      </w:tr>
      <w:tr w:rsidR="00632E5B" w14:paraId="62AEDDF1" w14:textId="77777777" w:rsidTr="00AF2A13">
        <w:trPr>
          <w:trHeight w:val="240"/>
        </w:trPr>
        <w:tc>
          <w:tcPr>
            <w:tcW w:w="3213" w:type="dxa"/>
            <w:shd w:val="clear" w:color="auto" w:fill="FFFFFF" w:themeFill="background1"/>
            <w:vAlign w:val="center"/>
          </w:tcPr>
          <w:p w14:paraId="4A4F962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MW</w:t>
            </w:r>
          </w:p>
        </w:tc>
        <w:tc>
          <w:tcPr>
            <w:tcW w:w="3213" w:type="dxa"/>
            <w:shd w:val="clear" w:color="auto" w:fill="FFFFFF" w:themeFill="background1"/>
            <w:vAlign w:val="center"/>
          </w:tcPr>
          <w:p w14:paraId="6A41427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213" w:type="dxa"/>
            <w:shd w:val="clear" w:color="auto" w:fill="FFFFFF" w:themeFill="background1"/>
            <w:vAlign w:val="center"/>
          </w:tcPr>
          <w:p w14:paraId="649FD4A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指兆瓦，为功率单位，M 即是兆，1 兆即10 的 6 次方，1MW 即是1,000千瓦。</w:t>
            </w:r>
          </w:p>
        </w:tc>
      </w:tr>
      <w:tr w:rsidR="00632E5B" w14:paraId="5A0CCE37" w14:textId="77777777" w:rsidTr="00AF2A13">
        <w:trPr>
          <w:trHeight w:val="240"/>
        </w:trPr>
        <w:tc>
          <w:tcPr>
            <w:tcW w:w="3213" w:type="dxa"/>
            <w:shd w:val="clear" w:color="auto" w:fill="FFFFFF" w:themeFill="background1"/>
            <w:vAlign w:val="center"/>
          </w:tcPr>
          <w:p w14:paraId="6985525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GW</w:t>
            </w:r>
          </w:p>
        </w:tc>
        <w:tc>
          <w:tcPr>
            <w:tcW w:w="3213" w:type="dxa"/>
            <w:shd w:val="clear" w:color="auto" w:fill="FFFFFF" w:themeFill="background1"/>
            <w:vAlign w:val="center"/>
          </w:tcPr>
          <w:p w14:paraId="3AB5EEF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213" w:type="dxa"/>
            <w:shd w:val="clear" w:color="auto" w:fill="FFFFFF" w:themeFill="background1"/>
            <w:vAlign w:val="center"/>
          </w:tcPr>
          <w:p w14:paraId="709D352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功率单位，1GW=1000MW</w:t>
            </w:r>
          </w:p>
        </w:tc>
      </w:tr>
      <w:tr w:rsidR="00632E5B" w14:paraId="356F6F3B" w14:textId="77777777" w:rsidTr="00AF2A13">
        <w:trPr>
          <w:trHeight w:val="240"/>
        </w:trPr>
        <w:tc>
          <w:tcPr>
            <w:tcW w:w="3213" w:type="dxa"/>
            <w:shd w:val="clear" w:color="auto" w:fill="FFFFFF" w:themeFill="background1"/>
            <w:vAlign w:val="center"/>
          </w:tcPr>
          <w:p w14:paraId="385004E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本报告期、报告期内</w:t>
            </w:r>
          </w:p>
        </w:tc>
        <w:tc>
          <w:tcPr>
            <w:tcW w:w="3213" w:type="dxa"/>
            <w:shd w:val="clear" w:color="auto" w:fill="FFFFFF" w:themeFill="background1"/>
            <w:vAlign w:val="center"/>
          </w:tcPr>
          <w:p w14:paraId="70D8BB2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w:t>
            </w:r>
          </w:p>
        </w:tc>
        <w:tc>
          <w:tcPr>
            <w:tcW w:w="3213" w:type="dxa"/>
            <w:shd w:val="clear" w:color="auto" w:fill="FFFFFF" w:themeFill="background1"/>
            <w:vAlign w:val="center"/>
          </w:tcPr>
          <w:p w14:paraId="458FB71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2024年1月1日至12月31日</w:t>
            </w:r>
          </w:p>
        </w:tc>
      </w:tr>
    </w:tbl>
    <w:p w14:paraId="0F0AF2AB" w14:textId="77777777" w:rsidR="00632E5B" w:rsidRDefault="00107901">
      <w:r>
        <w:br w:type="page"/>
      </w:r>
    </w:p>
    <w:p w14:paraId="320C417F" w14:textId="3E3B6939" w:rsidR="00632E5B" w:rsidRDefault="00107901">
      <w:pPr>
        <w:pStyle w:val="headingh1"/>
        <w:spacing w:before="340" w:after="330" w:line="773" w:lineRule="exact"/>
        <w:jc w:val="center"/>
        <w:rPr>
          <w:rFonts w:ascii="宋体" w:eastAsia="宋体" w:hAnsi="宋体" w:cs="宋体" w:hint="eastAsia"/>
          <w:b/>
          <w:bCs/>
          <w:sz w:val="32"/>
          <w:szCs w:val="32"/>
        </w:rPr>
      </w:pPr>
      <w:bookmarkStart w:id="1" w:name="_Toc988890"/>
      <w:r>
        <w:rPr>
          <w:rFonts w:ascii="宋体" w:eastAsia="宋体" w:hAnsi="宋体" w:cs="宋体"/>
          <w:b/>
          <w:bCs/>
          <w:sz w:val="32"/>
          <w:szCs w:val="32"/>
        </w:rPr>
        <w:lastRenderedPageBreak/>
        <w:t>第二节 公司简介和主要财务指标</w:t>
      </w:r>
      <w:bookmarkEnd w:id="1"/>
    </w:p>
    <w:p w14:paraId="1B396188" w14:textId="77777777" w:rsidR="00632E5B" w:rsidRDefault="00107901">
      <w:pPr>
        <w:pStyle w:val="2"/>
        <w:spacing w:before="300" w:after="300" w:line="320" w:lineRule="exact"/>
        <w:rPr>
          <w:rFonts w:ascii="宋体" w:eastAsia="宋体" w:hAnsi="宋体" w:cs="宋体" w:hint="eastAsia"/>
          <w:b/>
          <w:bCs/>
          <w:sz w:val="24"/>
          <w:szCs w:val="24"/>
        </w:rPr>
      </w:pPr>
      <w:bookmarkStart w:id="2" w:name="_Toc988891"/>
      <w:r>
        <w:rPr>
          <w:rFonts w:ascii="宋体" w:eastAsia="宋体" w:hAnsi="宋体" w:cs="宋体"/>
          <w:b/>
          <w:bCs/>
          <w:sz w:val="24"/>
          <w:szCs w:val="24"/>
        </w:rPr>
        <w:t>一、公司信息</w:t>
      </w:r>
      <w:bookmarkEnd w:id="2"/>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632E5B" w14:paraId="6DC84416" w14:textId="77777777" w:rsidTr="00AF2A13">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35F6152"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股票简称</w:t>
            </w:r>
          </w:p>
        </w:tc>
        <w:tc>
          <w:tcPr>
            <w:tcW w:w="241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D25422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*ST中利</w:t>
            </w:r>
          </w:p>
        </w:tc>
        <w:tc>
          <w:tcPr>
            <w:tcW w:w="241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966E6CC"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股票代码</w:t>
            </w:r>
          </w:p>
        </w:tc>
        <w:tc>
          <w:tcPr>
            <w:tcW w:w="241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BB0EED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002309</w:t>
            </w:r>
          </w:p>
        </w:tc>
      </w:tr>
      <w:tr w:rsidR="00632E5B" w14:paraId="1B478059" w14:textId="77777777" w:rsidTr="00AF2A13">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6E8FBD9"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变更前的股票简称（如有）</w:t>
            </w:r>
          </w:p>
        </w:tc>
        <w:tc>
          <w:tcPr>
            <w:tcW w:w="7229" w:type="dxa"/>
            <w:gridSpan w:val="3"/>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312976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32E5B" w14:paraId="42A78A17" w14:textId="77777777" w:rsidTr="00AF2A13">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1138AB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股票上市证券交易所</w:t>
            </w:r>
          </w:p>
        </w:tc>
        <w:tc>
          <w:tcPr>
            <w:tcW w:w="7229" w:type="dxa"/>
            <w:gridSpan w:val="3"/>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5BD1A5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深圳证券交易所</w:t>
            </w:r>
          </w:p>
        </w:tc>
      </w:tr>
      <w:tr w:rsidR="00632E5B" w14:paraId="7423B084" w14:textId="77777777" w:rsidTr="00AF2A13">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0696714"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公司的中文名称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6A4321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江苏中利集团股份有限公司</w:t>
            </w:r>
          </w:p>
        </w:tc>
      </w:tr>
      <w:tr w:rsidR="00632E5B" w14:paraId="55EFBD0D" w14:textId="77777777" w:rsidTr="00AF2A13">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837AF51"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公司的中文简称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B4D778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中利集团</w:t>
            </w:r>
          </w:p>
        </w:tc>
      </w:tr>
      <w:tr w:rsidR="00632E5B" w14:paraId="2EDCD272" w14:textId="77777777" w:rsidTr="00AF2A13">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934865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公司的外文名称（如有）</w:t>
            </w:r>
          </w:p>
        </w:tc>
        <w:tc>
          <w:tcPr>
            <w:tcW w:w="7229" w:type="dxa"/>
            <w:gridSpan w:val="3"/>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F12CA0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 xml:space="preserve">Jiangsu Zhongli Group </w:t>
            </w:r>
            <w:proofErr w:type="spellStart"/>
            <w:r>
              <w:rPr>
                <w:rFonts w:ascii="宋体" w:eastAsia="宋体" w:hAnsi="宋体" w:cs="宋体"/>
                <w:sz w:val="18"/>
                <w:szCs w:val="18"/>
              </w:rPr>
              <w:t>Co.,Ltd</w:t>
            </w:r>
            <w:proofErr w:type="spellEnd"/>
          </w:p>
        </w:tc>
      </w:tr>
      <w:tr w:rsidR="00632E5B" w14:paraId="1A9D165D" w14:textId="77777777" w:rsidTr="00AF2A13">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88234D5"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公司的外文名称缩写（如有）</w:t>
            </w:r>
          </w:p>
        </w:tc>
        <w:tc>
          <w:tcPr>
            <w:tcW w:w="7229" w:type="dxa"/>
            <w:gridSpan w:val="3"/>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631ABE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ZHONGLI GROUP</w:t>
            </w:r>
          </w:p>
        </w:tc>
      </w:tr>
      <w:tr w:rsidR="00632E5B" w14:paraId="7B9346B2" w14:textId="77777777" w:rsidTr="00AF2A13">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76FA5E9"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公司的法定代表人</w:t>
            </w:r>
          </w:p>
        </w:tc>
        <w:tc>
          <w:tcPr>
            <w:tcW w:w="7229" w:type="dxa"/>
            <w:gridSpan w:val="3"/>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13C90F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许加纳</w:t>
            </w:r>
          </w:p>
        </w:tc>
      </w:tr>
      <w:tr w:rsidR="00632E5B" w14:paraId="317567F9" w14:textId="77777777" w:rsidTr="00AF2A13">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C0C267B"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注册地址</w:t>
            </w:r>
          </w:p>
        </w:tc>
        <w:tc>
          <w:tcPr>
            <w:tcW w:w="7229" w:type="dxa"/>
            <w:gridSpan w:val="3"/>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92D146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江苏省常熟东南经济开发区</w:t>
            </w:r>
          </w:p>
        </w:tc>
      </w:tr>
      <w:tr w:rsidR="00632E5B" w14:paraId="7C5C0DC3" w14:textId="77777777" w:rsidTr="00AF2A13">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0229527"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注册地址的邮政编码</w:t>
            </w:r>
          </w:p>
        </w:tc>
        <w:tc>
          <w:tcPr>
            <w:tcW w:w="7229" w:type="dxa"/>
            <w:gridSpan w:val="3"/>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9C0968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215542</w:t>
            </w:r>
          </w:p>
        </w:tc>
      </w:tr>
      <w:tr w:rsidR="00632E5B" w14:paraId="4CB4A160" w14:textId="77777777" w:rsidTr="00AF2A13">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288F410"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公司注册地址历史变更情况</w:t>
            </w:r>
          </w:p>
        </w:tc>
        <w:tc>
          <w:tcPr>
            <w:tcW w:w="7229" w:type="dxa"/>
            <w:gridSpan w:val="3"/>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B07FE5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32E5B" w14:paraId="79B52A9A" w14:textId="77777777" w:rsidTr="00AF2A13">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89FB6F1"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办公地址</w:t>
            </w:r>
          </w:p>
        </w:tc>
        <w:tc>
          <w:tcPr>
            <w:tcW w:w="7229" w:type="dxa"/>
            <w:gridSpan w:val="3"/>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23A17F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江苏省常熟东南经济开发区</w:t>
            </w:r>
          </w:p>
        </w:tc>
      </w:tr>
      <w:tr w:rsidR="00632E5B" w14:paraId="203A7BC2" w14:textId="77777777" w:rsidTr="00AF2A13">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6303CAC"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办公地址的邮政编码</w:t>
            </w:r>
          </w:p>
        </w:tc>
        <w:tc>
          <w:tcPr>
            <w:tcW w:w="7229" w:type="dxa"/>
            <w:gridSpan w:val="3"/>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3946D8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215542</w:t>
            </w:r>
          </w:p>
        </w:tc>
      </w:tr>
      <w:tr w:rsidR="00632E5B" w14:paraId="76906D4B" w14:textId="77777777" w:rsidTr="00AF2A13">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EAA7F70"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公司网址</w:t>
            </w:r>
          </w:p>
        </w:tc>
        <w:tc>
          <w:tcPr>
            <w:tcW w:w="7229" w:type="dxa"/>
            <w:gridSpan w:val="3"/>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DE7F43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http://www.zhongli.com</w:t>
            </w:r>
          </w:p>
        </w:tc>
      </w:tr>
      <w:tr w:rsidR="00632E5B" w14:paraId="4DB3EBF7" w14:textId="77777777" w:rsidTr="00AF2A13">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DBDC092"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电子信箱</w:t>
            </w:r>
          </w:p>
        </w:tc>
        <w:tc>
          <w:tcPr>
            <w:tcW w:w="7229" w:type="dxa"/>
            <w:gridSpan w:val="3"/>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391714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zhonglidm@zhongli.com</w:t>
            </w:r>
          </w:p>
        </w:tc>
      </w:tr>
    </w:tbl>
    <w:p w14:paraId="0A703288" w14:textId="77777777" w:rsidR="00632E5B" w:rsidRDefault="00107901">
      <w:pPr>
        <w:pStyle w:val="2"/>
        <w:spacing w:before="300" w:after="300" w:line="320" w:lineRule="exact"/>
        <w:rPr>
          <w:rFonts w:ascii="宋体" w:eastAsia="宋体" w:hAnsi="宋体" w:cs="宋体" w:hint="eastAsia"/>
          <w:b/>
          <w:bCs/>
          <w:sz w:val="24"/>
          <w:szCs w:val="24"/>
        </w:rPr>
      </w:pPr>
      <w:bookmarkStart w:id="3" w:name="_Toc988892"/>
      <w:r>
        <w:rPr>
          <w:rFonts w:ascii="宋体" w:eastAsia="宋体" w:hAnsi="宋体" w:cs="宋体"/>
          <w:b/>
          <w:bCs/>
          <w:sz w:val="24"/>
          <w:szCs w:val="24"/>
        </w:rPr>
        <w:t>二、联系人和联系方式</w:t>
      </w:r>
      <w:bookmarkEnd w:id="3"/>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6163C472" w14:textId="77777777" w:rsidTr="00AF2A13">
        <w:trPr>
          <w:trHeight w:val="240"/>
        </w:trPr>
        <w:tc>
          <w:tcPr>
            <w:tcW w:w="3213" w:type="dxa"/>
            <w:shd w:val="clear" w:color="auto" w:fill="FFFFFF" w:themeFill="background1"/>
            <w:vAlign w:val="center"/>
          </w:tcPr>
          <w:p w14:paraId="0D4F500B" w14:textId="77777777" w:rsidR="00632E5B" w:rsidRDefault="00632E5B"/>
        </w:tc>
        <w:tc>
          <w:tcPr>
            <w:tcW w:w="3213" w:type="dxa"/>
            <w:shd w:val="clear" w:color="auto" w:fill="FFFFFF" w:themeFill="background1"/>
            <w:vAlign w:val="center"/>
          </w:tcPr>
          <w:p w14:paraId="36BE782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董事会秘书</w:t>
            </w:r>
          </w:p>
        </w:tc>
        <w:tc>
          <w:tcPr>
            <w:tcW w:w="3213" w:type="dxa"/>
            <w:shd w:val="clear" w:color="auto" w:fill="FFFFFF" w:themeFill="background1"/>
            <w:vAlign w:val="center"/>
          </w:tcPr>
          <w:p w14:paraId="44147F4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证券事务代表</w:t>
            </w:r>
          </w:p>
        </w:tc>
      </w:tr>
      <w:tr w:rsidR="00632E5B" w14:paraId="2DDDC356" w14:textId="77777777" w:rsidTr="00AF2A13">
        <w:trPr>
          <w:trHeight w:val="240"/>
        </w:trPr>
        <w:tc>
          <w:tcPr>
            <w:tcW w:w="3213" w:type="dxa"/>
            <w:shd w:val="clear" w:color="auto" w:fill="FFFFFF" w:themeFill="background1"/>
            <w:vAlign w:val="center"/>
          </w:tcPr>
          <w:p w14:paraId="4B743AB5"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姓名</w:t>
            </w:r>
          </w:p>
        </w:tc>
        <w:tc>
          <w:tcPr>
            <w:tcW w:w="3213" w:type="dxa"/>
            <w:shd w:val="clear" w:color="auto" w:fill="FFFFFF" w:themeFill="background1"/>
            <w:vAlign w:val="center"/>
          </w:tcPr>
          <w:p w14:paraId="44FCFDC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廖嘉琦</w:t>
            </w:r>
          </w:p>
        </w:tc>
        <w:tc>
          <w:tcPr>
            <w:tcW w:w="3213" w:type="dxa"/>
            <w:shd w:val="clear" w:color="auto" w:fill="FFFFFF" w:themeFill="background1"/>
            <w:vAlign w:val="center"/>
          </w:tcPr>
          <w:p w14:paraId="38A1AFB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周玲</w:t>
            </w:r>
          </w:p>
        </w:tc>
      </w:tr>
      <w:tr w:rsidR="00632E5B" w14:paraId="31028DD2" w14:textId="77777777" w:rsidTr="00AF2A13">
        <w:trPr>
          <w:trHeight w:val="240"/>
        </w:trPr>
        <w:tc>
          <w:tcPr>
            <w:tcW w:w="3213" w:type="dxa"/>
            <w:shd w:val="clear" w:color="auto" w:fill="FFFFFF" w:themeFill="background1"/>
            <w:vAlign w:val="center"/>
          </w:tcPr>
          <w:p w14:paraId="2F9B9043"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联系地址</w:t>
            </w:r>
          </w:p>
        </w:tc>
        <w:tc>
          <w:tcPr>
            <w:tcW w:w="3213" w:type="dxa"/>
            <w:shd w:val="clear" w:color="auto" w:fill="FFFFFF" w:themeFill="background1"/>
            <w:vAlign w:val="center"/>
          </w:tcPr>
          <w:p w14:paraId="7DFA21E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江苏省常熟东南经济开发区</w:t>
            </w:r>
          </w:p>
        </w:tc>
        <w:tc>
          <w:tcPr>
            <w:tcW w:w="3213" w:type="dxa"/>
            <w:shd w:val="clear" w:color="auto" w:fill="FFFFFF" w:themeFill="background1"/>
            <w:vAlign w:val="center"/>
          </w:tcPr>
          <w:p w14:paraId="7FF339E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江苏省常熟东南经济开发区</w:t>
            </w:r>
          </w:p>
        </w:tc>
      </w:tr>
      <w:tr w:rsidR="00632E5B" w14:paraId="485459FE" w14:textId="77777777" w:rsidTr="00AF2A13">
        <w:trPr>
          <w:trHeight w:val="240"/>
        </w:trPr>
        <w:tc>
          <w:tcPr>
            <w:tcW w:w="3213" w:type="dxa"/>
            <w:shd w:val="clear" w:color="auto" w:fill="FFFFFF" w:themeFill="background1"/>
            <w:vAlign w:val="center"/>
          </w:tcPr>
          <w:p w14:paraId="4A077ED7"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电话</w:t>
            </w:r>
          </w:p>
        </w:tc>
        <w:tc>
          <w:tcPr>
            <w:tcW w:w="3213" w:type="dxa"/>
            <w:shd w:val="clear" w:color="auto" w:fill="FFFFFF" w:themeFill="background1"/>
            <w:vAlign w:val="center"/>
          </w:tcPr>
          <w:p w14:paraId="1C99D7D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0512-52571188</w:t>
            </w:r>
          </w:p>
        </w:tc>
        <w:tc>
          <w:tcPr>
            <w:tcW w:w="3213" w:type="dxa"/>
            <w:shd w:val="clear" w:color="auto" w:fill="FFFFFF" w:themeFill="background1"/>
            <w:vAlign w:val="center"/>
          </w:tcPr>
          <w:p w14:paraId="54FB50B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0512-52571188</w:t>
            </w:r>
          </w:p>
        </w:tc>
      </w:tr>
      <w:tr w:rsidR="00632E5B" w14:paraId="03F2FEBB" w14:textId="77777777" w:rsidTr="00AF2A13">
        <w:trPr>
          <w:trHeight w:val="240"/>
        </w:trPr>
        <w:tc>
          <w:tcPr>
            <w:tcW w:w="3213" w:type="dxa"/>
            <w:shd w:val="clear" w:color="auto" w:fill="FFFFFF" w:themeFill="background1"/>
            <w:vAlign w:val="center"/>
          </w:tcPr>
          <w:p w14:paraId="670D331F"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传真</w:t>
            </w:r>
          </w:p>
        </w:tc>
        <w:tc>
          <w:tcPr>
            <w:tcW w:w="3213" w:type="dxa"/>
            <w:shd w:val="clear" w:color="auto" w:fill="FFFFFF" w:themeFill="background1"/>
            <w:vAlign w:val="center"/>
          </w:tcPr>
          <w:p w14:paraId="006F21E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0512-52572288</w:t>
            </w:r>
          </w:p>
        </w:tc>
        <w:tc>
          <w:tcPr>
            <w:tcW w:w="3213" w:type="dxa"/>
            <w:shd w:val="clear" w:color="auto" w:fill="FFFFFF" w:themeFill="background1"/>
            <w:vAlign w:val="center"/>
          </w:tcPr>
          <w:p w14:paraId="4274552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0512-52572288</w:t>
            </w:r>
          </w:p>
        </w:tc>
      </w:tr>
      <w:tr w:rsidR="00632E5B" w14:paraId="26D0291D" w14:textId="77777777" w:rsidTr="00AF2A13">
        <w:trPr>
          <w:trHeight w:val="240"/>
        </w:trPr>
        <w:tc>
          <w:tcPr>
            <w:tcW w:w="3213" w:type="dxa"/>
            <w:shd w:val="clear" w:color="auto" w:fill="FFFFFF" w:themeFill="background1"/>
            <w:vAlign w:val="center"/>
          </w:tcPr>
          <w:p w14:paraId="1C22F0CD"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电子信箱</w:t>
            </w:r>
          </w:p>
        </w:tc>
        <w:tc>
          <w:tcPr>
            <w:tcW w:w="3213" w:type="dxa"/>
            <w:shd w:val="clear" w:color="auto" w:fill="FFFFFF" w:themeFill="background1"/>
            <w:vAlign w:val="center"/>
          </w:tcPr>
          <w:p w14:paraId="037CAA0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zhonglidm@zhongli.com</w:t>
            </w:r>
          </w:p>
        </w:tc>
        <w:tc>
          <w:tcPr>
            <w:tcW w:w="3213" w:type="dxa"/>
            <w:shd w:val="clear" w:color="auto" w:fill="FFFFFF" w:themeFill="background1"/>
            <w:vAlign w:val="center"/>
          </w:tcPr>
          <w:p w14:paraId="6093F2A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zhonglidm@zhongli.com</w:t>
            </w:r>
          </w:p>
        </w:tc>
      </w:tr>
    </w:tbl>
    <w:p w14:paraId="1AC60578" w14:textId="77777777" w:rsidR="00632E5B" w:rsidRDefault="00107901" w:rsidP="00FF08E1">
      <w:pPr>
        <w:pStyle w:val="2"/>
        <w:spacing w:before="260" w:after="260" w:line="320" w:lineRule="exact"/>
        <w:rPr>
          <w:rFonts w:ascii="宋体" w:eastAsia="宋体" w:hAnsi="宋体" w:cs="宋体" w:hint="eastAsia"/>
          <w:b/>
          <w:bCs/>
          <w:sz w:val="24"/>
          <w:szCs w:val="24"/>
        </w:rPr>
      </w:pPr>
      <w:bookmarkStart w:id="4" w:name="_Toc988893"/>
      <w:r>
        <w:rPr>
          <w:rFonts w:ascii="宋体" w:eastAsia="宋体" w:hAnsi="宋体" w:cs="宋体"/>
          <w:b/>
          <w:bCs/>
          <w:sz w:val="24"/>
          <w:szCs w:val="24"/>
        </w:rPr>
        <w:t>三、信息披露及备置地点</w:t>
      </w:r>
      <w:bookmarkEnd w:id="4"/>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4820"/>
        <w:gridCol w:w="4819"/>
      </w:tblGrid>
      <w:tr w:rsidR="00632E5B" w14:paraId="4E2FD003" w14:textId="77777777" w:rsidTr="00AF2A13">
        <w:trPr>
          <w:trHeight w:val="240"/>
        </w:trPr>
        <w:tc>
          <w:tcPr>
            <w:tcW w:w="4820" w:type="dxa"/>
            <w:shd w:val="clear" w:color="auto" w:fill="FFFFFF" w:themeFill="background1"/>
            <w:vAlign w:val="center"/>
          </w:tcPr>
          <w:p w14:paraId="39CC8E75"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公司披露年度报告的证券交易所网站</w:t>
            </w:r>
          </w:p>
        </w:tc>
        <w:tc>
          <w:tcPr>
            <w:tcW w:w="4820" w:type="dxa"/>
            <w:shd w:val="clear" w:color="auto" w:fill="FFFFFF" w:themeFill="background1"/>
            <w:vAlign w:val="center"/>
          </w:tcPr>
          <w:p w14:paraId="7781EB6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http://www.szse.cn</w:t>
            </w:r>
          </w:p>
        </w:tc>
      </w:tr>
      <w:tr w:rsidR="00632E5B" w14:paraId="2D1097DD" w14:textId="77777777" w:rsidTr="00AF2A13">
        <w:trPr>
          <w:trHeight w:val="240"/>
        </w:trPr>
        <w:tc>
          <w:tcPr>
            <w:tcW w:w="4820" w:type="dxa"/>
            <w:shd w:val="clear" w:color="auto" w:fill="FFFFFF" w:themeFill="background1"/>
            <w:vAlign w:val="center"/>
          </w:tcPr>
          <w:p w14:paraId="1B4BF2F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公司披露年度报告的媒体名称及网址</w:t>
            </w:r>
          </w:p>
        </w:tc>
        <w:tc>
          <w:tcPr>
            <w:tcW w:w="4820" w:type="dxa"/>
            <w:shd w:val="clear" w:color="auto" w:fill="FFFFFF" w:themeFill="background1"/>
            <w:vAlign w:val="center"/>
          </w:tcPr>
          <w:p w14:paraId="4BB4821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《证券时报》《证券日报》《上海证券报》及巨潮资讯网</w:t>
            </w:r>
          </w:p>
          <w:p w14:paraId="66F0559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http://www.cninfo.com.cn</w:t>
            </w:r>
          </w:p>
        </w:tc>
      </w:tr>
      <w:tr w:rsidR="00632E5B" w14:paraId="4337A8E6" w14:textId="77777777" w:rsidTr="00AF2A13">
        <w:trPr>
          <w:trHeight w:val="240"/>
        </w:trPr>
        <w:tc>
          <w:tcPr>
            <w:tcW w:w="4820" w:type="dxa"/>
            <w:shd w:val="clear" w:color="auto" w:fill="FFFFFF" w:themeFill="background1"/>
            <w:vAlign w:val="center"/>
          </w:tcPr>
          <w:p w14:paraId="709EC57C"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公司年度报告备置地点</w:t>
            </w:r>
          </w:p>
        </w:tc>
        <w:tc>
          <w:tcPr>
            <w:tcW w:w="4820" w:type="dxa"/>
            <w:shd w:val="clear" w:color="auto" w:fill="FFFFFF" w:themeFill="background1"/>
            <w:vAlign w:val="center"/>
          </w:tcPr>
          <w:p w14:paraId="160B1BD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江苏省常熟市东南经济开发区常昆路8号</w:t>
            </w:r>
          </w:p>
        </w:tc>
      </w:tr>
    </w:tbl>
    <w:p w14:paraId="49575652" w14:textId="77777777" w:rsidR="00632E5B" w:rsidRDefault="00107901" w:rsidP="00FF08E1">
      <w:pPr>
        <w:pStyle w:val="2"/>
        <w:spacing w:before="260" w:after="260" w:line="320" w:lineRule="exact"/>
        <w:rPr>
          <w:rFonts w:ascii="宋体" w:eastAsia="宋体" w:hAnsi="宋体" w:cs="宋体" w:hint="eastAsia"/>
          <w:b/>
          <w:bCs/>
          <w:sz w:val="24"/>
          <w:szCs w:val="24"/>
        </w:rPr>
      </w:pPr>
      <w:bookmarkStart w:id="5" w:name="_Toc988894"/>
      <w:r>
        <w:rPr>
          <w:rFonts w:ascii="宋体" w:eastAsia="宋体" w:hAnsi="宋体" w:cs="宋体"/>
          <w:b/>
          <w:bCs/>
          <w:sz w:val="24"/>
          <w:szCs w:val="24"/>
        </w:rPr>
        <w:t>四、注册变更情况</w:t>
      </w:r>
      <w:bookmarkEnd w:id="5"/>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4820"/>
        <w:gridCol w:w="4819"/>
      </w:tblGrid>
      <w:tr w:rsidR="00632E5B" w14:paraId="65BF0A42" w14:textId="77777777" w:rsidTr="00AF2A13">
        <w:trPr>
          <w:trHeight w:val="240"/>
        </w:trPr>
        <w:tc>
          <w:tcPr>
            <w:tcW w:w="4820" w:type="dxa"/>
            <w:shd w:val="clear" w:color="auto" w:fill="FFFFFF" w:themeFill="background1"/>
            <w:vAlign w:val="center"/>
          </w:tcPr>
          <w:p w14:paraId="36976EAB"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统一社会信用代码</w:t>
            </w:r>
          </w:p>
        </w:tc>
        <w:tc>
          <w:tcPr>
            <w:tcW w:w="4820" w:type="dxa"/>
            <w:shd w:val="clear" w:color="auto" w:fill="FFFFFF" w:themeFill="background1"/>
            <w:vAlign w:val="center"/>
          </w:tcPr>
          <w:p w14:paraId="6A7D58A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913205007317618904</w:t>
            </w:r>
          </w:p>
        </w:tc>
      </w:tr>
      <w:tr w:rsidR="00632E5B" w14:paraId="05230CDB" w14:textId="77777777" w:rsidTr="00AF2A13">
        <w:trPr>
          <w:trHeight w:val="240"/>
        </w:trPr>
        <w:tc>
          <w:tcPr>
            <w:tcW w:w="4820" w:type="dxa"/>
            <w:shd w:val="clear" w:color="auto" w:fill="FFFFFF" w:themeFill="background1"/>
            <w:vAlign w:val="center"/>
          </w:tcPr>
          <w:p w14:paraId="6CF96F0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公司上市以来主营业务的变化情况（如有）</w:t>
            </w:r>
          </w:p>
        </w:tc>
        <w:tc>
          <w:tcPr>
            <w:tcW w:w="4820" w:type="dxa"/>
            <w:shd w:val="clear" w:color="auto" w:fill="FFFFFF" w:themeFill="background1"/>
            <w:vAlign w:val="center"/>
          </w:tcPr>
          <w:p w14:paraId="38252C5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无变更</w:t>
            </w:r>
          </w:p>
        </w:tc>
      </w:tr>
      <w:tr w:rsidR="00632E5B" w14:paraId="000883B5" w14:textId="77777777" w:rsidTr="00AF2A13">
        <w:trPr>
          <w:trHeight w:val="240"/>
        </w:trPr>
        <w:tc>
          <w:tcPr>
            <w:tcW w:w="4820" w:type="dxa"/>
            <w:shd w:val="clear" w:color="auto" w:fill="FFFFFF" w:themeFill="background1"/>
            <w:vAlign w:val="center"/>
          </w:tcPr>
          <w:p w14:paraId="2CB0DBB7"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历次控股股东的变更情况（如有）</w:t>
            </w:r>
          </w:p>
        </w:tc>
        <w:tc>
          <w:tcPr>
            <w:tcW w:w="4820" w:type="dxa"/>
            <w:shd w:val="clear" w:color="auto" w:fill="FFFFFF" w:themeFill="background1"/>
            <w:vAlign w:val="center"/>
          </w:tcPr>
          <w:p w14:paraId="17E9D12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2024年12月底公司重整计划执行完毕，管理人将转增股票过户至产业投资人常熟光晟指定证券账户，公司控股股东于董事会改选后正式变更为常熟光晟。</w:t>
            </w:r>
          </w:p>
        </w:tc>
      </w:tr>
    </w:tbl>
    <w:p w14:paraId="61B16A61" w14:textId="77777777" w:rsidR="00632E5B" w:rsidRDefault="00107901">
      <w:pPr>
        <w:pStyle w:val="2"/>
        <w:spacing w:before="300" w:after="300" w:line="320" w:lineRule="exact"/>
        <w:rPr>
          <w:rFonts w:ascii="宋体" w:eastAsia="宋体" w:hAnsi="宋体" w:cs="宋体" w:hint="eastAsia"/>
          <w:b/>
          <w:bCs/>
          <w:sz w:val="24"/>
          <w:szCs w:val="24"/>
        </w:rPr>
      </w:pPr>
      <w:bookmarkStart w:id="6" w:name="_Toc988895"/>
      <w:r>
        <w:rPr>
          <w:rFonts w:ascii="宋体" w:eastAsia="宋体" w:hAnsi="宋体" w:cs="宋体"/>
          <w:b/>
          <w:bCs/>
          <w:sz w:val="24"/>
          <w:szCs w:val="24"/>
        </w:rPr>
        <w:lastRenderedPageBreak/>
        <w:t>五、其他有关资料</w:t>
      </w:r>
      <w:bookmarkEnd w:id="6"/>
    </w:p>
    <w:p w14:paraId="6E4AEAD8"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公司聘请的会计师事务所</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4820"/>
        <w:gridCol w:w="4819"/>
      </w:tblGrid>
      <w:tr w:rsidR="00632E5B" w14:paraId="241D9C94" w14:textId="77777777" w:rsidTr="00AF2A13">
        <w:trPr>
          <w:trHeight w:val="240"/>
        </w:trPr>
        <w:tc>
          <w:tcPr>
            <w:tcW w:w="4820" w:type="dxa"/>
            <w:shd w:val="clear" w:color="auto" w:fill="FFFFFF" w:themeFill="background1"/>
            <w:vAlign w:val="center"/>
          </w:tcPr>
          <w:p w14:paraId="4B20659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会计师事务所名称</w:t>
            </w:r>
          </w:p>
        </w:tc>
        <w:tc>
          <w:tcPr>
            <w:tcW w:w="4820" w:type="dxa"/>
            <w:shd w:val="clear" w:color="auto" w:fill="FFFFFF" w:themeFill="background1"/>
            <w:vAlign w:val="center"/>
          </w:tcPr>
          <w:p w14:paraId="34E72FB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苏亚金诚会计师事务所（特殊普通合伙）</w:t>
            </w:r>
          </w:p>
        </w:tc>
      </w:tr>
      <w:tr w:rsidR="00632E5B" w14:paraId="4339DB6F" w14:textId="77777777" w:rsidTr="00AF2A13">
        <w:trPr>
          <w:trHeight w:val="240"/>
        </w:trPr>
        <w:tc>
          <w:tcPr>
            <w:tcW w:w="4820" w:type="dxa"/>
            <w:shd w:val="clear" w:color="auto" w:fill="FFFFFF" w:themeFill="background1"/>
            <w:vAlign w:val="center"/>
          </w:tcPr>
          <w:p w14:paraId="1F0C963C"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会计师事务所办公地址</w:t>
            </w:r>
          </w:p>
        </w:tc>
        <w:tc>
          <w:tcPr>
            <w:tcW w:w="4820" w:type="dxa"/>
            <w:shd w:val="clear" w:color="auto" w:fill="FFFFFF" w:themeFill="background1"/>
            <w:vAlign w:val="center"/>
          </w:tcPr>
          <w:p w14:paraId="40EC45A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南京市建邺区泰山路159号正太中心大厦A座14-16层</w:t>
            </w:r>
          </w:p>
        </w:tc>
      </w:tr>
      <w:tr w:rsidR="00632E5B" w14:paraId="01C79C2E" w14:textId="77777777" w:rsidTr="00AF2A13">
        <w:trPr>
          <w:trHeight w:val="240"/>
        </w:trPr>
        <w:tc>
          <w:tcPr>
            <w:tcW w:w="4820" w:type="dxa"/>
            <w:shd w:val="clear" w:color="auto" w:fill="FFFFFF" w:themeFill="background1"/>
            <w:vAlign w:val="center"/>
          </w:tcPr>
          <w:p w14:paraId="1DA40625"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签字会计师姓名</w:t>
            </w:r>
          </w:p>
        </w:tc>
        <w:tc>
          <w:tcPr>
            <w:tcW w:w="4820" w:type="dxa"/>
            <w:shd w:val="clear" w:color="auto" w:fill="FFFFFF" w:themeFill="background1"/>
            <w:vAlign w:val="center"/>
          </w:tcPr>
          <w:p w14:paraId="388C849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徐长俄、许三春</w:t>
            </w:r>
          </w:p>
        </w:tc>
      </w:tr>
    </w:tbl>
    <w:p w14:paraId="61BF45D5"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公司聘请的报告期内履行持续督导职责的保荐机构</w:t>
      </w:r>
    </w:p>
    <w:p w14:paraId="01E6F445"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1435B729"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公司聘请的报告期内履行持续督导职责的财务顾问</w:t>
      </w:r>
    </w:p>
    <w:p w14:paraId="6BC06D4C"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502DDF70" w14:textId="77777777" w:rsidR="00632E5B" w:rsidRDefault="00107901">
      <w:pPr>
        <w:pStyle w:val="2"/>
        <w:spacing w:before="300" w:after="300" w:line="320" w:lineRule="exact"/>
        <w:rPr>
          <w:rFonts w:ascii="宋体" w:eastAsia="宋体" w:hAnsi="宋体" w:cs="宋体" w:hint="eastAsia"/>
          <w:b/>
          <w:bCs/>
          <w:sz w:val="24"/>
          <w:szCs w:val="24"/>
        </w:rPr>
      </w:pPr>
      <w:bookmarkStart w:id="7" w:name="_Toc988896"/>
      <w:r>
        <w:rPr>
          <w:rFonts w:ascii="宋体" w:eastAsia="宋体" w:hAnsi="宋体" w:cs="宋体"/>
          <w:b/>
          <w:bCs/>
          <w:sz w:val="24"/>
          <w:szCs w:val="24"/>
        </w:rPr>
        <w:t>六、主要会计数据和财务指标</w:t>
      </w:r>
      <w:bookmarkEnd w:id="7"/>
    </w:p>
    <w:p w14:paraId="0AE1BC02"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公司是否需追溯调整或重述以前年度会计数据</w:t>
      </w:r>
    </w:p>
    <w:p w14:paraId="10F656EC"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927"/>
        <w:gridCol w:w="1928"/>
        <w:gridCol w:w="1928"/>
        <w:gridCol w:w="1928"/>
        <w:gridCol w:w="1928"/>
      </w:tblGrid>
      <w:tr w:rsidR="00632E5B" w14:paraId="27AC794E" w14:textId="77777777" w:rsidTr="00AF2A13">
        <w:trPr>
          <w:trHeight w:val="240"/>
        </w:trPr>
        <w:tc>
          <w:tcPr>
            <w:tcW w:w="1928" w:type="dxa"/>
            <w:shd w:val="clear" w:color="auto" w:fill="FFFFFF" w:themeFill="background1"/>
            <w:vAlign w:val="center"/>
          </w:tcPr>
          <w:p w14:paraId="55714611" w14:textId="77777777" w:rsidR="00632E5B" w:rsidRDefault="00632E5B"/>
        </w:tc>
        <w:tc>
          <w:tcPr>
            <w:tcW w:w="1928" w:type="dxa"/>
            <w:shd w:val="clear" w:color="auto" w:fill="FFFFFF" w:themeFill="background1"/>
            <w:vAlign w:val="center"/>
          </w:tcPr>
          <w:p w14:paraId="7599EC1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2024年</w:t>
            </w:r>
          </w:p>
        </w:tc>
        <w:tc>
          <w:tcPr>
            <w:tcW w:w="1928" w:type="dxa"/>
            <w:shd w:val="clear" w:color="auto" w:fill="FFFFFF" w:themeFill="background1"/>
            <w:vAlign w:val="center"/>
          </w:tcPr>
          <w:p w14:paraId="2D02259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2023年</w:t>
            </w:r>
          </w:p>
        </w:tc>
        <w:tc>
          <w:tcPr>
            <w:tcW w:w="1928" w:type="dxa"/>
            <w:shd w:val="clear" w:color="auto" w:fill="FFFFFF" w:themeFill="background1"/>
            <w:vAlign w:val="center"/>
          </w:tcPr>
          <w:p w14:paraId="4669BEF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本年比上年增减</w:t>
            </w:r>
          </w:p>
        </w:tc>
        <w:tc>
          <w:tcPr>
            <w:tcW w:w="1928" w:type="dxa"/>
            <w:shd w:val="clear" w:color="auto" w:fill="FFFFFF" w:themeFill="background1"/>
            <w:vAlign w:val="center"/>
          </w:tcPr>
          <w:p w14:paraId="61D0F0A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2022年</w:t>
            </w:r>
          </w:p>
        </w:tc>
      </w:tr>
      <w:tr w:rsidR="00632E5B" w14:paraId="1B1A8D40" w14:textId="77777777" w:rsidTr="00AF2A13">
        <w:trPr>
          <w:trHeight w:val="240"/>
        </w:trPr>
        <w:tc>
          <w:tcPr>
            <w:tcW w:w="1928" w:type="dxa"/>
            <w:shd w:val="clear" w:color="auto" w:fill="FFFFFF" w:themeFill="background1"/>
            <w:vAlign w:val="center"/>
          </w:tcPr>
          <w:p w14:paraId="1EB661E1"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营业收入（元）</w:t>
            </w:r>
          </w:p>
        </w:tc>
        <w:tc>
          <w:tcPr>
            <w:tcW w:w="1928" w:type="dxa"/>
            <w:shd w:val="clear" w:color="auto" w:fill="FFFFFF" w:themeFill="background1"/>
            <w:vAlign w:val="center"/>
          </w:tcPr>
          <w:p w14:paraId="55D5C59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2,357,979,747.56</w:t>
            </w:r>
          </w:p>
        </w:tc>
        <w:tc>
          <w:tcPr>
            <w:tcW w:w="1928" w:type="dxa"/>
            <w:shd w:val="clear" w:color="auto" w:fill="FFFFFF" w:themeFill="background1"/>
            <w:vAlign w:val="center"/>
          </w:tcPr>
          <w:p w14:paraId="0509E4F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4,051,283,736.03</w:t>
            </w:r>
          </w:p>
        </w:tc>
        <w:tc>
          <w:tcPr>
            <w:tcW w:w="1928" w:type="dxa"/>
            <w:shd w:val="clear" w:color="auto" w:fill="FFFFFF" w:themeFill="background1"/>
            <w:vAlign w:val="center"/>
          </w:tcPr>
          <w:p w14:paraId="67A1603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-41.80%</w:t>
            </w:r>
          </w:p>
        </w:tc>
        <w:tc>
          <w:tcPr>
            <w:tcW w:w="1928" w:type="dxa"/>
            <w:shd w:val="clear" w:color="auto" w:fill="FFFFFF" w:themeFill="background1"/>
            <w:vAlign w:val="center"/>
          </w:tcPr>
          <w:p w14:paraId="34F44C2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8,165,891,813.89</w:t>
            </w:r>
          </w:p>
        </w:tc>
      </w:tr>
      <w:tr w:rsidR="00632E5B" w14:paraId="1839C8CE" w14:textId="77777777" w:rsidTr="00AF2A13">
        <w:trPr>
          <w:trHeight w:val="240"/>
        </w:trPr>
        <w:tc>
          <w:tcPr>
            <w:tcW w:w="1928" w:type="dxa"/>
            <w:shd w:val="clear" w:color="auto" w:fill="FFFFFF" w:themeFill="background1"/>
            <w:vAlign w:val="center"/>
          </w:tcPr>
          <w:p w14:paraId="64A9873F"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归属于上市公司股东的净利润（元）</w:t>
            </w:r>
          </w:p>
        </w:tc>
        <w:tc>
          <w:tcPr>
            <w:tcW w:w="1928" w:type="dxa"/>
            <w:shd w:val="clear" w:color="auto" w:fill="FFFFFF" w:themeFill="background1"/>
            <w:vAlign w:val="center"/>
          </w:tcPr>
          <w:p w14:paraId="56B6622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-1,174,126,055.60</w:t>
            </w:r>
          </w:p>
        </w:tc>
        <w:tc>
          <w:tcPr>
            <w:tcW w:w="1928" w:type="dxa"/>
            <w:shd w:val="clear" w:color="auto" w:fill="FFFFFF" w:themeFill="background1"/>
            <w:vAlign w:val="center"/>
          </w:tcPr>
          <w:p w14:paraId="2DE0BCC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-1,496,533,239.05</w:t>
            </w:r>
          </w:p>
        </w:tc>
        <w:tc>
          <w:tcPr>
            <w:tcW w:w="1928" w:type="dxa"/>
            <w:shd w:val="clear" w:color="auto" w:fill="FFFFFF" w:themeFill="background1"/>
            <w:vAlign w:val="center"/>
          </w:tcPr>
          <w:p w14:paraId="21B6D7C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21.54%</w:t>
            </w:r>
          </w:p>
        </w:tc>
        <w:tc>
          <w:tcPr>
            <w:tcW w:w="1928" w:type="dxa"/>
            <w:shd w:val="clear" w:color="auto" w:fill="FFFFFF" w:themeFill="background1"/>
            <w:vAlign w:val="center"/>
          </w:tcPr>
          <w:p w14:paraId="7E8039E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-475,578,383.85</w:t>
            </w:r>
          </w:p>
        </w:tc>
      </w:tr>
      <w:tr w:rsidR="00632E5B" w14:paraId="10F3BBDF" w14:textId="77777777" w:rsidTr="00AF2A13">
        <w:trPr>
          <w:trHeight w:val="240"/>
        </w:trPr>
        <w:tc>
          <w:tcPr>
            <w:tcW w:w="1928" w:type="dxa"/>
            <w:shd w:val="clear" w:color="auto" w:fill="FFFFFF" w:themeFill="background1"/>
            <w:vAlign w:val="center"/>
          </w:tcPr>
          <w:p w14:paraId="7BD94CB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归属于上市公司股东的扣除非经常性损益的净利润（元）</w:t>
            </w:r>
          </w:p>
        </w:tc>
        <w:tc>
          <w:tcPr>
            <w:tcW w:w="1928" w:type="dxa"/>
            <w:shd w:val="clear" w:color="auto" w:fill="FFFFFF" w:themeFill="background1"/>
            <w:vAlign w:val="center"/>
          </w:tcPr>
          <w:p w14:paraId="5A6200E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-2,251,778,068.46</w:t>
            </w:r>
          </w:p>
        </w:tc>
        <w:tc>
          <w:tcPr>
            <w:tcW w:w="1928" w:type="dxa"/>
            <w:shd w:val="clear" w:color="auto" w:fill="FFFFFF" w:themeFill="background1"/>
            <w:vAlign w:val="center"/>
          </w:tcPr>
          <w:p w14:paraId="7CCA26C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-1,302,800,824.40</w:t>
            </w:r>
          </w:p>
        </w:tc>
        <w:tc>
          <w:tcPr>
            <w:tcW w:w="1928" w:type="dxa"/>
            <w:shd w:val="clear" w:color="auto" w:fill="FFFFFF" w:themeFill="background1"/>
            <w:vAlign w:val="center"/>
          </w:tcPr>
          <w:p w14:paraId="723EF10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-72.84%</w:t>
            </w:r>
          </w:p>
        </w:tc>
        <w:tc>
          <w:tcPr>
            <w:tcW w:w="1928" w:type="dxa"/>
            <w:shd w:val="clear" w:color="auto" w:fill="FFFFFF" w:themeFill="background1"/>
            <w:vAlign w:val="center"/>
          </w:tcPr>
          <w:p w14:paraId="73B20EE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-747,183,880.21</w:t>
            </w:r>
          </w:p>
        </w:tc>
      </w:tr>
      <w:tr w:rsidR="00632E5B" w14:paraId="7A519203" w14:textId="77777777" w:rsidTr="00AF2A13">
        <w:trPr>
          <w:trHeight w:val="240"/>
        </w:trPr>
        <w:tc>
          <w:tcPr>
            <w:tcW w:w="1928" w:type="dxa"/>
            <w:shd w:val="clear" w:color="auto" w:fill="FFFFFF" w:themeFill="background1"/>
            <w:vAlign w:val="center"/>
          </w:tcPr>
          <w:p w14:paraId="717B13C7"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经营活动产生的现金流量净额（元）</w:t>
            </w:r>
          </w:p>
        </w:tc>
        <w:tc>
          <w:tcPr>
            <w:tcW w:w="1928" w:type="dxa"/>
            <w:shd w:val="clear" w:color="auto" w:fill="FFFFFF" w:themeFill="background1"/>
            <w:vAlign w:val="center"/>
          </w:tcPr>
          <w:p w14:paraId="19B2BB3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-659,205,323.72</w:t>
            </w:r>
          </w:p>
        </w:tc>
        <w:tc>
          <w:tcPr>
            <w:tcW w:w="1928" w:type="dxa"/>
            <w:shd w:val="clear" w:color="auto" w:fill="FFFFFF" w:themeFill="background1"/>
            <w:vAlign w:val="center"/>
          </w:tcPr>
          <w:p w14:paraId="78C52BF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289,661,826.87</w:t>
            </w:r>
          </w:p>
        </w:tc>
        <w:tc>
          <w:tcPr>
            <w:tcW w:w="1928" w:type="dxa"/>
            <w:shd w:val="clear" w:color="auto" w:fill="FFFFFF" w:themeFill="background1"/>
            <w:vAlign w:val="center"/>
          </w:tcPr>
          <w:p w14:paraId="3F3537D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-327.58%</w:t>
            </w:r>
          </w:p>
        </w:tc>
        <w:tc>
          <w:tcPr>
            <w:tcW w:w="1928" w:type="dxa"/>
            <w:shd w:val="clear" w:color="auto" w:fill="FFFFFF" w:themeFill="background1"/>
            <w:vAlign w:val="center"/>
          </w:tcPr>
          <w:p w14:paraId="77AB1BA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387,179,858.18</w:t>
            </w:r>
          </w:p>
        </w:tc>
      </w:tr>
      <w:tr w:rsidR="00632E5B" w14:paraId="744E3C0B" w14:textId="77777777" w:rsidTr="00AF2A13">
        <w:trPr>
          <w:trHeight w:val="240"/>
        </w:trPr>
        <w:tc>
          <w:tcPr>
            <w:tcW w:w="1928" w:type="dxa"/>
            <w:shd w:val="clear" w:color="auto" w:fill="FFFFFF" w:themeFill="background1"/>
            <w:vAlign w:val="center"/>
          </w:tcPr>
          <w:p w14:paraId="265B7919"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基本每股收益（元/股）</w:t>
            </w:r>
          </w:p>
        </w:tc>
        <w:tc>
          <w:tcPr>
            <w:tcW w:w="1928" w:type="dxa"/>
            <w:shd w:val="clear" w:color="auto" w:fill="FFFFFF" w:themeFill="background1"/>
            <w:vAlign w:val="center"/>
          </w:tcPr>
          <w:p w14:paraId="1E417F3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-0.46</w:t>
            </w:r>
          </w:p>
        </w:tc>
        <w:tc>
          <w:tcPr>
            <w:tcW w:w="1928" w:type="dxa"/>
            <w:shd w:val="clear" w:color="auto" w:fill="FFFFFF" w:themeFill="background1"/>
            <w:vAlign w:val="center"/>
          </w:tcPr>
          <w:p w14:paraId="51BB01C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-0.58</w:t>
            </w:r>
          </w:p>
        </w:tc>
        <w:tc>
          <w:tcPr>
            <w:tcW w:w="1928" w:type="dxa"/>
            <w:shd w:val="clear" w:color="auto" w:fill="FFFFFF" w:themeFill="background1"/>
            <w:vAlign w:val="center"/>
          </w:tcPr>
          <w:p w14:paraId="0E3F249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20.69%</w:t>
            </w:r>
          </w:p>
        </w:tc>
        <w:tc>
          <w:tcPr>
            <w:tcW w:w="1928" w:type="dxa"/>
            <w:shd w:val="clear" w:color="auto" w:fill="FFFFFF" w:themeFill="background1"/>
            <w:vAlign w:val="center"/>
          </w:tcPr>
          <w:p w14:paraId="276BF97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-0.55</w:t>
            </w:r>
          </w:p>
        </w:tc>
      </w:tr>
      <w:tr w:rsidR="00632E5B" w14:paraId="72E1C842" w14:textId="77777777" w:rsidTr="00AF2A13">
        <w:trPr>
          <w:trHeight w:val="240"/>
        </w:trPr>
        <w:tc>
          <w:tcPr>
            <w:tcW w:w="1928" w:type="dxa"/>
            <w:shd w:val="clear" w:color="auto" w:fill="FFFFFF" w:themeFill="background1"/>
            <w:vAlign w:val="center"/>
          </w:tcPr>
          <w:p w14:paraId="78626ED3"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稀释每股收益（元/股）</w:t>
            </w:r>
          </w:p>
        </w:tc>
        <w:tc>
          <w:tcPr>
            <w:tcW w:w="1928" w:type="dxa"/>
            <w:shd w:val="clear" w:color="auto" w:fill="FFFFFF" w:themeFill="background1"/>
            <w:vAlign w:val="center"/>
          </w:tcPr>
          <w:p w14:paraId="7342862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-0.46</w:t>
            </w:r>
          </w:p>
        </w:tc>
        <w:tc>
          <w:tcPr>
            <w:tcW w:w="1928" w:type="dxa"/>
            <w:shd w:val="clear" w:color="auto" w:fill="FFFFFF" w:themeFill="background1"/>
            <w:vAlign w:val="center"/>
          </w:tcPr>
          <w:p w14:paraId="5A2200A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-0.58</w:t>
            </w:r>
          </w:p>
        </w:tc>
        <w:tc>
          <w:tcPr>
            <w:tcW w:w="1928" w:type="dxa"/>
            <w:shd w:val="clear" w:color="auto" w:fill="FFFFFF" w:themeFill="background1"/>
            <w:vAlign w:val="center"/>
          </w:tcPr>
          <w:p w14:paraId="657FE93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20.69%</w:t>
            </w:r>
          </w:p>
        </w:tc>
        <w:tc>
          <w:tcPr>
            <w:tcW w:w="1928" w:type="dxa"/>
            <w:shd w:val="clear" w:color="auto" w:fill="FFFFFF" w:themeFill="background1"/>
            <w:vAlign w:val="center"/>
          </w:tcPr>
          <w:p w14:paraId="77221DE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-0.55</w:t>
            </w:r>
          </w:p>
        </w:tc>
      </w:tr>
      <w:tr w:rsidR="00632E5B" w14:paraId="4D35E128" w14:textId="77777777" w:rsidTr="00AF2A13">
        <w:trPr>
          <w:trHeight w:val="240"/>
        </w:trPr>
        <w:tc>
          <w:tcPr>
            <w:tcW w:w="1928" w:type="dxa"/>
            <w:shd w:val="clear" w:color="auto" w:fill="FFFFFF" w:themeFill="background1"/>
            <w:vAlign w:val="center"/>
          </w:tcPr>
          <w:p w14:paraId="5ACC85BC"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加权平均净资产收益率</w:t>
            </w:r>
          </w:p>
        </w:tc>
        <w:tc>
          <w:tcPr>
            <w:tcW w:w="1928" w:type="dxa"/>
            <w:shd w:val="clear" w:color="auto" w:fill="FFFFFF" w:themeFill="background1"/>
            <w:vAlign w:val="center"/>
          </w:tcPr>
          <w:p w14:paraId="73335D94" w14:textId="77777777" w:rsidR="00632E5B" w:rsidRDefault="00C10981">
            <w:pPr>
              <w:spacing w:line="240" w:lineRule="exact"/>
              <w:jc w:val="right"/>
              <w:rPr>
                <w:rFonts w:ascii="宋体" w:eastAsia="宋体" w:hAnsi="宋体" w:cs="宋体" w:hint="eastAsia"/>
                <w:sz w:val="18"/>
                <w:szCs w:val="18"/>
              </w:rPr>
            </w:pPr>
            <w:r>
              <w:rPr>
                <w:rFonts w:ascii="宋体" w:eastAsia="宋体" w:hAnsi="宋体" w:cs="宋体" w:hint="eastAsia"/>
                <w:sz w:val="18"/>
                <w:szCs w:val="18"/>
              </w:rPr>
              <w:t>不适用</w:t>
            </w:r>
            <w:r w:rsidR="00107901">
              <w:rPr>
                <w:rFonts w:ascii="Times New Roman" w:eastAsia="宋体" w:hAnsi="Times New Roman" w:cs="Times New Roman"/>
                <w:color w:val="F00000"/>
                <w:vertAlign w:val="superscript"/>
              </w:rPr>
              <w:t>1</w:t>
            </w:r>
          </w:p>
        </w:tc>
        <w:tc>
          <w:tcPr>
            <w:tcW w:w="1928" w:type="dxa"/>
            <w:shd w:val="clear" w:color="auto" w:fill="FFFFFF" w:themeFill="background1"/>
            <w:vAlign w:val="center"/>
          </w:tcPr>
          <w:p w14:paraId="1499E045" w14:textId="67011157" w:rsidR="00632E5B" w:rsidRDefault="00C10981">
            <w:pPr>
              <w:spacing w:line="240" w:lineRule="exact"/>
              <w:jc w:val="right"/>
              <w:rPr>
                <w:rFonts w:ascii="宋体" w:eastAsia="宋体" w:hAnsi="宋体" w:cs="宋体" w:hint="eastAsia"/>
                <w:sz w:val="18"/>
                <w:szCs w:val="18"/>
              </w:rPr>
            </w:pPr>
            <w:r>
              <w:rPr>
                <w:rFonts w:ascii="宋体" w:eastAsia="宋体" w:hAnsi="宋体" w:cs="宋体"/>
                <w:sz w:val="18"/>
                <w:szCs w:val="18"/>
              </w:rPr>
              <w:t>-</w:t>
            </w:r>
            <w:r w:rsidR="00786181">
              <w:rPr>
                <w:rFonts w:ascii="宋体" w:eastAsia="宋体" w:hAnsi="宋体" w:cs="宋体" w:hint="eastAsia"/>
                <w:sz w:val="18"/>
                <w:szCs w:val="18"/>
              </w:rPr>
              <w:t>671.01%</w:t>
            </w:r>
          </w:p>
        </w:tc>
        <w:tc>
          <w:tcPr>
            <w:tcW w:w="1928" w:type="dxa"/>
            <w:shd w:val="clear" w:color="auto" w:fill="FFFFFF" w:themeFill="background1"/>
            <w:vAlign w:val="center"/>
          </w:tcPr>
          <w:p w14:paraId="6E3D60F3" w14:textId="77777777" w:rsidR="00632E5B" w:rsidRDefault="00C10981">
            <w:pPr>
              <w:spacing w:line="240" w:lineRule="exact"/>
              <w:jc w:val="right"/>
              <w:rPr>
                <w:rFonts w:ascii="宋体" w:eastAsia="宋体" w:hAnsi="宋体" w:cs="宋体" w:hint="eastAsia"/>
                <w:sz w:val="18"/>
                <w:szCs w:val="18"/>
              </w:rPr>
            </w:pPr>
            <w:r>
              <w:rPr>
                <w:rFonts w:ascii="宋体" w:eastAsia="宋体" w:hAnsi="宋体" w:cs="宋体" w:hint="eastAsia"/>
                <w:sz w:val="18"/>
                <w:szCs w:val="18"/>
              </w:rPr>
              <w:t>不适用</w:t>
            </w:r>
          </w:p>
        </w:tc>
        <w:tc>
          <w:tcPr>
            <w:tcW w:w="1928" w:type="dxa"/>
            <w:shd w:val="clear" w:color="auto" w:fill="FFFFFF" w:themeFill="background1"/>
            <w:vAlign w:val="center"/>
          </w:tcPr>
          <w:p w14:paraId="43BD38B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-39.04%</w:t>
            </w:r>
          </w:p>
        </w:tc>
      </w:tr>
      <w:tr w:rsidR="00632E5B" w14:paraId="3D52E437" w14:textId="77777777" w:rsidTr="00AF2A13">
        <w:trPr>
          <w:trHeight w:val="240"/>
        </w:trPr>
        <w:tc>
          <w:tcPr>
            <w:tcW w:w="1928" w:type="dxa"/>
            <w:shd w:val="clear" w:color="auto" w:fill="FFFFFF" w:themeFill="background1"/>
            <w:vAlign w:val="center"/>
          </w:tcPr>
          <w:p w14:paraId="270B8E1B" w14:textId="77777777" w:rsidR="00632E5B" w:rsidRDefault="00632E5B"/>
        </w:tc>
        <w:tc>
          <w:tcPr>
            <w:tcW w:w="1928" w:type="dxa"/>
            <w:shd w:val="clear" w:color="auto" w:fill="FFFFFF" w:themeFill="background1"/>
            <w:vAlign w:val="center"/>
          </w:tcPr>
          <w:p w14:paraId="01575BB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2024年末</w:t>
            </w:r>
          </w:p>
        </w:tc>
        <w:tc>
          <w:tcPr>
            <w:tcW w:w="1928" w:type="dxa"/>
            <w:shd w:val="clear" w:color="auto" w:fill="FFFFFF" w:themeFill="background1"/>
            <w:vAlign w:val="center"/>
          </w:tcPr>
          <w:p w14:paraId="0F66D81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2023年末</w:t>
            </w:r>
          </w:p>
        </w:tc>
        <w:tc>
          <w:tcPr>
            <w:tcW w:w="1928" w:type="dxa"/>
            <w:shd w:val="clear" w:color="auto" w:fill="FFFFFF" w:themeFill="background1"/>
            <w:vAlign w:val="center"/>
          </w:tcPr>
          <w:p w14:paraId="777BFAC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本年末比上年末增减</w:t>
            </w:r>
          </w:p>
        </w:tc>
        <w:tc>
          <w:tcPr>
            <w:tcW w:w="1928" w:type="dxa"/>
            <w:shd w:val="clear" w:color="auto" w:fill="FFFFFF" w:themeFill="background1"/>
            <w:vAlign w:val="center"/>
          </w:tcPr>
          <w:p w14:paraId="6A50EAF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2022年末</w:t>
            </w:r>
          </w:p>
        </w:tc>
      </w:tr>
      <w:tr w:rsidR="00632E5B" w14:paraId="4C720714" w14:textId="77777777" w:rsidTr="00AF2A13">
        <w:trPr>
          <w:trHeight w:val="240"/>
        </w:trPr>
        <w:tc>
          <w:tcPr>
            <w:tcW w:w="1928" w:type="dxa"/>
            <w:shd w:val="clear" w:color="auto" w:fill="FFFFFF" w:themeFill="background1"/>
            <w:vAlign w:val="center"/>
          </w:tcPr>
          <w:p w14:paraId="3009EDB2"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总资产（元）</w:t>
            </w:r>
          </w:p>
        </w:tc>
        <w:tc>
          <w:tcPr>
            <w:tcW w:w="1928" w:type="dxa"/>
            <w:shd w:val="clear" w:color="auto" w:fill="FFFFFF" w:themeFill="background1"/>
            <w:vAlign w:val="center"/>
          </w:tcPr>
          <w:p w14:paraId="07F085B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5,524,164,637.48</w:t>
            </w:r>
          </w:p>
        </w:tc>
        <w:tc>
          <w:tcPr>
            <w:tcW w:w="1928" w:type="dxa"/>
            <w:shd w:val="clear" w:color="auto" w:fill="FFFFFF" w:themeFill="background1"/>
            <w:vAlign w:val="center"/>
          </w:tcPr>
          <w:p w14:paraId="3147160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7,712,405,206.77</w:t>
            </w:r>
          </w:p>
        </w:tc>
        <w:tc>
          <w:tcPr>
            <w:tcW w:w="1928" w:type="dxa"/>
            <w:shd w:val="clear" w:color="auto" w:fill="FFFFFF" w:themeFill="background1"/>
            <w:vAlign w:val="center"/>
          </w:tcPr>
          <w:p w14:paraId="0F24BBC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-28.37%</w:t>
            </w:r>
          </w:p>
        </w:tc>
        <w:tc>
          <w:tcPr>
            <w:tcW w:w="1928" w:type="dxa"/>
            <w:shd w:val="clear" w:color="auto" w:fill="FFFFFF" w:themeFill="background1"/>
            <w:vAlign w:val="center"/>
          </w:tcPr>
          <w:p w14:paraId="0F445B5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9,602,418,552.28</w:t>
            </w:r>
          </w:p>
        </w:tc>
      </w:tr>
      <w:tr w:rsidR="00632E5B" w14:paraId="44548FA2" w14:textId="77777777" w:rsidTr="00AF2A13">
        <w:trPr>
          <w:trHeight w:val="240"/>
        </w:trPr>
        <w:tc>
          <w:tcPr>
            <w:tcW w:w="1928" w:type="dxa"/>
            <w:shd w:val="clear" w:color="auto" w:fill="FFFFFF" w:themeFill="background1"/>
            <w:vAlign w:val="center"/>
          </w:tcPr>
          <w:p w14:paraId="4D86739D"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归属于上市公司股东的净资产（元）</w:t>
            </w:r>
          </w:p>
        </w:tc>
        <w:tc>
          <w:tcPr>
            <w:tcW w:w="1928" w:type="dxa"/>
            <w:shd w:val="clear" w:color="auto" w:fill="FFFFFF" w:themeFill="background1"/>
            <w:vAlign w:val="center"/>
          </w:tcPr>
          <w:p w14:paraId="3A0E36B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1,420,101,526.57</w:t>
            </w:r>
          </w:p>
        </w:tc>
        <w:tc>
          <w:tcPr>
            <w:tcW w:w="1928" w:type="dxa"/>
            <w:shd w:val="clear" w:color="auto" w:fill="FFFFFF" w:themeFill="background1"/>
            <w:vAlign w:val="center"/>
          </w:tcPr>
          <w:p w14:paraId="4E55B47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-558,303,262.46</w:t>
            </w:r>
          </w:p>
        </w:tc>
        <w:tc>
          <w:tcPr>
            <w:tcW w:w="1928" w:type="dxa"/>
            <w:shd w:val="clear" w:color="auto" w:fill="FFFFFF" w:themeFill="background1"/>
            <w:vAlign w:val="center"/>
          </w:tcPr>
          <w:p w14:paraId="48F8221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354.36%</w:t>
            </w:r>
          </w:p>
        </w:tc>
        <w:tc>
          <w:tcPr>
            <w:tcW w:w="1928" w:type="dxa"/>
            <w:shd w:val="clear" w:color="auto" w:fill="FFFFFF" w:themeFill="background1"/>
            <w:vAlign w:val="center"/>
          </w:tcPr>
          <w:p w14:paraId="72410B1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1,004,359,482.86</w:t>
            </w:r>
          </w:p>
        </w:tc>
      </w:tr>
    </w:tbl>
    <w:p w14:paraId="7B171EED" w14:textId="553A54EF" w:rsidR="00632E5B" w:rsidRPr="00F714C3" w:rsidRDefault="00107901" w:rsidP="0098679F">
      <w:pPr>
        <w:spacing w:line="360" w:lineRule="auto"/>
        <w:jc w:val="both"/>
        <w:rPr>
          <w:rFonts w:asciiTheme="minorEastAsia" w:hAnsiTheme="minorEastAsia" w:hint="eastAsia"/>
        </w:rPr>
      </w:pPr>
      <w:r w:rsidRPr="00F714C3">
        <w:rPr>
          <w:rFonts w:asciiTheme="minorEastAsia" w:hAnsiTheme="minorEastAsia" w:cs="仿宋"/>
        </w:rPr>
        <w:t>注</w:t>
      </w:r>
      <w:r w:rsidR="00DE144B" w:rsidRPr="00F714C3">
        <w:rPr>
          <w:rFonts w:asciiTheme="minorEastAsia" w:hAnsiTheme="minorEastAsia" w:cs="仿宋" w:hint="eastAsia"/>
        </w:rPr>
        <w:t>1</w:t>
      </w:r>
      <w:r w:rsidRPr="00F714C3">
        <w:rPr>
          <w:rFonts w:asciiTheme="minorEastAsia" w:hAnsiTheme="minorEastAsia" w:cs="仿宋"/>
        </w:rPr>
        <w:t>：公司2024年度归属于公司普通股股东的净利润为-1,174,126,055.60元，加权平均净资产为-1,152,107,163.32元。因此无法正常计算加权平均净资产收益率。</w:t>
      </w:r>
    </w:p>
    <w:p w14:paraId="410A6B93"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公司最近三个会计年度扣除非经常性损益前后净利润孰低者均为负值，且最近一年审计报告显示公司持续经营能力存在不确定性</w:t>
      </w:r>
    </w:p>
    <w:p w14:paraId="47CDBB72"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3A9CE479"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扣除非经常损益前后的净利润孰低者为负值</w:t>
      </w:r>
    </w:p>
    <w:p w14:paraId="2FF5CA8D" w14:textId="348E88B7" w:rsidR="00E90C20"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14:paraId="5B1FAE65" w14:textId="77777777" w:rsidR="00E90C20" w:rsidRDefault="00E90C20">
      <w:pPr>
        <w:widowControl/>
        <w:rPr>
          <w:rFonts w:ascii="宋体" w:eastAsia="宋体" w:hAnsi="宋体" w:cs="宋体" w:hint="eastAsia"/>
          <w:sz w:val="18"/>
          <w:szCs w:val="18"/>
        </w:rPr>
      </w:pPr>
      <w:r>
        <w:rPr>
          <w:rFonts w:ascii="宋体" w:eastAsia="宋体" w:hAnsi="宋体" w:cs="宋体" w:hint="eastAsia"/>
          <w:sz w:val="18"/>
          <w:szCs w:val="18"/>
        </w:rPr>
        <w:br w:type="page"/>
      </w:r>
    </w:p>
    <w:p w14:paraId="4BF94310" w14:textId="77777777" w:rsidR="00632E5B" w:rsidRDefault="00632E5B">
      <w:pPr>
        <w:spacing w:before="100" w:after="100" w:line="240" w:lineRule="exact"/>
        <w:rPr>
          <w:rFonts w:ascii="宋体" w:eastAsia="宋体" w:hAnsi="宋体" w:cs="宋体" w:hint="eastAsia"/>
          <w:sz w:val="18"/>
          <w:szCs w:val="18"/>
        </w:rPr>
      </w:pP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2409"/>
        <w:gridCol w:w="2410"/>
        <w:gridCol w:w="2410"/>
        <w:gridCol w:w="2410"/>
      </w:tblGrid>
      <w:tr w:rsidR="00632E5B" w14:paraId="0538D96B" w14:textId="77777777" w:rsidTr="00E90C20">
        <w:trPr>
          <w:trHeight w:val="240"/>
        </w:trPr>
        <w:tc>
          <w:tcPr>
            <w:tcW w:w="2410" w:type="dxa"/>
            <w:shd w:val="clear" w:color="auto" w:fill="FFFFFF" w:themeFill="background1"/>
            <w:vAlign w:val="center"/>
          </w:tcPr>
          <w:p w14:paraId="03685FD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2410" w:type="dxa"/>
            <w:shd w:val="clear" w:color="auto" w:fill="FFFFFF" w:themeFill="background1"/>
            <w:vAlign w:val="center"/>
          </w:tcPr>
          <w:p w14:paraId="56315BB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2024年</w:t>
            </w:r>
          </w:p>
        </w:tc>
        <w:tc>
          <w:tcPr>
            <w:tcW w:w="2410" w:type="dxa"/>
            <w:shd w:val="clear" w:color="auto" w:fill="FFFFFF" w:themeFill="background1"/>
            <w:vAlign w:val="center"/>
          </w:tcPr>
          <w:p w14:paraId="3E97BC6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2023年</w:t>
            </w:r>
          </w:p>
        </w:tc>
        <w:tc>
          <w:tcPr>
            <w:tcW w:w="2410" w:type="dxa"/>
            <w:shd w:val="clear" w:color="auto" w:fill="FFFFFF" w:themeFill="background1"/>
            <w:vAlign w:val="center"/>
          </w:tcPr>
          <w:p w14:paraId="5E23246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备注</w:t>
            </w:r>
          </w:p>
        </w:tc>
      </w:tr>
      <w:tr w:rsidR="00632E5B" w14:paraId="3656A6DC" w14:textId="77777777" w:rsidTr="00E90C20">
        <w:trPr>
          <w:trHeight w:val="240"/>
        </w:trPr>
        <w:tc>
          <w:tcPr>
            <w:tcW w:w="2410" w:type="dxa"/>
            <w:shd w:val="clear" w:color="auto" w:fill="FFFFFF" w:themeFill="background1"/>
            <w:vAlign w:val="center"/>
          </w:tcPr>
          <w:p w14:paraId="70F9885A"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营业收入（元）</w:t>
            </w:r>
          </w:p>
        </w:tc>
        <w:tc>
          <w:tcPr>
            <w:tcW w:w="2410" w:type="dxa"/>
            <w:shd w:val="clear" w:color="auto" w:fill="FFFFFF" w:themeFill="background1"/>
            <w:vAlign w:val="center"/>
          </w:tcPr>
          <w:p w14:paraId="2FF0E48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2,357,979,747.56</w:t>
            </w:r>
          </w:p>
        </w:tc>
        <w:tc>
          <w:tcPr>
            <w:tcW w:w="2410" w:type="dxa"/>
            <w:shd w:val="clear" w:color="auto" w:fill="FFFFFF" w:themeFill="background1"/>
            <w:vAlign w:val="center"/>
          </w:tcPr>
          <w:p w14:paraId="477BBE0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4,051,283,736.03</w:t>
            </w:r>
          </w:p>
        </w:tc>
        <w:tc>
          <w:tcPr>
            <w:tcW w:w="2410" w:type="dxa"/>
            <w:shd w:val="clear" w:color="auto" w:fill="FFFFFF" w:themeFill="background1"/>
            <w:vAlign w:val="center"/>
          </w:tcPr>
          <w:p w14:paraId="7135C1B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本报告第十节、五24收入</w:t>
            </w:r>
          </w:p>
        </w:tc>
      </w:tr>
      <w:tr w:rsidR="00632E5B" w14:paraId="66927D4C" w14:textId="77777777" w:rsidTr="00E90C20">
        <w:trPr>
          <w:trHeight w:val="240"/>
        </w:trPr>
        <w:tc>
          <w:tcPr>
            <w:tcW w:w="2410" w:type="dxa"/>
            <w:shd w:val="clear" w:color="auto" w:fill="FFFFFF" w:themeFill="background1"/>
            <w:vAlign w:val="center"/>
          </w:tcPr>
          <w:p w14:paraId="354C241C"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营业收入扣除金额（元）</w:t>
            </w:r>
          </w:p>
        </w:tc>
        <w:tc>
          <w:tcPr>
            <w:tcW w:w="2410" w:type="dxa"/>
            <w:shd w:val="clear" w:color="auto" w:fill="FFFFFF" w:themeFill="background1"/>
            <w:vAlign w:val="center"/>
          </w:tcPr>
          <w:p w14:paraId="4512060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17,554,146.32</w:t>
            </w:r>
          </w:p>
        </w:tc>
        <w:tc>
          <w:tcPr>
            <w:tcW w:w="2410" w:type="dxa"/>
            <w:shd w:val="clear" w:color="auto" w:fill="FFFFFF" w:themeFill="background1"/>
            <w:vAlign w:val="center"/>
          </w:tcPr>
          <w:p w14:paraId="5F7D71A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34,511,044.72</w:t>
            </w:r>
          </w:p>
        </w:tc>
        <w:tc>
          <w:tcPr>
            <w:tcW w:w="2410" w:type="dxa"/>
            <w:shd w:val="clear" w:color="auto" w:fill="FFFFFF" w:themeFill="background1"/>
            <w:vAlign w:val="center"/>
          </w:tcPr>
          <w:p w14:paraId="6A7D5E2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包括销售材料、出租固定资产、服务费等收入</w:t>
            </w:r>
          </w:p>
        </w:tc>
      </w:tr>
      <w:tr w:rsidR="00632E5B" w14:paraId="2192FDEE" w14:textId="77777777" w:rsidTr="00E90C20">
        <w:trPr>
          <w:trHeight w:val="240"/>
        </w:trPr>
        <w:tc>
          <w:tcPr>
            <w:tcW w:w="2410" w:type="dxa"/>
            <w:shd w:val="clear" w:color="auto" w:fill="FFFFFF" w:themeFill="background1"/>
            <w:vAlign w:val="center"/>
          </w:tcPr>
          <w:p w14:paraId="1CDDB91C"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营业收入扣除后金额（元）</w:t>
            </w:r>
          </w:p>
        </w:tc>
        <w:tc>
          <w:tcPr>
            <w:tcW w:w="2410" w:type="dxa"/>
            <w:shd w:val="clear" w:color="auto" w:fill="FFFFFF" w:themeFill="background1"/>
            <w:vAlign w:val="center"/>
          </w:tcPr>
          <w:p w14:paraId="01131B4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2,340,425,601.24</w:t>
            </w:r>
          </w:p>
        </w:tc>
        <w:tc>
          <w:tcPr>
            <w:tcW w:w="2410" w:type="dxa"/>
            <w:shd w:val="clear" w:color="auto" w:fill="FFFFFF" w:themeFill="background1"/>
            <w:vAlign w:val="center"/>
          </w:tcPr>
          <w:p w14:paraId="550922F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4,016,772,691.31</w:t>
            </w:r>
          </w:p>
        </w:tc>
        <w:tc>
          <w:tcPr>
            <w:tcW w:w="2410" w:type="dxa"/>
            <w:shd w:val="clear" w:color="auto" w:fill="FFFFFF" w:themeFill="background1"/>
            <w:vAlign w:val="center"/>
          </w:tcPr>
          <w:p w14:paraId="5A8E565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本报告第十节、五24收入</w:t>
            </w:r>
          </w:p>
        </w:tc>
      </w:tr>
    </w:tbl>
    <w:p w14:paraId="1F246164" w14:textId="77777777" w:rsidR="00632E5B" w:rsidRDefault="00107901">
      <w:pPr>
        <w:pStyle w:val="2"/>
        <w:spacing w:before="300" w:after="300" w:line="320" w:lineRule="exact"/>
        <w:rPr>
          <w:rFonts w:ascii="宋体" w:eastAsia="宋体" w:hAnsi="宋体" w:cs="宋体" w:hint="eastAsia"/>
          <w:b/>
          <w:bCs/>
          <w:sz w:val="24"/>
          <w:szCs w:val="24"/>
        </w:rPr>
      </w:pPr>
      <w:bookmarkStart w:id="8" w:name="_Toc988897"/>
      <w:r>
        <w:rPr>
          <w:rFonts w:ascii="宋体" w:eastAsia="宋体" w:hAnsi="宋体" w:cs="宋体"/>
          <w:b/>
          <w:bCs/>
          <w:sz w:val="24"/>
          <w:szCs w:val="24"/>
        </w:rPr>
        <w:t>七、境内外会计准则下会计数据差异</w:t>
      </w:r>
      <w:bookmarkEnd w:id="8"/>
    </w:p>
    <w:p w14:paraId="51B8E935" w14:textId="77777777" w:rsidR="00632E5B" w:rsidRDefault="00107901">
      <w:pPr>
        <w:pStyle w:val="3"/>
        <w:spacing w:line="280" w:lineRule="exact"/>
        <w:jc w:val="left"/>
        <w:rPr>
          <w:rFonts w:ascii="宋体" w:hAnsi="宋体" w:cs="宋体" w:hint="eastAsia"/>
          <w:b/>
          <w:bCs/>
        </w:rPr>
      </w:pPr>
      <w:bookmarkStart w:id="9" w:name="_Toc988898"/>
      <w:r>
        <w:rPr>
          <w:rFonts w:ascii="宋体" w:hAnsi="宋体" w:cs="宋体"/>
          <w:b/>
          <w:bCs/>
        </w:rPr>
        <w:t>1、同时按照国际会计准则与按照中国会计准则披露的财务报告中净利润和净资产差异情况</w:t>
      </w:r>
      <w:bookmarkEnd w:id="9"/>
    </w:p>
    <w:p w14:paraId="3DD772B7"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0D58B5DE"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公司报告期不存在按照国际会计准则与按照中国会计准则披露的财务报告中净利润和净资产差异情况。</w:t>
      </w:r>
    </w:p>
    <w:p w14:paraId="1F45C1E5" w14:textId="77777777" w:rsidR="00632E5B" w:rsidRDefault="00107901">
      <w:pPr>
        <w:pStyle w:val="3"/>
        <w:spacing w:line="280" w:lineRule="exact"/>
        <w:jc w:val="left"/>
        <w:rPr>
          <w:rFonts w:ascii="宋体" w:hAnsi="宋体" w:cs="宋体" w:hint="eastAsia"/>
          <w:b/>
          <w:bCs/>
        </w:rPr>
      </w:pPr>
      <w:bookmarkStart w:id="10" w:name="_Toc988899"/>
      <w:r>
        <w:rPr>
          <w:rFonts w:ascii="宋体" w:hAnsi="宋体" w:cs="宋体"/>
          <w:b/>
          <w:bCs/>
        </w:rPr>
        <w:t>2、同时按照境外会计准则与按照中国会计准则披露的财务报告中净利润和净资产差异情况</w:t>
      </w:r>
      <w:bookmarkEnd w:id="10"/>
    </w:p>
    <w:p w14:paraId="522C232A"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024DEC36"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公司报告期不存在按照境外会计准则与按照中国会计准则披露的财务报告中净利润和净资产差异情况。</w:t>
      </w:r>
    </w:p>
    <w:p w14:paraId="026B80F4" w14:textId="77777777" w:rsidR="00632E5B" w:rsidRDefault="00107901">
      <w:pPr>
        <w:pStyle w:val="2"/>
        <w:spacing w:before="300" w:after="300" w:line="320" w:lineRule="exact"/>
        <w:rPr>
          <w:rFonts w:ascii="宋体" w:eastAsia="宋体" w:hAnsi="宋体" w:cs="宋体" w:hint="eastAsia"/>
          <w:b/>
          <w:bCs/>
          <w:sz w:val="24"/>
          <w:szCs w:val="24"/>
        </w:rPr>
      </w:pPr>
      <w:bookmarkStart w:id="11" w:name="_Toc988900"/>
      <w:r>
        <w:rPr>
          <w:rFonts w:ascii="宋体" w:eastAsia="宋体" w:hAnsi="宋体" w:cs="宋体"/>
          <w:b/>
          <w:bCs/>
          <w:sz w:val="24"/>
          <w:szCs w:val="24"/>
        </w:rPr>
        <w:t>八、分季度主要财务指标</w:t>
      </w:r>
      <w:bookmarkEnd w:id="11"/>
    </w:p>
    <w:p w14:paraId="713EBFFF" w14:textId="77777777" w:rsidR="00632E5B" w:rsidRDefault="00107901">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927"/>
        <w:gridCol w:w="1928"/>
        <w:gridCol w:w="1928"/>
        <w:gridCol w:w="1928"/>
        <w:gridCol w:w="1928"/>
      </w:tblGrid>
      <w:tr w:rsidR="00632E5B" w14:paraId="0E8CA523" w14:textId="77777777" w:rsidTr="00E90C20">
        <w:trPr>
          <w:trHeight w:val="240"/>
        </w:trPr>
        <w:tc>
          <w:tcPr>
            <w:tcW w:w="1928" w:type="dxa"/>
            <w:shd w:val="clear" w:color="auto" w:fill="FFFFFF" w:themeFill="background1"/>
            <w:vAlign w:val="center"/>
          </w:tcPr>
          <w:p w14:paraId="0F5882AF" w14:textId="77777777" w:rsidR="00632E5B" w:rsidRDefault="00632E5B"/>
        </w:tc>
        <w:tc>
          <w:tcPr>
            <w:tcW w:w="1928" w:type="dxa"/>
            <w:shd w:val="clear" w:color="auto" w:fill="FFFFFF" w:themeFill="background1"/>
            <w:vAlign w:val="center"/>
          </w:tcPr>
          <w:p w14:paraId="519A38E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第一季度</w:t>
            </w:r>
          </w:p>
        </w:tc>
        <w:tc>
          <w:tcPr>
            <w:tcW w:w="1928" w:type="dxa"/>
            <w:shd w:val="clear" w:color="auto" w:fill="FFFFFF" w:themeFill="background1"/>
            <w:vAlign w:val="center"/>
          </w:tcPr>
          <w:p w14:paraId="2485109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第二季度</w:t>
            </w:r>
          </w:p>
        </w:tc>
        <w:tc>
          <w:tcPr>
            <w:tcW w:w="1928" w:type="dxa"/>
            <w:shd w:val="clear" w:color="auto" w:fill="FFFFFF" w:themeFill="background1"/>
            <w:vAlign w:val="center"/>
          </w:tcPr>
          <w:p w14:paraId="1FDB411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第三季度</w:t>
            </w:r>
          </w:p>
        </w:tc>
        <w:tc>
          <w:tcPr>
            <w:tcW w:w="1928" w:type="dxa"/>
            <w:shd w:val="clear" w:color="auto" w:fill="FFFFFF" w:themeFill="background1"/>
            <w:vAlign w:val="center"/>
          </w:tcPr>
          <w:p w14:paraId="395BB71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第四季度</w:t>
            </w:r>
          </w:p>
        </w:tc>
      </w:tr>
      <w:tr w:rsidR="00632E5B" w14:paraId="70F05069" w14:textId="77777777" w:rsidTr="00E90C20">
        <w:trPr>
          <w:trHeight w:val="240"/>
        </w:trPr>
        <w:tc>
          <w:tcPr>
            <w:tcW w:w="1928" w:type="dxa"/>
            <w:shd w:val="clear" w:color="auto" w:fill="FFFFFF" w:themeFill="background1"/>
            <w:vAlign w:val="center"/>
          </w:tcPr>
          <w:p w14:paraId="44A7DBC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营业收入</w:t>
            </w:r>
          </w:p>
        </w:tc>
        <w:tc>
          <w:tcPr>
            <w:tcW w:w="1928" w:type="dxa"/>
            <w:shd w:val="clear" w:color="auto" w:fill="FFFFFF" w:themeFill="background1"/>
            <w:vAlign w:val="center"/>
          </w:tcPr>
          <w:p w14:paraId="76A70D4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559,296,786.09</w:t>
            </w:r>
          </w:p>
        </w:tc>
        <w:tc>
          <w:tcPr>
            <w:tcW w:w="1928" w:type="dxa"/>
            <w:shd w:val="clear" w:color="auto" w:fill="FFFFFF" w:themeFill="background1"/>
            <w:vAlign w:val="center"/>
          </w:tcPr>
          <w:p w14:paraId="01B5282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701,349,562.71</w:t>
            </w:r>
          </w:p>
        </w:tc>
        <w:tc>
          <w:tcPr>
            <w:tcW w:w="1928" w:type="dxa"/>
            <w:shd w:val="clear" w:color="auto" w:fill="FFFFFF" w:themeFill="background1"/>
            <w:vAlign w:val="center"/>
          </w:tcPr>
          <w:p w14:paraId="1DD2EFA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558,626,395.75</w:t>
            </w:r>
          </w:p>
        </w:tc>
        <w:tc>
          <w:tcPr>
            <w:tcW w:w="1928" w:type="dxa"/>
            <w:shd w:val="clear" w:color="auto" w:fill="FFFFFF" w:themeFill="background1"/>
            <w:vAlign w:val="center"/>
          </w:tcPr>
          <w:p w14:paraId="403FF6E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538,707,003.01</w:t>
            </w:r>
          </w:p>
        </w:tc>
      </w:tr>
      <w:tr w:rsidR="00632E5B" w14:paraId="4ABFE8B2" w14:textId="77777777" w:rsidTr="00E90C20">
        <w:trPr>
          <w:trHeight w:val="240"/>
        </w:trPr>
        <w:tc>
          <w:tcPr>
            <w:tcW w:w="1928" w:type="dxa"/>
            <w:shd w:val="clear" w:color="auto" w:fill="FFFFFF" w:themeFill="background1"/>
            <w:vAlign w:val="center"/>
          </w:tcPr>
          <w:p w14:paraId="4E49D171"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归属于上市公司股东的净利润</w:t>
            </w:r>
          </w:p>
        </w:tc>
        <w:tc>
          <w:tcPr>
            <w:tcW w:w="1928" w:type="dxa"/>
            <w:shd w:val="clear" w:color="auto" w:fill="FFFFFF" w:themeFill="background1"/>
            <w:vAlign w:val="center"/>
          </w:tcPr>
          <w:p w14:paraId="00F4BB4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-186,871,532.37</w:t>
            </w:r>
          </w:p>
        </w:tc>
        <w:tc>
          <w:tcPr>
            <w:tcW w:w="1928" w:type="dxa"/>
            <w:shd w:val="clear" w:color="auto" w:fill="FFFFFF" w:themeFill="background1"/>
            <w:vAlign w:val="center"/>
          </w:tcPr>
          <w:p w14:paraId="47C1B43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-78,899,414.65</w:t>
            </w:r>
          </w:p>
        </w:tc>
        <w:tc>
          <w:tcPr>
            <w:tcW w:w="1928" w:type="dxa"/>
            <w:shd w:val="clear" w:color="auto" w:fill="FFFFFF" w:themeFill="background1"/>
            <w:vAlign w:val="center"/>
          </w:tcPr>
          <w:p w14:paraId="6D2A790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-187,780,961.90</w:t>
            </w:r>
          </w:p>
        </w:tc>
        <w:tc>
          <w:tcPr>
            <w:tcW w:w="1928" w:type="dxa"/>
            <w:shd w:val="clear" w:color="auto" w:fill="FFFFFF" w:themeFill="background1"/>
            <w:vAlign w:val="center"/>
          </w:tcPr>
          <w:p w14:paraId="1171831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-720,574,146.68</w:t>
            </w:r>
          </w:p>
        </w:tc>
      </w:tr>
      <w:tr w:rsidR="00632E5B" w14:paraId="62F05321" w14:textId="77777777" w:rsidTr="00E90C20">
        <w:trPr>
          <w:trHeight w:val="240"/>
        </w:trPr>
        <w:tc>
          <w:tcPr>
            <w:tcW w:w="1928" w:type="dxa"/>
            <w:shd w:val="clear" w:color="auto" w:fill="FFFFFF" w:themeFill="background1"/>
            <w:vAlign w:val="center"/>
          </w:tcPr>
          <w:p w14:paraId="3F4EC37D"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归属于上市公司股东的扣除非经常性损益的净利润</w:t>
            </w:r>
          </w:p>
        </w:tc>
        <w:tc>
          <w:tcPr>
            <w:tcW w:w="1928" w:type="dxa"/>
            <w:shd w:val="clear" w:color="auto" w:fill="FFFFFF" w:themeFill="background1"/>
            <w:vAlign w:val="center"/>
          </w:tcPr>
          <w:p w14:paraId="4BAE6F8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-181,426,951.36</w:t>
            </w:r>
          </w:p>
        </w:tc>
        <w:tc>
          <w:tcPr>
            <w:tcW w:w="1928" w:type="dxa"/>
            <w:shd w:val="clear" w:color="auto" w:fill="FFFFFF" w:themeFill="background1"/>
            <w:vAlign w:val="center"/>
          </w:tcPr>
          <w:p w14:paraId="7DFA1F3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-84,056,176.70</w:t>
            </w:r>
          </w:p>
        </w:tc>
        <w:tc>
          <w:tcPr>
            <w:tcW w:w="1928" w:type="dxa"/>
            <w:shd w:val="clear" w:color="auto" w:fill="FFFFFF" w:themeFill="background1"/>
            <w:vAlign w:val="center"/>
          </w:tcPr>
          <w:p w14:paraId="7F8CFE4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-192,082,878.28</w:t>
            </w:r>
          </w:p>
        </w:tc>
        <w:tc>
          <w:tcPr>
            <w:tcW w:w="1928" w:type="dxa"/>
            <w:shd w:val="clear" w:color="auto" w:fill="FFFFFF" w:themeFill="background1"/>
            <w:vAlign w:val="center"/>
          </w:tcPr>
          <w:p w14:paraId="5F0521D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-1,794,212,062.12</w:t>
            </w:r>
          </w:p>
        </w:tc>
      </w:tr>
      <w:tr w:rsidR="00632E5B" w14:paraId="00E62A70" w14:textId="77777777" w:rsidTr="00E90C20">
        <w:trPr>
          <w:trHeight w:val="240"/>
        </w:trPr>
        <w:tc>
          <w:tcPr>
            <w:tcW w:w="1928" w:type="dxa"/>
            <w:shd w:val="clear" w:color="auto" w:fill="FFFFFF" w:themeFill="background1"/>
            <w:vAlign w:val="center"/>
          </w:tcPr>
          <w:p w14:paraId="38B1F5E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经营活动产生的现金流量净额</w:t>
            </w:r>
          </w:p>
        </w:tc>
        <w:tc>
          <w:tcPr>
            <w:tcW w:w="1928" w:type="dxa"/>
            <w:shd w:val="clear" w:color="auto" w:fill="FFFFFF" w:themeFill="background1"/>
            <w:vAlign w:val="center"/>
          </w:tcPr>
          <w:p w14:paraId="1E335B6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-45,994,366.29</w:t>
            </w:r>
          </w:p>
        </w:tc>
        <w:tc>
          <w:tcPr>
            <w:tcW w:w="1928" w:type="dxa"/>
            <w:shd w:val="clear" w:color="auto" w:fill="FFFFFF" w:themeFill="background1"/>
            <w:vAlign w:val="center"/>
          </w:tcPr>
          <w:p w14:paraId="3345AED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64,062,101.31</w:t>
            </w:r>
          </w:p>
        </w:tc>
        <w:tc>
          <w:tcPr>
            <w:tcW w:w="1928" w:type="dxa"/>
            <w:shd w:val="clear" w:color="auto" w:fill="FFFFFF" w:themeFill="background1"/>
            <w:vAlign w:val="center"/>
          </w:tcPr>
          <w:p w14:paraId="1351720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-75,308,257.91</w:t>
            </w:r>
          </w:p>
        </w:tc>
        <w:tc>
          <w:tcPr>
            <w:tcW w:w="1928" w:type="dxa"/>
            <w:shd w:val="clear" w:color="auto" w:fill="FFFFFF" w:themeFill="background1"/>
            <w:vAlign w:val="center"/>
          </w:tcPr>
          <w:p w14:paraId="369157E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-601,964,800.83</w:t>
            </w:r>
          </w:p>
        </w:tc>
      </w:tr>
    </w:tbl>
    <w:p w14:paraId="18F6C549"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上述财务指标或其加总数是否与公司已披露季度报告、半年度报告相关财务指标存在重大差异</w:t>
      </w:r>
    </w:p>
    <w:p w14:paraId="4DFB36A5"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14:paraId="396C34F7" w14:textId="0C2B155D" w:rsidR="00E72F0C" w:rsidRDefault="00107901" w:rsidP="0007464E">
      <w:pPr>
        <w:pStyle w:val="a3"/>
        <w:spacing w:before="0" w:beforeAutospacing="0" w:after="0" w:afterAutospacing="0" w:line="360" w:lineRule="auto"/>
        <w:ind w:firstLineChars="200" w:firstLine="420"/>
        <w:jc w:val="both"/>
        <w:divId w:val="95832308"/>
        <w:rPr>
          <w:rFonts w:hint="eastAsia"/>
          <w:sz w:val="18"/>
          <w:szCs w:val="18"/>
        </w:rPr>
      </w:pPr>
      <w:r>
        <w:rPr>
          <w:rFonts w:hint="eastAsia"/>
          <w:sz w:val="21"/>
          <w:szCs w:val="21"/>
        </w:rPr>
        <w:t>公司2024年开展了光伏电池片和组件业务，按照《企业会计准则第14号——收入》相关规定，公司判断该业务采用总额法确认收入。在后续业务履约过程中，公司综合考虑了相关事实与情况，包括（1）企业是否承担向客户转让商品的主要责任；（2）企业是否在转让商品之前或之后承担了该商品的存货风险；（3）企业是否有权自主决定所交易商品的价格。经公司审慎分析，并结合审计机构意见，基于谨慎性原则，公司对上述业务由“总额法”调整为“净额法”核算。</w:t>
      </w:r>
    </w:p>
    <w:p w14:paraId="69BECA82" w14:textId="77777777" w:rsidR="00E90C20" w:rsidRDefault="00E90C20">
      <w:pPr>
        <w:widowControl/>
        <w:rPr>
          <w:rFonts w:ascii="宋体" w:eastAsia="宋体" w:hAnsi="宋体" w:cs="宋体" w:hint="eastAsia"/>
          <w:b/>
          <w:bCs/>
          <w:sz w:val="24"/>
          <w:szCs w:val="24"/>
        </w:rPr>
      </w:pPr>
      <w:bookmarkStart w:id="12" w:name="_Toc988901"/>
      <w:r>
        <w:rPr>
          <w:rFonts w:ascii="宋体" w:eastAsia="宋体" w:hAnsi="宋体" w:cs="宋体" w:hint="eastAsia"/>
          <w:b/>
          <w:bCs/>
          <w:sz w:val="24"/>
          <w:szCs w:val="24"/>
        </w:rPr>
        <w:br w:type="page"/>
      </w:r>
    </w:p>
    <w:p w14:paraId="0738C1CC" w14:textId="7371A473" w:rsidR="00632E5B" w:rsidRDefault="00107901">
      <w:pPr>
        <w:pStyle w:val="2"/>
        <w:spacing w:before="300" w:after="300" w:line="320" w:lineRule="exact"/>
        <w:rPr>
          <w:rFonts w:ascii="宋体" w:eastAsia="宋体" w:hAnsi="宋体" w:cs="宋体" w:hint="eastAsia"/>
          <w:b/>
          <w:bCs/>
          <w:sz w:val="24"/>
          <w:szCs w:val="24"/>
        </w:rPr>
      </w:pPr>
      <w:r>
        <w:rPr>
          <w:rFonts w:ascii="宋体" w:eastAsia="宋体" w:hAnsi="宋体" w:cs="宋体"/>
          <w:b/>
          <w:bCs/>
          <w:sz w:val="24"/>
          <w:szCs w:val="24"/>
        </w:rPr>
        <w:lastRenderedPageBreak/>
        <w:t>九、非经常性损益项目及金额</w:t>
      </w:r>
      <w:bookmarkEnd w:id="12"/>
    </w:p>
    <w:p w14:paraId="276F6F53"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790E902D" w14:textId="77777777" w:rsidR="00632E5B" w:rsidRDefault="00107901">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17"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2724"/>
        <w:gridCol w:w="1928"/>
        <w:gridCol w:w="1928"/>
        <w:gridCol w:w="1928"/>
        <w:gridCol w:w="1109"/>
      </w:tblGrid>
      <w:tr w:rsidR="00632E5B" w14:paraId="25893A02" w14:textId="77777777" w:rsidTr="00E90C20">
        <w:trPr>
          <w:trHeight w:val="240"/>
        </w:trPr>
        <w:tc>
          <w:tcPr>
            <w:tcW w:w="2724" w:type="dxa"/>
            <w:shd w:val="clear" w:color="auto" w:fill="FFFFFF" w:themeFill="background1"/>
            <w:vAlign w:val="center"/>
          </w:tcPr>
          <w:p w14:paraId="3EBE040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928" w:type="dxa"/>
            <w:shd w:val="clear" w:color="auto" w:fill="FFFFFF" w:themeFill="background1"/>
            <w:vAlign w:val="center"/>
          </w:tcPr>
          <w:p w14:paraId="1AAE9B1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2024年金额</w:t>
            </w:r>
          </w:p>
        </w:tc>
        <w:tc>
          <w:tcPr>
            <w:tcW w:w="1928" w:type="dxa"/>
            <w:shd w:val="clear" w:color="auto" w:fill="FFFFFF" w:themeFill="background1"/>
            <w:vAlign w:val="center"/>
          </w:tcPr>
          <w:p w14:paraId="378009C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2023年金额</w:t>
            </w:r>
          </w:p>
        </w:tc>
        <w:tc>
          <w:tcPr>
            <w:tcW w:w="1928" w:type="dxa"/>
            <w:shd w:val="clear" w:color="auto" w:fill="FFFFFF" w:themeFill="background1"/>
            <w:vAlign w:val="center"/>
          </w:tcPr>
          <w:p w14:paraId="460339D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2022年金额</w:t>
            </w:r>
          </w:p>
        </w:tc>
        <w:tc>
          <w:tcPr>
            <w:tcW w:w="1109" w:type="dxa"/>
            <w:shd w:val="clear" w:color="auto" w:fill="FFFFFF" w:themeFill="background1"/>
            <w:vAlign w:val="center"/>
          </w:tcPr>
          <w:p w14:paraId="04CF735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说明</w:t>
            </w:r>
          </w:p>
        </w:tc>
      </w:tr>
      <w:tr w:rsidR="00632E5B" w14:paraId="75307551" w14:textId="77777777" w:rsidTr="00E90C20">
        <w:trPr>
          <w:trHeight w:val="240"/>
        </w:trPr>
        <w:tc>
          <w:tcPr>
            <w:tcW w:w="2724" w:type="dxa"/>
            <w:shd w:val="clear" w:color="auto" w:fill="FFFFFF" w:themeFill="background1"/>
            <w:vAlign w:val="center"/>
          </w:tcPr>
          <w:p w14:paraId="1C83314D"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非流动性资产处置损益（包括已计提资产减值准备的冲销部分）</w:t>
            </w:r>
          </w:p>
        </w:tc>
        <w:tc>
          <w:tcPr>
            <w:tcW w:w="1928" w:type="dxa"/>
            <w:shd w:val="clear" w:color="auto" w:fill="FFFFFF" w:themeFill="background1"/>
            <w:vAlign w:val="center"/>
          </w:tcPr>
          <w:p w14:paraId="700710E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8,980,895.04</w:t>
            </w:r>
          </w:p>
        </w:tc>
        <w:tc>
          <w:tcPr>
            <w:tcW w:w="1928" w:type="dxa"/>
            <w:shd w:val="clear" w:color="auto" w:fill="FFFFFF" w:themeFill="background1"/>
            <w:vAlign w:val="center"/>
          </w:tcPr>
          <w:p w14:paraId="5A1FE45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7,886,074.29</w:t>
            </w:r>
          </w:p>
        </w:tc>
        <w:tc>
          <w:tcPr>
            <w:tcW w:w="1928" w:type="dxa"/>
            <w:shd w:val="clear" w:color="auto" w:fill="FFFFFF" w:themeFill="background1"/>
            <w:vAlign w:val="center"/>
          </w:tcPr>
          <w:p w14:paraId="14873AC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323,387,065.87</w:t>
            </w:r>
          </w:p>
        </w:tc>
        <w:tc>
          <w:tcPr>
            <w:tcW w:w="1109" w:type="dxa"/>
            <w:shd w:val="clear" w:color="auto" w:fill="FFFFFF" w:themeFill="background1"/>
            <w:vAlign w:val="center"/>
          </w:tcPr>
          <w:p w14:paraId="22E63949" w14:textId="77777777" w:rsidR="00632E5B" w:rsidRDefault="00632E5B">
            <w:pPr>
              <w:spacing w:line="240" w:lineRule="exact"/>
              <w:rPr>
                <w:rFonts w:ascii="宋体" w:eastAsia="宋体" w:hAnsi="宋体" w:cs="宋体" w:hint="eastAsia"/>
                <w:sz w:val="18"/>
                <w:szCs w:val="18"/>
              </w:rPr>
            </w:pPr>
          </w:p>
        </w:tc>
      </w:tr>
      <w:tr w:rsidR="00632E5B" w14:paraId="12F9A389" w14:textId="77777777" w:rsidTr="00E90C20">
        <w:trPr>
          <w:trHeight w:val="240"/>
        </w:trPr>
        <w:tc>
          <w:tcPr>
            <w:tcW w:w="2724" w:type="dxa"/>
            <w:shd w:val="clear" w:color="auto" w:fill="FFFFFF" w:themeFill="background1"/>
            <w:vAlign w:val="center"/>
          </w:tcPr>
          <w:p w14:paraId="5F118F6C"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计入当期损益的政府补助（与公司正常经营业务密切相关，符合国家政策规定、按照确定的标准享有、对公司损益产生持续影响的政府补助除外）</w:t>
            </w:r>
          </w:p>
        </w:tc>
        <w:tc>
          <w:tcPr>
            <w:tcW w:w="1928" w:type="dxa"/>
            <w:shd w:val="clear" w:color="auto" w:fill="FFFFFF" w:themeFill="background1"/>
            <w:vAlign w:val="center"/>
          </w:tcPr>
          <w:p w14:paraId="3FB80AC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21,891,940.90</w:t>
            </w:r>
          </w:p>
        </w:tc>
        <w:tc>
          <w:tcPr>
            <w:tcW w:w="1928" w:type="dxa"/>
            <w:shd w:val="clear" w:color="auto" w:fill="FFFFFF" w:themeFill="background1"/>
            <w:vAlign w:val="center"/>
          </w:tcPr>
          <w:p w14:paraId="12819D3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27,781,587.39</w:t>
            </w:r>
          </w:p>
        </w:tc>
        <w:tc>
          <w:tcPr>
            <w:tcW w:w="1928" w:type="dxa"/>
            <w:shd w:val="clear" w:color="auto" w:fill="FFFFFF" w:themeFill="background1"/>
            <w:vAlign w:val="center"/>
          </w:tcPr>
          <w:p w14:paraId="1179915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33,462,282.96</w:t>
            </w:r>
          </w:p>
        </w:tc>
        <w:tc>
          <w:tcPr>
            <w:tcW w:w="1109" w:type="dxa"/>
            <w:shd w:val="clear" w:color="auto" w:fill="FFFFFF" w:themeFill="background1"/>
            <w:vAlign w:val="center"/>
          </w:tcPr>
          <w:p w14:paraId="7FCA67B6" w14:textId="77777777" w:rsidR="00632E5B" w:rsidRDefault="00632E5B">
            <w:pPr>
              <w:spacing w:line="240" w:lineRule="exact"/>
              <w:rPr>
                <w:rFonts w:ascii="宋体" w:eastAsia="宋体" w:hAnsi="宋体" w:cs="宋体" w:hint="eastAsia"/>
                <w:sz w:val="18"/>
                <w:szCs w:val="18"/>
              </w:rPr>
            </w:pPr>
          </w:p>
        </w:tc>
      </w:tr>
      <w:tr w:rsidR="00632E5B" w14:paraId="2F5E1FBE" w14:textId="77777777" w:rsidTr="00E90C20">
        <w:trPr>
          <w:trHeight w:val="240"/>
        </w:trPr>
        <w:tc>
          <w:tcPr>
            <w:tcW w:w="2724" w:type="dxa"/>
            <w:shd w:val="clear" w:color="auto" w:fill="FFFFFF" w:themeFill="background1"/>
            <w:vAlign w:val="center"/>
          </w:tcPr>
          <w:p w14:paraId="0E03805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除同公司正常经营业务相关的有效套期保值业务外，非金融企业持有金融资产和金融负债产生的公允价值变动损益以及处置金融资产和金融负债产生的损益</w:t>
            </w:r>
          </w:p>
        </w:tc>
        <w:tc>
          <w:tcPr>
            <w:tcW w:w="1928" w:type="dxa"/>
            <w:shd w:val="clear" w:color="auto" w:fill="FFFFFF" w:themeFill="background1"/>
            <w:vAlign w:val="center"/>
          </w:tcPr>
          <w:p w14:paraId="375F143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-73,778,607.07</w:t>
            </w:r>
          </w:p>
        </w:tc>
        <w:tc>
          <w:tcPr>
            <w:tcW w:w="1928" w:type="dxa"/>
            <w:shd w:val="clear" w:color="auto" w:fill="FFFFFF" w:themeFill="background1"/>
            <w:vAlign w:val="center"/>
          </w:tcPr>
          <w:p w14:paraId="559886C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-17,056,776.18</w:t>
            </w:r>
          </w:p>
        </w:tc>
        <w:tc>
          <w:tcPr>
            <w:tcW w:w="1928" w:type="dxa"/>
            <w:shd w:val="clear" w:color="auto" w:fill="FFFFFF" w:themeFill="background1"/>
            <w:vAlign w:val="center"/>
          </w:tcPr>
          <w:p w14:paraId="577794F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25,166,963.39</w:t>
            </w:r>
          </w:p>
        </w:tc>
        <w:tc>
          <w:tcPr>
            <w:tcW w:w="1109" w:type="dxa"/>
            <w:shd w:val="clear" w:color="auto" w:fill="FFFFFF" w:themeFill="background1"/>
            <w:vAlign w:val="center"/>
          </w:tcPr>
          <w:p w14:paraId="219A1681" w14:textId="77777777" w:rsidR="00632E5B" w:rsidRDefault="00632E5B">
            <w:pPr>
              <w:spacing w:line="240" w:lineRule="exact"/>
              <w:rPr>
                <w:rFonts w:ascii="宋体" w:eastAsia="宋体" w:hAnsi="宋体" w:cs="宋体" w:hint="eastAsia"/>
                <w:sz w:val="18"/>
                <w:szCs w:val="18"/>
              </w:rPr>
            </w:pPr>
          </w:p>
        </w:tc>
      </w:tr>
      <w:tr w:rsidR="00632E5B" w14:paraId="4CD5CB1A" w14:textId="77777777" w:rsidTr="00E90C20">
        <w:trPr>
          <w:trHeight w:val="240"/>
        </w:trPr>
        <w:tc>
          <w:tcPr>
            <w:tcW w:w="2724" w:type="dxa"/>
            <w:shd w:val="clear" w:color="auto" w:fill="FFFFFF" w:themeFill="background1"/>
            <w:vAlign w:val="center"/>
          </w:tcPr>
          <w:p w14:paraId="48F47D70"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单独进行减值测试的应收款项减值准备转回</w:t>
            </w:r>
          </w:p>
        </w:tc>
        <w:tc>
          <w:tcPr>
            <w:tcW w:w="1928" w:type="dxa"/>
            <w:shd w:val="clear" w:color="auto" w:fill="FFFFFF" w:themeFill="background1"/>
            <w:vAlign w:val="center"/>
          </w:tcPr>
          <w:p w14:paraId="667CFB1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18,017,390.98</w:t>
            </w:r>
          </w:p>
        </w:tc>
        <w:tc>
          <w:tcPr>
            <w:tcW w:w="1928" w:type="dxa"/>
            <w:shd w:val="clear" w:color="auto" w:fill="FFFFFF" w:themeFill="background1"/>
            <w:vAlign w:val="center"/>
          </w:tcPr>
          <w:p w14:paraId="63BA880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48,030,365.98</w:t>
            </w:r>
          </w:p>
        </w:tc>
        <w:tc>
          <w:tcPr>
            <w:tcW w:w="1928" w:type="dxa"/>
            <w:shd w:val="clear" w:color="auto" w:fill="FFFFFF" w:themeFill="background1"/>
            <w:vAlign w:val="center"/>
          </w:tcPr>
          <w:p w14:paraId="0601AED2" w14:textId="77777777" w:rsidR="00632E5B" w:rsidRDefault="00632E5B">
            <w:pPr>
              <w:spacing w:line="240" w:lineRule="exact"/>
              <w:jc w:val="right"/>
              <w:rPr>
                <w:rFonts w:ascii="宋体" w:eastAsia="宋体" w:hAnsi="宋体" w:cs="宋体" w:hint="eastAsia"/>
                <w:sz w:val="18"/>
                <w:szCs w:val="18"/>
              </w:rPr>
            </w:pPr>
          </w:p>
        </w:tc>
        <w:tc>
          <w:tcPr>
            <w:tcW w:w="1109" w:type="dxa"/>
            <w:shd w:val="clear" w:color="auto" w:fill="FFFFFF" w:themeFill="background1"/>
            <w:vAlign w:val="center"/>
          </w:tcPr>
          <w:p w14:paraId="099C50D6" w14:textId="77777777" w:rsidR="00632E5B" w:rsidRDefault="00632E5B">
            <w:pPr>
              <w:spacing w:line="240" w:lineRule="exact"/>
              <w:rPr>
                <w:rFonts w:ascii="宋体" w:eastAsia="宋体" w:hAnsi="宋体" w:cs="宋体" w:hint="eastAsia"/>
                <w:sz w:val="18"/>
                <w:szCs w:val="18"/>
              </w:rPr>
            </w:pPr>
          </w:p>
        </w:tc>
      </w:tr>
      <w:tr w:rsidR="00632E5B" w14:paraId="681905DC" w14:textId="77777777" w:rsidTr="00E90C20">
        <w:trPr>
          <w:trHeight w:val="240"/>
        </w:trPr>
        <w:tc>
          <w:tcPr>
            <w:tcW w:w="2724" w:type="dxa"/>
            <w:shd w:val="clear" w:color="auto" w:fill="FFFFFF" w:themeFill="background1"/>
            <w:vAlign w:val="center"/>
          </w:tcPr>
          <w:p w14:paraId="40DD887A"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债务重组损益</w:t>
            </w:r>
          </w:p>
        </w:tc>
        <w:tc>
          <w:tcPr>
            <w:tcW w:w="1928" w:type="dxa"/>
            <w:shd w:val="clear" w:color="auto" w:fill="FFFFFF" w:themeFill="background1"/>
            <w:vAlign w:val="center"/>
          </w:tcPr>
          <w:p w14:paraId="0DC9769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1,725,782,224.49</w:t>
            </w:r>
          </w:p>
        </w:tc>
        <w:tc>
          <w:tcPr>
            <w:tcW w:w="1928" w:type="dxa"/>
            <w:shd w:val="clear" w:color="auto" w:fill="FFFFFF" w:themeFill="background1"/>
            <w:vAlign w:val="center"/>
          </w:tcPr>
          <w:p w14:paraId="04D7DA5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3,143,687.73</w:t>
            </w:r>
          </w:p>
        </w:tc>
        <w:tc>
          <w:tcPr>
            <w:tcW w:w="1928" w:type="dxa"/>
            <w:shd w:val="clear" w:color="auto" w:fill="FFFFFF" w:themeFill="background1"/>
            <w:vAlign w:val="center"/>
          </w:tcPr>
          <w:p w14:paraId="67DF569A" w14:textId="77777777" w:rsidR="00632E5B" w:rsidRDefault="00632E5B">
            <w:pPr>
              <w:spacing w:line="240" w:lineRule="exact"/>
              <w:jc w:val="right"/>
              <w:rPr>
                <w:rFonts w:ascii="宋体" w:eastAsia="宋体" w:hAnsi="宋体" w:cs="宋体" w:hint="eastAsia"/>
                <w:sz w:val="18"/>
                <w:szCs w:val="18"/>
              </w:rPr>
            </w:pPr>
          </w:p>
        </w:tc>
        <w:tc>
          <w:tcPr>
            <w:tcW w:w="1109" w:type="dxa"/>
            <w:shd w:val="clear" w:color="auto" w:fill="FFFFFF" w:themeFill="background1"/>
            <w:vAlign w:val="center"/>
          </w:tcPr>
          <w:p w14:paraId="7E0A317A" w14:textId="77777777" w:rsidR="00632E5B" w:rsidRDefault="00632E5B">
            <w:pPr>
              <w:spacing w:line="240" w:lineRule="exact"/>
              <w:rPr>
                <w:rFonts w:ascii="宋体" w:eastAsia="宋体" w:hAnsi="宋体" w:cs="宋体" w:hint="eastAsia"/>
                <w:sz w:val="18"/>
                <w:szCs w:val="18"/>
              </w:rPr>
            </w:pPr>
          </w:p>
        </w:tc>
      </w:tr>
      <w:tr w:rsidR="00632E5B" w14:paraId="433CA7DD" w14:textId="77777777" w:rsidTr="00E90C20">
        <w:trPr>
          <w:trHeight w:val="240"/>
        </w:trPr>
        <w:tc>
          <w:tcPr>
            <w:tcW w:w="2724" w:type="dxa"/>
            <w:shd w:val="clear" w:color="auto" w:fill="FFFFFF" w:themeFill="background1"/>
            <w:vAlign w:val="center"/>
          </w:tcPr>
          <w:p w14:paraId="2302C28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企业因相关经营活动不再持续而发生的一次性费用，如安置职工的支出等</w:t>
            </w:r>
          </w:p>
        </w:tc>
        <w:tc>
          <w:tcPr>
            <w:tcW w:w="1928" w:type="dxa"/>
            <w:shd w:val="clear" w:color="auto" w:fill="FFFFFF" w:themeFill="background1"/>
            <w:vAlign w:val="center"/>
          </w:tcPr>
          <w:p w14:paraId="3BEDADA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-84,620,753.00</w:t>
            </w:r>
          </w:p>
        </w:tc>
        <w:tc>
          <w:tcPr>
            <w:tcW w:w="1928" w:type="dxa"/>
            <w:shd w:val="clear" w:color="auto" w:fill="FFFFFF" w:themeFill="background1"/>
            <w:vAlign w:val="center"/>
          </w:tcPr>
          <w:p w14:paraId="282CB09F" w14:textId="77777777" w:rsidR="00632E5B" w:rsidRDefault="00632E5B">
            <w:pPr>
              <w:spacing w:line="240" w:lineRule="exact"/>
              <w:jc w:val="right"/>
              <w:rPr>
                <w:rFonts w:ascii="宋体" w:eastAsia="宋体" w:hAnsi="宋体" w:cs="宋体" w:hint="eastAsia"/>
                <w:sz w:val="18"/>
                <w:szCs w:val="18"/>
              </w:rPr>
            </w:pPr>
          </w:p>
        </w:tc>
        <w:tc>
          <w:tcPr>
            <w:tcW w:w="1928" w:type="dxa"/>
            <w:shd w:val="clear" w:color="auto" w:fill="FFFFFF" w:themeFill="background1"/>
            <w:vAlign w:val="center"/>
          </w:tcPr>
          <w:p w14:paraId="55809761" w14:textId="77777777" w:rsidR="00632E5B" w:rsidRDefault="00632E5B">
            <w:pPr>
              <w:spacing w:line="240" w:lineRule="exact"/>
              <w:jc w:val="right"/>
              <w:rPr>
                <w:rFonts w:ascii="宋体" w:eastAsia="宋体" w:hAnsi="宋体" w:cs="宋体" w:hint="eastAsia"/>
                <w:sz w:val="18"/>
                <w:szCs w:val="18"/>
              </w:rPr>
            </w:pPr>
          </w:p>
        </w:tc>
        <w:tc>
          <w:tcPr>
            <w:tcW w:w="1109" w:type="dxa"/>
            <w:shd w:val="clear" w:color="auto" w:fill="FFFFFF" w:themeFill="background1"/>
            <w:vAlign w:val="center"/>
          </w:tcPr>
          <w:p w14:paraId="413C595A" w14:textId="77777777" w:rsidR="00632E5B" w:rsidRDefault="00632E5B">
            <w:pPr>
              <w:spacing w:line="240" w:lineRule="exact"/>
              <w:rPr>
                <w:rFonts w:ascii="宋体" w:eastAsia="宋体" w:hAnsi="宋体" w:cs="宋体" w:hint="eastAsia"/>
                <w:sz w:val="18"/>
                <w:szCs w:val="18"/>
              </w:rPr>
            </w:pPr>
          </w:p>
        </w:tc>
      </w:tr>
      <w:tr w:rsidR="00632E5B" w14:paraId="3199BAF3" w14:textId="77777777" w:rsidTr="00E90C20">
        <w:trPr>
          <w:trHeight w:val="240"/>
        </w:trPr>
        <w:tc>
          <w:tcPr>
            <w:tcW w:w="2724" w:type="dxa"/>
            <w:shd w:val="clear" w:color="auto" w:fill="FFFFFF" w:themeFill="background1"/>
            <w:vAlign w:val="center"/>
          </w:tcPr>
          <w:p w14:paraId="09009EC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与公司正常经营业务无关的或有事项产生的损益</w:t>
            </w:r>
          </w:p>
        </w:tc>
        <w:tc>
          <w:tcPr>
            <w:tcW w:w="1928" w:type="dxa"/>
            <w:shd w:val="clear" w:color="auto" w:fill="FFFFFF" w:themeFill="background1"/>
            <w:vAlign w:val="center"/>
          </w:tcPr>
          <w:p w14:paraId="77D81BC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-318,427,777.40</w:t>
            </w:r>
          </w:p>
        </w:tc>
        <w:tc>
          <w:tcPr>
            <w:tcW w:w="1928" w:type="dxa"/>
            <w:shd w:val="clear" w:color="auto" w:fill="FFFFFF" w:themeFill="background1"/>
            <w:vAlign w:val="center"/>
          </w:tcPr>
          <w:p w14:paraId="38AF435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-244,526,980.00</w:t>
            </w:r>
          </w:p>
        </w:tc>
        <w:tc>
          <w:tcPr>
            <w:tcW w:w="1928" w:type="dxa"/>
            <w:shd w:val="clear" w:color="auto" w:fill="FFFFFF" w:themeFill="background1"/>
            <w:vAlign w:val="center"/>
          </w:tcPr>
          <w:p w14:paraId="36B73F8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64,766,422.41</w:t>
            </w:r>
          </w:p>
        </w:tc>
        <w:tc>
          <w:tcPr>
            <w:tcW w:w="1109" w:type="dxa"/>
            <w:shd w:val="clear" w:color="auto" w:fill="FFFFFF" w:themeFill="background1"/>
            <w:vAlign w:val="center"/>
          </w:tcPr>
          <w:p w14:paraId="2F0D704B" w14:textId="77777777" w:rsidR="00632E5B" w:rsidRDefault="00632E5B">
            <w:pPr>
              <w:spacing w:line="240" w:lineRule="exact"/>
              <w:rPr>
                <w:rFonts w:ascii="宋体" w:eastAsia="宋体" w:hAnsi="宋体" w:cs="宋体" w:hint="eastAsia"/>
                <w:sz w:val="18"/>
                <w:szCs w:val="18"/>
              </w:rPr>
            </w:pPr>
          </w:p>
        </w:tc>
      </w:tr>
      <w:tr w:rsidR="00632E5B" w14:paraId="7A7B5A55" w14:textId="77777777" w:rsidTr="00E90C20">
        <w:trPr>
          <w:trHeight w:val="240"/>
        </w:trPr>
        <w:tc>
          <w:tcPr>
            <w:tcW w:w="2724" w:type="dxa"/>
            <w:shd w:val="clear" w:color="auto" w:fill="FFFFFF" w:themeFill="background1"/>
            <w:vAlign w:val="center"/>
          </w:tcPr>
          <w:p w14:paraId="71A5BD9D"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除上述各项之外的其他营业外收入和支出</w:t>
            </w:r>
          </w:p>
        </w:tc>
        <w:tc>
          <w:tcPr>
            <w:tcW w:w="1928" w:type="dxa"/>
            <w:shd w:val="clear" w:color="auto" w:fill="FFFFFF" w:themeFill="background1"/>
            <w:vAlign w:val="center"/>
          </w:tcPr>
          <w:p w14:paraId="7E6818D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-85,650,654.96</w:t>
            </w:r>
          </w:p>
        </w:tc>
        <w:tc>
          <w:tcPr>
            <w:tcW w:w="1928" w:type="dxa"/>
            <w:shd w:val="clear" w:color="auto" w:fill="FFFFFF" w:themeFill="background1"/>
            <w:vAlign w:val="center"/>
          </w:tcPr>
          <w:p w14:paraId="7A8E8E4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-18,415,136.09</w:t>
            </w:r>
          </w:p>
        </w:tc>
        <w:tc>
          <w:tcPr>
            <w:tcW w:w="1928" w:type="dxa"/>
            <w:shd w:val="clear" w:color="auto" w:fill="FFFFFF" w:themeFill="background1"/>
            <w:vAlign w:val="center"/>
          </w:tcPr>
          <w:p w14:paraId="49F447D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-144,104,449.00</w:t>
            </w:r>
          </w:p>
        </w:tc>
        <w:tc>
          <w:tcPr>
            <w:tcW w:w="1109" w:type="dxa"/>
            <w:shd w:val="clear" w:color="auto" w:fill="FFFFFF" w:themeFill="background1"/>
            <w:vAlign w:val="center"/>
          </w:tcPr>
          <w:p w14:paraId="3B745F5E" w14:textId="77777777" w:rsidR="00632E5B" w:rsidRDefault="00632E5B">
            <w:pPr>
              <w:spacing w:line="240" w:lineRule="exact"/>
              <w:rPr>
                <w:rFonts w:ascii="宋体" w:eastAsia="宋体" w:hAnsi="宋体" w:cs="宋体" w:hint="eastAsia"/>
                <w:sz w:val="18"/>
                <w:szCs w:val="18"/>
              </w:rPr>
            </w:pPr>
          </w:p>
        </w:tc>
      </w:tr>
      <w:tr w:rsidR="00632E5B" w14:paraId="21B5B782" w14:textId="77777777" w:rsidTr="00E90C20">
        <w:trPr>
          <w:trHeight w:val="240"/>
        </w:trPr>
        <w:tc>
          <w:tcPr>
            <w:tcW w:w="2724" w:type="dxa"/>
            <w:shd w:val="clear" w:color="auto" w:fill="FFFFFF" w:themeFill="background1"/>
            <w:vAlign w:val="center"/>
          </w:tcPr>
          <w:p w14:paraId="69457021"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其他符合非经常性损益定义的损益项目</w:t>
            </w:r>
          </w:p>
        </w:tc>
        <w:tc>
          <w:tcPr>
            <w:tcW w:w="1928" w:type="dxa"/>
            <w:shd w:val="clear" w:color="auto" w:fill="FFFFFF" w:themeFill="background1"/>
            <w:vAlign w:val="center"/>
          </w:tcPr>
          <w:p w14:paraId="27EB889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387,026.38</w:t>
            </w:r>
          </w:p>
        </w:tc>
        <w:tc>
          <w:tcPr>
            <w:tcW w:w="1928" w:type="dxa"/>
            <w:shd w:val="clear" w:color="auto" w:fill="FFFFFF" w:themeFill="background1"/>
            <w:vAlign w:val="center"/>
          </w:tcPr>
          <w:p w14:paraId="11E2EFB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279,722.80</w:t>
            </w:r>
          </w:p>
        </w:tc>
        <w:tc>
          <w:tcPr>
            <w:tcW w:w="1928" w:type="dxa"/>
            <w:shd w:val="clear" w:color="auto" w:fill="FFFFFF" w:themeFill="background1"/>
            <w:vAlign w:val="center"/>
          </w:tcPr>
          <w:p w14:paraId="4A129BB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180,447.85</w:t>
            </w:r>
          </w:p>
        </w:tc>
        <w:tc>
          <w:tcPr>
            <w:tcW w:w="1109" w:type="dxa"/>
            <w:shd w:val="clear" w:color="auto" w:fill="FFFFFF" w:themeFill="background1"/>
            <w:vAlign w:val="center"/>
          </w:tcPr>
          <w:p w14:paraId="46ED8936" w14:textId="77777777" w:rsidR="00632E5B" w:rsidRDefault="00632E5B">
            <w:pPr>
              <w:spacing w:line="240" w:lineRule="exact"/>
              <w:rPr>
                <w:rFonts w:ascii="宋体" w:eastAsia="宋体" w:hAnsi="宋体" w:cs="宋体" w:hint="eastAsia"/>
                <w:sz w:val="18"/>
                <w:szCs w:val="18"/>
              </w:rPr>
            </w:pPr>
          </w:p>
        </w:tc>
      </w:tr>
      <w:tr w:rsidR="00632E5B" w14:paraId="5CBC82D6" w14:textId="77777777" w:rsidTr="00E90C20">
        <w:trPr>
          <w:trHeight w:val="240"/>
        </w:trPr>
        <w:tc>
          <w:tcPr>
            <w:tcW w:w="2724" w:type="dxa"/>
            <w:shd w:val="clear" w:color="auto" w:fill="FFFFFF" w:themeFill="background1"/>
            <w:vAlign w:val="center"/>
          </w:tcPr>
          <w:p w14:paraId="534DB65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破产重整相关费用</w:t>
            </w:r>
          </w:p>
        </w:tc>
        <w:tc>
          <w:tcPr>
            <w:tcW w:w="1928" w:type="dxa"/>
            <w:shd w:val="clear" w:color="auto" w:fill="FFFFFF" w:themeFill="background1"/>
            <w:vAlign w:val="center"/>
          </w:tcPr>
          <w:p w14:paraId="6759FA3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-99,617,818.09</w:t>
            </w:r>
          </w:p>
        </w:tc>
        <w:tc>
          <w:tcPr>
            <w:tcW w:w="1928" w:type="dxa"/>
            <w:shd w:val="clear" w:color="auto" w:fill="FFFFFF" w:themeFill="background1"/>
            <w:vAlign w:val="center"/>
          </w:tcPr>
          <w:p w14:paraId="01E096BA" w14:textId="77777777" w:rsidR="00632E5B" w:rsidRDefault="00632E5B">
            <w:pPr>
              <w:spacing w:line="240" w:lineRule="exact"/>
              <w:jc w:val="right"/>
              <w:rPr>
                <w:rFonts w:ascii="宋体" w:eastAsia="宋体" w:hAnsi="宋体" w:cs="宋体" w:hint="eastAsia"/>
                <w:sz w:val="18"/>
                <w:szCs w:val="18"/>
              </w:rPr>
            </w:pPr>
          </w:p>
        </w:tc>
        <w:tc>
          <w:tcPr>
            <w:tcW w:w="1928" w:type="dxa"/>
            <w:shd w:val="clear" w:color="auto" w:fill="FFFFFF" w:themeFill="background1"/>
            <w:vAlign w:val="center"/>
          </w:tcPr>
          <w:p w14:paraId="20031E63" w14:textId="77777777" w:rsidR="00632E5B" w:rsidRDefault="00632E5B">
            <w:pPr>
              <w:spacing w:line="240" w:lineRule="exact"/>
              <w:jc w:val="right"/>
              <w:rPr>
                <w:rFonts w:ascii="宋体" w:eastAsia="宋体" w:hAnsi="宋体" w:cs="宋体" w:hint="eastAsia"/>
                <w:sz w:val="18"/>
                <w:szCs w:val="18"/>
              </w:rPr>
            </w:pPr>
          </w:p>
        </w:tc>
        <w:tc>
          <w:tcPr>
            <w:tcW w:w="1109" w:type="dxa"/>
            <w:shd w:val="clear" w:color="auto" w:fill="FFFFFF" w:themeFill="background1"/>
            <w:vAlign w:val="center"/>
          </w:tcPr>
          <w:p w14:paraId="32B17404" w14:textId="77777777" w:rsidR="00632E5B" w:rsidRDefault="00632E5B">
            <w:pPr>
              <w:spacing w:line="240" w:lineRule="exact"/>
              <w:rPr>
                <w:rFonts w:ascii="宋体" w:eastAsia="宋体" w:hAnsi="宋体" w:cs="宋体" w:hint="eastAsia"/>
                <w:sz w:val="18"/>
                <w:szCs w:val="18"/>
              </w:rPr>
            </w:pPr>
          </w:p>
        </w:tc>
      </w:tr>
      <w:tr w:rsidR="00632E5B" w14:paraId="1200D468" w14:textId="77777777" w:rsidTr="00E90C20">
        <w:trPr>
          <w:trHeight w:val="240"/>
        </w:trPr>
        <w:tc>
          <w:tcPr>
            <w:tcW w:w="2724" w:type="dxa"/>
            <w:shd w:val="clear" w:color="auto" w:fill="FFFFFF" w:themeFill="background1"/>
            <w:vAlign w:val="center"/>
          </w:tcPr>
          <w:p w14:paraId="46F42D39"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减：所得税影响额</w:t>
            </w:r>
          </w:p>
        </w:tc>
        <w:tc>
          <w:tcPr>
            <w:tcW w:w="1928" w:type="dxa"/>
            <w:shd w:val="clear" w:color="auto" w:fill="FFFFFF" w:themeFill="background1"/>
            <w:vAlign w:val="center"/>
          </w:tcPr>
          <w:p w14:paraId="2077C99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35,311,854.41</w:t>
            </w:r>
          </w:p>
        </w:tc>
        <w:tc>
          <w:tcPr>
            <w:tcW w:w="1928" w:type="dxa"/>
            <w:shd w:val="clear" w:color="auto" w:fill="FFFFFF" w:themeFill="background1"/>
            <w:vAlign w:val="center"/>
          </w:tcPr>
          <w:p w14:paraId="2E7E40B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2,019,779.51</w:t>
            </w:r>
          </w:p>
        </w:tc>
        <w:tc>
          <w:tcPr>
            <w:tcW w:w="1928" w:type="dxa"/>
            <w:shd w:val="clear" w:color="auto" w:fill="FFFFFF" w:themeFill="background1"/>
            <w:vAlign w:val="center"/>
          </w:tcPr>
          <w:p w14:paraId="3C85543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31,253,237.12</w:t>
            </w:r>
          </w:p>
        </w:tc>
        <w:tc>
          <w:tcPr>
            <w:tcW w:w="1109" w:type="dxa"/>
            <w:shd w:val="clear" w:color="auto" w:fill="FFFFFF" w:themeFill="background1"/>
            <w:vAlign w:val="center"/>
          </w:tcPr>
          <w:p w14:paraId="61FBBFFA" w14:textId="77777777" w:rsidR="00632E5B" w:rsidRDefault="00632E5B">
            <w:pPr>
              <w:spacing w:line="240" w:lineRule="exact"/>
              <w:rPr>
                <w:rFonts w:ascii="宋体" w:eastAsia="宋体" w:hAnsi="宋体" w:cs="宋体" w:hint="eastAsia"/>
                <w:sz w:val="18"/>
                <w:szCs w:val="18"/>
              </w:rPr>
            </w:pPr>
          </w:p>
        </w:tc>
      </w:tr>
      <w:tr w:rsidR="00632E5B" w14:paraId="1D16E740" w14:textId="77777777" w:rsidTr="00E90C20">
        <w:trPr>
          <w:trHeight w:val="240"/>
        </w:trPr>
        <w:tc>
          <w:tcPr>
            <w:tcW w:w="2724" w:type="dxa"/>
            <w:shd w:val="clear" w:color="auto" w:fill="FFFFFF" w:themeFill="background1"/>
            <w:vAlign w:val="center"/>
          </w:tcPr>
          <w:p w14:paraId="44E1538D"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少数股东权益影响额（税后）</w:t>
            </w:r>
          </w:p>
        </w:tc>
        <w:tc>
          <w:tcPr>
            <w:tcW w:w="1928" w:type="dxa"/>
            <w:shd w:val="clear" w:color="auto" w:fill="FFFFFF" w:themeFill="background1"/>
            <w:vAlign w:val="center"/>
          </w:tcPr>
          <w:p w14:paraId="134F23CA" w14:textId="77777777" w:rsidR="00632E5B" w:rsidRDefault="00632E5B">
            <w:pPr>
              <w:spacing w:line="240" w:lineRule="exact"/>
              <w:jc w:val="right"/>
              <w:rPr>
                <w:rFonts w:ascii="宋体" w:eastAsia="宋体" w:hAnsi="宋体" w:cs="宋体" w:hint="eastAsia"/>
                <w:sz w:val="18"/>
                <w:szCs w:val="18"/>
              </w:rPr>
            </w:pPr>
          </w:p>
        </w:tc>
        <w:tc>
          <w:tcPr>
            <w:tcW w:w="1928" w:type="dxa"/>
            <w:shd w:val="clear" w:color="auto" w:fill="FFFFFF" w:themeFill="background1"/>
            <w:vAlign w:val="center"/>
          </w:tcPr>
          <w:p w14:paraId="5E1CAE8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-1,164,818.94</w:t>
            </w:r>
          </w:p>
        </w:tc>
        <w:tc>
          <w:tcPr>
            <w:tcW w:w="1928" w:type="dxa"/>
            <w:shd w:val="clear" w:color="auto" w:fill="FFFFFF" w:themeFill="background1"/>
            <w:vAlign w:val="center"/>
          </w:tcPr>
          <w:p w14:paraId="0D5F9EED" w14:textId="77777777" w:rsidR="00632E5B" w:rsidRDefault="00632E5B">
            <w:pPr>
              <w:spacing w:line="240" w:lineRule="exact"/>
              <w:jc w:val="right"/>
              <w:rPr>
                <w:rFonts w:ascii="宋体" w:eastAsia="宋体" w:hAnsi="宋体" w:cs="宋体" w:hint="eastAsia"/>
                <w:sz w:val="18"/>
                <w:szCs w:val="18"/>
              </w:rPr>
            </w:pPr>
          </w:p>
        </w:tc>
        <w:tc>
          <w:tcPr>
            <w:tcW w:w="1109" w:type="dxa"/>
            <w:shd w:val="clear" w:color="auto" w:fill="FFFFFF" w:themeFill="background1"/>
            <w:vAlign w:val="center"/>
          </w:tcPr>
          <w:p w14:paraId="28609A94" w14:textId="77777777" w:rsidR="00632E5B" w:rsidRDefault="00632E5B">
            <w:pPr>
              <w:spacing w:line="240" w:lineRule="exact"/>
              <w:rPr>
                <w:rFonts w:ascii="宋体" w:eastAsia="宋体" w:hAnsi="宋体" w:cs="宋体" w:hint="eastAsia"/>
                <w:sz w:val="18"/>
                <w:szCs w:val="18"/>
              </w:rPr>
            </w:pPr>
          </w:p>
        </w:tc>
      </w:tr>
      <w:tr w:rsidR="00632E5B" w14:paraId="148A728B" w14:textId="77777777" w:rsidTr="00E90C20">
        <w:trPr>
          <w:trHeight w:val="240"/>
        </w:trPr>
        <w:tc>
          <w:tcPr>
            <w:tcW w:w="2724" w:type="dxa"/>
            <w:shd w:val="clear" w:color="auto" w:fill="FFFFFF" w:themeFill="background1"/>
            <w:vAlign w:val="center"/>
          </w:tcPr>
          <w:p w14:paraId="12B240AB"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shd w:val="clear" w:color="auto" w:fill="FFFFFF" w:themeFill="background1"/>
            <w:vAlign w:val="center"/>
          </w:tcPr>
          <w:p w14:paraId="5B679F5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1,077,652,012.86</w:t>
            </w:r>
          </w:p>
        </w:tc>
        <w:tc>
          <w:tcPr>
            <w:tcW w:w="1928" w:type="dxa"/>
            <w:shd w:val="clear" w:color="auto" w:fill="FFFFFF" w:themeFill="background1"/>
            <w:vAlign w:val="center"/>
          </w:tcPr>
          <w:p w14:paraId="315971F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-193,732,414.65</w:t>
            </w:r>
          </w:p>
        </w:tc>
        <w:tc>
          <w:tcPr>
            <w:tcW w:w="1928" w:type="dxa"/>
            <w:shd w:val="clear" w:color="auto" w:fill="FFFFFF" w:themeFill="background1"/>
            <w:vAlign w:val="center"/>
          </w:tcPr>
          <w:p w14:paraId="4F7555D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271,605,496.36</w:t>
            </w:r>
          </w:p>
        </w:tc>
        <w:tc>
          <w:tcPr>
            <w:tcW w:w="1109" w:type="dxa"/>
            <w:shd w:val="clear" w:color="auto" w:fill="FFFFFF" w:themeFill="background1"/>
            <w:vAlign w:val="center"/>
          </w:tcPr>
          <w:p w14:paraId="636AD56C" w14:textId="1D772DBE" w:rsidR="00632E5B" w:rsidRDefault="00632E5B">
            <w:pPr>
              <w:spacing w:before="40" w:after="40" w:line="240" w:lineRule="exact"/>
              <w:jc w:val="center"/>
              <w:rPr>
                <w:rFonts w:ascii="宋体" w:eastAsia="宋体" w:hAnsi="宋体" w:cs="宋体" w:hint="eastAsia"/>
                <w:sz w:val="18"/>
                <w:szCs w:val="18"/>
                <w:shd w:val="clear" w:color="auto" w:fill="D3D3D3"/>
              </w:rPr>
            </w:pPr>
          </w:p>
        </w:tc>
      </w:tr>
    </w:tbl>
    <w:p w14:paraId="1E58FDF6"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其他符合非经常性损益定义的损益项目的具体情况：</w:t>
      </w:r>
    </w:p>
    <w:p w14:paraId="57139A70"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26188CE3"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公司不存在其他符合非经常性损益定义的损益项目的具体情况。</w:t>
      </w:r>
    </w:p>
    <w:p w14:paraId="16E19DE9"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将《公开发行证券的公司信息披露解释性公告第1号——非经常性损益》中列举的非经常性损益项目界定为经常性损益项目的情况说明</w:t>
      </w:r>
    </w:p>
    <w:p w14:paraId="6873A505"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78EA58E"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公司不存在将《公开发行证券的公司信息披露解释性公告第1号——非经常性损益》中列举的非经常性损益项目界定为经常性损益的项目的情形。</w:t>
      </w:r>
    </w:p>
    <w:p w14:paraId="76721246" w14:textId="77777777" w:rsidR="00632E5B" w:rsidRDefault="00107901">
      <w:r>
        <w:br w:type="page"/>
      </w:r>
    </w:p>
    <w:p w14:paraId="1133F188" w14:textId="555CC339" w:rsidR="00632E5B" w:rsidRDefault="00107901">
      <w:pPr>
        <w:pStyle w:val="headingh1"/>
        <w:spacing w:before="340" w:after="330" w:line="773" w:lineRule="exact"/>
        <w:jc w:val="center"/>
        <w:rPr>
          <w:rFonts w:ascii="宋体" w:eastAsia="宋体" w:hAnsi="宋体" w:cs="宋体" w:hint="eastAsia"/>
          <w:b/>
          <w:bCs/>
          <w:sz w:val="32"/>
          <w:szCs w:val="32"/>
        </w:rPr>
      </w:pPr>
      <w:bookmarkStart w:id="13" w:name="_Toc988902"/>
      <w:r>
        <w:rPr>
          <w:rFonts w:ascii="宋体" w:eastAsia="宋体" w:hAnsi="宋体" w:cs="宋体"/>
          <w:b/>
          <w:bCs/>
          <w:sz w:val="32"/>
          <w:szCs w:val="32"/>
        </w:rPr>
        <w:lastRenderedPageBreak/>
        <w:t>第三节 管理层讨论与分析</w:t>
      </w:r>
      <w:bookmarkEnd w:id="13"/>
    </w:p>
    <w:p w14:paraId="10C5A9AE" w14:textId="77777777" w:rsidR="00632E5B" w:rsidRDefault="00107901">
      <w:pPr>
        <w:pStyle w:val="2"/>
        <w:spacing w:before="300" w:after="300" w:line="320" w:lineRule="exact"/>
        <w:rPr>
          <w:rFonts w:ascii="宋体" w:eastAsia="宋体" w:hAnsi="宋体" w:cs="宋体" w:hint="eastAsia"/>
          <w:b/>
          <w:bCs/>
          <w:sz w:val="24"/>
          <w:szCs w:val="24"/>
        </w:rPr>
      </w:pPr>
      <w:bookmarkStart w:id="14" w:name="_Toc988903"/>
      <w:r>
        <w:rPr>
          <w:rFonts w:ascii="宋体" w:eastAsia="宋体" w:hAnsi="宋体" w:cs="宋体"/>
          <w:b/>
          <w:bCs/>
          <w:sz w:val="24"/>
          <w:szCs w:val="24"/>
        </w:rPr>
        <w:t>一、报告期内公司所处行业情况</w:t>
      </w:r>
      <w:bookmarkEnd w:id="14"/>
    </w:p>
    <w:p w14:paraId="0A0B1F54" w14:textId="77777777" w:rsidR="00E72F0C" w:rsidRDefault="00107901">
      <w:pPr>
        <w:pStyle w:val="a3"/>
        <w:spacing w:before="0" w:beforeAutospacing="0" w:after="0" w:afterAutospacing="0" w:line="360" w:lineRule="auto"/>
        <w:divId w:val="1456947389"/>
        <w:rPr>
          <w:rFonts w:hint="eastAsia"/>
        </w:rPr>
      </w:pPr>
      <w:r>
        <w:rPr>
          <w:rFonts w:hint="eastAsia"/>
          <w:sz w:val="21"/>
          <w:szCs w:val="21"/>
        </w:rPr>
        <w:t>（一）行业发展情况</w:t>
      </w:r>
    </w:p>
    <w:p w14:paraId="67BD85F2" w14:textId="77777777" w:rsidR="00E72F0C" w:rsidRDefault="00107901">
      <w:pPr>
        <w:pStyle w:val="a3"/>
        <w:spacing w:before="0" w:beforeAutospacing="0" w:after="0" w:afterAutospacing="0" w:line="360" w:lineRule="auto"/>
        <w:ind w:firstLine="420"/>
        <w:divId w:val="1456947389"/>
        <w:rPr>
          <w:rFonts w:hint="eastAsia"/>
        </w:rPr>
      </w:pPr>
      <w:r>
        <w:rPr>
          <w:rFonts w:hint="eastAsia"/>
          <w:sz w:val="21"/>
          <w:szCs w:val="21"/>
        </w:rPr>
        <w:t>1.光伏行业</w:t>
      </w:r>
    </w:p>
    <w:p w14:paraId="6CC88A19" w14:textId="77777777" w:rsidR="00E72F0C" w:rsidRDefault="00107901">
      <w:pPr>
        <w:pStyle w:val="a3"/>
        <w:spacing w:before="0" w:beforeAutospacing="0" w:after="0" w:afterAutospacing="0" w:line="360" w:lineRule="auto"/>
        <w:ind w:firstLine="420"/>
        <w:jc w:val="both"/>
        <w:divId w:val="1456947389"/>
        <w:rPr>
          <w:rFonts w:hint="eastAsia"/>
        </w:rPr>
      </w:pPr>
      <w:r>
        <w:rPr>
          <w:rFonts w:hint="eastAsia"/>
          <w:sz w:val="21"/>
          <w:szCs w:val="21"/>
        </w:rPr>
        <w:t>2024年我国光伏新增装机容量277.57GW，同比增长28.3%，光伏累计装机突破880GW；多晶硅、硅片、电池、组件产量同比增长均超10%，电池片、组件出口量分别同比增加46.3%、12.8%；而国内光伏制造端(不含逆变器)产值同比出现下降，光伏产品出口总额约320.2亿美元，同比下降33.9%。光伏行业整体处于“内卷外堵”态势。产业链上游供需关系发生明显变化，产能出清过程持续，产业链价格持续探底，供需过剩格局短期会有改善但难以根本性扭转；海外贸易环境复杂，贸易摩擦事件频发且贸易壁垒呈增强趋势，美国、印度、欧洲等国家和地区为保障能源自主性而对产品地做出限制或鼓励建设本土产能，对国内光伏企业产品出海策略提出更高的要求。</w:t>
      </w:r>
    </w:p>
    <w:p w14:paraId="6466E494" w14:textId="77777777" w:rsidR="00E72F0C" w:rsidRDefault="00107901">
      <w:pPr>
        <w:pStyle w:val="a3"/>
        <w:spacing w:before="0" w:beforeAutospacing="0" w:after="0" w:afterAutospacing="0" w:line="360" w:lineRule="auto"/>
        <w:ind w:firstLine="420"/>
        <w:jc w:val="both"/>
        <w:divId w:val="1456947389"/>
        <w:rPr>
          <w:rFonts w:hint="eastAsia"/>
        </w:rPr>
      </w:pPr>
      <w:r>
        <w:rPr>
          <w:rFonts w:hint="eastAsia"/>
          <w:sz w:val="21"/>
          <w:szCs w:val="21"/>
        </w:rPr>
        <w:t>国家发改委等相关部门从2024年下半年开始陆续出台相关文件，分别在低效产能退出、防止内卷竞争、推进光伏基地建设、建立有效投标机制、建议中标价格不低于成本价等方面促进光伏供给端有序出清、消纳能力进一步增强、定价机制更健康。</w:t>
      </w:r>
    </w:p>
    <w:p w14:paraId="5A5BF993" w14:textId="77777777" w:rsidR="00E72F0C" w:rsidRDefault="00107901">
      <w:pPr>
        <w:pStyle w:val="a3"/>
        <w:spacing w:before="0" w:beforeAutospacing="0" w:after="0" w:afterAutospacing="0" w:line="360" w:lineRule="auto"/>
        <w:ind w:firstLine="420"/>
        <w:jc w:val="both"/>
        <w:divId w:val="1456947389"/>
        <w:rPr>
          <w:rFonts w:hint="eastAsia"/>
        </w:rPr>
      </w:pPr>
      <w:r>
        <w:rPr>
          <w:rFonts w:hint="eastAsia"/>
          <w:sz w:val="21"/>
          <w:szCs w:val="21"/>
        </w:rPr>
        <w:t>长远来看，相关政策措施将促使光伏产品价格企稳并回升，且产业发展环境将逐步优化提升。光伏作为清洁能源助力全球国家解决能源短缺，促进应对全球气候变化的长期逻辑并未发生改变。预计到2030年，全球新增清洁能源装机容量80%将来自太阳能，全球光伏装机将继续保持着增长。根据CPIA预测，伴随社会用电绿色化转型进程持续推进、国内风光大基地项目陆续建成以及AI等新质生产力赋能行业等因素的影响下，预计2025年我国光伏新增装机215-255GW，全球光伏新增装机531-583GW，仍将维持高位。</w:t>
      </w:r>
    </w:p>
    <w:p w14:paraId="15826741" w14:textId="77777777" w:rsidR="00E72F0C" w:rsidRDefault="00107901">
      <w:pPr>
        <w:pStyle w:val="a3"/>
        <w:spacing w:before="0" w:beforeAutospacing="0" w:after="0" w:afterAutospacing="0" w:line="360" w:lineRule="auto"/>
        <w:ind w:firstLine="420"/>
        <w:divId w:val="1456947389"/>
        <w:rPr>
          <w:rFonts w:hint="eastAsia"/>
        </w:rPr>
      </w:pPr>
      <w:r>
        <w:rPr>
          <w:rFonts w:hint="eastAsia"/>
          <w:sz w:val="21"/>
          <w:szCs w:val="21"/>
        </w:rPr>
        <w:t>2.线缆行业</w:t>
      </w:r>
    </w:p>
    <w:p w14:paraId="46BFDCD7" w14:textId="77777777" w:rsidR="00E72F0C" w:rsidRDefault="00107901">
      <w:pPr>
        <w:pStyle w:val="a3"/>
        <w:spacing w:before="0" w:beforeAutospacing="0" w:after="0" w:afterAutospacing="0" w:line="360" w:lineRule="auto"/>
        <w:ind w:firstLine="420"/>
        <w:divId w:val="1456947389"/>
        <w:rPr>
          <w:rFonts w:hint="eastAsia"/>
        </w:rPr>
      </w:pPr>
      <w:r>
        <w:rPr>
          <w:rFonts w:hint="eastAsia"/>
          <w:sz w:val="21"/>
          <w:szCs w:val="21"/>
        </w:rPr>
        <w:t>线缆行业是重要的基础性配套行业，其对经济与社会的正常运行不可或缺。整体来看，我国线缆行业企业市场竞争格局呈现出多元化的特点。一方面，市场参与者众多，既有大型高端线缆制造企业，又有中小型通用线缆制造企业，形成了较为充分的市场竞争；另一方面，大型企业凭借其品牌优势、技术和资金实力，牢牢占据高端市场，中小企业则在中低端市场具有较强的竞争力，满足了多样化的市场需求。伴随新能源、高端装备制造业等领域的快速崛起、产业转型不断推进对特种线缆的需求日益增加，线缆行业将拥有广阔的增长空间。</w:t>
      </w:r>
    </w:p>
    <w:p w14:paraId="4987EEBC" w14:textId="77777777" w:rsidR="00E72F0C" w:rsidRDefault="00107901">
      <w:pPr>
        <w:pStyle w:val="a3"/>
        <w:spacing w:before="0" w:beforeAutospacing="0" w:after="0" w:afterAutospacing="0" w:line="360" w:lineRule="auto"/>
        <w:ind w:firstLine="420"/>
        <w:divId w:val="1456947389"/>
        <w:rPr>
          <w:rFonts w:hint="eastAsia"/>
        </w:rPr>
      </w:pPr>
      <w:r>
        <w:rPr>
          <w:rFonts w:hint="eastAsia"/>
        </w:rPr>
        <w:t> </w:t>
      </w:r>
    </w:p>
    <w:p w14:paraId="7EDE78D6" w14:textId="77777777" w:rsidR="00E72F0C" w:rsidRDefault="00107901">
      <w:pPr>
        <w:pStyle w:val="a3"/>
        <w:spacing w:before="0" w:beforeAutospacing="0" w:after="0" w:afterAutospacing="0" w:line="360" w:lineRule="auto"/>
        <w:divId w:val="1456947389"/>
        <w:rPr>
          <w:rFonts w:hint="eastAsia"/>
        </w:rPr>
      </w:pPr>
      <w:r>
        <w:rPr>
          <w:rFonts w:hint="eastAsia"/>
          <w:sz w:val="21"/>
          <w:szCs w:val="21"/>
        </w:rPr>
        <w:lastRenderedPageBreak/>
        <w:t>（二）行业周期性</w:t>
      </w:r>
    </w:p>
    <w:p w14:paraId="37CEA214" w14:textId="77777777" w:rsidR="00E72F0C" w:rsidRDefault="00107901">
      <w:pPr>
        <w:pStyle w:val="a3"/>
        <w:spacing w:before="0" w:beforeAutospacing="0" w:after="0" w:afterAutospacing="0" w:line="360" w:lineRule="auto"/>
        <w:ind w:firstLine="420"/>
        <w:divId w:val="1456947389"/>
        <w:rPr>
          <w:rFonts w:hint="eastAsia"/>
        </w:rPr>
      </w:pPr>
      <w:r>
        <w:rPr>
          <w:rFonts w:hint="eastAsia"/>
          <w:sz w:val="21"/>
          <w:szCs w:val="21"/>
        </w:rPr>
        <w:t>1.光伏行业</w:t>
      </w:r>
    </w:p>
    <w:p w14:paraId="0D2CA852" w14:textId="77777777" w:rsidR="00E72F0C" w:rsidRDefault="00107901">
      <w:pPr>
        <w:pStyle w:val="a3"/>
        <w:spacing w:before="0" w:beforeAutospacing="0" w:after="0" w:afterAutospacing="0" w:line="360" w:lineRule="auto"/>
        <w:ind w:firstLine="420"/>
        <w:jc w:val="both"/>
        <w:divId w:val="1456947389"/>
        <w:rPr>
          <w:rFonts w:hint="eastAsia"/>
        </w:rPr>
      </w:pPr>
      <w:r>
        <w:rPr>
          <w:rFonts w:hint="eastAsia"/>
          <w:sz w:val="21"/>
          <w:szCs w:val="21"/>
        </w:rPr>
        <w:t>光伏行业属于资金、技术密集型行业，其周期性主要受宏观经济和中观产业经济的影响。一方面，光伏行业的发展与国民经济领域中电力需求规模和能源结构息息相关，一般表现为跟随宏观经济发展周期；另一方面，光伏行业还受到技术更新迭代、供需关系、产业政策推动等因素的影响。</w:t>
      </w:r>
    </w:p>
    <w:p w14:paraId="0541F71B" w14:textId="77777777" w:rsidR="00E72F0C" w:rsidRDefault="00107901">
      <w:pPr>
        <w:pStyle w:val="a3"/>
        <w:spacing w:before="0" w:beforeAutospacing="0" w:after="0" w:afterAutospacing="0" w:line="360" w:lineRule="auto"/>
        <w:jc w:val="both"/>
        <w:divId w:val="1456947389"/>
        <w:rPr>
          <w:rFonts w:hint="eastAsia"/>
        </w:rPr>
      </w:pPr>
      <w:r>
        <w:rPr>
          <w:rFonts w:hint="eastAsia"/>
          <w:sz w:val="21"/>
          <w:szCs w:val="21"/>
        </w:rPr>
        <w:t>   2024年光伏行业周期性特征显著，因前期行业政策宽松、跨界资本涌入等因素影响，导致产能无序扩张，供给端产能过剩成为主导矛盾，叠加国际贸易摩擦等因素扰动，行业处于深度调整期。</w:t>
      </w:r>
    </w:p>
    <w:p w14:paraId="4EB18BD1" w14:textId="77777777" w:rsidR="00E72F0C" w:rsidRDefault="00107901">
      <w:pPr>
        <w:pStyle w:val="a3"/>
        <w:spacing w:before="0" w:beforeAutospacing="0" w:after="0" w:afterAutospacing="0" w:line="360" w:lineRule="auto"/>
        <w:ind w:firstLine="420"/>
        <w:divId w:val="1456947389"/>
        <w:rPr>
          <w:rFonts w:hint="eastAsia"/>
        </w:rPr>
      </w:pPr>
      <w:r>
        <w:rPr>
          <w:rFonts w:hint="eastAsia"/>
          <w:sz w:val="21"/>
          <w:szCs w:val="21"/>
        </w:rPr>
        <w:t>2.线缆行业</w:t>
      </w:r>
    </w:p>
    <w:p w14:paraId="0C4DB5EF" w14:textId="77777777" w:rsidR="00E72F0C" w:rsidRDefault="00107901">
      <w:pPr>
        <w:pStyle w:val="a3"/>
        <w:spacing w:before="0" w:beforeAutospacing="0" w:after="0" w:afterAutospacing="0" w:line="360" w:lineRule="auto"/>
        <w:ind w:firstLine="420"/>
        <w:divId w:val="1456947389"/>
        <w:rPr>
          <w:rFonts w:hint="eastAsia"/>
        </w:rPr>
      </w:pPr>
      <w:r>
        <w:rPr>
          <w:rFonts w:hint="eastAsia"/>
          <w:sz w:val="21"/>
          <w:szCs w:val="21"/>
        </w:rPr>
        <w:t>线缆行业是与国民经济发展和基础设施投资密切相关的行业，特种线缆主要应用于电力、通信、轨道交通、智慧城市、新能源、服务器等众多场景和领域。此外，技术创新是推动线缆行业发展的核心动力，伴随我国重大装备制造、能源转型以及算力与数据传输能力等高要求的技术驱动，线缆行业将进入技术驱动型成长期。</w:t>
      </w:r>
    </w:p>
    <w:p w14:paraId="1C493F9C" w14:textId="77777777" w:rsidR="00E72F0C" w:rsidRDefault="00107901">
      <w:pPr>
        <w:pStyle w:val="a3"/>
        <w:spacing w:before="0" w:beforeAutospacing="0" w:after="0" w:afterAutospacing="0" w:line="360" w:lineRule="auto"/>
        <w:ind w:firstLine="420"/>
        <w:divId w:val="1456947389"/>
        <w:rPr>
          <w:rFonts w:hint="eastAsia"/>
        </w:rPr>
      </w:pPr>
      <w:r>
        <w:rPr>
          <w:rFonts w:hint="eastAsia"/>
        </w:rPr>
        <w:t> </w:t>
      </w:r>
    </w:p>
    <w:p w14:paraId="4119F679" w14:textId="77777777" w:rsidR="00E72F0C" w:rsidRDefault="00107901">
      <w:pPr>
        <w:pStyle w:val="a3"/>
        <w:spacing w:before="0" w:beforeAutospacing="0" w:after="0" w:afterAutospacing="0" w:line="360" w:lineRule="auto"/>
        <w:divId w:val="1456947389"/>
        <w:rPr>
          <w:rFonts w:hint="eastAsia"/>
        </w:rPr>
      </w:pPr>
      <w:r>
        <w:rPr>
          <w:rFonts w:hint="eastAsia"/>
          <w:sz w:val="21"/>
          <w:szCs w:val="21"/>
        </w:rPr>
        <w:t>（三）公司所处的行业地位</w:t>
      </w:r>
    </w:p>
    <w:p w14:paraId="1C115FA5" w14:textId="77777777" w:rsidR="00E72F0C" w:rsidRDefault="00107901">
      <w:pPr>
        <w:pStyle w:val="a3"/>
        <w:spacing w:before="0" w:beforeAutospacing="0" w:after="0" w:afterAutospacing="0" w:line="360" w:lineRule="auto"/>
        <w:ind w:firstLine="420"/>
        <w:jc w:val="both"/>
        <w:divId w:val="1456947389"/>
        <w:rPr>
          <w:rFonts w:hint="eastAsia"/>
        </w:rPr>
      </w:pPr>
      <w:r>
        <w:rPr>
          <w:rFonts w:hint="eastAsia"/>
          <w:sz w:val="21"/>
          <w:szCs w:val="21"/>
        </w:rPr>
        <w:t>1.光伏行业</w:t>
      </w:r>
    </w:p>
    <w:p w14:paraId="618EEEB1" w14:textId="77777777" w:rsidR="00E72F0C" w:rsidRDefault="00107901">
      <w:pPr>
        <w:pStyle w:val="a3"/>
        <w:spacing w:before="0" w:beforeAutospacing="0" w:after="0" w:afterAutospacing="0" w:line="360" w:lineRule="auto"/>
        <w:ind w:firstLine="420"/>
        <w:jc w:val="both"/>
        <w:divId w:val="1456947389"/>
        <w:rPr>
          <w:rFonts w:hint="eastAsia"/>
        </w:rPr>
      </w:pPr>
      <w:r>
        <w:rPr>
          <w:rFonts w:hint="eastAsia"/>
          <w:sz w:val="21"/>
          <w:szCs w:val="21"/>
        </w:rPr>
        <w:t>从2011年公司跨行业进入光伏行业，经过十余年在光伏行业的沉淀与积累，创立了“腾晖”光伏品牌，并已发展成为全球知名的光伏电池片、组件制造商以及电站EPC总承包商。光伏制造已获得CNAS中国合格评定国家认可委员会认可实验室、TUV莱茵光伏产品检测中心认可实验室、TUV SUD光伏产品检测中心认可实验室等资质认证。报告期内，腾晖光伏荣获“2024年度影响力光伏组件品牌”“2024年度卓越组件企业奖”等奖项。</w:t>
      </w:r>
    </w:p>
    <w:p w14:paraId="4367ED84" w14:textId="77777777" w:rsidR="00E72F0C" w:rsidRDefault="00107901">
      <w:pPr>
        <w:pStyle w:val="a3"/>
        <w:spacing w:before="0" w:beforeAutospacing="0" w:after="0" w:afterAutospacing="0" w:line="360" w:lineRule="auto"/>
        <w:ind w:firstLine="420"/>
        <w:jc w:val="both"/>
        <w:divId w:val="1456947389"/>
        <w:rPr>
          <w:rFonts w:hint="eastAsia"/>
        </w:rPr>
      </w:pPr>
      <w:r>
        <w:rPr>
          <w:rFonts w:hint="eastAsia"/>
          <w:sz w:val="21"/>
          <w:szCs w:val="21"/>
        </w:rPr>
        <w:t>2.线缆行业</w:t>
      </w:r>
    </w:p>
    <w:p w14:paraId="050FCC67" w14:textId="77777777" w:rsidR="00E72F0C" w:rsidRDefault="00107901">
      <w:pPr>
        <w:pStyle w:val="a3"/>
        <w:spacing w:before="0" w:beforeAutospacing="0" w:after="0" w:afterAutospacing="0" w:line="360" w:lineRule="auto"/>
        <w:ind w:firstLine="420"/>
        <w:jc w:val="both"/>
        <w:divId w:val="1456947389"/>
        <w:rPr>
          <w:rFonts w:hint="eastAsia"/>
        </w:rPr>
      </w:pPr>
      <w:r>
        <w:rPr>
          <w:rFonts w:hint="eastAsia"/>
          <w:sz w:val="21"/>
          <w:szCs w:val="21"/>
        </w:rPr>
        <w:t>公司是国内特种线缆细分领域的龙头企业，创立了“中利”电缆品牌并收购了国内知名“海豹”船缆品牌。其产品广泛应用于通信设备及运营商机房、船舶制造、海洋工程、航空航天及融合装备、城市及城际轨道交通、新能源、电力等重要领域，其中阻燃耐火软电缆由公司自主研发并填补国内空白。公司参与起草《GB/T 33594-2017》电动汽车充电用电缆等国家标准，制定了《YD/T 1173-2024》通信电源用阻燃耐火软电缆、《YD/T 3717-2020 》通信电源用铝合金导体阻燃软电缆等行业标准。线缆已获得CRCC、国家级博士后科研工作站、CNAS中国合格评定国家认可委员会认可实验室、DEKRA线缆领域全球首家CB CTF认可实验室等基本覆盖行业主流机构资质认证。公司于2020年~2024年蝉联亚太光通信委员会“中国线缆行业最具竞争力企业10强”，并获得亚太线缆产业协会、线缆信息研究院颁发的“2024年全球线缆产业最具竞争力企业20强”荣誉称号。</w:t>
      </w:r>
    </w:p>
    <w:p w14:paraId="4A215107" w14:textId="77777777" w:rsidR="00632E5B" w:rsidRDefault="00107901">
      <w:pPr>
        <w:pStyle w:val="2"/>
        <w:spacing w:before="300" w:after="300" w:line="320" w:lineRule="exact"/>
        <w:rPr>
          <w:rFonts w:ascii="宋体" w:eastAsia="宋体" w:hAnsi="宋体" w:cs="宋体" w:hint="eastAsia"/>
          <w:b/>
          <w:bCs/>
          <w:sz w:val="24"/>
          <w:szCs w:val="24"/>
        </w:rPr>
      </w:pPr>
      <w:bookmarkStart w:id="15" w:name="_Toc988904"/>
      <w:r>
        <w:rPr>
          <w:rFonts w:ascii="宋体" w:eastAsia="宋体" w:hAnsi="宋体" w:cs="宋体"/>
          <w:b/>
          <w:bCs/>
          <w:sz w:val="24"/>
          <w:szCs w:val="24"/>
        </w:rPr>
        <w:lastRenderedPageBreak/>
        <w:t>二、报告期内公司从事的主要业务</w:t>
      </w:r>
      <w:bookmarkEnd w:id="15"/>
    </w:p>
    <w:p w14:paraId="7B2E4990" w14:textId="77777777" w:rsidR="00E72F0C" w:rsidRDefault="00107901">
      <w:pPr>
        <w:pStyle w:val="a3"/>
        <w:spacing w:before="0" w:beforeAutospacing="0" w:after="0" w:afterAutospacing="0" w:line="360" w:lineRule="auto"/>
        <w:jc w:val="both"/>
        <w:divId w:val="1053190555"/>
        <w:rPr>
          <w:rFonts w:hint="eastAsia"/>
        </w:rPr>
      </w:pPr>
      <w:r>
        <w:rPr>
          <w:rFonts w:hint="eastAsia"/>
          <w:sz w:val="21"/>
          <w:szCs w:val="21"/>
        </w:rPr>
        <w:t>（一）公司从事的主要业务</w:t>
      </w:r>
    </w:p>
    <w:p w14:paraId="39C91937" w14:textId="77777777" w:rsidR="00E72F0C" w:rsidRDefault="00107901">
      <w:pPr>
        <w:pStyle w:val="a3"/>
        <w:spacing w:before="0" w:beforeAutospacing="0" w:after="0" w:afterAutospacing="0" w:line="360" w:lineRule="auto"/>
        <w:ind w:firstLine="420"/>
        <w:jc w:val="both"/>
        <w:divId w:val="1053190555"/>
        <w:rPr>
          <w:rFonts w:hint="eastAsia"/>
        </w:rPr>
      </w:pPr>
      <w:r>
        <w:rPr>
          <w:rFonts w:hint="eastAsia"/>
          <w:sz w:val="21"/>
          <w:szCs w:val="21"/>
        </w:rPr>
        <w:t>报告期内，公司仍然保持“一体两翼”业务体系架构：光伏业务和线缆业务。公司在本报告期末对重整计划执行完毕，标志着公司重整圆满结束。</w:t>
      </w:r>
    </w:p>
    <w:p w14:paraId="72D92F37" w14:textId="77777777" w:rsidR="00E72F0C" w:rsidRDefault="00107901">
      <w:pPr>
        <w:pStyle w:val="a3"/>
        <w:spacing w:before="0" w:beforeAutospacing="0" w:after="0" w:afterAutospacing="0" w:line="360" w:lineRule="auto"/>
        <w:ind w:firstLine="420"/>
        <w:jc w:val="both"/>
        <w:divId w:val="1053190555"/>
        <w:rPr>
          <w:rFonts w:hint="eastAsia"/>
        </w:rPr>
      </w:pPr>
      <w:r>
        <w:rPr>
          <w:rFonts w:hint="eastAsia"/>
          <w:sz w:val="21"/>
          <w:szCs w:val="21"/>
        </w:rPr>
        <w:t>1.光伏业务</w:t>
      </w:r>
    </w:p>
    <w:p w14:paraId="10F541D3" w14:textId="77777777" w:rsidR="00E72F0C" w:rsidRDefault="00107901">
      <w:pPr>
        <w:pStyle w:val="a3"/>
        <w:spacing w:before="0" w:beforeAutospacing="0" w:after="0" w:afterAutospacing="0" w:line="360" w:lineRule="auto"/>
        <w:ind w:firstLine="420"/>
        <w:jc w:val="both"/>
        <w:divId w:val="1053190555"/>
        <w:rPr>
          <w:rFonts w:hint="eastAsia"/>
        </w:rPr>
      </w:pPr>
      <w:r>
        <w:rPr>
          <w:rFonts w:hint="eastAsia"/>
          <w:sz w:val="21"/>
          <w:szCs w:val="21"/>
        </w:rPr>
        <w:t>光伏制造业务方面，公司致力于单晶高效光伏电池和大尺寸光伏组件的研发、生产及销售。光伏组件产品类型主要包括P型组件（单面、双面、轻质）、全系N型</w:t>
      </w:r>
      <w:proofErr w:type="spellStart"/>
      <w:r>
        <w:rPr>
          <w:rFonts w:hint="eastAsia"/>
          <w:sz w:val="21"/>
          <w:szCs w:val="21"/>
        </w:rPr>
        <w:t>TOPCon</w:t>
      </w:r>
      <w:proofErr w:type="spellEnd"/>
      <w:r>
        <w:rPr>
          <w:rFonts w:hint="eastAsia"/>
          <w:sz w:val="21"/>
          <w:szCs w:val="21"/>
        </w:rPr>
        <w:t>组件（182mm、210mm）包括全黑组件、对BC、HJT等路线有专利技术储备；产品规格主要包括48片、54片、60片、66片、72片、78片等；产品功率在350W-715W之间，能够满足光伏市场各应用场景主流需求。</w:t>
      </w:r>
    </w:p>
    <w:p w14:paraId="2BEB0469" w14:textId="77777777" w:rsidR="00E72F0C" w:rsidRDefault="00107901">
      <w:pPr>
        <w:pStyle w:val="a3"/>
        <w:spacing w:before="0" w:beforeAutospacing="0" w:after="0" w:afterAutospacing="0" w:line="360" w:lineRule="auto"/>
        <w:ind w:firstLine="420"/>
        <w:jc w:val="both"/>
        <w:divId w:val="1053190555"/>
        <w:rPr>
          <w:rFonts w:hint="eastAsia"/>
        </w:rPr>
      </w:pPr>
      <w:r>
        <w:rPr>
          <w:rFonts w:hint="eastAsia"/>
          <w:sz w:val="21"/>
          <w:szCs w:val="21"/>
        </w:rPr>
        <w:t>光伏电站业务方面，公司制定了“产品+光储系统+服务”一体化发展战略。依托自身光伏制造业务的优势，长期致力于工商业分布式电站、户用分布式电站、集中式地面电站的开发与建设，熟悉国内外客户对光伏电站的需求，能为客户提供光伏发电系统整体解决方案和光储一体化解决方案，并提供光伏电站的运营维护服务。</w:t>
      </w:r>
    </w:p>
    <w:p w14:paraId="7214F1EE" w14:textId="77777777" w:rsidR="00E72F0C" w:rsidRDefault="00107901">
      <w:pPr>
        <w:pStyle w:val="a3"/>
        <w:spacing w:before="0" w:beforeAutospacing="0" w:after="0" w:afterAutospacing="0" w:line="360" w:lineRule="auto"/>
        <w:ind w:firstLine="420"/>
        <w:jc w:val="both"/>
        <w:divId w:val="1053190555"/>
        <w:rPr>
          <w:rFonts w:hint="eastAsia"/>
        </w:rPr>
      </w:pPr>
      <w:r>
        <w:rPr>
          <w:rFonts w:hint="eastAsia"/>
          <w:sz w:val="21"/>
          <w:szCs w:val="21"/>
        </w:rPr>
        <w:t>2.线缆业务</w:t>
      </w:r>
    </w:p>
    <w:p w14:paraId="289223BC" w14:textId="77777777" w:rsidR="00E72F0C" w:rsidRDefault="00107901">
      <w:pPr>
        <w:pStyle w:val="a3"/>
        <w:spacing w:before="0" w:beforeAutospacing="0" w:after="0" w:afterAutospacing="0" w:line="360" w:lineRule="auto"/>
        <w:ind w:firstLine="420"/>
        <w:jc w:val="both"/>
        <w:divId w:val="1053190555"/>
        <w:rPr>
          <w:rFonts w:hint="eastAsia"/>
        </w:rPr>
      </w:pPr>
      <w:r>
        <w:rPr>
          <w:rFonts w:hint="eastAsia"/>
          <w:sz w:val="21"/>
          <w:szCs w:val="21"/>
        </w:rPr>
        <w:t>公司主要线缆产品包括阻燃耐火软电缆，舰船用电缆、高铁用电缆、铁路信号线缆、光伏线缆、风机线缆、新能源汽车及充电桩线缆、液冷电缆、电力储能系统用电池连接电缆、UL电子线缆、数据通信线缆、矿用电缆、海洋工程平台用电缆、服务器用电缆、光纤预制棒及光纤等专业化、高品质产品，可以满足不同特定场景对线缆功能的要求。公司聚焦线缆业务销售区域和应用领域的双扩张，目前公司线缆业务版图已覆盖国内全区域以及澳洲、美洲、东南亚等部分地区，产品应用领域随着客户与市场的需求也在不断拓宽。</w:t>
      </w:r>
    </w:p>
    <w:p w14:paraId="0971A8E9" w14:textId="77777777" w:rsidR="00E72F0C" w:rsidRDefault="00107901">
      <w:pPr>
        <w:pStyle w:val="a3"/>
        <w:spacing w:before="0" w:beforeAutospacing="0" w:after="0" w:afterAutospacing="0" w:line="360" w:lineRule="auto"/>
        <w:ind w:firstLine="420"/>
        <w:jc w:val="both"/>
        <w:divId w:val="1053190555"/>
        <w:rPr>
          <w:rFonts w:hint="eastAsia"/>
        </w:rPr>
      </w:pPr>
      <w:r>
        <w:rPr>
          <w:rFonts w:hint="eastAsia"/>
          <w:sz w:val="21"/>
          <w:szCs w:val="21"/>
        </w:rPr>
        <w:t> </w:t>
      </w:r>
    </w:p>
    <w:p w14:paraId="68699C4D" w14:textId="77777777" w:rsidR="00E72F0C" w:rsidRDefault="00107901">
      <w:pPr>
        <w:pStyle w:val="a3"/>
        <w:spacing w:before="0" w:beforeAutospacing="0" w:after="0" w:afterAutospacing="0" w:line="360" w:lineRule="auto"/>
        <w:jc w:val="both"/>
        <w:divId w:val="1053190555"/>
        <w:rPr>
          <w:rFonts w:hint="eastAsia"/>
        </w:rPr>
      </w:pPr>
      <w:r>
        <w:rPr>
          <w:rFonts w:hint="eastAsia"/>
          <w:sz w:val="21"/>
          <w:szCs w:val="21"/>
        </w:rPr>
        <w:t>（二）公司主要经营模式</w:t>
      </w:r>
    </w:p>
    <w:p w14:paraId="369E35E0" w14:textId="77777777" w:rsidR="00E72F0C" w:rsidRDefault="00107901">
      <w:pPr>
        <w:pStyle w:val="a3"/>
        <w:spacing w:before="0" w:beforeAutospacing="0" w:after="0" w:afterAutospacing="0" w:line="360" w:lineRule="auto"/>
        <w:ind w:firstLine="420"/>
        <w:jc w:val="both"/>
        <w:divId w:val="1053190555"/>
        <w:rPr>
          <w:rFonts w:hint="eastAsia"/>
        </w:rPr>
      </w:pPr>
      <w:r>
        <w:rPr>
          <w:rFonts w:hint="eastAsia"/>
          <w:sz w:val="21"/>
          <w:szCs w:val="21"/>
        </w:rPr>
        <w:t>报告期内，公司主要业务的经营模式未发生重大变化：</w:t>
      </w:r>
    </w:p>
    <w:p w14:paraId="6E85AE89" w14:textId="77777777" w:rsidR="00E72F0C" w:rsidRDefault="00107901">
      <w:pPr>
        <w:pStyle w:val="a3"/>
        <w:spacing w:before="0" w:beforeAutospacing="0" w:after="0" w:afterAutospacing="0" w:line="360" w:lineRule="auto"/>
        <w:ind w:firstLine="420"/>
        <w:jc w:val="both"/>
        <w:divId w:val="1053190555"/>
        <w:rPr>
          <w:rFonts w:hint="eastAsia"/>
        </w:rPr>
      </w:pPr>
      <w:r>
        <w:rPr>
          <w:rFonts w:hint="eastAsia"/>
          <w:sz w:val="21"/>
          <w:szCs w:val="21"/>
        </w:rPr>
        <w:t>1.光伏业务</w:t>
      </w:r>
    </w:p>
    <w:p w14:paraId="1985A7A5" w14:textId="77777777" w:rsidR="00E72F0C" w:rsidRDefault="00107901">
      <w:pPr>
        <w:pStyle w:val="a3"/>
        <w:spacing w:before="0" w:beforeAutospacing="0" w:after="0" w:afterAutospacing="0" w:line="360" w:lineRule="auto"/>
        <w:ind w:firstLine="420"/>
        <w:jc w:val="both"/>
        <w:divId w:val="1053190555"/>
        <w:rPr>
          <w:rFonts w:hint="eastAsia"/>
        </w:rPr>
      </w:pPr>
      <w:r>
        <w:rPr>
          <w:rFonts w:hint="eastAsia"/>
          <w:sz w:val="21"/>
          <w:szCs w:val="21"/>
        </w:rPr>
        <w:t>（1）光伏电池片及组件产品采用直销的销售模式，公司拥有自己的销售团队，通过已建成的全球营销服务网络，直接向客户销售高品质、高可靠性的“腾晖”品牌光伏产品。公司通过与目标市场的优秀新能源企业达成战略合作意向，在资源整合、技术支持、产品互补、市场营销和品牌推广等方面展开全方位的合作，进一步实现市场的拓展。</w:t>
      </w:r>
    </w:p>
    <w:p w14:paraId="377D31BE" w14:textId="77777777" w:rsidR="00E72F0C" w:rsidRDefault="00107901">
      <w:pPr>
        <w:pStyle w:val="a3"/>
        <w:spacing w:before="0" w:beforeAutospacing="0" w:after="0" w:afterAutospacing="0" w:line="360" w:lineRule="auto"/>
        <w:ind w:firstLine="420"/>
        <w:jc w:val="both"/>
        <w:divId w:val="1053190555"/>
        <w:rPr>
          <w:rFonts w:hint="eastAsia"/>
        </w:rPr>
      </w:pPr>
      <w:r>
        <w:rPr>
          <w:rFonts w:hint="eastAsia"/>
          <w:sz w:val="21"/>
          <w:szCs w:val="21"/>
        </w:rPr>
        <w:lastRenderedPageBreak/>
        <w:t>（2）公司拥有电力工程施工总承包二级资质，旗下拥有新能源专业乙级设计公司，具有专业能力承接各类型光伏电站的EPC总包工程，并承担电站运营维护管理。</w:t>
      </w:r>
    </w:p>
    <w:p w14:paraId="58EA26D4" w14:textId="77777777" w:rsidR="00E72F0C" w:rsidRDefault="00107901">
      <w:pPr>
        <w:pStyle w:val="a3"/>
        <w:spacing w:before="0" w:beforeAutospacing="0" w:after="0" w:afterAutospacing="0" w:line="360" w:lineRule="auto"/>
        <w:ind w:firstLine="420"/>
        <w:jc w:val="both"/>
        <w:divId w:val="1053190555"/>
        <w:rPr>
          <w:rFonts w:hint="eastAsia"/>
        </w:rPr>
      </w:pPr>
      <w:r>
        <w:rPr>
          <w:rFonts w:hint="eastAsia"/>
          <w:sz w:val="21"/>
          <w:szCs w:val="21"/>
        </w:rPr>
        <w:t>2.线缆业务</w:t>
      </w:r>
    </w:p>
    <w:p w14:paraId="29E086EE" w14:textId="77777777" w:rsidR="00E72F0C" w:rsidRDefault="00107901">
      <w:pPr>
        <w:pStyle w:val="a3"/>
        <w:spacing w:before="0" w:beforeAutospacing="0" w:after="0" w:afterAutospacing="0" w:line="360" w:lineRule="auto"/>
        <w:ind w:firstLine="420"/>
        <w:jc w:val="both"/>
        <w:divId w:val="1053190555"/>
        <w:rPr>
          <w:rFonts w:hint="eastAsia"/>
        </w:rPr>
      </w:pPr>
      <w:r>
        <w:rPr>
          <w:rFonts w:hint="eastAsia"/>
          <w:sz w:val="21"/>
          <w:szCs w:val="21"/>
        </w:rPr>
        <w:t>公司线缆业务采用以销定产的方式制定生产计划，并采用直销的销售模式。重整期间在经营团队的努力之下，保持着“中利”和“海豹”品牌在行业内的影响力，在维护核心优质客户的同时积极开发新客户群体。</w:t>
      </w:r>
    </w:p>
    <w:p w14:paraId="25A5323A" w14:textId="77777777" w:rsidR="00E72F0C" w:rsidRDefault="00107901">
      <w:pPr>
        <w:pStyle w:val="a3"/>
        <w:spacing w:before="0" w:beforeAutospacing="0" w:after="0" w:afterAutospacing="0" w:line="360" w:lineRule="auto"/>
        <w:ind w:firstLine="420"/>
        <w:jc w:val="both"/>
        <w:divId w:val="1053190555"/>
        <w:rPr>
          <w:rFonts w:hint="eastAsia"/>
        </w:rPr>
      </w:pPr>
      <w:r>
        <w:rPr>
          <w:rFonts w:hint="eastAsia"/>
          <w:sz w:val="21"/>
          <w:szCs w:val="21"/>
        </w:rPr>
        <w:t> </w:t>
      </w:r>
    </w:p>
    <w:p w14:paraId="4D84A5C6" w14:textId="77777777" w:rsidR="00E72F0C" w:rsidRDefault="00107901">
      <w:pPr>
        <w:pStyle w:val="a3"/>
        <w:spacing w:before="0" w:beforeAutospacing="0" w:after="0" w:afterAutospacing="0" w:line="360" w:lineRule="auto"/>
        <w:jc w:val="both"/>
        <w:divId w:val="1053190555"/>
        <w:rPr>
          <w:rFonts w:hint="eastAsia"/>
        </w:rPr>
      </w:pPr>
      <w:r>
        <w:rPr>
          <w:rFonts w:hint="eastAsia"/>
          <w:sz w:val="21"/>
          <w:szCs w:val="21"/>
        </w:rPr>
        <w:t>（三）公司经营情况</w:t>
      </w:r>
    </w:p>
    <w:p w14:paraId="74D87A70" w14:textId="77777777" w:rsidR="00E72F0C" w:rsidRDefault="00107901">
      <w:pPr>
        <w:pStyle w:val="a3"/>
        <w:spacing w:before="0" w:beforeAutospacing="0" w:after="0" w:afterAutospacing="0" w:line="360" w:lineRule="auto"/>
        <w:ind w:firstLine="420"/>
        <w:jc w:val="both"/>
        <w:divId w:val="1053190555"/>
        <w:rPr>
          <w:rFonts w:hint="eastAsia"/>
        </w:rPr>
      </w:pPr>
      <w:r>
        <w:rPr>
          <w:rFonts w:hint="eastAsia"/>
          <w:sz w:val="21"/>
          <w:szCs w:val="21"/>
        </w:rPr>
        <w:t>2024年度，公司实现营业收入23.58亿元，同比下降41.80%；实现归属于母公司净利润-11.74亿元，同比减少亏损3.23亿元；总资产55.24亿元，归属于母公司的所有者权益14.20亿元。报告期内，公司业绩变动的主要原因如下：</w:t>
      </w:r>
    </w:p>
    <w:p w14:paraId="2FDE0EE7" w14:textId="77777777" w:rsidR="00E72F0C" w:rsidRDefault="00107901">
      <w:pPr>
        <w:pStyle w:val="a3"/>
        <w:spacing w:before="0" w:beforeAutospacing="0" w:after="0" w:afterAutospacing="0" w:line="360" w:lineRule="auto"/>
        <w:ind w:firstLine="420"/>
        <w:jc w:val="both"/>
        <w:divId w:val="1053190555"/>
        <w:rPr>
          <w:rFonts w:hint="eastAsia"/>
        </w:rPr>
      </w:pPr>
      <w:r>
        <w:rPr>
          <w:rFonts w:hint="eastAsia"/>
          <w:sz w:val="21"/>
          <w:szCs w:val="21"/>
        </w:rPr>
        <w:t>1.公司处于破产重整阶段，受资金紧张、债务缠身等因素影响，销售订单承接大幅受限，线缆、光伏市场环境愈加严峻，报告期营业收入同比下降41.80%，经营业绩同比下滑。</w:t>
      </w:r>
    </w:p>
    <w:p w14:paraId="74EE8344" w14:textId="302B80AF" w:rsidR="00E72F0C" w:rsidRDefault="00107901">
      <w:pPr>
        <w:pStyle w:val="a3"/>
        <w:spacing w:before="0" w:beforeAutospacing="0" w:after="0" w:afterAutospacing="0" w:line="360" w:lineRule="auto"/>
        <w:ind w:firstLine="420"/>
        <w:jc w:val="both"/>
        <w:divId w:val="1053190555"/>
        <w:rPr>
          <w:rFonts w:hint="eastAsia"/>
        </w:rPr>
      </w:pPr>
      <w:r>
        <w:rPr>
          <w:rFonts w:hint="eastAsia"/>
          <w:sz w:val="21"/>
          <w:szCs w:val="21"/>
        </w:rPr>
        <w:t>2.公司因执行重整计划，实现债务重组收益</w:t>
      </w:r>
      <w:r w:rsidR="00115057">
        <w:rPr>
          <w:rFonts w:hint="eastAsia"/>
          <w:sz w:val="21"/>
          <w:szCs w:val="21"/>
        </w:rPr>
        <w:t>17.</w:t>
      </w:r>
      <w:r w:rsidR="00115057">
        <w:rPr>
          <w:sz w:val="21"/>
          <w:szCs w:val="21"/>
        </w:rPr>
        <w:t>26</w:t>
      </w:r>
      <w:r>
        <w:rPr>
          <w:rFonts w:hint="eastAsia"/>
          <w:sz w:val="21"/>
          <w:szCs w:val="21"/>
        </w:rPr>
        <w:t>亿元；报告期末，公司对产能落后的低效资产计提资产减值准备，同比增加8.01亿元；支付重整相关费用，同比增加</w:t>
      </w:r>
      <w:r w:rsidR="00EE00A0">
        <w:rPr>
          <w:rFonts w:hint="eastAsia"/>
          <w:sz w:val="21"/>
          <w:szCs w:val="21"/>
        </w:rPr>
        <w:t>3.0</w:t>
      </w:r>
      <w:r w:rsidR="00EE00A0">
        <w:rPr>
          <w:sz w:val="21"/>
          <w:szCs w:val="21"/>
        </w:rPr>
        <w:t>2</w:t>
      </w:r>
      <w:r>
        <w:rPr>
          <w:rFonts w:hint="eastAsia"/>
          <w:sz w:val="21"/>
          <w:szCs w:val="21"/>
        </w:rPr>
        <w:t>亿元；因未决诉讼等或有事项新增预计负债约2.88亿元。</w:t>
      </w:r>
    </w:p>
    <w:p w14:paraId="7D2EAF40" w14:textId="77777777" w:rsidR="00E72F0C" w:rsidRDefault="00107901">
      <w:pPr>
        <w:pStyle w:val="a3"/>
        <w:spacing w:before="0" w:beforeAutospacing="0" w:after="0" w:afterAutospacing="0" w:line="360" w:lineRule="auto"/>
        <w:ind w:firstLine="420"/>
        <w:jc w:val="both"/>
        <w:divId w:val="1053190555"/>
        <w:rPr>
          <w:rFonts w:hint="eastAsia"/>
        </w:rPr>
      </w:pPr>
      <w:r>
        <w:rPr>
          <w:rFonts w:hint="eastAsia"/>
          <w:sz w:val="21"/>
          <w:szCs w:val="21"/>
        </w:rPr>
        <w:t>报告期内，在各方的大力支持和指导下，公司顺利完成重整工作，妥善化解了债务风险和经营风险以及历史遗留问题，优化了资产负债结构，引入实力雄厚且有资源背景的重整投资人注入增量资金并获得综合赋能。公司的基本面得以根本性改善，生产经营将逐步回归正常轨道并得以持续发展。</w:t>
      </w:r>
    </w:p>
    <w:p w14:paraId="03062BA8" w14:textId="77777777" w:rsidR="00632E5B" w:rsidRDefault="00107901">
      <w:pPr>
        <w:pStyle w:val="2"/>
        <w:spacing w:before="300" w:after="300" w:line="320" w:lineRule="exact"/>
        <w:rPr>
          <w:rFonts w:ascii="宋体" w:eastAsia="宋体" w:hAnsi="宋体" w:cs="宋体" w:hint="eastAsia"/>
          <w:b/>
          <w:bCs/>
          <w:sz w:val="24"/>
          <w:szCs w:val="24"/>
        </w:rPr>
      </w:pPr>
      <w:bookmarkStart w:id="16" w:name="_Toc988905"/>
      <w:r>
        <w:rPr>
          <w:rFonts w:ascii="宋体" w:eastAsia="宋体" w:hAnsi="宋体" w:cs="宋体"/>
          <w:b/>
          <w:bCs/>
          <w:sz w:val="24"/>
          <w:szCs w:val="24"/>
        </w:rPr>
        <w:t>三、核心竞争力分析</w:t>
      </w:r>
      <w:bookmarkEnd w:id="16"/>
    </w:p>
    <w:p w14:paraId="1EC573D2" w14:textId="77777777" w:rsidR="00E72F0C" w:rsidRDefault="00107901">
      <w:pPr>
        <w:pStyle w:val="a3"/>
        <w:spacing w:before="0" w:beforeAutospacing="0" w:after="0" w:afterAutospacing="0" w:line="360" w:lineRule="auto"/>
        <w:ind w:firstLine="420"/>
        <w:divId w:val="2086564865"/>
        <w:rPr>
          <w:rFonts w:hint="eastAsia"/>
        </w:rPr>
      </w:pPr>
      <w:r>
        <w:rPr>
          <w:rFonts w:hint="eastAsia"/>
          <w:sz w:val="21"/>
          <w:szCs w:val="21"/>
        </w:rPr>
        <w:t>报告期内，公司核心竞争力未发生重大变化，未发生因核心管理团队或关键技术人员离职等导致公司核心竞争力受到严重影响的情形。公司核心竞争力主要来源于多年自主培养的专业技术人才与管理人才，以及多年来持续自主创新树立的“中利”“腾晖”品牌知名度和培育的客户粘性。报告期内，公司整体提交申请的发明专利共46项、实用新型专利共46项；获批授权的发明专利共56项、实用新型专利共43项。截至本报告期末，公司拥有有效的发明专利314项、实用新型专利697项、外观设计专利9项。拥有8家国家级高新技术企业、8家省级研究中心。</w:t>
      </w:r>
    </w:p>
    <w:p w14:paraId="17F90414" w14:textId="77777777" w:rsidR="00E72F0C" w:rsidRDefault="00107901">
      <w:pPr>
        <w:pStyle w:val="a3"/>
        <w:spacing w:before="0" w:beforeAutospacing="0" w:after="0" w:afterAutospacing="0" w:line="360" w:lineRule="auto"/>
        <w:ind w:firstLine="420"/>
        <w:divId w:val="2086564865"/>
        <w:rPr>
          <w:rFonts w:hint="eastAsia"/>
        </w:rPr>
      </w:pPr>
      <w:r>
        <w:rPr>
          <w:rFonts w:hint="eastAsia"/>
          <w:sz w:val="21"/>
          <w:szCs w:val="21"/>
        </w:rPr>
        <w:t>1.品牌优势</w:t>
      </w:r>
    </w:p>
    <w:p w14:paraId="471E3401" w14:textId="77777777" w:rsidR="00E72F0C" w:rsidRDefault="00107901">
      <w:pPr>
        <w:pStyle w:val="a3"/>
        <w:spacing w:before="0" w:beforeAutospacing="0" w:after="0" w:afterAutospacing="0" w:line="360" w:lineRule="auto"/>
        <w:ind w:firstLine="420"/>
        <w:jc w:val="both"/>
        <w:divId w:val="2086564865"/>
        <w:rPr>
          <w:rFonts w:hint="eastAsia"/>
        </w:rPr>
      </w:pPr>
      <w:r>
        <w:rPr>
          <w:rFonts w:hint="eastAsia"/>
          <w:sz w:val="21"/>
          <w:szCs w:val="21"/>
        </w:rPr>
        <w:t>品牌是企业的软实力，更是企业核心竞争力的体现。一直以来，公司非常注重自身品牌形象的塑造和推广，凭借深厚的技术沉淀和优异的产品和服务质量，在行业内形成了良好的口碑。</w:t>
      </w:r>
    </w:p>
    <w:p w14:paraId="6CBDE1CD" w14:textId="77777777" w:rsidR="00E72F0C" w:rsidRDefault="00107901">
      <w:pPr>
        <w:pStyle w:val="a3"/>
        <w:spacing w:before="0" w:beforeAutospacing="0" w:after="0" w:afterAutospacing="0" w:line="360" w:lineRule="auto"/>
        <w:ind w:firstLine="420"/>
        <w:jc w:val="both"/>
        <w:divId w:val="2086564865"/>
        <w:rPr>
          <w:rFonts w:hint="eastAsia"/>
        </w:rPr>
      </w:pPr>
      <w:r>
        <w:rPr>
          <w:rFonts w:hint="eastAsia"/>
          <w:sz w:val="21"/>
          <w:szCs w:val="21"/>
        </w:rPr>
        <w:lastRenderedPageBreak/>
        <w:t>线缆领域，公司深耕行业三十余载，拥有“中利”电缆品牌和“海豹”船缆品牌，已是国内线缆行业领先企业，多次被评为“中国线缆行业最具竞争力企业10强”。光伏领域，公司创立“腾晖”品牌，并迅速发展成为全球知名组件供应商和电站开发商，入选彭博新能源财经Tier1榜单，公司在全球光伏业务领域内被国内外客户广泛认可，具有较强的品牌影响力。</w:t>
      </w:r>
    </w:p>
    <w:p w14:paraId="4B8C74B3" w14:textId="77777777" w:rsidR="00E72F0C" w:rsidRDefault="00107901">
      <w:pPr>
        <w:pStyle w:val="a3"/>
        <w:spacing w:before="0" w:beforeAutospacing="0" w:after="0" w:afterAutospacing="0" w:line="360" w:lineRule="auto"/>
        <w:ind w:firstLine="420"/>
        <w:divId w:val="2086564865"/>
        <w:rPr>
          <w:rFonts w:hint="eastAsia"/>
        </w:rPr>
      </w:pPr>
      <w:r>
        <w:rPr>
          <w:rFonts w:hint="eastAsia"/>
          <w:sz w:val="21"/>
          <w:szCs w:val="21"/>
        </w:rPr>
        <w:t>2.研发优势</w:t>
      </w:r>
    </w:p>
    <w:p w14:paraId="6665E159" w14:textId="77777777" w:rsidR="00E72F0C" w:rsidRDefault="00107901">
      <w:pPr>
        <w:pStyle w:val="a3"/>
        <w:spacing w:before="0" w:beforeAutospacing="0" w:after="0" w:afterAutospacing="0" w:line="360" w:lineRule="auto"/>
        <w:ind w:firstLine="420"/>
        <w:jc w:val="both"/>
        <w:divId w:val="2086564865"/>
        <w:rPr>
          <w:rFonts w:hint="eastAsia"/>
        </w:rPr>
      </w:pPr>
      <w:r>
        <w:rPr>
          <w:rFonts w:hint="eastAsia"/>
          <w:sz w:val="21"/>
          <w:szCs w:val="21"/>
        </w:rPr>
        <w:t>在光伏领域，腾晖光伏视产品与技术创新为推动公司发展的核心引擎，搭建科学高效的研发管理体系与内外部协同的创新机制，坚持以自主创新为主体，以市场为导向，产学研相结合，多措并举提升研发效率与质量。腾晖光伏重视量产与储备相结合的技术研发策略，已实现全系</w:t>
      </w:r>
      <w:proofErr w:type="spellStart"/>
      <w:r>
        <w:rPr>
          <w:rFonts w:hint="eastAsia"/>
          <w:sz w:val="21"/>
          <w:szCs w:val="21"/>
        </w:rPr>
        <w:t>TOPCon</w:t>
      </w:r>
      <w:proofErr w:type="spellEnd"/>
      <w:r>
        <w:rPr>
          <w:rFonts w:hint="eastAsia"/>
          <w:sz w:val="21"/>
          <w:szCs w:val="21"/>
        </w:rPr>
        <w:t>组件量产，并储备有BC电池与组件、异质结电池与组件、钙钛矿叠层电池与组件等各种主流新技术。公司将根据行业趋势和市场需求的实际情况，实现从储备到量产的转化。截至目前，公司拥有</w:t>
      </w:r>
      <w:proofErr w:type="spellStart"/>
      <w:r>
        <w:rPr>
          <w:rFonts w:hint="eastAsia"/>
          <w:sz w:val="21"/>
          <w:szCs w:val="21"/>
        </w:rPr>
        <w:t>TOPCon</w:t>
      </w:r>
      <w:proofErr w:type="spellEnd"/>
      <w:r>
        <w:rPr>
          <w:rFonts w:hint="eastAsia"/>
          <w:sz w:val="21"/>
          <w:szCs w:val="21"/>
        </w:rPr>
        <w:t>电池及组件专利技术34项，IBC电池及组件专利技术5项、异质结电池及组件专利技术22项，钙钛矿叠层电池及组件专利技术8项。</w:t>
      </w:r>
    </w:p>
    <w:p w14:paraId="6D8309DE" w14:textId="77777777" w:rsidR="00E72F0C" w:rsidRDefault="00107901">
      <w:pPr>
        <w:pStyle w:val="a3"/>
        <w:spacing w:before="0" w:beforeAutospacing="0" w:after="0" w:afterAutospacing="0" w:line="360" w:lineRule="auto"/>
        <w:ind w:firstLine="420"/>
        <w:jc w:val="both"/>
        <w:divId w:val="2086564865"/>
        <w:rPr>
          <w:rFonts w:hint="eastAsia"/>
        </w:rPr>
      </w:pPr>
      <w:r>
        <w:rPr>
          <w:rFonts w:hint="eastAsia"/>
          <w:sz w:val="21"/>
          <w:szCs w:val="21"/>
        </w:rPr>
        <w:t>在线缆领域，公司拥有国家级博士后科研工作站、国家级CNAS认可实验室、江苏省工程技术研发中心、江苏省特种电缆高分子材料重点实验室等科研创新平台，同时建立了具有自身特色的以企业为主体、以市场为导向、以人才为桥梁的产学研联合创新体系和优势互补的运行机制。通过开展产学研深度合作，在特种电缆及高分子材料领域进行产业化研发，持续推进公司研发升级。</w:t>
      </w:r>
    </w:p>
    <w:p w14:paraId="571E7120" w14:textId="77777777" w:rsidR="00E72F0C" w:rsidRDefault="00107901">
      <w:pPr>
        <w:pStyle w:val="a3"/>
        <w:spacing w:before="0" w:beforeAutospacing="0" w:after="0" w:afterAutospacing="0" w:line="360" w:lineRule="auto"/>
        <w:ind w:firstLine="420"/>
        <w:divId w:val="2086564865"/>
        <w:rPr>
          <w:rFonts w:hint="eastAsia"/>
        </w:rPr>
      </w:pPr>
      <w:r>
        <w:rPr>
          <w:rFonts w:hint="eastAsia"/>
          <w:sz w:val="21"/>
          <w:szCs w:val="21"/>
        </w:rPr>
        <w:t>3.资质认证优势</w:t>
      </w:r>
    </w:p>
    <w:p w14:paraId="45E6AC9F" w14:textId="77777777" w:rsidR="00E72F0C" w:rsidRDefault="00107901">
      <w:pPr>
        <w:pStyle w:val="a3"/>
        <w:spacing w:before="0" w:beforeAutospacing="0" w:after="0" w:afterAutospacing="0" w:line="360" w:lineRule="auto"/>
        <w:ind w:firstLine="420"/>
        <w:jc w:val="both"/>
        <w:divId w:val="2086564865"/>
        <w:rPr>
          <w:rFonts w:hint="eastAsia"/>
        </w:rPr>
      </w:pPr>
      <w:r>
        <w:rPr>
          <w:rFonts w:hint="eastAsia"/>
          <w:sz w:val="21"/>
          <w:szCs w:val="21"/>
        </w:rPr>
        <w:t>在光伏领域，公司已建立较为完善的相关资质认证体系，包括 PVEL 加严可靠性测试、CQC 领跑者认证、意大利防火1级认证、法国碳足迹认证等。公司光伏组件产品符合各种极端严苛环境下的可靠性要求，质量和性能已经达到国际先进水平。公司光伏产品检测中心已获得TUV南德、TUV莱茵、CGC认证、CAS认证、CEC认证、DERKA认证、UL认证等目击实验室资质和国家级CNAS认可实验室资质，公司检测水平和技术能力已经达到行业先进水平，能缩短光伏产品认证周期，更快更高效地为客户提供优质服务。目前，腾晖光伏已凭借产品品质、技术研发能力等各方面良好的基础，并经过重整消除公司经营不利因素后重回彭博新能源财经（BNEF）Tier1榜单，腾晖光伏的品牌知名度和市场竞争力得到进一步提升，将开启新一轮业务高成长周期。</w:t>
      </w:r>
    </w:p>
    <w:p w14:paraId="3D791AFD" w14:textId="77777777" w:rsidR="00E72F0C" w:rsidRDefault="00107901">
      <w:pPr>
        <w:pStyle w:val="a3"/>
        <w:spacing w:before="0" w:beforeAutospacing="0" w:after="0" w:afterAutospacing="0" w:line="360" w:lineRule="auto"/>
        <w:ind w:firstLine="420"/>
        <w:jc w:val="both"/>
        <w:divId w:val="2086564865"/>
        <w:rPr>
          <w:rFonts w:hint="eastAsia"/>
        </w:rPr>
      </w:pPr>
      <w:r>
        <w:rPr>
          <w:rFonts w:hint="eastAsia"/>
          <w:sz w:val="21"/>
          <w:szCs w:val="21"/>
        </w:rPr>
        <w:t>在线缆领域，公司的线缆产品在国际认证、国内认证及特殊行业认证方面，具有先发优势和数量优势。公司线缆相关资质认证基本覆盖行业主流机构资质认证，包括 CRCC 认证、UL 认证、VDE 认证、TUV 认证、DEKRA+CQC 联合认证等；线缆研发与检测中心已获得 CNAS 认可实验室资质。</w:t>
      </w:r>
    </w:p>
    <w:p w14:paraId="6A0D43D5" w14:textId="77777777" w:rsidR="00632E5B" w:rsidRDefault="00107901">
      <w:pPr>
        <w:pStyle w:val="2"/>
        <w:spacing w:before="300" w:after="300" w:line="320" w:lineRule="exact"/>
        <w:rPr>
          <w:rFonts w:ascii="宋体" w:eastAsia="宋体" w:hAnsi="宋体" w:cs="宋体" w:hint="eastAsia"/>
          <w:b/>
          <w:bCs/>
          <w:sz w:val="24"/>
          <w:szCs w:val="24"/>
        </w:rPr>
      </w:pPr>
      <w:bookmarkStart w:id="17" w:name="_Toc988906"/>
      <w:r>
        <w:rPr>
          <w:rFonts w:ascii="宋体" w:eastAsia="宋体" w:hAnsi="宋体" w:cs="宋体"/>
          <w:b/>
          <w:bCs/>
          <w:sz w:val="24"/>
          <w:szCs w:val="24"/>
        </w:rPr>
        <w:lastRenderedPageBreak/>
        <w:t>四、主营业务分析</w:t>
      </w:r>
      <w:bookmarkEnd w:id="17"/>
    </w:p>
    <w:p w14:paraId="19F0401C" w14:textId="77777777" w:rsidR="00632E5B" w:rsidRDefault="00107901">
      <w:pPr>
        <w:pStyle w:val="3"/>
        <w:spacing w:line="280" w:lineRule="exact"/>
        <w:jc w:val="left"/>
        <w:rPr>
          <w:rFonts w:ascii="宋体" w:hAnsi="宋体" w:cs="宋体" w:hint="eastAsia"/>
          <w:b/>
          <w:bCs/>
        </w:rPr>
      </w:pPr>
      <w:bookmarkStart w:id="18" w:name="_Toc988907"/>
      <w:r>
        <w:rPr>
          <w:rFonts w:ascii="宋体" w:hAnsi="宋体" w:cs="宋体"/>
          <w:b/>
          <w:bCs/>
        </w:rPr>
        <w:t>1、概述</w:t>
      </w:r>
      <w:bookmarkEnd w:id="18"/>
    </w:p>
    <w:p w14:paraId="30D84412" w14:textId="77777777" w:rsidR="00E72F0C" w:rsidRDefault="00107901">
      <w:pPr>
        <w:pStyle w:val="a3"/>
        <w:divId w:val="2094278980"/>
        <w:rPr>
          <w:rFonts w:hint="eastAsia"/>
          <w:sz w:val="18"/>
          <w:szCs w:val="18"/>
        </w:rPr>
      </w:pPr>
      <w:r>
        <w:rPr>
          <w:rFonts w:hint="eastAsia"/>
          <w:sz w:val="21"/>
          <w:szCs w:val="21"/>
        </w:rPr>
        <w:t>   参见第三节“管理层讨论与分析”之“二、报告期内公司从事的主要业务”相关内容。</w:t>
      </w:r>
    </w:p>
    <w:p w14:paraId="73B82E78" w14:textId="77777777" w:rsidR="00632E5B" w:rsidRDefault="00107901">
      <w:pPr>
        <w:pStyle w:val="3"/>
        <w:spacing w:line="280" w:lineRule="exact"/>
        <w:jc w:val="left"/>
        <w:rPr>
          <w:rFonts w:ascii="宋体" w:hAnsi="宋体" w:cs="宋体" w:hint="eastAsia"/>
          <w:b/>
          <w:bCs/>
        </w:rPr>
      </w:pPr>
      <w:bookmarkStart w:id="19" w:name="_Toc988908"/>
      <w:r>
        <w:rPr>
          <w:rFonts w:ascii="宋体" w:hAnsi="宋体" w:cs="宋体"/>
          <w:b/>
          <w:bCs/>
        </w:rPr>
        <w:t>2、收入与成本</w:t>
      </w:r>
      <w:bookmarkEnd w:id="19"/>
    </w:p>
    <w:p w14:paraId="7BDB99D1"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20" w:name="_Toc988909"/>
      <w:r>
        <w:rPr>
          <w:rFonts w:ascii="宋体" w:eastAsia="宋体" w:hAnsi="宋体" w:cs="宋体"/>
          <w:b/>
          <w:bCs/>
          <w:szCs w:val="21"/>
        </w:rPr>
        <w:t>（1） 营业收入构成</w:t>
      </w:r>
      <w:bookmarkEnd w:id="20"/>
    </w:p>
    <w:p w14:paraId="32A8DA3E"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874"/>
        <w:gridCol w:w="1843"/>
        <w:gridCol w:w="1559"/>
        <w:gridCol w:w="1701"/>
        <w:gridCol w:w="1559"/>
        <w:gridCol w:w="1103"/>
      </w:tblGrid>
      <w:tr w:rsidR="00632E5B" w14:paraId="28D00E05" w14:textId="77777777" w:rsidTr="00015F25">
        <w:trPr>
          <w:trHeight w:val="240"/>
        </w:trPr>
        <w:tc>
          <w:tcPr>
            <w:tcW w:w="1874" w:type="dxa"/>
            <w:vMerge w:val="restart"/>
            <w:shd w:val="clear" w:color="auto" w:fill="FFFFFF" w:themeFill="background1"/>
            <w:vAlign w:val="center"/>
          </w:tcPr>
          <w:p w14:paraId="12C944FB" w14:textId="77777777" w:rsidR="00632E5B" w:rsidRDefault="00632E5B"/>
        </w:tc>
        <w:tc>
          <w:tcPr>
            <w:tcW w:w="3402" w:type="dxa"/>
            <w:gridSpan w:val="2"/>
            <w:shd w:val="clear" w:color="auto" w:fill="FFFFFF" w:themeFill="background1"/>
            <w:vAlign w:val="center"/>
          </w:tcPr>
          <w:p w14:paraId="4E681D7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2024年</w:t>
            </w:r>
          </w:p>
        </w:tc>
        <w:tc>
          <w:tcPr>
            <w:tcW w:w="3260" w:type="dxa"/>
            <w:gridSpan w:val="2"/>
            <w:shd w:val="clear" w:color="auto" w:fill="FFFFFF" w:themeFill="background1"/>
            <w:vAlign w:val="center"/>
          </w:tcPr>
          <w:p w14:paraId="0B3F0E4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2023年</w:t>
            </w:r>
          </w:p>
        </w:tc>
        <w:tc>
          <w:tcPr>
            <w:tcW w:w="1103" w:type="dxa"/>
            <w:vMerge w:val="restart"/>
            <w:shd w:val="clear" w:color="auto" w:fill="FFFFFF" w:themeFill="background1"/>
            <w:vAlign w:val="center"/>
          </w:tcPr>
          <w:p w14:paraId="0D12E46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同比增减</w:t>
            </w:r>
          </w:p>
        </w:tc>
      </w:tr>
      <w:tr w:rsidR="00632E5B" w14:paraId="0475B431" w14:textId="77777777" w:rsidTr="0087734B">
        <w:trPr>
          <w:trHeight w:val="240"/>
        </w:trPr>
        <w:tc>
          <w:tcPr>
            <w:tcW w:w="1874" w:type="dxa"/>
            <w:vMerge/>
            <w:shd w:val="clear" w:color="auto" w:fill="FFFFFF" w:themeFill="background1"/>
            <w:vAlign w:val="center"/>
          </w:tcPr>
          <w:p w14:paraId="50B692CF" w14:textId="77777777" w:rsidR="00632E5B" w:rsidRDefault="00632E5B"/>
        </w:tc>
        <w:tc>
          <w:tcPr>
            <w:tcW w:w="1843" w:type="dxa"/>
            <w:shd w:val="clear" w:color="auto" w:fill="FFFFFF" w:themeFill="background1"/>
            <w:vAlign w:val="center"/>
          </w:tcPr>
          <w:p w14:paraId="072AE37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1559" w:type="dxa"/>
            <w:tcBorders>
              <w:bottom w:val="single" w:sz="2" w:space="0" w:color="auto"/>
            </w:tcBorders>
            <w:shd w:val="clear" w:color="auto" w:fill="FFFFFF" w:themeFill="background1"/>
            <w:vAlign w:val="center"/>
          </w:tcPr>
          <w:p w14:paraId="13663FE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占营业收入比重</w:t>
            </w:r>
          </w:p>
        </w:tc>
        <w:tc>
          <w:tcPr>
            <w:tcW w:w="1701" w:type="dxa"/>
            <w:tcBorders>
              <w:bottom w:val="single" w:sz="2" w:space="0" w:color="auto"/>
            </w:tcBorders>
            <w:shd w:val="clear" w:color="auto" w:fill="FFFFFF" w:themeFill="background1"/>
            <w:vAlign w:val="center"/>
          </w:tcPr>
          <w:p w14:paraId="54AD4BD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1559" w:type="dxa"/>
            <w:tcBorders>
              <w:bottom w:val="single" w:sz="2" w:space="0" w:color="auto"/>
            </w:tcBorders>
            <w:shd w:val="clear" w:color="auto" w:fill="FFFFFF" w:themeFill="background1"/>
            <w:vAlign w:val="center"/>
          </w:tcPr>
          <w:p w14:paraId="174269C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占营业收入比重</w:t>
            </w:r>
          </w:p>
        </w:tc>
        <w:tc>
          <w:tcPr>
            <w:tcW w:w="1103" w:type="dxa"/>
            <w:vMerge/>
            <w:shd w:val="clear" w:color="auto" w:fill="FFFFFF" w:themeFill="background1"/>
            <w:vAlign w:val="center"/>
          </w:tcPr>
          <w:p w14:paraId="69E1548E" w14:textId="77777777" w:rsidR="00632E5B" w:rsidRDefault="00632E5B"/>
        </w:tc>
      </w:tr>
      <w:tr w:rsidR="00632E5B" w14:paraId="74337432" w14:textId="77777777" w:rsidTr="00015F25">
        <w:trPr>
          <w:trHeight w:val="240"/>
        </w:trPr>
        <w:tc>
          <w:tcPr>
            <w:tcW w:w="1874" w:type="dxa"/>
            <w:shd w:val="clear" w:color="auto" w:fill="FFFFFF" w:themeFill="background1"/>
            <w:vAlign w:val="center"/>
          </w:tcPr>
          <w:p w14:paraId="328E5ECB"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营业收入合计</w:t>
            </w:r>
          </w:p>
        </w:tc>
        <w:tc>
          <w:tcPr>
            <w:tcW w:w="1843" w:type="dxa"/>
            <w:shd w:val="clear" w:color="auto" w:fill="FFFFFF" w:themeFill="background1"/>
            <w:vAlign w:val="center"/>
          </w:tcPr>
          <w:p w14:paraId="1AD764E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2,357,979,747.56</w:t>
            </w:r>
          </w:p>
        </w:tc>
        <w:tc>
          <w:tcPr>
            <w:tcW w:w="1559" w:type="dxa"/>
            <w:shd w:val="clear" w:color="auto" w:fill="FFFFFF" w:themeFill="background1"/>
            <w:vAlign w:val="center"/>
          </w:tcPr>
          <w:p w14:paraId="544756AC" w14:textId="77777777" w:rsidR="00632E5B" w:rsidRPr="0087734B" w:rsidRDefault="00107901" w:rsidP="0087734B">
            <w:pPr>
              <w:spacing w:line="240" w:lineRule="exact"/>
              <w:jc w:val="right"/>
              <w:rPr>
                <w:rFonts w:ascii="宋体" w:eastAsia="宋体" w:hAnsi="宋体" w:cs="宋体" w:hint="eastAsia"/>
                <w:sz w:val="18"/>
                <w:szCs w:val="18"/>
              </w:rPr>
            </w:pPr>
            <w:r w:rsidRPr="0087734B">
              <w:rPr>
                <w:rFonts w:ascii="宋体" w:eastAsia="宋体" w:hAnsi="宋体" w:cs="宋体"/>
                <w:sz w:val="18"/>
                <w:szCs w:val="18"/>
              </w:rPr>
              <w:t>100%</w:t>
            </w:r>
          </w:p>
        </w:tc>
        <w:tc>
          <w:tcPr>
            <w:tcW w:w="1701" w:type="dxa"/>
            <w:shd w:val="clear" w:color="auto" w:fill="FFFFFF" w:themeFill="background1"/>
            <w:vAlign w:val="center"/>
          </w:tcPr>
          <w:p w14:paraId="4FD4F36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4,051,283,736.03</w:t>
            </w:r>
          </w:p>
        </w:tc>
        <w:tc>
          <w:tcPr>
            <w:tcW w:w="1559" w:type="dxa"/>
            <w:shd w:val="clear" w:color="auto" w:fill="FFFFFF" w:themeFill="background1"/>
            <w:vAlign w:val="center"/>
          </w:tcPr>
          <w:p w14:paraId="3789A37C" w14:textId="77777777" w:rsidR="00632E5B" w:rsidRPr="0087734B" w:rsidRDefault="00107901" w:rsidP="0087734B">
            <w:pPr>
              <w:spacing w:line="240" w:lineRule="exact"/>
              <w:jc w:val="right"/>
              <w:rPr>
                <w:rFonts w:ascii="宋体" w:eastAsia="宋体" w:hAnsi="宋体" w:cs="宋体" w:hint="eastAsia"/>
                <w:sz w:val="18"/>
                <w:szCs w:val="18"/>
              </w:rPr>
            </w:pPr>
            <w:r w:rsidRPr="0087734B">
              <w:rPr>
                <w:rFonts w:ascii="宋体" w:eastAsia="宋体" w:hAnsi="宋体" w:cs="宋体"/>
                <w:sz w:val="18"/>
                <w:szCs w:val="18"/>
              </w:rPr>
              <w:t>100%</w:t>
            </w:r>
          </w:p>
        </w:tc>
        <w:tc>
          <w:tcPr>
            <w:tcW w:w="1103" w:type="dxa"/>
            <w:shd w:val="clear" w:color="auto" w:fill="FFFFFF" w:themeFill="background1"/>
            <w:vAlign w:val="center"/>
          </w:tcPr>
          <w:p w14:paraId="36519E5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-41.80%</w:t>
            </w:r>
          </w:p>
        </w:tc>
      </w:tr>
      <w:tr w:rsidR="00632E5B" w14:paraId="405C2C8E" w14:textId="77777777" w:rsidTr="00015F25">
        <w:trPr>
          <w:trHeight w:val="240"/>
        </w:trPr>
        <w:tc>
          <w:tcPr>
            <w:tcW w:w="9639" w:type="dxa"/>
            <w:gridSpan w:val="6"/>
            <w:shd w:val="clear" w:color="auto" w:fill="FFFFFF" w:themeFill="background1"/>
            <w:vAlign w:val="center"/>
          </w:tcPr>
          <w:p w14:paraId="74FD9C25"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分行业</w:t>
            </w:r>
          </w:p>
        </w:tc>
      </w:tr>
      <w:tr w:rsidR="00632E5B" w14:paraId="6F7DC0AD" w14:textId="77777777" w:rsidTr="00015F25">
        <w:trPr>
          <w:trHeight w:val="240"/>
        </w:trPr>
        <w:tc>
          <w:tcPr>
            <w:tcW w:w="1874" w:type="dxa"/>
            <w:shd w:val="clear" w:color="auto" w:fill="FFFFFF" w:themeFill="background1"/>
            <w:vAlign w:val="center"/>
          </w:tcPr>
          <w:p w14:paraId="2B2619D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通信行业（运营商）</w:t>
            </w:r>
          </w:p>
        </w:tc>
        <w:tc>
          <w:tcPr>
            <w:tcW w:w="1843" w:type="dxa"/>
            <w:shd w:val="clear" w:color="auto" w:fill="FFFFFF" w:themeFill="background1"/>
            <w:vAlign w:val="center"/>
          </w:tcPr>
          <w:p w14:paraId="6FB9B67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51,929,218.85</w:t>
            </w:r>
          </w:p>
        </w:tc>
        <w:tc>
          <w:tcPr>
            <w:tcW w:w="1559" w:type="dxa"/>
            <w:shd w:val="clear" w:color="auto" w:fill="FFFFFF" w:themeFill="background1"/>
            <w:vAlign w:val="center"/>
          </w:tcPr>
          <w:p w14:paraId="429A45B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2.20%</w:t>
            </w:r>
          </w:p>
        </w:tc>
        <w:tc>
          <w:tcPr>
            <w:tcW w:w="1701" w:type="dxa"/>
            <w:shd w:val="clear" w:color="auto" w:fill="FFFFFF" w:themeFill="background1"/>
            <w:vAlign w:val="center"/>
          </w:tcPr>
          <w:p w14:paraId="3370ED1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232,811,167.15</w:t>
            </w:r>
          </w:p>
        </w:tc>
        <w:tc>
          <w:tcPr>
            <w:tcW w:w="1559" w:type="dxa"/>
            <w:shd w:val="clear" w:color="auto" w:fill="FFFFFF" w:themeFill="background1"/>
            <w:vAlign w:val="center"/>
          </w:tcPr>
          <w:p w14:paraId="0E43ADD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5.75%</w:t>
            </w:r>
          </w:p>
        </w:tc>
        <w:tc>
          <w:tcPr>
            <w:tcW w:w="1103" w:type="dxa"/>
            <w:shd w:val="clear" w:color="auto" w:fill="FFFFFF" w:themeFill="background1"/>
            <w:vAlign w:val="center"/>
          </w:tcPr>
          <w:p w14:paraId="55711D4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-77.69%</w:t>
            </w:r>
          </w:p>
        </w:tc>
      </w:tr>
      <w:tr w:rsidR="00632E5B" w14:paraId="28AE3D22" w14:textId="77777777" w:rsidTr="00015F25">
        <w:trPr>
          <w:trHeight w:val="240"/>
        </w:trPr>
        <w:tc>
          <w:tcPr>
            <w:tcW w:w="1874" w:type="dxa"/>
            <w:shd w:val="clear" w:color="auto" w:fill="FFFFFF" w:themeFill="background1"/>
            <w:vAlign w:val="center"/>
          </w:tcPr>
          <w:p w14:paraId="4655A56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除运营商外的其他通信行业</w:t>
            </w:r>
          </w:p>
        </w:tc>
        <w:tc>
          <w:tcPr>
            <w:tcW w:w="1843" w:type="dxa"/>
            <w:shd w:val="clear" w:color="auto" w:fill="FFFFFF" w:themeFill="background1"/>
            <w:vAlign w:val="center"/>
          </w:tcPr>
          <w:p w14:paraId="5EB76AA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1,439,214,640.05</w:t>
            </w:r>
          </w:p>
        </w:tc>
        <w:tc>
          <w:tcPr>
            <w:tcW w:w="1559" w:type="dxa"/>
            <w:shd w:val="clear" w:color="auto" w:fill="FFFFFF" w:themeFill="background1"/>
            <w:vAlign w:val="center"/>
          </w:tcPr>
          <w:p w14:paraId="3D83B41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61.04%</w:t>
            </w:r>
          </w:p>
        </w:tc>
        <w:tc>
          <w:tcPr>
            <w:tcW w:w="1701" w:type="dxa"/>
            <w:shd w:val="clear" w:color="auto" w:fill="FFFFFF" w:themeFill="background1"/>
            <w:vAlign w:val="center"/>
          </w:tcPr>
          <w:p w14:paraId="00A13A1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1,632,212,767.43</w:t>
            </w:r>
          </w:p>
        </w:tc>
        <w:tc>
          <w:tcPr>
            <w:tcW w:w="1559" w:type="dxa"/>
            <w:shd w:val="clear" w:color="auto" w:fill="FFFFFF" w:themeFill="background1"/>
            <w:vAlign w:val="center"/>
          </w:tcPr>
          <w:p w14:paraId="443D51E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40.29%</w:t>
            </w:r>
          </w:p>
        </w:tc>
        <w:tc>
          <w:tcPr>
            <w:tcW w:w="1103" w:type="dxa"/>
            <w:shd w:val="clear" w:color="auto" w:fill="FFFFFF" w:themeFill="background1"/>
            <w:vAlign w:val="center"/>
          </w:tcPr>
          <w:p w14:paraId="7F7AE4F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-11.82%</w:t>
            </w:r>
          </w:p>
        </w:tc>
      </w:tr>
      <w:tr w:rsidR="00632E5B" w14:paraId="19FDDA09" w14:textId="77777777" w:rsidTr="00015F25">
        <w:trPr>
          <w:trHeight w:val="240"/>
        </w:trPr>
        <w:tc>
          <w:tcPr>
            <w:tcW w:w="1874" w:type="dxa"/>
            <w:shd w:val="clear" w:color="auto" w:fill="FFFFFF" w:themeFill="background1"/>
            <w:vAlign w:val="center"/>
          </w:tcPr>
          <w:p w14:paraId="3F6C08C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光伏行业</w:t>
            </w:r>
          </w:p>
        </w:tc>
        <w:tc>
          <w:tcPr>
            <w:tcW w:w="1843" w:type="dxa"/>
            <w:shd w:val="clear" w:color="auto" w:fill="FFFFFF" w:themeFill="background1"/>
            <w:vAlign w:val="center"/>
          </w:tcPr>
          <w:p w14:paraId="2E98D84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803,951,690.05</w:t>
            </w:r>
          </w:p>
        </w:tc>
        <w:tc>
          <w:tcPr>
            <w:tcW w:w="1559" w:type="dxa"/>
            <w:shd w:val="clear" w:color="auto" w:fill="FFFFFF" w:themeFill="background1"/>
            <w:vAlign w:val="center"/>
          </w:tcPr>
          <w:p w14:paraId="38AE523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34.09%</w:t>
            </w:r>
          </w:p>
        </w:tc>
        <w:tc>
          <w:tcPr>
            <w:tcW w:w="1701" w:type="dxa"/>
            <w:shd w:val="clear" w:color="auto" w:fill="FFFFFF" w:themeFill="background1"/>
            <w:vAlign w:val="center"/>
          </w:tcPr>
          <w:p w14:paraId="1295F9A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2,029,138,803.01</w:t>
            </w:r>
          </w:p>
        </w:tc>
        <w:tc>
          <w:tcPr>
            <w:tcW w:w="1559" w:type="dxa"/>
            <w:shd w:val="clear" w:color="auto" w:fill="FFFFFF" w:themeFill="background1"/>
            <w:vAlign w:val="center"/>
          </w:tcPr>
          <w:p w14:paraId="1E9843E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50.09%</w:t>
            </w:r>
          </w:p>
        </w:tc>
        <w:tc>
          <w:tcPr>
            <w:tcW w:w="1103" w:type="dxa"/>
            <w:shd w:val="clear" w:color="auto" w:fill="FFFFFF" w:themeFill="background1"/>
            <w:vAlign w:val="center"/>
          </w:tcPr>
          <w:p w14:paraId="5272D26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-60.38%</w:t>
            </w:r>
          </w:p>
        </w:tc>
      </w:tr>
      <w:tr w:rsidR="00632E5B" w14:paraId="2D59B237" w14:textId="77777777" w:rsidTr="00015F25">
        <w:trPr>
          <w:trHeight w:val="240"/>
        </w:trPr>
        <w:tc>
          <w:tcPr>
            <w:tcW w:w="1874" w:type="dxa"/>
            <w:shd w:val="clear" w:color="auto" w:fill="FFFFFF" w:themeFill="background1"/>
            <w:vAlign w:val="center"/>
          </w:tcPr>
          <w:p w14:paraId="3AA25C5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光纤光棒行业</w:t>
            </w:r>
          </w:p>
        </w:tc>
        <w:tc>
          <w:tcPr>
            <w:tcW w:w="1843" w:type="dxa"/>
            <w:shd w:val="clear" w:color="auto" w:fill="FFFFFF" w:themeFill="background1"/>
            <w:vAlign w:val="center"/>
          </w:tcPr>
          <w:p w14:paraId="01BD63F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62,884,198.61</w:t>
            </w:r>
          </w:p>
        </w:tc>
        <w:tc>
          <w:tcPr>
            <w:tcW w:w="1559" w:type="dxa"/>
            <w:shd w:val="clear" w:color="auto" w:fill="FFFFFF" w:themeFill="background1"/>
            <w:vAlign w:val="center"/>
          </w:tcPr>
          <w:p w14:paraId="59B136A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2.67%</w:t>
            </w:r>
          </w:p>
        </w:tc>
        <w:tc>
          <w:tcPr>
            <w:tcW w:w="1701" w:type="dxa"/>
            <w:shd w:val="clear" w:color="auto" w:fill="FFFFFF" w:themeFill="background1"/>
            <w:vAlign w:val="center"/>
          </w:tcPr>
          <w:p w14:paraId="7E8A6D6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157,120,998.44</w:t>
            </w:r>
          </w:p>
        </w:tc>
        <w:tc>
          <w:tcPr>
            <w:tcW w:w="1559" w:type="dxa"/>
            <w:shd w:val="clear" w:color="auto" w:fill="FFFFFF" w:themeFill="background1"/>
            <w:vAlign w:val="center"/>
          </w:tcPr>
          <w:p w14:paraId="1F94C76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3.88%</w:t>
            </w:r>
          </w:p>
        </w:tc>
        <w:tc>
          <w:tcPr>
            <w:tcW w:w="1103" w:type="dxa"/>
            <w:shd w:val="clear" w:color="auto" w:fill="FFFFFF" w:themeFill="background1"/>
            <w:vAlign w:val="center"/>
          </w:tcPr>
          <w:p w14:paraId="29B2043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-59.98%</w:t>
            </w:r>
          </w:p>
        </w:tc>
      </w:tr>
      <w:tr w:rsidR="00632E5B" w14:paraId="31F18B2C" w14:textId="77777777" w:rsidTr="00015F25">
        <w:trPr>
          <w:trHeight w:val="240"/>
        </w:trPr>
        <w:tc>
          <w:tcPr>
            <w:tcW w:w="9639" w:type="dxa"/>
            <w:gridSpan w:val="6"/>
            <w:shd w:val="clear" w:color="auto" w:fill="FFFFFF" w:themeFill="background1"/>
            <w:vAlign w:val="center"/>
          </w:tcPr>
          <w:p w14:paraId="6516ACD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分产品</w:t>
            </w:r>
          </w:p>
        </w:tc>
      </w:tr>
      <w:tr w:rsidR="00632E5B" w14:paraId="5F4A821A" w14:textId="77777777" w:rsidTr="00015F25">
        <w:trPr>
          <w:trHeight w:val="240"/>
        </w:trPr>
        <w:tc>
          <w:tcPr>
            <w:tcW w:w="1874" w:type="dxa"/>
            <w:shd w:val="clear" w:color="auto" w:fill="FFFFFF" w:themeFill="background1"/>
            <w:vAlign w:val="center"/>
          </w:tcPr>
          <w:p w14:paraId="1A74F36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阻燃耐火软电缆</w:t>
            </w:r>
          </w:p>
        </w:tc>
        <w:tc>
          <w:tcPr>
            <w:tcW w:w="1843" w:type="dxa"/>
            <w:shd w:val="clear" w:color="auto" w:fill="FFFFFF" w:themeFill="background1"/>
            <w:vAlign w:val="center"/>
          </w:tcPr>
          <w:p w14:paraId="13A95BE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137,978,223.76</w:t>
            </w:r>
          </w:p>
        </w:tc>
        <w:tc>
          <w:tcPr>
            <w:tcW w:w="1559" w:type="dxa"/>
            <w:shd w:val="clear" w:color="auto" w:fill="FFFFFF" w:themeFill="background1"/>
            <w:vAlign w:val="center"/>
          </w:tcPr>
          <w:p w14:paraId="633879D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5.85%</w:t>
            </w:r>
          </w:p>
        </w:tc>
        <w:tc>
          <w:tcPr>
            <w:tcW w:w="1701" w:type="dxa"/>
            <w:shd w:val="clear" w:color="auto" w:fill="FFFFFF" w:themeFill="background1"/>
            <w:vAlign w:val="center"/>
          </w:tcPr>
          <w:p w14:paraId="08A66E9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326,427,453.80</w:t>
            </w:r>
          </w:p>
        </w:tc>
        <w:tc>
          <w:tcPr>
            <w:tcW w:w="1559" w:type="dxa"/>
            <w:shd w:val="clear" w:color="auto" w:fill="FFFFFF" w:themeFill="background1"/>
            <w:vAlign w:val="center"/>
          </w:tcPr>
          <w:p w14:paraId="73EE6A8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8.06%</w:t>
            </w:r>
          </w:p>
        </w:tc>
        <w:tc>
          <w:tcPr>
            <w:tcW w:w="1103" w:type="dxa"/>
            <w:shd w:val="clear" w:color="auto" w:fill="FFFFFF" w:themeFill="background1"/>
            <w:vAlign w:val="center"/>
          </w:tcPr>
          <w:p w14:paraId="1C78BF2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-57.73%</w:t>
            </w:r>
          </w:p>
        </w:tc>
      </w:tr>
      <w:tr w:rsidR="00632E5B" w14:paraId="43A7049C" w14:textId="77777777" w:rsidTr="00015F25">
        <w:trPr>
          <w:trHeight w:val="240"/>
        </w:trPr>
        <w:tc>
          <w:tcPr>
            <w:tcW w:w="1874" w:type="dxa"/>
            <w:shd w:val="clear" w:color="auto" w:fill="FFFFFF" w:themeFill="background1"/>
            <w:vAlign w:val="center"/>
          </w:tcPr>
          <w:p w14:paraId="486E031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金属导体（铜+铝杆+钢芯铝绞线）</w:t>
            </w:r>
          </w:p>
        </w:tc>
        <w:tc>
          <w:tcPr>
            <w:tcW w:w="1843" w:type="dxa"/>
            <w:shd w:val="clear" w:color="auto" w:fill="FFFFFF" w:themeFill="background1"/>
            <w:vAlign w:val="center"/>
          </w:tcPr>
          <w:p w14:paraId="3F79C64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3,675,097.40</w:t>
            </w:r>
          </w:p>
        </w:tc>
        <w:tc>
          <w:tcPr>
            <w:tcW w:w="1559" w:type="dxa"/>
            <w:shd w:val="clear" w:color="auto" w:fill="FFFFFF" w:themeFill="background1"/>
            <w:vAlign w:val="center"/>
          </w:tcPr>
          <w:p w14:paraId="3DB75BD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0.16%</w:t>
            </w:r>
          </w:p>
        </w:tc>
        <w:tc>
          <w:tcPr>
            <w:tcW w:w="1701" w:type="dxa"/>
            <w:shd w:val="clear" w:color="auto" w:fill="FFFFFF" w:themeFill="background1"/>
            <w:vAlign w:val="center"/>
          </w:tcPr>
          <w:p w14:paraId="3E4C2C9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27,897,455.46</w:t>
            </w:r>
          </w:p>
        </w:tc>
        <w:tc>
          <w:tcPr>
            <w:tcW w:w="1559" w:type="dxa"/>
            <w:shd w:val="clear" w:color="auto" w:fill="FFFFFF" w:themeFill="background1"/>
            <w:vAlign w:val="center"/>
          </w:tcPr>
          <w:p w14:paraId="0B5767A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0.69%</w:t>
            </w:r>
          </w:p>
        </w:tc>
        <w:tc>
          <w:tcPr>
            <w:tcW w:w="1103" w:type="dxa"/>
            <w:shd w:val="clear" w:color="auto" w:fill="FFFFFF" w:themeFill="background1"/>
            <w:vAlign w:val="center"/>
          </w:tcPr>
          <w:p w14:paraId="332F965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-86.83%</w:t>
            </w:r>
          </w:p>
        </w:tc>
      </w:tr>
      <w:tr w:rsidR="00632E5B" w14:paraId="4D211CC5" w14:textId="77777777" w:rsidTr="00015F25">
        <w:trPr>
          <w:trHeight w:val="240"/>
        </w:trPr>
        <w:tc>
          <w:tcPr>
            <w:tcW w:w="1874" w:type="dxa"/>
            <w:shd w:val="clear" w:color="auto" w:fill="FFFFFF" w:themeFill="background1"/>
            <w:vAlign w:val="center"/>
          </w:tcPr>
          <w:p w14:paraId="7968A45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电缆料</w:t>
            </w:r>
          </w:p>
        </w:tc>
        <w:tc>
          <w:tcPr>
            <w:tcW w:w="1843" w:type="dxa"/>
            <w:shd w:val="clear" w:color="auto" w:fill="FFFFFF" w:themeFill="background1"/>
            <w:vAlign w:val="center"/>
          </w:tcPr>
          <w:p w14:paraId="3E74BAD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265,220,832.59</w:t>
            </w:r>
          </w:p>
        </w:tc>
        <w:tc>
          <w:tcPr>
            <w:tcW w:w="1559" w:type="dxa"/>
            <w:shd w:val="clear" w:color="auto" w:fill="FFFFFF" w:themeFill="background1"/>
            <w:vAlign w:val="center"/>
          </w:tcPr>
          <w:p w14:paraId="1F3107C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11.25%</w:t>
            </w:r>
          </w:p>
        </w:tc>
        <w:tc>
          <w:tcPr>
            <w:tcW w:w="1701" w:type="dxa"/>
            <w:shd w:val="clear" w:color="auto" w:fill="FFFFFF" w:themeFill="background1"/>
            <w:vAlign w:val="center"/>
          </w:tcPr>
          <w:p w14:paraId="3703205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431,071,422.91</w:t>
            </w:r>
          </w:p>
        </w:tc>
        <w:tc>
          <w:tcPr>
            <w:tcW w:w="1559" w:type="dxa"/>
            <w:shd w:val="clear" w:color="auto" w:fill="FFFFFF" w:themeFill="background1"/>
            <w:vAlign w:val="center"/>
          </w:tcPr>
          <w:p w14:paraId="0DFBE64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10.64%</w:t>
            </w:r>
          </w:p>
        </w:tc>
        <w:tc>
          <w:tcPr>
            <w:tcW w:w="1103" w:type="dxa"/>
            <w:shd w:val="clear" w:color="auto" w:fill="FFFFFF" w:themeFill="background1"/>
            <w:vAlign w:val="center"/>
          </w:tcPr>
          <w:p w14:paraId="13BCCD6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-38.47%</w:t>
            </w:r>
          </w:p>
        </w:tc>
      </w:tr>
      <w:tr w:rsidR="00632E5B" w14:paraId="2E8A75EE" w14:textId="77777777" w:rsidTr="00015F25">
        <w:trPr>
          <w:trHeight w:val="240"/>
        </w:trPr>
        <w:tc>
          <w:tcPr>
            <w:tcW w:w="1874" w:type="dxa"/>
            <w:shd w:val="clear" w:color="auto" w:fill="FFFFFF" w:themeFill="background1"/>
            <w:vAlign w:val="center"/>
          </w:tcPr>
          <w:p w14:paraId="0A59936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船用电缆</w:t>
            </w:r>
          </w:p>
        </w:tc>
        <w:tc>
          <w:tcPr>
            <w:tcW w:w="1843" w:type="dxa"/>
            <w:shd w:val="clear" w:color="auto" w:fill="FFFFFF" w:themeFill="background1"/>
            <w:vAlign w:val="center"/>
          </w:tcPr>
          <w:p w14:paraId="2979789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463,210,328.75</w:t>
            </w:r>
          </w:p>
        </w:tc>
        <w:tc>
          <w:tcPr>
            <w:tcW w:w="1559" w:type="dxa"/>
            <w:shd w:val="clear" w:color="auto" w:fill="FFFFFF" w:themeFill="background1"/>
            <w:vAlign w:val="center"/>
          </w:tcPr>
          <w:p w14:paraId="34150BD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19.64%</w:t>
            </w:r>
          </w:p>
        </w:tc>
        <w:tc>
          <w:tcPr>
            <w:tcW w:w="1701" w:type="dxa"/>
            <w:shd w:val="clear" w:color="auto" w:fill="FFFFFF" w:themeFill="background1"/>
            <w:vAlign w:val="center"/>
          </w:tcPr>
          <w:p w14:paraId="2673BA5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498,317,520.37</w:t>
            </w:r>
          </w:p>
        </w:tc>
        <w:tc>
          <w:tcPr>
            <w:tcW w:w="1559" w:type="dxa"/>
            <w:shd w:val="clear" w:color="auto" w:fill="FFFFFF" w:themeFill="background1"/>
            <w:vAlign w:val="center"/>
          </w:tcPr>
          <w:p w14:paraId="40BFFB1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12.30%</w:t>
            </w:r>
          </w:p>
        </w:tc>
        <w:tc>
          <w:tcPr>
            <w:tcW w:w="1103" w:type="dxa"/>
            <w:shd w:val="clear" w:color="auto" w:fill="FFFFFF" w:themeFill="background1"/>
            <w:vAlign w:val="center"/>
          </w:tcPr>
          <w:p w14:paraId="20105B4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-7.05%</w:t>
            </w:r>
          </w:p>
        </w:tc>
      </w:tr>
      <w:tr w:rsidR="00632E5B" w14:paraId="582608FE" w14:textId="77777777" w:rsidTr="00015F25">
        <w:trPr>
          <w:trHeight w:val="240"/>
        </w:trPr>
        <w:tc>
          <w:tcPr>
            <w:tcW w:w="1874" w:type="dxa"/>
            <w:shd w:val="clear" w:color="auto" w:fill="FFFFFF" w:themeFill="background1"/>
            <w:vAlign w:val="center"/>
          </w:tcPr>
          <w:p w14:paraId="10DAFBB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光缆及其他电缆</w:t>
            </w:r>
          </w:p>
        </w:tc>
        <w:tc>
          <w:tcPr>
            <w:tcW w:w="1843" w:type="dxa"/>
            <w:shd w:val="clear" w:color="auto" w:fill="FFFFFF" w:themeFill="background1"/>
            <w:vAlign w:val="center"/>
          </w:tcPr>
          <w:p w14:paraId="3BF73D3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605,799,911.18</w:t>
            </w:r>
          </w:p>
        </w:tc>
        <w:tc>
          <w:tcPr>
            <w:tcW w:w="1559" w:type="dxa"/>
            <w:shd w:val="clear" w:color="auto" w:fill="FFFFFF" w:themeFill="background1"/>
            <w:vAlign w:val="center"/>
          </w:tcPr>
          <w:p w14:paraId="16F39D5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25.69%</w:t>
            </w:r>
          </w:p>
        </w:tc>
        <w:tc>
          <w:tcPr>
            <w:tcW w:w="1701" w:type="dxa"/>
            <w:shd w:val="clear" w:color="auto" w:fill="FFFFFF" w:themeFill="background1"/>
            <w:vAlign w:val="center"/>
          </w:tcPr>
          <w:p w14:paraId="1AE7642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543,394,320.87</w:t>
            </w:r>
          </w:p>
        </w:tc>
        <w:tc>
          <w:tcPr>
            <w:tcW w:w="1559" w:type="dxa"/>
            <w:shd w:val="clear" w:color="auto" w:fill="FFFFFF" w:themeFill="background1"/>
            <w:vAlign w:val="center"/>
          </w:tcPr>
          <w:p w14:paraId="39F9EE5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13.41%</w:t>
            </w:r>
          </w:p>
        </w:tc>
        <w:tc>
          <w:tcPr>
            <w:tcW w:w="1103" w:type="dxa"/>
            <w:shd w:val="clear" w:color="auto" w:fill="FFFFFF" w:themeFill="background1"/>
            <w:vAlign w:val="center"/>
          </w:tcPr>
          <w:p w14:paraId="4438F54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11.48%</w:t>
            </w:r>
          </w:p>
        </w:tc>
      </w:tr>
      <w:tr w:rsidR="00632E5B" w14:paraId="630A0D7F" w14:textId="77777777" w:rsidTr="00015F25">
        <w:trPr>
          <w:trHeight w:val="240"/>
        </w:trPr>
        <w:tc>
          <w:tcPr>
            <w:tcW w:w="1874" w:type="dxa"/>
            <w:shd w:val="clear" w:color="auto" w:fill="FFFFFF" w:themeFill="background1"/>
            <w:vAlign w:val="center"/>
          </w:tcPr>
          <w:p w14:paraId="4633E99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光纤及光棒</w:t>
            </w:r>
          </w:p>
        </w:tc>
        <w:tc>
          <w:tcPr>
            <w:tcW w:w="1843" w:type="dxa"/>
            <w:shd w:val="clear" w:color="auto" w:fill="FFFFFF" w:themeFill="background1"/>
            <w:vAlign w:val="center"/>
          </w:tcPr>
          <w:p w14:paraId="50942BB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60,871,974.11</w:t>
            </w:r>
          </w:p>
        </w:tc>
        <w:tc>
          <w:tcPr>
            <w:tcW w:w="1559" w:type="dxa"/>
            <w:shd w:val="clear" w:color="auto" w:fill="FFFFFF" w:themeFill="background1"/>
            <w:vAlign w:val="center"/>
          </w:tcPr>
          <w:p w14:paraId="5F5E666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2.58%</w:t>
            </w:r>
          </w:p>
        </w:tc>
        <w:tc>
          <w:tcPr>
            <w:tcW w:w="1701" w:type="dxa"/>
            <w:shd w:val="clear" w:color="auto" w:fill="FFFFFF" w:themeFill="background1"/>
            <w:vAlign w:val="center"/>
          </w:tcPr>
          <w:p w14:paraId="438C0DA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152,874,702.00</w:t>
            </w:r>
          </w:p>
        </w:tc>
        <w:tc>
          <w:tcPr>
            <w:tcW w:w="1559" w:type="dxa"/>
            <w:shd w:val="clear" w:color="auto" w:fill="FFFFFF" w:themeFill="background1"/>
            <w:vAlign w:val="center"/>
          </w:tcPr>
          <w:p w14:paraId="6EF3D5D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3.77%</w:t>
            </w:r>
          </w:p>
        </w:tc>
        <w:tc>
          <w:tcPr>
            <w:tcW w:w="1103" w:type="dxa"/>
            <w:shd w:val="clear" w:color="auto" w:fill="FFFFFF" w:themeFill="background1"/>
            <w:vAlign w:val="center"/>
          </w:tcPr>
          <w:p w14:paraId="1B60939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-60.18%</w:t>
            </w:r>
          </w:p>
        </w:tc>
      </w:tr>
      <w:tr w:rsidR="00632E5B" w14:paraId="5311A8C7" w14:textId="77777777" w:rsidTr="00015F25">
        <w:trPr>
          <w:trHeight w:val="240"/>
        </w:trPr>
        <w:tc>
          <w:tcPr>
            <w:tcW w:w="1874" w:type="dxa"/>
            <w:shd w:val="clear" w:color="auto" w:fill="FFFFFF" w:themeFill="background1"/>
            <w:vAlign w:val="center"/>
          </w:tcPr>
          <w:p w14:paraId="13B4A99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光伏组件及电池片</w:t>
            </w:r>
          </w:p>
        </w:tc>
        <w:tc>
          <w:tcPr>
            <w:tcW w:w="1843" w:type="dxa"/>
            <w:shd w:val="clear" w:color="auto" w:fill="FFFFFF" w:themeFill="background1"/>
            <w:vAlign w:val="center"/>
          </w:tcPr>
          <w:p w14:paraId="14DAC14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757,157,266.06</w:t>
            </w:r>
          </w:p>
        </w:tc>
        <w:tc>
          <w:tcPr>
            <w:tcW w:w="1559" w:type="dxa"/>
            <w:shd w:val="clear" w:color="auto" w:fill="FFFFFF" w:themeFill="background1"/>
            <w:vAlign w:val="center"/>
          </w:tcPr>
          <w:p w14:paraId="273575D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32.11%</w:t>
            </w:r>
          </w:p>
        </w:tc>
        <w:tc>
          <w:tcPr>
            <w:tcW w:w="1701" w:type="dxa"/>
            <w:shd w:val="clear" w:color="auto" w:fill="FFFFFF" w:themeFill="background1"/>
            <w:vAlign w:val="center"/>
          </w:tcPr>
          <w:p w14:paraId="48F6AA0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1,928,224,683.70</w:t>
            </w:r>
          </w:p>
        </w:tc>
        <w:tc>
          <w:tcPr>
            <w:tcW w:w="1559" w:type="dxa"/>
            <w:shd w:val="clear" w:color="auto" w:fill="FFFFFF" w:themeFill="background1"/>
            <w:vAlign w:val="center"/>
          </w:tcPr>
          <w:p w14:paraId="39E577C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47.60%</w:t>
            </w:r>
          </w:p>
        </w:tc>
        <w:tc>
          <w:tcPr>
            <w:tcW w:w="1103" w:type="dxa"/>
            <w:shd w:val="clear" w:color="auto" w:fill="FFFFFF" w:themeFill="background1"/>
            <w:vAlign w:val="center"/>
          </w:tcPr>
          <w:p w14:paraId="332FFD3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-60.73%</w:t>
            </w:r>
          </w:p>
        </w:tc>
      </w:tr>
      <w:tr w:rsidR="00632E5B" w14:paraId="4204AC30" w14:textId="77777777" w:rsidTr="00015F25">
        <w:trPr>
          <w:trHeight w:val="240"/>
        </w:trPr>
        <w:tc>
          <w:tcPr>
            <w:tcW w:w="1874" w:type="dxa"/>
            <w:shd w:val="clear" w:color="auto" w:fill="FFFFFF" w:themeFill="background1"/>
            <w:vAlign w:val="center"/>
          </w:tcPr>
          <w:p w14:paraId="6784C1E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光伏电站</w:t>
            </w:r>
          </w:p>
        </w:tc>
        <w:tc>
          <w:tcPr>
            <w:tcW w:w="1843" w:type="dxa"/>
            <w:shd w:val="clear" w:color="auto" w:fill="FFFFFF" w:themeFill="background1"/>
            <w:vAlign w:val="center"/>
          </w:tcPr>
          <w:p w14:paraId="6B10363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4,403,898.97</w:t>
            </w:r>
          </w:p>
        </w:tc>
        <w:tc>
          <w:tcPr>
            <w:tcW w:w="1559" w:type="dxa"/>
            <w:shd w:val="clear" w:color="auto" w:fill="FFFFFF" w:themeFill="background1"/>
            <w:vAlign w:val="center"/>
          </w:tcPr>
          <w:p w14:paraId="67FD317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0.19%</w:t>
            </w:r>
          </w:p>
        </w:tc>
        <w:tc>
          <w:tcPr>
            <w:tcW w:w="1701" w:type="dxa"/>
            <w:shd w:val="clear" w:color="auto" w:fill="FFFFFF" w:themeFill="background1"/>
            <w:vAlign w:val="center"/>
          </w:tcPr>
          <w:p w14:paraId="775EF5A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28,816,616.13</w:t>
            </w:r>
          </w:p>
        </w:tc>
        <w:tc>
          <w:tcPr>
            <w:tcW w:w="1559" w:type="dxa"/>
            <w:shd w:val="clear" w:color="auto" w:fill="FFFFFF" w:themeFill="background1"/>
            <w:vAlign w:val="center"/>
          </w:tcPr>
          <w:p w14:paraId="1102B83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0.71%</w:t>
            </w:r>
          </w:p>
        </w:tc>
        <w:tc>
          <w:tcPr>
            <w:tcW w:w="1103" w:type="dxa"/>
            <w:shd w:val="clear" w:color="auto" w:fill="FFFFFF" w:themeFill="background1"/>
            <w:vAlign w:val="center"/>
          </w:tcPr>
          <w:p w14:paraId="3062312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-84.72%</w:t>
            </w:r>
          </w:p>
        </w:tc>
      </w:tr>
      <w:tr w:rsidR="00632E5B" w14:paraId="486C9E34" w14:textId="77777777" w:rsidTr="00015F25">
        <w:trPr>
          <w:trHeight w:val="240"/>
        </w:trPr>
        <w:tc>
          <w:tcPr>
            <w:tcW w:w="1874" w:type="dxa"/>
            <w:shd w:val="clear" w:color="auto" w:fill="FFFFFF" w:themeFill="background1"/>
            <w:vAlign w:val="center"/>
          </w:tcPr>
          <w:p w14:paraId="484E936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光伏发电</w:t>
            </w:r>
          </w:p>
        </w:tc>
        <w:tc>
          <w:tcPr>
            <w:tcW w:w="1843" w:type="dxa"/>
            <w:shd w:val="clear" w:color="auto" w:fill="FFFFFF" w:themeFill="background1"/>
            <w:vAlign w:val="center"/>
          </w:tcPr>
          <w:p w14:paraId="097A2B8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24,350,254.81</w:t>
            </w:r>
          </w:p>
        </w:tc>
        <w:tc>
          <w:tcPr>
            <w:tcW w:w="1559" w:type="dxa"/>
            <w:shd w:val="clear" w:color="auto" w:fill="FFFFFF" w:themeFill="background1"/>
            <w:vAlign w:val="center"/>
          </w:tcPr>
          <w:p w14:paraId="2EE430E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1.03%</w:t>
            </w:r>
          </w:p>
        </w:tc>
        <w:tc>
          <w:tcPr>
            <w:tcW w:w="1701" w:type="dxa"/>
            <w:shd w:val="clear" w:color="auto" w:fill="FFFFFF" w:themeFill="background1"/>
            <w:vAlign w:val="center"/>
          </w:tcPr>
          <w:p w14:paraId="033518D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50,525,902.15</w:t>
            </w:r>
          </w:p>
        </w:tc>
        <w:tc>
          <w:tcPr>
            <w:tcW w:w="1559" w:type="dxa"/>
            <w:shd w:val="clear" w:color="auto" w:fill="FFFFFF" w:themeFill="background1"/>
            <w:vAlign w:val="center"/>
          </w:tcPr>
          <w:p w14:paraId="27069A7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1.25%</w:t>
            </w:r>
          </w:p>
        </w:tc>
        <w:tc>
          <w:tcPr>
            <w:tcW w:w="1103" w:type="dxa"/>
            <w:shd w:val="clear" w:color="auto" w:fill="FFFFFF" w:themeFill="background1"/>
            <w:vAlign w:val="center"/>
          </w:tcPr>
          <w:p w14:paraId="435FAC9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-51.81%</w:t>
            </w:r>
          </w:p>
        </w:tc>
      </w:tr>
      <w:tr w:rsidR="00632E5B" w14:paraId="01FCEA07" w14:textId="77777777" w:rsidTr="00015F25">
        <w:trPr>
          <w:trHeight w:val="240"/>
        </w:trPr>
        <w:tc>
          <w:tcPr>
            <w:tcW w:w="1874" w:type="dxa"/>
            <w:shd w:val="clear" w:color="auto" w:fill="FFFFFF" w:themeFill="background1"/>
            <w:vAlign w:val="center"/>
          </w:tcPr>
          <w:p w14:paraId="09FE151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电站运营维护及其他</w:t>
            </w:r>
          </w:p>
        </w:tc>
        <w:tc>
          <w:tcPr>
            <w:tcW w:w="1843" w:type="dxa"/>
            <w:shd w:val="clear" w:color="auto" w:fill="FFFFFF" w:themeFill="background1"/>
            <w:vAlign w:val="center"/>
          </w:tcPr>
          <w:p w14:paraId="737B27C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17,757,813.61</w:t>
            </w:r>
          </w:p>
        </w:tc>
        <w:tc>
          <w:tcPr>
            <w:tcW w:w="1559" w:type="dxa"/>
            <w:shd w:val="clear" w:color="auto" w:fill="FFFFFF" w:themeFill="background1"/>
            <w:vAlign w:val="center"/>
          </w:tcPr>
          <w:p w14:paraId="56B11D9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0.75%</w:t>
            </w:r>
          </w:p>
        </w:tc>
        <w:tc>
          <w:tcPr>
            <w:tcW w:w="1701" w:type="dxa"/>
            <w:shd w:val="clear" w:color="auto" w:fill="FFFFFF" w:themeFill="background1"/>
            <w:vAlign w:val="center"/>
          </w:tcPr>
          <w:p w14:paraId="63C9C54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29,222,613.92</w:t>
            </w:r>
          </w:p>
        </w:tc>
        <w:tc>
          <w:tcPr>
            <w:tcW w:w="1559" w:type="dxa"/>
            <w:shd w:val="clear" w:color="auto" w:fill="FFFFFF" w:themeFill="background1"/>
            <w:vAlign w:val="center"/>
          </w:tcPr>
          <w:p w14:paraId="4EA3472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0.72%</w:t>
            </w:r>
          </w:p>
        </w:tc>
        <w:tc>
          <w:tcPr>
            <w:tcW w:w="1103" w:type="dxa"/>
            <w:shd w:val="clear" w:color="auto" w:fill="FFFFFF" w:themeFill="background1"/>
            <w:vAlign w:val="center"/>
          </w:tcPr>
          <w:p w14:paraId="68EDB31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-39.23%</w:t>
            </w:r>
          </w:p>
        </w:tc>
      </w:tr>
      <w:tr w:rsidR="00632E5B" w14:paraId="297472FF" w14:textId="77777777" w:rsidTr="00015F25">
        <w:trPr>
          <w:trHeight w:val="240"/>
        </w:trPr>
        <w:tc>
          <w:tcPr>
            <w:tcW w:w="1874" w:type="dxa"/>
            <w:shd w:val="clear" w:color="auto" w:fill="FFFFFF" w:themeFill="background1"/>
            <w:vAlign w:val="center"/>
          </w:tcPr>
          <w:p w14:paraId="5EAAD28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材料及租金</w:t>
            </w:r>
          </w:p>
        </w:tc>
        <w:tc>
          <w:tcPr>
            <w:tcW w:w="1843" w:type="dxa"/>
            <w:shd w:val="clear" w:color="auto" w:fill="FFFFFF" w:themeFill="background1"/>
            <w:vAlign w:val="center"/>
          </w:tcPr>
          <w:p w14:paraId="5A5A6F0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17,554,146.32</w:t>
            </w:r>
          </w:p>
        </w:tc>
        <w:tc>
          <w:tcPr>
            <w:tcW w:w="1559" w:type="dxa"/>
            <w:shd w:val="clear" w:color="auto" w:fill="FFFFFF" w:themeFill="background1"/>
            <w:vAlign w:val="center"/>
          </w:tcPr>
          <w:p w14:paraId="5A62AAB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0.74%</w:t>
            </w:r>
          </w:p>
        </w:tc>
        <w:tc>
          <w:tcPr>
            <w:tcW w:w="1701" w:type="dxa"/>
            <w:shd w:val="clear" w:color="auto" w:fill="FFFFFF" w:themeFill="background1"/>
            <w:vAlign w:val="center"/>
          </w:tcPr>
          <w:p w14:paraId="163D529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34,511,044.72</w:t>
            </w:r>
          </w:p>
        </w:tc>
        <w:tc>
          <w:tcPr>
            <w:tcW w:w="1559" w:type="dxa"/>
            <w:shd w:val="clear" w:color="auto" w:fill="FFFFFF" w:themeFill="background1"/>
            <w:vAlign w:val="center"/>
          </w:tcPr>
          <w:p w14:paraId="4996C96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0.85%</w:t>
            </w:r>
          </w:p>
        </w:tc>
        <w:tc>
          <w:tcPr>
            <w:tcW w:w="1103" w:type="dxa"/>
            <w:shd w:val="clear" w:color="auto" w:fill="FFFFFF" w:themeFill="background1"/>
            <w:vAlign w:val="center"/>
          </w:tcPr>
          <w:p w14:paraId="38B8ED4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-49.13%</w:t>
            </w:r>
          </w:p>
        </w:tc>
      </w:tr>
      <w:tr w:rsidR="00632E5B" w14:paraId="2397EC83" w14:textId="77777777" w:rsidTr="00015F25">
        <w:trPr>
          <w:trHeight w:val="240"/>
        </w:trPr>
        <w:tc>
          <w:tcPr>
            <w:tcW w:w="9639" w:type="dxa"/>
            <w:gridSpan w:val="6"/>
            <w:shd w:val="clear" w:color="auto" w:fill="FFFFFF" w:themeFill="background1"/>
            <w:vAlign w:val="center"/>
          </w:tcPr>
          <w:p w14:paraId="736C7A2C"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分地区</w:t>
            </w:r>
          </w:p>
        </w:tc>
      </w:tr>
      <w:tr w:rsidR="00632E5B" w14:paraId="7F06FFF8" w14:textId="77777777" w:rsidTr="00015F25">
        <w:trPr>
          <w:trHeight w:val="240"/>
        </w:trPr>
        <w:tc>
          <w:tcPr>
            <w:tcW w:w="1874" w:type="dxa"/>
            <w:shd w:val="clear" w:color="auto" w:fill="FFFFFF" w:themeFill="background1"/>
            <w:vAlign w:val="center"/>
          </w:tcPr>
          <w:p w14:paraId="1659214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东北地区</w:t>
            </w:r>
          </w:p>
        </w:tc>
        <w:tc>
          <w:tcPr>
            <w:tcW w:w="1843" w:type="dxa"/>
            <w:shd w:val="clear" w:color="auto" w:fill="FFFFFF" w:themeFill="background1"/>
            <w:vAlign w:val="center"/>
          </w:tcPr>
          <w:p w14:paraId="745D6EE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85,440,575.66</w:t>
            </w:r>
          </w:p>
        </w:tc>
        <w:tc>
          <w:tcPr>
            <w:tcW w:w="1559" w:type="dxa"/>
            <w:shd w:val="clear" w:color="auto" w:fill="FFFFFF" w:themeFill="background1"/>
            <w:vAlign w:val="center"/>
          </w:tcPr>
          <w:p w14:paraId="3F74D89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3.62%</w:t>
            </w:r>
          </w:p>
        </w:tc>
        <w:tc>
          <w:tcPr>
            <w:tcW w:w="1701" w:type="dxa"/>
            <w:shd w:val="clear" w:color="auto" w:fill="FFFFFF" w:themeFill="background1"/>
            <w:vAlign w:val="center"/>
          </w:tcPr>
          <w:p w14:paraId="00A684C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109,399,736.26</w:t>
            </w:r>
          </w:p>
        </w:tc>
        <w:tc>
          <w:tcPr>
            <w:tcW w:w="1559" w:type="dxa"/>
            <w:shd w:val="clear" w:color="auto" w:fill="FFFFFF" w:themeFill="background1"/>
            <w:vAlign w:val="center"/>
          </w:tcPr>
          <w:p w14:paraId="0F41AC2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2.70%</w:t>
            </w:r>
          </w:p>
        </w:tc>
        <w:tc>
          <w:tcPr>
            <w:tcW w:w="1103" w:type="dxa"/>
            <w:shd w:val="clear" w:color="auto" w:fill="FFFFFF" w:themeFill="background1"/>
            <w:vAlign w:val="center"/>
          </w:tcPr>
          <w:p w14:paraId="65761B6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-21.90%</w:t>
            </w:r>
          </w:p>
        </w:tc>
      </w:tr>
      <w:tr w:rsidR="00632E5B" w14:paraId="1B3E9571" w14:textId="77777777" w:rsidTr="00015F25">
        <w:trPr>
          <w:trHeight w:val="240"/>
        </w:trPr>
        <w:tc>
          <w:tcPr>
            <w:tcW w:w="1874" w:type="dxa"/>
            <w:shd w:val="clear" w:color="auto" w:fill="FFFFFF" w:themeFill="background1"/>
            <w:vAlign w:val="center"/>
          </w:tcPr>
          <w:p w14:paraId="4A96CDA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华北地区</w:t>
            </w:r>
          </w:p>
        </w:tc>
        <w:tc>
          <w:tcPr>
            <w:tcW w:w="1843" w:type="dxa"/>
            <w:shd w:val="clear" w:color="auto" w:fill="FFFFFF" w:themeFill="background1"/>
            <w:vAlign w:val="center"/>
          </w:tcPr>
          <w:p w14:paraId="165D0DA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78,436,760.75</w:t>
            </w:r>
          </w:p>
        </w:tc>
        <w:tc>
          <w:tcPr>
            <w:tcW w:w="1559" w:type="dxa"/>
            <w:shd w:val="clear" w:color="auto" w:fill="FFFFFF" w:themeFill="background1"/>
            <w:vAlign w:val="center"/>
          </w:tcPr>
          <w:p w14:paraId="0AE0EB0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3.33%</w:t>
            </w:r>
          </w:p>
        </w:tc>
        <w:tc>
          <w:tcPr>
            <w:tcW w:w="1701" w:type="dxa"/>
            <w:shd w:val="clear" w:color="auto" w:fill="FFFFFF" w:themeFill="background1"/>
            <w:vAlign w:val="center"/>
          </w:tcPr>
          <w:p w14:paraId="71A42F1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266,377,320.15</w:t>
            </w:r>
          </w:p>
        </w:tc>
        <w:tc>
          <w:tcPr>
            <w:tcW w:w="1559" w:type="dxa"/>
            <w:shd w:val="clear" w:color="auto" w:fill="FFFFFF" w:themeFill="background1"/>
            <w:vAlign w:val="center"/>
          </w:tcPr>
          <w:p w14:paraId="42AFB29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6.58%</w:t>
            </w:r>
          </w:p>
        </w:tc>
        <w:tc>
          <w:tcPr>
            <w:tcW w:w="1103" w:type="dxa"/>
            <w:shd w:val="clear" w:color="auto" w:fill="FFFFFF" w:themeFill="background1"/>
            <w:vAlign w:val="center"/>
          </w:tcPr>
          <w:p w14:paraId="696322E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-70.55%</w:t>
            </w:r>
          </w:p>
        </w:tc>
      </w:tr>
      <w:tr w:rsidR="00632E5B" w14:paraId="63877D38" w14:textId="77777777" w:rsidTr="00015F25">
        <w:trPr>
          <w:trHeight w:val="240"/>
        </w:trPr>
        <w:tc>
          <w:tcPr>
            <w:tcW w:w="1874" w:type="dxa"/>
            <w:shd w:val="clear" w:color="auto" w:fill="FFFFFF" w:themeFill="background1"/>
            <w:vAlign w:val="center"/>
          </w:tcPr>
          <w:p w14:paraId="4AF7D94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华东地区</w:t>
            </w:r>
          </w:p>
        </w:tc>
        <w:tc>
          <w:tcPr>
            <w:tcW w:w="1843" w:type="dxa"/>
            <w:shd w:val="clear" w:color="auto" w:fill="FFFFFF" w:themeFill="background1"/>
            <w:vAlign w:val="center"/>
          </w:tcPr>
          <w:p w14:paraId="21567E3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846,081,909.24</w:t>
            </w:r>
          </w:p>
        </w:tc>
        <w:tc>
          <w:tcPr>
            <w:tcW w:w="1559" w:type="dxa"/>
            <w:shd w:val="clear" w:color="auto" w:fill="FFFFFF" w:themeFill="background1"/>
            <w:vAlign w:val="center"/>
          </w:tcPr>
          <w:p w14:paraId="0E34B12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35.88%</w:t>
            </w:r>
          </w:p>
        </w:tc>
        <w:tc>
          <w:tcPr>
            <w:tcW w:w="1701" w:type="dxa"/>
            <w:shd w:val="clear" w:color="auto" w:fill="FFFFFF" w:themeFill="background1"/>
            <w:vAlign w:val="center"/>
          </w:tcPr>
          <w:p w14:paraId="167D600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1,370,755,971.85</w:t>
            </w:r>
          </w:p>
        </w:tc>
        <w:tc>
          <w:tcPr>
            <w:tcW w:w="1559" w:type="dxa"/>
            <w:shd w:val="clear" w:color="auto" w:fill="FFFFFF" w:themeFill="background1"/>
            <w:vAlign w:val="center"/>
          </w:tcPr>
          <w:p w14:paraId="62DA39E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33.84%</w:t>
            </w:r>
          </w:p>
        </w:tc>
        <w:tc>
          <w:tcPr>
            <w:tcW w:w="1103" w:type="dxa"/>
            <w:shd w:val="clear" w:color="auto" w:fill="FFFFFF" w:themeFill="background1"/>
            <w:vAlign w:val="center"/>
          </w:tcPr>
          <w:p w14:paraId="68ECE7D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-38.28%</w:t>
            </w:r>
          </w:p>
        </w:tc>
      </w:tr>
      <w:tr w:rsidR="00632E5B" w14:paraId="5FE6079C" w14:textId="77777777" w:rsidTr="00015F25">
        <w:trPr>
          <w:trHeight w:val="240"/>
        </w:trPr>
        <w:tc>
          <w:tcPr>
            <w:tcW w:w="1874" w:type="dxa"/>
            <w:shd w:val="clear" w:color="auto" w:fill="FFFFFF" w:themeFill="background1"/>
            <w:vAlign w:val="center"/>
          </w:tcPr>
          <w:p w14:paraId="5FDBC42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华南地区</w:t>
            </w:r>
          </w:p>
        </w:tc>
        <w:tc>
          <w:tcPr>
            <w:tcW w:w="1843" w:type="dxa"/>
            <w:shd w:val="clear" w:color="auto" w:fill="FFFFFF" w:themeFill="background1"/>
            <w:vAlign w:val="center"/>
          </w:tcPr>
          <w:p w14:paraId="0D01F5B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83,764,021.50</w:t>
            </w:r>
          </w:p>
        </w:tc>
        <w:tc>
          <w:tcPr>
            <w:tcW w:w="1559" w:type="dxa"/>
            <w:shd w:val="clear" w:color="auto" w:fill="FFFFFF" w:themeFill="background1"/>
            <w:vAlign w:val="center"/>
          </w:tcPr>
          <w:p w14:paraId="1F3B977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3.55%</w:t>
            </w:r>
          </w:p>
        </w:tc>
        <w:tc>
          <w:tcPr>
            <w:tcW w:w="1701" w:type="dxa"/>
            <w:shd w:val="clear" w:color="auto" w:fill="FFFFFF" w:themeFill="background1"/>
            <w:vAlign w:val="center"/>
          </w:tcPr>
          <w:p w14:paraId="4C2E75F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120,508,013.15</w:t>
            </w:r>
          </w:p>
        </w:tc>
        <w:tc>
          <w:tcPr>
            <w:tcW w:w="1559" w:type="dxa"/>
            <w:shd w:val="clear" w:color="auto" w:fill="FFFFFF" w:themeFill="background1"/>
            <w:vAlign w:val="center"/>
          </w:tcPr>
          <w:p w14:paraId="2D7148D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2.97%</w:t>
            </w:r>
          </w:p>
        </w:tc>
        <w:tc>
          <w:tcPr>
            <w:tcW w:w="1103" w:type="dxa"/>
            <w:shd w:val="clear" w:color="auto" w:fill="FFFFFF" w:themeFill="background1"/>
            <w:vAlign w:val="center"/>
          </w:tcPr>
          <w:p w14:paraId="6E05644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-30.49%</w:t>
            </w:r>
          </w:p>
        </w:tc>
      </w:tr>
      <w:tr w:rsidR="00632E5B" w14:paraId="17B7D494" w14:textId="77777777" w:rsidTr="00015F25">
        <w:trPr>
          <w:trHeight w:val="240"/>
        </w:trPr>
        <w:tc>
          <w:tcPr>
            <w:tcW w:w="1874" w:type="dxa"/>
            <w:shd w:val="clear" w:color="auto" w:fill="FFFFFF" w:themeFill="background1"/>
            <w:vAlign w:val="center"/>
          </w:tcPr>
          <w:p w14:paraId="16BECE8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华中地区</w:t>
            </w:r>
          </w:p>
        </w:tc>
        <w:tc>
          <w:tcPr>
            <w:tcW w:w="1843" w:type="dxa"/>
            <w:shd w:val="clear" w:color="auto" w:fill="FFFFFF" w:themeFill="background1"/>
            <w:vAlign w:val="center"/>
          </w:tcPr>
          <w:p w14:paraId="3104F4B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54,939,887.26</w:t>
            </w:r>
          </w:p>
        </w:tc>
        <w:tc>
          <w:tcPr>
            <w:tcW w:w="1559" w:type="dxa"/>
            <w:shd w:val="clear" w:color="auto" w:fill="FFFFFF" w:themeFill="background1"/>
            <w:vAlign w:val="center"/>
          </w:tcPr>
          <w:p w14:paraId="262DFA9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2.33%</w:t>
            </w:r>
          </w:p>
        </w:tc>
        <w:tc>
          <w:tcPr>
            <w:tcW w:w="1701" w:type="dxa"/>
            <w:shd w:val="clear" w:color="auto" w:fill="FFFFFF" w:themeFill="background1"/>
            <w:vAlign w:val="center"/>
          </w:tcPr>
          <w:p w14:paraId="4CF4077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104,663,840.76</w:t>
            </w:r>
          </w:p>
        </w:tc>
        <w:tc>
          <w:tcPr>
            <w:tcW w:w="1559" w:type="dxa"/>
            <w:shd w:val="clear" w:color="auto" w:fill="FFFFFF" w:themeFill="background1"/>
            <w:vAlign w:val="center"/>
          </w:tcPr>
          <w:p w14:paraId="48D037E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2.58%</w:t>
            </w:r>
          </w:p>
        </w:tc>
        <w:tc>
          <w:tcPr>
            <w:tcW w:w="1103" w:type="dxa"/>
            <w:shd w:val="clear" w:color="auto" w:fill="FFFFFF" w:themeFill="background1"/>
            <w:vAlign w:val="center"/>
          </w:tcPr>
          <w:p w14:paraId="76FE600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-47.51%</w:t>
            </w:r>
          </w:p>
        </w:tc>
      </w:tr>
      <w:tr w:rsidR="00632E5B" w14:paraId="548D688F" w14:textId="77777777" w:rsidTr="00015F25">
        <w:trPr>
          <w:trHeight w:val="240"/>
        </w:trPr>
        <w:tc>
          <w:tcPr>
            <w:tcW w:w="1874" w:type="dxa"/>
            <w:shd w:val="clear" w:color="auto" w:fill="FFFFFF" w:themeFill="background1"/>
            <w:vAlign w:val="center"/>
          </w:tcPr>
          <w:p w14:paraId="0262DD0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西北地区</w:t>
            </w:r>
          </w:p>
        </w:tc>
        <w:tc>
          <w:tcPr>
            <w:tcW w:w="1843" w:type="dxa"/>
            <w:shd w:val="clear" w:color="auto" w:fill="FFFFFF" w:themeFill="background1"/>
            <w:vAlign w:val="center"/>
          </w:tcPr>
          <w:p w14:paraId="25C51B6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89,038,769.59</w:t>
            </w:r>
          </w:p>
        </w:tc>
        <w:tc>
          <w:tcPr>
            <w:tcW w:w="1559" w:type="dxa"/>
            <w:shd w:val="clear" w:color="auto" w:fill="FFFFFF" w:themeFill="background1"/>
            <w:vAlign w:val="center"/>
          </w:tcPr>
          <w:p w14:paraId="15B9D09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3.78%</w:t>
            </w:r>
          </w:p>
        </w:tc>
        <w:tc>
          <w:tcPr>
            <w:tcW w:w="1701" w:type="dxa"/>
            <w:shd w:val="clear" w:color="auto" w:fill="FFFFFF" w:themeFill="background1"/>
            <w:vAlign w:val="center"/>
          </w:tcPr>
          <w:p w14:paraId="1483C68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166,236,566.87</w:t>
            </w:r>
          </w:p>
        </w:tc>
        <w:tc>
          <w:tcPr>
            <w:tcW w:w="1559" w:type="dxa"/>
            <w:shd w:val="clear" w:color="auto" w:fill="FFFFFF" w:themeFill="background1"/>
            <w:vAlign w:val="center"/>
          </w:tcPr>
          <w:p w14:paraId="1E63560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4.10%</w:t>
            </w:r>
          </w:p>
        </w:tc>
        <w:tc>
          <w:tcPr>
            <w:tcW w:w="1103" w:type="dxa"/>
            <w:shd w:val="clear" w:color="auto" w:fill="FFFFFF" w:themeFill="background1"/>
            <w:vAlign w:val="center"/>
          </w:tcPr>
          <w:p w14:paraId="63E7F42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-46.44%</w:t>
            </w:r>
          </w:p>
        </w:tc>
      </w:tr>
      <w:tr w:rsidR="00632E5B" w14:paraId="5F689075" w14:textId="77777777" w:rsidTr="00015F25">
        <w:trPr>
          <w:trHeight w:val="240"/>
        </w:trPr>
        <w:tc>
          <w:tcPr>
            <w:tcW w:w="1874" w:type="dxa"/>
            <w:shd w:val="clear" w:color="auto" w:fill="FFFFFF" w:themeFill="background1"/>
            <w:vAlign w:val="center"/>
          </w:tcPr>
          <w:p w14:paraId="4FF1163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西南地区</w:t>
            </w:r>
          </w:p>
        </w:tc>
        <w:tc>
          <w:tcPr>
            <w:tcW w:w="1843" w:type="dxa"/>
            <w:shd w:val="clear" w:color="auto" w:fill="FFFFFF" w:themeFill="background1"/>
            <w:vAlign w:val="center"/>
          </w:tcPr>
          <w:p w14:paraId="6EEEBEE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172,142,431.50</w:t>
            </w:r>
          </w:p>
        </w:tc>
        <w:tc>
          <w:tcPr>
            <w:tcW w:w="1559" w:type="dxa"/>
            <w:shd w:val="clear" w:color="auto" w:fill="FFFFFF" w:themeFill="background1"/>
            <w:vAlign w:val="center"/>
          </w:tcPr>
          <w:p w14:paraId="581FA71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7.30%</w:t>
            </w:r>
          </w:p>
        </w:tc>
        <w:tc>
          <w:tcPr>
            <w:tcW w:w="1701" w:type="dxa"/>
            <w:shd w:val="clear" w:color="auto" w:fill="FFFFFF" w:themeFill="background1"/>
            <w:vAlign w:val="center"/>
          </w:tcPr>
          <w:p w14:paraId="51594C0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192,451,614.41</w:t>
            </w:r>
          </w:p>
        </w:tc>
        <w:tc>
          <w:tcPr>
            <w:tcW w:w="1559" w:type="dxa"/>
            <w:shd w:val="clear" w:color="auto" w:fill="FFFFFF" w:themeFill="background1"/>
            <w:vAlign w:val="center"/>
          </w:tcPr>
          <w:p w14:paraId="69C7B23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4.75%</w:t>
            </w:r>
          </w:p>
        </w:tc>
        <w:tc>
          <w:tcPr>
            <w:tcW w:w="1103" w:type="dxa"/>
            <w:shd w:val="clear" w:color="auto" w:fill="FFFFFF" w:themeFill="background1"/>
            <w:vAlign w:val="center"/>
          </w:tcPr>
          <w:p w14:paraId="2D0CCED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-10.55%</w:t>
            </w:r>
          </w:p>
        </w:tc>
      </w:tr>
      <w:tr w:rsidR="00632E5B" w14:paraId="65C00A51" w14:textId="77777777" w:rsidTr="00015F25">
        <w:trPr>
          <w:trHeight w:val="240"/>
        </w:trPr>
        <w:tc>
          <w:tcPr>
            <w:tcW w:w="1874" w:type="dxa"/>
            <w:shd w:val="clear" w:color="auto" w:fill="FFFFFF" w:themeFill="background1"/>
            <w:vAlign w:val="center"/>
          </w:tcPr>
          <w:p w14:paraId="497ABDB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国外地区</w:t>
            </w:r>
          </w:p>
        </w:tc>
        <w:tc>
          <w:tcPr>
            <w:tcW w:w="1843" w:type="dxa"/>
            <w:shd w:val="clear" w:color="auto" w:fill="FFFFFF" w:themeFill="background1"/>
            <w:vAlign w:val="center"/>
          </w:tcPr>
          <w:p w14:paraId="04CD97F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948,135,392.06</w:t>
            </w:r>
          </w:p>
        </w:tc>
        <w:tc>
          <w:tcPr>
            <w:tcW w:w="1559" w:type="dxa"/>
            <w:shd w:val="clear" w:color="auto" w:fill="FFFFFF" w:themeFill="background1"/>
            <w:vAlign w:val="center"/>
          </w:tcPr>
          <w:p w14:paraId="5E4C6B5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40.21%</w:t>
            </w:r>
          </w:p>
        </w:tc>
        <w:tc>
          <w:tcPr>
            <w:tcW w:w="1701" w:type="dxa"/>
            <w:shd w:val="clear" w:color="auto" w:fill="FFFFFF" w:themeFill="background1"/>
            <w:vAlign w:val="center"/>
          </w:tcPr>
          <w:p w14:paraId="34BF162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1,720,890,672.58</w:t>
            </w:r>
          </w:p>
        </w:tc>
        <w:tc>
          <w:tcPr>
            <w:tcW w:w="1559" w:type="dxa"/>
            <w:shd w:val="clear" w:color="auto" w:fill="FFFFFF" w:themeFill="background1"/>
            <w:vAlign w:val="center"/>
          </w:tcPr>
          <w:p w14:paraId="21C130A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42.48%</w:t>
            </w:r>
          </w:p>
        </w:tc>
        <w:tc>
          <w:tcPr>
            <w:tcW w:w="1103" w:type="dxa"/>
            <w:shd w:val="clear" w:color="auto" w:fill="FFFFFF" w:themeFill="background1"/>
            <w:vAlign w:val="center"/>
          </w:tcPr>
          <w:p w14:paraId="0B736A4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-44.90%</w:t>
            </w:r>
          </w:p>
        </w:tc>
      </w:tr>
      <w:tr w:rsidR="00632E5B" w14:paraId="4A6F9F0A" w14:textId="77777777" w:rsidTr="00015F25">
        <w:trPr>
          <w:trHeight w:val="240"/>
        </w:trPr>
        <w:tc>
          <w:tcPr>
            <w:tcW w:w="9639" w:type="dxa"/>
            <w:gridSpan w:val="6"/>
            <w:shd w:val="clear" w:color="auto" w:fill="FFFFFF" w:themeFill="background1"/>
            <w:vAlign w:val="center"/>
          </w:tcPr>
          <w:p w14:paraId="1358A2F0"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分销售模式</w:t>
            </w:r>
          </w:p>
        </w:tc>
      </w:tr>
      <w:tr w:rsidR="00632E5B" w14:paraId="23944A49" w14:textId="77777777" w:rsidTr="00015F25">
        <w:trPr>
          <w:trHeight w:val="240"/>
        </w:trPr>
        <w:tc>
          <w:tcPr>
            <w:tcW w:w="1874" w:type="dxa"/>
            <w:shd w:val="clear" w:color="auto" w:fill="FFFFFF" w:themeFill="background1"/>
            <w:vAlign w:val="center"/>
          </w:tcPr>
          <w:p w14:paraId="373511E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直销</w:t>
            </w:r>
          </w:p>
        </w:tc>
        <w:tc>
          <w:tcPr>
            <w:tcW w:w="1843" w:type="dxa"/>
            <w:shd w:val="clear" w:color="auto" w:fill="FFFFFF" w:themeFill="background1"/>
            <w:vAlign w:val="center"/>
          </w:tcPr>
          <w:p w14:paraId="09FCD1D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2,357,979,747.56</w:t>
            </w:r>
          </w:p>
        </w:tc>
        <w:tc>
          <w:tcPr>
            <w:tcW w:w="1559" w:type="dxa"/>
            <w:shd w:val="clear" w:color="auto" w:fill="FFFFFF" w:themeFill="background1"/>
            <w:vAlign w:val="center"/>
          </w:tcPr>
          <w:p w14:paraId="430BEA4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701" w:type="dxa"/>
            <w:shd w:val="clear" w:color="auto" w:fill="FFFFFF" w:themeFill="background1"/>
            <w:vAlign w:val="center"/>
          </w:tcPr>
          <w:p w14:paraId="3B28256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4,051,283,736.03</w:t>
            </w:r>
          </w:p>
        </w:tc>
        <w:tc>
          <w:tcPr>
            <w:tcW w:w="1559" w:type="dxa"/>
            <w:shd w:val="clear" w:color="auto" w:fill="FFFFFF" w:themeFill="background1"/>
            <w:vAlign w:val="center"/>
          </w:tcPr>
          <w:p w14:paraId="0E2E9D7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103" w:type="dxa"/>
            <w:shd w:val="clear" w:color="auto" w:fill="FFFFFF" w:themeFill="background1"/>
            <w:vAlign w:val="center"/>
          </w:tcPr>
          <w:p w14:paraId="2D5B533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-41.80%</w:t>
            </w:r>
          </w:p>
        </w:tc>
      </w:tr>
    </w:tbl>
    <w:p w14:paraId="7ADDA978" w14:textId="77777777" w:rsidR="00015F25" w:rsidRDefault="00015F25">
      <w:pPr>
        <w:keepNext/>
        <w:keepLines/>
        <w:spacing w:before="300" w:after="300" w:line="280" w:lineRule="exact"/>
        <w:outlineLvl w:val="3"/>
        <w:rPr>
          <w:rFonts w:ascii="宋体" w:eastAsia="宋体" w:hAnsi="宋体" w:cs="宋体" w:hint="eastAsia"/>
          <w:b/>
          <w:bCs/>
          <w:sz w:val="18"/>
          <w:szCs w:val="18"/>
        </w:rPr>
      </w:pPr>
      <w:bookmarkStart w:id="21" w:name="_Toc988910"/>
    </w:p>
    <w:p w14:paraId="453DAFAE" w14:textId="77777777" w:rsidR="00015F25" w:rsidRDefault="00015F25">
      <w:pPr>
        <w:widowControl/>
        <w:rPr>
          <w:rFonts w:ascii="宋体" w:eastAsia="宋体" w:hAnsi="宋体" w:cs="宋体" w:hint="eastAsia"/>
          <w:b/>
          <w:bCs/>
          <w:sz w:val="18"/>
          <w:szCs w:val="18"/>
        </w:rPr>
      </w:pPr>
      <w:r>
        <w:rPr>
          <w:rFonts w:ascii="宋体" w:eastAsia="宋体" w:hAnsi="宋体" w:cs="宋体" w:hint="eastAsia"/>
          <w:b/>
          <w:bCs/>
          <w:sz w:val="18"/>
          <w:szCs w:val="18"/>
        </w:rPr>
        <w:br w:type="page"/>
      </w:r>
    </w:p>
    <w:p w14:paraId="0AF29C2D" w14:textId="24BB6C7D" w:rsidR="00632E5B" w:rsidRDefault="00107901">
      <w:pPr>
        <w:keepNext/>
        <w:keepLines/>
        <w:spacing w:before="300" w:after="300" w:line="280" w:lineRule="exact"/>
        <w:outlineLvl w:val="3"/>
        <w:rPr>
          <w:rFonts w:ascii="宋体" w:eastAsia="宋体" w:hAnsi="宋体" w:cs="宋体" w:hint="eastAsia"/>
          <w:b/>
          <w:bCs/>
          <w:sz w:val="18"/>
          <w:szCs w:val="18"/>
        </w:rPr>
      </w:pPr>
      <w:r>
        <w:rPr>
          <w:rFonts w:ascii="宋体" w:eastAsia="宋体" w:hAnsi="宋体" w:cs="宋体"/>
          <w:b/>
          <w:bCs/>
          <w:sz w:val="18"/>
          <w:szCs w:val="18"/>
        </w:rPr>
        <w:lastRenderedPageBreak/>
        <w:t>（2） 占公司营业收入或营业利润10%以上的行业、产品、地区、销售模式的情况</w:t>
      </w:r>
      <w:bookmarkEnd w:id="21"/>
    </w:p>
    <w:p w14:paraId="185E3308" w14:textId="47AD681B"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627FBE2B" w14:textId="77777777" w:rsidR="00734B63" w:rsidRDefault="00734B63">
      <w:pPr>
        <w:spacing w:before="100" w:after="100" w:line="240" w:lineRule="exact"/>
        <w:rPr>
          <w:rFonts w:ascii="宋体" w:eastAsia="宋体" w:hAnsi="宋体" w:cs="宋体" w:hint="eastAsia"/>
          <w:sz w:val="18"/>
          <w:szCs w:val="18"/>
        </w:rPr>
      </w:pPr>
    </w:p>
    <w:p w14:paraId="70D874B9"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307"/>
        <w:gridCol w:w="1701"/>
        <w:gridCol w:w="1701"/>
        <w:gridCol w:w="850"/>
        <w:gridCol w:w="1418"/>
        <w:gridCol w:w="1417"/>
        <w:gridCol w:w="1245"/>
      </w:tblGrid>
      <w:tr w:rsidR="00632E5B" w14:paraId="24E2B9EA" w14:textId="77777777" w:rsidTr="00015F25">
        <w:trPr>
          <w:trHeight w:val="240"/>
        </w:trPr>
        <w:tc>
          <w:tcPr>
            <w:tcW w:w="1307" w:type="dxa"/>
            <w:shd w:val="clear" w:color="auto" w:fill="FFFFFF" w:themeFill="background1"/>
            <w:vAlign w:val="center"/>
          </w:tcPr>
          <w:p w14:paraId="3B02CD9A" w14:textId="77777777" w:rsidR="00632E5B" w:rsidRDefault="00632E5B"/>
        </w:tc>
        <w:tc>
          <w:tcPr>
            <w:tcW w:w="1701" w:type="dxa"/>
            <w:shd w:val="clear" w:color="auto" w:fill="FFFFFF" w:themeFill="background1"/>
            <w:vAlign w:val="center"/>
          </w:tcPr>
          <w:p w14:paraId="7596521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营业收入</w:t>
            </w:r>
          </w:p>
        </w:tc>
        <w:tc>
          <w:tcPr>
            <w:tcW w:w="1701" w:type="dxa"/>
            <w:shd w:val="clear" w:color="auto" w:fill="FFFFFF" w:themeFill="background1"/>
            <w:vAlign w:val="center"/>
          </w:tcPr>
          <w:p w14:paraId="22D8A26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营业成本</w:t>
            </w:r>
          </w:p>
        </w:tc>
        <w:tc>
          <w:tcPr>
            <w:tcW w:w="850" w:type="dxa"/>
            <w:shd w:val="clear" w:color="auto" w:fill="FFFFFF" w:themeFill="background1"/>
            <w:vAlign w:val="center"/>
          </w:tcPr>
          <w:p w14:paraId="6BDA7C0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毛利率</w:t>
            </w:r>
          </w:p>
        </w:tc>
        <w:tc>
          <w:tcPr>
            <w:tcW w:w="1418" w:type="dxa"/>
            <w:shd w:val="clear" w:color="auto" w:fill="FFFFFF" w:themeFill="background1"/>
            <w:vAlign w:val="center"/>
          </w:tcPr>
          <w:p w14:paraId="37D48D4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营业收入比上年同期增减</w:t>
            </w:r>
          </w:p>
        </w:tc>
        <w:tc>
          <w:tcPr>
            <w:tcW w:w="1417" w:type="dxa"/>
            <w:shd w:val="clear" w:color="auto" w:fill="FFFFFF" w:themeFill="background1"/>
            <w:vAlign w:val="center"/>
          </w:tcPr>
          <w:p w14:paraId="703DB9E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营业成本比上年同期增减</w:t>
            </w:r>
          </w:p>
        </w:tc>
        <w:tc>
          <w:tcPr>
            <w:tcW w:w="1245" w:type="dxa"/>
            <w:shd w:val="clear" w:color="auto" w:fill="FFFFFF" w:themeFill="background1"/>
            <w:vAlign w:val="center"/>
          </w:tcPr>
          <w:p w14:paraId="0B10F70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毛利率比上年同期增减</w:t>
            </w:r>
          </w:p>
        </w:tc>
      </w:tr>
      <w:tr w:rsidR="00632E5B" w14:paraId="770C4375" w14:textId="77777777" w:rsidTr="00015F25">
        <w:trPr>
          <w:trHeight w:val="240"/>
        </w:trPr>
        <w:tc>
          <w:tcPr>
            <w:tcW w:w="9639" w:type="dxa"/>
            <w:gridSpan w:val="7"/>
            <w:shd w:val="clear" w:color="auto" w:fill="FFFFFF" w:themeFill="background1"/>
            <w:vAlign w:val="center"/>
          </w:tcPr>
          <w:p w14:paraId="29031A14"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分行业</w:t>
            </w:r>
          </w:p>
        </w:tc>
      </w:tr>
      <w:tr w:rsidR="00632E5B" w14:paraId="4D086746" w14:textId="77777777" w:rsidTr="00015F25">
        <w:trPr>
          <w:trHeight w:val="240"/>
        </w:trPr>
        <w:tc>
          <w:tcPr>
            <w:tcW w:w="1307" w:type="dxa"/>
            <w:shd w:val="clear" w:color="auto" w:fill="FFFFFF" w:themeFill="background1"/>
            <w:vAlign w:val="center"/>
          </w:tcPr>
          <w:p w14:paraId="2C84E9A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通信行业（运营商）</w:t>
            </w:r>
          </w:p>
        </w:tc>
        <w:tc>
          <w:tcPr>
            <w:tcW w:w="1701" w:type="dxa"/>
            <w:shd w:val="clear" w:color="auto" w:fill="FFFFFF" w:themeFill="background1"/>
            <w:vAlign w:val="center"/>
          </w:tcPr>
          <w:p w14:paraId="0205433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51,929,218.85</w:t>
            </w:r>
          </w:p>
        </w:tc>
        <w:tc>
          <w:tcPr>
            <w:tcW w:w="1701" w:type="dxa"/>
            <w:shd w:val="clear" w:color="auto" w:fill="FFFFFF" w:themeFill="background1"/>
            <w:vAlign w:val="center"/>
          </w:tcPr>
          <w:p w14:paraId="1EF0D67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64,526,945.82</w:t>
            </w:r>
          </w:p>
        </w:tc>
        <w:tc>
          <w:tcPr>
            <w:tcW w:w="850" w:type="dxa"/>
            <w:shd w:val="clear" w:color="auto" w:fill="FFFFFF" w:themeFill="background1"/>
            <w:vAlign w:val="center"/>
          </w:tcPr>
          <w:p w14:paraId="185FAD1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-24.26%</w:t>
            </w:r>
          </w:p>
        </w:tc>
        <w:tc>
          <w:tcPr>
            <w:tcW w:w="1418" w:type="dxa"/>
            <w:shd w:val="clear" w:color="auto" w:fill="FFFFFF" w:themeFill="background1"/>
            <w:vAlign w:val="center"/>
          </w:tcPr>
          <w:p w14:paraId="2980BF8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-77.69%</w:t>
            </w:r>
          </w:p>
        </w:tc>
        <w:tc>
          <w:tcPr>
            <w:tcW w:w="1417" w:type="dxa"/>
            <w:shd w:val="clear" w:color="auto" w:fill="FFFFFF" w:themeFill="background1"/>
            <w:vAlign w:val="center"/>
          </w:tcPr>
          <w:p w14:paraId="4B41366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-70.30%</w:t>
            </w:r>
          </w:p>
        </w:tc>
        <w:tc>
          <w:tcPr>
            <w:tcW w:w="1245" w:type="dxa"/>
            <w:shd w:val="clear" w:color="auto" w:fill="FFFFFF" w:themeFill="background1"/>
            <w:vAlign w:val="center"/>
          </w:tcPr>
          <w:p w14:paraId="1FD1C1E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-30.93%</w:t>
            </w:r>
          </w:p>
        </w:tc>
      </w:tr>
      <w:tr w:rsidR="00632E5B" w14:paraId="190E4AB9" w14:textId="77777777" w:rsidTr="00015F25">
        <w:trPr>
          <w:trHeight w:val="240"/>
        </w:trPr>
        <w:tc>
          <w:tcPr>
            <w:tcW w:w="1307" w:type="dxa"/>
            <w:shd w:val="clear" w:color="auto" w:fill="FFFFFF" w:themeFill="background1"/>
            <w:vAlign w:val="center"/>
          </w:tcPr>
          <w:p w14:paraId="566ED6A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除运营商外的其他通信行业</w:t>
            </w:r>
          </w:p>
        </w:tc>
        <w:tc>
          <w:tcPr>
            <w:tcW w:w="1701" w:type="dxa"/>
            <w:shd w:val="clear" w:color="auto" w:fill="FFFFFF" w:themeFill="background1"/>
            <w:vAlign w:val="center"/>
          </w:tcPr>
          <w:p w14:paraId="752D7F8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1,439,214,640.05</w:t>
            </w:r>
          </w:p>
        </w:tc>
        <w:tc>
          <w:tcPr>
            <w:tcW w:w="1701" w:type="dxa"/>
            <w:shd w:val="clear" w:color="auto" w:fill="FFFFFF" w:themeFill="background1"/>
            <w:vAlign w:val="center"/>
          </w:tcPr>
          <w:p w14:paraId="6D83884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1,245,966,724.14</w:t>
            </w:r>
          </w:p>
        </w:tc>
        <w:tc>
          <w:tcPr>
            <w:tcW w:w="850" w:type="dxa"/>
            <w:shd w:val="clear" w:color="auto" w:fill="FFFFFF" w:themeFill="background1"/>
            <w:vAlign w:val="center"/>
          </w:tcPr>
          <w:p w14:paraId="6A11262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13.43%</w:t>
            </w:r>
          </w:p>
        </w:tc>
        <w:tc>
          <w:tcPr>
            <w:tcW w:w="1418" w:type="dxa"/>
            <w:shd w:val="clear" w:color="auto" w:fill="FFFFFF" w:themeFill="background1"/>
            <w:vAlign w:val="center"/>
          </w:tcPr>
          <w:p w14:paraId="2EF2605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-11.82%</w:t>
            </w:r>
          </w:p>
        </w:tc>
        <w:tc>
          <w:tcPr>
            <w:tcW w:w="1417" w:type="dxa"/>
            <w:shd w:val="clear" w:color="auto" w:fill="FFFFFF" w:themeFill="background1"/>
            <w:vAlign w:val="center"/>
          </w:tcPr>
          <w:p w14:paraId="2366DB3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-10.88%</w:t>
            </w:r>
          </w:p>
        </w:tc>
        <w:tc>
          <w:tcPr>
            <w:tcW w:w="1245" w:type="dxa"/>
            <w:shd w:val="clear" w:color="auto" w:fill="FFFFFF" w:themeFill="background1"/>
            <w:vAlign w:val="center"/>
          </w:tcPr>
          <w:p w14:paraId="3BF3F51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-0.92%</w:t>
            </w:r>
          </w:p>
        </w:tc>
      </w:tr>
      <w:tr w:rsidR="00632E5B" w14:paraId="0834B8EA" w14:textId="77777777" w:rsidTr="00015F25">
        <w:trPr>
          <w:trHeight w:val="240"/>
        </w:trPr>
        <w:tc>
          <w:tcPr>
            <w:tcW w:w="1307" w:type="dxa"/>
            <w:shd w:val="clear" w:color="auto" w:fill="FFFFFF" w:themeFill="background1"/>
            <w:vAlign w:val="center"/>
          </w:tcPr>
          <w:p w14:paraId="54556D1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光伏行业</w:t>
            </w:r>
          </w:p>
        </w:tc>
        <w:tc>
          <w:tcPr>
            <w:tcW w:w="1701" w:type="dxa"/>
            <w:shd w:val="clear" w:color="auto" w:fill="FFFFFF" w:themeFill="background1"/>
            <w:vAlign w:val="center"/>
          </w:tcPr>
          <w:p w14:paraId="6C476CB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803,951,690.05</w:t>
            </w:r>
          </w:p>
        </w:tc>
        <w:tc>
          <w:tcPr>
            <w:tcW w:w="1701" w:type="dxa"/>
            <w:shd w:val="clear" w:color="auto" w:fill="FFFFFF" w:themeFill="background1"/>
            <w:vAlign w:val="center"/>
          </w:tcPr>
          <w:p w14:paraId="0B2376E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566,251,944.92</w:t>
            </w:r>
          </w:p>
        </w:tc>
        <w:tc>
          <w:tcPr>
            <w:tcW w:w="850" w:type="dxa"/>
            <w:shd w:val="clear" w:color="auto" w:fill="FFFFFF" w:themeFill="background1"/>
            <w:vAlign w:val="center"/>
          </w:tcPr>
          <w:p w14:paraId="6A94AF6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29.57%</w:t>
            </w:r>
          </w:p>
        </w:tc>
        <w:tc>
          <w:tcPr>
            <w:tcW w:w="1418" w:type="dxa"/>
            <w:shd w:val="clear" w:color="auto" w:fill="FFFFFF" w:themeFill="background1"/>
            <w:vAlign w:val="center"/>
          </w:tcPr>
          <w:p w14:paraId="651A644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-60.38%</w:t>
            </w:r>
          </w:p>
        </w:tc>
        <w:tc>
          <w:tcPr>
            <w:tcW w:w="1417" w:type="dxa"/>
            <w:shd w:val="clear" w:color="auto" w:fill="FFFFFF" w:themeFill="background1"/>
            <w:vAlign w:val="center"/>
          </w:tcPr>
          <w:p w14:paraId="4084D6E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-67.68%</w:t>
            </w:r>
          </w:p>
        </w:tc>
        <w:tc>
          <w:tcPr>
            <w:tcW w:w="1245" w:type="dxa"/>
            <w:shd w:val="clear" w:color="auto" w:fill="FFFFFF" w:themeFill="background1"/>
            <w:vAlign w:val="center"/>
          </w:tcPr>
          <w:p w14:paraId="4335F63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15.90%</w:t>
            </w:r>
          </w:p>
        </w:tc>
      </w:tr>
      <w:tr w:rsidR="00632E5B" w14:paraId="1F1E89AA" w14:textId="77777777" w:rsidTr="00015F25">
        <w:trPr>
          <w:trHeight w:val="240"/>
        </w:trPr>
        <w:tc>
          <w:tcPr>
            <w:tcW w:w="1307" w:type="dxa"/>
            <w:shd w:val="clear" w:color="auto" w:fill="FFFFFF" w:themeFill="background1"/>
            <w:vAlign w:val="center"/>
          </w:tcPr>
          <w:p w14:paraId="69A69D4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光纤光棒行业</w:t>
            </w:r>
          </w:p>
        </w:tc>
        <w:tc>
          <w:tcPr>
            <w:tcW w:w="1701" w:type="dxa"/>
            <w:shd w:val="clear" w:color="auto" w:fill="FFFFFF" w:themeFill="background1"/>
            <w:vAlign w:val="center"/>
          </w:tcPr>
          <w:p w14:paraId="37EDB14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62,884,198.61</w:t>
            </w:r>
          </w:p>
        </w:tc>
        <w:tc>
          <w:tcPr>
            <w:tcW w:w="1701" w:type="dxa"/>
            <w:shd w:val="clear" w:color="auto" w:fill="FFFFFF" w:themeFill="background1"/>
            <w:vAlign w:val="center"/>
          </w:tcPr>
          <w:p w14:paraId="34B7830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96,270,377.77</w:t>
            </w:r>
          </w:p>
        </w:tc>
        <w:tc>
          <w:tcPr>
            <w:tcW w:w="850" w:type="dxa"/>
            <w:shd w:val="clear" w:color="auto" w:fill="FFFFFF" w:themeFill="background1"/>
            <w:vAlign w:val="center"/>
          </w:tcPr>
          <w:p w14:paraId="7F2A9C4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-53.09%</w:t>
            </w:r>
          </w:p>
        </w:tc>
        <w:tc>
          <w:tcPr>
            <w:tcW w:w="1418" w:type="dxa"/>
            <w:shd w:val="clear" w:color="auto" w:fill="FFFFFF" w:themeFill="background1"/>
            <w:vAlign w:val="center"/>
          </w:tcPr>
          <w:p w14:paraId="20B934F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-59.98%</w:t>
            </w:r>
          </w:p>
        </w:tc>
        <w:tc>
          <w:tcPr>
            <w:tcW w:w="1417" w:type="dxa"/>
            <w:shd w:val="clear" w:color="auto" w:fill="FFFFFF" w:themeFill="background1"/>
            <w:vAlign w:val="center"/>
          </w:tcPr>
          <w:p w14:paraId="7C32C3E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-31.73%</w:t>
            </w:r>
          </w:p>
        </w:tc>
        <w:tc>
          <w:tcPr>
            <w:tcW w:w="1245" w:type="dxa"/>
            <w:shd w:val="clear" w:color="auto" w:fill="FFFFFF" w:themeFill="background1"/>
            <w:vAlign w:val="center"/>
          </w:tcPr>
          <w:p w14:paraId="429311C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-63.34%</w:t>
            </w:r>
          </w:p>
        </w:tc>
      </w:tr>
      <w:tr w:rsidR="00632E5B" w14:paraId="57F6A8F8" w14:textId="77777777" w:rsidTr="00015F25">
        <w:trPr>
          <w:trHeight w:val="240"/>
        </w:trPr>
        <w:tc>
          <w:tcPr>
            <w:tcW w:w="9639" w:type="dxa"/>
            <w:gridSpan w:val="7"/>
            <w:shd w:val="clear" w:color="auto" w:fill="FFFFFF" w:themeFill="background1"/>
            <w:vAlign w:val="center"/>
          </w:tcPr>
          <w:p w14:paraId="71940E54"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分产品</w:t>
            </w:r>
          </w:p>
        </w:tc>
      </w:tr>
      <w:tr w:rsidR="00632E5B" w14:paraId="456F266A" w14:textId="77777777" w:rsidTr="00015F25">
        <w:trPr>
          <w:trHeight w:val="240"/>
        </w:trPr>
        <w:tc>
          <w:tcPr>
            <w:tcW w:w="1307" w:type="dxa"/>
            <w:shd w:val="clear" w:color="auto" w:fill="FFFFFF" w:themeFill="background1"/>
            <w:vAlign w:val="center"/>
          </w:tcPr>
          <w:p w14:paraId="2CBD270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阻燃耐火软电缆</w:t>
            </w:r>
          </w:p>
        </w:tc>
        <w:tc>
          <w:tcPr>
            <w:tcW w:w="1701" w:type="dxa"/>
            <w:shd w:val="clear" w:color="auto" w:fill="FFFFFF" w:themeFill="background1"/>
            <w:vAlign w:val="center"/>
          </w:tcPr>
          <w:p w14:paraId="6F9032A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137,978,223.76</w:t>
            </w:r>
          </w:p>
        </w:tc>
        <w:tc>
          <w:tcPr>
            <w:tcW w:w="1701" w:type="dxa"/>
            <w:shd w:val="clear" w:color="auto" w:fill="FFFFFF" w:themeFill="background1"/>
            <w:vAlign w:val="center"/>
          </w:tcPr>
          <w:p w14:paraId="09F51AF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143,195,278.75</w:t>
            </w:r>
          </w:p>
        </w:tc>
        <w:tc>
          <w:tcPr>
            <w:tcW w:w="850" w:type="dxa"/>
            <w:shd w:val="clear" w:color="auto" w:fill="FFFFFF" w:themeFill="background1"/>
            <w:vAlign w:val="center"/>
          </w:tcPr>
          <w:p w14:paraId="1B1798B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-3.78%</w:t>
            </w:r>
          </w:p>
        </w:tc>
        <w:tc>
          <w:tcPr>
            <w:tcW w:w="1418" w:type="dxa"/>
            <w:shd w:val="clear" w:color="auto" w:fill="FFFFFF" w:themeFill="background1"/>
            <w:vAlign w:val="center"/>
          </w:tcPr>
          <w:p w14:paraId="734BA14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-57.73%</w:t>
            </w:r>
          </w:p>
        </w:tc>
        <w:tc>
          <w:tcPr>
            <w:tcW w:w="1417" w:type="dxa"/>
            <w:shd w:val="clear" w:color="auto" w:fill="FFFFFF" w:themeFill="background1"/>
            <w:vAlign w:val="center"/>
          </w:tcPr>
          <w:p w14:paraId="37768B4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-52.67%</w:t>
            </w:r>
          </w:p>
        </w:tc>
        <w:tc>
          <w:tcPr>
            <w:tcW w:w="1245" w:type="dxa"/>
            <w:shd w:val="clear" w:color="auto" w:fill="FFFFFF" w:themeFill="background1"/>
            <w:vAlign w:val="center"/>
          </w:tcPr>
          <w:p w14:paraId="59CA6AC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-11.10%</w:t>
            </w:r>
          </w:p>
        </w:tc>
      </w:tr>
      <w:tr w:rsidR="00632E5B" w14:paraId="425502A2" w14:textId="77777777" w:rsidTr="00015F25">
        <w:trPr>
          <w:trHeight w:val="240"/>
        </w:trPr>
        <w:tc>
          <w:tcPr>
            <w:tcW w:w="1307" w:type="dxa"/>
            <w:shd w:val="clear" w:color="auto" w:fill="FFFFFF" w:themeFill="background1"/>
            <w:vAlign w:val="center"/>
          </w:tcPr>
          <w:p w14:paraId="54218D5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金属导体（铜+铝杆+钢芯铝绞线）</w:t>
            </w:r>
          </w:p>
        </w:tc>
        <w:tc>
          <w:tcPr>
            <w:tcW w:w="1701" w:type="dxa"/>
            <w:shd w:val="clear" w:color="auto" w:fill="FFFFFF" w:themeFill="background1"/>
            <w:vAlign w:val="center"/>
          </w:tcPr>
          <w:p w14:paraId="263844D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3,675,097.40</w:t>
            </w:r>
          </w:p>
        </w:tc>
        <w:tc>
          <w:tcPr>
            <w:tcW w:w="1701" w:type="dxa"/>
            <w:shd w:val="clear" w:color="auto" w:fill="FFFFFF" w:themeFill="background1"/>
            <w:vAlign w:val="center"/>
          </w:tcPr>
          <w:p w14:paraId="57B56D6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2,908,628.38</w:t>
            </w:r>
          </w:p>
        </w:tc>
        <w:tc>
          <w:tcPr>
            <w:tcW w:w="850" w:type="dxa"/>
            <w:shd w:val="clear" w:color="auto" w:fill="FFFFFF" w:themeFill="background1"/>
            <w:vAlign w:val="center"/>
          </w:tcPr>
          <w:p w14:paraId="6631FF7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20.86%</w:t>
            </w:r>
          </w:p>
        </w:tc>
        <w:tc>
          <w:tcPr>
            <w:tcW w:w="1418" w:type="dxa"/>
            <w:shd w:val="clear" w:color="auto" w:fill="FFFFFF" w:themeFill="background1"/>
            <w:vAlign w:val="center"/>
          </w:tcPr>
          <w:p w14:paraId="2721B71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-86.83%</w:t>
            </w:r>
          </w:p>
        </w:tc>
        <w:tc>
          <w:tcPr>
            <w:tcW w:w="1417" w:type="dxa"/>
            <w:shd w:val="clear" w:color="auto" w:fill="FFFFFF" w:themeFill="background1"/>
            <w:vAlign w:val="center"/>
          </w:tcPr>
          <w:p w14:paraId="537AD9A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-89.49%</w:t>
            </w:r>
          </w:p>
        </w:tc>
        <w:tc>
          <w:tcPr>
            <w:tcW w:w="1245" w:type="dxa"/>
            <w:shd w:val="clear" w:color="auto" w:fill="FFFFFF" w:themeFill="background1"/>
            <w:vAlign w:val="center"/>
          </w:tcPr>
          <w:p w14:paraId="2AFCE11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20.02%</w:t>
            </w:r>
          </w:p>
        </w:tc>
      </w:tr>
      <w:tr w:rsidR="00632E5B" w14:paraId="1D1101D8" w14:textId="77777777" w:rsidTr="00015F25">
        <w:trPr>
          <w:trHeight w:val="240"/>
        </w:trPr>
        <w:tc>
          <w:tcPr>
            <w:tcW w:w="1307" w:type="dxa"/>
            <w:shd w:val="clear" w:color="auto" w:fill="FFFFFF" w:themeFill="background1"/>
            <w:vAlign w:val="center"/>
          </w:tcPr>
          <w:p w14:paraId="5252C64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电缆料</w:t>
            </w:r>
          </w:p>
        </w:tc>
        <w:tc>
          <w:tcPr>
            <w:tcW w:w="1701" w:type="dxa"/>
            <w:shd w:val="clear" w:color="auto" w:fill="FFFFFF" w:themeFill="background1"/>
            <w:vAlign w:val="center"/>
          </w:tcPr>
          <w:p w14:paraId="4C8EAD2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265,220,832.59</w:t>
            </w:r>
          </w:p>
        </w:tc>
        <w:tc>
          <w:tcPr>
            <w:tcW w:w="1701" w:type="dxa"/>
            <w:shd w:val="clear" w:color="auto" w:fill="FFFFFF" w:themeFill="background1"/>
            <w:vAlign w:val="center"/>
          </w:tcPr>
          <w:p w14:paraId="18956C9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248,185,961.88</w:t>
            </w:r>
          </w:p>
        </w:tc>
        <w:tc>
          <w:tcPr>
            <w:tcW w:w="850" w:type="dxa"/>
            <w:shd w:val="clear" w:color="auto" w:fill="FFFFFF" w:themeFill="background1"/>
            <w:vAlign w:val="center"/>
          </w:tcPr>
          <w:p w14:paraId="377391E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6.42%</w:t>
            </w:r>
          </w:p>
        </w:tc>
        <w:tc>
          <w:tcPr>
            <w:tcW w:w="1418" w:type="dxa"/>
            <w:shd w:val="clear" w:color="auto" w:fill="FFFFFF" w:themeFill="background1"/>
            <w:vAlign w:val="center"/>
          </w:tcPr>
          <w:p w14:paraId="67B13BD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-38.47%</w:t>
            </w:r>
          </w:p>
        </w:tc>
        <w:tc>
          <w:tcPr>
            <w:tcW w:w="1417" w:type="dxa"/>
            <w:shd w:val="clear" w:color="auto" w:fill="FFFFFF" w:themeFill="background1"/>
            <w:vAlign w:val="center"/>
          </w:tcPr>
          <w:p w14:paraId="1551505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-37.51%</w:t>
            </w:r>
          </w:p>
        </w:tc>
        <w:tc>
          <w:tcPr>
            <w:tcW w:w="1245" w:type="dxa"/>
            <w:shd w:val="clear" w:color="auto" w:fill="FFFFFF" w:themeFill="background1"/>
            <w:vAlign w:val="center"/>
          </w:tcPr>
          <w:p w14:paraId="6B83098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-1.44%</w:t>
            </w:r>
          </w:p>
        </w:tc>
      </w:tr>
      <w:tr w:rsidR="00632E5B" w14:paraId="24FA3F2F" w14:textId="77777777" w:rsidTr="00015F25">
        <w:trPr>
          <w:trHeight w:val="240"/>
        </w:trPr>
        <w:tc>
          <w:tcPr>
            <w:tcW w:w="1307" w:type="dxa"/>
            <w:shd w:val="clear" w:color="auto" w:fill="FFFFFF" w:themeFill="background1"/>
            <w:vAlign w:val="center"/>
          </w:tcPr>
          <w:p w14:paraId="30807CB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船用电缆</w:t>
            </w:r>
          </w:p>
        </w:tc>
        <w:tc>
          <w:tcPr>
            <w:tcW w:w="1701" w:type="dxa"/>
            <w:shd w:val="clear" w:color="auto" w:fill="FFFFFF" w:themeFill="background1"/>
            <w:vAlign w:val="center"/>
          </w:tcPr>
          <w:p w14:paraId="4C3DF3C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463,210,328.75</w:t>
            </w:r>
          </w:p>
        </w:tc>
        <w:tc>
          <w:tcPr>
            <w:tcW w:w="1701" w:type="dxa"/>
            <w:shd w:val="clear" w:color="auto" w:fill="FFFFFF" w:themeFill="background1"/>
            <w:vAlign w:val="center"/>
          </w:tcPr>
          <w:p w14:paraId="7FBE6EC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416,280,067.32</w:t>
            </w:r>
          </w:p>
        </w:tc>
        <w:tc>
          <w:tcPr>
            <w:tcW w:w="850" w:type="dxa"/>
            <w:shd w:val="clear" w:color="auto" w:fill="FFFFFF" w:themeFill="background1"/>
            <w:vAlign w:val="center"/>
          </w:tcPr>
          <w:p w14:paraId="47AC1BA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10.13%</w:t>
            </w:r>
          </w:p>
        </w:tc>
        <w:tc>
          <w:tcPr>
            <w:tcW w:w="1418" w:type="dxa"/>
            <w:shd w:val="clear" w:color="auto" w:fill="FFFFFF" w:themeFill="background1"/>
            <w:vAlign w:val="center"/>
          </w:tcPr>
          <w:p w14:paraId="30AD0C2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-7.05%</w:t>
            </w:r>
          </w:p>
        </w:tc>
        <w:tc>
          <w:tcPr>
            <w:tcW w:w="1417" w:type="dxa"/>
            <w:shd w:val="clear" w:color="auto" w:fill="FFFFFF" w:themeFill="background1"/>
            <w:vAlign w:val="center"/>
          </w:tcPr>
          <w:p w14:paraId="79B879D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-3.12%</w:t>
            </w:r>
          </w:p>
        </w:tc>
        <w:tc>
          <w:tcPr>
            <w:tcW w:w="1245" w:type="dxa"/>
            <w:shd w:val="clear" w:color="auto" w:fill="FFFFFF" w:themeFill="background1"/>
            <w:vAlign w:val="center"/>
          </w:tcPr>
          <w:p w14:paraId="35269A4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-3.64%</w:t>
            </w:r>
          </w:p>
        </w:tc>
      </w:tr>
      <w:tr w:rsidR="00632E5B" w14:paraId="2F9B254B" w14:textId="77777777" w:rsidTr="00015F25">
        <w:trPr>
          <w:trHeight w:val="240"/>
        </w:trPr>
        <w:tc>
          <w:tcPr>
            <w:tcW w:w="1307" w:type="dxa"/>
            <w:shd w:val="clear" w:color="auto" w:fill="FFFFFF" w:themeFill="background1"/>
            <w:vAlign w:val="center"/>
          </w:tcPr>
          <w:p w14:paraId="2F56C54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光缆及其他电缆</w:t>
            </w:r>
          </w:p>
        </w:tc>
        <w:tc>
          <w:tcPr>
            <w:tcW w:w="1701" w:type="dxa"/>
            <w:shd w:val="clear" w:color="auto" w:fill="FFFFFF" w:themeFill="background1"/>
            <w:vAlign w:val="center"/>
          </w:tcPr>
          <w:p w14:paraId="2EDB923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605,799,911.18</w:t>
            </w:r>
          </w:p>
        </w:tc>
        <w:tc>
          <w:tcPr>
            <w:tcW w:w="1701" w:type="dxa"/>
            <w:shd w:val="clear" w:color="auto" w:fill="FFFFFF" w:themeFill="background1"/>
            <w:vAlign w:val="center"/>
          </w:tcPr>
          <w:p w14:paraId="3884CB6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486,957,984.30</w:t>
            </w:r>
          </w:p>
        </w:tc>
        <w:tc>
          <w:tcPr>
            <w:tcW w:w="850" w:type="dxa"/>
            <w:shd w:val="clear" w:color="auto" w:fill="FFFFFF" w:themeFill="background1"/>
            <w:vAlign w:val="center"/>
          </w:tcPr>
          <w:p w14:paraId="597CFC1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19.62%</w:t>
            </w:r>
          </w:p>
        </w:tc>
        <w:tc>
          <w:tcPr>
            <w:tcW w:w="1418" w:type="dxa"/>
            <w:shd w:val="clear" w:color="auto" w:fill="FFFFFF" w:themeFill="background1"/>
            <w:vAlign w:val="center"/>
          </w:tcPr>
          <w:p w14:paraId="2ADF38D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11.48%</w:t>
            </w:r>
          </w:p>
        </w:tc>
        <w:tc>
          <w:tcPr>
            <w:tcW w:w="1417" w:type="dxa"/>
            <w:shd w:val="clear" w:color="auto" w:fill="FFFFFF" w:themeFill="background1"/>
            <w:vAlign w:val="center"/>
          </w:tcPr>
          <w:p w14:paraId="5093BAE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13.94%</w:t>
            </w:r>
          </w:p>
        </w:tc>
        <w:tc>
          <w:tcPr>
            <w:tcW w:w="1245" w:type="dxa"/>
            <w:shd w:val="clear" w:color="auto" w:fill="FFFFFF" w:themeFill="background1"/>
            <w:vAlign w:val="center"/>
          </w:tcPr>
          <w:p w14:paraId="4E7668B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-1.73%</w:t>
            </w:r>
          </w:p>
        </w:tc>
      </w:tr>
      <w:tr w:rsidR="00632E5B" w14:paraId="439D89A7" w14:textId="77777777" w:rsidTr="00015F25">
        <w:trPr>
          <w:trHeight w:val="240"/>
        </w:trPr>
        <w:tc>
          <w:tcPr>
            <w:tcW w:w="1307" w:type="dxa"/>
            <w:shd w:val="clear" w:color="auto" w:fill="FFFFFF" w:themeFill="background1"/>
            <w:vAlign w:val="center"/>
          </w:tcPr>
          <w:p w14:paraId="6DF283A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光纤及光棒</w:t>
            </w:r>
          </w:p>
        </w:tc>
        <w:tc>
          <w:tcPr>
            <w:tcW w:w="1701" w:type="dxa"/>
            <w:shd w:val="clear" w:color="auto" w:fill="FFFFFF" w:themeFill="background1"/>
            <w:vAlign w:val="center"/>
          </w:tcPr>
          <w:p w14:paraId="0BB1ED4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60,871,974.11</w:t>
            </w:r>
          </w:p>
        </w:tc>
        <w:tc>
          <w:tcPr>
            <w:tcW w:w="1701" w:type="dxa"/>
            <w:shd w:val="clear" w:color="auto" w:fill="FFFFFF" w:themeFill="background1"/>
            <w:vAlign w:val="center"/>
          </w:tcPr>
          <w:p w14:paraId="43E93CA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98,033,174.25</w:t>
            </w:r>
          </w:p>
        </w:tc>
        <w:tc>
          <w:tcPr>
            <w:tcW w:w="850" w:type="dxa"/>
            <w:shd w:val="clear" w:color="auto" w:fill="FFFFFF" w:themeFill="background1"/>
            <w:vAlign w:val="center"/>
          </w:tcPr>
          <w:p w14:paraId="65C977E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-61.05%</w:t>
            </w:r>
          </w:p>
        </w:tc>
        <w:tc>
          <w:tcPr>
            <w:tcW w:w="1418" w:type="dxa"/>
            <w:shd w:val="clear" w:color="auto" w:fill="FFFFFF" w:themeFill="background1"/>
            <w:vAlign w:val="center"/>
          </w:tcPr>
          <w:p w14:paraId="7D0B09C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-60.18%</w:t>
            </w:r>
          </w:p>
        </w:tc>
        <w:tc>
          <w:tcPr>
            <w:tcW w:w="1417" w:type="dxa"/>
            <w:shd w:val="clear" w:color="auto" w:fill="FFFFFF" w:themeFill="background1"/>
            <w:vAlign w:val="center"/>
          </w:tcPr>
          <w:p w14:paraId="2B82FE1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-28.26%</w:t>
            </w:r>
          </w:p>
        </w:tc>
        <w:tc>
          <w:tcPr>
            <w:tcW w:w="1245" w:type="dxa"/>
            <w:shd w:val="clear" w:color="auto" w:fill="FFFFFF" w:themeFill="background1"/>
            <w:vAlign w:val="center"/>
          </w:tcPr>
          <w:p w14:paraId="5B5AC0A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-71.67%</w:t>
            </w:r>
          </w:p>
        </w:tc>
      </w:tr>
      <w:tr w:rsidR="00632E5B" w14:paraId="781E9DD7" w14:textId="77777777" w:rsidTr="00015F25">
        <w:trPr>
          <w:trHeight w:val="240"/>
        </w:trPr>
        <w:tc>
          <w:tcPr>
            <w:tcW w:w="1307" w:type="dxa"/>
            <w:shd w:val="clear" w:color="auto" w:fill="FFFFFF" w:themeFill="background1"/>
            <w:vAlign w:val="center"/>
          </w:tcPr>
          <w:p w14:paraId="0DB6B45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光伏组件及电池片</w:t>
            </w:r>
          </w:p>
        </w:tc>
        <w:tc>
          <w:tcPr>
            <w:tcW w:w="1701" w:type="dxa"/>
            <w:shd w:val="clear" w:color="auto" w:fill="FFFFFF" w:themeFill="background1"/>
            <w:vAlign w:val="center"/>
          </w:tcPr>
          <w:p w14:paraId="3531644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757,157,266.06</w:t>
            </w:r>
          </w:p>
        </w:tc>
        <w:tc>
          <w:tcPr>
            <w:tcW w:w="1701" w:type="dxa"/>
            <w:shd w:val="clear" w:color="auto" w:fill="FFFFFF" w:themeFill="background1"/>
            <w:vAlign w:val="center"/>
          </w:tcPr>
          <w:p w14:paraId="42E1604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519,951,245.62</w:t>
            </w:r>
          </w:p>
        </w:tc>
        <w:tc>
          <w:tcPr>
            <w:tcW w:w="850" w:type="dxa"/>
            <w:shd w:val="clear" w:color="auto" w:fill="FFFFFF" w:themeFill="background1"/>
            <w:vAlign w:val="center"/>
          </w:tcPr>
          <w:p w14:paraId="5B380F4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31.33%</w:t>
            </w:r>
          </w:p>
        </w:tc>
        <w:tc>
          <w:tcPr>
            <w:tcW w:w="1418" w:type="dxa"/>
            <w:shd w:val="clear" w:color="auto" w:fill="FFFFFF" w:themeFill="background1"/>
            <w:vAlign w:val="center"/>
          </w:tcPr>
          <w:p w14:paraId="10AF4EE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-60.73%</w:t>
            </w:r>
          </w:p>
        </w:tc>
        <w:tc>
          <w:tcPr>
            <w:tcW w:w="1417" w:type="dxa"/>
            <w:shd w:val="clear" w:color="auto" w:fill="FFFFFF" w:themeFill="background1"/>
            <w:vAlign w:val="center"/>
          </w:tcPr>
          <w:p w14:paraId="307265D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-69.24%</w:t>
            </w:r>
          </w:p>
        </w:tc>
        <w:tc>
          <w:tcPr>
            <w:tcW w:w="1245" w:type="dxa"/>
            <w:shd w:val="clear" w:color="auto" w:fill="FFFFFF" w:themeFill="background1"/>
            <w:vAlign w:val="center"/>
          </w:tcPr>
          <w:p w14:paraId="2FB9708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18.99%</w:t>
            </w:r>
          </w:p>
        </w:tc>
      </w:tr>
      <w:tr w:rsidR="00632E5B" w14:paraId="261A5A0B" w14:textId="77777777" w:rsidTr="00015F25">
        <w:trPr>
          <w:trHeight w:val="240"/>
        </w:trPr>
        <w:tc>
          <w:tcPr>
            <w:tcW w:w="1307" w:type="dxa"/>
            <w:shd w:val="clear" w:color="auto" w:fill="FFFFFF" w:themeFill="background1"/>
            <w:vAlign w:val="center"/>
          </w:tcPr>
          <w:p w14:paraId="499A472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光伏电站</w:t>
            </w:r>
          </w:p>
        </w:tc>
        <w:tc>
          <w:tcPr>
            <w:tcW w:w="1701" w:type="dxa"/>
            <w:shd w:val="clear" w:color="auto" w:fill="FFFFFF" w:themeFill="background1"/>
            <w:vAlign w:val="center"/>
          </w:tcPr>
          <w:p w14:paraId="3EA87B5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4,403,898.97</w:t>
            </w:r>
          </w:p>
        </w:tc>
        <w:tc>
          <w:tcPr>
            <w:tcW w:w="1701" w:type="dxa"/>
            <w:shd w:val="clear" w:color="auto" w:fill="FFFFFF" w:themeFill="background1"/>
            <w:vAlign w:val="center"/>
          </w:tcPr>
          <w:p w14:paraId="60914A3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14,454,760.82</w:t>
            </w:r>
          </w:p>
        </w:tc>
        <w:tc>
          <w:tcPr>
            <w:tcW w:w="850" w:type="dxa"/>
            <w:shd w:val="clear" w:color="auto" w:fill="FFFFFF" w:themeFill="background1"/>
            <w:vAlign w:val="center"/>
          </w:tcPr>
          <w:p w14:paraId="40DA13D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-228.23%</w:t>
            </w:r>
          </w:p>
        </w:tc>
        <w:tc>
          <w:tcPr>
            <w:tcW w:w="1418" w:type="dxa"/>
            <w:shd w:val="clear" w:color="auto" w:fill="FFFFFF" w:themeFill="background1"/>
            <w:vAlign w:val="center"/>
          </w:tcPr>
          <w:p w14:paraId="0938582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-84.72%</w:t>
            </w:r>
          </w:p>
        </w:tc>
        <w:tc>
          <w:tcPr>
            <w:tcW w:w="1417" w:type="dxa"/>
            <w:shd w:val="clear" w:color="auto" w:fill="FFFFFF" w:themeFill="background1"/>
            <w:vAlign w:val="center"/>
          </w:tcPr>
          <w:p w14:paraId="519BA93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-17.14%</w:t>
            </w:r>
          </w:p>
        </w:tc>
        <w:tc>
          <w:tcPr>
            <w:tcW w:w="1245" w:type="dxa"/>
            <w:shd w:val="clear" w:color="auto" w:fill="FFFFFF" w:themeFill="background1"/>
            <w:vAlign w:val="center"/>
          </w:tcPr>
          <w:p w14:paraId="5BB767E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-267.69%</w:t>
            </w:r>
          </w:p>
        </w:tc>
      </w:tr>
      <w:tr w:rsidR="00632E5B" w14:paraId="10CD1E94" w14:textId="77777777" w:rsidTr="00015F25">
        <w:trPr>
          <w:trHeight w:val="240"/>
        </w:trPr>
        <w:tc>
          <w:tcPr>
            <w:tcW w:w="1307" w:type="dxa"/>
            <w:shd w:val="clear" w:color="auto" w:fill="FFFFFF" w:themeFill="background1"/>
            <w:vAlign w:val="center"/>
          </w:tcPr>
          <w:p w14:paraId="5BFD304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光伏发电</w:t>
            </w:r>
          </w:p>
        </w:tc>
        <w:tc>
          <w:tcPr>
            <w:tcW w:w="1701" w:type="dxa"/>
            <w:shd w:val="clear" w:color="auto" w:fill="FFFFFF" w:themeFill="background1"/>
            <w:vAlign w:val="center"/>
          </w:tcPr>
          <w:p w14:paraId="1B31532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24,350,254.81</w:t>
            </w:r>
          </w:p>
        </w:tc>
        <w:tc>
          <w:tcPr>
            <w:tcW w:w="1701" w:type="dxa"/>
            <w:shd w:val="clear" w:color="auto" w:fill="FFFFFF" w:themeFill="background1"/>
            <w:vAlign w:val="center"/>
          </w:tcPr>
          <w:p w14:paraId="4E4EFC3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19,957,209.96</w:t>
            </w:r>
          </w:p>
        </w:tc>
        <w:tc>
          <w:tcPr>
            <w:tcW w:w="850" w:type="dxa"/>
            <w:shd w:val="clear" w:color="auto" w:fill="FFFFFF" w:themeFill="background1"/>
            <w:vAlign w:val="center"/>
          </w:tcPr>
          <w:p w14:paraId="472DD08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18.04%</w:t>
            </w:r>
          </w:p>
        </w:tc>
        <w:tc>
          <w:tcPr>
            <w:tcW w:w="1418" w:type="dxa"/>
            <w:shd w:val="clear" w:color="auto" w:fill="FFFFFF" w:themeFill="background1"/>
            <w:vAlign w:val="center"/>
          </w:tcPr>
          <w:p w14:paraId="43A56DA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-51.81%</w:t>
            </w:r>
          </w:p>
        </w:tc>
        <w:tc>
          <w:tcPr>
            <w:tcW w:w="1417" w:type="dxa"/>
            <w:shd w:val="clear" w:color="auto" w:fill="FFFFFF" w:themeFill="background1"/>
            <w:vAlign w:val="center"/>
          </w:tcPr>
          <w:p w14:paraId="3C6CC31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-27.91%</w:t>
            </w:r>
          </w:p>
        </w:tc>
        <w:tc>
          <w:tcPr>
            <w:tcW w:w="1245" w:type="dxa"/>
            <w:shd w:val="clear" w:color="auto" w:fill="FFFFFF" w:themeFill="background1"/>
            <w:vAlign w:val="center"/>
          </w:tcPr>
          <w:p w14:paraId="338502E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-27.17%</w:t>
            </w:r>
          </w:p>
        </w:tc>
      </w:tr>
      <w:tr w:rsidR="00632E5B" w14:paraId="0E9EF331" w14:textId="77777777" w:rsidTr="00015F25">
        <w:trPr>
          <w:trHeight w:val="240"/>
        </w:trPr>
        <w:tc>
          <w:tcPr>
            <w:tcW w:w="1307" w:type="dxa"/>
            <w:shd w:val="clear" w:color="auto" w:fill="FFFFFF" w:themeFill="background1"/>
            <w:vAlign w:val="center"/>
          </w:tcPr>
          <w:p w14:paraId="281AD24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电站运营维护及其他</w:t>
            </w:r>
          </w:p>
        </w:tc>
        <w:tc>
          <w:tcPr>
            <w:tcW w:w="1701" w:type="dxa"/>
            <w:shd w:val="clear" w:color="auto" w:fill="FFFFFF" w:themeFill="background1"/>
            <w:vAlign w:val="center"/>
          </w:tcPr>
          <w:p w14:paraId="2800F43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17,757,813.61</w:t>
            </w:r>
          </w:p>
        </w:tc>
        <w:tc>
          <w:tcPr>
            <w:tcW w:w="1701" w:type="dxa"/>
            <w:shd w:val="clear" w:color="auto" w:fill="FFFFFF" w:themeFill="background1"/>
            <w:vAlign w:val="center"/>
          </w:tcPr>
          <w:p w14:paraId="47A4907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15,718,938.62</w:t>
            </w:r>
          </w:p>
        </w:tc>
        <w:tc>
          <w:tcPr>
            <w:tcW w:w="850" w:type="dxa"/>
            <w:shd w:val="clear" w:color="auto" w:fill="FFFFFF" w:themeFill="background1"/>
            <w:vAlign w:val="center"/>
          </w:tcPr>
          <w:p w14:paraId="0F479D9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11.48%</w:t>
            </w:r>
          </w:p>
        </w:tc>
        <w:tc>
          <w:tcPr>
            <w:tcW w:w="1418" w:type="dxa"/>
            <w:shd w:val="clear" w:color="auto" w:fill="FFFFFF" w:themeFill="background1"/>
            <w:vAlign w:val="center"/>
          </w:tcPr>
          <w:p w14:paraId="4976958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-39.23%</w:t>
            </w:r>
          </w:p>
        </w:tc>
        <w:tc>
          <w:tcPr>
            <w:tcW w:w="1417" w:type="dxa"/>
            <w:shd w:val="clear" w:color="auto" w:fill="FFFFFF" w:themeFill="background1"/>
            <w:vAlign w:val="center"/>
          </w:tcPr>
          <w:p w14:paraId="65545CA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-31.18%</w:t>
            </w:r>
          </w:p>
        </w:tc>
        <w:tc>
          <w:tcPr>
            <w:tcW w:w="1245" w:type="dxa"/>
            <w:shd w:val="clear" w:color="auto" w:fill="FFFFFF" w:themeFill="background1"/>
            <w:vAlign w:val="center"/>
          </w:tcPr>
          <w:p w14:paraId="7073340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-10.36%</w:t>
            </w:r>
          </w:p>
        </w:tc>
      </w:tr>
      <w:tr w:rsidR="00632E5B" w14:paraId="470FCAC5" w14:textId="77777777" w:rsidTr="00015F25">
        <w:trPr>
          <w:trHeight w:val="240"/>
        </w:trPr>
        <w:tc>
          <w:tcPr>
            <w:tcW w:w="1307" w:type="dxa"/>
            <w:shd w:val="clear" w:color="auto" w:fill="FFFFFF" w:themeFill="background1"/>
            <w:vAlign w:val="center"/>
          </w:tcPr>
          <w:p w14:paraId="02E456C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材料及租金</w:t>
            </w:r>
          </w:p>
        </w:tc>
        <w:tc>
          <w:tcPr>
            <w:tcW w:w="1701" w:type="dxa"/>
            <w:shd w:val="clear" w:color="auto" w:fill="FFFFFF" w:themeFill="background1"/>
            <w:vAlign w:val="center"/>
          </w:tcPr>
          <w:p w14:paraId="0CE1B7B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17,554,146.32</w:t>
            </w:r>
          </w:p>
        </w:tc>
        <w:tc>
          <w:tcPr>
            <w:tcW w:w="1701" w:type="dxa"/>
            <w:shd w:val="clear" w:color="auto" w:fill="FFFFFF" w:themeFill="background1"/>
            <w:vAlign w:val="center"/>
          </w:tcPr>
          <w:p w14:paraId="4A51631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7,372,742.75</w:t>
            </w:r>
          </w:p>
        </w:tc>
        <w:tc>
          <w:tcPr>
            <w:tcW w:w="850" w:type="dxa"/>
            <w:shd w:val="clear" w:color="auto" w:fill="FFFFFF" w:themeFill="background1"/>
            <w:vAlign w:val="center"/>
          </w:tcPr>
          <w:p w14:paraId="2F52322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58.00%</w:t>
            </w:r>
          </w:p>
        </w:tc>
        <w:tc>
          <w:tcPr>
            <w:tcW w:w="1418" w:type="dxa"/>
            <w:shd w:val="clear" w:color="auto" w:fill="FFFFFF" w:themeFill="background1"/>
            <w:vAlign w:val="center"/>
          </w:tcPr>
          <w:p w14:paraId="7F5AA21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-49.13%</w:t>
            </w:r>
          </w:p>
        </w:tc>
        <w:tc>
          <w:tcPr>
            <w:tcW w:w="1417" w:type="dxa"/>
            <w:shd w:val="clear" w:color="auto" w:fill="FFFFFF" w:themeFill="background1"/>
            <w:vAlign w:val="center"/>
          </w:tcPr>
          <w:p w14:paraId="53090E5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-74.51%</w:t>
            </w:r>
          </w:p>
        </w:tc>
        <w:tc>
          <w:tcPr>
            <w:tcW w:w="1245" w:type="dxa"/>
            <w:shd w:val="clear" w:color="auto" w:fill="FFFFFF" w:themeFill="background1"/>
            <w:vAlign w:val="center"/>
          </w:tcPr>
          <w:p w14:paraId="1D79070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41.82%</w:t>
            </w:r>
          </w:p>
        </w:tc>
      </w:tr>
      <w:tr w:rsidR="00632E5B" w14:paraId="6FEB6461" w14:textId="77777777" w:rsidTr="00015F25">
        <w:trPr>
          <w:trHeight w:val="240"/>
        </w:trPr>
        <w:tc>
          <w:tcPr>
            <w:tcW w:w="9639" w:type="dxa"/>
            <w:gridSpan w:val="7"/>
            <w:shd w:val="clear" w:color="auto" w:fill="FFFFFF" w:themeFill="background1"/>
            <w:vAlign w:val="center"/>
          </w:tcPr>
          <w:p w14:paraId="43E2D3FD"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分地区</w:t>
            </w:r>
          </w:p>
        </w:tc>
      </w:tr>
      <w:tr w:rsidR="00632E5B" w14:paraId="34275A84" w14:textId="77777777" w:rsidTr="00015F25">
        <w:trPr>
          <w:trHeight w:val="240"/>
        </w:trPr>
        <w:tc>
          <w:tcPr>
            <w:tcW w:w="1307" w:type="dxa"/>
            <w:shd w:val="clear" w:color="auto" w:fill="FFFFFF" w:themeFill="background1"/>
            <w:vAlign w:val="center"/>
          </w:tcPr>
          <w:p w14:paraId="3476C46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东北地区</w:t>
            </w:r>
          </w:p>
        </w:tc>
        <w:tc>
          <w:tcPr>
            <w:tcW w:w="1701" w:type="dxa"/>
            <w:shd w:val="clear" w:color="auto" w:fill="FFFFFF" w:themeFill="background1"/>
            <w:vAlign w:val="center"/>
          </w:tcPr>
          <w:p w14:paraId="4B59F4F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85,440,575.66</w:t>
            </w:r>
          </w:p>
        </w:tc>
        <w:tc>
          <w:tcPr>
            <w:tcW w:w="1701" w:type="dxa"/>
            <w:shd w:val="clear" w:color="auto" w:fill="FFFFFF" w:themeFill="background1"/>
            <w:vAlign w:val="center"/>
          </w:tcPr>
          <w:p w14:paraId="55188FF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86,790,487.08</w:t>
            </w:r>
          </w:p>
        </w:tc>
        <w:tc>
          <w:tcPr>
            <w:tcW w:w="850" w:type="dxa"/>
            <w:shd w:val="clear" w:color="auto" w:fill="FFFFFF" w:themeFill="background1"/>
            <w:vAlign w:val="center"/>
          </w:tcPr>
          <w:p w14:paraId="2A589CF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-1.58%</w:t>
            </w:r>
          </w:p>
        </w:tc>
        <w:tc>
          <w:tcPr>
            <w:tcW w:w="1418" w:type="dxa"/>
            <w:shd w:val="clear" w:color="auto" w:fill="FFFFFF" w:themeFill="background1"/>
            <w:vAlign w:val="center"/>
          </w:tcPr>
          <w:p w14:paraId="248AE1E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-21.90%</w:t>
            </w:r>
          </w:p>
        </w:tc>
        <w:tc>
          <w:tcPr>
            <w:tcW w:w="1417" w:type="dxa"/>
            <w:shd w:val="clear" w:color="auto" w:fill="FFFFFF" w:themeFill="background1"/>
            <w:vAlign w:val="center"/>
          </w:tcPr>
          <w:p w14:paraId="7F097F3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-14.77%</w:t>
            </w:r>
          </w:p>
        </w:tc>
        <w:tc>
          <w:tcPr>
            <w:tcW w:w="1245" w:type="dxa"/>
            <w:shd w:val="clear" w:color="auto" w:fill="FFFFFF" w:themeFill="background1"/>
            <w:vAlign w:val="center"/>
          </w:tcPr>
          <w:p w14:paraId="2A63079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-8.50%</w:t>
            </w:r>
          </w:p>
        </w:tc>
      </w:tr>
      <w:tr w:rsidR="00632E5B" w14:paraId="5CA07D99" w14:textId="77777777" w:rsidTr="00015F25">
        <w:trPr>
          <w:trHeight w:val="240"/>
        </w:trPr>
        <w:tc>
          <w:tcPr>
            <w:tcW w:w="1307" w:type="dxa"/>
            <w:shd w:val="clear" w:color="auto" w:fill="FFFFFF" w:themeFill="background1"/>
            <w:vAlign w:val="center"/>
          </w:tcPr>
          <w:p w14:paraId="64C83CF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华北地区</w:t>
            </w:r>
          </w:p>
        </w:tc>
        <w:tc>
          <w:tcPr>
            <w:tcW w:w="1701" w:type="dxa"/>
            <w:shd w:val="clear" w:color="auto" w:fill="FFFFFF" w:themeFill="background1"/>
            <w:vAlign w:val="center"/>
          </w:tcPr>
          <w:p w14:paraId="70D6ABD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78,436,760.75</w:t>
            </w:r>
          </w:p>
        </w:tc>
        <w:tc>
          <w:tcPr>
            <w:tcW w:w="1701" w:type="dxa"/>
            <w:shd w:val="clear" w:color="auto" w:fill="FFFFFF" w:themeFill="background1"/>
            <w:vAlign w:val="center"/>
          </w:tcPr>
          <w:p w14:paraId="768C0D9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60,265,127.50</w:t>
            </w:r>
          </w:p>
        </w:tc>
        <w:tc>
          <w:tcPr>
            <w:tcW w:w="850" w:type="dxa"/>
            <w:shd w:val="clear" w:color="auto" w:fill="FFFFFF" w:themeFill="background1"/>
            <w:vAlign w:val="center"/>
          </w:tcPr>
          <w:p w14:paraId="75F2E8B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23.17%</w:t>
            </w:r>
          </w:p>
        </w:tc>
        <w:tc>
          <w:tcPr>
            <w:tcW w:w="1418" w:type="dxa"/>
            <w:shd w:val="clear" w:color="auto" w:fill="FFFFFF" w:themeFill="background1"/>
            <w:vAlign w:val="center"/>
          </w:tcPr>
          <w:p w14:paraId="02D6CCF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-70.55%</w:t>
            </w:r>
          </w:p>
        </w:tc>
        <w:tc>
          <w:tcPr>
            <w:tcW w:w="1417" w:type="dxa"/>
            <w:shd w:val="clear" w:color="auto" w:fill="FFFFFF" w:themeFill="background1"/>
            <w:vAlign w:val="center"/>
          </w:tcPr>
          <w:p w14:paraId="0581C56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-72.93%</w:t>
            </w:r>
          </w:p>
        </w:tc>
        <w:tc>
          <w:tcPr>
            <w:tcW w:w="1245" w:type="dxa"/>
            <w:shd w:val="clear" w:color="auto" w:fill="FFFFFF" w:themeFill="background1"/>
            <w:vAlign w:val="center"/>
          </w:tcPr>
          <w:p w14:paraId="5E7F81B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6.73%</w:t>
            </w:r>
          </w:p>
        </w:tc>
      </w:tr>
      <w:tr w:rsidR="00632E5B" w14:paraId="202457CF" w14:textId="77777777" w:rsidTr="00015F25">
        <w:trPr>
          <w:trHeight w:val="240"/>
        </w:trPr>
        <w:tc>
          <w:tcPr>
            <w:tcW w:w="1307" w:type="dxa"/>
            <w:shd w:val="clear" w:color="auto" w:fill="FFFFFF" w:themeFill="background1"/>
            <w:vAlign w:val="center"/>
          </w:tcPr>
          <w:p w14:paraId="13FF3A9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华东地区</w:t>
            </w:r>
          </w:p>
        </w:tc>
        <w:tc>
          <w:tcPr>
            <w:tcW w:w="1701" w:type="dxa"/>
            <w:shd w:val="clear" w:color="auto" w:fill="FFFFFF" w:themeFill="background1"/>
            <w:vAlign w:val="center"/>
          </w:tcPr>
          <w:p w14:paraId="41785F5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846,081,909.24</w:t>
            </w:r>
          </w:p>
        </w:tc>
        <w:tc>
          <w:tcPr>
            <w:tcW w:w="1701" w:type="dxa"/>
            <w:shd w:val="clear" w:color="auto" w:fill="FFFFFF" w:themeFill="background1"/>
            <w:vAlign w:val="center"/>
          </w:tcPr>
          <w:p w14:paraId="41ED8EC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878,445,573.06</w:t>
            </w:r>
          </w:p>
        </w:tc>
        <w:tc>
          <w:tcPr>
            <w:tcW w:w="850" w:type="dxa"/>
            <w:shd w:val="clear" w:color="auto" w:fill="FFFFFF" w:themeFill="background1"/>
            <w:vAlign w:val="center"/>
          </w:tcPr>
          <w:p w14:paraId="518C294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-3.83%</w:t>
            </w:r>
          </w:p>
        </w:tc>
        <w:tc>
          <w:tcPr>
            <w:tcW w:w="1418" w:type="dxa"/>
            <w:shd w:val="clear" w:color="auto" w:fill="FFFFFF" w:themeFill="background1"/>
            <w:vAlign w:val="center"/>
          </w:tcPr>
          <w:p w14:paraId="0918B50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-38.28%</w:t>
            </w:r>
          </w:p>
        </w:tc>
        <w:tc>
          <w:tcPr>
            <w:tcW w:w="1417" w:type="dxa"/>
            <w:shd w:val="clear" w:color="auto" w:fill="FFFFFF" w:themeFill="background1"/>
            <w:vAlign w:val="center"/>
          </w:tcPr>
          <w:p w14:paraId="13E6A44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-29.87%</w:t>
            </w:r>
          </w:p>
        </w:tc>
        <w:tc>
          <w:tcPr>
            <w:tcW w:w="1245" w:type="dxa"/>
            <w:shd w:val="clear" w:color="auto" w:fill="FFFFFF" w:themeFill="background1"/>
            <w:vAlign w:val="center"/>
          </w:tcPr>
          <w:p w14:paraId="123897C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-12.45%</w:t>
            </w:r>
          </w:p>
        </w:tc>
      </w:tr>
      <w:tr w:rsidR="00632E5B" w14:paraId="487A3B21" w14:textId="77777777" w:rsidTr="00015F25">
        <w:trPr>
          <w:trHeight w:val="240"/>
        </w:trPr>
        <w:tc>
          <w:tcPr>
            <w:tcW w:w="1307" w:type="dxa"/>
            <w:shd w:val="clear" w:color="auto" w:fill="FFFFFF" w:themeFill="background1"/>
            <w:vAlign w:val="center"/>
          </w:tcPr>
          <w:p w14:paraId="2D496CD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华南地区</w:t>
            </w:r>
          </w:p>
        </w:tc>
        <w:tc>
          <w:tcPr>
            <w:tcW w:w="1701" w:type="dxa"/>
            <w:shd w:val="clear" w:color="auto" w:fill="FFFFFF" w:themeFill="background1"/>
            <w:vAlign w:val="center"/>
          </w:tcPr>
          <w:p w14:paraId="74E1BA1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83,764,021.50</w:t>
            </w:r>
          </w:p>
        </w:tc>
        <w:tc>
          <w:tcPr>
            <w:tcW w:w="1701" w:type="dxa"/>
            <w:shd w:val="clear" w:color="auto" w:fill="FFFFFF" w:themeFill="background1"/>
            <w:vAlign w:val="center"/>
          </w:tcPr>
          <w:p w14:paraId="12ABF3F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79,613,129.72</w:t>
            </w:r>
          </w:p>
        </w:tc>
        <w:tc>
          <w:tcPr>
            <w:tcW w:w="850" w:type="dxa"/>
            <w:shd w:val="clear" w:color="auto" w:fill="FFFFFF" w:themeFill="background1"/>
            <w:vAlign w:val="center"/>
          </w:tcPr>
          <w:p w14:paraId="69BB4A2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4.96%</w:t>
            </w:r>
          </w:p>
        </w:tc>
        <w:tc>
          <w:tcPr>
            <w:tcW w:w="1418" w:type="dxa"/>
            <w:shd w:val="clear" w:color="auto" w:fill="FFFFFF" w:themeFill="background1"/>
            <w:vAlign w:val="center"/>
          </w:tcPr>
          <w:p w14:paraId="5119C5C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-30.49%</w:t>
            </w:r>
          </w:p>
        </w:tc>
        <w:tc>
          <w:tcPr>
            <w:tcW w:w="1417" w:type="dxa"/>
            <w:shd w:val="clear" w:color="auto" w:fill="FFFFFF" w:themeFill="background1"/>
            <w:vAlign w:val="center"/>
          </w:tcPr>
          <w:p w14:paraId="64C5B29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-28.54%</w:t>
            </w:r>
          </w:p>
        </w:tc>
        <w:tc>
          <w:tcPr>
            <w:tcW w:w="1245" w:type="dxa"/>
            <w:shd w:val="clear" w:color="auto" w:fill="FFFFFF" w:themeFill="background1"/>
            <w:vAlign w:val="center"/>
          </w:tcPr>
          <w:p w14:paraId="0F62483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-2.59%</w:t>
            </w:r>
          </w:p>
        </w:tc>
      </w:tr>
      <w:tr w:rsidR="00632E5B" w14:paraId="1F41CD6A" w14:textId="77777777" w:rsidTr="00015F25">
        <w:trPr>
          <w:trHeight w:val="240"/>
        </w:trPr>
        <w:tc>
          <w:tcPr>
            <w:tcW w:w="1307" w:type="dxa"/>
            <w:shd w:val="clear" w:color="auto" w:fill="FFFFFF" w:themeFill="background1"/>
            <w:vAlign w:val="center"/>
          </w:tcPr>
          <w:p w14:paraId="143B3B3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华中地区</w:t>
            </w:r>
          </w:p>
        </w:tc>
        <w:tc>
          <w:tcPr>
            <w:tcW w:w="1701" w:type="dxa"/>
            <w:shd w:val="clear" w:color="auto" w:fill="FFFFFF" w:themeFill="background1"/>
            <w:vAlign w:val="center"/>
          </w:tcPr>
          <w:p w14:paraId="3F5B080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54,939,887.26</w:t>
            </w:r>
          </w:p>
        </w:tc>
        <w:tc>
          <w:tcPr>
            <w:tcW w:w="1701" w:type="dxa"/>
            <w:shd w:val="clear" w:color="auto" w:fill="FFFFFF" w:themeFill="background1"/>
            <w:vAlign w:val="center"/>
          </w:tcPr>
          <w:p w14:paraId="225052C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52,376,400.11</w:t>
            </w:r>
          </w:p>
        </w:tc>
        <w:tc>
          <w:tcPr>
            <w:tcW w:w="850" w:type="dxa"/>
            <w:shd w:val="clear" w:color="auto" w:fill="FFFFFF" w:themeFill="background1"/>
            <w:vAlign w:val="center"/>
          </w:tcPr>
          <w:p w14:paraId="7E8492C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4.67%</w:t>
            </w:r>
          </w:p>
        </w:tc>
        <w:tc>
          <w:tcPr>
            <w:tcW w:w="1418" w:type="dxa"/>
            <w:shd w:val="clear" w:color="auto" w:fill="FFFFFF" w:themeFill="background1"/>
            <w:vAlign w:val="center"/>
          </w:tcPr>
          <w:p w14:paraId="3EFED69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-47.51%</w:t>
            </w:r>
          </w:p>
        </w:tc>
        <w:tc>
          <w:tcPr>
            <w:tcW w:w="1417" w:type="dxa"/>
            <w:shd w:val="clear" w:color="auto" w:fill="FFFFFF" w:themeFill="background1"/>
            <w:vAlign w:val="center"/>
          </w:tcPr>
          <w:p w14:paraId="517C69C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-39.56%</w:t>
            </w:r>
          </w:p>
        </w:tc>
        <w:tc>
          <w:tcPr>
            <w:tcW w:w="1245" w:type="dxa"/>
            <w:shd w:val="clear" w:color="auto" w:fill="FFFFFF" w:themeFill="background1"/>
            <w:vAlign w:val="center"/>
          </w:tcPr>
          <w:p w14:paraId="2CF3C7B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-12.54%</w:t>
            </w:r>
          </w:p>
        </w:tc>
      </w:tr>
      <w:tr w:rsidR="00632E5B" w14:paraId="2F6E4301" w14:textId="77777777" w:rsidTr="00015F25">
        <w:trPr>
          <w:trHeight w:val="240"/>
        </w:trPr>
        <w:tc>
          <w:tcPr>
            <w:tcW w:w="1307" w:type="dxa"/>
            <w:shd w:val="clear" w:color="auto" w:fill="FFFFFF" w:themeFill="background1"/>
            <w:vAlign w:val="center"/>
          </w:tcPr>
          <w:p w14:paraId="3A7220B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西北地区</w:t>
            </w:r>
          </w:p>
        </w:tc>
        <w:tc>
          <w:tcPr>
            <w:tcW w:w="1701" w:type="dxa"/>
            <w:shd w:val="clear" w:color="auto" w:fill="FFFFFF" w:themeFill="background1"/>
            <w:vAlign w:val="center"/>
          </w:tcPr>
          <w:p w14:paraId="475EEC9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89,038,769.59</w:t>
            </w:r>
          </w:p>
        </w:tc>
        <w:tc>
          <w:tcPr>
            <w:tcW w:w="1701" w:type="dxa"/>
            <w:shd w:val="clear" w:color="auto" w:fill="FFFFFF" w:themeFill="background1"/>
            <w:vAlign w:val="center"/>
          </w:tcPr>
          <w:p w14:paraId="1FA664D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80,705,736.28</w:t>
            </w:r>
          </w:p>
        </w:tc>
        <w:tc>
          <w:tcPr>
            <w:tcW w:w="850" w:type="dxa"/>
            <w:shd w:val="clear" w:color="auto" w:fill="FFFFFF" w:themeFill="background1"/>
            <w:vAlign w:val="center"/>
          </w:tcPr>
          <w:p w14:paraId="4D76A69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9.36%</w:t>
            </w:r>
          </w:p>
        </w:tc>
        <w:tc>
          <w:tcPr>
            <w:tcW w:w="1418" w:type="dxa"/>
            <w:shd w:val="clear" w:color="auto" w:fill="FFFFFF" w:themeFill="background1"/>
            <w:vAlign w:val="center"/>
          </w:tcPr>
          <w:p w14:paraId="5BE150E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-46.44%</w:t>
            </w:r>
          </w:p>
        </w:tc>
        <w:tc>
          <w:tcPr>
            <w:tcW w:w="1417" w:type="dxa"/>
            <w:shd w:val="clear" w:color="auto" w:fill="FFFFFF" w:themeFill="background1"/>
            <w:vAlign w:val="center"/>
          </w:tcPr>
          <w:p w14:paraId="6DE8D52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-47.36%</w:t>
            </w:r>
          </w:p>
        </w:tc>
        <w:tc>
          <w:tcPr>
            <w:tcW w:w="1245" w:type="dxa"/>
            <w:shd w:val="clear" w:color="auto" w:fill="FFFFFF" w:themeFill="background1"/>
            <w:vAlign w:val="center"/>
          </w:tcPr>
          <w:p w14:paraId="1845237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1.59%</w:t>
            </w:r>
          </w:p>
        </w:tc>
      </w:tr>
      <w:tr w:rsidR="00632E5B" w14:paraId="0C581C4F" w14:textId="77777777" w:rsidTr="00015F25">
        <w:trPr>
          <w:trHeight w:val="240"/>
        </w:trPr>
        <w:tc>
          <w:tcPr>
            <w:tcW w:w="1307" w:type="dxa"/>
            <w:shd w:val="clear" w:color="auto" w:fill="FFFFFF" w:themeFill="background1"/>
            <w:vAlign w:val="center"/>
          </w:tcPr>
          <w:p w14:paraId="340D4EB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西南地区</w:t>
            </w:r>
          </w:p>
        </w:tc>
        <w:tc>
          <w:tcPr>
            <w:tcW w:w="1701" w:type="dxa"/>
            <w:shd w:val="clear" w:color="auto" w:fill="FFFFFF" w:themeFill="background1"/>
            <w:vAlign w:val="center"/>
          </w:tcPr>
          <w:p w14:paraId="7D92662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172,142,431.50</w:t>
            </w:r>
          </w:p>
        </w:tc>
        <w:tc>
          <w:tcPr>
            <w:tcW w:w="1701" w:type="dxa"/>
            <w:shd w:val="clear" w:color="auto" w:fill="FFFFFF" w:themeFill="background1"/>
            <w:vAlign w:val="center"/>
          </w:tcPr>
          <w:p w14:paraId="7466AB0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116,752,690.89</w:t>
            </w:r>
          </w:p>
        </w:tc>
        <w:tc>
          <w:tcPr>
            <w:tcW w:w="850" w:type="dxa"/>
            <w:shd w:val="clear" w:color="auto" w:fill="FFFFFF" w:themeFill="background1"/>
            <w:vAlign w:val="center"/>
          </w:tcPr>
          <w:p w14:paraId="21BD28B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32.18%</w:t>
            </w:r>
          </w:p>
        </w:tc>
        <w:tc>
          <w:tcPr>
            <w:tcW w:w="1418" w:type="dxa"/>
            <w:shd w:val="clear" w:color="auto" w:fill="FFFFFF" w:themeFill="background1"/>
            <w:vAlign w:val="center"/>
          </w:tcPr>
          <w:p w14:paraId="70CF5B8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-10.55%</w:t>
            </w:r>
          </w:p>
        </w:tc>
        <w:tc>
          <w:tcPr>
            <w:tcW w:w="1417" w:type="dxa"/>
            <w:shd w:val="clear" w:color="auto" w:fill="FFFFFF" w:themeFill="background1"/>
            <w:vAlign w:val="center"/>
          </w:tcPr>
          <w:p w14:paraId="5DF7379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-24.47%</w:t>
            </w:r>
          </w:p>
        </w:tc>
        <w:tc>
          <w:tcPr>
            <w:tcW w:w="1245" w:type="dxa"/>
            <w:shd w:val="clear" w:color="auto" w:fill="FFFFFF" w:themeFill="background1"/>
            <w:vAlign w:val="center"/>
          </w:tcPr>
          <w:p w14:paraId="701C64E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12.50%</w:t>
            </w:r>
          </w:p>
        </w:tc>
      </w:tr>
      <w:tr w:rsidR="00632E5B" w14:paraId="6C1E55D5" w14:textId="77777777" w:rsidTr="00015F25">
        <w:trPr>
          <w:trHeight w:val="240"/>
        </w:trPr>
        <w:tc>
          <w:tcPr>
            <w:tcW w:w="1307" w:type="dxa"/>
            <w:shd w:val="clear" w:color="auto" w:fill="FFFFFF" w:themeFill="background1"/>
            <w:vAlign w:val="center"/>
          </w:tcPr>
          <w:p w14:paraId="2B42B84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国外地区</w:t>
            </w:r>
          </w:p>
        </w:tc>
        <w:tc>
          <w:tcPr>
            <w:tcW w:w="1701" w:type="dxa"/>
            <w:shd w:val="clear" w:color="auto" w:fill="FFFFFF" w:themeFill="background1"/>
            <w:vAlign w:val="center"/>
          </w:tcPr>
          <w:p w14:paraId="39A42A6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948,135,392.06</w:t>
            </w:r>
          </w:p>
        </w:tc>
        <w:tc>
          <w:tcPr>
            <w:tcW w:w="1701" w:type="dxa"/>
            <w:shd w:val="clear" w:color="auto" w:fill="FFFFFF" w:themeFill="background1"/>
            <w:vAlign w:val="center"/>
          </w:tcPr>
          <w:p w14:paraId="69FB642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618,066,848.01</w:t>
            </w:r>
          </w:p>
        </w:tc>
        <w:tc>
          <w:tcPr>
            <w:tcW w:w="850" w:type="dxa"/>
            <w:shd w:val="clear" w:color="auto" w:fill="FFFFFF" w:themeFill="background1"/>
            <w:vAlign w:val="center"/>
          </w:tcPr>
          <w:p w14:paraId="6C3DB82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34.81%</w:t>
            </w:r>
          </w:p>
        </w:tc>
        <w:tc>
          <w:tcPr>
            <w:tcW w:w="1418" w:type="dxa"/>
            <w:shd w:val="clear" w:color="auto" w:fill="FFFFFF" w:themeFill="background1"/>
            <w:vAlign w:val="center"/>
          </w:tcPr>
          <w:p w14:paraId="16CEB2C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-44.90%</w:t>
            </w:r>
          </w:p>
        </w:tc>
        <w:tc>
          <w:tcPr>
            <w:tcW w:w="1417" w:type="dxa"/>
            <w:shd w:val="clear" w:color="auto" w:fill="FFFFFF" w:themeFill="background1"/>
            <w:vAlign w:val="center"/>
          </w:tcPr>
          <w:p w14:paraId="12ACFA2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-56.63%</w:t>
            </w:r>
          </w:p>
        </w:tc>
        <w:tc>
          <w:tcPr>
            <w:tcW w:w="1245" w:type="dxa"/>
            <w:shd w:val="clear" w:color="auto" w:fill="FFFFFF" w:themeFill="background1"/>
            <w:vAlign w:val="center"/>
          </w:tcPr>
          <w:p w14:paraId="110446D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17.63%</w:t>
            </w:r>
          </w:p>
        </w:tc>
      </w:tr>
      <w:tr w:rsidR="00632E5B" w14:paraId="57363554" w14:textId="77777777" w:rsidTr="00015F25">
        <w:trPr>
          <w:trHeight w:val="240"/>
        </w:trPr>
        <w:tc>
          <w:tcPr>
            <w:tcW w:w="9639" w:type="dxa"/>
            <w:gridSpan w:val="7"/>
            <w:shd w:val="clear" w:color="auto" w:fill="FFFFFF" w:themeFill="background1"/>
            <w:vAlign w:val="center"/>
          </w:tcPr>
          <w:p w14:paraId="62CFC144"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分销售模式</w:t>
            </w:r>
          </w:p>
        </w:tc>
      </w:tr>
      <w:tr w:rsidR="00632E5B" w14:paraId="0F8F15A5" w14:textId="77777777" w:rsidTr="00015F25">
        <w:trPr>
          <w:trHeight w:val="240"/>
        </w:trPr>
        <w:tc>
          <w:tcPr>
            <w:tcW w:w="1307" w:type="dxa"/>
            <w:shd w:val="clear" w:color="auto" w:fill="FFFFFF" w:themeFill="background1"/>
            <w:vAlign w:val="center"/>
          </w:tcPr>
          <w:p w14:paraId="55A8B95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直销</w:t>
            </w:r>
          </w:p>
        </w:tc>
        <w:tc>
          <w:tcPr>
            <w:tcW w:w="1701" w:type="dxa"/>
            <w:shd w:val="clear" w:color="auto" w:fill="FFFFFF" w:themeFill="background1"/>
            <w:vAlign w:val="center"/>
          </w:tcPr>
          <w:p w14:paraId="44DC53E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2,357,979,747.56</w:t>
            </w:r>
          </w:p>
        </w:tc>
        <w:tc>
          <w:tcPr>
            <w:tcW w:w="1701" w:type="dxa"/>
            <w:shd w:val="clear" w:color="auto" w:fill="FFFFFF" w:themeFill="background1"/>
            <w:vAlign w:val="center"/>
          </w:tcPr>
          <w:p w14:paraId="538B3EA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1,973,015,992.65</w:t>
            </w:r>
          </w:p>
        </w:tc>
        <w:tc>
          <w:tcPr>
            <w:tcW w:w="850" w:type="dxa"/>
            <w:shd w:val="clear" w:color="auto" w:fill="FFFFFF" w:themeFill="background1"/>
            <w:vAlign w:val="center"/>
          </w:tcPr>
          <w:p w14:paraId="1FEE501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16.33%</w:t>
            </w:r>
          </w:p>
        </w:tc>
        <w:tc>
          <w:tcPr>
            <w:tcW w:w="1418" w:type="dxa"/>
            <w:shd w:val="clear" w:color="auto" w:fill="FFFFFF" w:themeFill="background1"/>
            <w:vAlign w:val="center"/>
          </w:tcPr>
          <w:p w14:paraId="1482BB7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-41.80%</w:t>
            </w:r>
          </w:p>
        </w:tc>
        <w:tc>
          <w:tcPr>
            <w:tcW w:w="1417" w:type="dxa"/>
            <w:shd w:val="clear" w:color="auto" w:fill="FFFFFF" w:themeFill="background1"/>
            <w:vAlign w:val="center"/>
          </w:tcPr>
          <w:p w14:paraId="765EF13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-43.76%</w:t>
            </w:r>
          </w:p>
        </w:tc>
        <w:tc>
          <w:tcPr>
            <w:tcW w:w="1245" w:type="dxa"/>
            <w:shd w:val="clear" w:color="auto" w:fill="FFFFFF" w:themeFill="background1"/>
            <w:vAlign w:val="center"/>
          </w:tcPr>
          <w:p w14:paraId="33599AA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2.92%</w:t>
            </w:r>
          </w:p>
        </w:tc>
      </w:tr>
    </w:tbl>
    <w:p w14:paraId="7F3E2305"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公司主营业务数据统计口径在报告期发生调整的情况下，公司最近1年按报告期末口径调整后的主营业务数据</w:t>
      </w:r>
    </w:p>
    <w:p w14:paraId="0DD26CFB"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A60C91B" w14:textId="77777777" w:rsidR="00015F25" w:rsidRDefault="00015F25">
      <w:pPr>
        <w:widowControl/>
        <w:rPr>
          <w:rFonts w:ascii="宋体" w:eastAsia="宋体" w:hAnsi="宋体" w:cs="宋体" w:hint="eastAsia"/>
          <w:b/>
          <w:bCs/>
          <w:sz w:val="18"/>
          <w:szCs w:val="18"/>
        </w:rPr>
      </w:pPr>
      <w:bookmarkStart w:id="22" w:name="_Toc988911"/>
      <w:r>
        <w:rPr>
          <w:rFonts w:ascii="宋体" w:eastAsia="宋体" w:hAnsi="宋体" w:cs="宋体" w:hint="eastAsia"/>
          <w:b/>
          <w:bCs/>
          <w:sz w:val="18"/>
          <w:szCs w:val="18"/>
        </w:rPr>
        <w:br w:type="page"/>
      </w:r>
    </w:p>
    <w:p w14:paraId="5CAB9DE4" w14:textId="6A898FDC" w:rsidR="00632E5B" w:rsidRDefault="00107901">
      <w:pPr>
        <w:keepNext/>
        <w:keepLines/>
        <w:spacing w:before="300" w:after="300" w:line="280" w:lineRule="exact"/>
        <w:outlineLvl w:val="3"/>
        <w:rPr>
          <w:rFonts w:ascii="宋体" w:eastAsia="宋体" w:hAnsi="宋体" w:cs="宋体" w:hint="eastAsia"/>
          <w:b/>
          <w:bCs/>
          <w:sz w:val="18"/>
          <w:szCs w:val="18"/>
        </w:rPr>
      </w:pPr>
      <w:r>
        <w:rPr>
          <w:rFonts w:ascii="宋体" w:eastAsia="宋体" w:hAnsi="宋体" w:cs="宋体"/>
          <w:b/>
          <w:bCs/>
          <w:sz w:val="18"/>
          <w:szCs w:val="18"/>
        </w:rPr>
        <w:lastRenderedPageBreak/>
        <w:t>（3） 公司实物销售收入是否大于劳务收入</w:t>
      </w:r>
      <w:bookmarkEnd w:id="22"/>
    </w:p>
    <w:p w14:paraId="3ED52352"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606"/>
        <w:gridCol w:w="1606"/>
        <w:gridCol w:w="1606"/>
        <w:gridCol w:w="1607"/>
        <w:gridCol w:w="1607"/>
        <w:gridCol w:w="1607"/>
      </w:tblGrid>
      <w:tr w:rsidR="00632E5B" w14:paraId="3920987D" w14:textId="77777777" w:rsidTr="00015F25">
        <w:trPr>
          <w:trHeight w:val="240"/>
        </w:trPr>
        <w:tc>
          <w:tcPr>
            <w:tcW w:w="1606" w:type="dxa"/>
            <w:shd w:val="clear" w:color="auto" w:fill="FFFFFF" w:themeFill="background1"/>
            <w:vAlign w:val="center"/>
          </w:tcPr>
          <w:p w14:paraId="11B8E56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行业分类</w:t>
            </w:r>
          </w:p>
        </w:tc>
        <w:tc>
          <w:tcPr>
            <w:tcW w:w="1606" w:type="dxa"/>
            <w:shd w:val="clear" w:color="auto" w:fill="FFFFFF" w:themeFill="background1"/>
            <w:vAlign w:val="center"/>
          </w:tcPr>
          <w:p w14:paraId="7D46118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606" w:type="dxa"/>
            <w:shd w:val="clear" w:color="auto" w:fill="FFFFFF" w:themeFill="background1"/>
            <w:vAlign w:val="center"/>
          </w:tcPr>
          <w:p w14:paraId="041BA28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单位</w:t>
            </w:r>
          </w:p>
        </w:tc>
        <w:tc>
          <w:tcPr>
            <w:tcW w:w="1606" w:type="dxa"/>
            <w:shd w:val="clear" w:color="auto" w:fill="FFFFFF" w:themeFill="background1"/>
            <w:vAlign w:val="center"/>
          </w:tcPr>
          <w:p w14:paraId="3337660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2024年</w:t>
            </w:r>
          </w:p>
        </w:tc>
        <w:tc>
          <w:tcPr>
            <w:tcW w:w="1606" w:type="dxa"/>
            <w:shd w:val="clear" w:color="auto" w:fill="FFFFFF" w:themeFill="background1"/>
            <w:vAlign w:val="center"/>
          </w:tcPr>
          <w:p w14:paraId="6F51982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2023年</w:t>
            </w:r>
          </w:p>
        </w:tc>
        <w:tc>
          <w:tcPr>
            <w:tcW w:w="1606" w:type="dxa"/>
            <w:shd w:val="clear" w:color="auto" w:fill="FFFFFF" w:themeFill="background1"/>
            <w:vAlign w:val="center"/>
          </w:tcPr>
          <w:p w14:paraId="2846A47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同比增减</w:t>
            </w:r>
          </w:p>
        </w:tc>
      </w:tr>
      <w:tr w:rsidR="00632E5B" w14:paraId="195CB21D" w14:textId="77777777" w:rsidTr="00015F25">
        <w:trPr>
          <w:trHeight w:val="240"/>
        </w:trPr>
        <w:tc>
          <w:tcPr>
            <w:tcW w:w="1606" w:type="dxa"/>
            <w:vMerge w:val="restart"/>
            <w:shd w:val="clear" w:color="auto" w:fill="FFFFFF" w:themeFill="background1"/>
            <w:vAlign w:val="center"/>
          </w:tcPr>
          <w:p w14:paraId="3286C7C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阻燃耐火软电缆</w:t>
            </w:r>
          </w:p>
        </w:tc>
        <w:tc>
          <w:tcPr>
            <w:tcW w:w="1606" w:type="dxa"/>
            <w:shd w:val="clear" w:color="auto" w:fill="FFFFFF" w:themeFill="background1"/>
            <w:vAlign w:val="center"/>
          </w:tcPr>
          <w:p w14:paraId="77AB0B5C"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销售量</w:t>
            </w:r>
          </w:p>
        </w:tc>
        <w:tc>
          <w:tcPr>
            <w:tcW w:w="1606" w:type="dxa"/>
            <w:shd w:val="clear" w:color="auto" w:fill="FFFFFF" w:themeFill="background1"/>
            <w:vAlign w:val="center"/>
          </w:tcPr>
          <w:p w14:paraId="77DFC21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公里</w:t>
            </w:r>
          </w:p>
        </w:tc>
        <w:tc>
          <w:tcPr>
            <w:tcW w:w="1606" w:type="dxa"/>
            <w:shd w:val="clear" w:color="auto" w:fill="FFFFFF" w:themeFill="background1"/>
            <w:vAlign w:val="center"/>
          </w:tcPr>
          <w:p w14:paraId="5E265F0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5,555.78</w:t>
            </w:r>
          </w:p>
        </w:tc>
        <w:tc>
          <w:tcPr>
            <w:tcW w:w="1606" w:type="dxa"/>
            <w:shd w:val="clear" w:color="auto" w:fill="FFFFFF" w:themeFill="background1"/>
            <w:vAlign w:val="center"/>
          </w:tcPr>
          <w:p w14:paraId="0119361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25,942.51</w:t>
            </w:r>
          </w:p>
        </w:tc>
        <w:tc>
          <w:tcPr>
            <w:tcW w:w="1606" w:type="dxa"/>
            <w:shd w:val="clear" w:color="auto" w:fill="FFFFFF" w:themeFill="background1"/>
            <w:vAlign w:val="center"/>
          </w:tcPr>
          <w:p w14:paraId="3F3CC4F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-78.58%</w:t>
            </w:r>
          </w:p>
        </w:tc>
      </w:tr>
      <w:tr w:rsidR="00632E5B" w14:paraId="5565D3DA" w14:textId="77777777" w:rsidTr="00015F25">
        <w:trPr>
          <w:trHeight w:val="240"/>
        </w:trPr>
        <w:tc>
          <w:tcPr>
            <w:tcW w:w="1606" w:type="dxa"/>
            <w:vMerge/>
            <w:shd w:val="clear" w:color="auto" w:fill="FFFFFF" w:themeFill="background1"/>
            <w:vAlign w:val="center"/>
          </w:tcPr>
          <w:p w14:paraId="1429CFF0"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231AF604"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生产量</w:t>
            </w:r>
          </w:p>
        </w:tc>
        <w:tc>
          <w:tcPr>
            <w:tcW w:w="1606" w:type="dxa"/>
            <w:shd w:val="clear" w:color="auto" w:fill="FFFFFF" w:themeFill="background1"/>
            <w:vAlign w:val="center"/>
          </w:tcPr>
          <w:p w14:paraId="5C5CCA6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公里</w:t>
            </w:r>
          </w:p>
        </w:tc>
        <w:tc>
          <w:tcPr>
            <w:tcW w:w="1606" w:type="dxa"/>
            <w:shd w:val="clear" w:color="auto" w:fill="FFFFFF" w:themeFill="background1"/>
            <w:vAlign w:val="center"/>
          </w:tcPr>
          <w:p w14:paraId="6ECD87D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5,657.42</w:t>
            </w:r>
          </w:p>
        </w:tc>
        <w:tc>
          <w:tcPr>
            <w:tcW w:w="1606" w:type="dxa"/>
            <w:shd w:val="clear" w:color="auto" w:fill="FFFFFF" w:themeFill="background1"/>
            <w:vAlign w:val="center"/>
          </w:tcPr>
          <w:p w14:paraId="5DE031D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11,334.74</w:t>
            </w:r>
          </w:p>
        </w:tc>
        <w:tc>
          <w:tcPr>
            <w:tcW w:w="1606" w:type="dxa"/>
            <w:shd w:val="clear" w:color="auto" w:fill="FFFFFF" w:themeFill="background1"/>
            <w:vAlign w:val="center"/>
          </w:tcPr>
          <w:p w14:paraId="7CE4177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-50.09%</w:t>
            </w:r>
          </w:p>
        </w:tc>
      </w:tr>
      <w:tr w:rsidR="00632E5B" w14:paraId="103BA0CE" w14:textId="77777777" w:rsidTr="00015F25">
        <w:trPr>
          <w:trHeight w:val="240"/>
        </w:trPr>
        <w:tc>
          <w:tcPr>
            <w:tcW w:w="1606" w:type="dxa"/>
            <w:vMerge/>
            <w:shd w:val="clear" w:color="auto" w:fill="FFFFFF" w:themeFill="background1"/>
            <w:vAlign w:val="center"/>
          </w:tcPr>
          <w:p w14:paraId="3E7D29F0"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62BEAA90"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库存量</w:t>
            </w:r>
          </w:p>
        </w:tc>
        <w:tc>
          <w:tcPr>
            <w:tcW w:w="1606" w:type="dxa"/>
            <w:shd w:val="clear" w:color="auto" w:fill="FFFFFF" w:themeFill="background1"/>
            <w:vAlign w:val="center"/>
          </w:tcPr>
          <w:p w14:paraId="47A2300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公里</w:t>
            </w:r>
          </w:p>
        </w:tc>
        <w:tc>
          <w:tcPr>
            <w:tcW w:w="1606" w:type="dxa"/>
            <w:shd w:val="clear" w:color="auto" w:fill="FFFFFF" w:themeFill="background1"/>
            <w:vAlign w:val="center"/>
          </w:tcPr>
          <w:p w14:paraId="34185A1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825.27</w:t>
            </w:r>
          </w:p>
        </w:tc>
        <w:tc>
          <w:tcPr>
            <w:tcW w:w="1606" w:type="dxa"/>
            <w:shd w:val="clear" w:color="auto" w:fill="FFFFFF" w:themeFill="background1"/>
            <w:vAlign w:val="center"/>
          </w:tcPr>
          <w:p w14:paraId="254552B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723.64</w:t>
            </w:r>
          </w:p>
        </w:tc>
        <w:tc>
          <w:tcPr>
            <w:tcW w:w="1606" w:type="dxa"/>
            <w:shd w:val="clear" w:color="auto" w:fill="FFFFFF" w:themeFill="background1"/>
            <w:vAlign w:val="center"/>
          </w:tcPr>
          <w:p w14:paraId="6F8303F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14.04%</w:t>
            </w:r>
          </w:p>
        </w:tc>
      </w:tr>
      <w:tr w:rsidR="00632E5B" w14:paraId="6380AF49" w14:textId="77777777" w:rsidTr="00015F25">
        <w:trPr>
          <w:trHeight w:val="240"/>
        </w:trPr>
        <w:tc>
          <w:tcPr>
            <w:tcW w:w="1606" w:type="dxa"/>
            <w:vMerge/>
            <w:shd w:val="clear" w:color="auto" w:fill="FFFFFF" w:themeFill="background1"/>
            <w:vAlign w:val="center"/>
          </w:tcPr>
          <w:p w14:paraId="5A94A75F"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13E5CB9E"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71C139A6"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1CCD7990"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11BD3E4A"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240B6078" w14:textId="77777777" w:rsidR="00632E5B" w:rsidRDefault="00632E5B">
            <w:pPr>
              <w:spacing w:line="240" w:lineRule="exact"/>
              <w:jc w:val="right"/>
              <w:rPr>
                <w:rFonts w:ascii="宋体" w:eastAsia="宋体" w:hAnsi="宋体" w:cs="宋体" w:hint="eastAsia"/>
                <w:sz w:val="18"/>
                <w:szCs w:val="18"/>
              </w:rPr>
            </w:pPr>
          </w:p>
        </w:tc>
      </w:tr>
      <w:tr w:rsidR="00632E5B" w14:paraId="2EF6ECD1" w14:textId="77777777" w:rsidTr="00015F25">
        <w:trPr>
          <w:trHeight w:val="240"/>
        </w:trPr>
        <w:tc>
          <w:tcPr>
            <w:tcW w:w="1606" w:type="dxa"/>
            <w:vMerge w:val="restart"/>
            <w:shd w:val="clear" w:color="auto" w:fill="FFFFFF" w:themeFill="background1"/>
            <w:vAlign w:val="center"/>
          </w:tcPr>
          <w:p w14:paraId="5AD17F9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金属导体</w:t>
            </w:r>
          </w:p>
        </w:tc>
        <w:tc>
          <w:tcPr>
            <w:tcW w:w="1606" w:type="dxa"/>
            <w:shd w:val="clear" w:color="auto" w:fill="FFFFFF" w:themeFill="background1"/>
            <w:vAlign w:val="center"/>
          </w:tcPr>
          <w:p w14:paraId="321908F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销售量</w:t>
            </w:r>
          </w:p>
        </w:tc>
        <w:tc>
          <w:tcPr>
            <w:tcW w:w="1606" w:type="dxa"/>
            <w:shd w:val="clear" w:color="auto" w:fill="FFFFFF" w:themeFill="background1"/>
            <w:vAlign w:val="center"/>
          </w:tcPr>
          <w:p w14:paraId="057ACE2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吨</w:t>
            </w:r>
          </w:p>
        </w:tc>
        <w:tc>
          <w:tcPr>
            <w:tcW w:w="1606" w:type="dxa"/>
            <w:shd w:val="clear" w:color="auto" w:fill="FFFFFF" w:themeFill="background1"/>
            <w:vAlign w:val="center"/>
          </w:tcPr>
          <w:p w14:paraId="53431B0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825.45</w:t>
            </w:r>
          </w:p>
        </w:tc>
        <w:tc>
          <w:tcPr>
            <w:tcW w:w="1606" w:type="dxa"/>
            <w:shd w:val="clear" w:color="auto" w:fill="FFFFFF" w:themeFill="background1"/>
            <w:vAlign w:val="center"/>
          </w:tcPr>
          <w:p w14:paraId="5072027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2,204.13</w:t>
            </w:r>
          </w:p>
        </w:tc>
        <w:tc>
          <w:tcPr>
            <w:tcW w:w="1606" w:type="dxa"/>
            <w:shd w:val="clear" w:color="auto" w:fill="FFFFFF" w:themeFill="background1"/>
            <w:vAlign w:val="center"/>
          </w:tcPr>
          <w:p w14:paraId="40D4636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-62.55%</w:t>
            </w:r>
          </w:p>
        </w:tc>
      </w:tr>
      <w:tr w:rsidR="00632E5B" w14:paraId="26FC72BB" w14:textId="77777777" w:rsidTr="00015F25">
        <w:trPr>
          <w:trHeight w:val="240"/>
        </w:trPr>
        <w:tc>
          <w:tcPr>
            <w:tcW w:w="1606" w:type="dxa"/>
            <w:vMerge/>
            <w:shd w:val="clear" w:color="auto" w:fill="FFFFFF" w:themeFill="background1"/>
            <w:vAlign w:val="center"/>
          </w:tcPr>
          <w:p w14:paraId="51E7EBCF"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494E54E4"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生产量</w:t>
            </w:r>
          </w:p>
        </w:tc>
        <w:tc>
          <w:tcPr>
            <w:tcW w:w="1606" w:type="dxa"/>
            <w:shd w:val="clear" w:color="auto" w:fill="FFFFFF" w:themeFill="background1"/>
            <w:vAlign w:val="center"/>
          </w:tcPr>
          <w:p w14:paraId="5D1B8FD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吨</w:t>
            </w:r>
          </w:p>
        </w:tc>
        <w:tc>
          <w:tcPr>
            <w:tcW w:w="1606" w:type="dxa"/>
            <w:shd w:val="clear" w:color="auto" w:fill="FFFFFF" w:themeFill="background1"/>
            <w:vAlign w:val="center"/>
          </w:tcPr>
          <w:p w14:paraId="056ACD6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674.35</w:t>
            </w:r>
          </w:p>
        </w:tc>
        <w:tc>
          <w:tcPr>
            <w:tcW w:w="1606" w:type="dxa"/>
            <w:shd w:val="clear" w:color="auto" w:fill="FFFFFF" w:themeFill="background1"/>
            <w:vAlign w:val="center"/>
          </w:tcPr>
          <w:p w14:paraId="6D55CFA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2,336.66</w:t>
            </w:r>
          </w:p>
        </w:tc>
        <w:tc>
          <w:tcPr>
            <w:tcW w:w="1606" w:type="dxa"/>
            <w:shd w:val="clear" w:color="auto" w:fill="FFFFFF" w:themeFill="background1"/>
            <w:vAlign w:val="center"/>
          </w:tcPr>
          <w:p w14:paraId="100B926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-71.14%</w:t>
            </w:r>
          </w:p>
        </w:tc>
      </w:tr>
      <w:tr w:rsidR="00632E5B" w14:paraId="430C1386" w14:textId="77777777" w:rsidTr="00015F25">
        <w:trPr>
          <w:trHeight w:val="240"/>
        </w:trPr>
        <w:tc>
          <w:tcPr>
            <w:tcW w:w="1606" w:type="dxa"/>
            <w:vMerge/>
            <w:shd w:val="clear" w:color="auto" w:fill="FFFFFF" w:themeFill="background1"/>
            <w:vAlign w:val="center"/>
          </w:tcPr>
          <w:p w14:paraId="3DCA2655"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0F2D5FC7"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库存量</w:t>
            </w:r>
          </w:p>
        </w:tc>
        <w:tc>
          <w:tcPr>
            <w:tcW w:w="1606" w:type="dxa"/>
            <w:shd w:val="clear" w:color="auto" w:fill="FFFFFF" w:themeFill="background1"/>
            <w:vAlign w:val="center"/>
          </w:tcPr>
          <w:p w14:paraId="5AC0010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吨</w:t>
            </w:r>
          </w:p>
        </w:tc>
        <w:tc>
          <w:tcPr>
            <w:tcW w:w="1606" w:type="dxa"/>
            <w:shd w:val="clear" w:color="auto" w:fill="FFFFFF" w:themeFill="background1"/>
            <w:vAlign w:val="center"/>
          </w:tcPr>
          <w:p w14:paraId="12F52C9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39.28</w:t>
            </w:r>
          </w:p>
        </w:tc>
        <w:tc>
          <w:tcPr>
            <w:tcW w:w="1606" w:type="dxa"/>
            <w:shd w:val="clear" w:color="auto" w:fill="FFFFFF" w:themeFill="background1"/>
            <w:vAlign w:val="center"/>
          </w:tcPr>
          <w:p w14:paraId="62BB45C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190.39</w:t>
            </w:r>
          </w:p>
        </w:tc>
        <w:tc>
          <w:tcPr>
            <w:tcW w:w="1606" w:type="dxa"/>
            <w:shd w:val="clear" w:color="auto" w:fill="FFFFFF" w:themeFill="background1"/>
            <w:vAlign w:val="center"/>
          </w:tcPr>
          <w:p w14:paraId="45720A9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-79.37%</w:t>
            </w:r>
          </w:p>
        </w:tc>
      </w:tr>
      <w:tr w:rsidR="00632E5B" w14:paraId="172AEF26" w14:textId="77777777" w:rsidTr="00015F25">
        <w:trPr>
          <w:trHeight w:val="240"/>
        </w:trPr>
        <w:tc>
          <w:tcPr>
            <w:tcW w:w="1606" w:type="dxa"/>
            <w:vMerge/>
            <w:shd w:val="clear" w:color="auto" w:fill="FFFFFF" w:themeFill="background1"/>
            <w:vAlign w:val="center"/>
          </w:tcPr>
          <w:p w14:paraId="4155D405"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14B3A394"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4A971D7C"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22530B25"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66DF4FE6"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20091302" w14:textId="77777777" w:rsidR="00632E5B" w:rsidRDefault="00632E5B">
            <w:pPr>
              <w:spacing w:line="240" w:lineRule="exact"/>
              <w:jc w:val="right"/>
              <w:rPr>
                <w:rFonts w:ascii="宋体" w:eastAsia="宋体" w:hAnsi="宋体" w:cs="宋体" w:hint="eastAsia"/>
                <w:sz w:val="18"/>
                <w:szCs w:val="18"/>
              </w:rPr>
            </w:pPr>
          </w:p>
        </w:tc>
      </w:tr>
      <w:tr w:rsidR="00632E5B" w14:paraId="004BCA86" w14:textId="77777777" w:rsidTr="00015F25">
        <w:trPr>
          <w:trHeight w:val="240"/>
        </w:trPr>
        <w:tc>
          <w:tcPr>
            <w:tcW w:w="1606" w:type="dxa"/>
            <w:vMerge w:val="restart"/>
            <w:shd w:val="clear" w:color="auto" w:fill="FFFFFF" w:themeFill="background1"/>
            <w:vAlign w:val="center"/>
          </w:tcPr>
          <w:p w14:paraId="652539D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电缆料</w:t>
            </w:r>
          </w:p>
        </w:tc>
        <w:tc>
          <w:tcPr>
            <w:tcW w:w="1606" w:type="dxa"/>
            <w:shd w:val="clear" w:color="auto" w:fill="FFFFFF" w:themeFill="background1"/>
            <w:vAlign w:val="center"/>
          </w:tcPr>
          <w:p w14:paraId="6029511C"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销售量</w:t>
            </w:r>
          </w:p>
        </w:tc>
        <w:tc>
          <w:tcPr>
            <w:tcW w:w="1606" w:type="dxa"/>
            <w:shd w:val="clear" w:color="auto" w:fill="FFFFFF" w:themeFill="background1"/>
            <w:vAlign w:val="center"/>
          </w:tcPr>
          <w:p w14:paraId="2C19951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吨</w:t>
            </w:r>
          </w:p>
        </w:tc>
        <w:tc>
          <w:tcPr>
            <w:tcW w:w="1606" w:type="dxa"/>
            <w:shd w:val="clear" w:color="auto" w:fill="FFFFFF" w:themeFill="background1"/>
            <w:vAlign w:val="center"/>
          </w:tcPr>
          <w:p w14:paraId="6C7A294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25,232.75</w:t>
            </w:r>
          </w:p>
        </w:tc>
        <w:tc>
          <w:tcPr>
            <w:tcW w:w="1606" w:type="dxa"/>
            <w:shd w:val="clear" w:color="auto" w:fill="FFFFFF" w:themeFill="background1"/>
            <w:vAlign w:val="center"/>
          </w:tcPr>
          <w:p w14:paraId="258DE43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42,153.90</w:t>
            </w:r>
          </w:p>
        </w:tc>
        <w:tc>
          <w:tcPr>
            <w:tcW w:w="1606" w:type="dxa"/>
            <w:shd w:val="clear" w:color="auto" w:fill="FFFFFF" w:themeFill="background1"/>
            <w:vAlign w:val="center"/>
          </w:tcPr>
          <w:p w14:paraId="4F796CB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-40.14%</w:t>
            </w:r>
          </w:p>
        </w:tc>
      </w:tr>
      <w:tr w:rsidR="00632E5B" w14:paraId="02DBBE9C" w14:textId="77777777" w:rsidTr="00015F25">
        <w:trPr>
          <w:trHeight w:val="240"/>
        </w:trPr>
        <w:tc>
          <w:tcPr>
            <w:tcW w:w="1606" w:type="dxa"/>
            <w:vMerge/>
            <w:shd w:val="clear" w:color="auto" w:fill="FFFFFF" w:themeFill="background1"/>
            <w:vAlign w:val="center"/>
          </w:tcPr>
          <w:p w14:paraId="76A532B2"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3A96C37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生产量</w:t>
            </w:r>
          </w:p>
        </w:tc>
        <w:tc>
          <w:tcPr>
            <w:tcW w:w="1606" w:type="dxa"/>
            <w:shd w:val="clear" w:color="auto" w:fill="FFFFFF" w:themeFill="background1"/>
            <w:vAlign w:val="center"/>
          </w:tcPr>
          <w:p w14:paraId="44D5643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吨</w:t>
            </w:r>
          </w:p>
        </w:tc>
        <w:tc>
          <w:tcPr>
            <w:tcW w:w="1606" w:type="dxa"/>
            <w:shd w:val="clear" w:color="auto" w:fill="FFFFFF" w:themeFill="background1"/>
            <w:vAlign w:val="center"/>
          </w:tcPr>
          <w:p w14:paraId="4971ECA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24,618.26</w:t>
            </w:r>
          </w:p>
        </w:tc>
        <w:tc>
          <w:tcPr>
            <w:tcW w:w="1606" w:type="dxa"/>
            <w:shd w:val="clear" w:color="auto" w:fill="FFFFFF" w:themeFill="background1"/>
            <w:vAlign w:val="center"/>
          </w:tcPr>
          <w:p w14:paraId="3291246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43,187.37</w:t>
            </w:r>
          </w:p>
        </w:tc>
        <w:tc>
          <w:tcPr>
            <w:tcW w:w="1606" w:type="dxa"/>
            <w:shd w:val="clear" w:color="auto" w:fill="FFFFFF" w:themeFill="background1"/>
            <w:vAlign w:val="center"/>
          </w:tcPr>
          <w:p w14:paraId="052F4E4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-43.00%</w:t>
            </w:r>
          </w:p>
        </w:tc>
      </w:tr>
      <w:tr w:rsidR="00632E5B" w14:paraId="531B1CD4" w14:textId="77777777" w:rsidTr="00015F25">
        <w:trPr>
          <w:trHeight w:val="240"/>
        </w:trPr>
        <w:tc>
          <w:tcPr>
            <w:tcW w:w="1606" w:type="dxa"/>
            <w:vMerge/>
            <w:shd w:val="clear" w:color="auto" w:fill="FFFFFF" w:themeFill="background1"/>
            <w:vAlign w:val="center"/>
          </w:tcPr>
          <w:p w14:paraId="432C29F5"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10527A32"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库存量</w:t>
            </w:r>
          </w:p>
        </w:tc>
        <w:tc>
          <w:tcPr>
            <w:tcW w:w="1606" w:type="dxa"/>
            <w:shd w:val="clear" w:color="auto" w:fill="FFFFFF" w:themeFill="background1"/>
            <w:vAlign w:val="center"/>
          </w:tcPr>
          <w:p w14:paraId="472680A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吨</w:t>
            </w:r>
          </w:p>
        </w:tc>
        <w:tc>
          <w:tcPr>
            <w:tcW w:w="1606" w:type="dxa"/>
            <w:shd w:val="clear" w:color="auto" w:fill="FFFFFF" w:themeFill="background1"/>
            <w:vAlign w:val="center"/>
          </w:tcPr>
          <w:p w14:paraId="2B22016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1,306.41</w:t>
            </w:r>
          </w:p>
        </w:tc>
        <w:tc>
          <w:tcPr>
            <w:tcW w:w="1606" w:type="dxa"/>
            <w:shd w:val="clear" w:color="auto" w:fill="FFFFFF" w:themeFill="background1"/>
            <w:vAlign w:val="center"/>
          </w:tcPr>
          <w:p w14:paraId="529D710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1,920.90</w:t>
            </w:r>
          </w:p>
        </w:tc>
        <w:tc>
          <w:tcPr>
            <w:tcW w:w="1606" w:type="dxa"/>
            <w:shd w:val="clear" w:color="auto" w:fill="FFFFFF" w:themeFill="background1"/>
            <w:vAlign w:val="center"/>
          </w:tcPr>
          <w:p w14:paraId="7D0565B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-31.99%</w:t>
            </w:r>
          </w:p>
        </w:tc>
      </w:tr>
      <w:tr w:rsidR="00632E5B" w14:paraId="1414DD06" w14:textId="77777777" w:rsidTr="00015F25">
        <w:trPr>
          <w:trHeight w:val="240"/>
        </w:trPr>
        <w:tc>
          <w:tcPr>
            <w:tcW w:w="1606" w:type="dxa"/>
            <w:vMerge/>
            <w:shd w:val="clear" w:color="auto" w:fill="FFFFFF" w:themeFill="background1"/>
            <w:vAlign w:val="center"/>
          </w:tcPr>
          <w:p w14:paraId="522DCFA6"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4283FCF4"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5C8BFAD3"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012256DC"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1D6AE01C"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28244FC4" w14:textId="77777777" w:rsidR="00632E5B" w:rsidRDefault="00632E5B">
            <w:pPr>
              <w:spacing w:line="240" w:lineRule="exact"/>
              <w:jc w:val="right"/>
              <w:rPr>
                <w:rFonts w:ascii="宋体" w:eastAsia="宋体" w:hAnsi="宋体" w:cs="宋体" w:hint="eastAsia"/>
                <w:sz w:val="18"/>
                <w:szCs w:val="18"/>
              </w:rPr>
            </w:pPr>
          </w:p>
        </w:tc>
      </w:tr>
      <w:tr w:rsidR="00632E5B" w14:paraId="253E8CA1" w14:textId="77777777" w:rsidTr="00015F25">
        <w:trPr>
          <w:trHeight w:val="240"/>
        </w:trPr>
        <w:tc>
          <w:tcPr>
            <w:tcW w:w="1606" w:type="dxa"/>
            <w:vMerge w:val="restart"/>
            <w:shd w:val="clear" w:color="auto" w:fill="FFFFFF" w:themeFill="background1"/>
            <w:vAlign w:val="center"/>
          </w:tcPr>
          <w:p w14:paraId="7F6FDD9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船用电缆</w:t>
            </w:r>
          </w:p>
        </w:tc>
        <w:tc>
          <w:tcPr>
            <w:tcW w:w="1606" w:type="dxa"/>
            <w:shd w:val="clear" w:color="auto" w:fill="FFFFFF" w:themeFill="background1"/>
            <w:vAlign w:val="center"/>
          </w:tcPr>
          <w:p w14:paraId="01951170"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销售量</w:t>
            </w:r>
          </w:p>
        </w:tc>
        <w:tc>
          <w:tcPr>
            <w:tcW w:w="1606" w:type="dxa"/>
            <w:shd w:val="clear" w:color="auto" w:fill="FFFFFF" w:themeFill="background1"/>
            <w:vAlign w:val="center"/>
          </w:tcPr>
          <w:p w14:paraId="4ECA9F4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公里</w:t>
            </w:r>
          </w:p>
        </w:tc>
        <w:tc>
          <w:tcPr>
            <w:tcW w:w="1606" w:type="dxa"/>
            <w:shd w:val="clear" w:color="auto" w:fill="FFFFFF" w:themeFill="background1"/>
            <w:vAlign w:val="center"/>
          </w:tcPr>
          <w:p w14:paraId="4E4D130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16,424.48</w:t>
            </w:r>
          </w:p>
        </w:tc>
        <w:tc>
          <w:tcPr>
            <w:tcW w:w="1606" w:type="dxa"/>
            <w:shd w:val="clear" w:color="auto" w:fill="FFFFFF" w:themeFill="background1"/>
            <w:vAlign w:val="center"/>
          </w:tcPr>
          <w:p w14:paraId="7DDED2B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17,713.20</w:t>
            </w:r>
          </w:p>
        </w:tc>
        <w:tc>
          <w:tcPr>
            <w:tcW w:w="1606" w:type="dxa"/>
            <w:shd w:val="clear" w:color="auto" w:fill="FFFFFF" w:themeFill="background1"/>
            <w:vAlign w:val="center"/>
          </w:tcPr>
          <w:p w14:paraId="6847CAD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-7.28%</w:t>
            </w:r>
          </w:p>
        </w:tc>
      </w:tr>
      <w:tr w:rsidR="00632E5B" w14:paraId="7BC38F91" w14:textId="77777777" w:rsidTr="00015F25">
        <w:trPr>
          <w:trHeight w:val="240"/>
        </w:trPr>
        <w:tc>
          <w:tcPr>
            <w:tcW w:w="1606" w:type="dxa"/>
            <w:vMerge/>
            <w:shd w:val="clear" w:color="auto" w:fill="FFFFFF" w:themeFill="background1"/>
            <w:vAlign w:val="center"/>
          </w:tcPr>
          <w:p w14:paraId="6BA5B821"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4F95BA4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生产量</w:t>
            </w:r>
          </w:p>
        </w:tc>
        <w:tc>
          <w:tcPr>
            <w:tcW w:w="1606" w:type="dxa"/>
            <w:shd w:val="clear" w:color="auto" w:fill="FFFFFF" w:themeFill="background1"/>
            <w:vAlign w:val="center"/>
          </w:tcPr>
          <w:p w14:paraId="3E1926F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公里</w:t>
            </w:r>
          </w:p>
        </w:tc>
        <w:tc>
          <w:tcPr>
            <w:tcW w:w="1606" w:type="dxa"/>
            <w:shd w:val="clear" w:color="auto" w:fill="FFFFFF" w:themeFill="background1"/>
            <w:vAlign w:val="center"/>
          </w:tcPr>
          <w:p w14:paraId="65F8A96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18,080.89</w:t>
            </w:r>
          </w:p>
        </w:tc>
        <w:tc>
          <w:tcPr>
            <w:tcW w:w="1606" w:type="dxa"/>
            <w:shd w:val="clear" w:color="auto" w:fill="FFFFFF" w:themeFill="background1"/>
            <w:vAlign w:val="center"/>
          </w:tcPr>
          <w:p w14:paraId="0F87757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15,911.47</w:t>
            </w:r>
          </w:p>
        </w:tc>
        <w:tc>
          <w:tcPr>
            <w:tcW w:w="1606" w:type="dxa"/>
            <w:shd w:val="clear" w:color="auto" w:fill="FFFFFF" w:themeFill="background1"/>
            <w:vAlign w:val="center"/>
          </w:tcPr>
          <w:p w14:paraId="5AB20DA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13.63%</w:t>
            </w:r>
          </w:p>
        </w:tc>
      </w:tr>
      <w:tr w:rsidR="00632E5B" w14:paraId="1728B06F" w14:textId="77777777" w:rsidTr="00015F25">
        <w:trPr>
          <w:trHeight w:val="240"/>
        </w:trPr>
        <w:tc>
          <w:tcPr>
            <w:tcW w:w="1606" w:type="dxa"/>
            <w:vMerge/>
            <w:shd w:val="clear" w:color="auto" w:fill="FFFFFF" w:themeFill="background1"/>
            <w:vAlign w:val="center"/>
          </w:tcPr>
          <w:p w14:paraId="1867B932"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5E386F0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库存量</w:t>
            </w:r>
          </w:p>
        </w:tc>
        <w:tc>
          <w:tcPr>
            <w:tcW w:w="1606" w:type="dxa"/>
            <w:shd w:val="clear" w:color="auto" w:fill="FFFFFF" w:themeFill="background1"/>
            <w:vAlign w:val="center"/>
          </w:tcPr>
          <w:p w14:paraId="360864C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公里</w:t>
            </w:r>
          </w:p>
        </w:tc>
        <w:tc>
          <w:tcPr>
            <w:tcW w:w="1606" w:type="dxa"/>
            <w:shd w:val="clear" w:color="auto" w:fill="FFFFFF" w:themeFill="background1"/>
            <w:vAlign w:val="center"/>
          </w:tcPr>
          <w:p w14:paraId="7B0E8B6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2,495.62</w:t>
            </w:r>
          </w:p>
        </w:tc>
        <w:tc>
          <w:tcPr>
            <w:tcW w:w="1606" w:type="dxa"/>
            <w:shd w:val="clear" w:color="auto" w:fill="FFFFFF" w:themeFill="background1"/>
            <w:vAlign w:val="center"/>
          </w:tcPr>
          <w:p w14:paraId="7806738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839.21</w:t>
            </w:r>
          </w:p>
        </w:tc>
        <w:tc>
          <w:tcPr>
            <w:tcW w:w="1606" w:type="dxa"/>
            <w:shd w:val="clear" w:color="auto" w:fill="FFFFFF" w:themeFill="background1"/>
            <w:vAlign w:val="center"/>
          </w:tcPr>
          <w:p w14:paraId="2A8A4FE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197.38%</w:t>
            </w:r>
          </w:p>
        </w:tc>
      </w:tr>
      <w:tr w:rsidR="00632E5B" w14:paraId="1BF10608" w14:textId="77777777" w:rsidTr="00015F25">
        <w:trPr>
          <w:trHeight w:val="240"/>
        </w:trPr>
        <w:tc>
          <w:tcPr>
            <w:tcW w:w="1606" w:type="dxa"/>
            <w:vMerge/>
            <w:shd w:val="clear" w:color="auto" w:fill="FFFFFF" w:themeFill="background1"/>
            <w:vAlign w:val="center"/>
          </w:tcPr>
          <w:p w14:paraId="0F053F6F"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575F4623"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7D128B1F"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4B701F5E"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277043C6"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18E4C89E" w14:textId="77777777" w:rsidR="00632E5B" w:rsidRDefault="00632E5B">
            <w:pPr>
              <w:spacing w:line="240" w:lineRule="exact"/>
              <w:jc w:val="right"/>
              <w:rPr>
                <w:rFonts w:ascii="宋体" w:eastAsia="宋体" w:hAnsi="宋体" w:cs="宋体" w:hint="eastAsia"/>
                <w:sz w:val="18"/>
                <w:szCs w:val="18"/>
              </w:rPr>
            </w:pPr>
          </w:p>
        </w:tc>
      </w:tr>
      <w:tr w:rsidR="00632E5B" w14:paraId="321F5CB4" w14:textId="77777777" w:rsidTr="00015F25">
        <w:trPr>
          <w:trHeight w:val="240"/>
        </w:trPr>
        <w:tc>
          <w:tcPr>
            <w:tcW w:w="1606" w:type="dxa"/>
            <w:vMerge w:val="restart"/>
            <w:shd w:val="clear" w:color="auto" w:fill="FFFFFF" w:themeFill="background1"/>
            <w:vAlign w:val="center"/>
          </w:tcPr>
          <w:p w14:paraId="08810FF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晶体硅太阳能光伏组件</w:t>
            </w:r>
          </w:p>
        </w:tc>
        <w:tc>
          <w:tcPr>
            <w:tcW w:w="1606" w:type="dxa"/>
            <w:shd w:val="clear" w:color="auto" w:fill="FFFFFF" w:themeFill="background1"/>
            <w:vAlign w:val="center"/>
          </w:tcPr>
          <w:p w14:paraId="5A4E2CE7"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销售量</w:t>
            </w:r>
          </w:p>
        </w:tc>
        <w:tc>
          <w:tcPr>
            <w:tcW w:w="1606" w:type="dxa"/>
            <w:shd w:val="clear" w:color="auto" w:fill="FFFFFF" w:themeFill="background1"/>
            <w:vAlign w:val="center"/>
          </w:tcPr>
          <w:p w14:paraId="041D804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兆瓦</w:t>
            </w:r>
          </w:p>
        </w:tc>
        <w:tc>
          <w:tcPr>
            <w:tcW w:w="1606" w:type="dxa"/>
            <w:shd w:val="clear" w:color="auto" w:fill="FFFFFF" w:themeFill="background1"/>
            <w:vAlign w:val="center"/>
          </w:tcPr>
          <w:p w14:paraId="7ACEB58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887.73</w:t>
            </w:r>
          </w:p>
        </w:tc>
        <w:tc>
          <w:tcPr>
            <w:tcW w:w="1606" w:type="dxa"/>
            <w:shd w:val="clear" w:color="auto" w:fill="FFFFFF" w:themeFill="background1"/>
            <w:vAlign w:val="center"/>
          </w:tcPr>
          <w:p w14:paraId="6717BDE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1,464.20</w:t>
            </w:r>
          </w:p>
        </w:tc>
        <w:tc>
          <w:tcPr>
            <w:tcW w:w="1606" w:type="dxa"/>
            <w:shd w:val="clear" w:color="auto" w:fill="FFFFFF" w:themeFill="background1"/>
            <w:vAlign w:val="center"/>
          </w:tcPr>
          <w:p w14:paraId="14DE604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-39.37%</w:t>
            </w:r>
          </w:p>
        </w:tc>
      </w:tr>
      <w:tr w:rsidR="00632E5B" w14:paraId="4D88803E" w14:textId="77777777" w:rsidTr="00015F25">
        <w:trPr>
          <w:trHeight w:val="240"/>
        </w:trPr>
        <w:tc>
          <w:tcPr>
            <w:tcW w:w="1606" w:type="dxa"/>
            <w:vMerge/>
            <w:shd w:val="clear" w:color="auto" w:fill="FFFFFF" w:themeFill="background1"/>
            <w:vAlign w:val="center"/>
          </w:tcPr>
          <w:p w14:paraId="78343CFB"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07144FFD"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生产量</w:t>
            </w:r>
          </w:p>
        </w:tc>
        <w:tc>
          <w:tcPr>
            <w:tcW w:w="1606" w:type="dxa"/>
            <w:shd w:val="clear" w:color="auto" w:fill="FFFFFF" w:themeFill="background1"/>
            <w:vAlign w:val="center"/>
          </w:tcPr>
          <w:p w14:paraId="314D587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兆瓦</w:t>
            </w:r>
          </w:p>
        </w:tc>
        <w:tc>
          <w:tcPr>
            <w:tcW w:w="1606" w:type="dxa"/>
            <w:shd w:val="clear" w:color="auto" w:fill="FFFFFF" w:themeFill="background1"/>
            <w:vAlign w:val="center"/>
          </w:tcPr>
          <w:p w14:paraId="7F4829A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727.72</w:t>
            </w:r>
          </w:p>
        </w:tc>
        <w:tc>
          <w:tcPr>
            <w:tcW w:w="1606" w:type="dxa"/>
            <w:shd w:val="clear" w:color="auto" w:fill="FFFFFF" w:themeFill="background1"/>
            <w:vAlign w:val="center"/>
          </w:tcPr>
          <w:p w14:paraId="0E736DC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1,508.69</w:t>
            </w:r>
          </w:p>
        </w:tc>
        <w:tc>
          <w:tcPr>
            <w:tcW w:w="1606" w:type="dxa"/>
            <w:shd w:val="clear" w:color="auto" w:fill="FFFFFF" w:themeFill="background1"/>
            <w:vAlign w:val="center"/>
          </w:tcPr>
          <w:p w14:paraId="7D47FB8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-51.76%</w:t>
            </w:r>
          </w:p>
        </w:tc>
      </w:tr>
      <w:tr w:rsidR="00632E5B" w14:paraId="2444CEB9" w14:textId="77777777" w:rsidTr="00015F25">
        <w:trPr>
          <w:trHeight w:val="240"/>
        </w:trPr>
        <w:tc>
          <w:tcPr>
            <w:tcW w:w="1606" w:type="dxa"/>
            <w:vMerge/>
            <w:shd w:val="clear" w:color="auto" w:fill="FFFFFF" w:themeFill="background1"/>
            <w:vAlign w:val="center"/>
          </w:tcPr>
          <w:p w14:paraId="08ACB872"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652CB2CC"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库存量</w:t>
            </w:r>
          </w:p>
        </w:tc>
        <w:tc>
          <w:tcPr>
            <w:tcW w:w="1606" w:type="dxa"/>
            <w:shd w:val="clear" w:color="auto" w:fill="FFFFFF" w:themeFill="background1"/>
            <w:vAlign w:val="center"/>
          </w:tcPr>
          <w:p w14:paraId="7ED41D9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兆瓦</w:t>
            </w:r>
          </w:p>
        </w:tc>
        <w:tc>
          <w:tcPr>
            <w:tcW w:w="1606" w:type="dxa"/>
            <w:shd w:val="clear" w:color="auto" w:fill="FFFFFF" w:themeFill="background1"/>
            <w:vAlign w:val="center"/>
          </w:tcPr>
          <w:p w14:paraId="2A800FC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34.52</w:t>
            </w:r>
          </w:p>
        </w:tc>
        <w:tc>
          <w:tcPr>
            <w:tcW w:w="1606" w:type="dxa"/>
            <w:shd w:val="clear" w:color="auto" w:fill="FFFFFF" w:themeFill="background1"/>
            <w:vAlign w:val="center"/>
          </w:tcPr>
          <w:p w14:paraId="0DE9608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194.53</w:t>
            </w:r>
          </w:p>
        </w:tc>
        <w:tc>
          <w:tcPr>
            <w:tcW w:w="1606" w:type="dxa"/>
            <w:shd w:val="clear" w:color="auto" w:fill="FFFFFF" w:themeFill="background1"/>
            <w:vAlign w:val="center"/>
          </w:tcPr>
          <w:p w14:paraId="4D28760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-82.25%</w:t>
            </w:r>
          </w:p>
        </w:tc>
      </w:tr>
      <w:tr w:rsidR="00632E5B" w14:paraId="7146B29E" w14:textId="77777777" w:rsidTr="00015F25">
        <w:trPr>
          <w:trHeight w:val="240"/>
        </w:trPr>
        <w:tc>
          <w:tcPr>
            <w:tcW w:w="1606" w:type="dxa"/>
            <w:vMerge/>
            <w:shd w:val="clear" w:color="auto" w:fill="FFFFFF" w:themeFill="background1"/>
            <w:vAlign w:val="center"/>
          </w:tcPr>
          <w:p w14:paraId="7EBB636C"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75E22CBA"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00DADD93"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67730992"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43431695"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7FC630AF" w14:textId="77777777" w:rsidR="00632E5B" w:rsidRDefault="00632E5B">
            <w:pPr>
              <w:spacing w:line="240" w:lineRule="exact"/>
              <w:jc w:val="right"/>
              <w:rPr>
                <w:rFonts w:ascii="宋体" w:eastAsia="宋体" w:hAnsi="宋体" w:cs="宋体" w:hint="eastAsia"/>
                <w:sz w:val="18"/>
                <w:szCs w:val="18"/>
              </w:rPr>
            </w:pPr>
          </w:p>
        </w:tc>
      </w:tr>
      <w:tr w:rsidR="00632E5B" w14:paraId="009BA5C3" w14:textId="77777777" w:rsidTr="00015F25">
        <w:trPr>
          <w:trHeight w:val="240"/>
        </w:trPr>
        <w:tc>
          <w:tcPr>
            <w:tcW w:w="1606" w:type="dxa"/>
            <w:vMerge w:val="restart"/>
            <w:shd w:val="clear" w:color="auto" w:fill="FFFFFF" w:themeFill="background1"/>
            <w:vAlign w:val="center"/>
          </w:tcPr>
          <w:p w14:paraId="403F39C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商业电站</w:t>
            </w:r>
          </w:p>
        </w:tc>
        <w:tc>
          <w:tcPr>
            <w:tcW w:w="1606" w:type="dxa"/>
            <w:shd w:val="clear" w:color="auto" w:fill="FFFFFF" w:themeFill="background1"/>
            <w:vAlign w:val="center"/>
          </w:tcPr>
          <w:p w14:paraId="5498742A"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销售量</w:t>
            </w:r>
          </w:p>
        </w:tc>
        <w:tc>
          <w:tcPr>
            <w:tcW w:w="1606" w:type="dxa"/>
            <w:shd w:val="clear" w:color="auto" w:fill="FFFFFF" w:themeFill="background1"/>
            <w:vAlign w:val="center"/>
          </w:tcPr>
          <w:p w14:paraId="77AD462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兆瓦</w:t>
            </w:r>
          </w:p>
        </w:tc>
        <w:tc>
          <w:tcPr>
            <w:tcW w:w="1606" w:type="dxa"/>
            <w:shd w:val="clear" w:color="auto" w:fill="FFFFFF" w:themeFill="background1"/>
            <w:vAlign w:val="center"/>
          </w:tcPr>
          <w:p w14:paraId="4D69FAC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0.03</w:t>
            </w:r>
          </w:p>
        </w:tc>
        <w:tc>
          <w:tcPr>
            <w:tcW w:w="1606" w:type="dxa"/>
            <w:shd w:val="clear" w:color="auto" w:fill="FFFFFF" w:themeFill="background1"/>
            <w:vAlign w:val="center"/>
          </w:tcPr>
          <w:p w14:paraId="75C744D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3.66</w:t>
            </w:r>
          </w:p>
        </w:tc>
        <w:tc>
          <w:tcPr>
            <w:tcW w:w="1606" w:type="dxa"/>
            <w:shd w:val="clear" w:color="auto" w:fill="FFFFFF" w:themeFill="background1"/>
            <w:vAlign w:val="center"/>
          </w:tcPr>
          <w:p w14:paraId="78A8D90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-99.18%</w:t>
            </w:r>
          </w:p>
        </w:tc>
      </w:tr>
      <w:tr w:rsidR="00632E5B" w14:paraId="2ADF295B" w14:textId="77777777" w:rsidTr="00015F25">
        <w:trPr>
          <w:trHeight w:val="240"/>
        </w:trPr>
        <w:tc>
          <w:tcPr>
            <w:tcW w:w="1606" w:type="dxa"/>
            <w:vMerge/>
            <w:shd w:val="clear" w:color="auto" w:fill="FFFFFF" w:themeFill="background1"/>
            <w:vAlign w:val="center"/>
          </w:tcPr>
          <w:p w14:paraId="6E32DBD1"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3027C0B0"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生产量</w:t>
            </w:r>
          </w:p>
        </w:tc>
        <w:tc>
          <w:tcPr>
            <w:tcW w:w="1606" w:type="dxa"/>
            <w:shd w:val="clear" w:color="auto" w:fill="FFFFFF" w:themeFill="background1"/>
            <w:vAlign w:val="center"/>
          </w:tcPr>
          <w:p w14:paraId="0017E43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兆瓦</w:t>
            </w:r>
          </w:p>
        </w:tc>
        <w:tc>
          <w:tcPr>
            <w:tcW w:w="1606" w:type="dxa"/>
            <w:shd w:val="clear" w:color="auto" w:fill="FFFFFF" w:themeFill="background1"/>
            <w:vAlign w:val="center"/>
          </w:tcPr>
          <w:p w14:paraId="2F9A3E3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0.03</w:t>
            </w:r>
          </w:p>
        </w:tc>
        <w:tc>
          <w:tcPr>
            <w:tcW w:w="1606" w:type="dxa"/>
            <w:shd w:val="clear" w:color="auto" w:fill="FFFFFF" w:themeFill="background1"/>
            <w:vAlign w:val="center"/>
          </w:tcPr>
          <w:p w14:paraId="4B51749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3.66</w:t>
            </w:r>
          </w:p>
        </w:tc>
        <w:tc>
          <w:tcPr>
            <w:tcW w:w="1606" w:type="dxa"/>
            <w:shd w:val="clear" w:color="auto" w:fill="FFFFFF" w:themeFill="background1"/>
            <w:vAlign w:val="center"/>
          </w:tcPr>
          <w:p w14:paraId="0EF367B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-99.18%</w:t>
            </w:r>
          </w:p>
        </w:tc>
      </w:tr>
      <w:tr w:rsidR="00632E5B" w14:paraId="1A052606" w14:textId="77777777" w:rsidTr="00015F25">
        <w:trPr>
          <w:trHeight w:val="240"/>
        </w:trPr>
        <w:tc>
          <w:tcPr>
            <w:tcW w:w="1606" w:type="dxa"/>
            <w:vMerge/>
            <w:shd w:val="clear" w:color="auto" w:fill="FFFFFF" w:themeFill="background1"/>
            <w:vAlign w:val="center"/>
          </w:tcPr>
          <w:p w14:paraId="4E425948"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6267F519"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库存量</w:t>
            </w:r>
          </w:p>
        </w:tc>
        <w:tc>
          <w:tcPr>
            <w:tcW w:w="1606" w:type="dxa"/>
            <w:shd w:val="clear" w:color="auto" w:fill="FFFFFF" w:themeFill="background1"/>
            <w:vAlign w:val="center"/>
          </w:tcPr>
          <w:p w14:paraId="4932A70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兆瓦</w:t>
            </w:r>
          </w:p>
        </w:tc>
        <w:tc>
          <w:tcPr>
            <w:tcW w:w="1606" w:type="dxa"/>
            <w:shd w:val="clear" w:color="auto" w:fill="FFFFFF" w:themeFill="background1"/>
            <w:vAlign w:val="center"/>
          </w:tcPr>
          <w:p w14:paraId="373ECDC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56.12</w:t>
            </w:r>
          </w:p>
        </w:tc>
        <w:tc>
          <w:tcPr>
            <w:tcW w:w="1606" w:type="dxa"/>
            <w:shd w:val="clear" w:color="auto" w:fill="FFFFFF" w:themeFill="background1"/>
            <w:vAlign w:val="center"/>
          </w:tcPr>
          <w:p w14:paraId="7F69060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56.12</w:t>
            </w:r>
          </w:p>
        </w:tc>
        <w:tc>
          <w:tcPr>
            <w:tcW w:w="1606" w:type="dxa"/>
            <w:shd w:val="clear" w:color="auto" w:fill="FFFFFF" w:themeFill="background1"/>
            <w:vAlign w:val="center"/>
          </w:tcPr>
          <w:p w14:paraId="7B1970B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r>
      <w:tr w:rsidR="00632E5B" w14:paraId="7B4E79ED" w14:textId="77777777" w:rsidTr="00015F25">
        <w:trPr>
          <w:trHeight w:val="240"/>
        </w:trPr>
        <w:tc>
          <w:tcPr>
            <w:tcW w:w="1606" w:type="dxa"/>
            <w:vMerge/>
            <w:shd w:val="clear" w:color="auto" w:fill="FFFFFF" w:themeFill="background1"/>
            <w:vAlign w:val="center"/>
          </w:tcPr>
          <w:p w14:paraId="52906110"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07E87516"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7BE09166"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7136F009"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63A37E61"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12344BD9" w14:textId="77777777" w:rsidR="00632E5B" w:rsidRDefault="00632E5B">
            <w:pPr>
              <w:spacing w:line="240" w:lineRule="exact"/>
              <w:jc w:val="right"/>
              <w:rPr>
                <w:rFonts w:ascii="宋体" w:eastAsia="宋体" w:hAnsi="宋体" w:cs="宋体" w:hint="eastAsia"/>
                <w:sz w:val="18"/>
                <w:szCs w:val="18"/>
              </w:rPr>
            </w:pPr>
          </w:p>
        </w:tc>
      </w:tr>
      <w:tr w:rsidR="00632E5B" w14:paraId="083C3F1B" w14:textId="77777777" w:rsidTr="00015F25">
        <w:trPr>
          <w:trHeight w:val="240"/>
        </w:trPr>
        <w:tc>
          <w:tcPr>
            <w:tcW w:w="1606" w:type="dxa"/>
            <w:vMerge w:val="restart"/>
            <w:shd w:val="clear" w:color="auto" w:fill="FFFFFF" w:themeFill="background1"/>
            <w:vAlign w:val="center"/>
          </w:tcPr>
          <w:p w14:paraId="0CA87ED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扶贫电站</w:t>
            </w:r>
          </w:p>
        </w:tc>
        <w:tc>
          <w:tcPr>
            <w:tcW w:w="1606" w:type="dxa"/>
            <w:shd w:val="clear" w:color="auto" w:fill="FFFFFF" w:themeFill="background1"/>
            <w:vAlign w:val="center"/>
          </w:tcPr>
          <w:p w14:paraId="3717072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销售量</w:t>
            </w:r>
          </w:p>
        </w:tc>
        <w:tc>
          <w:tcPr>
            <w:tcW w:w="1606" w:type="dxa"/>
            <w:shd w:val="clear" w:color="auto" w:fill="FFFFFF" w:themeFill="background1"/>
            <w:vAlign w:val="center"/>
          </w:tcPr>
          <w:p w14:paraId="097A1F1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兆瓦</w:t>
            </w:r>
          </w:p>
        </w:tc>
        <w:tc>
          <w:tcPr>
            <w:tcW w:w="1606" w:type="dxa"/>
            <w:shd w:val="clear" w:color="auto" w:fill="FFFFFF" w:themeFill="background1"/>
            <w:vAlign w:val="center"/>
          </w:tcPr>
          <w:p w14:paraId="2D085B0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606" w:type="dxa"/>
            <w:shd w:val="clear" w:color="auto" w:fill="FFFFFF" w:themeFill="background1"/>
            <w:vAlign w:val="center"/>
          </w:tcPr>
          <w:p w14:paraId="3497E31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606" w:type="dxa"/>
            <w:shd w:val="clear" w:color="auto" w:fill="FFFFFF" w:themeFill="background1"/>
            <w:vAlign w:val="center"/>
          </w:tcPr>
          <w:p w14:paraId="41EEFBB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r>
      <w:tr w:rsidR="00632E5B" w14:paraId="46EB440D" w14:textId="77777777" w:rsidTr="00015F25">
        <w:trPr>
          <w:trHeight w:val="240"/>
        </w:trPr>
        <w:tc>
          <w:tcPr>
            <w:tcW w:w="1606" w:type="dxa"/>
            <w:vMerge/>
            <w:shd w:val="clear" w:color="auto" w:fill="FFFFFF" w:themeFill="background1"/>
            <w:vAlign w:val="center"/>
          </w:tcPr>
          <w:p w14:paraId="0A4DA031"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5F071FD0"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生产量</w:t>
            </w:r>
          </w:p>
        </w:tc>
        <w:tc>
          <w:tcPr>
            <w:tcW w:w="1606" w:type="dxa"/>
            <w:shd w:val="clear" w:color="auto" w:fill="FFFFFF" w:themeFill="background1"/>
            <w:vAlign w:val="center"/>
          </w:tcPr>
          <w:p w14:paraId="2F5C484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兆瓦</w:t>
            </w:r>
          </w:p>
        </w:tc>
        <w:tc>
          <w:tcPr>
            <w:tcW w:w="1606" w:type="dxa"/>
            <w:shd w:val="clear" w:color="auto" w:fill="FFFFFF" w:themeFill="background1"/>
            <w:vAlign w:val="center"/>
          </w:tcPr>
          <w:p w14:paraId="024CA95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606" w:type="dxa"/>
            <w:shd w:val="clear" w:color="auto" w:fill="FFFFFF" w:themeFill="background1"/>
            <w:vAlign w:val="center"/>
          </w:tcPr>
          <w:p w14:paraId="52099CF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606" w:type="dxa"/>
            <w:shd w:val="clear" w:color="auto" w:fill="FFFFFF" w:themeFill="background1"/>
            <w:vAlign w:val="center"/>
          </w:tcPr>
          <w:p w14:paraId="55D77D3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r>
      <w:tr w:rsidR="00632E5B" w14:paraId="185C9BF2" w14:textId="77777777" w:rsidTr="00015F25">
        <w:trPr>
          <w:trHeight w:val="240"/>
        </w:trPr>
        <w:tc>
          <w:tcPr>
            <w:tcW w:w="1606" w:type="dxa"/>
            <w:vMerge/>
            <w:shd w:val="clear" w:color="auto" w:fill="FFFFFF" w:themeFill="background1"/>
            <w:vAlign w:val="center"/>
          </w:tcPr>
          <w:p w14:paraId="4A9E92D8"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4074466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库存量</w:t>
            </w:r>
          </w:p>
        </w:tc>
        <w:tc>
          <w:tcPr>
            <w:tcW w:w="1606" w:type="dxa"/>
            <w:shd w:val="clear" w:color="auto" w:fill="FFFFFF" w:themeFill="background1"/>
            <w:vAlign w:val="center"/>
          </w:tcPr>
          <w:p w14:paraId="47BEBB4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兆瓦</w:t>
            </w:r>
          </w:p>
        </w:tc>
        <w:tc>
          <w:tcPr>
            <w:tcW w:w="1606" w:type="dxa"/>
            <w:shd w:val="clear" w:color="auto" w:fill="FFFFFF" w:themeFill="background1"/>
            <w:vAlign w:val="center"/>
          </w:tcPr>
          <w:p w14:paraId="7B22AFE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3.61</w:t>
            </w:r>
          </w:p>
        </w:tc>
        <w:tc>
          <w:tcPr>
            <w:tcW w:w="1606" w:type="dxa"/>
            <w:shd w:val="clear" w:color="auto" w:fill="FFFFFF" w:themeFill="background1"/>
            <w:vAlign w:val="center"/>
          </w:tcPr>
          <w:p w14:paraId="7CC27A4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3.61</w:t>
            </w:r>
          </w:p>
        </w:tc>
        <w:tc>
          <w:tcPr>
            <w:tcW w:w="1606" w:type="dxa"/>
            <w:shd w:val="clear" w:color="auto" w:fill="FFFFFF" w:themeFill="background1"/>
            <w:vAlign w:val="center"/>
          </w:tcPr>
          <w:p w14:paraId="4BDA7F9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r>
      <w:tr w:rsidR="00632E5B" w14:paraId="63EACD6C" w14:textId="77777777" w:rsidTr="00015F25">
        <w:trPr>
          <w:trHeight w:val="240"/>
        </w:trPr>
        <w:tc>
          <w:tcPr>
            <w:tcW w:w="1606" w:type="dxa"/>
            <w:vMerge/>
            <w:shd w:val="clear" w:color="auto" w:fill="FFFFFF" w:themeFill="background1"/>
            <w:vAlign w:val="center"/>
          </w:tcPr>
          <w:p w14:paraId="33D74438"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6460DFC0"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7374A68F"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5D26A5AC"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2EAE9CB7"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7BBEDB2A" w14:textId="77777777" w:rsidR="00632E5B" w:rsidRDefault="00632E5B">
            <w:pPr>
              <w:spacing w:line="240" w:lineRule="exact"/>
              <w:jc w:val="right"/>
              <w:rPr>
                <w:rFonts w:ascii="宋体" w:eastAsia="宋体" w:hAnsi="宋体" w:cs="宋体" w:hint="eastAsia"/>
                <w:sz w:val="18"/>
                <w:szCs w:val="18"/>
              </w:rPr>
            </w:pPr>
          </w:p>
        </w:tc>
      </w:tr>
      <w:tr w:rsidR="00632E5B" w14:paraId="1D0BBA9F" w14:textId="77777777" w:rsidTr="00015F25">
        <w:trPr>
          <w:trHeight w:val="240"/>
        </w:trPr>
        <w:tc>
          <w:tcPr>
            <w:tcW w:w="1606" w:type="dxa"/>
            <w:vMerge w:val="restart"/>
            <w:shd w:val="clear" w:color="auto" w:fill="FFFFFF" w:themeFill="background1"/>
            <w:vAlign w:val="center"/>
          </w:tcPr>
          <w:p w14:paraId="41D7891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光纤</w:t>
            </w:r>
          </w:p>
        </w:tc>
        <w:tc>
          <w:tcPr>
            <w:tcW w:w="1606" w:type="dxa"/>
            <w:shd w:val="clear" w:color="auto" w:fill="FFFFFF" w:themeFill="background1"/>
            <w:vAlign w:val="center"/>
          </w:tcPr>
          <w:p w14:paraId="04B4186C"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销售量</w:t>
            </w:r>
          </w:p>
        </w:tc>
        <w:tc>
          <w:tcPr>
            <w:tcW w:w="1606" w:type="dxa"/>
            <w:shd w:val="clear" w:color="auto" w:fill="FFFFFF" w:themeFill="background1"/>
            <w:vAlign w:val="center"/>
          </w:tcPr>
          <w:p w14:paraId="0C19968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万芯公里</w:t>
            </w:r>
          </w:p>
        </w:tc>
        <w:tc>
          <w:tcPr>
            <w:tcW w:w="1606" w:type="dxa"/>
            <w:shd w:val="clear" w:color="auto" w:fill="FFFFFF" w:themeFill="background1"/>
            <w:vAlign w:val="center"/>
          </w:tcPr>
          <w:p w14:paraId="4CB0110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538.91</w:t>
            </w:r>
          </w:p>
        </w:tc>
        <w:tc>
          <w:tcPr>
            <w:tcW w:w="1606" w:type="dxa"/>
            <w:shd w:val="clear" w:color="auto" w:fill="FFFFFF" w:themeFill="background1"/>
            <w:vAlign w:val="center"/>
          </w:tcPr>
          <w:p w14:paraId="198A39E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375.40</w:t>
            </w:r>
          </w:p>
        </w:tc>
        <w:tc>
          <w:tcPr>
            <w:tcW w:w="1606" w:type="dxa"/>
            <w:shd w:val="clear" w:color="auto" w:fill="FFFFFF" w:themeFill="background1"/>
            <w:vAlign w:val="center"/>
          </w:tcPr>
          <w:p w14:paraId="66DBE5C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43.56%</w:t>
            </w:r>
          </w:p>
        </w:tc>
      </w:tr>
      <w:tr w:rsidR="00632E5B" w14:paraId="521287E3" w14:textId="77777777" w:rsidTr="00015F25">
        <w:trPr>
          <w:trHeight w:val="240"/>
        </w:trPr>
        <w:tc>
          <w:tcPr>
            <w:tcW w:w="1606" w:type="dxa"/>
            <w:vMerge/>
            <w:shd w:val="clear" w:color="auto" w:fill="FFFFFF" w:themeFill="background1"/>
            <w:vAlign w:val="center"/>
          </w:tcPr>
          <w:p w14:paraId="660334BC"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240AFB5F"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生产量</w:t>
            </w:r>
          </w:p>
        </w:tc>
        <w:tc>
          <w:tcPr>
            <w:tcW w:w="1606" w:type="dxa"/>
            <w:shd w:val="clear" w:color="auto" w:fill="FFFFFF" w:themeFill="background1"/>
            <w:vAlign w:val="center"/>
          </w:tcPr>
          <w:p w14:paraId="545A34A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万芯公里</w:t>
            </w:r>
          </w:p>
        </w:tc>
        <w:tc>
          <w:tcPr>
            <w:tcW w:w="1606" w:type="dxa"/>
            <w:shd w:val="clear" w:color="auto" w:fill="FFFFFF" w:themeFill="background1"/>
            <w:vAlign w:val="center"/>
          </w:tcPr>
          <w:p w14:paraId="23A25C3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462.91</w:t>
            </w:r>
          </w:p>
        </w:tc>
        <w:tc>
          <w:tcPr>
            <w:tcW w:w="1606" w:type="dxa"/>
            <w:shd w:val="clear" w:color="auto" w:fill="FFFFFF" w:themeFill="background1"/>
            <w:vAlign w:val="center"/>
          </w:tcPr>
          <w:p w14:paraId="26B834E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478.56</w:t>
            </w:r>
          </w:p>
        </w:tc>
        <w:tc>
          <w:tcPr>
            <w:tcW w:w="1606" w:type="dxa"/>
            <w:shd w:val="clear" w:color="auto" w:fill="FFFFFF" w:themeFill="background1"/>
            <w:vAlign w:val="center"/>
          </w:tcPr>
          <w:p w14:paraId="03D3092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-3.27%</w:t>
            </w:r>
          </w:p>
        </w:tc>
      </w:tr>
      <w:tr w:rsidR="00632E5B" w14:paraId="6EEC317A" w14:textId="77777777" w:rsidTr="00015F25">
        <w:trPr>
          <w:trHeight w:val="240"/>
        </w:trPr>
        <w:tc>
          <w:tcPr>
            <w:tcW w:w="1606" w:type="dxa"/>
            <w:vMerge/>
            <w:shd w:val="clear" w:color="auto" w:fill="FFFFFF" w:themeFill="background1"/>
            <w:vAlign w:val="center"/>
          </w:tcPr>
          <w:p w14:paraId="2BF3F931"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49AB8B97"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库存量</w:t>
            </w:r>
          </w:p>
        </w:tc>
        <w:tc>
          <w:tcPr>
            <w:tcW w:w="1606" w:type="dxa"/>
            <w:shd w:val="clear" w:color="auto" w:fill="FFFFFF" w:themeFill="background1"/>
            <w:vAlign w:val="center"/>
          </w:tcPr>
          <w:p w14:paraId="551701F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万芯公里</w:t>
            </w:r>
          </w:p>
        </w:tc>
        <w:tc>
          <w:tcPr>
            <w:tcW w:w="1606" w:type="dxa"/>
            <w:shd w:val="clear" w:color="auto" w:fill="FFFFFF" w:themeFill="background1"/>
            <w:vAlign w:val="center"/>
          </w:tcPr>
          <w:p w14:paraId="6EB2251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37.13</w:t>
            </w:r>
          </w:p>
        </w:tc>
        <w:tc>
          <w:tcPr>
            <w:tcW w:w="1606" w:type="dxa"/>
            <w:shd w:val="clear" w:color="auto" w:fill="FFFFFF" w:themeFill="background1"/>
            <w:vAlign w:val="center"/>
          </w:tcPr>
          <w:p w14:paraId="4346839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113.13</w:t>
            </w:r>
          </w:p>
        </w:tc>
        <w:tc>
          <w:tcPr>
            <w:tcW w:w="1606" w:type="dxa"/>
            <w:shd w:val="clear" w:color="auto" w:fill="FFFFFF" w:themeFill="background1"/>
            <w:vAlign w:val="center"/>
          </w:tcPr>
          <w:p w14:paraId="0333A27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-67.18%</w:t>
            </w:r>
          </w:p>
        </w:tc>
      </w:tr>
      <w:tr w:rsidR="00632E5B" w14:paraId="73526A6B" w14:textId="77777777" w:rsidTr="00015F25">
        <w:trPr>
          <w:trHeight w:val="240"/>
        </w:trPr>
        <w:tc>
          <w:tcPr>
            <w:tcW w:w="1606" w:type="dxa"/>
            <w:vMerge/>
            <w:shd w:val="clear" w:color="auto" w:fill="FFFFFF" w:themeFill="background1"/>
            <w:vAlign w:val="center"/>
          </w:tcPr>
          <w:p w14:paraId="76330064"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1DA302D4"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11B0344B"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2FD2DA58"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470F252E"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2B122CEE" w14:textId="77777777" w:rsidR="00632E5B" w:rsidRDefault="00632E5B">
            <w:pPr>
              <w:spacing w:line="240" w:lineRule="exact"/>
              <w:jc w:val="right"/>
              <w:rPr>
                <w:rFonts w:ascii="宋体" w:eastAsia="宋体" w:hAnsi="宋体" w:cs="宋体" w:hint="eastAsia"/>
                <w:sz w:val="18"/>
                <w:szCs w:val="18"/>
              </w:rPr>
            </w:pPr>
          </w:p>
        </w:tc>
      </w:tr>
      <w:tr w:rsidR="00632E5B" w14:paraId="33B7BEFD" w14:textId="77777777" w:rsidTr="00015F25">
        <w:trPr>
          <w:trHeight w:val="240"/>
        </w:trPr>
        <w:tc>
          <w:tcPr>
            <w:tcW w:w="1606" w:type="dxa"/>
            <w:vMerge w:val="restart"/>
            <w:shd w:val="clear" w:color="auto" w:fill="FFFFFF" w:themeFill="background1"/>
            <w:vAlign w:val="center"/>
          </w:tcPr>
          <w:p w14:paraId="3BC9816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光棒</w:t>
            </w:r>
          </w:p>
        </w:tc>
        <w:tc>
          <w:tcPr>
            <w:tcW w:w="1606" w:type="dxa"/>
            <w:shd w:val="clear" w:color="auto" w:fill="FFFFFF" w:themeFill="background1"/>
            <w:vAlign w:val="center"/>
          </w:tcPr>
          <w:p w14:paraId="3C765A6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销售量</w:t>
            </w:r>
          </w:p>
        </w:tc>
        <w:tc>
          <w:tcPr>
            <w:tcW w:w="1606" w:type="dxa"/>
            <w:shd w:val="clear" w:color="auto" w:fill="FFFFFF" w:themeFill="background1"/>
            <w:vAlign w:val="center"/>
          </w:tcPr>
          <w:p w14:paraId="237729A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公斤</w:t>
            </w:r>
          </w:p>
        </w:tc>
        <w:tc>
          <w:tcPr>
            <w:tcW w:w="1606" w:type="dxa"/>
            <w:shd w:val="clear" w:color="auto" w:fill="FFFFFF" w:themeFill="background1"/>
            <w:vAlign w:val="center"/>
          </w:tcPr>
          <w:p w14:paraId="2D85349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107,053.30</w:t>
            </w:r>
          </w:p>
        </w:tc>
        <w:tc>
          <w:tcPr>
            <w:tcW w:w="1606" w:type="dxa"/>
            <w:shd w:val="clear" w:color="auto" w:fill="FFFFFF" w:themeFill="background1"/>
            <w:vAlign w:val="center"/>
          </w:tcPr>
          <w:p w14:paraId="6A3F980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152,189.48</w:t>
            </w:r>
          </w:p>
        </w:tc>
        <w:tc>
          <w:tcPr>
            <w:tcW w:w="1606" w:type="dxa"/>
            <w:shd w:val="clear" w:color="auto" w:fill="FFFFFF" w:themeFill="background1"/>
            <w:vAlign w:val="center"/>
          </w:tcPr>
          <w:p w14:paraId="24B7A16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-29.66%</w:t>
            </w:r>
          </w:p>
        </w:tc>
      </w:tr>
      <w:tr w:rsidR="00632E5B" w14:paraId="10414948" w14:textId="77777777" w:rsidTr="00015F25">
        <w:trPr>
          <w:trHeight w:val="240"/>
        </w:trPr>
        <w:tc>
          <w:tcPr>
            <w:tcW w:w="1606" w:type="dxa"/>
            <w:vMerge/>
            <w:shd w:val="clear" w:color="auto" w:fill="FFFFFF" w:themeFill="background1"/>
            <w:vAlign w:val="center"/>
          </w:tcPr>
          <w:p w14:paraId="2B26D032"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0B0DD14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生产量</w:t>
            </w:r>
          </w:p>
        </w:tc>
        <w:tc>
          <w:tcPr>
            <w:tcW w:w="1606" w:type="dxa"/>
            <w:shd w:val="clear" w:color="auto" w:fill="FFFFFF" w:themeFill="background1"/>
            <w:vAlign w:val="center"/>
          </w:tcPr>
          <w:p w14:paraId="2C23473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公斤</w:t>
            </w:r>
          </w:p>
        </w:tc>
        <w:tc>
          <w:tcPr>
            <w:tcW w:w="1606" w:type="dxa"/>
            <w:shd w:val="clear" w:color="auto" w:fill="FFFFFF" w:themeFill="background1"/>
            <w:vAlign w:val="center"/>
          </w:tcPr>
          <w:p w14:paraId="60701DC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111,561.19</w:t>
            </w:r>
          </w:p>
        </w:tc>
        <w:tc>
          <w:tcPr>
            <w:tcW w:w="1606" w:type="dxa"/>
            <w:shd w:val="clear" w:color="auto" w:fill="FFFFFF" w:themeFill="background1"/>
            <w:vAlign w:val="center"/>
          </w:tcPr>
          <w:p w14:paraId="48339E2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167,876.24</w:t>
            </w:r>
          </w:p>
        </w:tc>
        <w:tc>
          <w:tcPr>
            <w:tcW w:w="1606" w:type="dxa"/>
            <w:shd w:val="clear" w:color="auto" w:fill="FFFFFF" w:themeFill="background1"/>
            <w:vAlign w:val="center"/>
          </w:tcPr>
          <w:p w14:paraId="7F4835B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-33.55%</w:t>
            </w:r>
          </w:p>
        </w:tc>
      </w:tr>
      <w:tr w:rsidR="00632E5B" w14:paraId="677408F5" w14:textId="77777777" w:rsidTr="00015F25">
        <w:trPr>
          <w:trHeight w:val="240"/>
        </w:trPr>
        <w:tc>
          <w:tcPr>
            <w:tcW w:w="1606" w:type="dxa"/>
            <w:vMerge/>
            <w:shd w:val="clear" w:color="auto" w:fill="FFFFFF" w:themeFill="background1"/>
            <w:vAlign w:val="center"/>
          </w:tcPr>
          <w:p w14:paraId="33A5119E"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5EA1B8A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库存量</w:t>
            </w:r>
          </w:p>
        </w:tc>
        <w:tc>
          <w:tcPr>
            <w:tcW w:w="1606" w:type="dxa"/>
            <w:shd w:val="clear" w:color="auto" w:fill="FFFFFF" w:themeFill="background1"/>
            <w:vAlign w:val="center"/>
          </w:tcPr>
          <w:p w14:paraId="7D35F23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公斤</w:t>
            </w:r>
          </w:p>
        </w:tc>
        <w:tc>
          <w:tcPr>
            <w:tcW w:w="1606" w:type="dxa"/>
            <w:shd w:val="clear" w:color="auto" w:fill="FFFFFF" w:themeFill="background1"/>
            <w:vAlign w:val="center"/>
          </w:tcPr>
          <w:p w14:paraId="1999815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21,899.17</w:t>
            </w:r>
          </w:p>
        </w:tc>
        <w:tc>
          <w:tcPr>
            <w:tcW w:w="1606" w:type="dxa"/>
            <w:shd w:val="clear" w:color="auto" w:fill="FFFFFF" w:themeFill="background1"/>
            <w:vAlign w:val="center"/>
          </w:tcPr>
          <w:p w14:paraId="3102E4C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17,391.28</w:t>
            </w:r>
          </w:p>
        </w:tc>
        <w:tc>
          <w:tcPr>
            <w:tcW w:w="1606" w:type="dxa"/>
            <w:shd w:val="clear" w:color="auto" w:fill="FFFFFF" w:themeFill="background1"/>
            <w:vAlign w:val="center"/>
          </w:tcPr>
          <w:p w14:paraId="570EA24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25.92%</w:t>
            </w:r>
          </w:p>
        </w:tc>
      </w:tr>
      <w:tr w:rsidR="00632E5B" w14:paraId="223B1A70" w14:textId="77777777" w:rsidTr="00015F25">
        <w:trPr>
          <w:trHeight w:val="240"/>
        </w:trPr>
        <w:tc>
          <w:tcPr>
            <w:tcW w:w="1606" w:type="dxa"/>
            <w:vMerge/>
            <w:shd w:val="clear" w:color="auto" w:fill="FFFFFF" w:themeFill="background1"/>
            <w:vAlign w:val="center"/>
          </w:tcPr>
          <w:p w14:paraId="69887B50"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33EFA3E0"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0B6E8CDD"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2B1EAE83"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5319A238"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197114E3" w14:textId="77777777" w:rsidR="00632E5B" w:rsidRDefault="00632E5B">
            <w:pPr>
              <w:spacing w:line="240" w:lineRule="exact"/>
              <w:jc w:val="right"/>
              <w:rPr>
                <w:rFonts w:ascii="宋体" w:eastAsia="宋体" w:hAnsi="宋体" w:cs="宋体" w:hint="eastAsia"/>
                <w:sz w:val="18"/>
                <w:szCs w:val="18"/>
              </w:rPr>
            </w:pPr>
          </w:p>
        </w:tc>
      </w:tr>
    </w:tbl>
    <w:p w14:paraId="50720996"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相关数据同比发生变动30%以上的原因说明</w:t>
      </w:r>
    </w:p>
    <w:p w14:paraId="41E6A399"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481EF1D5" w14:textId="5D35DFCA" w:rsidR="00E72F0C" w:rsidRPr="00115057" w:rsidRDefault="00107901" w:rsidP="00750D99">
      <w:pPr>
        <w:pStyle w:val="a3"/>
        <w:spacing w:before="0" w:beforeAutospacing="0" w:after="0" w:afterAutospacing="0" w:line="360" w:lineRule="auto"/>
        <w:jc w:val="both"/>
        <w:divId w:val="492187716"/>
        <w:rPr>
          <w:rFonts w:hint="eastAsia"/>
          <w:sz w:val="32"/>
        </w:rPr>
      </w:pPr>
      <w:r w:rsidRPr="00115057">
        <w:rPr>
          <w:rFonts w:hint="eastAsia"/>
          <w:sz w:val="21"/>
          <w:szCs w:val="18"/>
        </w:rPr>
        <w:t>1</w:t>
      </w:r>
      <w:r w:rsidR="00201609">
        <w:rPr>
          <w:rFonts w:hint="eastAsia"/>
          <w:sz w:val="21"/>
          <w:szCs w:val="18"/>
        </w:rPr>
        <w:t>.</w:t>
      </w:r>
      <w:r w:rsidRPr="00115057">
        <w:rPr>
          <w:rFonts w:hint="eastAsia"/>
          <w:sz w:val="21"/>
          <w:szCs w:val="18"/>
        </w:rPr>
        <w:t>阻燃耐火软电缆销售量、生产量分别比上年同期下降78.58%、50.09%，主要原因是：公司运营资金紧张，订单承接受到限制。</w:t>
      </w:r>
    </w:p>
    <w:p w14:paraId="66305CA2" w14:textId="527E9489" w:rsidR="00E72F0C" w:rsidRPr="00115057" w:rsidRDefault="00107901" w:rsidP="00750D99">
      <w:pPr>
        <w:pStyle w:val="a3"/>
        <w:spacing w:before="0" w:beforeAutospacing="0" w:after="0" w:afterAutospacing="0" w:line="360" w:lineRule="auto"/>
        <w:jc w:val="both"/>
        <w:divId w:val="492187716"/>
        <w:rPr>
          <w:rFonts w:hint="eastAsia"/>
          <w:sz w:val="32"/>
        </w:rPr>
      </w:pPr>
      <w:r w:rsidRPr="00115057">
        <w:rPr>
          <w:rFonts w:hint="eastAsia"/>
          <w:sz w:val="21"/>
          <w:szCs w:val="18"/>
        </w:rPr>
        <w:lastRenderedPageBreak/>
        <w:t>2</w:t>
      </w:r>
      <w:r w:rsidR="00201609">
        <w:rPr>
          <w:sz w:val="21"/>
          <w:szCs w:val="18"/>
        </w:rPr>
        <w:t>.</w:t>
      </w:r>
      <w:r w:rsidRPr="00115057">
        <w:rPr>
          <w:rFonts w:hint="eastAsia"/>
          <w:sz w:val="21"/>
          <w:szCs w:val="18"/>
        </w:rPr>
        <w:t>金属导体销售量、生产量、库存量分别比去年同期下降62.55%、71.14%、79.37%，主要原因是：公司运营资金紧张，订单承接受到限制。</w:t>
      </w:r>
    </w:p>
    <w:p w14:paraId="685E8E0A" w14:textId="3B591CEE" w:rsidR="00E72F0C" w:rsidRPr="00115057" w:rsidRDefault="00107901" w:rsidP="00750D99">
      <w:pPr>
        <w:pStyle w:val="a3"/>
        <w:spacing w:before="0" w:beforeAutospacing="0" w:after="0" w:afterAutospacing="0" w:line="360" w:lineRule="auto"/>
        <w:jc w:val="both"/>
        <w:divId w:val="492187716"/>
        <w:rPr>
          <w:rFonts w:hint="eastAsia"/>
          <w:sz w:val="32"/>
        </w:rPr>
      </w:pPr>
      <w:r w:rsidRPr="00115057">
        <w:rPr>
          <w:rFonts w:hint="eastAsia"/>
          <w:sz w:val="21"/>
          <w:szCs w:val="18"/>
        </w:rPr>
        <w:t>3</w:t>
      </w:r>
      <w:r w:rsidR="00201609">
        <w:rPr>
          <w:sz w:val="21"/>
          <w:szCs w:val="18"/>
        </w:rPr>
        <w:t>.</w:t>
      </w:r>
      <w:r w:rsidRPr="00115057">
        <w:rPr>
          <w:rFonts w:hint="eastAsia"/>
          <w:sz w:val="21"/>
          <w:szCs w:val="18"/>
        </w:rPr>
        <w:t>电缆料销售量、生产量、库存量分别比去年同期下降40.14%，43.0%，31.99%，主要原因为：公司运营资金紧张，订单承接受到限制。</w:t>
      </w:r>
    </w:p>
    <w:p w14:paraId="0E7BF1A6" w14:textId="76B873DF" w:rsidR="00E72F0C" w:rsidRPr="00115057" w:rsidRDefault="00107901" w:rsidP="00750D99">
      <w:pPr>
        <w:pStyle w:val="a3"/>
        <w:spacing w:before="0" w:beforeAutospacing="0" w:after="0" w:afterAutospacing="0" w:line="360" w:lineRule="auto"/>
        <w:jc w:val="both"/>
        <w:divId w:val="492187716"/>
        <w:rPr>
          <w:rFonts w:hint="eastAsia"/>
          <w:sz w:val="32"/>
        </w:rPr>
      </w:pPr>
      <w:r w:rsidRPr="00115057">
        <w:rPr>
          <w:rFonts w:hint="eastAsia"/>
          <w:sz w:val="21"/>
          <w:szCs w:val="18"/>
        </w:rPr>
        <w:t>4</w:t>
      </w:r>
      <w:r w:rsidR="00201609">
        <w:rPr>
          <w:rFonts w:hint="eastAsia"/>
          <w:sz w:val="21"/>
          <w:szCs w:val="18"/>
        </w:rPr>
        <w:t>.</w:t>
      </w:r>
      <w:r w:rsidRPr="00115057">
        <w:rPr>
          <w:rFonts w:hint="eastAsia"/>
          <w:sz w:val="21"/>
          <w:szCs w:val="18"/>
        </w:rPr>
        <w:t>船用电缆库存量比上年同期增长197.38%，主要原因是：期末根据客户订单，增加了产品备货。</w:t>
      </w:r>
    </w:p>
    <w:p w14:paraId="43F222E1" w14:textId="75C9AB61" w:rsidR="00E72F0C" w:rsidRPr="00115057" w:rsidRDefault="00107901" w:rsidP="00750D99">
      <w:pPr>
        <w:pStyle w:val="a3"/>
        <w:spacing w:before="0" w:beforeAutospacing="0" w:after="0" w:afterAutospacing="0" w:line="360" w:lineRule="auto"/>
        <w:jc w:val="both"/>
        <w:divId w:val="492187716"/>
        <w:rPr>
          <w:rFonts w:hint="eastAsia"/>
          <w:sz w:val="32"/>
        </w:rPr>
      </w:pPr>
      <w:r w:rsidRPr="00115057">
        <w:rPr>
          <w:rFonts w:hint="eastAsia"/>
          <w:sz w:val="21"/>
          <w:szCs w:val="18"/>
        </w:rPr>
        <w:t>5</w:t>
      </w:r>
      <w:r w:rsidR="00201609">
        <w:rPr>
          <w:rFonts w:hint="eastAsia"/>
          <w:sz w:val="21"/>
          <w:szCs w:val="18"/>
        </w:rPr>
        <w:t>.</w:t>
      </w:r>
      <w:r w:rsidRPr="00115057">
        <w:rPr>
          <w:rFonts w:hint="eastAsia"/>
          <w:sz w:val="21"/>
          <w:szCs w:val="18"/>
        </w:rPr>
        <w:t>晶体硅太阳能光伏组件销售量、生产量、库存量比上年减少39.37%、51.76%、82.25%，主要原因是：公司运营资金紧张，订单承接受到限制。</w:t>
      </w:r>
    </w:p>
    <w:p w14:paraId="3B30E6B5" w14:textId="47265536" w:rsidR="00E72F0C" w:rsidRPr="00115057" w:rsidRDefault="00107901" w:rsidP="00750D99">
      <w:pPr>
        <w:pStyle w:val="a3"/>
        <w:spacing w:before="0" w:beforeAutospacing="0" w:after="0" w:afterAutospacing="0" w:line="360" w:lineRule="auto"/>
        <w:jc w:val="both"/>
        <w:divId w:val="492187716"/>
        <w:rPr>
          <w:rFonts w:hint="eastAsia"/>
          <w:sz w:val="32"/>
        </w:rPr>
      </w:pPr>
      <w:r w:rsidRPr="00115057">
        <w:rPr>
          <w:rFonts w:hint="eastAsia"/>
          <w:sz w:val="21"/>
          <w:szCs w:val="18"/>
        </w:rPr>
        <w:t>6</w:t>
      </w:r>
      <w:r w:rsidR="00201609">
        <w:rPr>
          <w:rFonts w:hint="eastAsia"/>
          <w:sz w:val="21"/>
          <w:szCs w:val="18"/>
        </w:rPr>
        <w:t>.</w:t>
      </w:r>
      <w:r w:rsidRPr="00115057">
        <w:rPr>
          <w:rFonts w:hint="eastAsia"/>
          <w:sz w:val="21"/>
          <w:szCs w:val="18"/>
        </w:rPr>
        <w:t>商业电站销售量、生产量分别比上年下降99.18%、99.18%，主要原因是：本年度公司无大规模的商业电站的开发。</w:t>
      </w:r>
    </w:p>
    <w:p w14:paraId="5E0F86D8" w14:textId="2318028E" w:rsidR="00E72F0C" w:rsidRPr="00115057" w:rsidRDefault="00107901" w:rsidP="00750D99">
      <w:pPr>
        <w:pStyle w:val="a3"/>
        <w:spacing w:before="0" w:beforeAutospacing="0" w:after="0" w:afterAutospacing="0" w:line="360" w:lineRule="auto"/>
        <w:jc w:val="both"/>
        <w:divId w:val="492187716"/>
        <w:rPr>
          <w:rFonts w:hint="eastAsia"/>
          <w:sz w:val="32"/>
        </w:rPr>
      </w:pPr>
      <w:r w:rsidRPr="00115057">
        <w:rPr>
          <w:rFonts w:hint="eastAsia"/>
          <w:sz w:val="21"/>
          <w:szCs w:val="18"/>
        </w:rPr>
        <w:t>7</w:t>
      </w:r>
      <w:r w:rsidR="00201609">
        <w:rPr>
          <w:sz w:val="21"/>
          <w:szCs w:val="18"/>
        </w:rPr>
        <w:t>.</w:t>
      </w:r>
      <w:r w:rsidRPr="00115057">
        <w:rPr>
          <w:rFonts w:hint="eastAsia"/>
          <w:sz w:val="21"/>
          <w:szCs w:val="18"/>
        </w:rPr>
        <w:t>光纤的销售量较上年同期增长了43.56%，库存量比上年下降67.18%，主要原因是：公司提升了客户订单交付完成率，同时减少产品备货。</w:t>
      </w:r>
    </w:p>
    <w:p w14:paraId="14B4E530" w14:textId="43942BBE" w:rsidR="00E72F0C" w:rsidRPr="00115057" w:rsidRDefault="00107901" w:rsidP="00750D99">
      <w:pPr>
        <w:pStyle w:val="a3"/>
        <w:spacing w:before="0" w:beforeAutospacing="0" w:after="0" w:afterAutospacing="0" w:line="360" w:lineRule="auto"/>
        <w:jc w:val="both"/>
        <w:divId w:val="492187716"/>
        <w:rPr>
          <w:rFonts w:hint="eastAsia"/>
          <w:sz w:val="32"/>
        </w:rPr>
      </w:pPr>
      <w:r w:rsidRPr="00115057">
        <w:rPr>
          <w:rFonts w:hint="eastAsia"/>
          <w:sz w:val="21"/>
          <w:szCs w:val="18"/>
        </w:rPr>
        <w:t>8</w:t>
      </w:r>
      <w:r w:rsidR="00201609">
        <w:rPr>
          <w:sz w:val="21"/>
          <w:szCs w:val="18"/>
        </w:rPr>
        <w:t>.</w:t>
      </w:r>
      <w:r w:rsidRPr="00115057">
        <w:rPr>
          <w:rFonts w:hint="eastAsia"/>
          <w:sz w:val="21"/>
          <w:szCs w:val="18"/>
        </w:rPr>
        <w:t>光棒的销售量、生产量比上年同期分别下降了29.66%、33.55%，库存量比上年增加25.92%，主要原因是：公司运营资金紧张，订单承接受到限制。</w:t>
      </w:r>
    </w:p>
    <w:p w14:paraId="1D39B8A9" w14:textId="77777777" w:rsidR="00AF2A13" w:rsidRDefault="00AF2A13">
      <w:pPr>
        <w:keepNext/>
        <w:keepLines/>
        <w:spacing w:before="300" w:after="300" w:line="280" w:lineRule="exact"/>
        <w:outlineLvl w:val="3"/>
        <w:rPr>
          <w:rFonts w:ascii="宋体" w:eastAsia="宋体" w:hAnsi="宋体" w:cs="宋体" w:hint="eastAsia"/>
          <w:b/>
          <w:bCs/>
          <w:sz w:val="18"/>
          <w:szCs w:val="18"/>
        </w:rPr>
        <w:sectPr w:rsidR="00AF2A13" w:rsidSect="00E90C20">
          <w:headerReference w:type="default" r:id="rId8"/>
          <w:footerReference w:type="default" r:id="rId9"/>
          <w:pgSz w:w="11905" w:h="16840"/>
          <w:pgMar w:top="1440" w:right="1134" w:bottom="1440" w:left="1134" w:header="850" w:footer="992" w:gutter="0"/>
          <w:cols w:space="720"/>
          <w:docGrid w:type="linesAndChars" w:linePitch="312"/>
        </w:sectPr>
      </w:pPr>
      <w:bookmarkStart w:id="23" w:name="_Toc988912"/>
    </w:p>
    <w:p w14:paraId="7AC9184F" w14:textId="64334061" w:rsidR="00632E5B" w:rsidRDefault="00107901">
      <w:pPr>
        <w:keepNext/>
        <w:keepLines/>
        <w:spacing w:before="300" w:after="300" w:line="280" w:lineRule="exact"/>
        <w:outlineLvl w:val="3"/>
        <w:rPr>
          <w:rFonts w:ascii="宋体" w:eastAsia="宋体" w:hAnsi="宋体" w:cs="宋体" w:hint="eastAsia"/>
          <w:b/>
          <w:bCs/>
          <w:sz w:val="18"/>
          <w:szCs w:val="18"/>
        </w:rPr>
      </w:pPr>
      <w:r>
        <w:rPr>
          <w:rFonts w:ascii="宋体" w:eastAsia="宋体" w:hAnsi="宋体" w:cs="宋体"/>
          <w:b/>
          <w:bCs/>
          <w:sz w:val="18"/>
          <w:szCs w:val="18"/>
        </w:rPr>
        <w:lastRenderedPageBreak/>
        <w:t>（4） 公司已签订的重大销售合同、重大采购合同截至本报告期的履行情况</w:t>
      </w:r>
      <w:bookmarkEnd w:id="23"/>
    </w:p>
    <w:p w14:paraId="0FB67F8B"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6747C040"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已签订的重大销售合同截至本报告期的履行情况</w:t>
      </w:r>
    </w:p>
    <w:p w14:paraId="46A73F66"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19381854" w14:textId="77777777" w:rsidR="00632E5B" w:rsidRDefault="00107901">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单位：万元</w:t>
      </w:r>
    </w:p>
    <w:tbl>
      <w:tblPr>
        <w:tblW w:w="14003"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709"/>
        <w:gridCol w:w="4820"/>
        <w:gridCol w:w="992"/>
        <w:gridCol w:w="992"/>
        <w:gridCol w:w="993"/>
        <w:gridCol w:w="992"/>
        <w:gridCol w:w="708"/>
        <w:gridCol w:w="851"/>
        <w:gridCol w:w="993"/>
        <w:gridCol w:w="992"/>
        <w:gridCol w:w="961"/>
      </w:tblGrid>
      <w:tr w:rsidR="00632E5B" w14:paraId="2AB2E377" w14:textId="77777777" w:rsidTr="00015F25">
        <w:trPr>
          <w:trHeight w:val="240"/>
        </w:trPr>
        <w:tc>
          <w:tcPr>
            <w:tcW w:w="709" w:type="dxa"/>
            <w:shd w:val="clear" w:color="auto" w:fill="FFFFFF" w:themeFill="background1"/>
            <w:vAlign w:val="center"/>
          </w:tcPr>
          <w:p w14:paraId="180A140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合同标的</w:t>
            </w:r>
          </w:p>
        </w:tc>
        <w:tc>
          <w:tcPr>
            <w:tcW w:w="4820" w:type="dxa"/>
            <w:shd w:val="clear" w:color="auto" w:fill="FFFFFF" w:themeFill="background1"/>
            <w:vAlign w:val="center"/>
          </w:tcPr>
          <w:p w14:paraId="55AFFFC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对方当事人</w:t>
            </w:r>
          </w:p>
        </w:tc>
        <w:tc>
          <w:tcPr>
            <w:tcW w:w="992" w:type="dxa"/>
            <w:shd w:val="clear" w:color="auto" w:fill="FFFFFF" w:themeFill="background1"/>
            <w:vAlign w:val="center"/>
          </w:tcPr>
          <w:p w14:paraId="5BF452F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合同总金额</w:t>
            </w:r>
          </w:p>
        </w:tc>
        <w:tc>
          <w:tcPr>
            <w:tcW w:w="992" w:type="dxa"/>
            <w:shd w:val="clear" w:color="auto" w:fill="FFFFFF" w:themeFill="background1"/>
            <w:vAlign w:val="center"/>
          </w:tcPr>
          <w:p w14:paraId="471F366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合计已履行金额</w:t>
            </w:r>
          </w:p>
        </w:tc>
        <w:tc>
          <w:tcPr>
            <w:tcW w:w="993" w:type="dxa"/>
            <w:shd w:val="clear" w:color="auto" w:fill="FFFFFF" w:themeFill="background1"/>
            <w:vAlign w:val="center"/>
          </w:tcPr>
          <w:p w14:paraId="1377E0F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本报告期履行金额</w:t>
            </w:r>
          </w:p>
        </w:tc>
        <w:tc>
          <w:tcPr>
            <w:tcW w:w="992" w:type="dxa"/>
            <w:shd w:val="clear" w:color="auto" w:fill="FFFFFF" w:themeFill="background1"/>
            <w:vAlign w:val="center"/>
          </w:tcPr>
          <w:p w14:paraId="78FF519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待履行金额</w:t>
            </w:r>
          </w:p>
        </w:tc>
        <w:tc>
          <w:tcPr>
            <w:tcW w:w="708" w:type="dxa"/>
            <w:shd w:val="clear" w:color="auto" w:fill="FFFFFF" w:themeFill="background1"/>
            <w:vAlign w:val="center"/>
          </w:tcPr>
          <w:p w14:paraId="75EA7F45" w14:textId="77777777" w:rsidR="00632E5B" w:rsidRDefault="00107901" w:rsidP="001B6A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是否正常履行</w:t>
            </w:r>
          </w:p>
        </w:tc>
        <w:tc>
          <w:tcPr>
            <w:tcW w:w="851" w:type="dxa"/>
            <w:shd w:val="clear" w:color="auto" w:fill="FFFFFF" w:themeFill="background1"/>
            <w:vAlign w:val="center"/>
          </w:tcPr>
          <w:p w14:paraId="402183D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合同未正常履行的说明</w:t>
            </w:r>
          </w:p>
        </w:tc>
        <w:tc>
          <w:tcPr>
            <w:tcW w:w="993" w:type="dxa"/>
            <w:shd w:val="clear" w:color="auto" w:fill="FFFFFF" w:themeFill="background1"/>
            <w:vAlign w:val="center"/>
          </w:tcPr>
          <w:p w14:paraId="60CC6A4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本期确认的销售收入金额</w:t>
            </w:r>
          </w:p>
        </w:tc>
        <w:tc>
          <w:tcPr>
            <w:tcW w:w="992" w:type="dxa"/>
            <w:shd w:val="clear" w:color="auto" w:fill="FFFFFF" w:themeFill="background1"/>
            <w:vAlign w:val="center"/>
          </w:tcPr>
          <w:p w14:paraId="1D154FE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累计确认的销售收入金额</w:t>
            </w:r>
          </w:p>
        </w:tc>
        <w:tc>
          <w:tcPr>
            <w:tcW w:w="961" w:type="dxa"/>
            <w:shd w:val="clear" w:color="auto" w:fill="FFFFFF" w:themeFill="background1"/>
            <w:vAlign w:val="center"/>
          </w:tcPr>
          <w:p w14:paraId="55A80AC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应收账款回款情况</w:t>
            </w:r>
          </w:p>
        </w:tc>
      </w:tr>
      <w:tr w:rsidR="00632E5B" w14:paraId="3E7166E8" w14:textId="77777777" w:rsidTr="00015F25">
        <w:trPr>
          <w:trHeight w:val="240"/>
        </w:trPr>
        <w:tc>
          <w:tcPr>
            <w:tcW w:w="709" w:type="dxa"/>
            <w:shd w:val="clear" w:color="auto" w:fill="FFFFFF" w:themeFill="background1"/>
            <w:vAlign w:val="center"/>
          </w:tcPr>
          <w:p w14:paraId="2BCD1E4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组件</w:t>
            </w:r>
          </w:p>
        </w:tc>
        <w:tc>
          <w:tcPr>
            <w:tcW w:w="4820" w:type="dxa"/>
            <w:shd w:val="clear" w:color="auto" w:fill="FFFFFF" w:themeFill="background1"/>
            <w:vAlign w:val="center"/>
          </w:tcPr>
          <w:p w14:paraId="770F5FA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 SANAYI A.S.</w:t>
            </w:r>
          </w:p>
        </w:tc>
        <w:tc>
          <w:tcPr>
            <w:tcW w:w="992" w:type="dxa"/>
            <w:shd w:val="clear" w:color="auto" w:fill="FFFFFF" w:themeFill="background1"/>
            <w:vAlign w:val="center"/>
          </w:tcPr>
          <w:p w14:paraId="23D5B66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1,733.79</w:t>
            </w:r>
          </w:p>
        </w:tc>
        <w:tc>
          <w:tcPr>
            <w:tcW w:w="992" w:type="dxa"/>
            <w:shd w:val="clear" w:color="auto" w:fill="FFFFFF" w:themeFill="background1"/>
            <w:vAlign w:val="center"/>
          </w:tcPr>
          <w:p w14:paraId="58C274F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1,733.79</w:t>
            </w:r>
          </w:p>
        </w:tc>
        <w:tc>
          <w:tcPr>
            <w:tcW w:w="993" w:type="dxa"/>
            <w:shd w:val="clear" w:color="auto" w:fill="FFFFFF" w:themeFill="background1"/>
            <w:vAlign w:val="center"/>
          </w:tcPr>
          <w:p w14:paraId="370D02E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1,733.79</w:t>
            </w:r>
          </w:p>
        </w:tc>
        <w:tc>
          <w:tcPr>
            <w:tcW w:w="992" w:type="dxa"/>
            <w:shd w:val="clear" w:color="auto" w:fill="FFFFFF" w:themeFill="background1"/>
            <w:vAlign w:val="center"/>
          </w:tcPr>
          <w:p w14:paraId="0934A74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08" w:type="dxa"/>
            <w:shd w:val="clear" w:color="auto" w:fill="FFFFFF" w:themeFill="background1"/>
            <w:vAlign w:val="center"/>
          </w:tcPr>
          <w:p w14:paraId="4402A025" w14:textId="77777777" w:rsidR="00632E5B" w:rsidRDefault="00107901" w:rsidP="001B6A01">
            <w:pPr>
              <w:spacing w:line="240" w:lineRule="exact"/>
              <w:jc w:val="center"/>
              <w:rPr>
                <w:rFonts w:ascii="宋体" w:eastAsia="宋体" w:hAnsi="宋体" w:cs="宋体" w:hint="eastAsia"/>
                <w:sz w:val="18"/>
                <w:szCs w:val="18"/>
              </w:rPr>
            </w:pPr>
            <w:r>
              <w:rPr>
                <w:rFonts w:ascii="宋体" w:eastAsia="宋体" w:hAnsi="宋体" w:cs="宋体"/>
                <w:sz w:val="18"/>
                <w:szCs w:val="18"/>
              </w:rPr>
              <w:t>是</w:t>
            </w:r>
          </w:p>
        </w:tc>
        <w:tc>
          <w:tcPr>
            <w:tcW w:w="851" w:type="dxa"/>
            <w:shd w:val="clear" w:color="auto" w:fill="FFFFFF" w:themeFill="background1"/>
            <w:vAlign w:val="center"/>
          </w:tcPr>
          <w:p w14:paraId="33C67240" w14:textId="77777777" w:rsidR="00632E5B" w:rsidRDefault="00632E5B">
            <w:pPr>
              <w:spacing w:line="240" w:lineRule="exact"/>
              <w:rPr>
                <w:rFonts w:ascii="宋体" w:eastAsia="宋体" w:hAnsi="宋体" w:cs="宋体" w:hint="eastAsia"/>
                <w:sz w:val="18"/>
                <w:szCs w:val="18"/>
              </w:rPr>
            </w:pPr>
          </w:p>
        </w:tc>
        <w:tc>
          <w:tcPr>
            <w:tcW w:w="993" w:type="dxa"/>
            <w:shd w:val="clear" w:color="auto" w:fill="FFFFFF" w:themeFill="background1"/>
            <w:vAlign w:val="center"/>
          </w:tcPr>
          <w:p w14:paraId="5F19CDA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1,733.79</w:t>
            </w:r>
          </w:p>
        </w:tc>
        <w:tc>
          <w:tcPr>
            <w:tcW w:w="992" w:type="dxa"/>
            <w:shd w:val="clear" w:color="auto" w:fill="FFFFFF" w:themeFill="background1"/>
            <w:vAlign w:val="center"/>
          </w:tcPr>
          <w:p w14:paraId="7BF44A2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1,733.79</w:t>
            </w:r>
          </w:p>
        </w:tc>
        <w:tc>
          <w:tcPr>
            <w:tcW w:w="961" w:type="dxa"/>
            <w:shd w:val="clear" w:color="auto" w:fill="FFFFFF" w:themeFill="background1"/>
            <w:vAlign w:val="center"/>
          </w:tcPr>
          <w:p w14:paraId="65CE828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1733.79</w:t>
            </w:r>
          </w:p>
        </w:tc>
      </w:tr>
      <w:tr w:rsidR="00632E5B" w14:paraId="52F13F2E" w14:textId="77777777" w:rsidTr="00015F25">
        <w:trPr>
          <w:trHeight w:val="240"/>
        </w:trPr>
        <w:tc>
          <w:tcPr>
            <w:tcW w:w="709" w:type="dxa"/>
            <w:shd w:val="clear" w:color="auto" w:fill="FFFFFF" w:themeFill="background1"/>
            <w:vAlign w:val="center"/>
          </w:tcPr>
          <w:p w14:paraId="1F85962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组件</w:t>
            </w:r>
          </w:p>
        </w:tc>
        <w:tc>
          <w:tcPr>
            <w:tcW w:w="4820" w:type="dxa"/>
            <w:shd w:val="clear" w:color="auto" w:fill="FFFFFF" w:themeFill="background1"/>
            <w:vAlign w:val="center"/>
          </w:tcPr>
          <w:p w14:paraId="62DEB8D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 ELEKTRONIK KONTROL SISTEMLERIANONIM SIRKETI</w:t>
            </w:r>
          </w:p>
        </w:tc>
        <w:tc>
          <w:tcPr>
            <w:tcW w:w="992" w:type="dxa"/>
            <w:shd w:val="clear" w:color="auto" w:fill="FFFFFF" w:themeFill="background1"/>
            <w:vAlign w:val="center"/>
          </w:tcPr>
          <w:p w14:paraId="1565624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2,421.91</w:t>
            </w:r>
          </w:p>
        </w:tc>
        <w:tc>
          <w:tcPr>
            <w:tcW w:w="992" w:type="dxa"/>
            <w:shd w:val="clear" w:color="auto" w:fill="FFFFFF" w:themeFill="background1"/>
            <w:vAlign w:val="center"/>
          </w:tcPr>
          <w:p w14:paraId="6D7704C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93" w:type="dxa"/>
            <w:shd w:val="clear" w:color="auto" w:fill="FFFFFF" w:themeFill="background1"/>
            <w:vAlign w:val="center"/>
          </w:tcPr>
          <w:p w14:paraId="09FFCDE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92" w:type="dxa"/>
            <w:shd w:val="clear" w:color="auto" w:fill="FFFFFF" w:themeFill="background1"/>
            <w:vAlign w:val="center"/>
          </w:tcPr>
          <w:p w14:paraId="358A7E4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2,421.91</w:t>
            </w:r>
          </w:p>
        </w:tc>
        <w:tc>
          <w:tcPr>
            <w:tcW w:w="708" w:type="dxa"/>
            <w:shd w:val="clear" w:color="auto" w:fill="FFFFFF" w:themeFill="background1"/>
            <w:vAlign w:val="center"/>
          </w:tcPr>
          <w:p w14:paraId="1D1AD9C3" w14:textId="77777777" w:rsidR="00632E5B" w:rsidRDefault="00107901" w:rsidP="001B6A01">
            <w:pPr>
              <w:spacing w:line="240" w:lineRule="exact"/>
              <w:jc w:val="center"/>
              <w:rPr>
                <w:rFonts w:ascii="宋体" w:eastAsia="宋体" w:hAnsi="宋体" w:cs="宋体" w:hint="eastAsia"/>
                <w:sz w:val="18"/>
                <w:szCs w:val="18"/>
              </w:rPr>
            </w:pPr>
            <w:r>
              <w:rPr>
                <w:rFonts w:ascii="宋体" w:eastAsia="宋体" w:hAnsi="宋体" w:cs="宋体"/>
                <w:sz w:val="18"/>
                <w:szCs w:val="18"/>
              </w:rPr>
              <w:t>是</w:t>
            </w:r>
          </w:p>
        </w:tc>
        <w:tc>
          <w:tcPr>
            <w:tcW w:w="851" w:type="dxa"/>
            <w:shd w:val="clear" w:color="auto" w:fill="FFFFFF" w:themeFill="background1"/>
            <w:vAlign w:val="center"/>
          </w:tcPr>
          <w:p w14:paraId="2A20C643" w14:textId="77777777" w:rsidR="00632E5B" w:rsidRDefault="00632E5B">
            <w:pPr>
              <w:spacing w:line="240" w:lineRule="exact"/>
              <w:rPr>
                <w:rFonts w:ascii="宋体" w:eastAsia="宋体" w:hAnsi="宋体" w:cs="宋体" w:hint="eastAsia"/>
                <w:sz w:val="18"/>
                <w:szCs w:val="18"/>
              </w:rPr>
            </w:pPr>
          </w:p>
        </w:tc>
        <w:tc>
          <w:tcPr>
            <w:tcW w:w="993" w:type="dxa"/>
            <w:shd w:val="clear" w:color="auto" w:fill="FFFFFF" w:themeFill="background1"/>
            <w:vAlign w:val="center"/>
          </w:tcPr>
          <w:p w14:paraId="4662C99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92" w:type="dxa"/>
            <w:shd w:val="clear" w:color="auto" w:fill="FFFFFF" w:themeFill="background1"/>
            <w:vAlign w:val="center"/>
          </w:tcPr>
          <w:p w14:paraId="56DB6F4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1" w:type="dxa"/>
            <w:shd w:val="clear" w:color="auto" w:fill="FFFFFF" w:themeFill="background1"/>
            <w:vAlign w:val="center"/>
          </w:tcPr>
          <w:p w14:paraId="3B47F79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242.19</w:t>
            </w:r>
          </w:p>
        </w:tc>
      </w:tr>
      <w:tr w:rsidR="00632E5B" w14:paraId="24E9E382" w14:textId="77777777" w:rsidTr="00015F25">
        <w:trPr>
          <w:trHeight w:val="240"/>
        </w:trPr>
        <w:tc>
          <w:tcPr>
            <w:tcW w:w="709" w:type="dxa"/>
            <w:shd w:val="clear" w:color="auto" w:fill="FFFFFF" w:themeFill="background1"/>
            <w:vAlign w:val="center"/>
          </w:tcPr>
          <w:p w14:paraId="0C11A8D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组件</w:t>
            </w:r>
          </w:p>
        </w:tc>
        <w:tc>
          <w:tcPr>
            <w:tcW w:w="4820" w:type="dxa"/>
            <w:shd w:val="clear" w:color="auto" w:fill="FFFFFF" w:themeFill="background1"/>
            <w:vAlign w:val="center"/>
          </w:tcPr>
          <w:p w14:paraId="1C86435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 TEKSTIL ANONIM SIRKETI</w:t>
            </w:r>
          </w:p>
        </w:tc>
        <w:tc>
          <w:tcPr>
            <w:tcW w:w="992" w:type="dxa"/>
            <w:shd w:val="clear" w:color="auto" w:fill="FFFFFF" w:themeFill="background1"/>
            <w:vAlign w:val="center"/>
          </w:tcPr>
          <w:p w14:paraId="65D29CF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2,147.23</w:t>
            </w:r>
          </w:p>
        </w:tc>
        <w:tc>
          <w:tcPr>
            <w:tcW w:w="992" w:type="dxa"/>
            <w:shd w:val="clear" w:color="auto" w:fill="FFFFFF" w:themeFill="background1"/>
            <w:vAlign w:val="center"/>
          </w:tcPr>
          <w:p w14:paraId="5BDCEF0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93" w:type="dxa"/>
            <w:shd w:val="clear" w:color="auto" w:fill="FFFFFF" w:themeFill="background1"/>
            <w:vAlign w:val="center"/>
          </w:tcPr>
          <w:p w14:paraId="45CA889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92" w:type="dxa"/>
            <w:shd w:val="clear" w:color="auto" w:fill="FFFFFF" w:themeFill="background1"/>
            <w:vAlign w:val="center"/>
          </w:tcPr>
          <w:p w14:paraId="05E76A7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2,147.23</w:t>
            </w:r>
          </w:p>
        </w:tc>
        <w:tc>
          <w:tcPr>
            <w:tcW w:w="708" w:type="dxa"/>
            <w:shd w:val="clear" w:color="auto" w:fill="FFFFFF" w:themeFill="background1"/>
            <w:vAlign w:val="center"/>
          </w:tcPr>
          <w:p w14:paraId="19EC2E00" w14:textId="77777777" w:rsidR="00632E5B" w:rsidRDefault="00107901" w:rsidP="001B6A01">
            <w:pPr>
              <w:spacing w:line="240" w:lineRule="exact"/>
              <w:jc w:val="center"/>
              <w:rPr>
                <w:rFonts w:ascii="宋体" w:eastAsia="宋体" w:hAnsi="宋体" w:cs="宋体" w:hint="eastAsia"/>
                <w:sz w:val="18"/>
                <w:szCs w:val="18"/>
              </w:rPr>
            </w:pPr>
            <w:r>
              <w:rPr>
                <w:rFonts w:ascii="宋体" w:eastAsia="宋体" w:hAnsi="宋体" w:cs="宋体"/>
                <w:sz w:val="18"/>
                <w:szCs w:val="18"/>
              </w:rPr>
              <w:t>是</w:t>
            </w:r>
          </w:p>
        </w:tc>
        <w:tc>
          <w:tcPr>
            <w:tcW w:w="851" w:type="dxa"/>
            <w:shd w:val="clear" w:color="auto" w:fill="FFFFFF" w:themeFill="background1"/>
            <w:vAlign w:val="center"/>
          </w:tcPr>
          <w:p w14:paraId="14AD7684" w14:textId="77777777" w:rsidR="00632E5B" w:rsidRDefault="00632E5B">
            <w:pPr>
              <w:spacing w:line="240" w:lineRule="exact"/>
              <w:rPr>
                <w:rFonts w:ascii="宋体" w:eastAsia="宋体" w:hAnsi="宋体" w:cs="宋体" w:hint="eastAsia"/>
                <w:sz w:val="18"/>
                <w:szCs w:val="18"/>
              </w:rPr>
            </w:pPr>
          </w:p>
        </w:tc>
        <w:tc>
          <w:tcPr>
            <w:tcW w:w="993" w:type="dxa"/>
            <w:shd w:val="clear" w:color="auto" w:fill="FFFFFF" w:themeFill="background1"/>
            <w:vAlign w:val="center"/>
          </w:tcPr>
          <w:p w14:paraId="5DA8687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92" w:type="dxa"/>
            <w:shd w:val="clear" w:color="auto" w:fill="FFFFFF" w:themeFill="background1"/>
            <w:vAlign w:val="center"/>
          </w:tcPr>
          <w:p w14:paraId="20BD68A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1" w:type="dxa"/>
            <w:shd w:val="clear" w:color="auto" w:fill="FFFFFF" w:themeFill="background1"/>
            <w:vAlign w:val="center"/>
          </w:tcPr>
          <w:p w14:paraId="1D641E4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536.81</w:t>
            </w:r>
          </w:p>
        </w:tc>
      </w:tr>
      <w:tr w:rsidR="00632E5B" w14:paraId="16080F57" w14:textId="77777777" w:rsidTr="00015F25">
        <w:trPr>
          <w:trHeight w:val="240"/>
        </w:trPr>
        <w:tc>
          <w:tcPr>
            <w:tcW w:w="709" w:type="dxa"/>
            <w:shd w:val="clear" w:color="auto" w:fill="FFFFFF" w:themeFill="background1"/>
            <w:vAlign w:val="center"/>
          </w:tcPr>
          <w:p w14:paraId="3BC9ACA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绝缘料</w:t>
            </w:r>
          </w:p>
        </w:tc>
        <w:tc>
          <w:tcPr>
            <w:tcW w:w="4820" w:type="dxa"/>
            <w:shd w:val="clear" w:color="auto" w:fill="FFFFFF" w:themeFill="background1"/>
            <w:vAlign w:val="center"/>
          </w:tcPr>
          <w:p w14:paraId="42F2100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**海缆股份有限公司</w:t>
            </w:r>
          </w:p>
        </w:tc>
        <w:tc>
          <w:tcPr>
            <w:tcW w:w="992" w:type="dxa"/>
            <w:shd w:val="clear" w:color="auto" w:fill="FFFFFF" w:themeFill="background1"/>
            <w:vAlign w:val="center"/>
          </w:tcPr>
          <w:p w14:paraId="5B5E030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5,224.64</w:t>
            </w:r>
          </w:p>
        </w:tc>
        <w:tc>
          <w:tcPr>
            <w:tcW w:w="992" w:type="dxa"/>
            <w:shd w:val="clear" w:color="auto" w:fill="FFFFFF" w:themeFill="background1"/>
            <w:vAlign w:val="center"/>
          </w:tcPr>
          <w:p w14:paraId="40A73AF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93" w:type="dxa"/>
            <w:shd w:val="clear" w:color="auto" w:fill="FFFFFF" w:themeFill="background1"/>
            <w:vAlign w:val="center"/>
          </w:tcPr>
          <w:p w14:paraId="6A8E3FF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92" w:type="dxa"/>
            <w:shd w:val="clear" w:color="auto" w:fill="FFFFFF" w:themeFill="background1"/>
            <w:vAlign w:val="center"/>
          </w:tcPr>
          <w:p w14:paraId="6E38DAF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5,224.64</w:t>
            </w:r>
          </w:p>
        </w:tc>
        <w:tc>
          <w:tcPr>
            <w:tcW w:w="708" w:type="dxa"/>
            <w:shd w:val="clear" w:color="auto" w:fill="FFFFFF" w:themeFill="background1"/>
            <w:vAlign w:val="center"/>
          </w:tcPr>
          <w:p w14:paraId="16344531" w14:textId="77777777" w:rsidR="00632E5B" w:rsidRDefault="00107901" w:rsidP="001B6A01">
            <w:pPr>
              <w:spacing w:line="240" w:lineRule="exact"/>
              <w:jc w:val="center"/>
              <w:rPr>
                <w:rFonts w:ascii="宋体" w:eastAsia="宋体" w:hAnsi="宋体" w:cs="宋体" w:hint="eastAsia"/>
                <w:sz w:val="18"/>
                <w:szCs w:val="18"/>
              </w:rPr>
            </w:pPr>
            <w:r>
              <w:rPr>
                <w:rFonts w:ascii="宋体" w:eastAsia="宋体" w:hAnsi="宋体" w:cs="宋体"/>
                <w:sz w:val="18"/>
                <w:szCs w:val="18"/>
              </w:rPr>
              <w:t>是</w:t>
            </w:r>
          </w:p>
        </w:tc>
        <w:tc>
          <w:tcPr>
            <w:tcW w:w="851" w:type="dxa"/>
            <w:shd w:val="clear" w:color="auto" w:fill="FFFFFF" w:themeFill="background1"/>
            <w:vAlign w:val="center"/>
          </w:tcPr>
          <w:p w14:paraId="6E4F232B" w14:textId="77777777" w:rsidR="00632E5B" w:rsidRDefault="00632E5B">
            <w:pPr>
              <w:spacing w:line="240" w:lineRule="exact"/>
              <w:rPr>
                <w:rFonts w:ascii="宋体" w:eastAsia="宋体" w:hAnsi="宋体" w:cs="宋体" w:hint="eastAsia"/>
                <w:sz w:val="18"/>
                <w:szCs w:val="18"/>
              </w:rPr>
            </w:pPr>
          </w:p>
        </w:tc>
        <w:tc>
          <w:tcPr>
            <w:tcW w:w="993" w:type="dxa"/>
            <w:shd w:val="clear" w:color="auto" w:fill="FFFFFF" w:themeFill="background1"/>
            <w:vAlign w:val="center"/>
          </w:tcPr>
          <w:p w14:paraId="6D05159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92" w:type="dxa"/>
            <w:shd w:val="clear" w:color="auto" w:fill="FFFFFF" w:themeFill="background1"/>
            <w:vAlign w:val="center"/>
          </w:tcPr>
          <w:p w14:paraId="771939B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1" w:type="dxa"/>
            <w:shd w:val="clear" w:color="auto" w:fill="FFFFFF" w:themeFill="background1"/>
            <w:vAlign w:val="center"/>
          </w:tcPr>
          <w:p w14:paraId="1DC7D37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0</w:t>
            </w:r>
          </w:p>
        </w:tc>
      </w:tr>
      <w:tr w:rsidR="00632E5B" w14:paraId="52C6C861" w14:textId="77777777" w:rsidTr="00015F25">
        <w:trPr>
          <w:trHeight w:val="240"/>
        </w:trPr>
        <w:tc>
          <w:tcPr>
            <w:tcW w:w="709" w:type="dxa"/>
            <w:shd w:val="clear" w:color="auto" w:fill="FFFFFF" w:themeFill="background1"/>
            <w:vAlign w:val="center"/>
          </w:tcPr>
          <w:p w14:paraId="4E413C4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线缆</w:t>
            </w:r>
          </w:p>
        </w:tc>
        <w:tc>
          <w:tcPr>
            <w:tcW w:w="4820" w:type="dxa"/>
            <w:shd w:val="clear" w:color="auto" w:fill="FFFFFF" w:themeFill="background1"/>
            <w:vAlign w:val="center"/>
          </w:tcPr>
          <w:p w14:paraId="37B2F23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**铁路有限责任公司</w:t>
            </w:r>
          </w:p>
        </w:tc>
        <w:tc>
          <w:tcPr>
            <w:tcW w:w="992" w:type="dxa"/>
            <w:shd w:val="clear" w:color="auto" w:fill="FFFFFF" w:themeFill="background1"/>
            <w:vAlign w:val="center"/>
          </w:tcPr>
          <w:p w14:paraId="67033A8A" w14:textId="7003D3A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1,840</w:t>
            </w:r>
            <w:r w:rsidR="00D710BD">
              <w:rPr>
                <w:rFonts w:ascii="宋体" w:eastAsia="宋体" w:hAnsi="宋体" w:cs="宋体"/>
                <w:sz w:val="18"/>
                <w:szCs w:val="18"/>
              </w:rPr>
              <w:t>.00</w:t>
            </w:r>
          </w:p>
        </w:tc>
        <w:tc>
          <w:tcPr>
            <w:tcW w:w="992" w:type="dxa"/>
            <w:shd w:val="clear" w:color="auto" w:fill="FFFFFF" w:themeFill="background1"/>
            <w:vAlign w:val="center"/>
          </w:tcPr>
          <w:p w14:paraId="01E9A511" w14:textId="04338662"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1,266</w:t>
            </w:r>
            <w:r w:rsidR="00D710BD">
              <w:rPr>
                <w:rFonts w:ascii="宋体" w:eastAsia="宋体" w:hAnsi="宋体" w:cs="宋体"/>
                <w:sz w:val="18"/>
                <w:szCs w:val="18"/>
              </w:rPr>
              <w:t>.00</w:t>
            </w:r>
          </w:p>
        </w:tc>
        <w:tc>
          <w:tcPr>
            <w:tcW w:w="993" w:type="dxa"/>
            <w:shd w:val="clear" w:color="auto" w:fill="FFFFFF" w:themeFill="background1"/>
            <w:vAlign w:val="center"/>
          </w:tcPr>
          <w:p w14:paraId="7B6E23FC" w14:textId="645535E4"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1,266</w:t>
            </w:r>
            <w:r w:rsidR="00D710BD">
              <w:rPr>
                <w:rFonts w:ascii="宋体" w:eastAsia="宋体" w:hAnsi="宋体" w:cs="宋体"/>
                <w:sz w:val="18"/>
                <w:szCs w:val="18"/>
              </w:rPr>
              <w:t>.00</w:t>
            </w:r>
          </w:p>
        </w:tc>
        <w:tc>
          <w:tcPr>
            <w:tcW w:w="992" w:type="dxa"/>
            <w:shd w:val="clear" w:color="auto" w:fill="FFFFFF" w:themeFill="background1"/>
            <w:vAlign w:val="center"/>
          </w:tcPr>
          <w:p w14:paraId="4B677E33" w14:textId="075FB724"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574</w:t>
            </w:r>
            <w:r w:rsidR="00D710BD">
              <w:rPr>
                <w:rFonts w:ascii="宋体" w:eastAsia="宋体" w:hAnsi="宋体" w:cs="宋体"/>
                <w:sz w:val="18"/>
                <w:szCs w:val="18"/>
              </w:rPr>
              <w:t>.00</w:t>
            </w:r>
          </w:p>
        </w:tc>
        <w:tc>
          <w:tcPr>
            <w:tcW w:w="708" w:type="dxa"/>
            <w:shd w:val="clear" w:color="auto" w:fill="FFFFFF" w:themeFill="background1"/>
            <w:vAlign w:val="center"/>
          </w:tcPr>
          <w:p w14:paraId="5C613A79" w14:textId="77777777" w:rsidR="00632E5B" w:rsidRDefault="00107901" w:rsidP="001B6A01">
            <w:pPr>
              <w:spacing w:line="240" w:lineRule="exact"/>
              <w:jc w:val="center"/>
              <w:rPr>
                <w:rFonts w:ascii="宋体" w:eastAsia="宋体" w:hAnsi="宋体" w:cs="宋体" w:hint="eastAsia"/>
                <w:sz w:val="18"/>
                <w:szCs w:val="18"/>
              </w:rPr>
            </w:pPr>
            <w:r>
              <w:rPr>
                <w:rFonts w:ascii="宋体" w:eastAsia="宋体" w:hAnsi="宋体" w:cs="宋体"/>
                <w:sz w:val="18"/>
                <w:szCs w:val="18"/>
              </w:rPr>
              <w:t>是</w:t>
            </w:r>
          </w:p>
        </w:tc>
        <w:tc>
          <w:tcPr>
            <w:tcW w:w="851" w:type="dxa"/>
            <w:shd w:val="clear" w:color="auto" w:fill="FFFFFF" w:themeFill="background1"/>
            <w:vAlign w:val="center"/>
          </w:tcPr>
          <w:p w14:paraId="190D2CE5" w14:textId="77777777" w:rsidR="00632E5B" w:rsidRDefault="00632E5B">
            <w:pPr>
              <w:spacing w:line="240" w:lineRule="exact"/>
              <w:rPr>
                <w:rFonts w:ascii="宋体" w:eastAsia="宋体" w:hAnsi="宋体" w:cs="宋体" w:hint="eastAsia"/>
                <w:sz w:val="18"/>
                <w:szCs w:val="18"/>
              </w:rPr>
            </w:pPr>
          </w:p>
        </w:tc>
        <w:tc>
          <w:tcPr>
            <w:tcW w:w="993" w:type="dxa"/>
            <w:shd w:val="clear" w:color="auto" w:fill="FFFFFF" w:themeFill="background1"/>
            <w:vAlign w:val="center"/>
          </w:tcPr>
          <w:p w14:paraId="2980071D" w14:textId="4B571583"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1,266</w:t>
            </w:r>
            <w:r w:rsidR="00D710BD">
              <w:rPr>
                <w:rFonts w:ascii="宋体" w:eastAsia="宋体" w:hAnsi="宋体" w:cs="宋体"/>
                <w:sz w:val="18"/>
                <w:szCs w:val="18"/>
              </w:rPr>
              <w:t>.00</w:t>
            </w:r>
          </w:p>
        </w:tc>
        <w:tc>
          <w:tcPr>
            <w:tcW w:w="992" w:type="dxa"/>
            <w:shd w:val="clear" w:color="auto" w:fill="FFFFFF" w:themeFill="background1"/>
            <w:vAlign w:val="center"/>
          </w:tcPr>
          <w:p w14:paraId="2F9DA6AC" w14:textId="0728ABD2"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1,266</w:t>
            </w:r>
            <w:r w:rsidR="00D710BD">
              <w:rPr>
                <w:rFonts w:ascii="宋体" w:eastAsia="宋体" w:hAnsi="宋体" w:cs="宋体"/>
                <w:sz w:val="18"/>
                <w:szCs w:val="18"/>
              </w:rPr>
              <w:t>.00</w:t>
            </w:r>
          </w:p>
        </w:tc>
        <w:tc>
          <w:tcPr>
            <w:tcW w:w="961" w:type="dxa"/>
            <w:shd w:val="clear" w:color="auto" w:fill="FFFFFF" w:themeFill="background1"/>
            <w:vAlign w:val="center"/>
          </w:tcPr>
          <w:p w14:paraId="4E0FE4BB" w14:textId="3B4E8FD1"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1,203</w:t>
            </w:r>
            <w:r w:rsidR="00D710BD">
              <w:rPr>
                <w:rFonts w:ascii="宋体" w:eastAsia="宋体" w:hAnsi="宋体" w:cs="宋体"/>
                <w:sz w:val="18"/>
                <w:szCs w:val="18"/>
              </w:rPr>
              <w:t>.00</w:t>
            </w:r>
          </w:p>
        </w:tc>
      </w:tr>
      <w:tr w:rsidR="00632E5B" w14:paraId="79327E86" w14:textId="77777777" w:rsidTr="00015F25">
        <w:trPr>
          <w:trHeight w:val="240"/>
        </w:trPr>
        <w:tc>
          <w:tcPr>
            <w:tcW w:w="709" w:type="dxa"/>
            <w:shd w:val="clear" w:color="auto" w:fill="FFFFFF" w:themeFill="background1"/>
            <w:vAlign w:val="center"/>
          </w:tcPr>
          <w:p w14:paraId="2F02010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线缆</w:t>
            </w:r>
          </w:p>
        </w:tc>
        <w:tc>
          <w:tcPr>
            <w:tcW w:w="4820" w:type="dxa"/>
            <w:shd w:val="clear" w:color="auto" w:fill="FFFFFF" w:themeFill="background1"/>
            <w:vAlign w:val="center"/>
          </w:tcPr>
          <w:p w14:paraId="7AEEA14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中国**集团有限公司**铁路建设指挥部、**铁路发展有限公司</w:t>
            </w:r>
          </w:p>
        </w:tc>
        <w:tc>
          <w:tcPr>
            <w:tcW w:w="992" w:type="dxa"/>
            <w:shd w:val="clear" w:color="auto" w:fill="FFFFFF" w:themeFill="background1"/>
            <w:vAlign w:val="center"/>
          </w:tcPr>
          <w:p w14:paraId="2FAD963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1,206.02</w:t>
            </w:r>
          </w:p>
        </w:tc>
        <w:tc>
          <w:tcPr>
            <w:tcW w:w="992" w:type="dxa"/>
            <w:shd w:val="clear" w:color="auto" w:fill="FFFFFF" w:themeFill="background1"/>
            <w:vAlign w:val="center"/>
          </w:tcPr>
          <w:p w14:paraId="316917E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93" w:type="dxa"/>
            <w:shd w:val="clear" w:color="auto" w:fill="FFFFFF" w:themeFill="background1"/>
            <w:vAlign w:val="center"/>
          </w:tcPr>
          <w:p w14:paraId="27C68A7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92" w:type="dxa"/>
            <w:shd w:val="clear" w:color="auto" w:fill="FFFFFF" w:themeFill="background1"/>
            <w:vAlign w:val="center"/>
          </w:tcPr>
          <w:p w14:paraId="06BA4AF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1,206.02</w:t>
            </w:r>
          </w:p>
        </w:tc>
        <w:tc>
          <w:tcPr>
            <w:tcW w:w="708" w:type="dxa"/>
            <w:shd w:val="clear" w:color="auto" w:fill="FFFFFF" w:themeFill="background1"/>
            <w:vAlign w:val="center"/>
          </w:tcPr>
          <w:p w14:paraId="33DA18B5" w14:textId="77777777" w:rsidR="00632E5B" w:rsidRDefault="00107901" w:rsidP="001B6A01">
            <w:pPr>
              <w:spacing w:line="240" w:lineRule="exact"/>
              <w:jc w:val="center"/>
              <w:rPr>
                <w:rFonts w:ascii="宋体" w:eastAsia="宋体" w:hAnsi="宋体" w:cs="宋体" w:hint="eastAsia"/>
                <w:sz w:val="18"/>
                <w:szCs w:val="18"/>
              </w:rPr>
            </w:pPr>
            <w:r>
              <w:rPr>
                <w:rFonts w:ascii="宋体" w:eastAsia="宋体" w:hAnsi="宋体" w:cs="宋体"/>
                <w:sz w:val="18"/>
                <w:szCs w:val="18"/>
              </w:rPr>
              <w:t>是</w:t>
            </w:r>
          </w:p>
        </w:tc>
        <w:tc>
          <w:tcPr>
            <w:tcW w:w="851" w:type="dxa"/>
            <w:shd w:val="clear" w:color="auto" w:fill="FFFFFF" w:themeFill="background1"/>
            <w:vAlign w:val="center"/>
          </w:tcPr>
          <w:p w14:paraId="50F295B8" w14:textId="77777777" w:rsidR="00632E5B" w:rsidRDefault="00632E5B">
            <w:pPr>
              <w:spacing w:line="240" w:lineRule="exact"/>
              <w:rPr>
                <w:rFonts w:ascii="宋体" w:eastAsia="宋体" w:hAnsi="宋体" w:cs="宋体" w:hint="eastAsia"/>
                <w:sz w:val="18"/>
                <w:szCs w:val="18"/>
              </w:rPr>
            </w:pPr>
          </w:p>
        </w:tc>
        <w:tc>
          <w:tcPr>
            <w:tcW w:w="993" w:type="dxa"/>
            <w:shd w:val="clear" w:color="auto" w:fill="FFFFFF" w:themeFill="background1"/>
            <w:vAlign w:val="center"/>
          </w:tcPr>
          <w:p w14:paraId="0566960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92" w:type="dxa"/>
            <w:shd w:val="clear" w:color="auto" w:fill="FFFFFF" w:themeFill="background1"/>
            <w:vAlign w:val="center"/>
          </w:tcPr>
          <w:p w14:paraId="4B9555E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1" w:type="dxa"/>
            <w:shd w:val="clear" w:color="auto" w:fill="FFFFFF" w:themeFill="background1"/>
            <w:vAlign w:val="center"/>
          </w:tcPr>
          <w:p w14:paraId="3B0CE82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0</w:t>
            </w:r>
          </w:p>
        </w:tc>
      </w:tr>
      <w:tr w:rsidR="00632E5B" w14:paraId="33BD1D6C" w14:textId="77777777" w:rsidTr="00015F25">
        <w:trPr>
          <w:trHeight w:val="240"/>
        </w:trPr>
        <w:tc>
          <w:tcPr>
            <w:tcW w:w="709" w:type="dxa"/>
            <w:shd w:val="clear" w:color="auto" w:fill="FFFFFF" w:themeFill="background1"/>
            <w:vAlign w:val="center"/>
          </w:tcPr>
          <w:p w14:paraId="212CC58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线缆</w:t>
            </w:r>
          </w:p>
        </w:tc>
        <w:tc>
          <w:tcPr>
            <w:tcW w:w="4820" w:type="dxa"/>
            <w:shd w:val="clear" w:color="auto" w:fill="FFFFFF" w:themeFill="background1"/>
            <w:vAlign w:val="center"/>
          </w:tcPr>
          <w:p w14:paraId="4DA2A6C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**铁路广东有限公司</w:t>
            </w:r>
          </w:p>
        </w:tc>
        <w:tc>
          <w:tcPr>
            <w:tcW w:w="992" w:type="dxa"/>
            <w:shd w:val="clear" w:color="auto" w:fill="FFFFFF" w:themeFill="background1"/>
            <w:vAlign w:val="center"/>
          </w:tcPr>
          <w:p w14:paraId="73E51F38" w14:textId="72B5C2E4"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2,232</w:t>
            </w:r>
            <w:r w:rsidR="001B6A01">
              <w:rPr>
                <w:rFonts w:ascii="宋体" w:eastAsia="宋体" w:hAnsi="宋体" w:cs="宋体"/>
                <w:sz w:val="18"/>
                <w:szCs w:val="18"/>
              </w:rPr>
              <w:t>.00</w:t>
            </w:r>
          </w:p>
        </w:tc>
        <w:tc>
          <w:tcPr>
            <w:tcW w:w="992" w:type="dxa"/>
            <w:shd w:val="clear" w:color="auto" w:fill="FFFFFF" w:themeFill="background1"/>
            <w:vAlign w:val="center"/>
          </w:tcPr>
          <w:p w14:paraId="37EB9C0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93" w:type="dxa"/>
            <w:shd w:val="clear" w:color="auto" w:fill="FFFFFF" w:themeFill="background1"/>
            <w:vAlign w:val="center"/>
          </w:tcPr>
          <w:p w14:paraId="64CCCB8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92" w:type="dxa"/>
            <w:shd w:val="clear" w:color="auto" w:fill="FFFFFF" w:themeFill="background1"/>
            <w:vAlign w:val="center"/>
          </w:tcPr>
          <w:p w14:paraId="1FA8A282" w14:textId="6B90ABC2"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2,232</w:t>
            </w:r>
            <w:r w:rsidR="001B6A01">
              <w:rPr>
                <w:rFonts w:ascii="宋体" w:eastAsia="宋体" w:hAnsi="宋体" w:cs="宋体"/>
                <w:sz w:val="18"/>
                <w:szCs w:val="18"/>
              </w:rPr>
              <w:t>.00</w:t>
            </w:r>
          </w:p>
        </w:tc>
        <w:tc>
          <w:tcPr>
            <w:tcW w:w="708" w:type="dxa"/>
            <w:shd w:val="clear" w:color="auto" w:fill="FFFFFF" w:themeFill="background1"/>
            <w:vAlign w:val="center"/>
          </w:tcPr>
          <w:p w14:paraId="236F0C00" w14:textId="77777777" w:rsidR="00632E5B" w:rsidRDefault="00107901" w:rsidP="001B6A01">
            <w:pPr>
              <w:spacing w:line="240" w:lineRule="exact"/>
              <w:jc w:val="center"/>
              <w:rPr>
                <w:rFonts w:ascii="宋体" w:eastAsia="宋体" w:hAnsi="宋体" w:cs="宋体" w:hint="eastAsia"/>
                <w:sz w:val="18"/>
                <w:szCs w:val="18"/>
              </w:rPr>
            </w:pPr>
            <w:r>
              <w:rPr>
                <w:rFonts w:ascii="宋体" w:eastAsia="宋体" w:hAnsi="宋体" w:cs="宋体"/>
                <w:sz w:val="18"/>
                <w:szCs w:val="18"/>
              </w:rPr>
              <w:t>是</w:t>
            </w:r>
          </w:p>
        </w:tc>
        <w:tc>
          <w:tcPr>
            <w:tcW w:w="851" w:type="dxa"/>
            <w:shd w:val="clear" w:color="auto" w:fill="FFFFFF" w:themeFill="background1"/>
            <w:vAlign w:val="center"/>
          </w:tcPr>
          <w:p w14:paraId="762C2D5F" w14:textId="77777777" w:rsidR="00632E5B" w:rsidRDefault="00632E5B">
            <w:pPr>
              <w:spacing w:line="240" w:lineRule="exact"/>
              <w:rPr>
                <w:rFonts w:ascii="宋体" w:eastAsia="宋体" w:hAnsi="宋体" w:cs="宋体" w:hint="eastAsia"/>
                <w:sz w:val="18"/>
                <w:szCs w:val="18"/>
              </w:rPr>
            </w:pPr>
          </w:p>
        </w:tc>
        <w:tc>
          <w:tcPr>
            <w:tcW w:w="993" w:type="dxa"/>
            <w:shd w:val="clear" w:color="auto" w:fill="FFFFFF" w:themeFill="background1"/>
            <w:vAlign w:val="center"/>
          </w:tcPr>
          <w:p w14:paraId="17D5796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92" w:type="dxa"/>
            <w:shd w:val="clear" w:color="auto" w:fill="FFFFFF" w:themeFill="background1"/>
            <w:vAlign w:val="center"/>
          </w:tcPr>
          <w:p w14:paraId="739ED01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1" w:type="dxa"/>
            <w:shd w:val="clear" w:color="auto" w:fill="FFFFFF" w:themeFill="background1"/>
            <w:vAlign w:val="center"/>
          </w:tcPr>
          <w:p w14:paraId="2EA2B9C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0</w:t>
            </w:r>
          </w:p>
        </w:tc>
      </w:tr>
      <w:tr w:rsidR="00632E5B" w14:paraId="6401A9A7" w14:textId="77777777" w:rsidTr="00015F25">
        <w:trPr>
          <w:trHeight w:val="240"/>
        </w:trPr>
        <w:tc>
          <w:tcPr>
            <w:tcW w:w="709" w:type="dxa"/>
            <w:shd w:val="clear" w:color="auto" w:fill="FFFFFF" w:themeFill="background1"/>
            <w:vAlign w:val="center"/>
          </w:tcPr>
          <w:p w14:paraId="791E78D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铝合金电缆</w:t>
            </w:r>
          </w:p>
        </w:tc>
        <w:tc>
          <w:tcPr>
            <w:tcW w:w="4820" w:type="dxa"/>
            <w:shd w:val="clear" w:color="auto" w:fill="FFFFFF" w:themeFill="background1"/>
            <w:vAlign w:val="center"/>
          </w:tcPr>
          <w:p w14:paraId="210E002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**新疆新能源股份有限公司</w:t>
            </w:r>
          </w:p>
        </w:tc>
        <w:tc>
          <w:tcPr>
            <w:tcW w:w="992" w:type="dxa"/>
            <w:shd w:val="clear" w:color="auto" w:fill="FFFFFF" w:themeFill="background1"/>
            <w:vAlign w:val="center"/>
          </w:tcPr>
          <w:p w14:paraId="3128DFB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8,516.88</w:t>
            </w:r>
          </w:p>
        </w:tc>
        <w:tc>
          <w:tcPr>
            <w:tcW w:w="992" w:type="dxa"/>
            <w:shd w:val="clear" w:color="auto" w:fill="FFFFFF" w:themeFill="background1"/>
            <w:vAlign w:val="center"/>
          </w:tcPr>
          <w:p w14:paraId="081B398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8,775.3</w:t>
            </w:r>
          </w:p>
        </w:tc>
        <w:tc>
          <w:tcPr>
            <w:tcW w:w="993" w:type="dxa"/>
            <w:shd w:val="clear" w:color="auto" w:fill="FFFFFF" w:themeFill="background1"/>
            <w:vAlign w:val="center"/>
          </w:tcPr>
          <w:p w14:paraId="177A1BC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284.38</w:t>
            </w:r>
          </w:p>
        </w:tc>
        <w:tc>
          <w:tcPr>
            <w:tcW w:w="992" w:type="dxa"/>
            <w:shd w:val="clear" w:color="auto" w:fill="FFFFFF" w:themeFill="background1"/>
            <w:vAlign w:val="center"/>
          </w:tcPr>
          <w:p w14:paraId="4287615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08" w:type="dxa"/>
            <w:shd w:val="clear" w:color="auto" w:fill="FFFFFF" w:themeFill="background1"/>
            <w:vAlign w:val="center"/>
          </w:tcPr>
          <w:p w14:paraId="5EAD9F6B" w14:textId="77777777" w:rsidR="00632E5B" w:rsidRDefault="00107901" w:rsidP="001B6A01">
            <w:pPr>
              <w:spacing w:line="240" w:lineRule="exact"/>
              <w:jc w:val="center"/>
              <w:rPr>
                <w:rFonts w:ascii="宋体" w:eastAsia="宋体" w:hAnsi="宋体" w:cs="宋体" w:hint="eastAsia"/>
                <w:sz w:val="18"/>
                <w:szCs w:val="18"/>
              </w:rPr>
            </w:pPr>
            <w:r>
              <w:rPr>
                <w:rFonts w:ascii="宋体" w:eastAsia="宋体" w:hAnsi="宋体" w:cs="宋体"/>
                <w:sz w:val="18"/>
                <w:szCs w:val="18"/>
              </w:rPr>
              <w:t>是</w:t>
            </w:r>
          </w:p>
        </w:tc>
        <w:tc>
          <w:tcPr>
            <w:tcW w:w="851" w:type="dxa"/>
            <w:shd w:val="clear" w:color="auto" w:fill="FFFFFF" w:themeFill="background1"/>
            <w:vAlign w:val="center"/>
          </w:tcPr>
          <w:p w14:paraId="45C9A5C9" w14:textId="77777777" w:rsidR="00632E5B" w:rsidRDefault="00632E5B">
            <w:pPr>
              <w:spacing w:line="240" w:lineRule="exact"/>
              <w:rPr>
                <w:rFonts w:ascii="宋体" w:eastAsia="宋体" w:hAnsi="宋体" w:cs="宋体" w:hint="eastAsia"/>
                <w:sz w:val="18"/>
                <w:szCs w:val="18"/>
              </w:rPr>
            </w:pPr>
          </w:p>
        </w:tc>
        <w:tc>
          <w:tcPr>
            <w:tcW w:w="993" w:type="dxa"/>
            <w:shd w:val="clear" w:color="auto" w:fill="FFFFFF" w:themeFill="background1"/>
            <w:vAlign w:val="center"/>
          </w:tcPr>
          <w:p w14:paraId="63E9E8A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284.38</w:t>
            </w:r>
          </w:p>
        </w:tc>
        <w:tc>
          <w:tcPr>
            <w:tcW w:w="992" w:type="dxa"/>
            <w:shd w:val="clear" w:color="auto" w:fill="FFFFFF" w:themeFill="background1"/>
            <w:vAlign w:val="center"/>
          </w:tcPr>
          <w:p w14:paraId="1F8F70A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8,409.79</w:t>
            </w:r>
          </w:p>
        </w:tc>
        <w:tc>
          <w:tcPr>
            <w:tcW w:w="961" w:type="dxa"/>
            <w:shd w:val="clear" w:color="auto" w:fill="FFFFFF" w:themeFill="background1"/>
            <w:vAlign w:val="center"/>
          </w:tcPr>
          <w:p w14:paraId="5CE1F85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7,568.81</w:t>
            </w:r>
          </w:p>
        </w:tc>
      </w:tr>
      <w:tr w:rsidR="00632E5B" w14:paraId="6A477E2C" w14:textId="77777777" w:rsidTr="00015F25">
        <w:trPr>
          <w:trHeight w:val="240"/>
        </w:trPr>
        <w:tc>
          <w:tcPr>
            <w:tcW w:w="709" w:type="dxa"/>
            <w:shd w:val="clear" w:color="auto" w:fill="FFFFFF" w:themeFill="background1"/>
            <w:vAlign w:val="center"/>
          </w:tcPr>
          <w:p w14:paraId="2ED6496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电缆</w:t>
            </w:r>
          </w:p>
        </w:tc>
        <w:tc>
          <w:tcPr>
            <w:tcW w:w="4820" w:type="dxa"/>
            <w:shd w:val="clear" w:color="auto" w:fill="FFFFFF" w:themeFill="background1"/>
            <w:vAlign w:val="center"/>
          </w:tcPr>
          <w:p w14:paraId="6DCAD72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烟台**工程有限公司</w:t>
            </w:r>
          </w:p>
        </w:tc>
        <w:tc>
          <w:tcPr>
            <w:tcW w:w="992" w:type="dxa"/>
            <w:shd w:val="clear" w:color="auto" w:fill="FFFFFF" w:themeFill="background1"/>
            <w:vAlign w:val="center"/>
          </w:tcPr>
          <w:p w14:paraId="19AD9C4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1,851.26</w:t>
            </w:r>
          </w:p>
        </w:tc>
        <w:tc>
          <w:tcPr>
            <w:tcW w:w="992" w:type="dxa"/>
            <w:shd w:val="clear" w:color="auto" w:fill="FFFFFF" w:themeFill="background1"/>
            <w:vAlign w:val="center"/>
          </w:tcPr>
          <w:p w14:paraId="345071C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1,851.26</w:t>
            </w:r>
          </w:p>
        </w:tc>
        <w:tc>
          <w:tcPr>
            <w:tcW w:w="993" w:type="dxa"/>
            <w:shd w:val="clear" w:color="auto" w:fill="FFFFFF" w:themeFill="background1"/>
            <w:vAlign w:val="center"/>
          </w:tcPr>
          <w:p w14:paraId="0D28FAE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1,851.26</w:t>
            </w:r>
          </w:p>
        </w:tc>
        <w:tc>
          <w:tcPr>
            <w:tcW w:w="992" w:type="dxa"/>
            <w:shd w:val="clear" w:color="auto" w:fill="FFFFFF" w:themeFill="background1"/>
            <w:vAlign w:val="center"/>
          </w:tcPr>
          <w:p w14:paraId="782DC76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08" w:type="dxa"/>
            <w:shd w:val="clear" w:color="auto" w:fill="FFFFFF" w:themeFill="background1"/>
            <w:vAlign w:val="center"/>
          </w:tcPr>
          <w:p w14:paraId="0F46CA2E" w14:textId="77777777" w:rsidR="00632E5B" w:rsidRDefault="00107901" w:rsidP="001B6A01">
            <w:pPr>
              <w:spacing w:line="240" w:lineRule="exact"/>
              <w:jc w:val="center"/>
              <w:rPr>
                <w:rFonts w:ascii="宋体" w:eastAsia="宋体" w:hAnsi="宋体" w:cs="宋体" w:hint="eastAsia"/>
                <w:sz w:val="18"/>
                <w:szCs w:val="18"/>
              </w:rPr>
            </w:pPr>
            <w:r>
              <w:rPr>
                <w:rFonts w:ascii="宋体" w:eastAsia="宋体" w:hAnsi="宋体" w:cs="宋体"/>
                <w:sz w:val="18"/>
                <w:szCs w:val="18"/>
              </w:rPr>
              <w:t>是</w:t>
            </w:r>
          </w:p>
        </w:tc>
        <w:tc>
          <w:tcPr>
            <w:tcW w:w="851" w:type="dxa"/>
            <w:shd w:val="clear" w:color="auto" w:fill="FFFFFF" w:themeFill="background1"/>
            <w:vAlign w:val="center"/>
          </w:tcPr>
          <w:p w14:paraId="29C6F698" w14:textId="77777777" w:rsidR="00632E5B" w:rsidRDefault="00632E5B">
            <w:pPr>
              <w:spacing w:line="240" w:lineRule="exact"/>
              <w:rPr>
                <w:rFonts w:ascii="宋体" w:eastAsia="宋体" w:hAnsi="宋体" w:cs="宋体" w:hint="eastAsia"/>
                <w:sz w:val="18"/>
                <w:szCs w:val="18"/>
              </w:rPr>
            </w:pPr>
          </w:p>
        </w:tc>
        <w:tc>
          <w:tcPr>
            <w:tcW w:w="993" w:type="dxa"/>
            <w:shd w:val="clear" w:color="auto" w:fill="FFFFFF" w:themeFill="background1"/>
            <w:vAlign w:val="center"/>
          </w:tcPr>
          <w:p w14:paraId="50EEDB5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1,851.26</w:t>
            </w:r>
          </w:p>
        </w:tc>
        <w:tc>
          <w:tcPr>
            <w:tcW w:w="992" w:type="dxa"/>
            <w:shd w:val="clear" w:color="auto" w:fill="FFFFFF" w:themeFill="background1"/>
            <w:vAlign w:val="center"/>
          </w:tcPr>
          <w:p w14:paraId="766091C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1,851.26</w:t>
            </w:r>
          </w:p>
        </w:tc>
        <w:tc>
          <w:tcPr>
            <w:tcW w:w="961" w:type="dxa"/>
            <w:shd w:val="clear" w:color="auto" w:fill="FFFFFF" w:themeFill="background1"/>
            <w:vAlign w:val="center"/>
          </w:tcPr>
          <w:p w14:paraId="71C694C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1,851.26</w:t>
            </w:r>
          </w:p>
        </w:tc>
      </w:tr>
      <w:tr w:rsidR="00632E5B" w14:paraId="1892FA61" w14:textId="77777777" w:rsidTr="00015F25">
        <w:trPr>
          <w:trHeight w:val="240"/>
        </w:trPr>
        <w:tc>
          <w:tcPr>
            <w:tcW w:w="709" w:type="dxa"/>
            <w:shd w:val="clear" w:color="auto" w:fill="FFFFFF" w:themeFill="background1"/>
            <w:vAlign w:val="center"/>
          </w:tcPr>
          <w:p w14:paraId="53C0480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电缆</w:t>
            </w:r>
          </w:p>
        </w:tc>
        <w:tc>
          <w:tcPr>
            <w:tcW w:w="4820" w:type="dxa"/>
            <w:shd w:val="clear" w:color="auto" w:fill="FFFFFF" w:themeFill="background1"/>
            <w:vAlign w:val="center"/>
          </w:tcPr>
          <w:p w14:paraId="12974F6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中国**集团物资有限公司</w:t>
            </w:r>
          </w:p>
        </w:tc>
        <w:tc>
          <w:tcPr>
            <w:tcW w:w="992" w:type="dxa"/>
            <w:shd w:val="clear" w:color="auto" w:fill="FFFFFF" w:themeFill="background1"/>
            <w:vAlign w:val="center"/>
          </w:tcPr>
          <w:p w14:paraId="51CD80E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1,145.13</w:t>
            </w:r>
          </w:p>
        </w:tc>
        <w:tc>
          <w:tcPr>
            <w:tcW w:w="992" w:type="dxa"/>
            <w:shd w:val="clear" w:color="auto" w:fill="FFFFFF" w:themeFill="background1"/>
            <w:vAlign w:val="center"/>
          </w:tcPr>
          <w:p w14:paraId="53D7D68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1,145.13</w:t>
            </w:r>
          </w:p>
        </w:tc>
        <w:tc>
          <w:tcPr>
            <w:tcW w:w="993" w:type="dxa"/>
            <w:shd w:val="clear" w:color="auto" w:fill="FFFFFF" w:themeFill="background1"/>
            <w:vAlign w:val="center"/>
          </w:tcPr>
          <w:p w14:paraId="1A4D7EA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1,145.13</w:t>
            </w:r>
          </w:p>
        </w:tc>
        <w:tc>
          <w:tcPr>
            <w:tcW w:w="992" w:type="dxa"/>
            <w:shd w:val="clear" w:color="auto" w:fill="FFFFFF" w:themeFill="background1"/>
            <w:vAlign w:val="center"/>
          </w:tcPr>
          <w:p w14:paraId="2A010B2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08" w:type="dxa"/>
            <w:shd w:val="clear" w:color="auto" w:fill="FFFFFF" w:themeFill="background1"/>
            <w:vAlign w:val="center"/>
          </w:tcPr>
          <w:p w14:paraId="05150D38" w14:textId="77777777" w:rsidR="00632E5B" w:rsidRDefault="00107901" w:rsidP="001B6A01">
            <w:pPr>
              <w:spacing w:line="240" w:lineRule="exact"/>
              <w:jc w:val="center"/>
              <w:rPr>
                <w:rFonts w:ascii="宋体" w:eastAsia="宋体" w:hAnsi="宋体" w:cs="宋体" w:hint="eastAsia"/>
                <w:sz w:val="18"/>
                <w:szCs w:val="18"/>
              </w:rPr>
            </w:pPr>
            <w:r>
              <w:rPr>
                <w:rFonts w:ascii="宋体" w:eastAsia="宋体" w:hAnsi="宋体" w:cs="宋体"/>
                <w:sz w:val="18"/>
                <w:szCs w:val="18"/>
              </w:rPr>
              <w:t>是</w:t>
            </w:r>
          </w:p>
        </w:tc>
        <w:tc>
          <w:tcPr>
            <w:tcW w:w="851" w:type="dxa"/>
            <w:shd w:val="clear" w:color="auto" w:fill="FFFFFF" w:themeFill="background1"/>
            <w:vAlign w:val="center"/>
          </w:tcPr>
          <w:p w14:paraId="13A8C61C" w14:textId="77777777" w:rsidR="00632E5B" w:rsidRDefault="00632E5B">
            <w:pPr>
              <w:spacing w:line="240" w:lineRule="exact"/>
              <w:rPr>
                <w:rFonts w:ascii="宋体" w:eastAsia="宋体" w:hAnsi="宋体" w:cs="宋体" w:hint="eastAsia"/>
                <w:sz w:val="18"/>
                <w:szCs w:val="18"/>
              </w:rPr>
            </w:pPr>
          </w:p>
        </w:tc>
        <w:tc>
          <w:tcPr>
            <w:tcW w:w="993" w:type="dxa"/>
            <w:shd w:val="clear" w:color="auto" w:fill="FFFFFF" w:themeFill="background1"/>
            <w:vAlign w:val="center"/>
          </w:tcPr>
          <w:p w14:paraId="4CC4CC7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1,145.13</w:t>
            </w:r>
          </w:p>
        </w:tc>
        <w:tc>
          <w:tcPr>
            <w:tcW w:w="992" w:type="dxa"/>
            <w:shd w:val="clear" w:color="auto" w:fill="FFFFFF" w:themeFill="background1"/>
            <w:vAlign w:val="center"/>
          </w:tcPr>
          <w:p w14:paraId="34E4656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1,145.13</w:t>
            </w:r>
          </w:p>
        </w:tc>
        <w:tc>
          <w:tcPr>
            <w:tcW w:w="961" w:type="dxa"/>
            <w:shd w:val="clear" w:color="auto" w:fill="FFFFFF" w:themeFill="background1"/>
            <w:vAlign w:val="center"/>
          </w:tcPr>
          <w:p w14:paraId="391292B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1,145.13</w:t>
            </w:r>
          </w:p>
        </w:tc>
      </w:tr>
      <w:tr w:rsidR="00632E5B" w14:paraId="21CE44F5" w14:textId="77777777" w:rsidTr="00015F25">
        <w:trPr>
          <w:trHeight w:val="240"/>
        </w:trPr>
        <w:tc>
          <w:tcPr>
            <w:tcW w:w="709" w:type="dxa"/>
            <w:shd w:val="clear" w:color="auto" w:fill="FFFFFF" w:themeFill="background1"/>
            <w:vAlign w:val="center"/>
          </w:tcPr>
          <w:p w14:paraId="599C1FC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电缆</w:t>
            </w:r>
          </w:p>
        </w:tc>
        <w:tc>
          <w:tcPr>
            <w:tcW w:w="4820" w:type="dxa"/>
            <w:shd w:val="clear" w:color="auto" w:fill="FFFFFF" w:themeFill="background1"/>
            <w:vAlign w:val="center"/>
          </w:tcPr>
          <w:p w14:paraId="557CB6A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中国**集团物资有限公司</w:t>
            </w:r>
          </w:p>
        </w:tc>
        <w:tc>
          <w:tcPr>
            <w:tcW w:w="992" w:type="dxa"/>
            <w:shd w:val="clear" w:color="auto" w:fill="FFFFFF" w:themeFill="background1"/>
            <w:vAlign w:val="center"/>
          </w:tcPr>
          <w:p w14:paraId="2C7884A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1,056.81</w:t>
            </w:r>
          </w:p>
        </w:tc>
        <w:tc>
          <w:tcPr>
            <w:tcW w:w="992" w:type="dxa"/>
            <w:shd w:val="clear" w:color="auto" w:fill="FFFFFF" w:themeFill="background1"/>
            <w:vAlign w:val="center"/>
          </w:tcPr>
          <w:p w14:paraId="2684EB6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1,056.81</w:t>
            </w:r>
          </w:p>
        </w:tc>
        <w:tc>
          <w:tcPr>
            <w:tcW w:w="993" w:type="dxa"/>
            <w:shd w:val="clear" w:color="auto" w:fill="FFFFFF" w:themeFill="background1"/>
            <w:vAlign w:val="center"/>
          </w:tcPr>
          <w:p w14:paraId="5447C33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1,056.81</w:t>
            </w:r>
          </w:p>
        </w:tc>
        <w:tc>
          <w:tcPr>
            <w:tcW w:w="992" w:type="dxa"/>
            <w:shd w:val="clear" w:color="auto" w:fill="FFFFFF" w:themeFill="background1"/>
            <w:vAlign w:val="center"/>
          </w:tcPr>
          <w:p w14:paraId="60198F1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08" w:type="dxa"/>
            <w:shd w:val="clear" w:color="auto" w:fill="FFFFFF" w:themeFill="background1"/>
            <w:vAlign w:val="center"/>
          </w:tcPr>
          <w:p w14:paraId="4F934B55" w14:textId="77777777" w:rsidR="00632E5B" w:rsidRDefault="00107901" w:rsidP="001B6A01">
            <w:pPr>
              <w:spacing w:line="240" w:lineRule="exact"/>
              <w:jc w:val="center"/>
              <w:rPr>
                <w:rFonts w:ascii="宋体" w:eastAsia="宋体" w:hAnsi="宋体" w:cs="宋体" w:hint="eastAsia"/>
                <w:sz w:val="18"/>
                <w:szCs w:val="18"/>
              </w:rPr>
            </w:pPr>
            <w:r>
              <w:rPr>
                <w:rFonts w:ascii="宋体" w:eastAsia="宋体" w:hAnsi="宋体" w:cs="宋体"/>
                <w:sz w:val="18"/>
                <w:szCs w:val="18"/>
              </w:rPr>
              <w:t>是</w:t>
            </w:r>
          </w:p>
        </w:tc>
        <w:tc>
          <w:tcPr>
            <w:tcW w:w="851" w:type="dxa"/>
            <w:shd w:val="clear" w:color="auto" w:fill="FFFFFF" w:themeFill="background1"/>
            <w:vAlign w:val="center"/>
          </w:tcPr>
          <w:p w14:paraId="60BDDDE2" w14:textId="77777777" w:rsidR="00632E5B" w:rsidRDefault="00632E5B">
            <w:pPr>
              <w:spacing w:line="240" w:lineRule="exact"/>
              <w:rPr>
                <w:rFonts w:ascii="宋体" w:eastAsia="宋体" w:hAnsi="宋体" w:cs="宋体" w:hint="eastAsia"/>
                <w:sz w:val="18"/>
                <w:szCs w:val="18"/>
              </w:rPr>
            </w:pPr>
          </w:p>
        </w:tc>
        <w:tc>
          <w:tcPr>
            <w:tcW w:w="993" w:type="dxa"/>
            <w:shd w:val="clear" w:color="auto" w:fill="FFFFFF" w:themeFill="background1"/>
            <w:vAlign w:val="center"/>
          </w:tcPr>
          <w:p w14:paraId="6EF6176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1,056.81</w:t>
            </w:r>
          </w:p>
        </w:tc>
        <w:tc>
          <w:tcPr>
            <w:tcW w:w="992" w:type="dxa"/>
            <w:shd w:val="clear" w:color="auto" w:fill="FFFFFF" w:themeFill="background1"/>
            <w:vAlign w:val="center"/>
          </w:tcPr>
          <w:p w14:paraId="71ED486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1,056.81</w:t>
            </w:r>
          </w:p>
        </w:tc>
        <w:tc>
          <w:tcPr>
            <w:tcW w:w="961" w:type="dxa"/>
            <w:shd w:val="clear" w:color="auto" w:fill="FFFFFF" w:themeFill="background1"/>
            <w:vAlign w:val="center"/>
          </w:tcPr>
          <w:p w14:paraId="37004E7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1,056.81</w:t>
            </w:r>
          </w:p>
        </w:tc>
      </w:tr>
      <w:tr w:rsidR="00632E5B" w14:paraId="51E75C2F" w14:textId="77777777" w:rsidTr="00015F25">
        <w:trPr>
          <w:trHeight w:val="240"/>
        </w:trPr>
        <w:tc>
          <w:tcPr>
            <w:tcW w:w="709" w:type="dxa"/>
            <w:shd w:val="clear" w:color="auto" w:fill="FFFFFF" w:themeFill="background1"/>
            <w:vAlign w:val="center"/>
          </w:tcPr>
          <w:p w14:paraId="013820C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电缆</w:t>
            </w:r>
          </w:p>
        </w:tc>
        <w:tc>
          <w:tcPr>
            <w:tcW w:w="4820" w:type="dxa"/>
            <w:shd w:val="clear" w:color="auto" w:fill="FFFFFF" w:themeFill="background1"/>
            <w:vAlign w:val="center"/>
          </w:tcPr>
          <w:p w14:paraId="614F425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中国**集团物资有限公司上海分公司</w:t>
            </w:r>
          </w:p>
        </w:tc>
        <w:tc>
          <w:tcPr>
            <w:tcW w:w="992" w:type="dxa"/>
            <w:shd w:val="clear" w:color="auto" w:fill="FFFFFF" w:themeFill="background1"/>
            <w:vAlign w:val="center"/>
          </w:tcPr>
          <w:p w14:paraId="38B11D0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1,258.71</w:t>
            </w:r>
          </w:p>
        </w:tc>
        <w:tc>
          <w:tcPr>
            <w:tcW w:w="992" w:type="dxa"/>
            <w:shd w:val="clear" w:color="auto" w:fill="FFFFFF" w:themeFill="background1"/>
            <w:vAlign w:val="center"/>
          </w:tcPr>
          <w:p w14:paraId="7DB4ADC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93" w:type="dxa"/>
            <w:shd w:val="clear" w:color="auto" w:fill="FFFFFF" w:themeFill="background1"/>
            <w:vAlign w:val="center"/>
          </w:tcPr>
          <w:p w14:paraId="177A8EC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92" w:type="dxa"/>
            <w:shd w:val="clear" w:color="auto" w:fill="FFFFFF" w:themeFill="background1"/>
            <w:vAlign w:val="center"/>
          </w:tcPr>
          <w:p w14:paraId="53C3E45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1,258.71</w:t>
            </w:r>
          </w:p>
        </w:tc>
        <w:tc>
          <w:tcPr>
            <w:tcW w:w="708" w:type="dxa"/>
            <w:shd w:val="clear" w:color="auto" w:fill="FFFFFF" w:themeFill="background1"/>
            <w:vAlign w:val="center"/>
          </w:tcPr>
          <w:p w14:paraId="1D1B05F1" w14:textId="77777777" w:rsidR="00632E5B" w:rsidRDefault="00107901" w:rsidP="001B6A01">
            <w:pPr>
              <w:spacing w:line="240" w:lineRule="exact"/>
              <w:jc w:val="center"/>
              <w:rPr>
                <w:rFonts w:ascii="宋体" w:eastAsia="宋体" w:hAnsi="宋体" w:cs="宋体" w:hint="eastAsia"/>
                <w:sz w:val="18"/>
                <w:szCs w:val="18"/>
              </w:rPr>
            </w:pPr>
            <w:r>
              <w:rPr>
                <w:rFonts w:ascii="宋体" w:eastAsia="宋体" w:hAnsi="宋体" w:cs="宋体"/>
                <w:sz w:val="18"/>
                <w:szCs w:val="18"/>
              </w:rPr>
              <w:t>是</w:t>
            </w:r>
          </w:p>
        </w:tc>
        <w:tc>
          <w:tcPr>
            <w:tcW w:w="851" w:type="dxa"/>
            <w:shd w:val="clear" w:color="auto" w:fill="FFFFFF" w:themeFill="background1"/>
            <w:vAlign w:val="center"/>
          </w:tcPr>
          <w:p w14:paraId="30BFB476" w14:textId="77777777" w:rsidR="00632E5B" w:rsidRDefault="00632E5B">
            <w:pPr>
              <w:spacing w:line="240" w:lineRule="exact"/>
              <w:rPr>
                <w:rFonts w:ascii="宋体" w:eastAsia="宋体" w:hAnsi="宋体" w:cs="宋体" w:hint="eastAsia"/>
                <w:sz w:val="18"/>
                <w:szCs w:val="18"/>
              </w:rPr>
            </w:pPr>
          </w:p>
        </w:tc>
        <w:tc>
          <w:tcPr>
            <w:tcW w:w="993" w:type="dxa"/>
            <w:shd w:val="clear" w:color="auto" w:fill="FFFFFF" w:themeFill="background1"/>
            <w:vAlign w:val="center"/>
          </w:tcPr>
          <w:p w14:paraId="457AD86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92" w:type="dxa"/>
            <w:shd w:val="clear" w:color="auto" w:fill="FFFFFF" w:themeFill="background1"/>
            <w:vAlign w:val="center"/>
          </w:tcPr>
          <w:p w14:paraId="14CCB07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1" w:type="dxa"/>
            <w:shd w:val="clear" w:color="auto" w:fill="FFFFFF" w:themeFill="background1"/>
            <w:vAlign w:val="center"/>
          </w:tcPr>
          <w:p w14:paraId="0B9AEF9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0</w:t>
            </w:r>
          </w:p>
        </w:tc>
      </w:tr>
      <w:tr w:rsidR="00632E5B" w14:paraId="0446BB2F" w14:textId="77777777" w:rsidTr="00015F25">
        <w:trPr>
          <w:trHeight w:val="240"/>
        </w:trPr>
        <w:tc>
          <w:tcPr>
            <w:tcW w:w="709" w:type="dxa"/>
            <w:shd w:val="clear" w:color="auto" w:fill="FFFFFF" w:themeFill="background1"/>
            <w:vAlign w:val="center"/>
          </w:tcPr>
          <w:p w14:paraId="33C8647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电缆</w:t>
            </w:r>
          </w:p>
        </w:tc>
        <w:tc>
          <w:tcPr>
            <w:tcW w:w="4820" w:type="dxa"/>
            <w:shd w:val="clear" w:color="auto" w:fill="FFFFFF" w:themeFill="background1"/>
            <w:vAlign w:val="center"/>
          </w:tcPr>
          <w:p w14:paraId="29C330E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中国**集团物资有限公司上海分公司</w:t>
            </w:r>
          </w:p>
        </w:tc>
        <w:tc>
          <w:tcPr>
            <w:tcW w:w="992" w:type="dxa"/>
            <w:shd w:val="clear" w:color="auto" w:fill="FFFFFF" w:themeFill="background1"/>
            <w:vAlign w:val="center"/>
          </w:tcPr>
          <w:p w14:paraId="4038CC1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1,258.71</w:t>
            </w:r>
          </w:p>
        </w:tc>
        <w:tc>
          <w:tcPr>
            <w:tcW w:w="992" w:type="dxa"/>
            <w:shd w:val="clear" w:color="auto" w:fill="FFFFFF" w:themeFill="background1"/>
            <w:vAlign w:val="center"/>
          </w:tcPr>
          <w:p w14:paraId="5DF9651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93" w:type="dxa"/>
            <w:shd w:val="clear" w:color="auto" w:fill="FFFFFF" w:themeFill="background1"/>
            <w:vAlign w:val="center"/>
          </w:tcPr>
          <w:p w14:paraId="43A8170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92" w:type="dxa"/>
            <w:shd w:val="clear" w:color="auto" w:fill="FFFFFF" w:themeFill="background1"/>
            <w:vAlign w:val="center"/>
          </w:tcPr>
          <w:p w14:paraId="2288EC3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1,258.71</w:t>
            </w:r>
          </w:p>
        </w:tc>
        <w:tc>
          <w:tcPr>
            <w:tcW w:w="708" w:type="dxa"/>
            <w:shd w:val="clear" w:color="auto" w:fill="FFFFFF" w:themeFill="background1"/>
            <w:vAlign w:val="center"/>
          </w:tcPr>
          <w:p w14:paraId="79DAF768" w14:textId="77777777" w:rsidR="00632E5B" w:rsidRDefault="00107901" w:rsidP="001B6A01">
            <w:pPr>
              <w:spacing w:line="240" w:lineRule="exact"/>
              <w:jc w:val="center"/>
              <w:rPr>
                <w:rFonts w:ascii="宋体" w:eastAsia="宋体" w:hAnsi="宋体" w:cs="宋体" w:hint="eastAsia"/>
                <w:sz w:val="18"/>
                <w:szCs w:val="18"/>
              </w:rPr>
            </w:pPr>
            <w:r>
              <w:rPr>
                <w:rFonts w:ascii="宋体" w:eastAsia="宋体" w:hAnsi="宋体" w:cs="宋体"/>
                <w:sz w:val="18"/>
                <w:szCs w:val="18"/>
              </w:rPr>
              <w:t>是</w:t>
            </w:r>
          </w:p>
        </w:tc>
        <w:tc>
          <w:tcPr>
            <w:tcW w:w="851" w:type="dxa"/>
            <w:shd w:val="clear" w:color="auto" w:fill="FFFFFF" w:themeFill="background1"/>
            <w:vAlign w:val="center"/>
          </w:tcPr>
          <w:p w14:paraId="60525388" w14:textId="77777777" w:rsidR="00632E5B" w:rsidRDefault="00632E5B">
            <w:pPr>
              <w:spacing w:line="240" w:lineRule="exact"/>
              <w:rPr>
                <w:rFonts w:ascii="宋体" w:eastAsia="宋体" w:hAnsi="宋体" w:cs="宋体" w:hint="eastAsia"/>
                <w:sz w:val="18"/>
                <w:szCs w:val="18"/>
              </w:rPr>
            </w:pPr>
          </w:p>
        </w:tc>
        <w:tc>
          <w:tcPr>
            <w:tcW w:w="993" w:type="dxa"/>
            <w:shd w:val="clear" w:color="auto" w:fill="FFFFFF" w:themeFill="background1"/>
            <w:vAlign w:val="center"/>
          </w:tcPr>
          <w:p w14:paraId="515B60E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92" w:type="dxa"/>
            <w:shd w:val="clear" w:color="auto" w:fill="FFFFFF" w:themeFill="background1"/>
            <w:vAlign w:val="center"/>
          </w:tcPr>
          <w:p w14:paraId="39A11EE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1" w:type="dxa"/>
            <w:shd w:val="clear" w:color="auto" w:fill="FFFFFF" w:themeFill="background1"/>
            <w:vAlign w:val="center"/>
          </w:tcPr>
          <w:p w14:paraId="752AC14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0</w:t>
            </w:r>
          </w:p>
        </w:tc>
      </w:tr>
      <w:tr w:rsidR="00632E5B" w14:paraId="149E787C" w14:textId="77777777" w:rsidTr="00015F25">
        <w:trPr>
          <w:trHeight w:val="240"/>
        </w:trPr>
        <w:tc>
          <w:tcPr>
            <w:tcW w:w="709" w:type="dxa"/>
            <w:shd w:val="clear" w:color="auto" w:fill="FFFFFF" w:themeFill="background1"/>
            <w:vAlign w:val="center"/>
          </w:tcPr>
          <w:p w14:paraId="2887B8A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电缆</w:t>
            </w:r>
          </w:p>
        </w:tc>
        <w:tc>
          <w:tcPr>
            <w:tcW w:w="4820" w:type="dxa"/>
            <w:shd w:val="clear" w:color="auto" w:fill="FFFFFF" w:themeFill="background1"/>
            <w:vAlign w:val="center"/>
          </w:tcPr>
          <w:p w14:paraId="79C338C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中国**集团物资有限公司上海分公司</w:t>
            </w:r>
          </w:p>
        </w:tc>
        <w:tc>
          <w:tcPr>
            <w:tcW w:w="992" w:type="dxa"/>
            <w:shd w:val="clear" w:color="auto" w:fill="FFFFFF" w:themeFill="background1"/>
            <w:vAlign w:val="center"/>
          </w:tcPr>
          <w:p w14:paraId="5165216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1,258.71</w:t>
            </w:r>
          </w:p>
        </w:tc>
        <w:tc>
          <w:tcPr>
            <w:tcW w:w="992" w:type="dxa"/>
            <w:shd w:val="clear" w:color="auto" w:fill="FFFFFF" w:themeFill="background1"/>
            <w:vAlign w:val="center"/>
          </w:tcPr>
          <w:p w14:paraId="2FBF257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93" w:type="dxa"/>
            <w:shd w:val="clear" w:color="auto" w:fill="FFFFFF" w:themeFill="background1"/>
            <w:vAlign w:val="center"/>
          </w:tcPr>
          <w:p w14:paraId="530C1C4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92" w:type="dxa"/>
            <w:shd w:val="clear" w:color="auto" w:fill="FFFFFF" w:themeFill="background1"/>
            <w:vAlign w:val="center"/>
          </w:tcPr>
          <w:p w14:paraId="12A6449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1,258.71</w:t>
            </w:r>
          </w:p>
        </w:tc>
        <w:tc>
          <w:tcPr>
            <w:tcW w:w="708" w:type="dxa"/>
            <w:shd w:val="clear" w:color="auto" w:fill="FFFFFF" w:themeFill="background1"/>
            <w:vAlign w:val="center"/>
          </w:tcPr>
          <w:p w14:paraId="0FA1F215" w14:textId="77777777" w:rsidR="00632E5B" w:rsidRDefault="00107901" w:rsidP="001B6A01">
            <w:pPr>
              <w:spacing w:line="240" w:lineRule="exact"/>
              <w:jc w:val="center"/>
              <w:rPr>
                <w:rFonts w:ascii="宋体" w:eastAsia="宋体" w:hAnsi="宋体" w:cs="宋体" w:hint="eastAsia"/>
                <w:sz w:val="18"/>
                <w:szCs w:val="18"/>
              </w:rPr>
            </w:pPr>
            <w:r>
              <w:rPr>
                <w:rFonts w:ascii="宋体" w:eastAsia="宋体" w:hAnsi="宋体" w:cs="宋体"/>
                <w:sz w:val="18"/>
                <w:szCs w:val="18"/>
              </w:rPr>
              <w:t>是</w:t>
            </w:r>
          </w:p>
        </w:tc>
        <w:tc>
          <w:tcPr>
            <w:tcW w:w="851" w:type="dxa"/>
            <w:shd w:val="clear" w:color="auto" w:fill="FFFFFF" w:themeFill="background1"/>
            <w:vAlign w:val="center"/>
          </w:tcPr>
          <w:p w14:paraId="52D0BCF6" w14:textId="77777777" w:rsidR="00632E5B" w:rsidRDefault="00632E5B">
            <w:pPr>
              <w:spacing w:line="240" w:lineRule="exact"/>
              <w:rPr>
                <w:rFonts w:ascii="宋体" w:eastAsia="宋体" w:hAnsi="宋体" w:cs="宋体" w:hint="eastAsia"/>
                <w:sz w:val="18"/>
                <w:szCs w:val="18"/>
              </w:rPr>
            </w:pPr>
          </w:p>
        </w:tc>
        <w:tc>
          <w:tcPr>
            <w:tcW w:w="993" w:type="dxa"/>
            <w:shd w:val="clear" w:color="auto" w:fill="FFFFFF" w:themeFill="background1"/>
            <w:vAlign w:val="center"/>
          </w:tcPr>
          <w:p w14:paraId="2CEDFF1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92" w:type="dxa"/>
            <w:shd w:val="clear" w:color="auto" w:fill="FFFFFF" w:themeFill="background1"/>
            <w:vAlign w:val="center"/>
          </w:tcPr>
          <w:p w14:paraId="415FC10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1" w:type="dxa"/>
            <w:shd w:val="clear" w:color="auto" w:fill="FFFFFF" w:themeFill="background1"/>
            <w:vAlign w:val="center"/>
          </w:tcPr>
          <w:p w14:paraId="117D728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0</w:t>
            </w:r>
          </w:p>
        </w:tc>
      </w:tr>
      <w:tr w:rsidR="00632E5B" w14:paraId="05F7F473" w14:textId="77777777" w:rsidTr="00015F25">
        <w:trPr>
          <w:trHeight w:val="240"/>
        </w:trPr>
        <w:tc>
          <w:tcPr>
            <w:tcW w:w="709" w:type="dxa"/>
            <w:shd w:val="clear" w:color="auto" w:fill="FFFFFF" w:themeFill="background1"/>
            <w:vAlign w:val="center"/>
          </w:tcPr>
          <w:p w14:paraId="1E80FAA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电缆</w:t>
            </w:r>
          </w:p>
        </w:tc>
        <w:tc>
          <w:tcPr>
            <w:tcW w:w="4820" w:type="dxa"/>
            <w:shd w:val="clear" w:color="auto" w:fill="FFFFFF" w:themeFill="background1"/>
            <w:vAlign w:val="center"/>
          </w:tcPr>
          <w:p w14:paraId="551D793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启东**工程有限公司</w:t>
            </w:r>
          </w:p>
        </w:tc>
        <w:tc>
          <w:tcPr>
            <w:tcW w:w="992" w:type="dxa"/>
            <w:shd w:val="clear" w:color="auto" w:fill="FFFFFF" w:themeFill="background1"/>
            <w:vAlign w:val="center"/>
          </w:tcPr>
          <w:p w14:paraId="66C01FE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1,153.77</w:t>
            </w:r>
          </w:p>
        </w:tc>
        <w:tc>
          <w:tcPr>
            <w:tcW w:w="992" w:type="dxa"/>
            <w:shd w:val="clear" w:color="auto" w:fill="FFFFFF" w:themeFill="background1"/>
            <w:vAlign w:val="center"/>
          </w:tcPr>
          <w:p w14:paraId="7395A4F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1,153.77</w:t>
            </w:r>
          </w:p>
        </w:tc>
        <w:tc>
          <w:tcPr>
            <w:tcW w:w="993" w:type="dxa"/>
            <w:shd w:val="clear" w:color="auto" w:fill="FFFFFF" w:themeFill="background1"/>
            <w:vAlign w:val="center"/>
          </w:tcPr>
          <w:p w14:paraId="4EE721E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1,153.77</w:t>
            </w:r>
          </w:p>
        </w:tc>
        <w:tc>
          <w:tcPr>
            <w:tcW w:w="992" w:type="dxa"/>
            <w:shd w:val="clear" w:color="auto" w:fill="FFFFFF" w:themeFill="background1"/>
            <w:vAlign w:val="center"/>
          </w:tcPr>
          <w:p w14:paraId="140B6F6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08" w:type="dxa"/>
            <w:shd w:val="clear" w:color="auto" w:fill="FFFFFF" w:themeFill="background1"/>
            <w:vAlign w:val="center"/>
          </w:tcPr>
          <w:p w14:paraId="15BDCB3D" w14:textId="77777777" w:rsidR="00632E5B" w:rsidRDefault="00107901" w:rsidP="001B6A01">
            <w:pPr>
              <w:spacing w:line="240" w:lineRule="exact"/>
              <w:jc w:val="center"/>
              <w:rPr>
                <w:rFonts w:ascii="宋体" w:eastAsia="宋体" w:hAnsi="宋体" w:cs="宋体" w:hint="eastAsia"/>
                <w:sz w:val="18"/>
                <w:szCs w:val="18"/>
              </w:rPr>
            </w:pPr>
            <w:r>
              <w:rPr>
                <w:rFonts w:ascii="宋体" w:eastAsia="宋体" w:hAnsi="宋体" w:cs="宋体"/>
                <w:sz w:val="18"/>
                <w:szCs w:val="18"/>
              </w:rPr>
              <w:t>是</w:t>
            </w:r>
          </w:p>
        </w:tc>
        <w:tc>
          <w:tcPr>
            <w:tcW w:w="851" w:type="dxa"/>
            <w:shd w:val="clear" w:color="auto" w:fill="FFFFFF" w:themeFill="background1"/>
            <w:vAlign w:val="center"/>
          </w:tcPr>
          <w:p w14:paraId="2D2AB090" w14:textId="77777777" w:rsidR="00632E5B" w:rsidRDefault="00632E5B">
            <w:pPr>
              <w:spacing w:line="240" w:lineRule="exact"/>
              <w:rPr>
                <w:rFonts w:ascii="宋体" w:eastAsia="宋体" w:hAnsi="宋体" w:cs="宋体" w:hint="eastAsia"/>
                <w:sz w:val="18"/>
                <w:szCs w:val="18"/>
              </w:rPr>
            </w:pPr>
          </w:p>
        </w:tc>
        <w:tc>
          <w:tcPr>
            <w:tcW w:w="993" w:type="dxa"/>
            <w:shd w:val="clear" w:color="auto" w:fill="FFFFFF" w:themeFill="background1"/>
            <w:vAlign w:val="center"/>
          </w:tcPr>
          <w:p w14:paraId="59C4502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1,153.77</w:t>
            </w:r>
          </w:p>
        </w:tc>
        <w:tc>
          <w:tcPr>
            <w:tcW w:w="992" w:type="dxa"/>
            <w:shd w:val="clear" w:color="auto" w:fill="FFFFFF" w:themeFill="background1"/>
            <w:vAlign w:val="center"/>
          </w:tcPr>
          <w:p w14:paraId="5B43480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1,153.77</w:t>
            </w:r>
          </w:p>
        </w:tc>
        <w:tc>
          <w:tcPr>
            <w:tcW w:w="961" w:type="dxa"/>
            <w:shd w:val="clear" w:color="auto" w:fill="FFFFFF" w:themeFill="background1"/>
            <w:vAlign w:val="center"/>
          </w:tcPr>
          <w:p w14:paraId="3F2EEAF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0</w:t>
            </w:r>
          </w:p>
        </w:tc>
      </w:tr>
      <w:tr w:rsidR="00632E5B" w14:paraId="1B836712" w14:textId="77777777" w:rsidTr="00015F25">
        <w:trPr>
          <w:trHeight w:val="240"/>
        </w:trPr>
        <w:tc>
          <w:tcPr>
            <w:tcW w:w="709" w:type="dxa"/>
            <w:shd w:val="clear" w:color="auto" w:fill="FFFFFF" w:themeFill="background1"/>
            <w:vAlign w:val="center"/>
          </w:tcPr>
          <w:p w14:paraId="14698B8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电缆</w:t>
            </w:r>
          </w:p>
        </w:tc>
        <w:tc>
          <w:tcPr>
            <w:tcW w:w="4820" w:type="dxa"/>
            <w:shd w:val="clear" w:color="auto" w:fill="FFFFFF" w:themeFill="background1"/>
            <w:vAlign w:val="center"/>
          </w:tcPr>
          <w:p w14:paraId="301AE39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启东**工程有限公司</w:t>
            </w:r>
          </w:p>
        </w:tc>
        <w:tc>
          <w:tcPr>
            <w:tcW w:w="992" w:type="dxa"/>
            <w:shd w:val="clear" w:color="auto" w:fill="FFFFFF" w:themeFill="background1"/>
            <w:vAlign w:val="center"/>
          </w:tcPr>
          <w:p w14:paraId="129A8D2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1,443.84</w:t>
            </w:r>
          </w:p>
        </w:tc>
        <w:tc>
          <w:tcPr>
            <w:tcW w:w="992" w:type="dxa"/>
            <w:shd w:val="clear" w:color="auto" w:fill="FFFFFF" w:themeFill="background1"/>
            <w:vAlign w:val="center"/>
          </w:tcPr>
          <w:p w14:paraId="4E269EF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1,443.84</w:t>
            </w:r>
          </w:p>
        </w:tc>
        <w:tc>
          <w:tcPr>
            <w:tcW w:w="993" w:type="dxa"/>
            <w:shd w:val="clear" w:color="auto" w:fill="FFFFFF" w:themeFill="background1"/>
            <w:vAlign w:val="center"/>
          </w:tcPr>
          <w:p w14:paraId="3AAE06C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1,443.84</w:t>
            </w:r>
          </w:p>
        </w:tc>
        <w:tc>
          <w:tcPr>
            <w:tcW w:w="992" w:type="dxa"/>
            <w:shd w:val="clear" w:color="auto" w:fill="FFFFFF" w:themeFill="background1"/>
            <w:vAlign w:val="center"/>
          </w:tcPr>
          <w:p w14:paraId="414618D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08" w:type="dxa"/>
            <w:shd w:val="clear" w:color="auto" w:fill="FFFFFF" w:themeFill="background1"/>
            <w:vAlign w:val="center"/>
          </w:tcPr>
          <w:p w14:paraId="3932E9AF" w14:textId="77777777" w:rsidR="00632E5B" w:rsidRDefault="00107901" w:rsidP="001B6A01">
            <w:pPr>
              <w:spacing w:line="240" w:lineRule="exact"/>
              <w:jc w:val="center"/>
              <w:rPr>
                <w:rFonts w:ascii="宋体" w:eastAsia="宋体" w:hAnsi="宋体" w:cs="宋体" w:hint="eastAsia"/>
                <w:sz w:val="18"/>
                <w:szCs w:val="18"/>
              </w:rPr>
            </w:pPr>
            <w:r>
              <w:rPr>
                <w:rFonts w:ascii="宋体" w:eastAsia="宋体" w:hAnsi="宋体" w:cs="宋体"/>
                <w:sz w:val="18"/>
                <w:szCs w:val="18"/>
              </w:rPr>
              <w:t>是</w:t>
            </w:r>
          </w:p>
        </w:tc>
        <w:tc>
          <w:tcPr>
            <w:tcW w:w="851" w:type="dxa"/>
            <w:shd w:val="clear" w:color="auto" w:fill="FFFFFF" w:themeFill="background1"/>
            <w:vAlign w:val="center"/>
          </w:tcPr>
          <w:p w14:paraId="713BBDA8" w14:textId="77777777" w:rsidR="00632E5B" w:rsidRDefault="00632E5B">
            <w:pPr>
              <w:spacing w:line="240" w:lineRule="exact"/>
              <w:rPr>
                <w:rFonts w:ascii="宋体" w:eastAsia="宋体" w:hAnsi="宋体" w:cs="宋体" w:hint="eastAsia"/>
                <w:sz w:val="18"/>
                <w:szCs w:val="18"/>
              </w:rPr>
            </w:pPr>
          </w:p>
        </w:tc>
        <w:tc>
          <w:tcPr>
            <w:tcW w:w="993" w:type="dxa"/>
            <w:shd w:val="clear" w:color="auto" w:fill="FFFFFF" w:themeFill="background1"/>
            <w:vAlign w:val="center"/>
          </w:tcPr>
          <w:p w14:paraId="1BE7C32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1,443.84</w:t>
            </w:r>
          </w:p>
        </w:tc>
        <w:tc>
          <w:tcPr>
            <w:tcW w:w="992" w:type="dxa"/>
            <w:shd w:val="clear" w:color="auto" w:fill="FFFFFF" w:themeFill="background1"/>
            <w:vAlign w:val="center"/>
          </w:tcPr>
          <w:p w14:paraId="25358E7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1,443.84</w:t>
            </w:r>
          </w:p>
        </w:tc>
        <w:tc>
          <w:tcPr>
            <w:tcW w:w="961" w:type="dxa"/>
            <w:shd w:val="clear" w:color="auto" w:fill="FFFFFF" w:themeFill="background1"/>
            <w:vAlign w:val="center"/>
          </w:tcPr>
          <w:p w14:paraId="12A693D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1,443.84</w:t>
            </w:r>
          </w:p>
        </w:tc>
      </w:tr>
      <w:tr w:rsidR="00632E5B" w14:paraId="434BAF54" w14:textId="77777777" w:rsidTr="00015F25">
        <w:trPr>
          <w:trHeight w:val="240"/>
        </w:trPr>
        <w:tc>
          <w:tcPr>
            <w:tcW w:w="709" w:type="dxa"/>
            <w:shd w:val="clear" w:color="auto" w:fill="FFFFFF" w:themeFill="background1"/>
            <w:vAlign w:val="center"/>
          </w:tcPr>
          <w:p w14:paraId="1B15D29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电缆</w:t>
            </w:r>
          </w:p>
        </w:tc>
        <w:tc>
          <w:tcPr>
            <w:tcW w:w="4820" w:type="dxa"/>
            <w:shd w:val="clear" w:color="auto" w:fill="FFFFFF" w:themeFill="background1"/>
            <w:vAlign w:val="center"/>
          </w:tcPr>
          <w:p w14:paraId="2F3CB56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江苏**电力电缆有限公司</w:t>
            </w:r>
          </w:p>
        </w:tc>
        <w:tc>
          <w:tcPr>
            <w:tcW w:w="992" w:type="dxa"/>
            <w:shd w:val="clear" w:color="auto" w:fill="FFFFFF" w:themeFill="background1"/>
            <w:vAlign w:val="center"/>
          </w:tcPr>
          <w:p w14:paraId="47084CB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1,032.26</w:t>
            </w:r>
          </w:p>
        </w:tc>
        <w:tc>
          <w:tcPr>
            <w:tcW w:w="992" w:type="dxa"/>
            <w:shd w:val="clear" w:color="auto" w:fill="FFFFFF" w:themeFill="background1"/>
            <w:vAlign w:val="center"/>
          </w:tcPr>
          <w:p w14:paraId="247404F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1,032.26</w:t>
            </w:r>
          </w:p>
        </w:tc>
        <w:tc>
          <w:tcPr>
            <w:tcW w:w="993" w:type="dxa"/>
            <w:shd w:val="clear" w:color="auto" w:fill="FFFFFF" w:themeFill="background1"/>
            <w:vAlign w:val="center"/>
          </w:tcPr>
          <w:p w14:paraId="11EE39B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1,032.26</w:t>
            </w:r>
          </w:p>
        </w:tc>
        <w:tc>
          <w:tcPr>
            <w:tcW w:w="992" w:type="dxa"/>
            <w:shd w:val="clear" w:color="auto" w:fill="FFFFFF" w:themeFill="background1"/>
            <w:vAlign w:val="center"/>
          </w:tcPr>
          <w:p w14:paraId="7B28E2B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08" w:type="dxa"/>
            <w:shd w:val="clear" w:color="auto" w:fill="FFFFFF" w:themeFill="background1"/>
            <w:vAlign w:val="center"/>
          </w:tcPr>
          <w:p w14:paraId="6A8F74E1" w14:textId="77777777" w:rsidR="00632E5B" w:rsidRDefault="00107901" w:rsidP="001B6A01">
            <w:pPr>
              <w:spacing w:line="240" w:lineRule="exact"/>
              <w:jc w:val="center"/>
              <w:rPr>
                <w:rFonts w:ascii="宋体" w:eastAsia="宋体" w:hAnsi="宋体" w:cs="宋体" w:hint="eastAsia"/>
                <w:sz w:val="18"/>
                <w:szCs w:val="18"/>
              </w:rPr>
            </w:pPr>
            <w:r>
              <w:rPr>
                <w:rFonts w:ascii="宋体" w:eastAsia="宋体" w:hAnsi="宋体" w:cs="宋体"/>
                <w:sz w:val="18"/>
                <w:szCs w:val="18"/>
              </w:rPr>
              <w:t>是</w:t>
            </w:r>
          </w:p>
        </w:tc>
        <w:tc>
          <w:tcPr>
            <w:tcW w:w="851" w:type="dxa"/>
            <w:shd w:val="clear" w:color="auto" w:fill="FFFFFF" w:themeFill="background1"/>
            <w:vAlign w:val="center"/>
          </w:tcPr>
          <w:p w14:paraId="1C83BE45" w14:textId="77777777" w:rsidR="00632E5B" w:rsidRDefault="00632E5B">
            <w:pPr>
              <w:spacing w:line="240" w:lineRule="exact"/>
              <w:rPr>
                <w:rFonts w:ascii="宋体" w:eastAsia="宋体" w:hAnsi="宋体" w:cs="宋体" w:hint="eastAsia"/>
                <w:sz w:val="18"/>
                <w:szCs w:val="18"/>
              </w:rPr>
            </w:pPr>
          </w:p>
        </w:tc>
        <w:tc>
          <w:tcPr>
            <w:tcW w:w="993" w:type="dxa"/>
            <w:shd w:val="clear" w:color="auto" w:fill="FFFFFF" w:themeFill="background1"/>
            <w:vAlign w:val="center"/>
          </w:tcPr>
          <w:p w14:paraId="0527317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1,032.26</w:t>
            </w:r>
          </w:p>
        </w:tc>
        <w:tc>
          <w:tcPr>
            <w:tcW w:w="992" w:type="dxa"/>
            <w:shd w:val="clear" w:color="auto" w:fill="FFFFFF" w:themeFill="background1"/>
            <w:vAlign w:val="center"/>
          </w:tcPr>
          <w:p w14:paraId="4BA05D6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1,032.26</w:t>
            </w:r>
          </w:p>
        </w:tc>
        <w:tc>
          <w:tcPr>
            <w:tcW w:w="961" w:type="dxa"/>
            <w:shd w:val="clear" w:color="auto" w:fill="FFFFFF" w:themeFill="background1"/>
            <w:vAlign w:val="center"/>
          </w:tcPr>
          <w:p w14:paraId="622BBF0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0</w:t>
            </w:r>
          </w:p>
        </w:tc>
      </w:tr>
      <w:tr w:rsidR="00632E5B" w14:paraId="4938DC3C" w14:textId="77777777" w:rsidTr="00015F25">
        <w:trPr>
          <w:trHeight w:val="240"/>
        </w:trPr>
        <w:tc>
          <w:tcPr>
            <w:tcW w:w="709" w:type="dxa"/>
            <w:shd w:val="clear" w:color="auto" w:fill="FFFFFF" w:themeFill="background1"/>
            <w:vAlign w:val="center"/>
          </w:tcPr>
          <w:p w14:paraId="4992102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电缆</w:t>
            </w:r>
          </w:p>
        </w:tc>
        <w:tc>
          <w:tcPr>
            <w:tcW w:w="4820" w:type="dxa"/>
            <w:shd w:val="clear" w:color="auto" w:fill="FFFFFF" w:themeFill="background1"/>
            <w:vAlign w:val="center"/>
          </w:tcPr>
          <w:p w14:paraId="0383159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中国**集团物资有限公司</w:t>
            </w:r>
          </w:p>
        </w:tc>
        <w:tc>
          <w:tcPr>
            <w:tcW w:w="992" w:type="dxa"/>
            <w:shd w:val="clear" w:color="auto" w:fill="FFFFFF" w:themeFill="background1"/>
            <w:vAlign w:val="center"/>
          </w:tcPr>
          <w:p w14:paraId="56E119A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1,107.74</w:t>
            </w:r>
          </w:p>
        </w:tc>
        <w:tc>
          <w:tcPr>
            <w:tcW w:w="992" w:type="dxa"/>
            <w:shd w:val="clear" w:color="auto" w:fill="FFFFFF" w:themeFill="background1"/>
            <w:vAlign w:val="center"/>
          </w:tcPr>
          <w:p w14:paraId="14A0F70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93" w:type="dxa"/>
            <w:shd w:val="clear" w:color="auto" w:fill="FFFFFF" w:themeFill="background1"/>
            <w:vAlign w:val="center"/>
          </w:tcPr>
          <w:p w14:paraId="7E32851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92" w:type="dxa"/>
            <w:shd w:val="clear" w:color="auto" w:fill="FFFFFF" w:themeFill="background1"/>
            <w:vAlign w:val="center"/>
          </w:tcPr>
          <w:p w14:paraId="7328954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1,107.74</w:t>
            </w:r>
          </w:p>
        </w:tc>
        <w:tc>
          <w:tcPr>
            <w:tcW w:w="708" w:type="dxa"/>
            <w:shd w:val="clear" w:color="auto" w:fill="FFFFFF" w:themeFill="background1"/>
            <w:vAlign w:val="center"/>
          </w:tcPr>
          <w:p w14:paraId="76F2A69E" w14:textId="77777777" w:rsidR="00632E5B" w:rsidRDefault="00107901" w:rsidP="001B6A01">
            <w:pPr>
              <w:spacing w:line="240" w:lineRule="exact"/>
              <w:jc w:val="center"/>
              <w:rPr>
                <w:rFonts w:ascii="宋体" w:eastAsia="宋体" w:hAnsi="宋体" w:cs="宋体" w:hint="eastAsia"/>
                <w:sz w:val="18"/>
                <w:szCs w:val="18"/>
              </w:rPr>
            </w:pPr>
            <w:r>
              <w:rPr>
                <w:rFonts w:ascii="宋体" w:eastAsia="宋体" w:hAnsi="宋体" w:cs="宋体"/>
                <w:sz w:val="18"/>
                <w:szCs w:val="18"/>
              </w:rPr>
              <w:t>是</w:t>
            </w:r>
          </w:p>
        </w:tc>
        <w:tc>
          <w:tcPr>
            <w:tcW w:w="851" w:type="dxa"/>
            <w:shd w:val="clear" w:color="auto" w:fill="FFFFFF" w:themeFill="background1"/>
            <w:vAlign w:val="center"/>
          </w:tcPr>
          <w:p w14:paraId="55EEEAAA" w14:textId="77777777" w:rsidR="00632E5B" w:rsidRDefault="00632E5B">
            <w:pPr>
              <w:spacing w:line="240" w:lineRule="exact"/>
              <w:rPr>
                <w:rFonts w:ascii="宋体" w:eastAsia="宋体" w:hAnsi="宋体" w:cs="宋体" w:hint="eastAsia"/>
                <w:sz w:val="18"/>
                <w:szCs w:val="18"/>
              </w:rPr>
            </w:pPr>
          </w:p>
        </w:tc>
        <w:tc>
          <w:tcPr>
            <w:tcW w:w="993" w:type="dxa"/>
            <w:shd w:val="clear" w:color="auto" w:fill="FFFFFF" w:themeFill="background1"/>
            <w:vAlign w:val="center"/>
          </w:tcPr>
          <w:p w14:paraId="49AD71E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92" w:type="dxa"/>
            <w:shd w:val="clear" w:color="auto" w:fill="FFFFFF" w:themeFill="background1"/>
            <w:vAlign w:val="center"/>
          </w:tcPr>
          <w:p w14:paraId="1DF82F5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61" w:type="dxa"/>
            <w:shd w:val="clear" w:color="auto" w:fill="FFFFFF" w:themeFill="background1"/>
            <w:vAlign w:val="center"/>
          </w:tcPr>
          <w:p w14:paraId="553E11A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0</w:t>
            </w:r>
          </w:p>
        </w:tc>
      </w:tr>
    </w:tbl>
    <w:p w14:paraId="749E7C16" w14:textId="77777777" w:rsidR="00AF2A13" w:rsidRDefault="00AF2A13">
      <w:pPr>
        <w:spacing w:before="100" w:after="100" w:line="240" w:lineRule="exact"/>
        <w:rPr>
          <w:rFonts w:ascii="宋体" w:eastAsia="宋体" w:hAnsi="宋体" w:cs="宋体" w:hint="eastAsia"/>
          <w:sz w:val="18"/>
          <w:szCs w:val="18"/>
        </w:rPr>
        <w:sectPr w:rsidR="00AF2A13" w:rsidSect="00E90C20">
          <w:pgSz w:w="16840" w:h="11905" w:orient="landscape"/>
          <w:pgMar w:top="1134" w:right="1440" w:bottom="1134" w:left="1440" w:header="851" w:footer="992" w:gutter="0"/>
          <w:cols w:space="720"/>
          <w:docGrid w:type="lines" w:linePitch="312"/>
        </w:sectPr>
      </w:pPr>
    </w:p>
    <w:p w14:paraId="2565C117" w14:textId="4A6DE2B1"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lastRenderedPageBreak/>
        <w:t>已签订的重大采购合同截至本报告期的履行情况</w:t>
      </w:r>
    </w:p>
    <w:p w14:paraId="4BAD5A49"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546D6E92" w14:textId="77777777" w:rsidR="00632E5B" w:rsidRDefault="00107901">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单位：万元</w:t>
      </w:r>
    </w:p>
    <w:tbl>
      <w:tblPr>
        <w:tblW w:w="967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208"/>
        <w:gridCol w:w="1209"/>
        <w:gridCol w:w="1209"/>
        <w:gridCol w:w="1209"/>
        <w:gridCol w:w="1209"/>
        <w:gridCol w:w="1209"/>
        <w:gridCol w:w="1209"/>
        <w:gridCol w:w="1209"/>
      </w:tblGrid>
      <w:tr w:rsidR="00632E5B" w14:paraId="43048D7E" w14:textId="77777777" w:rsidTr="003D272E">
        <w:trPr>
          <w:trHeight w:val="283"/>
        </w:trPr>
        <w:tc>
          <w:tcPr>
            <w:tcW w:w="1208" w:type="dxa"/>
            <w:shd w:val="clear" w:color="auto" w:fill="FFFFFF" w:themeFill="background1"/>
            <w:vAlign w:val="center"/>
          </w:tcPr>
          <w:p w14:paraId="0537BEE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合同标的</w:t>
            </w:r>
          </w:p>
        </w:tc>
        <w:tc>
          <w:tcPr>
            <w:tcW w:w="1209" w:type="dxa"/>
            <w:shd w:val="clear" w:color="auto" w:fill="FFFFFF" w:themeFill="background1"/>
            <w:vAlign w:val="center"/>
          </w:tcPr>
          <w:p w14:paraId="46A3013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对方当事人</w:t>
            </w:r>
          </w:p>
        </w:tc>
        <w:tc>
          <w:tcPr>
            <w:tcW w:w="1209" w:type="dxa"/>
            <w:shd w:val="clear" w:color="auto" w:fill="FFFFFF" w:themeFill="background1"/>
            <w:vAlign w:val="center"/>
          </w:tcPr>
          <w:p w14:paraId="7672E41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合同总金额</w:t>
            </w:r>
          </w:p>
        </w:tc>
        <w:tc>
          <w:tcPr>
            <w:tcW w:w="1209" w:type="dxa"/>
            <w:shd w:val="clear" w:color="auto" w:fill="FFFFFF" w:themeFill="background1"/>
            <w:vAlign w:val="center"/>
          </w:tcPr>
          <w:p w14:paraId="30A50DE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合计已履行金额</w:t>
            </w:r>
          </w:p>
        </w:tc>
        <w:tc>
          <w:tcPr>
            <w:tcW w:w="1209" w:type="dxa"/>
            <w:shd w:val="clear" w:color="auto" w:fill="FFFFFF" w:themeFill="background1"/>
            <w:vAlign w:val="center"/>
          </w:tcPr>
          <w:p w14:paraId="47138F7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本报告期履行金额</w:t>
            </w:r>
          </w:p>
        </w:tc>
        <w:tc>
          <w:tcPr>
            <w:tcW w:w="1209" w:type="dxa"/>
            <w:shd w:val="clear" w:color="auto" w:fill="FFFFFF" w:themeFill="background1"/>
            <w:vAlign w:val="center"/>
          </w:tcPr>
          <w:p w14:paraId="5473B0A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待履行金额</w:t>
            </w:r>
          </w:p>
        </w:tc>
        <w:tc>
          <w:tcPr>
            <w:tcW w:w="1209" w:type="dxa"/>
            <w:shd w:val="clear" w:color="auto" w:fill="FFFFFF" w:themeFill="background1"/>
            <w:vAlign w:val="center"/>
          </w:tcPr>
          <w:p w14:paraId="754DE4F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是否正常履行</w:t>
            </w:r>
          </w:p>
        </w:tc>
        <w:tc>
          <w:tcPr>
            <w:tcW w:w="1209" w:type="dxa"/>
            <w:shd w:val="clear" w:color="auto" w:fill="FFFFFF" w:themeFill="background1"/>
            <w:vAlign w:val="center"/>
          </w:tcPr>
          <w:p w14:paraId="4856BFB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合同未正常履行的说明</w:t>
            </w:r>
          </w:p>
        </w:tc>
      </w:tr>
      <w:tr w:rsidR="00632E5B" w14:paraId="321B18DC" w14:textId="77777777" w:rsidTr="003D272E">
        <w:trPr>
          <w:trHeight w:val="283"/>
        </w:trPr>
        <w:tc>
          <w:tcPr>
            <w:tcW w:w="1208" w:type="dxa"/>
            <w:shd w:val="clear" w:color="auto" w:fill="FFFFFF" w:themeFill="background1"/>
            <w:vAlign w:val="center"/>
          </w:tcPr>
          <w:p w14:paraId="20B4EA5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铜杆</w:t>
            </w:r>
          </w:p>
        </w:tc>
        <w:tc>
          <w:tcPr>
            <w:tcW w:w="1209" w:type="dxa"/>
            <w:shd w:val="clear" w:color="auto" w:fill="FFFFFF" w:themeFill="background1"/>
            <w:vAlign w:val="center"/>
          </w:tcPr>
          <w:p w14:paraId="578F2E6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**电线电缆有限公司</w:t>
            </w:r>
          </w:p>
        </w:tc>
        <w:tc>
          <w:tcPr>
            <w:tcW w:w="1209" w:type="dxa"/>
            <w:shd w:val="clear" w:color="auto" w:fill="FFFFFF" w:themeFill="background1"/>
            <w:vAlign w:val="center"/>
          </w:tcPr>
          <w:p w14:paraId="2AF4DA2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3,186.52</w:t>
            </w:r>
          </w:p>
        </w:tc>
        <w:tc>
          <w:tcPr>
            <w:tcW w:w="1209" w:type="dxa"/>
            <w:shd w:val="clear" w:color="auto" w:fill="FFFFFF" w:themeFill="background1"/>
            <w:vAlign w:val="center"/>
          </w:tcPr>
          <w:p w14:paraId="0E60BEE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3,186.52</w:t>
            </w:r>
          </w:p>
        </w:tc>
        <w:tc>
          <w:tcPr>
            <w:tcW w:w="1209" w:type="dxa"/>
            <w:shd w:val="clear" w:color="auto" w:fill="FFFFFF" w:themeFill="background1"/>
            <w:vAlign w:val="center"/>
          </w:tcPr>
          <w:p w14:paraId="3087EC5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3,186.52</w:t>
            </w:r>
          </w:p>
        </w:tc>
        <w:tc>
          <w:tcPr>
            <w:tcW w:w="1209" w:type="dxa"/>
            <w:shd w:val="clear" w:color="auto" w:fill="FFFFFF" w:themeFill="background1"/>
            <w:vAlign w:val="center"/>
          </w:tcPr>
          <w:p w14:paraId="6981E82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09" w:type="dxa"/>
            <w:shd w:val="clear" w:color="auto" w:fill="FFFFFF" w:themeFill="background1"/>
            <w:vAlign w:val="center"/>
          </w:tcPr>
          <w:p w14:paraId="37B4A66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1209" w:type="dxa"/>
            <w:shd w:val="clear" w:color="auto" w:fill="FFFFFF" w:themeFill="background1"/>
            <w:vAlign w:val="center"/>
          </w:tcPr>
          <w:p w14:paraId="286126D2" w14:textId="77777777" w:rsidR="00632E5B" w:rsidRDefault="00632E5B">
            <w:pPr>
              <w:spacing w:line="240" w:lineRule="exact"/>
              <w:rPr>
                <w:rFonts w:ascii="宋体" w:eastAsia="宋体" w:hAnsi="宋体" w:cs="宋体" w:hint="eastAsia"/>
                <w:sz w:val="18"/>
                <w:szCs w:val="18"/>
              </w:rPr>
            </w:pPr>
          </w:p>
        </w:tc>
      </w:tr>
    </w:tbl>
    <w:p w14:paraId="54959034" w14:textId="77777777" w:rsidR="00632E5B" w:rsidRDefault="00107901" w:rsidP="00A31A34">
      <w:pPr>
        <w:keepNext/>
        <w:keepLines/>
        <w:spacing w:before="360" w:after="360" w:line="280" w:lineRule="exact"/>
        <w:outlineLvl w:val="3"/>
        <w:rPr>
          <w:rFonts w:ascii="宋体" w:eastAsia="宋体" w:hAnsi="宋体" w:cs="宋体" w:hint="eastAsia"/>
          <w:b/>
          <w:bCs/>
          <w:sz w:val="18"/>
          <w:szCs w:val="18"/>
        </w:rPr>
      </w:pPr>
      <w:bookmarkStart w:id="24" w:name="_Toc988913"/>
      <w:r>
        <w:rPr>
          <w:rFonts w:ascii="宋体" w:eastAsia="宋体" w:hAnsi="宋体" w:cs="宋体"/>
          <w:b/>
          <w:bCs/>
          <w:sz w:val="18"/>
          <w:szCs w:val="18"/>
        </w:rPr>
        <w:t>（5） 营业成本构成</w:t>
      </w:r>
      <w:bookmarkEnd w:id="24"/>
    </w:p>
    <w:p w14:paraId="49174093" w14:textId="507C116F" w:rsidR="00632E5B" w:rsidRDefault="00020E7D" w:rsidP="00A31A34">
      <w:pPr>
        <w:spacing w:before="120" w:after="100" w:line="240" w:lineRule="exact"/>
        <w:rPr>
          <w:rFonts w:ascii="宋体" w:eastAsia="宋体" w:hAnsi="宋体" w:cs="宋体" w:hint="eastAsia"/>
          <w:sz w:val="18"/>
          <w:szCs w:val="18"/>
        </w:rPr>
      </w:pPr>
      <w:r>
        <w:rPr>
          <w:rFonts w:ascii="宋体" w:eastAsia="宋体" w:hAnsi="宋体" w:cs="宋体"/>
          <w:sz w:val="18"/>
          <w:szCs w:val="18"/>
        </w:rPr>
        <w:t>行业</w:t>
      </w:r>
      <w:r w:rsidR="00107901">
        <w:rPr>
          <w:rFonts w:ascii="宋体" w:eastAsia="宋体" w:hAnsi="宋体" w:cs="宋体"/>
          <w:sz w:val="18"/>
          <w:szCs w:val="18"/>
        </w:rPr>
        <w:t>分类</w:t>
      </w:r>
    </w:p>
    <w:p w14:paraId="1C1535D9" w14:textId="77777777" w:rsidR="00632E5B" w:rsidRDefault="00107901">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2157"/>
        <w:gridCol w:w="1134"/>
        <w:gridCol w:w="1701"/>
        <w:gridCol w:w="993"/>
        <w:gridCol w:w="1701"/>
        <w:gridCol w:w="992"/>
        <w:gridCol w:w="961"/>
      </w:tblGrid>
      <w:tr w:rsidR="00632E5B" w14:paraId="67AC7BAA" w14:textId="77777777" w:rsidTr="003D272E">
        <w:trPr>
          <w:trHeight w:val="240"/>
        </w:trPr>
        <w:tc>
          <w:tcPr>
            <w:tcW w:w="2157" w:type="dxa"/>
            <w:vMerge w:val="restart"/>
            <w:shd w:val="clear" w:color="auto" w:fill="FFFFFF" w:themeFill="background1"/>
            <w:vAlign w:val="center"/>
          </w:tcPr>
          <w:p w14:paraId="74BF95A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行业分类</w:t>
            </w:r>
          </w:p>
        </w:tc>
        <w:tc>
          <w:tcPr>
            <w:tcW w:w="1134" w:type="dxa"/>
            <w:vMerge w:val="restart"/>
            <w:shd w:val="clear" w:color="auto" w:fill="FFFFFF" w:themeFill="background1"/>
            <w:vAlign w:val="center"/>
          </w:tcPr>
          <w:p w14:paraId="74DC2C7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2694" w:type="dxa"/>
            <w:gridSpan w:val="2"/>
            <w:shd w:val="clear" w:color="auto" w:fill="FFFFFF" w:themeFill="background1"/>
            <w:vAlign w:val="center"/>
          </w:tcPr>
          <w:p w14:paraId="3DA3799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2024年</w:t>
            </w:r>
          </w:p>
        </w:tc>
        <w:tc>
          <w:tcPr>
            <w:tcW w:w="2693" w:type="dxa"/>
            <w:gridSpan w:val="2"/>
            <w:shd w:val="clear" w:color="auto" w:fill="FFFFFF" w:themeFill="background1"/>
            <w:vAlign w:val="center"/>
          </w:tcPr>
          <w:p w14:paraId="437BBED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2023年</w:t>
            </w:r>
          </w:p>
        </w:tc>
        <w:tc>
          <w:tcPr>
            <w:tcW w:w="961" w:type="dxa"/>
            <w:vMerge w:val="restart"/>
            <w:shd w:val="clear" w:color="auto" w:fill="FFFFFF" w:themeFill="background1"/>
            <w:vAlign w:val="center"/>
          </w:tcPr>
          <w:p w14:paraId="7D56028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同比增减</w:t>
            </w:r>
          </w:p>
        </w:tc>
      </w:tr>
      <w:tr w:rsidR="00632E5B" w14:paraId="2216375A" w14:textId="77777777" w:rsidTr="003D272E">
        <w:trPr>
          <w:trHeight w:val="240"/>
        </w:trPr>
        <w:tc>
          <w:tcPr>
            <w:tcW w:w="2157" w:type="dxa"/>
            <w:vMerge/>
            <w:shd w:val="clear" w:color="auto" w:fill="FFFFFF" w:themeFill="background1"/>
            <w:vAlign w:val="center"/>
          </w:tcPr>
          <w:p w14:paraId="5F111B9F" w14:textId="77777777" w:rsidR="00632E5B" w:rsidRDefault="00632E5B"/>
        </w:tc>
        <w:tc>
          <w:tcPr>
            <w:tcW w:w="1134" w:type="dxa"/>
            <w:vMerge/>
            <w:shd w:val="clear" w:color="auto" w:fill="FFFFFF" w:themeFill="background1"/>
            <w:vAlign w:val="center"/>
          </w:tcPr>
          <w:p w14:paraId="2E5D8E0F" w14:textId="77777777" w:rsidR="00632E5B" w:rsidRDefault="00632E5B"/>
        </w:tc>
        <w:tc>
          <w:tcPr>
            <w:tcW w:w="1701" w:type="dxa"/>
            <w:shd w:val="clear" w:color="auto" w:fill="FFFFFF" w:themeFill="background1"/>
            <w:vAlign w:val="center"/>
          </w:tcPr>
          <w:p w14:paraId="561FB37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993" w:type="dxa"/>
            <w:shd w:val="clear" w:color="auto" w:fill="FFFFFF" w:themeFill="background1"/>
            <w:vAlign w:val="center"/>
          </w:tcPr>
          <w:p w14:paraId="1935745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占营业成本比重</w:t>
            </w:r>
          </w:p>
        </w:tc>
        <w:tc>
          <w:tcPr>
            <w:tcW w:w="1701" w:type="dxa"/>
            <w:shd w:val="clear" w:color="auto" w:fill="FFFFFF" w:themeFill="background1"/>
            <w:vAlign w:val="center"/>
          </w:tcPr>
          <w:p w14:paraId="32BBF9D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992" w:type="dxa"/>
            <w:shd w:val="clear" w:color="auto" w:fill="FFFFFF" w:themeFill="background1"/>
            <w:vAlign w:val="center"/>
          </w:tcPr>
          <w:p w14:paraId="706D036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占营业成本比重</w:t>
            </w:r>
          </w:p>
        </w:tc>
        <w:tc>
          <w:tcPr>
            <w:tcW w:w="961" w:type="dxa"/>
            <w:vMerge/>
            <w:shd w:val="clear" w:color="auto" w:fill="FFFFFF" w:themeFill="background1"/>
            <w:vAlign w:val="center"/>
          </w:tcPr>
          <w:p w14:paraId="21284CC7" w14:textId="77777777" w:rsidR="00632E5B" w:rsidRDefault="00632E5B"/>
        </w:tc>
      </w:tr>
      <w:tr w:rsidR="00632E5B" w14:paraId="7276D2C8" w14:textId="77777777" w:rsidTr="003D272E">
        <w:trPr>
          <w:trHeight w:val="240"/>
        </w:trPr>
        <w:tc>
          <w:tcPr>
            <w:tcW w:w="2157" w:type="dxa"/>
            <w:shd w:val="clear" w:color="auto" w:fill="FFFFFF" w:themeFill="background1"/>
            <w:vAlign w:val="center"/>
          </w:tcPr>
          <w:p w14:paraId="0A55A210" w14:textId="41FEDFFB"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通信行业（运营商）</w:t>
            </w:r>
          </w:p>
        </w:tc>
        <w:tc>
          <w:tcPr>
            <w:tcW w:w="1134" w:type="dxa"/>
            <w:shd w:val="clear" w:color="auto" w:fill="FFFFFF" w:themeFill="background1"/>
            <w:vAlign w:val="center"/>
          </w:tcPr>
          <w:p w14:paraId="123706D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营业成本</w:t>
            </w:r>
          </w:p>
        </w:tc>
        <w:tc>
          <w:tcPr>
            <w:tcW w:w="1701" w:type="dxa"/>
            <w:shd w:val="clear" w:color="auto" w:fill="FFFFFF" w:themeFill="background1"/>
            <w:vAlign w:val="center"/>
          </w:tcPr>
          <w:p w14:paraId="640E6DC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64,526,945.82</w:t>
            </w:r>
          </w:p>
        </w:tc>
        <w:tc>
          <w:tcPr>
            <w:tcW w:w="993" w:type="dxa"/>
            <w:shd w:val="clear" w:color="auto" w:fill="FFFFFF" w:themeFill="background1"/>
            <w:vAlign w:val="center"/>
          </w:tcPr>
          <w:p w14:paraId="1897297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3.27%</w:t>
            </w:r>
          </w:p>
        </w:tc>
        <w:tc>
          <w:tcPr>
            <w:tcW w:w="1701" w:type="dxa"/>
            <w:shd w:val="clear" w:color="auto" w:fill="FFFFFF" w:themeFill="background1"/>
            <w:vAlign w:val="center"/>
          </w:tcPr>
          <w:p w14:paraId="7A1D90F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217,276,261.67</w:t>
            </w:r>
          </w:p>
        </w:tc>
        <w:tc>
          <w:tcPr>
            <w:tcW w:w="992" w:type="dxa"/>
            <w:shd w:val="clear" w:color="auto" w:fill="FFFFFF" w:themeFill="background1"/>
            <w:vAlign w:val="center"/>
          </w:tcPr>
          <w:p w14:paraId="5B4F476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6.19%</w:t>
            </w:r>
          </w:p>
        </w:tc>
        <w:tc>
          <w:tcPr>
            <w:tcW w:w="961" w:type="dxa"/>
            <w:shd w:val="clear" w:color="auto" w:fill="FFFFFF" w:themeFill="background1"/>
            <w:vAlign w:val="center"/>
          </w:tcPr>
          <w:p w14:paraId="0B73BF1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-70.30%</w:t>
            </w:r>
          </w:p>
        </w:tc>
      </w:tr>
      <w:tr w:rsidR="00632E5B" w14:paraId="6CA1A2D5" w14:textId="77777777" w:rsidTr="003D272E">
        <w:trPr>
          <w:trHeight w:val="240"/>
        </w:trPr>
        <w:tc>
          <w:tcPr>
            <w:tcW w:w="2157" w:type="dxa"/>
            <w:shd w:val="clear" w:color="auto" w:fill="FFFFFF" w:themeFill="background1"/>
            <w:vAlign w:val="center"/>
          </w:tcPr>
          <w:p w14:paraId="21507F46" w14:textId="69E383E9"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除运营商外的其他通信行业</w:t>
            </w:r>
          </w:p>
        </w:tc>
        <w:tc>
          <w:tcPr>
            <w:tcW w:w="1134" w:type="dxa"/>
            <w:shd w:val="clear" w:color="auto" w:fill="FFFFFF" w:themeFill="background1"/>
            <w:vAlign w:val="center"/>
          </w:tcPr>
          <w:p w14:paraId="282F67C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营业成本</w:t>
            </w:r>
          </w:p>
        </w:tc>
        <w:tc>
          <w:tcPr>
            <w:tcW w:w="1701" w:type="dxa"/>
            <w:shd w:val="clear" w:color="auto" w:fill="FFFFFF" w:themeFill="background1"/>
            <w:vAlign w:val="center"/>
          </w:tcPr>
          <w:p w14:paraId="3DAC7AA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1,245,966,724.14</w:t>
            </w:r>
          </w:p>
        </w:tc>
        <w:tc>
          <w:tcPr>
            <w:tcW w:w="993" w:type="dxa"/>
            <w:shd w:val="clear" w:color="auto" w:fill="FFFFFF" w:themeFill="background1"/>
            <w:vAlign w:val="center"/>
          </w:tcPr>
          <w:p w14:paraId="1CEB530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63.15%</w:t>
            </w:r>
          </w:p>
        </w:tc>
        <w:tc>
          <w:tcPr>
            <w:tcW w:w="1701" w:type="dxa"/>
            <w:shd w:val="clear" w:color="auto" w:fill="FFFFFF" w:themeFill="background1"/>
            <w:vAlign w:val="center"/>
          </w:tcPr>
          <w:p w14:paraId="0ADE24D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1,398,087,691.06</w:t>
            </w:r>
          </w:p>
        </w:tc>
        <w:tc>
          <w:tcPr>
            <w:tcW w:w="992" w:type="dxa"/>
            <w:shd w:val="clear" w:color="auto" w:fill="FFFFFF" w:themeFill="background1"/>
            <w:vAlign w:val="center"/>
          </w:tcPr>
          <w:p w14:paraId="073917E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39.85%</w:t>
            </w:r>
          </w:p>
        </w:tc>
        <w:tc>
          <w:tcPr>
            <w:tcW w:w="961" w:type="dxa"/>
            <w:shd w:val="clear" w:color="auto" w:fill="FFFFFF" w:themeFill="background1"/>
            <w:vAlign w:val="center"/>
          </w:tcPr>
          <w:p w14:paraId="345644F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-10.88%</w:t>
            </w:r>
          </w:p>
        </w:tc>
      </w:tr>
      <w:tr w:rsidR="00632E5B" w14:paraId="6EAACDDC" w14:textId="77777777" w:rsidTr="003D272E">
        <w:trPr>
          <w:trHeight w:val="240"/>
        </w:trPr>
        <w:tc>
          <w:tcPr>
            <w:tcW w:w="2157" w:type="dxa"/>
            <w:shd w:val="clear" w:color="auto" w:fill="FFFFFF" w:themeFill="background1"/>
            <w:vAlign w:val="center"/>
          </w:tcPr>
          <w:p w14:paraId="0FF0A81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光伏行业</w:t>
            </w:r>
          </w:p>
        </w:tc>
        <w:tc>
          <w:tcPr>
            <w:tcW w:w="1134" w:type="dxa"/>
            <w:shd w:val="clear" w:color="auto" w:fill="FFFFFF" w:themeFill="background1"/>
            <w:vAlign w:val="center"/>
          </w:tcPr>
          <w:p w14:paraId="1E6C29D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营业成本</w:t>
            </w:r>
          </w:p>
        </w:tc>
        <w:tc>
          <w:tcPr>
            <w:tcW w:w="1701" w:type="dxa"/>
            <w:shd w:val="clear" w:color="auto" w:fill="FFFFFF" w:themeFill="background1"/>
            <w:vAlign w:val="center"/>
          </w:tcPr>
          <w:p w14:paraId="368D96D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566,251,944.92</w:t>
            </w:r>
          </w:p>
        </w:tc>
        <w:tc>
          <w:tcPr>
            <w:tcW w:w="993" w:type="dxa"/>
            <w:shd w:val="clear" w:color="auto" w:fill="FFFFFF" w:themeFill="background1"/>
            <w:vAlign w:val="center"/>
          </w:tcPr>
          <w:p w14:paraId="70DF798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28.70%</w:t>
            </w:r>
          </w:p>
        </w:tc>
        <w:tc>
          <w:tcPr>
            <w:tcW w:w="1701" w:type="dxa"/>
            <w:shd w:val="clear" w:color="auto" w:fill="FFFFFF" w:themeFill="background1"/>
            <w:vAlign w:val="center"/>
          </w:tcPr>
          <w:p w14:paraId="4845692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1,751,850,942.72</w:t>
            </w:r>
          </w:p>
        </w:tc>
        <w:tc>
          <w:tcPr>
            <w:tcW w:w="992" w:type="dxa"/>
            <w:shd w:val="clear" w:color="auto" w:fill="FFFFFF" w:themeFill="background1"/>
            <w:vAlign w:val="center"/>
          </w:tcPr>
          <w:p w14:paraId="29E02A5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49.94%</w:t>
            </w:r>
          </w:p>
        </w:tc>
        <w:tc>
          <w:tcPr>
            <w:tcW w:w="961" w:type="dxa"/>
            <w:shd w:val="clear" w:color="auto" w:fill="FFFFFF" w:themeFill="background1"/>
            <w:vAlign w:val="center"/>
          </w:tcPr>
          <w:p w14:paraId="17C4A99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-67.68%</w:t>
            </w:r>
          </w:p>
        </w:tc>
      </w:tr>
      <w:tr w:rsidR="00632E5B" w14:paraId="60C3FFA2" w14:textId="77777777" w:rsidTr="003D272E">
        <w:trPr>
          <w:trHeight w:val="240"/>
        </w:trPr>
        <w:tc>
          <w:tcPr>
            <w:tcW w:w="2157" w:type="dxa"/>
            <w:shd w:val="clear" w:color="auto" w:fill="FFFFFF" w:themeFill="background1"/>
            <w:vAlign w:val="center"/>
          </w:tcPr>
          <w:p w14:paraId="29A8601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光纤光棒行业</w:t>
            </w:r>
          </w:p>
        </w:tc>
        <w:tc>
          <w:tcPr>
            <w:tcW w:w="1134" w:type="dxa"/>
            <w:shd w:val="clear" w:color="auto" w:fill="FFFFFF" w:themeFill="background1"/>
            <w:vAlign w:val="center"/>
          </w:tcPr>
          <w:p w14:paraId="3B7C27A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营业成本</w:t>
            </w:r>
          </w:p>
        </w:tc>
        <w:tc>
          <w:tcPr>
            <w:tcW w:w="1701" w:type="dxa"/>
            <w:shd w:val="clear" w:color="auto" w:fill="FFFFFF" w:themeFill="background1"/>
            <w:vAlign w:val="center"/>
          </w:tcPr>
          <w:p w14:paraId="250A19D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96,270,377.77</w:t>
            </w:r>
          </w:p>
        </w:tc>
        <w:tc>
          <w:tcPr>
            <w:tcW w:w="993" w:type="dxa"/>
            <w:shd w:val="clear" w:color="auto" w:fill="FFFFFF" w:themeFill="background1"/>
            <w:vAlign w:val="center"/>
          </w:tcPr>
          <w:p w14:paraId="0F8D533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4.88%</w:t>
            </w:r>
          </w:p>
        </w:tc>
        <w:tc>
          <w:tcPr>
            <w:tcW w:w="1701" w:type="dxa"/>
            <w:shd w:val="clear" w:color="auto" w:fill="FFFFFF" w:themeFill="background1"/>
            <w:vAlign w:val="center"/>
          </w:tcPr>
          <w:p w14:paraId="3BBD911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141,017,081.77</w:t>
            </w:r>
          </w:p>
        </w:tc>
        <w:tc>
          <w:tcPr>
            <w:tcW w:w="992" w:type="dxa"/>
            <w:shd w:val="clear" w:color="auto" w:fill="FFFFFF" w:themeFill="background1"/>
            <w:vAlign w:val="center"/>
          </w:tcPr>
          <w:p w14:paraId="7272DBD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4.02%</w:t>
            </w:r>
          </w:p>
        </w:tc>
        <w:tc>
          <w:tcPr>
            <w:tcW w:w="961" w:type="dxa"/>
            <w:shd w:val="clear" w:color="auto" w:fill="FFFFFF" w:themeFill="background1"/>
            <w:vAlign w:val="center"/>
          </w:tcPr>
          <w:p w14:paraId="3B69B14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-31.73%</w:t>
            </w:r>
          </w:p>
        </w:tc>
      </w:tr>
    </w:tbl>
    <w:p w14:paraId="1AC65C5E" w14:textId="17C92EE9" w:rsidR="00020E7D" w:rsidRDefault="00020E7D" w:rsidP="00020E7D">
      <w:pPr>
        <w:spacing w:before="100" w:after="100" w:line="240" w:lineRule="exact"/>
        <w:rPr>
          <w:rFonts w:ascii="宋体" w:eastAsia="宋体" w:hAnsi="宋体" w:cs="宋体" w:hint="eastAsia"/>
          <w:sz w:val="18"/>
          <w:szCs w:val="18"/>
        </w:rPr>
      </w:pPr>
      <w:r>
        <w:rPr>
          <w:rFonts w:ascii="宋体" w:eastAsia="宋体" w:hAnsi="宋体" w:cs="宋体"/>
          <w:sz w:val="18"/>
          <w:szCs w:val="18"/>
        </w:rPr>
        <w:t>产品分类</w:t>
      </w:r>
    </w:p>
    <w:p w14:paraId="5A32E52F" w14:textId="02C84DB6" w:rsidR="00632E5B" w:rsidRDefault="00107901">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2157"/>
        <w:gridCol w:w="1134"/>
        <w:gridCol w:w="1701"/>
        <w:gridCol w:w="993"/>
        <w:gridCol w:w="1701"/>
        <w:gridCol w:w="992"/>
        <w:gridCol w:w="961"/>
      </w:tblGrid>
      <w:tr w:rsidR="00632E5B" w14:paraId="59F87992" w14:textId="77777777" w:rsidTr="003D272E">
        <w:trPr>
          <w:trHeight w:val="240"/>
        </w:trPr>
        <w:tc>
          <w:tcPr>
            <w:tcW w:w="2157" w:type="dxa"/>
            <w:vMerge w:val="restart"/>
            <w:shd w:val="clear" w:color="auto" w:fill="FFFFFF" w:themeFill="background1"/>
            <w:vAlign w:val="center"/>
          </w:tcPr>
          <w:p w14:paraId="6D8F1529" w14:textId="77777777" w:rsidR="00632E5B" w:rsidRDefault="00107901" w:rsidP="00A31A34">
            <w:pPr>
              <w:spacing w:before="40" w:after="40" w:line="276" w:lineRule="auto"/>
              <w:jc w:val="center"/>
              <w:rPr>
                <w:rFonts w:ascii="宋体" w:eastAsia="宋体" w:hAnsi="宋体" w:cs="宋体" w:hint="eastAsia"/>
                <w:sz w:val="18"/>
                <w:szCs w:val="18"/>
              </w:rPr>
            </w:pPr>
            <w:r>
              <w:rPr>
                <w:rFonts w:ascii="宋体" w:eastAsia="宋体" w:hAnsi="宋体" w:cs="宋体"/>
                <w:sz w:val="18"/>
                <w:szCs w:val="18"/>
              </w:rPr>
              <w:t>产品分类</w:t>
            </w:r>
          </w:p>
        </w:tc>
        <w:tc>
          <w:tcPr>
            <w:tcW w:w="1134" w:type="dxa"/>
            <w:vMerge w:val="restart"/>
            <w:shd w:val="clear" w:color="auto" w:fill="FFFFFF" w:themeFill="background1"/>
            <w:vAlign w:val="center"/>
          </w:tcPr>
          <w:p w14:paraId="252BC4FA" w14:textId="77777777" w:rsidR="00632E5B" w:rsidRDefault="00107901" w:rsidP="00A31A34">
            <w:pPr>
              <w:spacing w:before="40" w:after="40" w:line="276" w:lineRule="auto"/>
              <w:jc w:val="center"/>
              <w:rPr>
                <w:rFonts w:ascii="宋体" w:eastAsia="宋体" w:hAnsi="宋体" w:cs="宋体" w:hint="eastAsia"/>
                <w:sz w:val="18"/>
                <w:szCs w:val="18"/>
              </w:rPr>
            </w:pPr>
            <w:r>
              <w:rPr>
                <w:rFonts w:ascii="宋体" w:eastAsia="宋体" w:hAnsi="宋体" w:cs="宋体"/>
                <w:sz w:val="18"/>
                <w:szCs w:val="18"/>
              </w:rPr>
              <w:t>项目</w:t>
            </w:r>
          </w:p>
        </w:tc>
        <w:tc>
          <w:tcPr>
            <w:tcW w:w="2694" w:type="dxa"/>
            <w:gridSpan w:val="2"/>
            <w:shd w:val="clear" w:color="auto" w:fill="FFFFFF" w:themeFill="background1"/>
            <w:vAlign w:val="center"/>
          </w:tcPr>
          <w:p w14:paraId="1B3060B2" w14:textId="77777777" w:rsidR="00632E5B" w:rsidRDefault="00107901" w:rsidP="00A31A34">
            <w:pPr>
              <w:spacing w:before="40" w:after="40" w:line="276" w:lineRule="auto"/>
              <w:jc w:val="center"/>
              <w:rPr>
                <w:rFonts w:ascii="宋体" w:eastAsia="宋体" w:hAnsi="宋体" w:cs="宋体" w:hint="eastAsia"/>
                <w:sz w:val="18"/>
                <w:szCs w:val="18"/>
              </w:rPr>
            </w:pPr>
            <w:r>
              <w:rPr>
                <w:rFonts w:ascii="宋体" w:eastAsia="宋体" w:hAnsi="宋体" w:cs="宋体"/>
                <w:sz w:val="18"/>
                <w:szCs w:val="18"/>
              </w:rPr>
              <w:t>2024年</w:t>
            </w:r>
          </w:p>
        </w:tc>
        <w:tc>
          <w:tcPr>
            <w:tcW w:w="2693" w:type="dxa"/>
            <w:gridSpan w:val="2"/>
            <w:shd w:val="clear" w:color="auto" w:fill="FFFFFF" w:themeFill="background1"/>
            <w:vAlign w:val="center"/>
          </w:tcPr>
          <w:p w14:paraId="29FA5725" w14:textId="77777777" w:rsidR="00632E5B" w:rsidRDefault="00107901" w:rsidP="00A31A34">
            <w:pPr>
              <w:spacing w:before="40" w:after="40" w:line="276" w:lineRule="auto"/>
              <w:jc w:val="center"/>
              <w:rPr>
                <w:rFonts w:ascii="宋体" w:eastAsia="宋体" w:hAnsi="宋体" w:cs="宋体" w:hint="eastAsia"/>
                <w:sz w:val="18"/>
                <w:szCs w:val="18"/>
              </w:rPr>
            </w:pPr>
            <w:r>
              <w:rPr>
                <w:rFonts w:ascii="宋体" w:eastAsia="宋体" w:hAnsi="宋体" w:cs="宋体"/>
                <w:sz w:val="18"/>
                <w:szCs w:val="18"/>
              </w:rPr>
              <w:t>2023年</w:t>
            </w:r>
          </w:p>
        </w:tc>
        <w:tc>
          <w:tcPr>
            <w:tcW w:w="961" w:type="dxa"/>
            <w:vMerge w:val="restart"/>
            <w:shd w:val="clear" w:color="auto" w:fill="FFFFFF" w:themeFill="background1"/>
            <w:vAlign w:val="center"/>
          </w:tcPr>
          <w:p w14:paraId="03EDEF0D" w14:textId="77777777" w:rsidR="00632E5B" w:rsidRDefault="00107901" w:rsidP="00A31A34">
            <w:pPr>
              <w:spacing w:before="40" w:after="40" w:line="276" w:lineRule="auto"/>
              <w:jc w:val="center"/>
              <w:rPr>
                <w:rFonts w:ascii="宋体" w:eastAsia="宋体" w:hAnsi="宋体" w:cs="宋体" w:hint="eastAsia"/>
                <w:sz w:val="18"/>
                <w:szCs w:val="18"/>
              </w:rPr>
            </w:pPr>
            <w:r>
              <w:rPr>
                <w:rFonts w:ascii="宋体" w:eastAsia="宋体" w:hAnsi="宋体" w:cs="宋体"/>
                <w:sz w:val="18"/>
                <w:szCs w:val="18"/>
              </w:rPr>
              <w:t>同比增减</w:t>
            </w:r>
          </w:p>
        </w:tc>
      </w:tr>
      <w:tr w:rsidR="00632E5B" w14:paraId="79BE59DA" w14:textId="77777777" w:rsidTr="003D272E">
        <w:trPr>
          <w:trHeight w:val="240"/>
        </w:trPr>
        <w:tc>
          <w:tcPr>
            <w:tcW w:w="2157" w:type="dxa"/>
            <w:vMerge/>
            <w:shd w:val="clear" w:color="auto" w:fill="FFFFFF" w:themeFill="background1"/>
            <w:vAlign w:val="center"/>
          </w:tcPr>
          <w:p w14:paraId="2C5CCA8E" w14:textId="77777777" w:rsidR="00632E5B" w:rsidRDefault="00632E5B" w:rsidP="00A31A34">
            <w:pPr>
              <w:spacing w:line="276" w:lineRule="auto"/>
            </w:pPr>
          </w:p>
        </w:tc>
        <w:tc>
          <w:tcPr>
            <w:tcW w:w="1134" w:type="dxa"/>
            <w:vMerge/>
            <w:shd w:val="clear" w:color="auto" w:fill="FFFFFF" w:themeFill="background1"/>
            <w:vAlign w:val="center"/>
          </w:tcPr>
          <w:p w14:paraId="7ED36E5E" w14:textId="77777777" w:rsidR="00632E5B" w:rsidRDefault="00632E5B" w:rsidP="00A31A34">
            <w:pPr>
              <w:spacing w:line="276" w:lineRule="auto"/>
            </w:pPr>
          </w:p>
        </w:tc>
        <w:tc>
          <w:tcPr>
            <w:tcW w:w="1701" w:type="dxa"/>
            <w:shd w:val="clear" w:color="auto" w:fill="FFFFFF" w:themeFill="background1"/>
            <w:vAlign w:val="center"/>
          </w:tcPr>
          <w:p w14:paraId="103E029D" w14:textId="77777777" w:rsidR="00632E5B" w:rsidRDefault="00107901" w:rsidP="00A31A34">
            <w:pPr>
              <w:spacing w:before="40" w:after="40" w:line="276" w:lineRule="auto"/>
              <w:jc w:val="center"/>
              <w:rPr>
                <w:rFonts w:ascii="宋体" w:eastAsia="宋体" w:hAnsi="宋体" w:cs="宋体" w:hint="eastAsia"/>
                <w:sz w:val="18"/>
                <w:szCs w:val="18"/>
              </w:rPr>
            </w:pPr>
            <w:r>
              <w:rPr>
                <w:rFonts w:ascii="宋体" w:eastAsia="宋体" w:hAnsi="宋体" w:cs="宋体"/>
                <w:sz w:val="18"/>
                <w:szCs w:val="18"/>
              </w:rPr>
              <w:t>金额</w:t>
            </w:r>
          </w:p>
        </w:tc>
        <w:tc>
          <w:tcPr>
            <w:tcW w:w="993" w:type="dxa"/>
            <w:shd w:val="clear" w:color="auto" w:fill="FFFFFF" w:themeFill="background1"/>
            <w:vAlign w:val="center"/>
          </w:tcPr>
          <w:p w14:paraId="35F6FB41" w14:textId="77777777" w:rsidR="00632E5B" w:rsidRDefault="00107901" w:rsidP="00A31A34">
            <w:pPr>
              <w:spacing w:before="40" w:after="40" w:line="276" w:lineRule="auto"/>
              <w:jc w:val="center"/>
              <w:rPr>
                <w:rFonts w:ascii="宋体" w:eastAsia="宋体" w:hAnsi="宋体" w:cs="宋体" w:hint="eastAsia"/>
                <w:sz w:val="18"/>
                <w:szCs w:val="18"/>
              </w:rPr>
            </w:pPr>
            <w:r>
              <w:rPr>
                <w:rFonts w:ascii="宋体" w:eastAsia="宋体" w:hAnsi="宋体" w:cs="宋体"/>
                <w:sz w:val="18"/>
                <w:szCs w:val="18"/>
              </w:rPr>
              <w:t>占营业成本比重</w:t>
            </w:r>
          </w:p>
        </w:tc>
        <w:tc>
          <w:tcPr>
            <w:tcW w:w="1701" w:type="dxa"/>
            <w:shd w:val="clear" w:color="auto" w:fill="FFFFFF" w:themeFill="background1"/>
            <w:vAlign w:val="center"/>
          </w:tcPr>
          <w:p w14:paraId="5F11CB9F" w14:textId="77777777" w:rsidR="00632E5B" w:rsidRDefault="00107901" w:rsidP="00A31A34">
            <w:pPr>
              <w:spacing w:before="40" w:after="40" w:line="276" w:lineRule="auto"/>
              <w:jc w:val="center"/>
              <w:rPr>
                <w:rFonts w:ascii="宋体" w:eastAsia="宋体" w:hAnsi="宋体" w:cs="宋体" w:hint="eastAsia"/>
                <w:sz w:val="18"/>
                <w:szCs w:val="18"/>
              </w:rPr>
            </w:pPr>
            <w:r>
              <w:rPr>
                <w:rFonts w:ascii="宋体" w:eastAsia="宋体" w:hAnsi="宋体" w:cs="宋体"/>
                <w:sz w:val="18"/>
                <w:szCs w:val="18"/>
              </w:rPr>
              <w:t>金额</w:t>
            </w:r>
          </w:p>
        </w:tc>
        <w:tc>
          <w:tcPr>
            <w:tcW w:w="992" w:type="dxa"/>
            <w:shd w:val="clear" w:color="auto" w:fill="FFFFFF" w:themeFill="background1"/>
            <w:vAlign w:val="center"/>
          </w:tcPr>
          <w:p w14:paraId="48BD78E4" w14:textId="77777777" w:rsidR="00632E5B" w:rsidRDefault="00107901" w:rsidP="00A31A34">
            <w:pPr>
              <w:spacing w:before="40" w:after="40" w:line="276" w:lineRule="auto"/>
              <w:jc w:val="center"/>
              <w:rPr>
                <w:rFonts w:ascii="宋体" w:eastAsia="宋体" w:hAnsi="宋体" w:cs="宋体" w:hint="eastAsia"/>
                <w:sz w:val="18"/>
                <w:szCs w:val="18"/>
              </w:rPr>
            </w:pPr>
            <w:r>
              <w:rPr>
                <w:rFonts w:ascii="宋体" w:eastAsia="宋体" w:hAnsi="宋体" w:cs="宋体"/>
                <w:sz w:val="18"/>
                <w:szCs w:val="18"/>
              </w:rPr>
              <w:t>占营业成本比重</w:t>
            </w:r>
          </w:p>
        </w:tc>
        <w:tc>
          <w:tcPr>
            <w:tcW w:w="961" w:type="dxa"/>
            <w:vMerge/>
            <w:shd w:val="clear" w:color="auto" w:fill="FFFFFF" w:themeFill="background1"/>
            <w:vAlign w:val="center"/>
          </w:tcPr>
          <w:p w14:paraId="27D38C69" w14:textId="77777777" w:rsidR="00632E5B" w:rsidRDefault="00632E5B" w:rsidP="00A31A34">
            <w:pPr>
              <w:spacing w:line="276" w:lineRule="auto"/>
            </w:pPr>
          </w:p>
        </w:tc>
      </w:tr>
      <w:tr w:rsidR="00632E5B" w14:paraId="2EC00902" w14:textId="77777777" w:rsidTr="003D272E">
        <w:trPr>
          <w:trHeight w:val="240"/>
        </w:trPr>
        <w:tc>
          <w:tcPr>
            <w:tcW w:w="2157" w:type="dxa"/>
            <w:shd w:val="clear" w:color="auto" w:fill="FFFFFF" w:themeFill="background1"/>
            <w:vAlign w:val="center"/>
          </w:tcPr>
          <w:p w14:paraId="168A0BDD" w14:textId="77777777" w:rsidR="00632E5B" w:rsidRDefault="00107901" w:rsidP="00A31A34">
            <w:pPr>
              <w:spacing w:line="276" w:lineRule="auto"/>
              <w:rPr>
                <w:rFonts w:ascii="宋体" w:eastAsia="宋体" w:hAnsi="宋体" w:cs="宋体" w:hint="eastAsia"/>
                <w:sz w:val="18"/>
                <w:szCs w:val="18"/>
              </w:rPr>
            </w:pPr>
            <w:r>
              <w:rPr>
                <w:rFonts w:ascii="宋体" w:eastAsia="宋体" w:hAnsi="宋体" w:cs="宋体"/>
                <w:sz w:val="18"/>
                <w:szCs w:val="18"/>
              </w:rPr>
              <w:t>阻燃耐火软电缆</w:t>
            </w:r>
          </w:p>
        </w:tc>
        <w:tc>
          <w:tcPr>
            <w:tcW w:w="1134" w:type="dxa"/>
            <w:shd w:val="clear" w:color="auto" w:fill="FFFFFF" w:themeFill="background1"/>
            <w:vAlign w:val="center"/>
          </w:tcPr>
          <w:p w14:paraId="48F5E6F0" w14:textId="77777777" w:rsidR="00632E5B" w:rsidRDefault="00107901" w:rsidP="00A31A34">
            <w:pPr>
              <w:spacing w:line="276" w:lineRule="auto"/>
              <w:rPr>
                <w:rFonts w:ascii="宋体" w:eastAsia="宋体" w:hAnsi="宋体" w:cs="宋体" w:hint="eastAsia"/>
                <w:sz w:val="18"/>
                <w:szCs w:val="18"/>
              </w:rPr>
            </w:pPr>
            <w:r>
              <w:rPr>
                <w:rFonts w:ascii="宋体" w:eastAsia="宋体" w:hAnsi="宋体" w:cs="宋体"/>
                <w:sz w:val="18"/>
                <w:szCs w:val="18"/>
              </w:rPr>
              <w:t>营业成本</w:t>
            </w:r>
          </w:p>
        </w:tc>
        <w:tc>
          <w:tcPr>
            <w:tcW w:w="1701" w:type="dxa"/>
            <w:shd w:val="clear" w:color="auto" w:fill="FFFFFF" w:themeFill="background1"/>
            <w:vAlign w:val="center"/>
          </w:tcPr>
          <w:p w14:paraId="1CA9743C"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143,195,278.75</w:t>
            </w:r>
          </w:p>
        </w:tc>
        <w:tc>
          <w:tcPr>
            <w:tcW w:w="993" w:type="dxa"/>
            <w:shd w:val="clear" w:color="auto" w:fill="FFFFFF" w:themeFill="background1"/>
            <w:vAlign w:val="center"/>
          </w:tcPr>
          <w:p w14:paraId="2BDCDC9E"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7.26%</w:t>
            </w:r>
          </w:p>
        </w:tc>
        <w:tc>
          <w:tcPr>
            <w:tcW w:w="1701" w:type="dxa"/>
            <w:shd w:val="clear" w:color="auto" w:fill="FFFFFF" w:themeFill="background1"/>
            <w:vAlign w:val="center"/>
          </w:tcPr>
          <w:p w14:paraId="5308636D"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302,546,029.21</w:t>
            </w:r>
          </w:p>
        </w:tc>
        <w:tc>
          <w:tcPr>
            <w:tcW w:w="992" w:type="dxa"/>
            <w:shd w:val="clear" w:color="auto" w:fill="FFFFFF" w:themeFill="background1"/>
            <w:vAlign w:val="center"/>
          </w:tcPr>
          <w:p w14:paraId="03DB3820"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8.62%</w:t>
            </w:r>
          </w:p>
        </w:tc>
        <w:tc>
          <w:tcPr>
            <w:tcW w:w="961" w:type="dxa"/>
            <w:shd w:val="clear" w:color="auto" w:fill="FFFFFF" w:themeFill="background1"/>
            <w:vAlign w:val="center"/>
          </w:tcPr>
          <w:p w14:paraId="0C04C9D8"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-52.67%</w:t>
            </w:r>
          </w:p>
        </w:tc>
      </w:tr>
      <w:tr w:rsidR="00632E5B" w14:paraId="7CD86C38" w14:textId="77777777" w:rsidTr="003D272E">
        <w:trPr>
          <w:trHeight w:val="240"/>
        </w:trPr>
        <w:tc>
          <w:tcPr>
            <w:tcW w:w="2157" w:type="dxa"/>
            <w:shd w:val="clear" w:color="auto" w:fill="FFFFFF" w:themeFill="background1"/>
            <w:vAlign w:val="center"/>
          </w:tcPr>
          <w:p w14:paraId="18266BA5" w14:textId="77777777" w:rsidR="00632E5B" w:rsidRDefault="00107901" w:rsidP="00A31A34">
            <w:pPr>
              <w:spacing w:line="276" w:lineRule="auto"/>
              <w:rPr>
                <w:rFonts w:ascii="宋体" w:eastAsia="宋体" w:hAnsi="宋体" w:cs="宋体" w:hint="eastAsia"/>
                <w:sz w:val="18"/>
                <w:szCs w:val="18"/>
              </w:rPr>
            </w:pPr>
            <w:r>
              <w:rPr>
                <w:rFonts w:ascii="宋体" w:eastAsia="宋体" w:hAnsi="宋体" w:cs="宋体"/>
                <w:sz w:val="18"/>
                <w:szCs w:val="18"/>
              </w:rPr>
              <w:t>金属导体（铜丝+铝杆）</w:t>
            </w:r>
          </w:p>
        </w:tc>
        <w:tc>
          <w:tcPr>
            <w:tcW w:w="1134" w:type="dxa"/>
            <w:shd w:val="clear" w:color="auto" w:fill="FFFFFF" w:themeFill="background1"/>
            <w:vAlign w:val="center"/>
          </w:tcPr>
          <w:p w14:paraId="14FC4B39" w14:textId="77777777" w:rsidR="00632E5B" w:rsidRDefault="00107901" w:rsidP="00A31A34">
            <w:pPr>
              <w:spacing w:line="276" w:lineRule="auto"/>
              <w:rPr>
                <w:rFonts w:ascii="宋体" w:eastAsia="宋体" w:hAnsi="宋体" w:cs="宋体" w:hint="eastAsia"/>
                <w:sz w:val="18"/>
                <w:szCs w:val="18"/>
              </w:rPr>
            </w:pPr>
            <w:r>
              <w:rPr>
                <w:rFonts w:ascii="宋体" w:eastAsia="宋体" w:hAnsi="宋体" w:cs="宋体"/>
                <w:sz w:val="18"/>
                <w:szCs w:val="18"/>
              </w:rPr>
              <w:t>营业成本</w:t>
            </w:r>
          </w:p>
        </w:tc>
        <w:tc>
          <w:tcPr>
            <w:tcW w:w="1701" w:type="dxa"/>
            <w:shd w:val="clear" w:color="auto" w:fill="FFFFFF" w:themeFill="background1"/>
            <w:vAlign w:val="center"/>
          </w:tcPr>
          <w:p w14:paraId="2DDE789D"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2,908,628.38</w:t>
            </w:r>
          </w:p>
        </w:tc>
        <w:tc>
          <w:tcPr>
            <w:tcW w:w="993" w:type="dxa"/>
            <w:shd w:val="clear" w:color="auto" w:fill="FFFFFF" w:themeFill="background1"/>
            <w:vAlign w:val="center"/>
          </w:tcPr>
          <w:p w14:paraId="4AC5EDA2"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0.15%</w:t>
            </w:r>
          </w:p>
        </w:tc>
        <w:tc>
          <w:tcPr>
            <w:tcW w:w="1701" w:type="dxa"/>
            <w:shd w:val="clear" w:color="auto" w:fill="FFFFFF" w:themeFill="background1"/>
            <w:vAlign w:val="center"/>
          </w:tcPr>
          <w:p w14:paraId="263A4E73"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27,663,141.74</w:t>
            </w:r>
          </w:p>
        </w:tc>
        <w:tc>
          <w:tcPr>
            <w:tcW w:w="992" w:type="dxa"/>
            <w:shd w:val="clear" w:color="auto" w:fill="FFFFFF" w:themeFill="background1"/>
            <w:vAlign w:val="center"/>
          </w:tcPr>
          <w:p w14:paraId="25E04927"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0.79%</w:t>
            </w:r>
          </w:p>
        </w:tc>
        <w:tc>
          <w:tcPr>
            <w:tcW w:w="961" w:type="dxa"/>
            <w:shd w:val="clear" w:color="auto" w:fill="FFFFFF" w:themeFill="background1"/>
            <w:vAlign w:val="center"/>
          </w:tcPr>
          <w:p w14:paraId="28631990"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-89.49%</w:t>
            </w:r>
          </w:p>
        </w:tc>
      </w:tr>
      <w:tr w:rsidR="00632E5B" w14:paraId="4BFE68D7" w14:textId="77777777" w:rsidTr="003D272E">
        <w:trPr>
          <w:trHeight w:val="240"/>
        </w:trPr>
        <w:tc>
          <w:tcPr>
            <w:tcW w:w="2157" w:type="dxa"/>
            <w:shd w:val="clear" w:color="auto" w:fill="FFFFFF" w:themeFill="background1"/>
            <w:vAlign w:val="center"/>
          </w:tcPr>
          <w:p w14:paraId="15BCA86B" w14:textId="77777777" w:rsidR="00632E5B" w:rsidRDefault="00107901" w:rsidP="00A31A34">
            <w:pPr>
              <w:spacing w:line="276" w:lineRule="auto"/>
              <w:rPr>
                <w:rFonts w:ascii="宋体" w:eastAsia="宋体" w:hAnsi="宋体" w:cs="宋体" w:hint="eastAsia"/>
                <w:sz w:val="18"/>
                <w:szCs w:val="18"/>
              </w:rPr>
            </w:pPr>
            <w:r>
              <w:rPr>
                <w:rFonts w:ascii="宋体" w:eastAsia="宋体" w:hAnsi="宋体" w:cs="宋体"/>
                <w:sz w:val="18"/>
                <w:szCs w:val="18"/>
              </w:rPr>
              <w:t>电缆料</w:t>
            </w:r>
          </w:p>
        </w:tc>
        <w:tc>
          <w:tcPr>
            <w:tcW w:w="1134" w:type="dxa"/>
            <w:shd w:val="clear" w:color="auto" w:fill="FFFFFF" w:themeFill="background1"/>
            <w:vAlign w:val="center"/>
          </w:tcPr>
          <w:p w14:paraId="0195BEF5" w14:textId="77777777" w:rsidR="00632E5B" w:rsidRDefault="00107901" w:rsidP="00A31A34">
            <w:pPr>
              <w:spacing w:line="276" w:lineRule="auto"/>
              <w:rPr>
                <w:rFonts w:ascii="宋体" w:eastAsia="宋体" w:hAnsi="宋体" w:cs="宋体" w:hint="eastAsia"/>
                <w:sz w:val="18"/>
                <w:szCs w:val="18"/>
              </w:rPr>
            </w:pPr>
            <w:r>
              <w:rPr>
                <w:rFonts w:ascii="宋体" w:eastAsia="宋体" w:hAnsi="宋体" w:cs="宋体"/>
                <w:sz w:val="18"/>
                <w:szCs w:val="18"/>
              </w:rPr>
              <w:t>营业成本</w:t>
            </w:r>
          </w:p>
        </w:tc>
        <w:tc>
          <w:tcPr>
            <w:tcW w:w="1701" w:type="dxa"/>
            <w:shd w:val="clear" w:color="auto" w:fill="FFFFFF" w:themeFill="background1"/>
            <w:vAlign w:val="center"/>
          </w:tcPr>
          <w:p w14:paraId="68CB6550"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248,185,961.88</w:t>
            </w:r>
          </w:p>
        </w:tc>
        <w:tc>
          <w:tcPr>
            <w:tcW w:w="993" w:type="dxa"/>
            <w:shd w:val="clear" w:color="auto" w:fill="FFFFFF" w:themeFill="background1"/>
            <w:vAlign w:val="center"/>
          </w:tcPr>
          <w:p w14:paraId="5DFAA3A0"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12.58%</w:t>
            </w:r>
          </w:p>
        </w:tc>
        <w:tc>
          <w:tcPr>
            <w:tcW w:w="1701" w:type="dxa"/>
            <w:shd w:val="clear" w:color="auto" w:fill="FFFFFF" w:themeFill="background1"/>
            <w:vAlign w:val="center"/>
          </w:tcPr>
          <w:p w14:paraId="73641633"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397,165,994.61</w:t>
            </w:r>
          </w:p>
        </w:tc>
        <w:tc>
          <w:tcPr>
            <w:tcW w:w="992" w:type="dxa"/>
            <w:shd w:val="clear" w:color="auto" w:fill="FFFFFF" w:themeFill="background1"/>
            <w:vAlign w:val="center"/>
          </w:tcPr>
          <w:p w14:paraId="61B4A400"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11.32%</w:t>
            </w:r>
          </w:p>
        </w:tc>
        <w:tc>
          <w:tcPr>
            <w:tcW w:w="961" w:type="dxa"/>
            <w:shd w:val="clear" w:color="auto" w:fill="FFFFFF" w:themeFill="background1"/>
            <w:vAlign w:val="center"/>
          </w:tcPr>
          <w:p w14:paraId="6A048F68"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-37.51%</w:t>
            </w:r>
          </w:p>
        </w:tc>
      </w:tr>
      <w:tr w:rsidR="00632E5B" w14:paraId="4CA273A4" w14:textId="77777777" w:rsidTr="003D272E">
        <w:trPr>
          <w:trHeight w:val="240"/>
        </w:trPr>
        <w:tc>
          <w:tcPr>
            <w:tcW w:w="2157" w:type="dxa"/>
            <w:shd w:val="clear" w:color="auto" w:fill="FFFFFF" w:themeFill="background1"/>
            <w:vAlign w:val="center"/>
          </w:tcPr>
          <w:p w14:paraId="7A08D4B2" w14:textId="77777777" w:rsidR="00632E5B" w:rsidRDefault="00107901" w:rsidP="00A31A34">
            <w:pPr>
              <w:spacing w:line="276" w:lineRule="auto"/>
              <w:rPr>
                <w:rFonts w:ascii="宋体" w:eastAsia="宋体" w:hAnsi="宋体" w:cs="宋体" w:hint="eastAsia"/>
                <w:sz w:val="18"/>
                <w:szCs w:val="18"/>
              </w:rPr>
            </w:pPr>
            <w:r>
              <w:rPr>
                <w:rFonts w:ascii="宋体" w:eastAsia="宋体" w:hAnsi="宋体" w:cs="宋体"/>
                <w:sz w:val="18"/>
                <w:szCs w:val="18"/>
              </w:rPr>
              <w:t>船用电缆</w:t>
            </w:r>
          </w:p>
        </w:tc>
        <w:tc>
          <w:tcPr>
            <w:tcW w:w="1134" w:type="dxa"/>
            <w:shd w:val="clear" w:color="auto" w:fill="FFFFFF" w:themeFill="background1"/>
            <w:vAlign w:val="center"/>
          </w:tcPr>
          <w:p w14:paraId="3FD4B3A4" w14:textId="77777777" w:rsidR="00632E5B" w:rsidRDefault="00107901" w:rsidP="00A31A34">
            <w:pPr>
              <w:spacing w:line="276" w:lineRule="auto"/>
              <w:rPr>
                <w:rFonts w:ascii="宋体" w:eastAsia="宋体" w:hAnsi="宋体" w:cs="宋体" w:hint="eastAsia"/>
                <w:sz w:val="18"/>
                <w:szCs w:val="18"/>
              </w:rPr>
            </w:pPr>
            <w:r>
              <w:rPr>
                <w:rFonts w:ascii="宋体" w:eastAsia="宋体" w:hAnsi="宋体" w:cs="宋体"/>
                <w:sz w:val="18"/>
                <w:szCs w:val="18"/>
              </w:rPr>
              <w:t>营业成本</w:t>
            </w:r>
          </w:p>
        </w:tc>
        <w:tc>
          <w:tcPr>
            <w:tcW w:w="1701" w:type="dxa"/>
            <w:shd w:val="clear" w:color="auto" w:fill="FFFFFF" w:themeFill="background1"/>
            <w:vAlign w:val="center"/>
          </w:tcPr>
          <w:p w14:paraId="5DFC6189"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416,280,067.32</w:t>
            </w:r>
          </w:p>
        </w:tc>
        <w:tc>
          <w:tcPr>
            <w:tcW w:w="993" w:type="dxa"/>
            <w:shd w:val="clear" w:color="auto" w:fill="FFFFFF" w:themeFill="background1"/>
            <w:vAlign w:val="center"/>
          </w:tcPr>
          <w:p w14:paraId="36369F22"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21.10%</w:t>
            </w:r>
          </w:p>
        </w:tc>
        <w:tc>
          <w:tcPr>
            <w:tcW w:w="1701" w:type="dxa"/>
            <w:shd w:val="clear" w:color="auto" w:fill="FFFFFF" w:themeFill="background1"/>
            <w:vAlign w:val="center"/>
          </w:tcPr>
          <w:p w14:paraId="6883B770"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429,675,777.62</w:t>
            </w:r>
          </w:p>
        </w:tc>
        <w:tc>
          <w:tcPr>
            <w:tcW w:w="992" w:type="dxa"/>
            <w:shd w:val="clear" w:color="auto" w:fill="FFFFFF" w:themeFill="background1"/>
            <w:vAlign w:val="center"/>
          </w:tcPr>
          <w:p w14:paraId="20212698"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12.25%</w:t>
            </w:r>
          </w:p>
        </w:tc>
        <w:tc>
          <w:tcPr>
            <w:tcW w:w="961" w:type="dxa"/>
            <w:shd w:val="clear" w:color="auto" w:fill="FFFFFF" w:themeFill="background1"/>
            <w:vAlign w:val="center"/>
          </w:tcPr>
          <w:p w14:paraId="32D26611"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-3.12%</w:t>
            </w:r>
          </w:p>
        </w:tc>
      </w:tr>
      <w:tr w:rsidR="00632E5B" w14:paraId="1399C587" w14:textId="77777777" w:rsidTr="003D272E">
        <w:trPr>
          <w:trHeight w:val="240"/>
        </w:trPr>
        <w:tc>
          <w:tcPr>
            <w:tcW w:w="2157" w:type="dxa"/>
            <w:shd w:val="clear" w:color="auto" w:fill="FFFFFF" w:themeFill="background1"/>
            <w:vAlign w:val="center"/>
          </w:tcPr>
          <w:p w14:paraId="0F3B2FC6" w14:textId="77777777" w:rsidR="00632E5B" w:rsidRDefault="00107901" w:rsidP="00A31A34">
            <w:pPr>
              <w:spacing w:line="276" w:lineRule="auto"/>
              <w:rPr>
                <w:rFonts w:ascii="宋体" w:eastAsia="宋体" w:hAnsi="宋体" w:cs="宋体" w:hint="eastAsia"/>
                <w:sz w:val="18"/>
                <w:szCs w:val="18"/>
              </w:rPr>
            </w:pPr>
            <w:r>
              <w:rPr>
                <w:rFonts w:ascii="宋体" w:eastAsia="宋体" w:hAnsi="宋体" w:cs="宋体"/>
                <w:sz w:val="18"/>
                <w:szCs w:val="18"/>
              </w:rPr>
              <w:t>光缆及其他电缆</w:t>
            </w:r>
          </w:p>
        </w:tc>
        <w:tc>
          <w:tcPr>
            <w:tcW w:w="1134" w:type="dxa"/>
            <w:shd w:val="clear" w:color="auto" w:fill="FFFFFF" w:themeFill="background1"/>
            <w:vAlign w:val="center"/>
          </w:tcPr>
          <w:p w14:paraId="6CA4868F" w14:textId="77777777" w:rsidR="00632E5B" w:rsidRDefault="00107901" w:rsidP="00A31A34">
            <w:pPr>
              <w:spacing w:line="276" w:lineRule="auto"/>
              <w:rPr>
                <w:rFonts w:ascii="宋体" w:eastAsia="宋体" w:hAnsi="宋体" w:cs="宋体" w:hint="eastAsia"/>
                <w:sz w:val="18"/>
                <w:szCs w:val="18"/>
              </w:rPr>
            </w:pPr>
            <w:r>
              <w:rPr>
                <w:rFonts w:ascii="宋体" w:eastAsia="宋体" w:hAnsi="宋体" w:cs="宋体"/>
                <w:sz w:val="18"/>
                <w:szCs w:val="18"/>
              </w:rPr>
              <w:t>营业成本</w:t>
            </w:r>
          </w:p>
        </w:tc>
        <w:tc>
          <w:tcPr>
            <w:tcW w:w="1701" w:type="dxa"/>
            <w:shd w:val="clear" w:color="auto" w:fill="FFFFFF" w:themeFill="background1"/>
            <w:vAlign w:val="center"/>
          </w:tcPr>
          <w:p w14:paraId="7ECB0EA9"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486,957,984.30</w:t>
            </w:r>
          </w:p>
        </w:tc>
        <w:tc>
          <w:tcPr>
            <w:tcW w:w="993" w:type="dxa"/>
            <w:shd w:val="clear" w:color="auto" w:fill="FFFFFF" w:themeFill="background1"/>
            <w:vAlign w:val="center"/>
          </w:tcPr>
          <w:p w14:paraId="4EFE6D31"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24.68%</w:t>
            </w:r>
          </w:p>
        </w:tc>
        <w:tc>
          <w:tcPr>
            <w:tcW w:w="1701" w:type="dxa"/>
            <w:shd w:val="clear" w:color="auto" w:fill="FFFFFF" w:themeFill="background1"/>
            <w:vAlign w:val="center"/>
          </w:tcPr>
          <w:p w14:paraId="11AFDE20"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427,395,779.84</w:t>
            </w:r>
          </w:p>
        </w:tc>
        <w:tc>
          <w:tcPr>
            <w:tcW w:w="992" w:type="dxa"/>
            <w:shd w:val="clear" w:color="auto" w:fill="FFFFFF" w:themeFill="background1"/>
            <w:vAlign w:val="center"/>
          </w:tcPr>
          <w:p w14:paraId="22E925A1"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12.18%</w:t>
            </w:r>
          </w:p>
        </w:tc>
        <w:tc>
          <w:tcPr>
            <w:tcW w:w="961" w:type="dxa"/>
            <w:shd w:val="clear" w:color="auto" w:fill="FFFFFF" w:themeFill="background1"/>
            <w:vAlign w:val="center"/>
          </w:tcPr>
          <w:p w14:paraId="65554736"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13.94%</w:t>
            </w:r>
          </w:p>
        </w:tc>
      </w:tr>
      <w:tr w:rsidR="00632E5B" w14:paraId="2C585F49" w14:textId="77777777" w:rsidTr="003D272E">
        <w:trPr>
          <w:trHeight w:val="240"/>
        </w:trPr>
        <w:tc>
          <w:tcPr>
            <w:tcW w:w="2157" w:type="dxa"/>
            <w:shd w:val="clear" w:color="auto" w:fill="FFFFFF" w:themeFill="background1"/>
            <w:vAlign w:val="center"/>
          </w:tcPr>
          <w:p w14:paraId="0D3B7688" w14:textId="77777777" w:rsidR="00632E5B" w:rsidRDefault="00107901" w:rsidP="00A31A34">
            <w:pPr>
              <w:spacing w:line="276" w:lineRule="auto"/>
              <w:rPr>
                <w:rFonts w:ascii="宋体" w:eastAsia="宋体" w:hAnsi="宋体" w:cs="宋体" w:hint="eastAsia"/>
                <w:sz w:val="18"/>
                <w:szCs w:val="18"/>
              </w:rPr>
            </w:pPr>
            <w:r>
              <w:rPr>
                <w:rFonts w:ascii="宋体" w:eastAsia="宋体" w:hAnsi="宋体" w:cs="宋体"/>
                <w:sz w:val="18"/>
                <w:szCs w:val="18"/>
              </w:rPr>
              <w:t>光纤及光棒</w:t>
            </w:r>
          </w:p>
        </w:tc>
        <w:tc>
          <w:tcPr>
            <w:tcW w:w="1134" w:type="dxa"/>
            <w:shd w:val="clear" w:color="auto" w:fill="FFFFFF" w:themeFill="background1"/>
            <w:vAlign w:val="center"/>
          </w:tcPr>
          <w:p w14:paraId="3D3EF282" w14:textId="77777777" w:rsidR="00632E5B" w:rsidRDefault="00107901" w:rsidP="00A31A34">
            <w:pPr>
              <w:spacing w:line="276" w:lineRule="auto"/>
              <w:rPr>
                <w:rFonts w:ascii="宋体" w:eastAsia="宋体" w:hAnsi="宋体" w:cs="宋体" w:hint="eastAsia"/>
                <w:sz w:val="18"/>
                <w:szCs w:val="18"/>
              </w:rPr>
            </w:pPr>
            <w:r>
              <w:rPr>
                <w:rFonts w:ascii="宋体" w:eastAsia="宋体" w:hAnsi="宋体" w:cs="宋体"/>
                <w:sz w:val="18"/>
                <w:szCs w:val="18"/>
              </w:rPr>
              <w:t>营业成本</w:t>
            </w:r>
          </w:p>
        </w:tc>
        <w:tc>
          <w:tcPr>
            <w:tcW w:w="1701" w:type="dxa"/>
            <w:shd w:val="clear" w:color="auto" w:fill="FFFFFF" w:themeFill="background1"/>
            <w:vAlign w:val="center"/>
          </w:tcPr>
          <w:p w14:paraId="32EA3A6C"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98,033,174.25</w:t>
            </w:r>
          </w:p>
        </w:tc>
        <w:tc>
          <w:tcPr>
            <w:tcW w:w="993" w:type="dxa"/>
            <w:shd w:val="clear" w:color="auto" w:fill="FFFFFF" w:themeFill="background1"/>
            <w:vAlign w:val="center"/>
          </w:tcPr>
          <w:p w14:paraId="5ED008DD"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4.97%</w:t>
            </w:r>
          </w:p>
        </w:tc>
        <w:tc>
          <w:tcPr>
            <w:tcW w:w="1701" w:type="dxa"/>
            <w:shd w:val="clear" w:color="auto" w:fill="FFFFFF" w:themeFill="background1"/>
            <w:vAlign w:val="center"/>
          </w:tcPr>
          <w:p w14:paraId="6DF0F8FF"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136,641,458.78</w:t>
            </w:r>
          </w:p>
        </w:tc>
        <w:tc>
          <w:tcPr>
            <w:tcW w:w="992" w:type="dxa"/>
            <w:shd w:val="clear" w:color="auto" w:fill="FFFFFF" w:themeFill="background1"/>
            <w:vAlign w:val="center"/>
          </w:tcPr>
          <w:p w14:paraId="508D525C"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3.89%</w:t>
            </w:r>
          </w:p>
        </w:tc>
        <w:tc>
          <w:tcPr>
            <w:tcW w:w="961" w:type="dxa"/>
            <w:shd w:val="clear" w:color="auto" w:fill="FFFFFF" w:themeFill="background1"/>
            <w:vAlign w:val="center"/>
          </w:tcPr>
          <w:p w14:paraId="589D79D9"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-28.26%</w:t>
            </w:r>
          </w:p>
        </w:tc>
      </w:tr>
      <w:tr w:rsidR="00632E5B" w14:paraId="09DC7DA2" w14:textId="77777777" w:rsidTr="003D272E">
        <w:trPr>
          <w:trHeight w:val="240"/>
        </w:trPr>
        <w:tc>
          <w:tcPr>
            <w:tcW w:w="2157" w:type="dxa"/>
            <w:shd w:val="clear" w:color="auto" w:fill="FFFFFF" w:themeFill="background1"/>
            <w:vAlign w:val="center"/>
          </w:tcPr>
          <w:p w14:paraId="554C4B1C" w14:textId="77777777" w:rsidR="00632E5B" w:rsidRDefault="00107901" w:rsidP="00A31A34">
            <w:pPr>
              <w:spacing w:line="276" w:lineRule="auto"/>
              <w:rPr>
                <w:rFonts w:ascii="宋体" w:eastAsia="宋体" w:hAnsi="宋体" w:cs="宋体" w:hint="eastAsia"/>
                <w:sz w:val="18"/>
                <w:szCs w:val="18"/>
              </w:rPr>
            </w:pPr>
            <w:r>
              <w:rPr>
                <w:rFonts w:ascii="宋体" w:eastAsia="宋体" w:hAnsi="宋体" w:cs="宋体"/>
                <w:sz w:val="18"/>
                <w:szCs w:val="18"/>
              </w:rPr>
              <w:t>光伏组件及电池片</w:t>
            </w:r>
          </w:p>
        </w:tc>
        <w:tc>
          <w:tcPr>
            <w:tcW w:w="1134" w:type="dxa"/>
            <w:shd w:val="clear" w:color="auto" w:fill="FFFFFF" w:themeFill="background1"/>
            <w:vAlign w:val="center"/>
          </w:tcPr>
          <w:p w14:paraId="6AEA57F9" w14:textId="77777777" w:rsidR="00632E5B" w:rsidRDefault="00107901" w:rsidP="00A31A34">
            <w:pPr>
              <w:spacing w:line="276" w:lineRule="auto"/>
              <w:rPr>
                <w:rFonts w:ascii="宋体" w:eastAsia="宋体" w:hAnsi="宋体" w:cs="宋体" w:hint="eastAsia"/>
                <w:sz w:val="18"/>
                <w:szCs w:val="18"/>
              </w:rPr>
            </w:pPr>
            <w:r>
              <w:rPr>
                <w:rFonts w:ascii="宋体" w:eastAsia="宋体" w:hAnsi="宋体" w:cs="宋体"/>
                <w:sz w:val="18"/>
                <w:szCs w:val="18"/>
              </w:rPr>
              <w:t>营业成本</w:t>
            </w:r>
          </w:p>
        </w:tc>
        <w:tc>
          <w:tcPr>
            <w:tcW w:w="1701" w:type="dxa"/>
            <w:shd w:val="clear" w:color="auto" w:fill="FFFFFF" w:themeFill="background1"/>
            <w:vAlign w:val="center"/>
          </w:tcPr>
          <w:p w14:paraId="3B3DCD64"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519,951,245.62</w:t>
            </w:r>
          </w:p>
        </w:tc>
        <w:tc>
          <w:tcPr>
            <w:tcW w:w="993" w:type="dxa"/>
            <w:shd w:val="clear" w:color="auto" w:fill="FFFFFF" w:themeFill="background1"/>
            <w:vAlign w:val="center"/>
          </w:tcPr>
          <w:p w14:paraId="4CFD3863"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26.35%</w:t>
            </w:r>
          </w:p>
        </w:tc>
        <w:tc>
          <w:tcPr>
            <w:tcW w:w="1701" w:type="dxa"/>
            <w:shd w:val="clear" w:color="auto" w:fill="FFFFFF" w:themeFill="background1"/>
            <w:vAlign w:val="center"/>
          </w:tcPr>
          <w:p w14:paraId="29691D9C"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1,690,251,685.18</w:t>
            </w:r>
          </w:p>
        </w:tc>
        <w:tc>
          <w:tcPr>
            <w:tcW w:w="992" w:type="dxa"/>
            <w:shd w:val="clear" w:color="auto" w:fill="FFFFFF" w:themeFill="background1"/>
            <w:vAlign w:val="center"/>
          </w:tcPr>
          <w:p w14:paraId="40A1B5E0"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48.18%</w:t>
            </w:r>
          </w:p>
        </w:tc>
        <w:tc>
          <w:tcPr>
            <w:tcW w:w="961" w:type="dxa"/>
            <w:shd w:val="clear" w:color="auto" w:fill="FFFFFF" w:themeFill="background1"/>
            <w:vAlign w:val="center"/>
          </w:tcPr>
          <w:p w14:paraId="16CB21CD"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-69.24%</w:t>
            </w:r>
          </w:p>
        </w:tc>
      </w:tr>
      <w:tr w:rsidR="00632E5B" w14:paraId="103ED05C" w14:textId="77777777" w:rsidTr="003D272E">
        <w:trPr>
          <w:trHeight w:val="240"/>
        </w:trPr>
        <w:tc>
          <w:tcPr>
            <w:tcW w:w="2157" w:type="dxa"/>
            <w:shd w:val="clear" w:color="auto" w:fill="FFFFFF" w:themeFill="background1"/>
            <w:vAlign w:val="center"/>
          </w:tcPr>
          <w:p w14:paraId="6ACC6041" w14:textId="77777777" w:rsidR="00632E5B" w:rsidRDefault="00107901" w:rsidP="00A31A34">
            <w:pPr>
              <w:spacing w:line="276" w:lineRule="auto"/>
              <w:rPr>
                <w:rFonts w:ascii="宋体" w:eastAsia="宋体" w:hAnsi="宋体" w:cs="宋体" w:hint="eastAsia"/>
                <w:sz w:val="18"/>
                <w:szCs w:val="18"/>
              </w:rPr>
            </w:pPr>
            <w:r>
              <w:rPr>
                <w:rFonts w:ascii="宋体" w:eastAsia="宋体" w:hAnsi="宋体" w:cs="宋体"/>
                <w:sz w:val="18"/>
                <w:szCs w:val="18"/>
              </w:rPr>
              <w:t>光伏电站</w:t>
            </w:r>
          </w:p>
        </w:tc>
        <w:tc>
          <w:tcPr>
            <w:tcW w:w="1134" w:type="dxa"/>
            <w:shd w:val="clear" w:color="auto" w:fill="FFFFFF" w:themeFill="background1"/>
            <w:vAlign w:val="center"/>
          </w:tcPr>
          <w:p w14:paraId="3D95847E" w14:textId="77777777" w:rsidR="00632E5B" w:rsidRDefault="00107901" w:rsidP="00A31A34">
            <w:pPr>
              <w:spacing w:line="276" w:lineRule="auto"/>
              <w:rPr>
                <w:rFonts w:ascii="宋体" w:eastAsia="宋体" w:hAnsi="宋体" w:cs="宋体" w:hint="eastAsia"/>
                <w:sz w:val="18"/>
                <w:szCs w:val="18"/>
              </w:rPr>
            </w:pPr>
            <w:r>
              <w:rPr>
                <w:rFonts w:ascii="宋体" w:eastAsia="宋体" w:hAnsi="宋体" w:cs="宋体"/>
                <w:sz w:val="18"/>
                <w:szCs w:val="18"/>
              </w:rPr>
              <w:t>营业成本</w:t>
            </w:r>
          </w:p>
        </w:tc>
        <w:tc>
          <w:tcPr>
            <w:tcW w:w="1701" w:type="dxa"/>
            <w:shd w:val="clear" w:color="auto" w:fill="FFFFFF" w:themeFill="background1"/>
            <w:vAlign w:val="center"/>
          </w:tcPr>
          <w:p w14:paraId="2C089863"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14,454,760.82</w:t>
            </w:r>
          </w:p>
        </w:tc>
        <w:tc>
          <w:tcPr>
            <w:tcW w:w="993" w:type="dxa"/>
            <w:shd w:val="clear" w:color="auto" w:fill="FFFFFF" w:themeFill="background1"/>
            <w:vAlign w:val="center"/>
          </w:tcPr>
          <w:p w14:paraId="60CAD3CC"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0.73%</w:t>
            </w:r>
          </w:p>
        </w:tc>
        <w:tc>
          <w:tcPr>
            <w:tcW w:w="1701" w:type="dxa"/>
            <w:shd w:val="clear" w:color="auto" w:fill="FFFFFF" w:themeFill="background1"/>
            <w:vAlign w:val="center"/>
          </w:tcPr>
          <w:p w14:paraId="602C1E09"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17,445,516.64</w:t>
            </w:r>
          </w:p>
        </w:tc>
        <w:tc>
          <w:tcPr>
            <w:tcW w:w="992" w:type="dxa"/>
            <w:shd w:val="clear" w:color="auto" w:fill="FFFFFF" w:themeFill="background1"/>
            <w:vAlign w:val="center"/>
          </w:tcPr>
          <w:p w14:paraId="178932D0"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0.50%</w:t>
            </w:r>
          </w:p>
        </w:tc>
        <w:tc>
          <w:tcPr>
            <w:tcW w:w="961" w:type="dxa"/>
            <w:shd w:val="clear" w:color="auto" w:fill="FFFFFF" w:themeFill="background1"/>
            <w:vAlign w:val="center"/>
          </w:tcPr>
          <w:p w14:paraId="056F0C7D"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-17.14%</w:t>
            </w:r>
          </w:p>
        </w:tc>
      </w:tr>
      <w:tr w:rsidR="00632E5B" w14:paraId="19206C6E" w14:textId="77777777" w:rsidTr="003D272E">
        <w:trPr>
          <w:trHeight w:val="240"/>
        </w:trPr>
        <w:tc>
          <w:tcPr>
            <w:tcW w:w="2157" w:type="dxa"/>
            <w:shd w:val="clear" w:color="auto" w:fill="FFFFFF" w:themeFill="background1"/>
            <w:vAlign w:val="center"/>
          </w:tcPr>
          <w:p w14:paraId="54CC0EB2" w14:textId="77777777" w:rsidR="00632E5B" w:rsidRDefault="00107901" w:rsidP="00A31A34">
            <w:pPr>
              <w:spacing w:line="276" w:lineRule="auto"/>
              <w:rPr>
                <w:rFonts w:ascii="宋体" w:eastAsia="宋体" w:hAnsi="宋体" w:cs="宋体" w:hint="eastAsia"/>
                <w:sz w:val="18"/>
                <w:szCs w:val="18"/>
              </w:rPr>
            </w:pPr>
            <w:r>
              <w:rPr>
                <w:rFonts w:ascii="宋体" w:eastAsia="宋体" w:hAnsi="宋体" w:cs="宋体"/>
                <w:sz w:val="18"/>
                <w:szCs w:val="18"/>
              </w:rPr>
              <w:t>光伏发电</w:t>
            </w:r>
          </w:p>
        </w:tc>
        <w:tc>
          <w:tcPr>
            <w:tcW w:w="1134" w:type="dxa"/>
            <w:shd w:val="clear" w:color="auto" w:fill="FFFFFF" w:themeFill="background1"/>
            <w:vAlign w:val="center"/>
          </w:tcPr>
          <w:p w14:paraId="335CA220" w14:textId="77777777" w:rsidR="00632E5B" w:rsidRDefault="00107901" w:rsidP="00A31A34">
            <w:pPr>
              <w:spacing w:line="276" w:lineRule="auto"/>
              <w:rPr>
                <w:rFonts w:ascii="宋体" w:eastAsia="宋体" w:hAnsi="宋体" w:cs="宋体" w:hint="eastAsia"/>
                <w:sz w:val="18"/>
                <w:szCs w:val="18"/>
              </w:rPr>
            </w:pPr>
            <w:r>
              <w:rPr>
                <w:rFonts w:ascii="宋体" w:eastAsia="宋体" w:hAnsi="宋体" w:cs="宋体"/>
                <w:sz w:val="18"/>
                <w:szCs w:val="18"/>
              </w:rPr>
              <w:t>营业成本</w:t>
            </w:r>
          </w:p>
        </w:tc>
        <w:tc>
          <w:tcPr>
            <w:tcW w:w="1701" w:type="dxa"/>
            <w:shd w:val="clear" w:color="auto" w:fill="FFFFFF" w:themeFill="background1"/>
            <w:vAlign w:val="center"/>
          </w:tcPr>
          <w:p w14:paraId="03C468D7"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19,957,209.96</w:t>
            </w:r>
          </w:p>
        </w:tc>
        <w:tc>
          <w:tcPr>
            <w:tcW w:w="993" w:type="dxa"/>
            <w:shd w:val="clear" w:color="auto" w:fill="FFFFFF" w:themeFill="background1"/>
            <w:vAlign w:val="center"/>
          </w:tcPr>
          <w:p w14:paraId="20F6B0F6"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1.01%</w:t>
            </w:r>
          </w:p>
        </w:tc>
        <w:tc>
          <w:tcPr>
            <w:tcW w:w="1701" w:type="dxa"/>
            <w:shd w:val="clear" w:color="auto" w:fill="FFFFFF" w:themeFill="background1"/>
            <w:vAlign w:val="center"/>
          </w:tcPr>
          <w:p w14:paraId="32EF9154"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27,681,823.43</w:t>
            </w:r>
          </w:p>
        </w:tc>
        <w:tc>
          <w:tcPr>
            <w:tcW w:w="992" w:type="dxa"/>
            <w:shd w:val="clear" w:color="auto" w:fill="FFFFFF" w:themeFill="background1"/>
            <w:vAlign w:val="center"/>
          </w:tcPr>
          <w:p w14:paraId="2BA713B1"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0.79%</w:t>
            </w:r>
          </w:p>
        </w:tc>
        <w:tc>
          <w:tcPr>
            <w:tcW w:w="961" w:type="dxa"/>
            <w:shd w:val="clear" w:color="auto" w:fill="FFFFFF" w:themeFill="background1"/>
            <w:vAlign w:val="center"/>
          </w:tcPr>
          <w:p w14:paraId="43AB2E6A"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-27.91%</w:t>
            </w:r>
          </w:p>
        </w:tc>
      </w:tr>
      <w:tr w:rsidR="00632E5B" w14:paraId="0D7D2622" w14:textId="77777777" w:rsidTr="003D272E">
        <w:trPr>
          <w:trHeight w:val="240"/>
        </w:trPr>
        <w:tc>
          <w:tcPr>
            <w:tcW w:w="2157" w:type="dxa"/>
            <w:shd w:val="clear" w:color="auto" w:fill="FFFFFF" w:themeFill="background1"/>
            <w:vAlign w:val="center"/>
          </w:tcPr>
          <w:p w14:paraId="0BEC7C39" w14:textId="77777777" w:rsidR="00632E5B" w:rsidRDefault="00107901" w:rsidP="00A31A34">
            <w:pPr>
              <w:spacing w:line="276" w:lineRule="auto"/>
              <w:rPr>
                <w:rFonts w:ascii="宋体" w:eastAsia="宋体" w:hAnsi="宋体" w:cs="宋体" w:hint="eastAsia"/>
                <w:sz w:val="18"/>
                <w:szCs w:val="18"/>
              </w:rPr>
            </w:pPr>
            <w:r>
              <w:rPr>
                <w:rFonts w:ascii="宋体" w:eastAsia="宋体" w:hAnsi="宋体" w:cs="宋体"/>
                <w:sz w:val="18"/>
                <w:szCs w:val="18"/>
              </w:rPr>
              <w:t>电站运营维护及其他</w:t>
            </w:r>
          </w:p>
        </w:tc>
        <w:tc>
          <w:tcPr>
            <w:tcW w:w="1134" w:type="dxa"/>
            <w:shd w:val="clear" w:color="auto" w:fill="FFFFFF" w:themeFill="background1"/>
            <w:vAlign w:val="center"/>
          </w:tcPr>
          <w:p w14:paraId="0A665C65" w14:textId="77777777" w:rsidR="00632E5B" w:rsidRDefault="00107901" w:rsidP="00A31A34">
            <w:pPr>
              <w:spacing w:line="276" w:lineRule="auto"/>
              <w:rPr>
                <w:rFonts w:ascii="宋体" w:eastAsia="宋体" w:hAnsi="宋体" w:cs="宋体" w:hint="eastAsia"/>
                <w:sz w:val="18"/>
                <w:szCs w:val="18"/>
              </w:rPr>
            </w:pPr>
            <w:r>
              <w:rPr>
                <w:rFonts w:ascii="宋体" w:eastAsia="宋体" w:hAnsi="宋体" w:cs="宋体"/>
                <w:sz w:val="18"/>
                <w:szCs w:val="18"/>
              </w:rPr>
              <w:t>营业成本</w:t>
            </w:r>
          </w:p>
        </w:tc>
        <w:tc>
          <w:tcPr>
            <w:tcW w:w="1701" w:type="dxa"/>
            <w:shd w:val="clear" w:color="auto" w:fill="FFFFFF" w:themeFill="background1"/>
            <w:vAlign w:val="center"/>
          </w:tcPr>
          <w:p w14:paraId="13F33F53"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15,718,938.62</w:t>
            </w:r>
          </w:p>
        </w:tc>
        <w:tc>
          <w:tcPr>
            <w:tcW w:w="993" w:type="dxa"/>
            <w:shd w:val="clear" w:color="auto" w:fill="FFFFFF" w:themeFill="background1"/>
            <w:vAlign w:val="center"/>
          </w:tcPr>
          <w:p w14:paraId="75D10234"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0.80%</w:t>
            </w:r>
          </w:p>
        </w:tc>
        <w:tc>
          <w:tcPr>
            <w:tcW w:w="1701" w:type="dxa"/>
            <w:shd w:val="clear" w:color="auto" w:fill="FFFFFF" w:themeFill="background1"/>
            <w:vAlign w:val="center"/>
          </w:tcPr>
          <w:p w14:paraId="6E4E87CA"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22,839,178.56</w:t>
            </w:r>
          </w:p>
        </w:tc>
        <w:tc>
          <w:tcPr>
            <w:tcW w:w="992" w:type="dxa"/>
            <w:shd w:val="clear" w:color="auto" w:fill="FFFFFF" w:themeFill="background1"/>
            <w:vAlign w:val="center"/>
          </w:tcPr>
          <w:p w14:paraId="55BC36CF"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0.65%</w:t>
            </w:r>
          </w:p>
        </w:tc>
        <w:tc>
          <w:tcPr>
            <w:tcW w:w="961" w:type="dxa"/>
            <w:shd w:val="clear" w:color="auto" w:fill="FFFFFF" w:themeFill="background1"/>
            <w:vAlign w:val="center"/>
          </w:tcPr>
          <w:p w14:paraId="308F88BA"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-31.18%</w:t>
            </w:r>
          </w:p>
        </w:tc>
      </w:tr>
      <w:tr w:rsidR="00632E5B" w14:paraId="57EEA3F6" w14:textId="77777777" w:rsidTr="003D272E">
        <w:trPr>
          <w:trHeight w:val="240"/>
        </w:trPr>
        <w:tc>
          <w:tcPr>
            <w:tcW w:w="2157" w:type="dxa"/>
            <w:shd w:val="clear" w:color="auto" w:fill="FFFFFF" w:themeFill="background1"/>
            <w:vAlign w:val="center"/>
          </w:tcPr>
          <w:p w14:paraId="152CA2AC" w14:textId="77777777" w:rsidR="00632E5B" w:rsidRDefault="00107901" w:rsidP="00A31A34">
            <w:pPr>
              <w:spacing w:line="276" w:lineRule="auto"/>
              <w:rPr>
                <w:rFonts w:ascii="宋体" w:eastAsia="宋体" w:hAnsi="宋体" w:cs="宋体" w:hint="eastAsia"/>
                <w:sz w:val="18"/>
                <w:szCs w:val="18"/>
              </w:rPr>
            </w:pPr>
            <w:r>
              <w:rPr>
                <w:rFonts w:ascii="宋体" w:eastAsia="宋体" w:hAnsi="宋体" w:cs="宋体"/>
                <w:sz w:val="18"/>
                <w:szCs w:val="18"/>
              </w:rPr>
              <w:t>材料及租金</w:t>
            </w:r>
          </w:p>
        </w:tc>
        <w:tc>
          <w:tcPr>
            <w:tcW w:w="1134" w:type="dxa"/>
            <w:shd w:val="clear" w:color="auto" w:fill="FFFFFF" w:themeFill="background1"/>
            <w:vAlign w:val="center"/>
          </w:tcPr>
          <w:p w14:paraId="6C695C6D" w14:textId="77777777" w:rsidR="00632E5B" w:rsidRDefault="00107901" w:rsidP="00A31A34">
            <w:pPr>
              <w:spacing w:line="276" w:lineRule="auto"/>
              <w:rPr>
                <w:rFonts w:ascii="宋体" w:eastAsia="宋体" w:hAnsi="宋体" w:cs="宋体" w:hint="eastAsia"/>
                <w:sz w:val="18"/>
                <w:szCs w:val="18"/>
              </w:rPr>
            </w:pPr>
            <w:r>
              <w:rPr>
                <w:rFonts w:ascii="宋体" w:eastAsia="宋体" w:hAnsi="宋体" w:cs="宋体"/>
                <w:sz w:val="18"/>
                <w:szCs w:val="18"/>
              </w:rPr>
              <w:t>营业成本</w:t>
            </w:r>
          </w:p>
        </w:tc>
        <w:tc>
          <w:tcPr>
            <w:tcW w:w="1701" w:type="dxa"/>
            <w:shd w:val="clear" w:color="auto" w:fill="FFFFFF" w:themeFill="background1"/>
            <w:vAlign w:val="center"/>
          </w:tcPr>
          <w:p w14:paraId="210BA76D"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7,372,742.75</w:t>
            </w:r>
          </w:p>
        </w:tc>
        <w:tc>
          <w:tcPr>
            <w:tcW w:w="993" w:type="dxa"/>
            <w:shd w:val="clear" w:color="auto" w:fill="FFFFFF" w:themeFill="background1"/>
            <w:vAlign w:val="center"/>
          </w:tcPr>
          <w:p w14:paraId="5722D4BE"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0.37%</w:t>
            </w:r>
          </w:p>
        </w:tc>
        <w:tc>
          <w:tcPr>
            <w:tcW w:w="1701" w:type="dxa"/>
            <w:shd w:val="clear" w:color="auto" w:fill="FFFFFF" w:themeFill="background1"/>
            <w:vAlign w:val="center"/>
          </w:tcPr>
          <w:p w14:paraId="6E485630"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28,925,591.61</w:t>
            </w:r>
          </w:p>
        </w:tc>
        <w:tc>
          <w:tcPr>
            <w:tcW w:w="992" w:type="dxa"/>
            <w:shd w:val="clear" w:color="auto" w:fill="FFFFFF" w:themeFill="background1"/>
            <w:vAlign w:val="center"/>
          </w:tcPr>
          <w:p w14:paraId="681F4F1E"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0.82%</w:t>
            </w:r>
          </w:p>
        </w:tc>
        <w:tc>
          <w:tcPr>
            <w:tcW w:w="961" w:type="dxa"/>
            <w:shd w:val="clear" w:color="auto" w:fill="FFFFFF" w:themeFill="background1"/>
            <w:vAlign w:val="center"/>
          </w:tcPr>
          <w:p w14:paraId="142B3075" w14:textId="77777777" w:rsidR="00632E5B" w:rsidRDefault="00107901" w:rsidP="00A31A34">
            <w:pPr>
              <w:spacing w:line="276" w:lineRule="auto"/>
              <w:jc w:val="right"/>
              <w:rPr>
                <w:rFonts w:ascii="宋体" w:eastAsia="宋体" w:hAnsi="宋体" w:cs="宋体" w:hint="eastAsia"/>
                <w:sz w:val="18"/>
                <w:szCs w:val="18"/>
              </w:rPr>
            </w:pPr>
            <w:r>
              <w:rPr>
                <w:rFonts w:ascii="宋体" w:eastAsia="宋体" w:hAnsi="宋体" w:cs="宋体"/>
                <w:sz w:val="18"/>
                <w:szCs w:val="18"/>
              </w:rPr>
              <w:t>-74.51%</w:t>
            </w:r>
          </w:p>
        </w:tc>
      </w:tr>
    </w:tbl>
    <w:p w14:paraId="6CB961BA" w14:textId="693F895B" w:rsidR="003D272E"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说明</w:t>
      </w:r>
    </w:p>
    <w:tbl>
      <w:tblPr>
        <w:tblW w:w="89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449"/>
        <w:gridCol w:w="1985"/>
        <w:gridCol w:w="2133"/>
        <w:gridCol w:w="1245"/>
        <w:gridCol w:w="2133"/>
      </w:tblGrid>
      <w:tr w:rsidR="00FC4A55" w14:paraId="273E3EB0" w14:textId="77777777" w:rsidTr="00B56D36">
        <w:trPr>
          <w:trHeight w:val="424"/>
        </w:trPr>
        <w:tc>
          <w:tcPr>
            <w:tcW w:w="1449" w:type="dxa"/>
            <w:shd w:val="clear" w:color="auto" w:fill="FFFFFF" w:themeFill="background1"/>
            <w:vAlign w:val="center"/>
          </w:tcPr>
          <w:p w14:paraId="5EE98341" w14:textId="39CEA727"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cs="宋体" w:hint="eastAsia"/>
                <w:sz w:val="18"/>
                <w:szCs w:val="18"/>
              </w:rPr>
              <w:t>年份</w:t>
            </w:r>
          </w:p>
        </w:tc>
        <w:tc>
          <w:tcPr>
            <w:tcW w:w="1985" w:type="dxa"/>
            <w:shd w:val="clear" w:color="auto" w:fill="FFFFFF" w:themeFill="background1"/>
            <w:vAlign w:val="center"/>
          </w:tcPr>
          <w:p w14:paraId="3F5D454E" w14:textId="47EF49C0"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cs="宋体" w:hint="eastAsia"/>
                <w:sz w:val="18"/>
                <w:szCs w:val="18"/>
              </w:rPr>
              <w:t>项目</w:t>
            </w:r>
          </w:p>
        </w:tc>
        <w:tc>
          <w:tcPr>
            <w:tcW w:w="2133" w:type="dxa"/>
            <w:shd w:val="clear" w:color="auto" w:fill="FFFFFF" w:themeFill="background1"/>
            <w:vAlign w:val="center"/>
          </w:tcPr>
          <w:p w14:paraId="7838A25D" w14:textId="41ED28A3"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cs="宋体" w:hint="eastAsia"/>
                <w:sz w:val="18"/>
                <w:szCs w:val="18"/>
              </w:rPr>
              <w:t>原材料</w:t>
            </w:r>
          </w:p>
        </w:tc>
        <w:tc>
          <w:tcPr>
            <w:tcW w:w="1245" w:type="dxa"/>
            <w:shd w:val="clear" w:color="auto" w:fill="FFFFFF" w:themeFill="background1"/>
            <w:vAlign w:val="center"/>
          </w:tcPr>
          <w:p w14:paraId="2FB9D29B" w14:textId="423CBF8B"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cs="宋体" w:hint="eastAsia"/>
                <w:sz w:val="18"/>
                <w:szCs w:val="18"/>
              </w:rPr>
              <w:t>水电等能源</w:t>
            </w:r>
          </w:p>
        </w:tc>
        <w:tc>
          <w:tcPr>
            <w:tcW w:w="2133" w:type="dxa"/>
            <w:shd w:val="clear" w:color="auto" w:fill="FFFFFF" w:themeFill="background1"/>
            <w:vAlign w:val="center"/>
          </w:tcPr>
          <w:p w14:paraId="06D151DD" w14:textId="2F8D1888"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cs="宋体" w:hint="eastAsia"/>
                <w:sz w:val="18"/>
                <w:szCs w:val="18"/>
              </w:rPr>
              <w:t>其他费用</w:t>
            </w:r>
          </w:p>
        </w:tc>
      </w:tr>
      <w:tr w:rsidR="00FC4A55" w14:paraId="181FD923" w14:textId="77777777" w:rsidTr="00FC4A55">
        <w:trPr>
          <w:trHeight w:val="240"/>
        </w:trPr>
        <w:tc>
          <w:tcPr>
            <w:tcW w:w="1449" w:type="dxa"/>
            <w:vMerge w:val="restart"/>
            <w:shd w:val="clear" w:color="auto" w:fill="FFFFFF" w:themeFill="background1"/>
            <w:vAlign w:val="center"/>
          </w:tcPr>
          <w:p w14:paraId="19F7B0A5" w14:textId="3A0A041A" w:rsidR="00FC4A55" w:rsidRDefault="00FC4A55" w:rsidP="00FC4A55">
            <w:pPr>
              <w:spacing w:line="276" w:lineRule="auto"/>
              <w:rPr>
                <w:rFonts w:ascii="宋体" w:eastAsia="宋体" w:hAnsi="宋体" w:cs="宋体" w:hint="eastAsia"/>
                <w:sz w:val="18"/>
                <w:szCs w:val="18"/>
              </w:rPr>
            </w:pPr>
            <w:r w:rsidRPr="00A31A34">
              <w:rPr>
                <w:rFonts w:ascii="宋体" w:eastAsia="宋体" w:hAnsi="宋体" w:hint="eastAsia"/>
                <w:color w:val="000000"/>
                <w:sz w:val="18"/>
                <w:szCs w:val="18"/>
              </w:rPr>
              <w:t>2024年</w:t>
            </w:r>
          </w:p>
        </w:tc>
        <w:tc>
          <w:tcPr>
            <w:tcW w:w="1985" w:type="dxa"/>
            <w:shd w:val="clear" w:color="auto" w:fill="FFFFFF" w:themeFill="background1"/>
            <w:vAlign w:val="center"/>
          </w:tcPr>
          <w:p w14:paraId="4E406117" w14:textId="3BB280F2" w:rsidR="00FC4A55" w:rsidRDefault="00FC4A55" w:rsidP="00FC4A55">
            <w:pPr>
              <w:spacing w:line="276" w:lineRule="auto"/>
              <w:rPr>
                <w:rFonts w:ascii="宋体" w:eastAsia="宋体" w:hAnsi="宋体" w:cs="宋体" w:hint="eastAsia"/>
                <w:sz w:val="18"/>
                <w:szCs w:val="18"/>
              </w:rPr>
            </w:pPr>
            <w:r w:rsidRPr="00A31A34">
              <w:rPr>
                <w:rFonts w:ascii="宋体" w:eastAsia="宋体" w:hAnsi="宋体" w:hint="eastAsia"/>
                <w:color w:val="000000"/>
                <w:sz w:val="18"/>
                <w:szCs w:val="18"/>
              </w:rPr>
              <w:t>阻燃耐火软电缆</w:t>
            </w:r>
          </w:p>
        </w:tc>
        <w:tc>
          <w:tcPr>
            <w:tcW w:w="2133" w:type="dxa"/>
            <w:shd w:val="clear" w:color="auto" w:fill="FFFFFF" w:themeFill="background1"/>
            <w:vAlign w:val="center"/>
          </w:tcPr>
          <w:p w14:paraId="16D97D35" w14:textId="4A09863A"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hint="eastAsia"/>
                <w:color w:val="000000"/>
                <w:sz w:val="18"/>
                <w:szCs w:val="18"/>
              </w:rPr>
              <w:t>83.45%</w:t>
            </w:r>
          </w:p>
        </w:tc>
        <w:tc>
          <w:tcPr>
            <w:tcW w:w="1245" w:type="dxa"/>
            <w:shd w:val="clear" w:color="auto" w:fill="FFFFFF" w:themeFill="background1"/>
            <w:vAlign w:val="center"/>
          </w:tcPr>
          <w:p w14:paraId="30A52988" w14:textId="6A6F2F64"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hint="eastAsia"/>
                <w:color w:val="000000"/>
                <w:sz w:val="18"/>
                <w:szCs w:val="18"/>
              </w:rPr>
              <w:t>1.09%</w:t>
            </w:r>
          </w:p>
        </w:tc>
        <w:tc>
          <w:tcPr>
            <w:tcW w:w="2133" w:type="dxa"/>
            <w:shd w:val="clear" w:color="auto" w:fill="FFFFFF" w:themeFill="background1"/>
            <w:vAlign w:val="center"/>
          </w:tcPr>
          <w:p w14:paraId="4B3700A0" w14:textId="467A04BE"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sz w:val="18"/>
                <w:szCs w:val="18"/>
              </w:rPr>
              <w:t>15.47%</w:t>
            </w:r>
          </w:p>
        </w:tc>
      </w:tr>
      <w:tr w:rsidR="00FC4A55" w14:paraId="15A66227" w14:textId="77777777" w:rsidTr="00FC4A55">
        <w:trPr>
          <w:trHeight w:val="240"/>
        </w:trPr>
        <w:tc>
          <w:tcPr>
            <w:tcW w:w="1449" w:type="dxa"/>
            <w:vMerge/>
            <w:shd w:val="clear" w:color="auto" w:fill="FFFFFF" w:themeFill="background1"/>
            <w:vAlign w:val="center"/>
          </w:tcPr>
          <w:p w14:paraId="3EFA335E" w14:textId="77777777" w:rsidR="00FC4A55" w:rsidRDefault="00FC4A55" w:rsidP="00FC4A55">
            <w:pPr>
              <w:spacing w:line="276" w:lineRule="auto"/>
              <w:rPr>
                <w:rFonts w:ascii="宋体" w:eastAsia="宋体" w:hAnsi="宋体" w:cs="宋体" w:hint="eastAsia"/>
                <w:sz w:val="18"/>
                <w:szCs w:val="18"/>
              </w:rPr>
            </w:pPr>
          </w:p>
        </w:tc>
        <w:tc>
          <w:tcPr>
            <w:tcW w:w="1985" w:type="dxa"/>
            <w:shd w:val="clear" w:color="auto" w:fill="FFFFFF" w:themeFill="background1"/>
            <w:vAlign w:val="center"/>
          </w:tcPr>
          <w:p w14:paraId="1F916A2D" w14:textId="5214B8B3" w:rsidR="00FC4A55" w:rsidRDefault="00FC4A55" w:rsidP="00FC4A55">
            <w:pPr>
              <w:spacing w:line="276" w:lineRule="auto"/>
              <w:rPr>
                <w:rFonts w:ascii="宋体" w:eastAsia="宋体" w:hAnsi="宋体" w:cs="宋体" w:hint="eastAsia"/>
                <w:sz w:val="18"/>
                <w:szCs w:val="18"/>
              </w:rPr>
            </w:pPr>
            <w:r w:rsidRPr="00A31A34">
              <w:rPr>
                <w:rFonts w:ascii="宋体" w:eastAsia="宋体" w:hAnsi="宋体" w:hint="eastAsia"/>
                <w:color w:val="000000"/>
                <w:sz w:val="18"/>
                <w:szCs w:val="18"/>
              </w:rPr>
              <w:t>铜导体</w:t>
            </w:r>
          </w:p>
        </w:tc>
        <w:tc>
          <w:tcPr>
            <w:tcW w:w="2133" w:type="dxa"/>
            <w:shd w:val="clear" w:color="auto" w:fill="FFFFFF" w:themeFill="background1"/>
            <w:vAlign w:val="center"/>
          </w:tcPr>
          <w:p w14:paraId="28A30FB3" w14:textId="7FFE9665"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hint="eastAsia"/>
                <w:color w:val="000000"/>
                <w:sz w:val="18"/>
                <w:szCs w:val="18"/>
              </w:rPr>
              <w:t>87.70%</w:t>
            </w:r>
          </w:p>
        </w:tc>
        <w:tc>
          <w:tcPr>
            <w:tcW w:w="1245" w:type="dxa"/>
            <w:shd w:val="clear" w:color="auto" w:fill="FFFFFF" w:themeFill="background1"/>
            <w:vAlign w:val="center"/>
          </w:tcPr>
          <w:p w14:paraId="129E0738" w14:textId="64DCAC0E"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hint="eastAsia"/>
                <w:color w:val="000000"/>
                <w:sz w:val="18"/>
                <w:szCs w:val="18"/>
              </w:rPr>
              <w:t>2.03%</w:t>
            </w:r>
          </w:p>
        </w:tc>
        <w:tc>
          <w:tcPr>
            <w:tcW w:w="2133" w:type="dxa"/>
            <w:shd w:val="clear" w:color="auto" w:fill="FFFFFF" w:themeFill="background1"/>
            <w:vAlign w:val="center"/>
          </w:tcPr>
          <w:p w14:paraId="5387A3DE" w14:textId="00C18F99"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sz w:val="18"/>
                <w:szCs w:val="18"/>
              </w:rPr>
              <w:t>10.27%</w:t>
            </w:r>
          </w:p>
        </w:tc>
      </w:tr>
      <w:tr w:rsidR="00FC4A55" w14:paraId="54553897" w14:textId="77777777" w:rsidTr="00FC4A55">
        <w:trPr>
          <w:trHeight w:val="240"/>
        </w:trPr>
        <w:tc>
          <w:tcPr>
            <w:tcW w:w="1449" w:type="dxa"/>
            <w:vMerge/>
            <w:shd w:val="clear" w:color="auto" w:fill="FFFFFF" w:themeFill="background1"/>
            <w:vAlign w:val="center"/>
          </w:tcPr>
          <w:p w14:paraId="53A074C6" w14:textId="77777777" w:rsidR="00FC4A55" w:rsidRDefault="00FC4A55" w:rsidP="00FC4A55">
            <w:pPr>
              <w:spacing w:line="276" w:lineRule="auto"/>
              <w:rPr>
                <w:rFonts w:ascii="宋体" w:eastAsia="宋体" w:hAnsi="宋体" w:cs="宋体" w:hint="eastAsia"/>
                <w:sz w:val="18"/>
                <w:szCs w:val="18"/>
              </w:rPr>
            </w:pPr>
          </w:p>
        </w:tc>
        <w:tc>
          <w:tcPr>
            <w:tcW w:w="1985" w:type="dxa"/>
            <w:shd w:val="clear" w:color="auto" w:fill="FFFFFF" w:themeFill="background1"/>
            <w:vAlign w:val="center"/>
          </w:tcPr>
          <w:p w14:paraId="4DACB1B6" w14:textId="1CAE9363" w:rsidR="00FC4A55" w:rsidRDefault="00FC4A55" w:rsidP="00FC4A55">
            <w:pPr>
              <w:spacing w:line="276" w:lineRule="auto"/>
              <w:rPr>
                <w:rFonts w:ascii="宋体" w:eastAsia="宋体" w:hAnsi="宋体" w:cs="宋体" w:hint="eastAsia"/>
                <w:sz w:val="18"/>
                <w:szCs w:val="18"/>
              </w:rPr>
            </w:pPr>
            <w:r w:rsidRPr="00A31A34">
              <w:rPr>
                <w:rFonts w:ascii="宋体" w:eastAsia="宋体" w:hAnsi="宋体" w:hint="eastAsia"/>
                <w:color w:val="000000"/>
                <w:sz w:val="18"/>
                <w:szCs w:val="18"/>
              </w:rPr>
              <w:t>电缆料</w:t>
            </w:r>
          </w:p>
        </w:tc>
        <w:tc>
          <w:tcPr>
            <w:tcW w:w="2133" w:type="dxa"/>
            <w:shd w:val="clear" w:color="auto" w:fill="FFFFFF" w:themeFill="background1"/>
            <w:vAlign w:val="center"/>
          </w:tcPr>
          <w:p w14:paraId="752A6E87" w14:textId="7058F649"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hint="eastAsia"/>
                <w:color w:val="000000"/>
                <w:sz w:val="18"/>
                <w:szCs w:val="18"/>
              </w:rPr>
              <w:t>87.08%</w:t>
            </w:r>
          </w:p>
        </w:tc>
        <w:tc>
          <w:tcPr>
            <w:tcW w:w="1245" w:type="dxa"/>
            <w:shd w:val="clear" w:color="auto" w:fill="FFFFFF" w:themeFill="background1"/>
            <w:vAlign w:val="center"/>
          </w:tcPr>
          <w:p w14:paraId="77DF21F5" w14:textId="1FED3224"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hint="eastAsia"/>
                <w:color w:val="000000"/>
                <w:sz w:val="18"/>
                <w:szCs w:val="18"/>
              </w:rPr>
              <w:t>2.55%</w:t>
            </w:r>
          </w:p>
        </w:tc>
        <w:tc>
          <w:tcPr>
            <w:tcW w:w="2133" w:type="dxa"/>
            <w:shd w:val="clear" w:color="auto" w:fill="FFFFFF" w:themeFill="background1"/>
            <w:vAlign w:val="center"/>
          </w:tcPr>
          <w:p w14:paraId="4626AA04" w14:textId="69A94240"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sz w:val="18"/>
                <w:szCs w:val="18"/>
              </w:rPr>
              <w:t>10.38%</w:t>
            </w:r>
          </w:p>
        </w:tc>
      </w:tr>
      <w:tr w:rsidR="00FC4A55" w14:paraId="2F35F66B" w14:textId="77777777" w:rsidTr="00FC4A55">
        <w:trPr>
          <w:trHeight w:val="240"/>
        </w:trPr>
        <w:tc>
          <w:tcPr>
            <w:tcW w:w="1449" w:type="dxa"/>
            <w:vMerge/>
            <w:shd w:val="clear" w:color="auto" w:fill="FFFFFF" w:themeFill="background1"/>
            <w:vAlign w:val="center"/>
          </w:tcPr>
          <w:p w14:paraId="4E11B396" w14:textId="77777777" w:rsidR="00FC4A55" w:rsidRDefault="00FC4A55" w:rsidP="00FC4A55">
            <w:pPr>
              <w:spacing w:line="276" w:lineRule="auto"/>
              <w:rPr>
                <w:rFonts w:ascii="宋体" w:eastAsia="宋体" w:hAnsi="宋体" w:cs="宋体" w:hint="eastAsia"/>
                <w:sz w:val="18"/>
                <w:szCs w:val="18"/>
              </w:rPr>
            </w:pPr>
          </w:p>
        </w:tc>
        <w:tc>
          <w:tcPr>
            <w:tcW w:w="1985" w:type="dxa"/>
            <w:shd w:val="clear" w:color="auto" w:fill="FFFFFF" w:themeFill="background1"/>
            <w:vAlign w:val="center"/>
          </w:tcPr>
          <w:p w14:paraId="18236A05" w14:textId="1D5F93C7" w:rsidR="00FC4A55" w:rsidRDefault="00FC4A55" w:rsidP="00FC4A55">
            <w:pPr>
              <w:spacing w:line="276" w:lineRule="auto"/>
              <w:rPr>
                <w:rFonts w:ascii="宋体" w:eastAsia="宋体" w:hAnsi="宋体" w:cs="宋体" w:hint="eastAsia"/>
                <w:sz w:val="18"/>
                <w:szCs w:val="18"/>
              </w:rPr>
            </w:pPr>
            <w:r w:rsidRPr="00A31A34">
              <w:rPr>
                <w:rFonts w:ascii="宋体" w:eastAsia="宋体" w:hAnsi="宋体" w:hint="eastAsia"/>
                <w:color w:val="000000"/>
                <w:sz w:val="18"/>
                <w:szCs w:val="18"/>
              </w:rPr>
              <w:t>船用电缆</w:t>
            </w:r>
          </w:p>
        </w:tc>
        <w:tc>
          <w:tcPr>
            <w:tcW w:w="2133" w:type="dxa"/>
            <w:shd w:val="clear" w:color="auto" w:fill="FFFFFF" w:themeFill="background1"/>
            <w:vAlign w:val="center"/>
          </w:tcPr>
          <w:p w14:paraId="21A70434" w14:textId="76B4FCCD"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hint="eastAsia"/>
                <w:color w:val="000000"/>
                <w:sz w:val="18"/>
                <w:szCs w:val="18"/>
              </w:rPr>
              <w:t>88.97%</w:t>
            </w:r>
          </w:p>
        </w:tc>
        <w:tc>
          <w:tcPr>
            <w:tcW w:w="1245" w:type="dxa"/>
            <w:shd w:val="clear" w:color="auto" w:fill="FFFFFF" w:themeFill="background1"/>
            <w:vAlign w:val="center"/>
          </w:tcPr>
          <w:p w14:paraId="1F59162F" w14:textId="18533791"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hint="eastAsia"/>
                <w:color w:val="000000"/>
                <w:sz w:val="18"/>
                <w:szCs w:val="18"/>
              </w:rPr>
              <w:t>1.27%</w:t>
            </w:r>
          </w:p>
        </w:tc>
        <w:tc>
          <w:tcPr>
            <w:tcW w:w="2133" w:type="dxa"/>
            <w:shd w:val="clear" w:color="auto" w:fill="FFFFFF" w:themeFill="background1"/>
            <w:vAlign w:val="center"/>
          </w:tcPr>
          <w:p w14:paraId="37B4D401" w14:textId="4B876927"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sz w:val="18"/>
                <w:szCs w:val="18"/>
              </w:rPr>
              <w:t>9.77%</w:t>
            </w:r>
          </w:p>
        </w:tc>
      </w:tr>
      <w:tr w:rsidR="00FC4A55" w14:paraId="2DB7F407" w14:textId="77777777" w:rsidTr="00FC4A55">
        <w:trPr>
          <w:trHeight w:val="240"/>
        </w:trPr>
        <w:tc>
          <w:tcPr>
            <w:tcW w:w="1449" w:type="dxa"/>
            <w:vMerge/>
            <w:shd w:val="clear" w:color="auto" w:fill="FFFFFF" w:themeFill="background1"/>
            <w:vAlign w:val="center"/>
          </w:tcPr>
          <w:p w14:paraId="6C72A7D2" w14:textId="77777777" w:rsidR="00FC4A55" w:rsidRDefault="00FC4A55" w:rsidP="00FC4A55">
            <w:pPr>
              <w:spacing w:line="276" w:lineRule="auto"/>
              <w:rPr>
                <w:rFonts w:ascii="宋体" w:eastAsia="宋体" w:hAnsi="宋体" w:cs="宋体" w:hint="eastAsia"/>
                <w:sz w:val="18"/>
                <w:szCs w:val="18"/>
              </w:rPr>
            </w:pPr>
          </w:p>
        </w:tc>
        <w:tc>
          <w:tcPr>
            <w:tcW w:w="1985" w:type="dxa"/>
            <w:shd w:val="clear" w:color="auto" w:fill="FFFFFF" w:themeFill="background1"/>
            <w:vAlign w:val="center"/>
          </w:tcPr>
          <w:p w14:paraId="059D0E71" w14:textId="24D9CED7" w:rsidR="00FC4A55" w:rsidRDefault="00FC4A55" w:rsidP="00FC4A55">
            <w:pPr>
              <w:spacing w:line="276" w:lineRule="auto"/>
              <w:rPr>
                <w:rFonts w:ascii="宋体" w:eastAsia="宋体" w:hAnsi="宋体" w:cs="宋体" w:hint="eastAsia"/>
                <w:sz w:val="18"/>
                <w:szCs w:val="18"/>
              </w:rPr>
            </w:pPr>
            <w:r w:rsidRPr="00A31A34">
              <w:rPr>
                <w:rFonts w:ascii="宋体" w:eastAsia="宋体" w:hAnsi="宋体" w:hint="eastAsia"/>
                <w:color w:val="000000"/>
                <w:sz w:val="18"/>
                <w:szCs w:val="18"/>
              </w:rPr>
              <w:t>晶体硅太阳能光伏产品</w:t>
            </w:r>
          </w:p>
        </w:tc>
        <w:tc>
          <w:tcPr>
            <w:tcW w:w="2133" w:type="dxa"/>
            <w:shd w:val="clear" w:color="auto" w:fill="FFFFFF" w:themeFill="background1"/>
            <w:vAlign w:val="center"/>
          </w:tcPr>
          <w:p w14:paraId="753FAEEF" w14:textId="52E0E77E"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hint="eastAsia"/>
                <w:color w:val="000000"/>
                <w:sz w:val="18"/>
                <w:szCs w:val="18"/>
              </w:rPr>
              <w:t>76.90%</w:t>
            </w:r>
          </w:p>
        </w:tc>
        <w:tc>
          <w:tcPr>
            <w:tcW w:w="1245" w:type="dxa"/>
            <w:shd w:val="clear" w:color="auto" w:fill="FFFFFF" w:themeFill="background1"/>
            <w:vAlign w:val="center"/>
          </w:tcPr>
          <w:p w14:paraId="2726F545" w14:textId="191DC15D"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hint="eastAsia"/>
                <w:color w:val="000000"/>
                <w:sz w:val="18"/>
                <w:szCs w:val="18"/>
              </w:rPr>
              <w:t>3.69%</w:t>
            </w:r>
          </w:p>
        </w:tc>
        <w:tc>
          <w:tcPr>
            <w:tcW w:w="2133" w:type="dxa"/>
            <w:shd w:val="clear" w:color="auto" w:fill="FFFFFF" w:themeFill="background1"/>
            <w:vAlign w:val="center"/>
          </w:tcPr>
          <w:p w14:paraId="1C9C2804" w14:textId="258FD88A"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sz w:val="18"/>
                <w:szCs w:val="18"/>
              </w:rPr>
              <w:t>19.42%</w:t>
            </w:r>
          </w:p>
        </w:tc>
      </w:tr>
      <w:tr w:rsidR="00FC4A55" w14:paraId="2AFA950E" w14:textId="77777777" w:rsidTr="00FC4A55">
        <w:trPr>
          <w:trHeight w:val="240"/>
        </w:trPr>
        <w:tc>
          <w:tcPr>
            <w:tcW w:w="1449" w:type="dxa"/>
            <w:vMerge/>
            <w:shd w:val="clear" w:color="auto" w:fill="FFFFFF" w:themeFill="background1"/>
            <w:vAlign w:val="center"/>
          </w:tcPr>
          <w:p w14:paraId="2025A879" w14:textId="77777777" w:rsidR="00FC4A55" w:rsidRDefault="00FC4A55" w:rsidP="00FC4A55">
            <w:pPr>
              <w:spacing w:line="276" w:lineRule="auto"/>
              <w:rPr>
                <w:rFonts w:ascii="宋体" w:eastAsia="宋体" w:hAnsi="宋体" w:cs="宋体" w:hint="eastAsia"/>
                <w:sz w:val="18"/>
                <w:szCs w:val="18"/>
              </w:rPr>
            </w:pPr>
          </w:p>
        </w:tc>
        <w:tc>
          <w:tcPr>
            <w:tcW w:w="1985" w:type="dxa"/>
            <w:shd w:val="clear" w:color="auto" w:fill="FFFFFF" w:themeFill="background1"/>
            <w:vAlign w:val="center"/>
          </w:tcPr>
          <w:p w14:paraId="5FBCFC14" w14:textId="1A72F21D" w:rsidR="00FC4A55" w:rsidRDefault="00FC4A55" w:rsidP="00FC4A55">
            <w:pPr>
              <w:spacing w:line="276" w:lineRule="auto"/>
              <w:rPr>
                <w:rFonts w:ascii="宋体" w:eastAsia="宋体" w:hAnsi="宋体" w:cs="宋体" w:hint="eastAsia"/>
                <w:sz w:val="18"/>
                <w:szCs w:val="18"/>
              </w:rPr>
            </w:pPr>
            <w:r w:rsidRPr="00A31A34">
              <w:rPr>
                <w:rFonts w:ascii="宋体" w:eastAsia="宋体" w:hAnsi="宋体" w:hint="eastAsia"/>
                <w:color w:val="000000"/>
                <w:sz w:val="18"/>
                <w:szCs w:val="18"/>
              </w:rPr>
              <w:t>光纤</w:t>
            </w:r>
          </w:p>
        </w:tc>
        <w:tc>
          <w:tcPr>
            <w:tcW w:w="2133" w:type="dxa"/>
            <w:shd w:val="clear" w:color="auto" w:fill="FFFFFF" w:themeFill="background1"/>
            <w:vAlign w:val="center"/>
          </w:tcPr>
          <w:p w14:paraId="701F6819" w14:textId="46BEFD0E"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hint="eastAsia"/>
                <w:color w:val="000000"/>
                <w:sz w:val="18"/>
                <w:szCs w:val="18"/>
              </w:rPr>
              <w:t>74.80%</w:t>
            </w:r>
          </w:p>
        </w:tc>
        <w:tc>
          <w:tcPr>
            <w:tcW w:w="1245" w:type="dxa"/>
            <w:shd w:val="clear" w:color="auto" w:fill="FFFFFF" w:themeFill="background1"/>
            <w:vAlign w:val="center"/>
          </w:tcPr>
          <w:p w14:paraId="7FE9894E" w14:textId="27FED69B"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hint="eastAsia"/>
                <w:color w:val="000000"/>
                <w:sz w:val="18"/>
                <w:szCs w:val="18"/>
              </w:rPr>
              <w:t>2.03%</w:t>
            </w:r>
          </w:p>
        </w:tc>
        <w:tc>
          <w:tcPr>
            <w:tcW w:w="2133" w:type="dxa"/>
            <w:shd w:val="clear" w:color="auto" w:fill="FFFFFF" w:themeFill="background1"/>
            <w:vAlign w:val="center"/>
          </w:tcPr>
          <w:p w14:paraId="3D4569DA" w14:textId="767BCDF3"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sz w:val="18"/>
                <w:szCs w:val="18"/>
              </w:rPr>
              <w:t>23.17%</w:t>
            </w:r>
          </w:p>
        </w:tc>
      </w:tr>
      <w:tr w:rsidR="00FC4A55" w14:paraId="71589FEA" w14:textId="77777777" w:rsidTr="00FC4A55">
        <w:trPr>
          <w:trHeight w:val="240"/>
        </w:trPr>
        <w:tc>
          <w:tcPr>
            <w:tcW w:w="1449" w:type="dxa"/>
            <w:vMerge/>
            <w:shd w:val="clear" w:color="auto" w:fill="FFFFFF" w:themeFill="background1"/>
            <w:vAlign w:val="center"/>
          </w:tcPr>
          <w:p w14:paraId="18D9D37B" w14:textId="03C2EA25" w:rsidR="00FC4A55" w:rsidRDefault="00FC4A55" w:rsidP="00FC4A55">
            <w:pPr>
              <w:spacing w:line="276" w:lineRule="auto"/>
              <w:rPr>
                <w:rFonts w:ascii="宋体" w:eastAsia="宋体" w:hAnsi="宋体" w:cs="宋体" w:hint="eastAsia"/>
                <w:sz w:val="18"/>
                <w:szCs w:val="18"/>
              </w:rPr>
            </w:pPr>
          </w:p>
        </w:tc>
        <w:tc>
          <w:tcPr>
            <w:tcW w:w="1985" w:type="dxa"/>
            <w:shd w:val="clear" w:color="auto" w:fill="FFFFFF" w:themeFill="background1"/>
            <w:vAlign w:val="center"/>
          </w:tcPr>
          <w:p w14:paraId="7792DF43" w14:textId="0698D4B9" w:rsidR="00FC4A55" w:rsidRDefault="00FC4A55" w:rsidP="00FC4A55">
            <w:pPr>
              <w:spacing w:line="276" w:lineRule="auto"/>
              <w:rPr>
                <w:rFonts w:ascii="宋体" w:eastAsia="宋体" w:hAnsi="宋体" w:cs="宋体" w:hint="eastAsia"/>
                <w:sz w:val="18"/>
                <w:szCs w:val="18"/>
              </w:rPr>
            </w:pPr>
            <w:r w:rsidRPr="00A31A34">
              <w:rPr>
                <w:rFonts w:ascii="宋体" w:eastAsia="宋体" w:hAnsi="宋体" w:hint="eastAsia"/>
                <w:color w:val="000000"/>
                <w:sz w:val="18"/>
                <w:szCs w:val="18"/>
              </w:rPr>
              <w:t>光棒</w:t>
            </w:r>
          </w:p>
        </w:tc>
        <w:tc>
          <w:tcPr>
            <w:tcW w:w="2133" w:type="dxa"/>
            <w:shd w:val="clear" w:color="auto" w:fill="FFFFFF" w:themeFill="background1"/>
            <w:vAlign w:val="center"/>
          </w:tcPr>
          <w:p w14:paraId="588BF56A" w14:textId="302570FC"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hint="eastAsia"/>
                <w:color w:val="000000"/>
                <w:sz w:val="18"/>
                <w:szCs w:val="18"/>
              </w:rPr>
              <w:t>46.09%</w:t>
            </w:r>
          </w:p>
        </w:tc>
        <w:tc>
          <w:tcPr>
            <w:tcW w:w="1245" w:type="dxa"/>
            <w:shd w:val="clear" w:color="auto" w:fill="FFFFFF" w:themeFill="background1"/>
            <w:vAlign w:val="center"/>
          </w:tcPr>
          <w:p w14:paraId="0C52C8E4" w14:textId="276C3ABB"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hint="eastAsia"/>
                <w:color w:val="000000"/>
                <w:sz w:val="18"/>
                <w:szCs w:val="18"/>
              </w:rPr>
              <w:t>9.27%</w:t>
            </w:r>
          </w:p>
        </w:tc>
        <w:tc>
          <w:tcPr>
            <w:tcW w:w="2133" w:type="dxa"/>
            <w:shd w:val="clear" w:color="auto" w:fill="FFFFFF" w:themeFill="background1"/>
            <w:vAlign w:val="center"/>
          </w:tcPr>
          <w:p w14:paraId="5EF17D16" w14:textId="7E15E0D6"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sz w:val="18"/>
                <w:szCs w:val="18"/>
              </w:rPr>
              <w:t>44.65%</w:t>
            </w:r>
          </w:p>
        </w:tc>
      </w:tr>
      <w:tr w:rsidR="00FC4A55" w14:paraId="51382D34" w14:textId="77777777" w:rsidTr="00FC4A55">
        <w:trPr>
          <w:trHeight w:val="240"/>
        </w:trPr>
        <w:tc>
          <w:tcPr>
            <w:tcW w:w="1449" w:type="dxa"/>
            <w:vMerge w:val="restart"/>
            <w:shd w:val="clear" w:color="auto" w:fill="FFFFFF" w:themeFill="background1"/>
            <w:vAlign w:val="center"/>
          </w:tcPr>
          <w:p w14:paraId="6FFBB590" w14:textId="2D4C3216" w:rsidR="00FC4A55" w:rsidRDefault="00FC4A55" w:rsidP="00FC4A55">
            <w:pPr>
              <w:spacing w:line="276" w:lineRule="auto"/>
              <w:rPr>
                <w:rFonts w:ascii="宋体" w:eastAsia="宋体" w:hAnsi="宋体" w:cs="宋体" w:hint="eastAsia"/>
                <w:sz w:val="18"/>
                <w:szCs w:val="18"/>
              </w:rPr>
            </w:pPr>
            <w:r w:rsidRPr="00A31A34">
              <w:rPr>
                <w:rFonts w:ascii="宋体" w:eastAsia="宋体" w:hAnsi="宋体" w:hint="eastAsia"/>
                <w:color w:val="000000"/>
                <w:sz w:val="18"/>
                <w:szCs w:val="18"/>
              </w:rPr>
              <w:lastRenderedPageBreak/>
              <w:t>2023年</w:t>
            </w:r>
          </w:p>
        </w:tc>
        <w:tc>
          <w:tcPr>
            <w:tcW w:w="1985" w:type="dxa"/>
            <w:shd w:val="clear" w:color="auto" w:fill="FFFFFF" w:themeFill="background1"/>
            <w:vAlign w:val="center"/>
          </w:tcPr>
          <w:p w14:paraId="26714256" w14:textId="7D099A7D" w:rsidR="00FC4A55" w:rsidRDefault="00FC4A55" w:rsidP="00FC4A55">
            <w:pPr>
              <w:spacing w:line="276" w:lineRule="auto"/>
              <w:rPr>
                <w:rFonts w:ascii="宋体" w:eastAsia="宋体" w:hAnsi="宋体" w:cs="宋体" w:hint="eastAsia"/>
                <w:sz w:val="18"/>
                <w:szCs w:val="18"/>
              </w:rPr>
            </w:pPr>
            <w:r w:rsidRPr="00A31A34">
              <w:rPr>
                <w:rFonts w:ascii="宋体" w:eastAsia="宋体" w:hAnsi="宋体" w:hint="eastAsia"/>
                <w:color w:val="000000"/>
                <w:sz w:val="18"/>
                <w:szCs w:val="18"/>
              </w:rPr>
              <w:t>阻燃耐火软电缆</w:t>
            </w:r>
          </w:p>
        </w:tc>
        <w:tc>
          <w:tcPr>
            <w:tcW w:w="2133" w:type="dxa"/>
            <w:shd w:val="clear" w:color="auto" w:fill="FFFFFF" w:themeFill="background1"/>
            <w:vAlign w:val="center"/>
          </w:tcPr>
          <w:p w14:paraId="620A9BCE" w14:textId="7478A212"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hint="eastAsia"/>
                <w:color w:val="000000"/>
                <w:sz w:val="18"/>
                <w:szCs w:val="18"/>
              </w:rPr>
              <w:t>90.42%</w:t>
            </w:r>
          </w:p>
        </w:tc>
        <w:tc>
          <w:tcPr>
            <w:tcW w:w="1245" w:type="dxa"/>
            <w:shd w:val="clear" w:color="auto" w:fill="FFFFFF" w:themeFill="background1"/>
            <w:vAlign w:val="center"/>
          </w:tcPr>
          <w:p w14:paraId="4C082160" w14:textId="52EE85B3"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hint="eastAsia"/>
                <w:color w:val="000000"/>
                <w:sz w:val="18"/>
                <w:szCs w:val="18"/>
              </w:rPr>
              <w:t>0.78%</w:t>
            </w:r>
          </w:p>
        </w:tc>
        <w:tc>
          <w:tcPr>
            <w:tcW w:w="2133" w:type="dxa"/>
            <w:shd w:val="clear" w:color="auto" w:fill="FFFFFF" w:themeFill="background1"/>
            <w:vAlign w:val="center"/>
          </w:tcPr>
          <w:p w14:paraId="6EF53D28" w14:textId="238BF2EE"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sz w:val="18"/>
                <w:szCs w:val="18"/>
              </w:rPr>
              <w:t>8.79%</w:t>
            </w:r>
          </w:p>
        </w:tc>
      </w:tr>
      <w:tr w:rsidR="00FC4A55" w14:paraId="3C6E07C4" w14:textId="77777777" w:rsidTr="00FC4A55">
        <w:trPr>
          <w:trHeight w:val="240"/>
        </w:trPr>
        <w:tc>
          <w:tcPr>
            <w:tcW w:w="1449" w:type="dxa"/>
            <w:vMerge/>
            <w:shd w:val="clear" w:color="auto" w:fill="FFFFFF" w:themeFill="background1"/>
            <w:vAlign w:val="center"/>
          </w:tcPr>
          <w:p w14:paraId="4CCD6EBC" w14:textId="77777777" w:rsidR="00FC4A55" w:rsidRDefault="00FC4A55" w:rsidP="00FC4A55">
            <w:pPr>
              <w:spacing w:line="276" w:lineRule="auto"/>
              <w:rPr>
                <w:rFonts w:ascii="宋体" w:eastAsia="宋体" w:hAnsi="宋体" w:cs="宋体" w:hint="eastAsia"/>
                <w:sz w:val="18"/>
                <w:szCs w:val="18"/>
              </w:rPr>
            </w:pPr>
          </w:p>
        </w:tc>
        <w:tc>
          <w:tcPr>
            <w:tcW w:w="1985" w:type="dxa"/>
            <w:shd w:val="clear" w:color="auto" w:fill="FFFFFF" w:themeFill="background1"/>
            <w:vAlign w:val="center"/>
          </w:tcPr>
          <w:p w14:paraId="001E0AD3" w14:textId="4AF35234" w:rsidR="00FC4A55" w:rsidRDefault="00FC4A55" w:rsidP="00FC4A55">
            <w:pPr>
              <w:spacing w:line="276" w:lineRule="auto"/>
              <w:rPr>
                <w:rFonts w:ascii="宋体" w:eastAsia="宋体" w:hAnsi="宋体" w:cs="宋体" w:hint="eastAsia"/>
                <w:sz w:val="18"/>
                <w:szCs w:val="18"/>
              </w:rPr>
            </w:pPr>
            <w:r w:rsidRPr="00A31A34">
              <w:rPr>
                <w:rFonts w:ascii="宋体" w:eastAsia="宋体" w:hAnsi="宋体" w:hint="eastAsia"/>
                <w:color w:val="000000"/>
                <w:sz w:val="18"/>
                <w:szCs w:val="18"/>
              </w:rPr>
              <w:t>铜导体</w:t>
            </w:r>
          </w:p>
        </w:tc>
        <w:tc>
          <w:tcPr>
            <w:tcW w:w="2133" w:type="dxa"/>
            <w:shd w:val="clear" w:color="auto" w:fill="FFFFFF" w:themeFill="background1"/>
            <w:vAlign w:val="center"/>
          </w:tcPr>
          <w:p w14:paraId="1B92030B" w14:textId="73A56224"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hint="eastAsia"/>
                <w:color w:val="000000"/>
                <w:sz w:val="18"/>
                <w:szCs w:val="18"/>
              </w:rPr>
              <w:t>89.95%</w:t>
            </w:r>
          </w:p>
        </w:tc>
        <w:tc>
          <w:tcPr>
            <w:tcW w:w="1245" w:type="dxa"/>
            <w:shd w:val="clear" w:color="auto" w:fill="FFFFFF" w:themeFill="background1"/>
            <w:vAlign w:val="center"/>
          </w:tcPr>
          <w:p w14:paraId="4B8B6DED" w14:textId="2AB2E355"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hint="eastAsia"/>
                <w:color w:val="000000"/>
                <w:sz w:val="18"/>
                <w:szCs w:val="18"/>
              </w:rPr>
              <w:t>1.97%</w:t>
            </w:r>
          </w:p>
        </w:tc>
        <w:tc>
          <w:tcPr>
            <w:tcW w:w="2133" w:type="dxa"/>
            <w:shd w:val="clear" w:color="auto" w:fill="FFFFFF" w:themeFill="background1"/>
            <w:vAlign w:val="center"/>
          </w:tcPr>
          <w:p w14:paraId="3F04F66A" w14:textId="2BC80F38"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sz w:val="18"/>
                <w:szCs w:val="18"/>
              </w:rPr>
              <w:t>8.07%</w:t>
            </w:r>
          </w:p>
        </w:tc>
      </w:tr>
      <w:tr w:rsidR="00FC4A55" w14:paraId="58F9B51C" w14:textId="77777777" w:rsidTr="00FC4A55">
        <w:trPr>
          <w:trHeight w:val="240"/>
        </w:trPr>
        <w:tc>
          <w:tcPr>
            <w:tcW w:w="1449" w:type="dxa"/>
            <w:vMerge/>
            <w:shd w:val="clear" w:color="auto" w:fill="FFFFFF" w:themeFill="background1"/>
            <w:vAlign w:val="center"/>
          </w:tcPr>
          <w:p w14:paraId="1C3859A3" w14:textId="77777777" w:rsidR="00FC4A55" w:rsidRDefault="00FC4A55" w:rsidP="00FC4A55">
            <w:pPr>
              <w:spacing w:line="276" w:lineRule="auto"/>
              <w:rPr>
                <w:rFonts w:ascii="宋体" w:eastAsia="宋体" w:hAnsi="宋体" w:cs="宋体" w:hint="eastAsia"/>
                <w:sz w:val="18"/>
                <w:szCs w:val="18"/>
              </w:rPr>
            </w:pPr>
          </w:p>
        </w:tc>
        <w:tc>
          <w:tcPr>
            <w:tcW w:w="1985" w:type="dxa"/>
            <w:shd w:val="clear" w:color="auto" w:fill="FFFFFF" w:themeFill="background1"/>
            <w:vAlign w:val="center"/>
          </w:tcPr>
          <w:p w14:paraId="38D392EA" w14:textId="34FC9AEE" w:rsidR="00FC4A55" w:rsidRDefault="00FC4A55" w:rsidP="00FC4A55">
            <w:pPr>
              <w:spacing w:line="276" w:lineRule="auto"/>
              <w:rPr>
                <w:rFonts w:ascii="宋体" w:eastAsia="宋体" w:hAnsi="宋体" w:cs="宋体" w:hint="eastAsia"/>
                <w:sz w:val="18"/>
                <w:szCs w:val="18"/>
              </w:rPr>
            </w:pPr>
            <w:r w:rsidRPr="00A31A34">
              <w:rPr>
                <w:rFonts w:ascii="宋体" w:eastAsia="宋体" w:hAnsi="宋体" w:hint="eastAsia"/>
                <w:color w:val="000000"/>
                <w:sz w:val="18"/>
                <w:szCs w:val="18"/>
              </w:rPr>
              <w:t>电缆料</w:t>
            </w:r>
          </w:p>
        </w:tc>
        <w:tc>
          <w:tcPr>
            <w:tcW w:w="2133" w:type="dxa"/>
            <w:shd w:val="clear" w:color="auto" w:fill="FFFFFF" w:themeFill="background1"/>
            <w:vAlign w:val="center"/>
          </w:tcPr>
          <w:p w14:paraId="27B7E68A" w14:textId="59D07028"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hint="eastAsia"/>
                <w:color w:val="000000"/>
                <w:sz w:val="18"/>
                <w:szCs w:val="18"/>
              </w:rPr>
              <w:t>83.91%</w:t>
            </w:r>
          </w:p>
        </w:tc>
        <w:tc>
          <w:tcPr>
            <w:tcW w:w="1245" w:type="dxa"/>
            <w:shd w:val="clear" w:color="auto" w:fill="FFFFFF" w:themeFill="background1"/>
            <w:vAlign w:val="center"/>
          </w:tcPr>
          <w:p w14:paraId="5513F334" w14:textId="2C6B8440"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hint="eastAsia"/>
                <w:color w:val="000000"/>
                <w:sz w:val="18"/>
                <w:szCs w:val="18"/>
              </w:rPr>
              <w:t>4.31%</w:t>
            </w:r>
          </w:p>
        </w:tc>
        <w:tc>
          <w:tcPr>
            <w:tcW w:w="2133" w:type="dxa"/>
            <w:shd w:val="clear" w:color="auto" w:fill="FFFFFF" w:themeFill="background1"/>
            <w:vAlign w:val="center"/>
          </w:tcPr>
          <w:p w14:paraId="7965FF22" w14:textId="33BD5D4C"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sz w:val="18"/>
                <w:szCs w:val="18"/>
              </w:rPr>
              <w:t>11.78%</w:t>
            </w:r>
          </w:p>
        </w:tc>
      </w:tr>
      <w:tr w:rsidR="00FC4A55" w14:paraId="3D0C350E" w14:textId="77777777" w:rsidTr="00FC4A55">
        <w:trPr>
          <w:trHeight w:val="240"/>
        </w:trPr>
        <w:tc>
          <w:tcPr>
            <w:tcW w:w="1449" w:type="dxa"/>
            <w:vMerge/>
            <w:shd w:val="clear" w:color="auto" w:fill="FFFFFF" w:themeFill="background1"/>
            <w:vAlign w:val="center"/>
          </w:tcPr>
          <w:p w14:paraId="4C357433" w14:textId="77777777" w:rsidR="00FC4A55" w:rsidRDefault="00FC4A55" w:rsidP="00FC4A55">
            <w:pPr>
              <w:spacing w:line="276" w:lineRule="auto"/>
              <w:rPr>
                <w:rFonts w:ascii="宋体" w:eastAsia="宋体" w:hAnsi="宋体" w:cs="宋体" w:hint="eastAsia"/>
                <w:sz w:val="18"/>
                <w:szCs w:val="18"/>
              </w:rPr>
            </w:pPr>
          </w:p>
        </w:tc>
        <w:tc>
          <w:tcPr>
            <w:tcW w:w="1985" w:type="dxa"/>
            <w:shd w:val="clear" w:color="auto" w:fill="FFFFFF" w:themeFill="background1"/>
            <w:vAlign w:val="center"/>
          </w:tcPr>
          <w:p w14:paraId="39B79927" w14:textId="02B1027B" w:rsidR="00FC4A55" w:rsidRDefault="00FC4A55" w:rsidP="00FC4A55">
            <w:pPr>
              <w:spacing w:line="276" w:lineRule="auto"/>
              <w:rPr>
                <w:rFonts w:ascii="宋体" w:eastAsia="宋体" w:hAnsi="宋体" w:cs="宋体" w:hint="eastAsia"/>
                <w:sz w:val="18"/>
                <w:szCs w:val="18"/>
              </w:rPr>
            </w:pPr>
            <w:r w:rsidRPr="00A31A34">
              <w:rPr>
                <w:rFonts w:ascii="宋体" w:eastAsia="宋体" w:hAnsi="宋体" w:hint="eastAsia"/>
                <w:color w:val="000000"/>
                <w:sz w:val="18"/>
                <w:szCs w:val="18"/>
              </w:rPr>
              <w:t>船用电缆</w:t>
            </w:r>
          </w:p>
        </w:tc>
        <w:tc>
          <w:tcPr>
            <w:tcW w:w="2133" w:type="dxa"/>
            <w:shd w:val="clear" w:color="auto" w:fill="FFFFFF" w:themeFill="background1"/>
            <w:vAlign w:val="center"/>
          </w:tcPr>
          <w:p w14:paraId="537B31BA" w14:textId="5BB8E24D"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hint="eastAsia"/>
                <w:color w:val="000000"/>
                <w:sz w:val="18"/>
                <w:szCs w:val="18"/>
              </w:rPr>
              <w:t>89.00%</w:t>
            </w:r>
          </w:p>
        </w:tc>
        <w:tc>
          <w:tcPr>
            <w:tcW w:w="1245" w:type="dxa"/>
            <w:shd w:val="clear" w:color="auto" w:fill="FFFFFF" w:themeFill="background1"/>
            <w:vAlign w:val="center"/>
          </w:tcPr>
          <w:p w14:paraId="382F8E21" w14:textId="5ECE97F6"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hint="eastAsia"/>
                <w:color w:val="000000"/>
                <w:sz w:val="18"/>
                <w:szCs w:val="18"/>
              </w:rPr>
              <w:t>1.29%</w:t>
            </w:r>
          </w:p>
        </w:tc>
        <w:tc>
          <w:tcPr>
            <w:tcW w:w="2133" w:type="dxa"/>
            <w:shd w:val="clear" w:color="auto" w:fill="FFFFFF" w:themeFill="background1"/>
            <w:vAlign w:val="center"/>
          </w:tcPr>
          <w:p w14:paraId="136C4E80" w14:textId="36A8B01A"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sz w:val="18"/>
                <w:szCs w:val="18"/>
              </w:rPr>
              <w:t>9.70%</w:t>
            </w:r>
          </w:p>
        </w:tc>
      </w:tr>
      <w:tr w:rsidR="00FC4A55" w14:paraId="67CAA809" w14:textId="77777777" w:rsidTr="00FC4A55">
        <w:trPr>
          <w:trHeight w:val="240"/>
        </w:trPr>
        <w:tc>
          <w:tcPr>
            <w:tcW w:w="1449" w:type="dxa"/>
            <w:vMerge/>
            <w:shd w:val="clear" w:color="auto" w:fill="FFFFFF" w:themeFill="background1"/>
            <w:vAlign w:val="center"/>
          </w:tcPr>
          <w:p w14:paraId="1E6D743C" w14:textId="77777777" w:rsidR="00FC4A55" w:rsidRDefault="00FC4A55" w:rsidP="00FC4A55">
            <w:pPr>
              <w:spacing w:line="276" w:lineRule="auto"/>
              <w:rPr>
                <w:rFonts w:ascii="宋体" w:eastAsia="宋体" w:hAnsi="宋体" w:cs="宋体" w:hint="eastAsia"/>
                <w:sz w:val="18"/>
                <w:szCs w:val="18"/>
              </w:rPr>
            </w:pPr>
          </w:p>
        </w:tc>
        <w:tc>
          <w:tcPr>
            <w:tcW w:w="1985" w:type="dxa"/>
            <w:shd w:val="clear" w:color="auto" w:fill="FFFFFF" w:themeFill="background1"/>
            <w:vAlign w:val="center"/>
          </w:tcPr>
          <w:p w14:paraId="6810E72E" w14:textId="0078B954" w:rsidR="00FC4A55" w:rsidRDefault="00FC4A55" w:rsidP="00FC4A55">
            <w:pPr>
              <w:spacing w:line="276" w:lineRule="auto"/>
              <w:rPr>
                <w:rFonts w:ascii="宋体" w:eastAsia="宋体" w:hAnsi="宋体" w:cs="宋体" w:hint="eastAsia"/>
                <w:sz w:val="18"/>
                <w:szCs w:val="18"/>
              </w:rPr>
            </w:pPr>
            <w:r w:rsidRPr="00A31A34">
              <w:rPr>
                <w:rFonts w:ascii="宋体" w:eastAsia="宋体" w:hAnsi="宋体" w:hint="eastAsia"/>
                <w:color w:val="000000"/>
                <w:sz w:val="18"/>
                <w:szCs w:val="18"/>
              </w:rPr>
              <w:t>晶体硅太阳能光伏产品</w:t>
            </w:r>
          </w:p>
        </w:tc>
        <w:tc>
          <w:tcPr>
            <w:tcW w:w="2133" w:type="dxa"/>
            <w:shd w:val="clear" w:color="auto" w:fill="FFFFFF" w:themeFill="background1"/>
            <w:vAlign w:val="center"/>
          </w:tcPr>
          <w:p w14:paraId="6B81B131" w14:textId="326A83DD"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hint="eastAsia"/>
                <w:color w:val="000000"/>
                <w:sz w:val="18"/>
                <w:szCs w:val="18"/>
              </w:rPr>
              <w:t>67.06%</w:t>
            </w:r>
          </w:p>
        </w:tc>
        <w:tc>
          <w:tcPr>
            <w:tcW w:w="1245" w:type="dxa"/>
            <w:shd w:val="clear" w:color="auto" w:fill="FFFFFF" w:themeFill="background1"/>
            <w:vAlign w:val="center"/>
          </w:tcPr>
          <w:p w14:paraId="69778AB3" w14:textId="3B517F8A"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hint="eastAsia"/>
                <w:color w:val="000000"/>
                <w:sz w:val="18"/>
                <w:szCs w:val="18"/>
              </w:rPr>
              <w:t>9.13%</w:t>
            </w:r>
          </w:p>
        </w:tc>
        <w:tc>
          <w:tcPr>
            <w:tcW w:w="2133" w:type="dxa"/>
            <w:shd w:val="clear" w:color="auto" w:fill="FFFFFF" w:themeFill="background1"/>
            <w:vAlign w:val="center"/>
          </w:tcPr>
          <w:p w14:paraId="2A10F66E" w14:textId="4096B6B3"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sz w:val="18"/>
                <w:szCs w:val="18"/>
              </w:rPr>
              <w:t>23.81%</w:t>
            </w:r>
          </w:p>
        </w:tc>
      </w:tr>
      <w:tr w:rsidR="00FC4A55" w14:paraId="72271A5A" w14:textId="77777777" w:rsidTr="00FC4A55">
        <w:trPr>
          <w:trHeight w:val="240"/>
        </w:trPr>
        <w:tc>
          <w:tcPr>
            <w:tcW w:w="1449" w:type="dxa"/>
            <w:vMerge/>
            <w:shd w:val="clear" w:color="auto" w:fill="FFFFFF" w:themeFill="background1"/>
            <w:vAlign w:val="center"/>
          </w:tcPr>
          <w:p w14:paraId="1BBEC1BC" w14:textId="77777777" w:rsidR="00FC4A55" w:rsidRDefault="00FC4A55" w:rsidP="00FC4A55">
            <w:pPr>
              <w:spacing w:line="276" w:lineRule="auto"/>
              <w:rPr>
                <w:rFonts w:ascii="宋体" w:eastAsia="宋体" w:hAnsi="宋体" w:cs="宋体" w:hint="eastAsia"/>
                <w:sz w:val="18"/>
                <w:szCs w:val="18"/>
              </w:rPr>
            </w:pPr>
          </w:p>
        </w:tc>
        <w:tc>
          <w:tcPr>
            <w:tcW w:w="1985" w:type="dxa"/>
            <w:shd w:val="clear" w:color="auto" w:fill="FFFFFF" w:themeFill="background1"/>
            <w:vAlign w:val="center"/>
          </w:tcPr>
          <w:p w14:paraId="001B17C0" w14:textId="70EBBFD9" w:rsidR="00FC4A55" w:rsidRDefault="00FC4A55" w:rsidP="00FC4A55">
            <w:pPr>
              <w:spacing w:line="276" w:lineRule="auto"/>
              <w:rPr>
                <w:rFonts w:ascii="宋体" w:eastAsia="宋体" w:hAnsi="宋体" w:cs="宋体" w:hint="eastAsia"/>
                <w:sz w:val="18"/>
                <w:szCs w:val="18"/>
              </w:rPr>
            </w:pPr>
            <w:r w:rsidRPr="00A31A34">
              <w:rPr>
                <w:rFonts w:ascii="宋体" w:eastAsia="宋体" w:hAnsi="宋体" w:hint="eastAsia"/>
                <w:color w:val="000000"/>
                <w:sz w:val="18"/>
                <w:szCs w:val="18"/>
              </w:rPr>
              <w:t>光纤</w:t>
            </w:r>
          </w:p>
        </w:tc>
        <w:tc>
          <w:tcPr>
            <w:tcW w:w="2133" w:type="dxa"/>
            <w:shd w:val="clear" w:color="auto" w:fill="FFFFFF" w:themeFill="background1"/>
            <w:vAlign w:val="center"/>
          </w:tcPr>
          <w:p w14:paraId="2A6ADB0C" w14:textId="1F2BEB55"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hint="eastAsia"/>
                <w:color w:val="000000"/>
                <w:sz w:val="18"/>
                <w:szCs w:val="18"/>
              </w:rPr>
              <w:t>77.18%</w:t>
            </w:r>
          </w:p>
        </w:tc>
        <w:tc>
          <w:tcPr>
            <w:tcW w:w="1245" w:type="dxa"/>
            <w:shd w:val="clear" w:color="auto" w:fill="FFFFFF" w:themeFill="background1"/>
            <w:vAlign w:val="center"/>
          </w:tcPr>
          <w:p w14:paraId="60621AF9" w14:textId="72EFED53"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hint="eastAsia"/>
                <w:color w:val="000000"/>
                <w:sz w:val="18"/>
                <w:szCs w:val="18"/>
              </w:rPr>
              <w:t>3.08%</w:t>
            </w:r>
          </w:p>
        </w:tc>
        <w:tc>
          <w:tcPr>
            <w:tcW w:w="2133" w:type="dxa"/>
            <w:shd w:val="clear" w:color="auto" w:fill="FFFFFF" w:themeFill="background1"/>
            <w:vAlign w:val="center"/>
          </w:tcPr>
          <w:p w14:paraId="2EB1B2DA" w14:textId="797073FF"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sz w:val="18"/>
                <w:szCs w:val="18"/>
              </w:rPr>
              <w:t>19.74%</w:t>
            </w:r>
          </w:p>
        </w:tc>
      </w:tr>
      <w:tr w:rsidR="00FC4A55" w14:paraId="14AD2730" w14:textId="77777777" w:rsidTr="00FC4A55">
        <w:trPr>
          <w:trHeight w:val="240"/>
        </w:trPr>
        <w:tc>
          <w:tcPr>
            <w:tcW w:w="1449" w:type="dxa"/>
            <w:vMerge/>
            <w:shd w:val="clear" w:color="auto" w:fill="FFFFFF" w:themeFill="background1"/>
            <w:vAlign w:val="center"/>
          </w:tcPr>
          <w:p w14:paraId="6881B574" w14:textId="77777777" w:rsidR="00FC4A55" w:rsidRDefault="00FC4A55" w:rsidP="00FC4A55">
            <w:pPr>
              <w:spacing w:line="276" w:lineRule="auto"/>
              <w:rPr>
                <w:rFonts w:ascii="宋体" w:eastAsia="宋体" w:hAnsi="宋体" w:cs="宋体" w:hint="eastAsia"/>
                <w:sz w:val="18"/>
                <w:szCs w:val="18"/>
              </w:rPr>
            </w:pPr>
          </w:p>
        </w:tc>
        <w:tc>
          <w:tcPr>
            <w:tcW w:w="1985" w:type="dxa"/>
            <w:shd w:val="clear" w:color="auto" w:fill="FFFFFF" w:themeFill="background1"/>
            <w:vAlign w:val="center"/>
          </w:tcPr>
          <w:p w14:paraId="531B146E" w14:textId="6A1EFEBC" w:rsidR="00FC4A55" w:rsidRDefault="00FC4A55" w:rsidP="00FC4A55">
            <w:pPr>
              <w:spacing w:line="276" w:lineRule="auto"/>
              <w:rPr>
                <w:rFonts w:ascii="宋体" w:eastAsia="宋体" w:hAnsi="宋体" w:cs="宋体" w:hint="eastAsia"/>
                <w:sz w:val="18"/>
                <w:szCs w:val="18"/>
              </w:rPr>
            </w:pPr>
            <w:r w:rsidRPr="00A31A34">
              <w:rPr>
                <w:rFonts w:ascii="宋体" w:eastAsia="宋体" w:hAnsi="宋体" w:hint="eastAsia"/>
                <w:color w:val="000000"/>
                <w:sz w:val="18"/>
                <w:szCs w:val="18"/>
              </w:rPr>
              <w:t>光棒</w:t>
            </w:r>
          </w:p>
        </w:tc>
        <w:tc>
          <w:tcPr>
            <w:tcW w:w="2133" w:type="dxa"/>
            <w:shd w:val="clear" w:color="auto" w:fill="FFFFFF" w:themeFill="background1"/>
            <w:vAlign w:val="center"/>
          </w:tcPr>
          <w:p w14:paraId="50EBB260" w14:textId="421F714D"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hint="eastAsia"/>
                <w:color w:val="000000"/>
                <w:sz w:val="18"/>
                <w:szCs w:val="18"/>
              </w:rPr>
              <w:t>65.36%</w:t>
            </w:r>
          </w:p>
        </w:tc>
        <w:tc>
          <w:tcPr>
            <w:tcW w:w="1245" w:type="dxa"/>
            <w:shd w:val="clear" w:color="auto" w:fill="FFFFFF" w:themeFill="background1"/>
            <w:vAlign w:val="center"/>
          </w:tcPr>
          <w:p w14:paraId="7D26F4B9" w14:textId="4B4A6C3E"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hint="eastAsia"/>
                <w:color w:val="000000"/>
                <w:sz w:val="18"/>
                <w:szCs w:val="18"/>
              </w:rPr>
              <w:t>7.69%</w:t>
            </w:r>
          </w:p>
        </w:tc>
        <w:tc>
          <w:tcPr>
            <w:tcW w:w="2133" w:type="dxa"/>
            <w:shd w:val="clear" w:color="auto" w:fill="FFFFFF" w:themeFill="background1"/>
            <w:vAlign w:val="center"/>
          </w:tcPr>
          <w:p w14:paraId="5A8753F8" w14:textId="01275521" w:rsidR="00FC4A55" w:rsidRDefault="00FC4A55" w:rsidP="00B56D36">
            <w:pPr>
              <w:spacing w:line="276" w:lineRule="auto"/>
              <w:jc w:val="center"/>
              <w:rPr>
                <w:rFonts w:ascii="宋体" w:eastAsia="宋体" w:hAnsi="宋体" w:cs="宋体" w:hint="eastAsia"/>
                <w:sz w:val="18"/>
                <w:szCs w:val="18"/>
              </w:rPr>
            </w:pPr>
            <w:r w:rsidRPr="00A31A34">
              <w:rPr>
                <w:rFonts w:ascii="宋体" w:eastAsia="宋体" w:hAnsi="宋体"/>
                <w:sz w:val="18"/>
                <w:szCs w:val="18"/>
              </w:rPr>
              <w:t>26.95%</w:t>
            </w:r>
          </w:p>
        </w:tc>
      </w:tr>
    </w:tbl>
    <w:p w14:paraId="23938D6A" w14:textId="77777777" w:rsidR="00FC4A55" w:rsidRPr="00FC4A55" w:rsidRDefault="00FC4A55">
      <w:pPr>
        <w:spacing w:before="100" w:after="100" w:line="240" w:lineRule="exact"/>
        <w:rPr>
          <w:rFonts w:ascii="宋体" w:eastAsia="宋体" w:hAnsi="宋体" w:cs="宋体" w:hint="eastAsia"/>
          <w:sz w:val="18"/>
          <w:szCs w:val="18"/>
        </w:rPr>
      </w:pPr>
    </w:p>
    <w:p w14:paraId="0B164DBD" w14:textId="4B9C235B" w:rsidR="00632E5B" w:rsidRDefault="00107901" w:rsidP="00CA6DE8">
      <w:pPr>
        <w:pStyle w:val="a3"/>
        <w:rPr>
          <w:rFonts w:hint="eastAsia"/>
          <w:b/>
          <w:bCs/>
          <w:sz w:val="18"/>
          <w:szCs w:val="18"/>
        </w:rPr>
      </w:pPr>
      <w:r>
        <w:rPr>
          <w:rFonts w:hint="eastAsia"/>
          <w:sz w:val="18"/>
          <w:szCs w:val="18"/>
        </w:rPr>
        <w:t> </w:t>
      </w:r>
      <w:bookmarkStart w:id="25" w:name="_Toc988914"/>
      <w:r w:rsidRPr="00A31A34">
        <w:rPr>
          <w:b/>
          <w:bCs/>
          <w:sz w:val="18"/>
          <w:szCs w:val="18"/>
        </w:rPr>
        <w:t>（6） 报告期内合并范围是否发生变动</w:t>
      </w:r>
      <w:bookmarkEnd w:id="25"/>
    </w:p>
    <w:p w14:paraId="71B10CD8"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14:paraId="3046BBB9" w14:textId="77777777" w:rsidR="00E72F0C" w:rsidRDefault="00107901" w:rsidP="00115057">
      <w:pPr>
        <w:pStyle w:val="a3"/>
        <w:spacing w:before="0" w:beforeAutospacing="0" w:after="0" w:afterAutospacing="0" w:line="360" w:lineRule="auto"/>
        <w:jc w:val="both"/>
        <w:divId w:val="648755180"/>
        <w:rPr>
          <w:rFonts w:ascii="等线" w:eastAsia="等线" w:hAnsi="等线" w:hint="eastAsia"/>
          <w:sz w:val="21"/>
          <w:szCs w:val="21"/>
        </w:rPr>
      </w:pPr>
      <w:r>
        <w:rPr>
          <w:rFonts w:hint="eastAsia"/>
          <w:color w:val="000000"/>
          <w:sz w:val="21"/>
          <w:szCs w:val="21"/>
        </w:rPr>
        <w:t>1.单次处置对子公司投资即丧失控制权的情形：</w:t>
      </w:r>
      <w:proofErr w:type="spellStart"/>
      <w:r>
        <w:rPr>
          <w:rFonts w:hint="eastAsia"/>
          <w:color w:val="000000"/>
          <w:sz w:val="21"/>
          <w:szCs w:val="21"/>
        </w:rPr>
        <w:t>Fattoria</w:t>
      </w:r>
      <w:proofErr w:type="spellEnd"/>
      <w:r>
        <w:rPr>
          <w:rFonts w:hint="eastAsia"/>
          <w:color w:val="000000"/>
          <w:sz w:val="21"/>
          <w:szCs w:val="21"/>
        </w:rPr>
        <w:t xml:space="preserve"> Solare Imola </w:t>
      </w:r>
      <w:proofErr w:type="spellStart"/>
      <w:r>
        <w:rPr>
          <w:rFonts w:hint="eastAsia"/>
          <w:color w:val="000000"/>
          <w:sz w:val="21"/>
          <w:szCs w:val="21"/>
        </w:rPr>
        <w:t>S.r.l</w:t>
      </w:r>
      <w:proofErr w:type="spellEnd"/>
    </w:p>
    <w:p w14:paraId="249C686C" w14:textId="4B57BE03" w:rsidR="00E72F0C" w:rsidRDefault="00107901" w:rsidP="00115057">
      <w:pPr>
        <w:pStyle w:val="a3"/>
        <w:spacing w:before="0" w:beforeAutospacing="0" w:after="0" w:afterAutospacing="0" w:line="360" w:lineRule="auto"/>
        <w:divId w:val="648755180"/>
        <w:rPr>
          <w:rFonts w:ascii="等线" w:eastAsia="等线" w:hAnsi="等线" w:hint="eastAsia"/>
          <w:sz w:val="21"/>
          <w:szCs w:val="21"/>
        </w:rPr>
      </w:pPr>
      <w:r>
        <w:rPr>
          <w:rFonts w:hint="eastAsia"/>
          <w:color w:val="000000"/>
          <w:sz w:val="21"/>
          <w:szCs w:val="21"/>
        </w:rPr>
        <w:t>2.本期新设子公司:越南利星科技有限公司，注册资本367.35亿越南盾，本公司持股100%，截止2024年12月31日已完成出资。</w:t>
      </w:r>
      <w:r>
        <w:rPr>
          <w:rFonts w:hint="eastAsia"/>
          <w:color w:val="000000"/>
          <w:sz w:val="21"/>
          <w:szCs w:val="21"/>
        </w:rPr>
        <w:br/>
        <w:t>3.本期注销的子公司：东莞市中利特种电缆材料有限公司、湖州昊晖生态养殖有限公司、苏州腾晖华晟电力技术有限公司、苏州腾晖通安电力技术有限公司、苏州腾晖华耀电力技术有限公司、常熟腾晖能投光伏发电有限公司、重庆腾晖能投新能源有限公司、苏州腾晖科能电力技术有限公司、常熟创成光伏电站开发有限公司、常熟明拓光伏电站开发有限公司、宿迁和曦新能源有限公司、常熟明远光伏电站开发有限公司、宿迁和晨新能源有限公司、常熟拓志光伏电站开发有限公司、常熟诚明光伏电站开发有限公司、常熟诚丰光伏电站开发有限公司、河南腾晖家能新能源有限公司、TS SOLAR SPAIN A.G.、TS SOLAR ALFA SRL、TS SOLAR BETA SRL、TS SOLAR DELTA SRL、TS SOLAR EPSILON SRL、TS SOLAR ETA SRL、TS SOLAR GAMMA SRL、TS SOLAR THETA SRL、TS SOLAR ZETA SRL。</w:t>
      </w:r>
      <w:r>
        <w:rPr>
          <w:rFonts w:hint="eastAsia"/>
          <w:color w:val="000000"/>
          <w:sz w:val="21"/>
          <w:szCs w:val="21"/>
        </w:rPr>
        <w:br/>
        <w:t xml:space="preserve">4.本期因执行重整计划纳入信托计划而不再纳入合并范围的子公司：常熟拓明光伏电站开发有限公司、常熟诚元光伏电站开发有限公司、常熟宏发光伏电站开发有限公司、山东腾晖新能源技术有限公司、淄博盛晖光伏技术有限公司、淄博新晖光伏发电有限公司、宿迁腾晖光电有限公司、宿迁腾晖新能源技术有限公司、泗阳腾晖光电有限公司、泗阳腾晖新能源技术有限公司、沛县腾晖新能源技术有限公司、黄骅市腾晖新能源技术有限公司、山东腾晖光电有限公司、中利新能源（香港）投资有限公司、TS Energy Global S.à </w:t>
      </w:r>
      <w:proofErr w:type="spellStart"/>
      <w:r>
        <w:rPr>
          <w:rFonts w:hint="eastAsia"/>
          <w:color w:val="000000"/>
          <w:sz w:val="21"/>
          <w:szCs w:val="21"/>
        </w:rPr>
        <w:t>r.l</w:t>
      </w:r>
      <w:proofErr w:type="spellEnd"/>
      <w:r>
        <w:rPr>
          <w:rFonts w:hint="eastAsia"/>
          <w:color w:val="000000"/>
          <w:sz w:val="21"/>
          <w:szCs w:val="21"/>
        </w:rPr>
        <w:t>.、TALESUN NEW ENERGY VIETNAM COMPANY LIMITED、</w:t>
      </w:r>
      <w:proofErr w:type="spellStart"/>
      <w:r>
        <w:rPr>
          <w:rFonts w:hint="eastAsia"/>
          <w:color w:val="000000"/>
          <w:sz w:val="21"/>
          <w:szCs w:val="21"/>
        </w:rPr>
        <w:t>Talesun</w:t>
      </w:r>
      <w:proofErr w:type="spellEnd"/>
      <w:r>
        <w:rPr>
          <w:rFonts w:hint="eastAsia"/>
          <w:color w:val="000000"/>
          <w:sz w:val="21"/>
          <w:szCs w:val="21"/>
        </w:rPr>
        <w:t xml:space="preserve"> Solar Switzerland AG、</w:t>
      </w:r>
      <w:proofErr w:type="spellStart"/>
      <w:r>
        <w:rPr>
          <w:rFonts w:hint="eastAsia"/>
          <w:color w:val="000000"/>
          <w:sz w:val="21"/>
          <w:szCs w:val="21"/>
        </w:rPr>
        <w:t>Talesun</w:t>
      </w:r>
      <w:proofErr w:type="spellEnd"/>
      <w:r>
        <w:rPr>
          <w:rFonts w:hint="eastAsia"/>
          <w:color w:val="000000"/>
          <w:sz w:val="21"/>
          <w:szCs w:val="21"/>
        </w:rPr>
        <w:t xml:space="preserve"> Energy Argentina S.A.、</w:t>
      </w:r>
      <w:proofErr w:type="spellStart"/>
      <w:r>
        <w:rPr>
          <w:rFonts w:hint="eastAsia"/>
          <w:color w:val="000000"/>
          <w:sz w:val="21"/>
          <w:szCs w:val="21"/>
        </w:rPr>
        <w:t>Talesun</w:t>
      </w:r>
      <w:proofErr w:type="spellEnd"/>
      <w:r>
        <w:rPr>
          <w:rFonts w:hint="eastAsia"/>
          <w:color w:val="000000"/>
          <w:sz w:val="21"/>
          <w:szCs w:val="21"/>
        </w:rPr>
        <w:t xml:space="preserve"> Energy LATAM S.A.、</w:t>
      </w:r>
      <w:proofErr w:type="spellStart"/>
      <w:r>
        <w:rPr>
          <w:rFonts w:hint="eastAsia"/>
          <w:color w:val="000000"/>
          <w:sz w:val="21"/>
          <w:szCs w:val="21"/>
        </w:rPr>
        <w:t>Talesun</w:t>
      </w:r>
      <w:proofErr w:type="spellEnd"/>
      <w:r>
        <w:rPr>
          <w:rFonts w:hint="eastAsia"/>
          <w:color w:val="000000"/>
          <w:sz w:val="21"/>
          <w:szCs w:val="21"/>
        </w:rPr>
        <w:t xml:space="preserve"> Solar Germany GmbH、TSI Solar Enerji </w:t>
      </w:r>
      <w:proofErr w:type="spellStart"/>
      <w:r>
        <w:rPr>
          <w:rFonts w:hint="eastAsia"/>
          <w:color w:val="000000"/>
          <w:sz w:val="21"/>
          <w:szCs w:val="21"/>
        </w:rPr>
        <w:t>Anonim</w:t>
      </w:r>
      <w:proofErr w:type="spellEnd"/>
      <w:r>
        <w:rPr>
          <w:rFonts w:hint="eastAsia"/>
          <w:color w:val="000000"/>
          <w:sz w:val="21"/>
          <w:szCs w:val="21"/>
        </w:rPr>
        <w:t xml:space="preserve"> </w:t>
      </w:r>
      <w:proofErr w:type="spellStart"/>
      <w:r>
        <w:rPr>
          <w:rFonts w:hint="eastAsia"/>
          <w:color w:val="000000"/>
          <w:sz w:val="21"/>
          <w:szCs w:val="21"/>
        </w:rPr>
        <w:t>Sirketi</w:t>
      </w:r>
      <w:proofErr w:type="spellEnd"/>
      <w:r>
        <w:rPr>
          <w:rFonts w:hint="eastAsia"/>
          <w:color w:val="000000"/>
          <w:sz w:val="21"/>
          <w:szCs w:val="21"/>
        </w:rPr>
        <w:t>、</w:t>
      </w:r>
      <w:proofErr w:type="spellStart"/>
      <w:r>
        <w:rPr>
          <w:rFonts w:hint="eastAsia"/>
          <w:color w:val="000000"/>
          <w:sz w:val="21"/>
          <w:szCs w:val="21"/>
        </w:rPr>
        <w:t>Talesun</w:t>
      </w:r>
      <w:proofErr w:type="spellEnd"/>
      <w:r>
        <w:rPr>
          <w:rFonts w:hint="eastAsia"/>
          <w:color w:val="000000"/>
          <w:sz w:val="21"/>
          <w:szCs w:val="21"/>
        </w:rPr>
        <w:t xml:space="preserve"> Solar Technologies S.A.G.L、</w:t>
      </w:r>
      <w:proofErr w:type="spellStart"/>
      <w:r>
        <w:rPr>
          <w:rFonts w:hint="eastAsia"/>
          <w:color w:val="000000"/>
          <w:sz w:val="21"/>
          <w:szCs w:val="21"/>
        </w:rPr>
        <w:t>Talesun</w:t>
      </w:r>
      <w:proofErr w:type="spellEnd"/>
      <w:r>
        <w:rPr>
          <w:rFonts w:hint="eastAsia"/>
          <w:color w:val="000000"/>
          <w:sz w:val="21"/>
          <w:szCs w:val="21"/>
        </w:rPr>
        <w:t xml:space="preserve"> Solar Bucharest S.R.L、TS SOLAR ITALY AG、</w:t>
      </w:r>
      <w:proofErr w:type="spellStart"/>
      <w:r>
        <w:rPr>
          <w:rFonts w:hint="eastAsia"/>
          <w:color w:val="000000"/>
          <w:sz w:val="21"/>
          <w:szCs w:val="21"/>
        </w:rPr>
        <w:t>Fattoria</w:t>
      </w:r>
      <w:proofErr w:type="spellEnd"/>
      <w:r>
        <w:rPr>
          <w:rFonts w:hint="eastAsia"/>
          <w:color w:val="000000"/>
          <w:sz w:val="21"/>
          <w:szCs w:val="21"/>
        </w:rPr>
        <w:t xml:space="preserve"> Solare Alfonsine </w:t>
      </w:r>
      <w:proofErr w:type="spellStart"/>
      <w:r>
        <w:rPr>
          <w:rFonts w:hint="eastAsia"/>
          <w:color w:val="000000"/>
          <w:sz w:val="21"/>
          <w:szCs w:val="21"/>
        </w:rPr>
        <w:t>S.r.l</w:t>
      </w:r>
      <w:proofErr w:type="spellEnd"/>
      <w:r>
        <w:rPr>
          <w:rFonts w:hint="eastAsia"/>
          <w:color w:val="000000"/>
          <w:sz w:val="21"/>
          <w:szCs w:val="21"/>
        </w:rPr>
        <w:t>.、</w:t>
      </w:r>
      <w:proofErr w:type="spellStart"/>
      <w:r>
        <w:rPr>
          <w:rFonts w:hint="eastAsia"/>
          <w:color w:val="000000"/>
          <w:sz w:val="21"/>
          <w:szCs w:val="21"/>
        </w:rPr>
        <w:t>Fattoria</w:t>
      </w:r>
      <w:proofErr w:type="spellEnd"/>
      <w:r>
        <w:rPr>
          <w:rFonts w:hint="eastAsia"/>
          <w:color w:val="000000"/>
          <w:sz w:val="21"/>
          <w:szCs w:val="21"/>
        </w:rPr>
        <w:t xml:space="preserve"> Solare Montecchio </w:t>
      </w:r>
      <w:proofErr w:type="spellStart"/>
      <w:r>
        <w:rPr>
          <w:rFonts w:hint="eastAsia"/>
          <w:color w:val="000000"/>
          <w:sz w:val="21"/>
          <w:szCs w:val="21"/>
        </w:rPr>
        <w:t>S.r.l</w:t>
      </w:r>
      <w:proofErr w:type="spellEnd"/>
      <w:r>
        <w:rPr>
          <w:rFonts w:hint="eastAsia"/>
          <w:color w:val="000000"/>
          <w:sz w:val="21"/>
          <w:szCs w:val="21"/>
        </w:rPr>
        <w:t>、</w:t>
      </w:r>
      <w:proofErr w:type="spellStart"/>
      <w:r>
        <w:rPr>
          <w:rFonts w:hint="eastAsia"/>
          <w:color w:val="000000"/>
          <w:sz w:val="21"/>
          <w:szCs w:val="21"/>
        </w:rPr>
        <w:t>Talesun</w:t>
      </w:r>
      <w:proofErr w:type="spellEnd"/>
      <w:r>
        <w:rPr>
          <w:rFonts w:hint="eastAsia"/>
          <w:color w:val="000000"/>
          <w:sz w:val="21"/>
          <w:szCs w:val="21"/>
        </w:rPr>
        <w:t xml:space="preserve"> Energy Solutions S.R.L.、TS ENERGY ROOFTOPS S.R.L.、AMT 1801 S.R.L.、TS Energy Apulia </w:t>
      </w:r>
      <w:proofErr w:type="spellStart"/>
      <w:r>
        <w:rPr>
          <w:rFonts w:hint="eastAsia"/>
          <w:color w:val="000000"/>
          <w:sz w:val="21"/>
          <w:szCs w:val="21"/>
        </w:rPr>
        <w:t>Srl</w:t>
      </w:r>
      <w:proofErr w:type="spellEnd"/>
      <w:r>
        <w:rPr>
          <w:rFonts w:hint="eastAsia"/>
          <w:color w:val="000000"/>
          <w:sz w:val="21"/>
          <w:szCs w:val="21"/>
        </w:rPr>
        <w:t xml:space="preserve">、Tre </w:t>
      </w:r>
      <w:proofErr w:type="spellStart"/>
      <w:r>
        <w:rPr>
          <w:rFonts w:hint="eastAsia"/>
          <w:color w:val="000000"/>
          <w:sz w:val="21"/>
          <w:szCs w:val="21"/>
        </w:rPr>
        <w:t>ConfiniSrl</w:t>
      </w:r>
      <w:proofErr w:type="spellEnd"/>
      <w:r>
        <w:rPr>
          <w:rFonts w:hint="eastAsia"/>
          <w:color w:val="000000"/>
          <w:sz w:val="21"/>
          <w:szCs w:val="21"/>
        </w:rPr>
        <w:t>、</w:t>
      </w:r>
      <w:proofErr w:type="spellStart"/>
      <w:r>
        <w:rPr>
          <w:rFonts w:hint="eastAsia"/>
          <w:color w:val="000000"/>
          <w:sz w:val="21"/>
          <w:szCs w:val="21"/>
        </w:rPr>
        <w:t>FerrandinaSrl</w:t>
      </w:r>
      <w:proofErr w:type="spellEnd"/>
      <w:r>
        <w:rPr>
          <w:rFonts w:hint="eastAsia"/>
          <w:color w:val="000000"/>
          <w:sz w:val="21"/>
          <w:szCs w:val="21"/>
        </w:rPr>
        <w:t>、</w:t>
      </w:r>
      <w:proofErr w:type="spellStart"/>
      <w:r>
        <w:rPr>
          <w:rFonts w:hint="eastAsia"/>
          <w:color w:val="000000"/>
          <w:sz w:val="21"/>
          <w:szCs w:val="21"/>
        </w:rPr>
        <w:t>Ginosa</w:t>
      </w:r>
      <w:proofErr w:type="spellEnd"/>
      <w:r>
        <w:rPr>
          <w:rFonts w:hint="eastAsia"/>
          <w:color w:val="000000"/>
          <w:sz w:val="21"/>
          <w:szCs w:val="21"/>
        </w:rPr>
        <w:t xml:space="preserve"> </w:t>
      </w:r>
      <w:proofErr w:type="spellStart"/>
      <w:r>
        <w:rPr>
          <w:rFonts w:hint="eastAsia"/>
          <w:color w:val="000000"/>
          <w:sz w:val="21"/>
          <w:szCs w:val="21"/>
        </w:rPr>
        <w:t>Srl</w:t>
      </w:r>
      <w:proofErr w:type="spellEnd"/>
      <w:r>
        <w:rPr>
          <w:rFonts w:hint="eastAsia"/>
          <w:color w:val="000000"/>
          <w:sz w:val="21"/>
          <w:szCs w:val="21"/>
        </w:rPr>
        <w:t xml:space="preserve">、San Mauro </w:t>
      </w:r>
      <w:proofErr w:type="spellStart"/>
      <w:r>
        <w:rPr>
          <w:rFonts w:hint="eastAsia"/>
          <w:color w:val="000000"/>
          <w:sz w:val="21"/>
          <w:szCs w:val="21"/>
        </w:rPr>
        <w:t>Srl</w:t>
      </w:r>
      <w:proofErr w:type="spellEnd"/>
      <w:r>
        <w:rPr>
          <w:rFonts w:hint="eastAsia"/>
          <w:color w:val="000000"/>
          <w:sz w:val="21"/>
          <w:szCs w:val="21"/>
        </w:rPr>
        <w:t xml:space="preserve">、TS ENERGY </w:t>
      </w:r>
      <w:r>
        <w:rPr>
          <w:rFonts w:hint="eastAsia"/>
          <w:color w:val="000000"/>
          <w:sz w:val="21"/>
          <w:szCs w:val="21"/>
        </w:rPr>
        <w:lastRenderedPageBreak/>
        <w:t>EUROPE S.A.、腾晖电力美国有限公司、TALESUN DO BRASIL CONSULTORIA LTDA.、Zhongli New Energy USA CO.,LLC、中利太阳能控股日本有限公司、Space Engineer A LLC、合同会社井上能源、JAE株式会社、新电力太阳光厚岸发电所合同会社、新电力太阳光御殿场发电所合同会社、新电力御殿场太阳光第1株式会社、农光振兴株式会社、新荣商事株式会社、中利腾晖香港有限公司、TALESUN SOLAR FRANCE、TALESUN SOLAR TECHNOLOGY(SINGAPORE) PTE.LTD.、腾晖电力日本有限公司、</w:t>
      </w:r>
      <w:proofErr w:type="spellStart"/>
      <w:r w:rsidR="00115057">
        <w:rPr>
          <w:rFonts w:hint="eastAsia"/>
          <w:color w:val="000000"/>
          <w:sz w:val="21"/>
          <w:szCs w:val="21"/>
        </w:rPr>
        <w:t>Talesun</w:t>
      </w:r>
      <w:proofErr w:type="spellEnd"/>
      <w:r w:rsidR="00115057">
        <w:rPr>
          <w:rFonts w:hint="eastAsia"/>
          <w:color w:val="000000"/>
          <w:sz w:val="21"/>
          <w:szCs w:val="21"/>
        </w:rPr>
        <w:t xml:space="preserve"> Solar Canada Inc.</w:t>
      </w:r>
      <w:r>
        <w:rPr>
          <w:rFonts w:hint="eastAsia"/>
          <w:color w:val="000000"/>
          <w:sz w:val="21"/>
          <w:szCs w:val="21"/>
        </w:rPr>
        <w:t>。</w:t>
      </w:r>
    </w:p>
    <w:p w14:paraId="1F5EC443" w14:textId="77777777" w:rsidR="00632E5B" w:rsidRDefault="00107901">
      <w:pPr>
        <w:keepNext/>
        <w:keepLines/>
        <w:spacing w:before="300" w:after="300" w:line="280" w:lineRule="exact"/>
        <w:outlineLvl w:val="3"/>
        <w:rPr>
          <w:rFonts w:ascii="宋体" w:eastAsia="宋体" w:hAnsi="宋体" w:cs="宋体" w:hint="eastAsia"/>
          <w:b/>
          <w:bCs/>
          <w:sz w:val="18"/>
          <w:szCs w:val="18"/>
        </w:rPr>
      </w:pPr>
      <w:bookmarkStart w:id="26" w:name="_Toc988915"/>
      <w:r>
        <w:rPr>
          <w:rFonts w:ascii="宋体" w:eastAsia="宋体" w:hAnsi="宋体" w:cs="宋体"/>
          <w:b/>
          <w:bCs/>
          <w:sz w:val="18"/>
          <w:szCs w:val="18"/>
        </w:rPr>
        <w:t>（7） 公司报告期内业务、产品或服务发生重大变化或调整有关情况</w:t>
      </w:r>
      <w:bookmarkEnd w:id="26"/>
    </w:p>
    <w:p w14:paraId="119C0DB1"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2AC6007D" w14:textId="77777777" w:rsidR="00632E5B" w:rsidRDefault="00107901">
      <w:pPr>
        <w:keepNext/>
        <w:keepLines/>
        <w:spacing w:before="300" w:after="300" w:line="280" w:lineRule="exact"/>
        <w:outlineLvl w:val="3"/>
        <w:rPr>
          <w:rFonts w:ascii="宋体" w:eastAsia="宋体" w:hAnsi="宋体" w:cs="宋体" w:hint="eastAsia"/>
          <w:b/>
          <w:bCs/>
          <w:sz w:val="18"/>
          <w:szCs w:val="18"/>
        </w:rPr>
      </w:pPr>
      <w:bookmarkStart w:id="27" w:name="_Toc988916"/>
      <w:r>
        <w:rPr>
          <w:rFonts w:ascii="宋体" w:eastAsia="宋体" w:hAnsi="宋体" w:cs="宋体"/>
          <w:b/>
          <w:bCs/>
          <w:sz w:val="18"/>
          <w:szCs w:val="18"/>
        </w:rPr>
        <w:t>（8） 主要销售客户和主要供应商情况</w:t>
      </w:r>
      <w:bookmarkEnd w:id="27"/>
    </w:p>
    <w:p w14:paraId="090D964D" w14:textId="3B0FCE58"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公司主要销售客户情况</w:t>
      </w:r>
    </w:p>
    <w:p w14:paraId="686BCE0C" w14:textId="77777777" w:rsidR="006F4AAB" w:rsidRDefault="006F4AAB">
      <w:pPr>
        <w:spacing w:before="100" w:after="100" w:line="240" w:lineRule="exact"/>
        <w:rPr>
          <w:rFonts w:ascii="宋体" w:eastAsia="宋体" w:hAnsi="宋体" w:cs="宋体" w:hint="eastAsia"/>
          <w:sz w:val="18"/>
          <w:szCs w:val="18"/>
        </w:rPr>
      </w:pP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4820"/>
        <w:gridCol w:w="4819"/>
      </w:tblGrid>
      <w:tr w:rsidR="00632E5B" w14:paraId="51F788B0" w14:textId="77777777" w:rsidTr="00D954C5">
        <w:trPr>
          <w:trHeight w:val="240"/>
        </w:trPr>
        <w:tc>
          <w:tcPr>
            <w:tcW w:w="4820" w:type="dxa"/>
            <w:shd w:val="clear" w:color="auto" w:fill="FFFFFF" w:themeFill="background1"/>
            <w:vAlign w:val="center"/>
          </w:tcPr>
          <w:p w14:paraId="694BC81C"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前五名客户合计销售金额（元）</w:t>
            </w:r>
          </w:p>
        </w:tc>
        <w:tc>
          <w:tcPr>
            <w:tcW w:w="4820" w:type="dxa"/>
            <w:shd w:val="clear" w:color="auto" w:fill="FFFFFF" w:themeFill="background1"/>
            <w:vAlign w:val="center"/>
          </w:tcPr>
          <w:p w14:paraId="1B48C69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1,054,354,525.42</w:t>
            </w:r>
          </w:p>
        </w:tc>
      </w:tr>
      <w:tr w:rsidR="00632E5B" w14:paraId="5CCD1DA8" w14:textId="77777777" w:rsidTr="00D954C5">
        <w:trPr>
          <w:trHeight w:val="240"/>
        </w:trPr>
        <w:tc>
          <w:tcPr>
            <w:tcW w:w="4820" w:type="dxa"/>
            <w:shd w:val="clear" w:color="auto" w:fill="FFFFFF" w:themeFill="background1"/>
            <w:vAlign w:val="center"/>
          </w:tcPr>
          <w:p w14:paraId="2043AF1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前五名客户合计销售金额占年度销售总额比例</w:t>
            </w:r>
          </w:p>
        </w:tc>
        <w:tc>
          <w:tcPr>
            <w:tcW w:w="4820" w:type="dxa"/>
            <w:shd w:val="clear" w:color="auto" w:fill="FFFFFF" w:themeFill="background1"/>
            <w:vAlign w:val="center"/>
          </w:tcPr>
          <w:p w14:paraId="5FA1C9F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44.71%</w:t>
            </w:r>
          </w:p>
        </w:tc>
      </w:tr>
      <w:tr w:rsidR="00632E5B" w14:paraId="3A236395" w14:textId="77777777" w:rsidTr="00D954C5">
        <w:trPr>
          <w:trHeight w:val="240"/>
        </w:trPr>
        <w:tc>
          <w:tcPr>
            <w:tcW w:w="4820" w:type="dxa"/>
            <w:shd w:val="clear" w:color="auto" w:fill="FFFFFF" w:themeFill="background1"/>
            <w:vAlign w:val="center"/>
          </w:tcPr>
          <w:p w14:paraId="43F7A094"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前五名客户销售额中关联方销售额占年度销售总额比例</w:t>
            </w:r>
          </w:p>
        </w:tc>
        <w:tc>
          <w:tcPr>
            <w:tcW w:w="4820" w:type="dxa"/>
            <w:shd w:val="clear" w:color="auto" w:fill="FFFFFF" w:themeFill="background1"/>
            <w:vAlign w:val="center"/>
          </w:tcPr>
          <w:p w14:paraId="0DD832D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r>
    </w:tbl>
    <w:p w14:paraId="7AB0202B"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公司前5大客户资料</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2409"/>
        <w:gridCol w:w="2410"/>
        <w:gridCol w:w="2410"/>
        <w:gridCol w:w="2410"/>
      </w:tblGrid>
      <w:tr w:rsidR="00632E5B" w14:paraId="532C34FE" w14:textId="77777777" w:rsidTr="00D954C5">
        <w:trPr>
          <w:trHeight w:val="240"/>
        </w:trPr>
        <w:tc>
          <w:tcPr>
            <w:tcW w:w="2410" w:type="dxa"/>
            <w:shd w:val="clear" w:color="auto" w:fill="FFFFFF" w:themeFill="background1"/>
            <w:vAlign w:val="center"/>
          </w:tcPr>
          <w:p w14:paraId="51CF180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序号</w:t>
            </w:r>
          </w:p>
        </w:tc>
        <w:tc>
          <w:tcPr>
            <w:tcW w:w="2410" w:type="dxa"/>
            <w:shd w:val="clear" w:color="auto" w:fill="FFFFFF" w:themeFill="background1"/>
            <w:vAlign w:val="center"/>
          </w:tcPr>
          <w:p w14:paraId="10DA32B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客户名称</w:t>
            </w:r>
          </w:p>
        </w:tc>
        <w:tc>
          <w:tcPr>
            <w:tcW w:w="2410" w:type="dxa"/>
            <w:shd w:val="clear" w:color="auto" w:fill="FFFFFF" w:themeFill="background1"/>
            <w:vAlign w:val="center"/>
          </w:tcPr>
          <w:p w14:paraId="1DD9673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销售额（元）</w:t>
            </w:r>
          </w:p>
        </w:tc>
        <w:tc>
          <w:tcPr>
            <w:tcW w:w="2410" w:type="dxa"/>
            <w:shd w:val="clear" w:color="auto" w:fill="FFFFFF" w:themeFill="background1"/>
            <w:vAlign w:val="center"/>
          </w:tcPr>
          <w:p w14:paraId="3859415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占年度销售总额比例</w:t>
            </w:r>
          </w:p>
        </w:tc>
      </w:tr>
      <w:tr w:rsidR="00632E5B" w14:paraId="011D67C3" w14:textId="77777777" w:rsidTr="00D954C5">
        <w:trPr>
          <w:trHeight w:val="240"/>
        </w:trPr>
        <w:tc>
          <w:tcPr>
            <w:tcW w:w="2410" w:type="dxa"/>
            <w:shd w:val="clear" w:color="auto" w:fill="FFFFFF" w:themeFill="background1"/>
            <w:vAlign w:val="center"/>
          </w:tcPr>
          <w:p w14:paraId="61F9C95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1</w:t>
            </w:r>
          </w:p>
        </w:tc>
        <w:tc>
          <w:tcPr>
            <w:tcW w:w="2410" w:type="dxa"/>
            <w:shd w:val="clear" w:color="auto" w:fill="FFFFFF" w:themeFill="background1"/>
            <w:vAlign w:val="center"/>
          </w:tcPr>
          <w:p w14:paraId="46AD087C" w14:textId="1F4D7363" w:rsidR="00632E5B" w:rsidRDefault="003F2B1F" w:rsidP="003F2B1F">
            <w:pPr>
              <w:spacing w:line="240" w:lineRule="exact"/>
              <w:jc w:val="center"/>
              <w:rPr>
                <w:rFonts w:ascii="宋体" w:eastAsia="宋体" w:hAnsi="宋体" w:cs="宋体" w:hint="eastAsia"/>
                <w:sz w:val="18"/>
                <w:szCs w:val="18"/>
              </w:rPr>
            </w:pPr>
            <w:r>
              <w:rPr>
                <w:rFonts w:ascii="宋体" w:eastAsia="宋体" w:hAnsi="宋体" w:cs="宋体" w:hint="eastAsia"/>
                <w:sz w:val="18"/>
                <w:szCs w:val="18"/>
              </w:rPr>
              <w:t>第一名</w:t>
            </w:r>
          </w:p>
        </w:tc>
        <w:tc>
          <w:tcPr>
            <w:tcW w:w="2410" w:type="dxa"/>
            <w:shd w:val="clear" w:color="auto" w:fill="FFFFFF" w:themeFill="background1"/>
            <w:vAlign w:val="center"/>
          </w:tcPr>
          <w:p w14:paraId="772B51A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624,474,693.04</w:t>
            </w:r>
          </w:p>
        </w:tc>
        <w:tc>
          <w:tcPr>
            <w:tcW w:w="2410" w:type="dxa"/>
            <w:shd w:val="clear" w:color="auto" w:fill="FFFFFF" w:themeFill="background1"/>
            <w:vAlign w:val="center"/>
          </w:tcPr>
          <w:p w14:paraId="53E7DD3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26.48%</w:t>
            </w:r>
          </w:p>
        </w:tc>
      </w:tr>
      <w:tr w:rsidR="00632E5B" w14:paraId="2E9A5BAF" w14:textId="77777777" w:rsidTr="00D954C5">
        <w:trPr>
          <w:trHeight w:val="240"/>
        </w:trPr>
        <w:tc>
          <w:tcPr>
            <w:tcW w:w="2410" w:type="dxa"/>
            <w:shd w:val="clear" w:color="auto" w:fill="FFFFFF" w:themeFill="background1"/>
            <w:vAlign w:val="center"/>
          </w:tcPr>
          <w:p w14:paraId="602257D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w:t>
            </w:r>
          </w:p>
        </w:tc>
        <w:tc>
          <w:tcPr>
            <w:tcW w:w="2410" w:type="dxa"/>
            <w:shd w:val="clear" w:color="auto" w:fill="FFFFFF" w:themeFill="background1"/>
            <w:vAlign w:val="center"/>
          </w:tcPr>
          <w:p w14:paraId="2090AF32" w14:textId="79505FB9" w:rsidR="00632E5B" w:rsidRDefault="003F2B1F" w:rsidP="003F2B1F">
            <w:pPr>
              <w:spacing w:line="240" w:lineRule="exact"/>
              <w:jc w:val="center"/>
              <w:rPr>
                <w:rFonts w:ascii="宋体" w:eastAsia="宋体" w:hAnsi="宋体" w:cs="宋体" w:hint="eastAsia"/>
                <w:sz w:val="18"/>
                <w:szCs w:val="18"/>
              </w:rPr>
            </w:pPr>
            <w:r>
              <w:rPr>
                <w:rFonts w:ascii="宋体" w:eastAsia="宋体" w:hAnsi="宋体" w:cs="宋体" w:hint="eastAsia"/>
                <w:sz w:val="18"/>
                <w:szCs w:val="18"/>
              </w:rPr>
              <w:t>第二名</w:t>
            </w:r>
          </w:p>
        </w:tc>
        <w:tc>
          <w:tcPr>
            <w:tcW w:w="2410" w:type="dxa"/>
            <w:shd w:val="clear" w:color="auto" w:fill="FFFFFF" w:themeFill="background1"/>
            <w:vAlign w:val="center"/>
          </w:tcPr>
          <w:p w14:paraId="699DD92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133,686,941.30</w:t>
            </w:r>
          </w:p>
        </w:tc>
        <w:tc>
          <w:tcPr>
            <w:tcW w:w="2410" w:type="dxa"/>
            <w:shd w:val="clear" w:color="auto" w:fill="FFFFFF" w:themeFill="background1"/>
            <w:vAlign w:val="center"/>
          </w:tcPr>
          <w:p w14:paraId="67A135D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5.67%</w:t>
            </w:r>
          </w:p>
        </w:tc>
      </w:tr>
      <w:tr w:rsidR="00632E5B" w14:paraId="0E9D69AF" w14:textId="77777777" w:rsidTr="00D954C5">
        <w:trPr>
          <w:trHeight w:val="240"/>
        </w:trPr>
        <w:tc>
          <w:tcPr>
            <w:tcW w:w="2410" w:type="dxa"/>
            <w:shd w:val="clear" w:color="auto" w:fill="FFFFFF" w:themeFill="background1"/>
            <w:vAlign w:val="center"/>
          </w:tcPr>
          <w:p w14:paraId="72BC0A5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3</w:t>
            </w:r>
          </w:p>
        </w:tc>
        <w:tc>
          <w:tcPr>
            <w:tcW w:w="2410" w:type="dxa"/>
            <w:shd w:val="clear" w:color="auto" w:fill="FFFFFF" w:themeFill="background1"/>
            <w:vAlign w:val="center"/>
          </w:tcPr>
          <w:p w14:paraId="32E657B2" w14:textId="1107EECA" w:rsidR="00632E5B" w:rsidRDefault="003F2B1F" w:rsidP="003F2B1F">
            <w:pPr>
              <w:spacing w:line="240" w:lineRule="exact"/>
              <w:jc w:val="center"/>
              <w:rPr>
                <w:rFonts w:ascii="宋体" w:eastAsia="宋体" w:hAnsi="宋体" w:cs="宋体" w:hint="eastAsia"/>
                <w:sz w:val="18"/>
                <w:szCs w:val="18"/>
              </w:rPr>
            </w:pPr>
            <w:r>
              <w:rPr>
                <w:rFonts w:ascii="宋体" w:eastAsia="宋体" w:hAnsi="宋体" w:cs="宋体" w:hint="eastAsia"/>
                <w:sz w:val="18"/>
                <w:szCs w:val="18"/>
              </w:rPr>
              <w:t>第三名</w:t>
            </w:r>
          </w:p>
        </w:tc>
        <w:tc>
          <w:tcPr>
            <w:tcW w:w="2410" w:type="dxa"/>
            <w:shd w:val="clear" w:color="auto" w:fill="FFFFFF" w:themeFill="background1"/>
            <w:vAlign w:val="center"/>
          </w:tcPr>
          <w:p w14:paraId="49BF0D4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127,204,914.33</w:t>
            </w:r>
          </w:p>
        </w:tc>
        <w:tc>
          <w:tcPr>
            <w:tcW w:w="2410" w:type="dxa"/>
            <w:shd w:val="clear" w:color="auto" w:fill="FFFFFF" w:themeFill="background1"/>
            <w:vAlign w:val="center"/>
          </w:tcPr>
          <w:p w14:paraId="416D067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5.39%</w:t>
            </w:r>
          </w:p>
        </w:tc>
      </w:tr>
      <w:tr w:rsidR="00632E5B" w14:paraId="20EC5AC1" w14:textId="77777777" w:rsidTr="00D954C5">
        <w:trPr>
          <w:trHeight w:val="240"/>
        </w:trPr>
        <w:tc>
          <w:tcPr>
            <w:tcW w:w="2410" w:type="dxa"/>
            <w:shd w:val="clear" w:color="auto" w:fill="FFFFFF" w:themeFill="background1"/>
            <w:vAlign w:val="center"/>
          </w:tcPr>
          <w:p w14:paraId="47EC145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4</w:t>
            </w:r>
          </w:p>
        </w:tc>
        <w:tc>
          <w:tcPr>
            <w:tcW w:w="2410" w:type="dxa"/>
            <w:shd w:val="clear" w:color="auto" w:fill="FFFFFF" w:themeFill="background1"/>
            <w:vAlign w:val="center"/>
          </w:tcPr>
          <w:p w14:paraId="46D66A63" w14:textId="1B753658" w:rsidR="00632E5B" w:rsidRDefault="003F2B1F" w:rsidP="003F2B1F">
            <w:pPr>
              <w:spacing w:line="240" w:lineRule="exact"/>
              <w:jc w:val="center"/>
              <w:rPr>
                <w:rFonts w:ascii="宋体" w:eastAsia="宋体" w:hAnsi="宋体" w:cs="宋体" w:hint="eastAsia"/>
                <w:sz w:val="18"/>
                <w:szCs w:val="18"/>
              </w:rPr>
            </w:pPr>
            <w:r>
              <w:rPr>
                <w:rFonts w:ascii="宋体" w:eastAsia="宋体" w:hAnsi="宋体" w:cs="宋体" w:hint="eastAsia"/>
                <w:sz w:val="18"/>
                <w:szCs w:val="18"/>
              </w:rPr>
              <w:t>第四名</w:t>
            </w:r>
          </w:p>
        </w:tc>
        <w:tc>
          <w:tcPr>
            <w:tcW w:w="2410" w:type="dxa"/>
            <w:shd w:val="clear" w:color="auto" w:fill="FFFFFF" w:themeFill="background1"/>
            <w:vAlign w:val="center"/>
          </w:tcPr>
          <w:p w14:paraId="2ABC24B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100,867,344.03</w:t>
            </w:r>
          </w:p>
        </w:tc>
        <w:tc>
          <w:tcPr>
            <w:tcW w:w="2410" w:type="dxa"/>
            <w:shd w:val="clear" w:color="auto" w:fill="FFFFFF" w:themeFill="background1"/>
            <w:vAlign w:val="center"/>
          </w:tcPr>
          <w:p w14:paraId="0ED8742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4.28%</w:t>
            </w:r>
          </w:p>
        </w:tc>
      </w:tr>
      <w:tr w:rsidR="00632E5B" w14:paraId="04079FC4" w14:textId="77777777" w:rsidTr="00D954C5">
        <w:trPr>
          <w:trHeight w:val="240"/>
        </w:trPr>
        <w:tc>
          <w:tcPr>
            <w:tcW w:w="2410" w:type="dxa"/>
            <w:shd w:val="clear" w:color="auto" w:fill="FFFFFF" w:themeFill="background1"/>
            <w:vAlign w:val="center"/>
          </w:tcPr>
          <w:p w14:paraId="2662512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5</w:t>
            </w:r>
          </w:p>
        </w:tc>
        <w:tc>
          <w:tcPr>
            <w:tcW w:w="2410" w:type="dxa"/>
            <w:shd w:val="clear" w:color="auto" w:fill="FFFFFF" w:themeFill="background1"/>
            <w:vAlign w:val="center"/>
          </w:tcPr>
          <w:p w14:paraId="24CFA04E" w14:textId="7AB28470" w:rsidR="00632E5B" w:rsidRDefault="003F2B1F" w:rsidP="003F2B1F">
            <w:pPr>
              <w:spacing w:line="240" w:lineRule="exact"/>
              <w:jc w:val="center"/>
              <w:rPr>
                <w:rFonts w:ascii="宋体" w:eastAsia="宋体" w:hAnsi="宋体" w:cs="宋体" w:hint="eastAsia"/>
                <w:sz w:val="18"/>
                <w:szCs w:val="18"/>
              </w:rPr>
            </w:pPr>
            <w:r>
              <w:rPr>
                <w:rFonts w:ascii="宋体" w:eastAsia="宋体" w:hAnsi="宋体" w:cs="宋体" w:hint="eastAsia"/>
                <w:sz w:val="18"/>
                <w:szCs w:val="18"/>
              </w:rPr>
              <w:t>第五名</w:t>
            </w:r>
          </w:p>
        </w:tc>
        <w:tc>
          <w:tcPr>
            <w:tcW w:w="2410" w:type="dxa"/>
            <w:shd w:val="clear" w:color="auto" w:fill="FFFFFF" w:themeFill="background1"/>
            <w:vAlign w:val="center"/>
          </w:tcPr>
          <w:p w14:paraId="4C459C1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68,120,632.72</w:t>
            </w:r>
          </w:p>
        </w:tc>
        <w:tc>
          <w:tcPr>
            <w:tcW w:w="2410" w:type="dxa"/>
            <w:shd w:val="clear" w:color="auto" w:fill="FFFFFF" w:themeFill="background1"/>
            <w:vAlign w:val="center"/>
          </w:tcPr>
          <w:p w14:paraId="2581EA5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2.89%</w:t>
            </w:r>
          </w:p>
        </w:tc>
      </w:tr>
      <w:tr w:rsidR="00632E5B" w14:paraId="4728088E" w14:textId="77777777" w:rsidTr="00D954C5">
        <w:trPr>
          <w:trHeight w:val="240"/>
        </w:trPr>
        <w:tc>
          <w:tcPr>
            <w:tcW w:w="2410" w:type="dxa"/>
            <w:shd w:val="clear" w:color="auto" w:fill="FFFFFF" w:themeFill="background1"/>
            <w:vAlign w:val="center"/>
          </w:tcPr>
          <w:p w14:paraId="3388D05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合计</w:t>
            </w:r>
          </w:p>
        </w:tc>
        <w:tc>
          <w:tcPr>
            <w:tcW w:w="2410" w:type="dxa"/>
            <w:shd w:val="clear" w:color="auto" w:fill="FFFFFF" w:themeFill="background1"/>
            <w:vAlign w:val="center"/>
          </w:tcPr>
          <w:p w14:paraId="22AE2F1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2410" w:type="dxa"/>
            <w:shd w:val="clear" w:color="auto" w:fill="FFFFFF" w:themeFill="background1"/>
            <w:vAlign w:val="center"/>
          </w:tcPr>
          <w:p w14:paraId="0F506A4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1,054,354,525.42</w:t>
            </w:r>
          </w:p>
        </w:tc>
        <w:tc>
          <w:tcPr>
            <w:tcW w:w="2410" w:type="dxa"/>
            <w:shd w:val="clear" w:color="auto" w:fill="FFFFFF" w:themeFill="background1"/>
            <w:vAlign w:val="center"/>
          </w:tcPr>
          <w:p w14:paraId="1B09199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44.71%</w:t>
            </w:r>
          </w:p>
        </w:tc>
      </w:tr>
    </w:tbl>
    <w:p w14:paraId="65DD00BB"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主要客户其他情况说明</w:t>
      </w:r>
    </w:p>
    <w:p w14:paraId="6A71FB45"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1C17124"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公司主要供应商情况</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4820"/>
        <w:gridCol w:w="4819"/>
      </w:tblGrid>
      <w:tr w:rsidR="00632E5B" w14:paraId="44A969C5" w14:textId="77777777" w:rsidTr="00D954C5">
        <w:trPr>
          <w:trHeight w:val="240"/>
        </w:trPr>
        <w:tc>
          <w:tcPr>
            <w:tcW w:w="4820" w:type="dxa"/>
            <w:shd w:val="clear" w:color="auto" w:fill="FFFFFF" w:themeFill="background1"/>
            <w:vAlign w:val="center"/>
          </w:tcPr>
          <w:p w14:paraId="651E3B35"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前五名供应商合计采购金额（元）</w:t>
            </w:r>
          </w:p>
        </w:tc>
        <w:tc>
          <w:tcPr>
            <w:tcW w:w="4820" w:type="dxa"/>
            <w:shd w:val="clear" w:color="auto" w:fill="FFFFFF" w:themeFill="background1"/>
            <w:vAlign w:val="center"/>
          </w:tcPr>
          <w:p w14:paraId="53D244E2" w14:textId="4B6BE584" w:rsidR="00632E5B" w:rsidRDefault="00467AC7">
            <w:pPr>
              <w:spacing w:line="240" w:lineRule="exact"/>
              <w:jc w:val="right"/>
              <w:rPr>
                <w:rFonts w:ascii="宋体" w:eastAsia="宋体" w:hAnsi="宋体" w:cs="宋体" w:hint="eastAsia"/>
                <w:sz w:val="18"/>
                <w:szCs w:val="18"/>
              </w:rPr>
            </w:pPr>
            <w:r>
              <w:rPr>
                <w:rFonts w:ascii="宋体" w:eastAsia="宋体" w:hAnsi="宋体" w:cs="宋体"/>
                <w:sz w:val="18"/>
                <w:szCs w:val="18"/>
              </w:rPr>
              <w:t>422,775,960.80</w:t>
            </w:r>
          </w:p>
        </w:tc>
      </w:tr>
      <w:tr w:rsidR="00632E5B" w14:paraId="6DCE896D" w14:textId="77777777" w:rsidTr="00D954C5">
        <w:trPr>
          <w:trHeight w:val="240"/>
        </w:trPr>
        <w:tc>
          <w:tcPr>
            <w:tcW w:w="4820" w:type="dxa"/>
            <w:shd w:val="clear" w:color="auto" w:fill="FFFFFF" w:themeFill="background1"/>
            <w:vAlign w:val="center"/>
          </w:tcPr>
          <w:p w14:paraId="324B71F9"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前五名供应商合计采购金额占年度采购总额比例</w:t>
            </w:r>
          </w:p>
        </w:tc>
        <w:tc>
          <w:tcPr>
            <w:tcW w:w="4820" w:type="dxa"/>
            <w:shd w:val="clear" w:color="auto" w:fill="FFFFFF" w:themeFill="background1"/>
            <w:vAlign w:val="center"/>
          </w:tcPr>
          <w:p w14:paraId="13603B4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33.99%</w:t>
            </w:r>
          </w:p>
        </w:tc>
      </w:tr>
      <w:tr w:rsidR="00632E5B" w14:paraId="36F35E0B" w14:textId="77777777" w:rsidTr="00D954C5">
        <w:trPr>
          <w:trHeight w:val="240"/>
        </w:trPr>
        <w:tc>
          <w:tcPr>
            <w:tcW w:w="4820" w:type="dxa"/>
            <w:shd w:val="clear" w:color="auto" w:fill="FFFFFF" w:themeFill="background1"/>
            <w:vAlign w:val="center"/>
          </w:tcPr>
          <w:p w14:paraId="277AFFC1"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前五名供应商采购额中关联方采购额占年度采购总额比例</w:t>
            </w:r>
          </w:p>
        </w:tc>
        <w:tc>
          <w:tcPr>
            <w:tcW w:w="4820" w:type="dxa"/>
            <w:shd w:val="clear" w:color="auto" w:fill="FFFFFF" w:themeFill="background1"/>
            <w:vAlign w:val="center"/>
          </w:tcPr>
          <w:p w14:paraId="34B24AF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r>
    </w:tbl>
    <w:p w14:paraId="316BA430"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公司前5名供应商资料</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2409"/>
        <w:gridCol w:w="2410"/>
        <w:gridCol w:w="2410"/>
        <w:gridCol w:w="2410"/>
      </w:tblGrid>
      <w:tr w:rsidR="00632E5B" w14:paraId="0077E42F" w14:textId="77777777" w:rsidTr="00D954C5">
        <w:trPr>
          <w:trHeight w:val="240"/>
        </w:trPr>
        <w:tc>
          <w:tcPr>
            <w:tcW w:w="2409" w:type="dxa"/>
            <w:shd w:val="clear" w:color="auto" w:fill="FFFFFF" w:themeFill="background1"/>
            <w:vAlign w:val="center"/>
          </w:tcPr>
          <w:p w14:paraId="0986974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序号</w:t>
            </w:r>
          </w:p>
        </w:tc>
        <w:tc>
          <w:tcPr>
            <w:tcW w:w="2410" w:type="dxa"/>
            <w:shd w:val="clear" w:color="auto" w:fill="FFFFFF" w:themeFill="background1"/>
            <w:vAlign w:val="center"/>
          </w:tcPr>
          <w:p w14:paraId="0B65A64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供应商名称</w:t>
            </w:r>
          </w:p>
        </w:tc>
        <w:tc>
          <w:tcPr>
            <w:tcW w:w="2410" w:type="dxa"/>
            <w:shd w:val="clear" w:color="auto" w:fill="FFFFFF" w:themeFill="background1"/>
            <w:vAlign w:val="center"/>
          </w:tcPr>
          <w:p w14:paraId="55A9C45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采购额（元）</w:t>
            </w:r>
          </w:p>
        </w:tc>
        <w:tc>
          <w:tcPr>
            <w:tcW w:w="2410" w:type="dxa"/>
            <w:shd w:val="clear" w:color="auto" w:fill="FFFFFF" w:themeFill="background1"/>
            <w:vAlign w:val="center"/>
          </w:tcPr>
          <w:p w14:paraId="6CDD4A4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占年度采购总额比例</w:t>
            </w:r>
          </w:p>
        </w:tc>
      </w:tr>
      <w:tr w:rsidR="003F2B1F" w14:paraId="0214B9A2" w14:textId="77777777" w:rsidTr="00D954C5">
        <w:trPr>
          <w:trHeight w:val="240"/>
        </w:trPr>
        <w:tc>
          <w:tcPr>
            <w:tcW w:w="2409" w:type="dxa"/>
            <w:shd w:val="clear" w:color="auto" w:fill="FFFFFF" w:themeFill="background1"/>
            <w:vAlign w:val="center"/>
          </w:tcPr>
          <w:p w14:paraId="127996C0" w14:textId="77777777" w:rsidR="003F2B1F" w:rsidRDefault="003F2B1F" w:rsidP="003F2B1F">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1</w:t>
            </w:r>
          </w:p>
        </w:tc>
        <w:tc>
          <w:tcPr>
            <w:tcW w:w="2410" w:type="dxa"/>
            <w:shd w:val="clear" w:color="auto" w:fill="FFFFFF" w:themeFill="background1"/>
            <w:vAlign w:val="center"/>
          </w:tcPr>
          <w:p w14:paraId="5D98F5A7" w14:textId="0396BB06" w:rsidR="003F2B1F" w:rsidRDefault="003F2B1F" w:rsidP="003F2B1F">
            <w:pPr>
              <w:spacing w:line="240" w:lineRule="exact"/>
              <w:jc w:val="center"/>
              <w:rPr>
                <w:rFonts w:ascii="宋体" w:eastAsia="宋体" w:hAnsi="宋体" w:cs="宋体" w:hint="eastAsia"/>
                <w:sz w:val="18"/>
                <w:szCs w:val="18"/>
              </w:rPr>
            </w:pPr>
            <w:r>
              <w:rPr>
                <w:rFonts w:ascii="宋体" w:eastAsia="宋体" w:hAnsi="宋体" w:cs="宋体" w:hint="eastAsia"/>
                <w:sz w:val="18"/>
                <w:szCs w:val="18"/>
              </w:rPr>
              <w:t>第一名</w:t>
            </w:r>
          </w:p>
        </w:tc>
        <w:tc>
          <w:tcPr>
            <w:tcW w:w="2410" w:type="dxa"/>
            <w:shd w:val="clear" w:color="auto" w:fill="FFFFFF" w:themeFill="background1"/>
            <w:vAlign w:val="center"/>
          </w:tcPr>
          <w:p w14:paraId="5014EBF5" w14:textId="77777777" w:rsidR="003F2B1F" w:rsidRDefault="003F2B1F" w:rsidP="003F2B1F">
            <w:pPr>
              <w:spacing w:line="240" w:lineRule="exact"/>
              <w:jc w:val="right"/>
              <w:rPr>
                <w:rFonts w:ascii="宋体" w:eastAsia="宋体" w:hAnsi="宋体" w:cs="宋体" w:hint="eastAsia"/>
                <w:sz w:val="18"/>
                <w:szCs w:val="18"/>
              </w:rPr>
            </w:pPr>
            <w:r>
              <w:rPr>
                <w:rFonts w:ascii="宋体" w:eastAsia="宋体" w:hAnsi="宋体" w:cs="宋体"/>
                <w:sz w:val="18"/>
                <w:szCs w:val="18"/>
              </w:rPr>
              <w:t>120,341,709.88</w:t>
            </w:r>
          </w:p>
        </w:tc>
        <w:tc>
          <w:tcPr>
            <w:tcW w:w="2410" w:type="dxa"/>
            <w:shd w:val="clear" w:color="auto" w:fill="FFFFFF" w:themeFill="background1"/>
            <w:vAlign w:val="center"/>
          </w:tcPr>
          <w:p w14:paraId="4DAD07E5" w14:textId="77777777" w:rsidR="003F2B1F" w:rsidRDefault="003F2B1F" w:rsidP="003F2B1F">
            <w:pPr>
              <w:spacing w:line="240" w:lineRule="exact"/>
              <w:jc w:val="right"/>
              <w:rPr>
                <w:rFonts w:ascii="宋体" w:eastAsia="宋体" w:hAnsi="宋体" w:cs="宋体" w:hint="eastAsia"/>
                <w:sz w:val="18"/>
                <w:szCs w:val="18"/>
              </w:rPr>
            </w:pPr>
            <w:r>
              <w:rPr>
                <w:rFonts w:ascii="宋体" w:eastAsia="宋体" w:hAnsi="宋体" w:cs="宋体"/>
                <w:sz w:val="18"/>
                <w:szCs w:val="18"/>
              </w:rPr>
              <w:t>9.68%</w:t>
            </w:r>
          </w:p>
        </w:tc>
      </w:tr>
      <w:tr w:rsidR="003F2B1F" w14:paraId="1343E25B" w14:textId="77777777" w:rsidTr="00D954C5">
        <w:trPr>
          <w:trHeight w:val="240"/>
        </w:trPr>
        <w:tc>
          <w:tcPr>
            <w:tcW w:w="2409" w:type="dxa"/>
            <w:shd w:val="clear" w:color="auto" w:fill="FFFFFF" w:themeFill="background1"/>
            <w:vAlign w:val="center"/>
          </w:tcPr>
          <w:p w14:paraId="70221C5E" w14:textId="77777777" w:rsidR="003F2B1F" w:rsidRDefault="003F2B1F" w:rsidP="003F2B1F">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w:t>
            </w:r>
          </w:p>
        </w:tc>
        <w:tc>
          <w:tcPr>
            <w:tcW w:w="2410" w:type="dxa"/>
            <w:shd w:val="clear" w:color="auto" w:fill="FFFFFF" w:themeFill="background1"/>
            <w:vAlign w:val="center"/>
          </w:tcPr>
          <w:p w14:paraId="67A73BE8" w14:textId="0F770643" w:rsidR="003F2B1F" w:rsidRDefault="003F2B1F" w:rsidP="003F2B1F">
            <w:pPr>
              <w:spacing w:line="240" w:lineRule="exact"/>
              <w:jc w:val="center"/>
              <w:rPr>
                <w:rFonts w:ascii="宋体" w:eastAsia="宋体" w:hAnsi="宋体" w:cs="宋体" w:hint="eastAsia"/>
                <w:sz w:val="18"/>
                <w:szCs w:val="18"/>
              </w:rPr>
            </w:pPr>
            <w:r>
              <w:rPr>
                <w:rFonts w:ascii="宋体" w:eastAsia="宋体" w:hAnsi="宋体" w:cs="宋体" w:hint="eastAsia"/>
                <w:sz w:val="18"/>
                <w:szCs w:val="18"/>
              </w:rPr>
              <w:t>第二名</w:t>
            </w:r>
          </w:p>
        </w:tc>
        <w:tc>
          <w:tcPr>
            <w:tcW w:w="2410" w:type="dxa"/>
            <w:shd w:val="clear" w:color="auto" w:fill="FFFFFF" w:themeFill="background1"/>
            <w:vAlign w:val="center"/>
          </w:tcPr>
          <w:p w14:paraId="15B22A7F" w14:textId="77777777" w:rsidR="003F2B1F" w:rsidRDefault="003F2B1F" w:rsidP="003F2B1F">
            <w:pPr>
              <w:spacing w:line="240" w:lineRule="exact"/>
              <w:jc w:val="right"/>
              <w:rPr>
                <w:rFonts w:ascii="宋体" w:eastAsia="宋体" w:hAnsi="宋体" w:cs="宋体" w:hint="eastAsia"/>
                <w:sz w:val="18"/>
                <w:szCs w:val="18"/>
              </w:rPr>
            </w:pPr>
            <w:r>
              <w:rPr>
                <w:rFonts w:ascii="宋体" w:eastAsia="宋体" w:hAnsi="宋体" w:cs="宋体"/>
                <w:sz w:val="18"/>
                <w:szCs w:val="18"/>
              </w:rPr>
              <w:t>112,387,986.98</w:t>
            </w:r>
          </w:p>
        </w:tc>
        <w:tc>
          <w:tcPr>
            <w:tcW w:w="2410" w:type="dxa"/>
            <w:shd w:val="clear" w:color="auto" w:fill="FFFFFF" w:themeFill="background1"/>
            <w:vAlign w:val="center"/>
          </w:tcPr>
          <w:p w14:paraId="6F14FD3C" w14:textId="77777777" w:rsidR="003F2B1F" w:rsidRDefault="003F2B1F" w:rsidP="003F2B1F">
            <w:pPr>
              <w:spacing w:line="240" w:lineRule="exact"/>
              <w:jc w:val="right"/>
              <w:rPr>
                <w:rFonts w:ascii="宋体" w:eastAsia="宋体" w:hAnsi="宋体" w:cs="宋体" w:hint="eastAsia"/>
                <w:sz w:val="18"/>
                <w:szCs w:val="18"/>
              </w:rPr>
            </w:pPr>
            <w:r>
              <w:rPr>
                <w:rFonts w:ascii="宋体" w:eastAsia="宋体" w:hAnsi="宋体" w:cs="宋体"/>
                <w:sz w:val="18"/>
                <w:szCs w:val="18"/>
              </w:rPr>
              <w:t>9.04%</w:t>
            </w:r>
          </w:p>
        </w:tc>
      </w:tr>
      <w:tr w:rsidR="003F2B1F" w14:paraId="10B9732D" w14:textId="77777777" w:rsidTr="00D954C5">
        <w:trPr>
          <w:trHeight w:val="240"/>
        </w:trPr>
        <w:tc>
          <w:tcPr>
            <w:tcW w:w="2409" w:type="dxa"/>
            <w:shd w:val="clear" w:color="auto" w:fill="FFFFFF" w:themeFill="background1"/>
            <w:vAlign w:val="center"/>
          </w:tcPr>
          <w:p w14:paraId="2E4F84C4" w14:textId="77777777" w:rsidR="003F2B1F" w:rsidRDefault="003F2B1F" w:rsidP="003F2B1F">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3</w:t>
            </w:r>
          </w:p>
        </w:tc>
        <w:tc>
          <w:tcPr>
            <w:tcW w:w="2410" w:type="dxa"/>
            <w:shd w:val="clear" w:color="auto" w:fill="FFFFFF" w:themeFill="background1"/>
            <w:vAlign w:val="center"/>
          </w:tcPr>
          <w:p w14:paraId="3BA52686" w14:textId="5183B568" w:rsidR="003F2B1F" w:rsidRDefault="003F2B1F" w:rsidP="003F2B1F">
            <w:pPr>
              <w:spacing w:line="240" w:lineRule="exact"/>
              <w:jc w:val="center"/>
              <w:rPr>
                <w:rFonts w:ascii="宋体" w:eastAsia="宋体" w:hAnsi="宋体" w:cs="宋体" w:hint="eastAsia"/>
                <w:sz w:val="18"/>
                <w:szCs w:val="18"/>
              </w:rPr>
            </w:pPr>
            <w:r>
              <w:rPr>
                <w:rFonts w:ascii="宋体" w:eastAsia="宋体" w:hAnsi="宋体" w:cs="宋体" w:hint="eastAsia"/>
                <w:sz w:val="18"/>
                <w:szCs w:val="18"/>
              </w:rPr>
              <w:t>第三名</w:t>
            </w:r>
          </w:p>
        </w:tc>
        <w:tc>
          <w:tcPr>
            <w:tcW w:w="2410" w:type="dxa"/>
            <w:shd w:val="clear" w:color="auto" w:fill="FFFFFF" w:themeFill="background1"/>
            <w:vAlign w:val="center"/>
          </w:tcPr>
          <w:p w14:paraId="49C3BBEB" w14:textId="77777777" w:rsidR="003F2B1F" w:rsidRDefault="003F2B1F" w:rsidP="003F2B1F">
            <w:pPr>
              <w:spacing w:line="240" w:lineRule="exact"/>
              <w:jc w:val="right"/>
              <w:rPr>
                <w:rFonts w:ascii="宋体" w:eastAsia="宋体" w:hAnsi="宋体" w:cs="宋体" w:hint="eastAsia"/>
                <w:sz w:val="18"/>
                <w:szCs w:val="18"/>
              </w:rPr>
            </w:pPr>
            <w:r>
              <w:rPr>
                <w:rFonts w:ascii="宋体" w:eastAsia="宋体" w:hAnsi="宋体" w:cs="宋体"/>
                <w:sz w:val="18"/>
                <w:szCs w:val="18"/>
              </w:rPr>
              <w:t>100,192,656.95</w:t>
            </w:r>
          </w:p>
        </w:tc>
        <w:tc>
          <w:tcPr>
            <w:tcW w:w="2410" w:type="dxa"/>
            <w:shd w:val="clear" w:color="auto" w:fill="FFFFFF" w:themeFill="background1"/>
            <w:vAlign w:val="center"/>
          </w:tcPr>
          <w:p w14:paraId="750D0D05" w14:textId="77777777" w:rsidR="003F2B1F" w:rsidRDefault="003F2B1F" w:rsidP="003F2B1F">
            <w:pPr>
              <w:spacing w:line="240" w:lineRule="exact"/>
              <w:jc w:val="right"/>
              <w:rPr>
                <w:rFonts w:ascii="宋体" w:eastAsia="宋体" w:hAnsi="宋体" w:cs="宋体" w:hint="eastAsia"/>
                <w:sz w:val="18"/>
                <w:szCs w:val="18"/>
              </w:rPr>
            </w:pPr>
            <w:r>
              <w:rPr>
                <w:rFonts w:ascii="宋体" w:eastAsia="宋体" w:hAnsi="宋体" w:cs="宋体"/>
                <w:sz w:val="18"/>
                <w:szCs w:val="18"/>
              </w:rPr>
              <w:t>8.06%</w:t>
            </w:r>
          </w:p>
        </w:tc>
      </w:tr>
      <w:tr w:rsidR="003F2B1F" w14:paraId="0BCF1F74" w14:textId="77777777" w:rsidTr="00D954C5">
        <w:trPr>
          <w:trHeight w:val="240"/>
        </w:trPr>
        <w:tc>
          <w:tcPr>
            <w:tcW w:w="2409" w:type="dxa"/>
            <w:shd w:val="clear" w:color="auto" w:fill="FFFFFF" w:themeFill="background1"/>
            <w:vAlign w:val="center"/>
          </w:tcPr>
          <w:p w14:paraId="358450A7" w14:textId="77777777" w:rsidR="003F2B1F" w:rsidRDefault="003F2B1F" w:rsidP="003F2B1F">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4</w:t>
            </w:r>
          </w:p>
        </w:tc>
        <w:tc>
          <w:tcPr>
            <w:tcW w:w="2410" w:type="dxa"/>
            <w:shd w:val="clear" w:color="auto" w:fill="FFFFFF" w:themeFill="background1"/>
            <w:vAlign w:val="center"/>
          </w:tcPr>
          <w:p w14:paraId="3016DF33" w14:textId="752B135D" w:rsidR="003F2B1F" w:rsidRDefault="003F2B1F" w:rsidP="003F2B1F">
            <w:pPr>
              <w:spacing w:line="240" w:lineRule="exact"/>
              <w:jc w:val="center"/>
              <w:rPr>
                <w:rFonts w:ascii="宋体" w:eastAsia="宋体" w:hAnsi="宋体" w:cs="宋体" w:hint="eastAsia"/>
                <w:sz w:val="18"/>
                <w:szCs w:val="18"/>
              </w:rPr>
            </w:pPr>
            <w:r>
              <w:rPr>
                <w:rFonts w:ascii="宋体" w:eastAsia="宋体" w:hAnsi="宋体" w:cs="宋体" w:hint="eastAsia"/>
                <w:sz w:val="18"/>
                <w:szCs w:val="18"/>
              </w:rPr>
              <w:t>第四名</w:t>
            </w:r>
          </w:p>
        </w:tc>
        <w:tc>
          <w:tcPr>
            <w:tcW w:w="2410" w:type="dxa"/>
            <w:shd w:val="clear" w:color="auto" w:fill="FFFFFF" w:themeFill="background1"/>
            <w:vAlign w:val="center"/>
          </w:tcPr>
          <w:p w14:paraId="787D7AC5" w14:textId="77777777" w:rsidR="003F2B1F" w:rsidRDefault="003F2B1F" w:rsidP="003F2B1F">
            <w:pPr>
              <w:spacing w:line="240" w:lineRule="exact"/>
              <w:jc w:val="right"/>
              <w:rPr>
                <w:rFonts w:ascii="宋体" w:eastAsia="宋体" w:hAnsi="宋体" w:cs="宋体" w:hint="eastAsia"/>
                <w:sz w:val="18"/>
                <w:szCs w:val="18"/>
              </w:rPr>
            </w:pPr>
            <w:r>
              <w:rPr>
                <w:rFonts w:ascii="宋体" w:eastAsia="宋体" w:hAnsi="宋体" w:cs="宋体"/>
                <w:sz w:val="18"/>
                <w:szCs w:val="18"/>
              </w:rPr>
              <w:t>49,377,458.00</w:t>
            </w:r>
          </w:p>
        </w:tc>
        <w:tc>
          <w:tcPr>
            <w:tcW w:w="2410" w:type="dxa"/>
            <w:shd w:val="clear" w:color="auto" w:fill="FFFFFF" w:themeFill="background1"/>
            <w:vAlign w:val="center"/>
          </w:tcPr>
          <w:p w14:paraId="00DBD035" w14:textId="77777777" w:rsidR="003F2B1F" w:rsidRDefault="003F2B1F" w:rsidP="003F2B1F">
            <w:pPr>
              <w:spacing w:line="240" w:lineRule="exact"/>
              <w:jc w:val="right"/>
              <w:rPr>
                <w:rFonts w:ascii="宋体" w:eastAsia="宋体" w:hAnsi="宋体" w:cs="宋体" w:hint="eastAsia"/>
                <w:sz w:val="18"/>
                <w:szCs w:val="18"/>
              </w:rPr>
            </w:pPr>
            <w:r>
              <w:rPr>
                <w:rFonts w:ascii="宋体" w:eastAsia="宋体" w:hAnsi="宋体" w:cs="宋体"/>
                <w:sz w:val="18"/>
                <w:szCs w:val="18"/>
              </w:rPr>
              <w:t>3.97%</w:t>
            </w:r>
          </w:p>
        </w:tc>
      </w:tr>
      <w:tr w:rsidR="003F2B1F" w14:paraId="31D187E3" w14:textId="77777777" w:rsidTr="00D954C5">
        <w:trPr>
          <w:trHeight w:val="240"/>
        </w:trPr>
        <w:tc>
          <w:tcPr>
            <w:tcW w:w="2409" w:type="dxa"/>
            <w:shd w:val="clear" w:color="auto" w:fill="FFFFFF" w:themeFill="background1"/>
            <w:vAlign w:val="center"/>
          </w:tcPr>
          <w:p w14:paraId="23F66056" w14:textId="77777777" w:rsidR="003F2B1F" w:rsidRDefault="003F2B1F" w:rsidP="003F2B1F">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5</w:t>
            </w:r>
          </w:p>
        </w:tc>
        <w:tc>
          <w:tcPr>
            <w:tcW w:w="2410" w:type="dxa"/>
            <w:shd w:val="clear" w:color="auto" w:fill="FFFFFF" w:themeFill="background1"/>
            <w:vAlign w:val="center"/>
          </w:tcPr>
          <w:p w14:paraId="3DDA9540" w14:textId="681B6A06" w:rsidR="003F2B1F" w:rsidRDefault="003F2B1F" w:rsidP="003F2B1F">
            <w:pPr>
              <w:spacing w:line="240" w:lineRule="exact"/>
              <w:jc w:val="center"/>
              <w:rPr>
                <w:rFonts w:ascii="宋体" w:eastAsia="宋体" w:hAnsi="宋体" w:cs="宋体" w:hint="eastAsia"/>
                <w:sz w:val="18"/>
                <w:szCs w:val="18"/>
              </w:rPr>
            </w:pPr>
            <w:r>
              <w:rPr>
                <w:rFonts w:ascii="宋体" w:eastAsia="宋体" w:hAnsi="宋体" w:cs="宋体" w:hint="eastAsia"/>
                <w:sz w:val="18"/>
                <w:szCs w:val="18"/>
              </w:rPr>
              <w:t>第五名</w:t>
            </w:r>
          </w:p>
        </w:tc>
        <w:tc>
          <w:tcPr>
            <w:tcW w:w="2410" w:type="dxa"/>
            <w:shd w:val="clear" w:color="auto" w:fill="FFFFFF" w:themeFill="background1"/>
            <w:vAlign w:val="center"/>
          </w:tcPr>
          <w:p w14:paraId="059C9DD2" w14:textId="77777777" w:rsidR="003F2B1F" w:rsidRDefault="003F2B1F" w:rsidP="003F2B1F">
            <w:pPr>
              <w:spacing w:line="240" w:lineRule="exact"/>
              <w:jc w:val="right"/>
              <w:rPr>
                <w:rFonts w:ascii="宋体" w:eastAsia="宋体" w:hAnsi="宋体" w:cs="宋体" w:hint="eastAsia"/>
                <w:sz w:val="18"/>
                <w:szCs w:val="18"/>
              </w:rPr>
            </w:pPr>
            <w:r>
              <w:rPr>
                <w:rFonts w:ascii="宋体" w:eastAsia="宋体" w:hAnsi="宋体" w:cs="宋体"/>
                <w:sz w:val="18"/>
                <w:szCs w:val="18"/>
              </w:rPr>
              <w:t>40,476,148.99</w:t>
            </w:r>
          </w:p>
        </w:tc>
        <w:tc>
          <w:tcPr>
            <w:tcW w:w="2410" w:type="dxa"/>
            <w:shd w:val="clear" w:color="auto" w:fill="FFFFFF" w:themeFill="background1"/>
            <w:vAlign w:val="center"/>
          </w:tcPr>
          <w:p w14:paraId="645F29C0" w14:textId="77777777" w:rsidR="003F2B1F" w:rsidRDefault="003F2B1F" w:rsidP="003F2B1F">
            <w:pPr>
              <w:spacing w:line="240" w:lineRule="exact"/>
              <w:jc w:val="right"/>
              <w:rPr>
                <w:rFonts w:ascii="宋体" w:eastAsia="宋体" w:hAnsi="宋体" w:cs="宋体" w:hint="eastAsia"/>
                <w:sz w:val="18"/>
                <w:szCs w:val="18"/>
              </w:rPr>
            </w:pPr>
            <w:r>
              <w:rPr>
                <w:rFonts w:ascii="宋体" w:eastAsia="宋体" w:hAnsi="宋体" w:cs="宋体"/>
                <w:sz w:val="18"/>
                <w:szCs w:val="18"/>
              </w:rPr>
              <w:t>3.25%</w:t>
            </w:r>
          </w:p>
        </w:tc>
      </w:tr>
      <w:tr w:rsidR="00632E5B" w14:paraId="40E818C2" w14:textId="77777777" w:rsidTr="00D954C5">
        <w:trPr>
          <w:trHeight w:val="240"/>
        </w:trPr>
        <w:tc>
          <w:tcPr>
            <w:tcW w:w="2409" w:type="dxa"/>
            <w:shd w:val="clear" w:color="auto" w:fill="FFFFFF" w:themeFill="background1"/>
            <w:vAlign w:val="center"/>
          </w:tcPr>
          <w:p w14:paraId="4E56E0D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合计</w:t>
            </w:r>
          </w:p>
        </w:tc>
        <w:tc>
          <w:tcPr>
            <w:tcW w:w="2410" w:type="dxa"/>
            <w:shd w:val="clear" w:color="auto" w:fill="FFFFFF" w:themeFill="background1"/>
            <w:vAlign w:val="center"/>
          </w:tcPr>
          <w:p w14:paraId="75FC559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2410" w:type="dxa"/>
            <w:shd w:val="clear" w:color="auto" w:fill="FFFFFF" w:themeFill="background1"/>
            <w:vAlign w:val="center"/>
          </w:tcPr>
          <w:p w14:paraId="6C6D937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422,775,960.80</w:t>
            </w:r>
          </w:p>
        </w:tc>
        <w:tc>
          <w:tcPr>
            <w:tcW w:w="2410" w:type="dxa"/>
            <w:shd w:val="clear" w:color="auto" w:fill="FFFFFF" w:themeFill="background1"/>
            <w:vAlign w:val="center"/>
          </w:tcPr>
          <w:p w14:paraId="42BF533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33.99%</w:t>
            </w:r>
          </w:p>
        </w:tc>
      </w:tr>
    </w:tbl>
    <w:p w14:paraId="230A91A9"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lastRenderedPageBreak/>
        <w:t>主要供应商其他情况说明</w:t>
      </w:r>
    </w:p>
    <w:p w14:paraId="6782C94C"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1F715EB3" w14:textId="77777777" w:rsidR="00632E5B" w:rsidRDefault="00107901">
      <w:pPr>
        <w:pStyle w:val="3"/>
        <w:spacing w:line="280" w:lineRule="exact"/>
        <w:jc w:val="left"/>
        <w:rPr>
          <w:rFonts w:ascii="宋体" w:hAnsi="宋体" w:cs="宋体" w:hint="eastAsia"/>
          <w:b/>
          <w:bCs/>
        </w:rPr>
      </w:pPr>
      <w:bookmarkStart w:id="28" w:name="_Toc988917"/>
      <w:r>
        <w:rPr>
          <w:rFonts w:ascii="宋体" w:hAnsi="宋体" w:cs="宋体"/>
          <w:b/>
          <w:bCs/>
        </w:rPr>
        <w:t>3、费用</w:t>
      </w:r>
      <w:bookmarkEnd w:id="28"/>
    </w:p>
    <w:p w14:paraId="5B4AB6B1"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927"/>
        <w:gridCol w:w="1928"/>
        <w:gridCol w:w="1928"/>
        <w:gridCol w:w="1194"/>
        <w:gridCol w:w="2662"/>
      </w:tblGrid>
      <w:tr w:rsidR="00632E5B" w14:paraId="1054A5B9" w14:textId="77777777" w:rsidTr="00D954C5">
        <w:trPr>
          <w:trHeight w:val="240"/>
        </w:trPr>
        <w:tc>
          <w:tcPr>
            <w:tcW w:w="1927" w:type="dxa"/>
            <w:shd w:val="clear" w:color="auto" w:fill="FFFFFF" w:themeFill="background1"/>
            <w:vAlign w:val="center"/>
          </w:tcPr>
          <w:p w14:paraId="5C4F90F2" w14:textId="77777777" w:rsidR="00632E5B" w:rsidRDefault="00632E5B"/>
        </w:tc>
        <w:tc>
          <w:tcPr>
            <w:tcW w:w="1928" w:type="dxa"/>
            <w:shd w:val="clear" w:color="auto" w:fill="FFFFFF" w:themeFill="background1"/>
            <w:vAlign w:val="center"/>
          </w:tcPr>
          <w:p w14:paraId="73787C4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2024年</w:t>
            </w:r>
          </w:p>
        </w:tc>
        <w:tc>
          <w:tcPr>
            <w:tcW w:w="1928" w:type="dxa"/>
            <w:shd w:val="clear" w:color="auto" w:fill="FFFFFF" w:themeFill="background1"/>
            <w:vAlign w:val="center"/>
          </w:tcPr>
          <w:p w14:paraId="7044FDB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2023年</w:t>
            </w:r>
          </w:p>
        </w:tc>
        <w:tc>
          <w:tcPr>
            <w:tcW w:w="1194" w:type="dxa"/>
            <w:shd w:val="clear" w:color="auto" w:fill="FFFFFF" w:themeFill="background1"/>
            <w:vAlign w:val="center"/>
          </w:tcPr>
          <w:p w14:paraId="21C5753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同比增减</w:t>
            </w:r>
          </w:p>
        </w:tc>
        <w:tc>
          <w:tcPr>
            <w:tcW w:w="2662" w:type="dxa"/>
            <w:shd w:val="clear" w:color="auto" w:fill="FFFFFF" w:themeFill="background1"/>
            <w:vAlign w:val="center"/>
          </w:tcPr>
          <w:p w14:paraId="2F2DEFC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重大变动说明</w:t>
            </w:r>
          </w:p>
        </w:tc>
      </w:tr>
      <w:tr w:rsidR="00632E5B" w14:paraId="2AC7A230" w14:textId="77777777" w:rsidTr="00D954C5">
        <w:trPr>
          <w:trHeight w:val="240"/>
        </w:trPr>
        <w:tc>
          <w:tcPr>
            <w:tcW w:w="1927" w:type="dxa"/>
            <w:shd w:val="clear" w:color="auto" w:fill="FFFFFF" w:themeFill="background1"/>
            <w:vAlign w:val="center"/>
          </w:tcPr>
          <w:p w14:paraId="1A666A6C"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销售费用</w:t>
            </w:r>
          </w:p>
        </w:tc>
        <w:tc>
          <w:tcPr>
            <w:tcW w:w="1928" w:type="dxa"/>
            <w:shd w:val="clear" w:color="auto" w:fill="FFFFFF" w:themeFill="background1"/>
            <w:vAlign w:val="center"/>
          </w:tcPr>
          <w:p w14:paraId="660D7E4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148,237,022.90</w:t>
            </w:r>
          </w:p>
        </w:tc>
        <w:tc>
          <w:tcPr>
            <w:tcW w:w="1928" w:type="dxa"/>
            <w:shd w:val="clear" w:color="auto" w:fill="FFFFFF" w:themeFill="background1"/>
            <w:vAlign w:val="center"/>
          </w:tcPr>
          <w:p w14:paraId="2EB19FB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130,324,969.89</w:t>
            </w:r>
          </w:p>
        </w:tc>
        <w:tc>
          <w:tcPr>
            <w:tcW w:w="1194" w:type="dxa"/>
            <w:shd w:val="clear" w:color="auto" w:fill="FFFFFF" w:themeFill="background1"/>
            <w:vAlign w:val="center"/>
          </w:tcPr>
          <w:p w14:paraId="6F480A7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13.74%</w:t>
            </w:r>
          </w:p>
        </w:tc>
        <w:tc>
          <w:tcPr>
            <w:tcW w:w="2662" w:type="dxa"/>
            <w:shd w:val="clear" w:color="auto" w:fill="FFFFFF" w:themeFill="background1"/>
            <w:vAlign w:val="center"/>
          </w:tcPr>
          <w:p w14:paraId="39C7384D" w14:textId="77777777" w:rsidR="00632E5B" w:rsidRDefault="00632E5B">
            <w:pPr>
              <w:spacing w:line="240" w:lineRule="exact"/>
              <w:rPr>
                <w:rFonts w:ascii="宋体" w:eastAsia="宋体" w:hAnsi="宋体" w:cs="宋体" w:hint="eastAsia"/>
                <w:sz w:val="18"/>
                <w:szCs w:val="18"/>
              </w:rPr>
            </w:pPr>
          </w:p>
        </w:tc>
      </w:tr>
      <w:tr w:rsidR="00632E5B" w14:paraId="0744AABD" w14:textId="77777777" w:rsidTr="00D954C5">
        <w:trPr>
          <w:trHeight w:val="240"/>
        </w:trPr>
        <w:tc>
          <w:tcPr>
            <w:tcW w:w="1927" w:type="dxa"/>
            <w:shd w:val="clear" w:color="auto" w:fill="FFFFFF" w:themeFill="background1"/>
            <w:vAlign w:val="center"/>
          </w:tcPr>
          <w:p w14:paraId="47A5D877"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管理费用</w:t>
            </w:r>
          </w:p>
        </w:tc>
        <w:tc>
          <w:tcPr>
            <w:tcW w:w="1928" w:type="dxa"/>
            <w:shd w:val="clear" w:color="auto" w:fill="FFFFFF" w:themeFill="background1"/>
            <w:vAlign w:val="center"/>
          </w:tcPr>
          <w:p w14:paraId="406E1C9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770,530,036.91</w:t>
            </w:r>
          </w:p>
        </w:tc>
        <w:tc>
          <w:tcPr>
            <w:tcW w:w="1928" w:type="dxa"/>
            <w:shd w:val="clear" w:color="auto" w:fill="FFFFFF" w:themeFill="background1"/>
            <w:vAlign w:val="center"/>
          </w:tcPr>
          <w:p w14:paraId="5B4B415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468,255,851.31</w:t>
            </w:r>
          </w:p>
        </w:tc>
        <w:tc>
          <w:tcPr>
            <w:tcW w:w="1194" w:type="dxa"/>
            <w:shd w:val="clear" w:color="auto" w:fill="FFFFFF" w:themeFill="background1"/>
            <w:vAlign w:val="center"/>
          </w:tcPr>
          <w:p w14:paraId="71159B5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64.55%</w:t>
            </w:r>
          </w:p>
        </w:tc>
        <w:tc>
          <w:tcPr>
            <w:tcW w:w="2662" w:type="dxa"/>
            <w:shd w:val="clear" w:color="auto" w:fill="FFFFFF" w:themeFill="background1"/>
            <w:vAlign w:val="center"/>
          </w:tcPr>
          <w:p w14:paraId="64F4329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主要是本期公司重整成功，支付破产重整相关费用增加</w:t>
            </w:r>
          </w:p>
        </w:tc>
      </w:tr>
      <w:tr w:rsidR="00632E5B" w14:paraId="7CCF0A8F" w14:textId="77777777" w:rsidTr="00D954C5">
        <w:trPr>
          <w:trHeight w:val="240"/>
        </w:trPr>
        <w:tc>
          <w:tcPr>
            <w:tcW w:w="1927" w:type="dxa"/>
            <w:shd w:val="clear" w:color="auto" w:fill="FFFFFF" w:themeFill="background1"/>
            <w:vAlign w:val="center"/>
          </w:tcPr>
          <w:p w14:paraId="7056C1C4"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财务费用</w:t>
            </w:r>
          </w:p>
        </w:tc>
        <w:tc>
          <w:tcPr>
            <w:tcW w:w="1928" w:type="dxa"/>
            <w:shd w:val="clear" w:color="auto" w:fill="FFFFFF" w:themeFill="background1"/>
            <w:vAlign w:val="center"/>
          </w:tcPr>
          <w:p w14:paraId="4B54636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387,138,301.16</w:t>
            </w:r>
          </w:p>
        </w:tc>
        <w:tc>
          <w:tcPr>
            <w:tcW w:w="1928" w:type="dxa"/>
            <w:shd w:val="clear" w:color="auto" w:fill="FFFFFF" w:themeFill="background1"/>
            <w:vAlign w:val="center"/>
          </w:tcPr>
          <w:p w14:paraId="7F755EB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270,089,706.64</w:t>
            </w:r>
          </w:p>
        </w:tc>
        <w:tc>
          <w:tcPr>
            <w:tcW w:w="1194" w:type="dxa"/>
            <w:shd w:val="clear" w:color="auto" w:fill="FFFFFF" w:themeFill="background1"/>
            <w:vAlign w:val="center"/>
          </w:tcPr>
          <w:p w14:paraId="54BFBAE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43.34%</w:t>
            </w:r>
          </w:p>
        </w:tc>
        <w:tc>
          <w:tcPr>
            <w:tcW w:w="2662" w:type="dxa"/>
            <w:shd w:val="clear" w:color="auto" w:fill="FFFFFF" w:themeFill="background1"/>
            <w:vAlign w:val="center"/>
          </w:tcPr>
          <w:p w14:paraId="5A72AFC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主要是根据法院裁定，补提金融机构逾期借款利息、违约金</w:t>
            </w:r>
          </w:p>
        </w:tc>
      </w:tr>
      <w:tr w:rsidR="00632E5B" w14:paraId="2F9FA44A" w14:textId="77777777" w:rsidTr="00D954C5">
        <w:trPr>
          <w:trHeight w:val="240"/>
        </w:trPr>
        <w:tc>
          <w:tcPr>
            <w:tcW w:w="1927" w:type="dxa"/>
            <w:shd w:val="clear" w:color="auto" w:fill="FFFFFF" w:themeFill="background1"/>
            <w:vAlign w:val="center"/>
          </w:tcPr>
          <w:p w14:paraId="2DD50DE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研发费用</w:t>
            </w:r>
          </w:p>
        </w:tc>
        <w:tc>
          <w:tcPr>
            <w:tcW w:w="1928" w:type="dxa"/>
            <w:shd w:val="clear" w:color="auto" w:fill="FFFFFF" w:themeFill="background1"/>
            <w:vAlign w:val="center"/>
          </w:tcPr>
          <w:p w14:paraId="61833DC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51,764,597.23</w:t>
            </w:r>
          </w:p>
        </w:tc>
        <w:tc>
          <w:tcPr>
            <w:tcW w:w="1928" w:type="dxa"/>
            <w:shd w:val="clear" w:color="auto" w:fill="FFFFFF" w:themeFill="background1"/>
            <w:vAlign w:val="center"/>
          </w:tcPr>
          <w:p w14:paraId="02E67DA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113,059,127.20</w:t>
            </w:r>
          </w:p>
        </w:tc>
        <w:tc>
          <w:tcPr>
            <w:tcW w:w="1194" w:type="dxa"/>
            <w:shd w:val="clear" w:color="auto" w:fill="FFFFFF" w:themeFill="background1"/>
            <w:vAlign w:val="center"/>
          </w:tcPr>
          <w:p w14:paraId="5F6F082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-54.21%</w:t>
            </w:r>
          </w:p>
        </w:tc>
        <w:tc>
          <w:tcPr>
            <w:tcW w:w="2662" w:type="dxa"/>
            <w:shd w:val="clear" w:color="auto" w:fill="FFFFFF" w:themeFill="background1"/>
            <w:vAlign w:val="center"/>
          </w:tcPr>
          <w:p w14:paraId="419942A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公司资金紧缺，研发投入减少</w:t>
            </w:r>
          </w:p>
        </w:tc>
      </w:tr>
    </w:tbl>
    <w:p w14:paraId="1A6E82A0" w14:textId="77777777" w:rsidR="00632E5B" w:rsidRDefault="00107901">
      <w:pPr>
        <w:pStyle w:val="3"/>
        <w:spacing w:line="280" w:lineRule="exact"/>
        <w:jc w:val="left"/>
        <w:rPr>
          <w:rFonts w:ascii="宋体" w:hAnsi="宋体" w:cs="宋体" w:hint="eastAsia"/>
          <w:b/>
          <w:bCs/>
        </w:rPr>
      </w:pPr>
      <w:bookmarkStart w:id="29" w:name="_Toc988918"/>
      <w:r>
        <w:rPr>
          <w:rFonts w:ascii="宋体" w:hAnsi="宋体" w:cs="宋体"/>
          <w:b/>
          <w:bCs/>
        </w:rPr>
        <w:t>4、研发投入</w:t>
      </w:r>
      <w:bookmarkEnd w:id="29"/>
    </w:p>
    <w:p w14:paraId="1C960281"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10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927"/>
        <w:gridCol w:w="1928"/>
        <w:gridCol w:w="1279"/>
        <w:gridCol w:w="2552"/>
        <w:gridCol w:w="1418"/>
      </w:tblGrid>
      <w:tr w:rsidR="00632E5B" w14:paraId="67BF3DBC" w14:textId="77777777" w:rsidTr="00D954C5">
        <w:trPr>
          <w:trHeight w:val="240"/>
        </w:trPr>
        <w:tc>
          <w:tcPr>
            <w:tcW w:w="1927" w:type="dxa"/>
            <w:shd w:val="clear" w:color="auto" w:fill="FFFFFF" w:themeFill="background1"/>
            <w:vAlign w:val="center"/>
          </w:tcPr>
          <w:p w14:paraId="41EAC23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主要研发项目名称</w:t>
            </w:r>
          </w:p>
        </w:tc>
        <w:tc>
          <w:tcPr>
            <w:tcW w:w="1928" w:type="dxa"/>
            <w:shd w:val="clear" w:color="auto" w:fill="FFFFFF" w:themeFill="background1"/>
            <w:vAlign w:val="center"/>
          </w:tcPr>
          <w:p w14:paraId="6628958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项目目的</w:t>
            </w:r>
          </w:p>
        </w:tc>
        <w:tc>
          <w:tcPr>
            <w:tcW w:w="1279" w:type="dxa"/>
            <w:shd w:val="clear" w:color="auto" w:fill="FFFFFF" w:themeFill="background1"/>
            <w:vAlign w:val="center"/>
          </w:tcPr>
          <w:p w14:paraId="3DFD8A6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项目进展</w:t>
            </w:r>
          </w:p>
        </w:tc>
        <w:tc>
          <w:tcPr>
            <w:tcW w:w="2552" w:type="dxa"/>
            <w:shd w:val="clear" w:color="auto" w:fill="FFFFFF" w:themeFill="background1"/>
            <w:vAlign w:val="center"/>
          </w:tcPr>
          <w:p w14:paraId="42B35EE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拟达到的目标</w:t>
            </w:r>
          </w:p>
        </w:tc>
        <w:tc>
          <w:tcPr>
            <w:tcW w:w="1418" w:type="dxa"/>
            <w:shd w:val="clear" w:color="auto" w:fill="FFFFFF" w:themeFill="background1"/>
            <w:vAlign w:val="center"/>
          </w:tcPr>
          <w:p w14:paraId="764C49F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预计对公司未来发展的影响</w:t>
            </w:r>
          </w:p>
        </w:tc>
      </w:tr>
      <w:tr w:rsidR="00632E5B" w14:paraId="5772CC5D" w14:textId="77777777" w:rsidTr="00D954C5">
        <w:trPr>
          <w:trHeight w:val="240"/>
        </w:trPr>
        <w:tc>
          <w:tcPr>
            <w:tcW w:w="1927" w:type="dxa"/>
            <w:shd w:val="clear" w:color="auto" w:fill="FFFFFF" w:themeFill="background1"/>
            <w:vAlign w:val="center"/>
          </w:tcPr>
          <w:p w14:paraId="2EB0326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低衰减综合护套应答器数据传输电缆</w:t>
            </w:r>
          </w:p>
        </w:tc>
        <w:tc>
          <w:tcPr>
            <w:tcW w:w="1928" w:type="dxa"/>
            <w:shd w:val="clear" w:color="auto" w:fill="FFFFFF" w:themeFill="background1"/>
            <w:vAlign w:val="center"/>
          </w:tcPr>
          <w:p w14:paraId="388B9DB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研发合适的综合护套工艺来平衡成型与性能之间的关系，减小对综合护套成型及阻抗、衰减性能的影响。</w:t>
            </w:r>
          </w:p>
        </w:tc>
        <w:tc>
          <w:tcPr>
            <w:tcW w:w="1279" w:type="dxa"/>
            <w:shd w:val="clear" w:color="auto" w:fill="FFFFFF" w:themeFill="background1"/>
            <w:vAlign w:val="center"/>
          </w:tcPr>
          <w:p w14:paraId="5F2D998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已完成</w:t>
            </w:r>
          </w:p>
        </w:tc>
        <w:tc>
          <w:tcPr>
            <w:tcW w:w="2552" w:type="dxa"/>
            <w:shd w:val="clear" w:color="auto" w:fill="FFFFFF" w:themeFill="background1"/>
            <w:vAlign w:val="center"/>
          </w:tcPr>
          <w:p w14:paraId="73684834" w14:textId="77777777" w:rsidR="00632E5B" w:rsidRDefault="00107901" w:rsidP="002D5C47">
            <w:pPr>
              <w:spacing w:line="240" w:lineRule="exact"/>
              <w:rPr>
                <w:rFonts w:ascii="宋体" w:eastAsia="宋体" w:hAnsi="宋体" w:cs="宋体" w:hint="eastAsia"/>
                <w:sz w:val="18"/>
                <w:szCs w:val="18"/>
              </w:rPr>
            </w:pPr>
            <w:r>
              <w:rPr>
                <w:rFonts w:ascii="宋体" w:eastAsia="宋体" w:hAnsi="宋体" w:cs="宋体"/>
                <w:sz w:val="18"/>
                <w:szCs w:val="18"/>
              </w:rPr>
              <w:t>产品具有阻抗稳定、低衰减等优点，增加抗压扁性能的同时，提升整体结构的稳定性，具有优异的耐候性，能满足-30℃~70℃的环境需要，施工方便，可敷设于各种严苛的环境。</w:t>
            </w:r>
          </w:p>
        </w:tc>
        <w:tc>
          <w:tcPr>
            <w:tcW w:w="1418" w:type="dxa"/>
            <w:shd w:val="clear" w:color="auto" w:fill="FFFFFF" w:themeFill="background1"/>
            <w:vAlign w:val="center"/>
          </w:tcPr>
          <w:p w14:paraId="02A6E38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有利于公司拓展铁路市场。</w:t>
            </w:r>
          </w:p>
        </w:tc>
      </w:tr>
      <w:tr w:rsidR="00632E5B" w14:paraId="6BE10CCE" w14:textId="77777777" w:rsidTr="00D954C5">
        <w:trPr>
          <w:trHeight w:val="240"/>
        </w:trPr>
        <w:tc>
          <w:tcPr>
            <w:tcW w:w="1927" w:type="dxa"/>
            <w:shd w:val="clear" w:color="auto" w:fill="FFFFFF" w:themeFill="background1"/>
            <w:vAlign w:val="center"/>
          </w:tcPr>
          <w:p w14:paraId="6A16F95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拆分型直流充电桩电缆</w:t>
            </w:r>
          </w:p>
        </w:tc>
        <w:tc>
          <w:tcPr>
            <w:tcW w:w="1928" w:type="dxa"/>
            <w:shd w:val="clear" w:color="auto" w:fill="FFFFFF" w:themeFill="background1"/>
            <w:vAlign w:val="center"/>
          </w:tcPr>
          <w:p w14:paraId="0E6811C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为实现小型化高功率的电力传输提供了解决方案。</w:t>
            </w:r>
          </w:p>
        </w:tc>
        <w:tc>
          <w:tcPr>
            <w:tcW w:w="1279" w:type="dxa"/>
            <w:shd w:val="clear" w:color="auto" w:fill="FFFFFF" w:themeFill="background1"/>
            <w:vAlign w:val="center"/>
          </w:tcPr>
          <w:p w14:paraId="497F390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已完成</w:t>
            </w:r>
          </w:p>
        </w:tc>
        <w:tc>
          <w:tcPr>
            <w:tcW w:w="2552" w:type="dxa"/>
            <w:shd w:val="clear" w:color="auto" w:fill="FFFFFF" w:themeFill="background1"/>
            <w:vAlign w:val="center"/>
          </w:tcPr>
          <w:p w14:paraId="30BC197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该产品可广泛用于新能源电动汽车公共充电桩上，通过优化电缆结构降低设备空间及使用和维护成本。</w:t>
            </w:r>
          </w:p>
        </w:tc>
        <w:tc>
          <w:tcPr>
            <w:tcW w:w="1418" w:type="dxa"/>
            <w:shd w:val="clear" w:color="auto" w:fill="FFFFFF" w:themeFill="background1"/>
            <w:vAlign w:val="center"/>
          </w:tcPr>
          <w:p w14:paraId="3B2A969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能够极大的提升充电体验感，具有良好市场应用前景。</w:t>
            </w:r>
          </w:p>
        </w:tc>
      </w:tr>
      <w:tr w:rsidR="00632E5B" w14:paraId="738FC22B" w14:textId="77777777" w:rsidTr="00D954C5">
        <w:trPr>
          <w:trHeight w:val="240"/>
        </w:trPr>
        <w:tc>
          <w:tcPr>
            <w:tcW w:w="1927" w:type="dxa"/>
            <w:shd w:val="clear" w:color="auto" w:fill="FFFFFF" w:themeFill="background1"/>
            <w:vAlign w:val="center"/>
          </w:tcPr>
          <w:p w14:paraId="33B519C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25kV阻水型铝合金芯双层高密度聚乙烯绝缘架空电缆</w:t>
            </w:r>
          </w:p>
        </w:tc>
        <w:tc>
          <w:tcPr>
            <w:tcW w:w="1928" w:type="dxa"/>
            <w:shd w:val="clear" w:color="auto" w:fill="FFFFFF" w:themeFill="background1"/>
            <w:vAlign w:val="center"/>
          </w:tcPr>
          <w:p w14:paraId="45AA79C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产品结构、耐电痕性能、耐压试验、透水试验等条件下严格满足美洲国家标准试验，也可同时满足国内的人工气候老化试验与UL标准的耐UV试验。</w:t>
            </w:r>
          </w:p>
        </w:tc>
        <w:tc>
          <w:tcPr>
            <w:tcW w:w="1279" w:type="dxa"/>
            <w:shd w:val="clear" w:color="auto" w:fill="FFFFFF" w:themeFill="background1"/>
            <w:vAlign w:val="center"/>
          </w:tcPr>
          <w:p w14:paraId="380F822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已完成</w:t>
            </w:r>
          </w:p>
        </w:tc>
        <w:tc>
          <w:tcPr>
            <w:tcW w:w="2552" w:type="dxa"/>
            <w:shd w:val="clear" w:color="auto" w:fill="FFFFFF" w:themeFill="background1"/>
            <w:vAlign w:val="center"/>
          </w:tcPr>
          <w:p w14:paraId="460082A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满足海外客户需求。</w:t>
            </w:r>
          </w:p>
        </w:tc>
        <w:tc>
          <w:tcPr>
            <w:tcW w:w="1418" w:type="dxa"/>
            <w:shd w:val="clear" w:color="auto" w:fill="FFFFFF" w:themeFill="background1"/>
            <w:vAlign w:val="center"/>
          </w:tcPr>
          <w:p w14:paraId="1CA1503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有利于提升海外架空电缆产品的竞争力。</w:t>
            </w:r>
          </w:p>
        </w:tc>
      </w:tr>
      <w:tr w:rsidR="00632E5B" w14:paraId="371132C4" w14:textId="77777777" w:rsidTr="00D954C5">
        <w:trPr>
          <w:trHeight w:val="2310"/>
        </w:trPr>
        <w:tc>
          <w:tcPr>
            <w:tcW w:w="1927" w:type="dxa"/>
            <w:shd w:val="clear" w:color="auto" w:fill="FFFFFF" w:themeFill="background1"/>
            <w:vAlign w:val="center"/>
          </w:tcPr>
          <w:p w14:paraId="6D18EA8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长寿命（至少40年）交联聚乙烯绝缘交联聚烯烃护套船用电力电缆</w:t>
            </w:r>
          </w:p>
        </w:tc>
        <w:tc>
          <w:tcPr>
            <w:tcW w:w="1928" w:type="dxa"/>
            <w:shd w:val="clear" w:color="auto" w:fill="FFFFFF" w:themeFill="background1"/>
            <w:vAlign w:val="center"/>
          </w:tcPr>
          <w:p w14:paraId="6FEAF1A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满足低烟无卤、抗开裂、无褶皱、成束燃烧A类等，保证在特殊环境下的电缆的运行能力，保持电缆的物理机械性能；还要满足电缆正常运行至少40年的长寿命要求。</w:t>
            </w:r>
          </w:p>
        </w:tc>
        <w:tc>
          <w:tcPr>
            <w:tcW w:w="1279" w:type="dxa"/>
            <w:shd w:val="clear" w:color="auto" w:fill="FFFFFF" w:themeFill="background1"/>
            <w:vAlign w:val="center"/>
          </w:tcPr>
          <w:p w14:paraId="2346343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完成试验验证</w:t>
            </w:r>
          </w:p>
        </w:tc>
        <w:tc>
          <w:tcPr>
            <w:tcW w:w="2552" w:type="dxa"/>
            <w:shd w:val="clear" w:color="auto" w:fill="FFFFFF" w:themeFill="background1"/>
            <w:vAlign w:val="center"/>
          </w:tcPr>
          <w:p w14:paraId="574E0F0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满足客户需求。</w:t>
            </w:r>
          </w:p>
        </w:tc>
        <w:tc>
          <w:tcPr>
            <w:tcW w:w="1418" w:type="dxa"/>
            <w:shd w:val="clear" w:color="auto" w:fill="FFFFFF" w:themeFill="background1"/>
            <w:vAlign w:val="center"/>
          </w:tcPr>
          <w:p w14:paraId="68A257D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提升电缆产品的竞争力。</w:t>
            </w:r>
          </w:p>
        </w:tc>
      </w:tr>
      <w:tr w:rsidR="00632E5B" w14:paraId="5603F385" w14:textId="77777777" w:rsidTr="00D954C5">
        <w:trPr>
          <w:trHeight w:val="240"/>
        </w:trPr>
        <w:tc>
          <w:tcPr>
            <w:tcW w:w="1927" w:type="dxa"/>
            <w:shd w:val="clear" w:color="auto" w:fill="FFFFFF" w:themeFill="background1"/>
            <w:vAlign w:val="center"/>
          </w:tcPr>
          <w:p w14:paraId="29D56A9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高电性阻燃聚乙烯护套料</w:t>
            </w:r>
          </w:p>
        </w:tc>
        <w:tc>
          <w:tcPr>
            <w:tcW w:w="1928" w:type="dxa"/>
            <w:shd w:val="clear" w:color="auto" w:fill="FFFFFF" w:themeFill="background1"/>
            <w:vAlign w:val="center"/>
          </w:tcPr>
          <w:p w14:paraId="7B67C19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开发一款符合客户要求用于110KV及以上电力电缆外护层的无卤阻燃聚乙烯电缆料。</w:t>
            </w:r>
          </w:p>
        </w:tc>
        <w:tc>
          <w:tcPr>
            <w:tcW w:w="1279" w:type="dxa"/>
            <w:shd w:val="clear" w:color="auto" w:fill="FFFFFF" w:themeFill="background1"/>
            <w:vAlign w:val="center"/>
          </w:tcPr>
          <w:p w14:paraId="567B367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已完成</w:t>
            </w:r>
          </w:p>
        </w:tc>
        <w:tc>
          <w:tcPr>
            <w:tcW w:w="2552" w:type="dxa"/>
            <w:shd w:val="clear" w:color="auto" w:fill="FFFFFF" w:themeFill="background1"/>
            <w:vAlign w:val="center"/>
          </w:tcPr>
          <w:p w14:paraId="4FE5677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产品具有突出的物理机械性能和电性能，耐高低温、耐热老化、耐环境应力开裂，阻燃性能优异且材料具有稳定的挤出加工性。</w:t>
            </w:r>
          </w:p>
        </w:tc>
        <w:tc>
          <w:tcPr>
            <w:tcW w:w="1418" w:type="dxa"/>
            <w:shd w:val="clear" w:color="auto" w:fill="FFFFFF" w:themeFill="background1"/>
            <w:vAlign w:val="center"/>
          </w:tcPr>
          <w:p w14:paraId="2EBE4FB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提升电缆产品的竞争力。</w:t>
            </w:r>
          </w:p>
        </w:tc>
      </w:tr>
      <w:tr w:rsidR="00632E5B" w14:paraId="2291B5C9" w14:textId="77777777" w:rsidTr="00D954C5">
        <w:trPr>
          <w:trHeight w:val="240"/>
        </w:trPr>
        <w:tc>
          <w:tcPr>
            <w:tcW w:w="1927" w:type="dxa"/>
            <w:shd w:val="clear" w:color="auto" w:fill="FFFFFF" w:themeFill="background1"/>
            <w:vAlign w:val="center"/>
          </w:tcPr>
          <w:p w14:paraId="70A2145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lastRenderedPageBreak/>
              <w:t>182R-矩形</w:t>
            </w:r>
            <w:proofErr w:type="spellStart"/>
            <w:r>
              <w:rPr>
                <w:rFonts w:ascii="宋体" w:eastAsia="宋体" w:hAnsi="宋体" w:cs="宋体"/>
                <w:sz w:val="18"/>
                <w:szCs w:val="18"/>
              </w:rPr>
              <w:t>TOPCon</w:t>
            </w:r>
            <w:proofErr w:type="spellEnd"/>
            <w:r>
              <w:rPr>
                <w:rFonts w:ascii="宋体" w:eastAsia="宋体" w:hAnsi="宋体" w:cs="宋体"/>
                <w:sz w:val="18"/>
                <w:szCs w:val="18"/>
              </w:rPr>
              <w:t>高效组件</w:t>
            </w:r>
          </w:p>
        </w:tc>
        <w:tc>
          <w:tcPr>
            <w:tcW w:w="1928" w:type="dxa"/>
            <w:shd w:val="clear" w:color="auto" w:fill="FFFFFF" w:themeFill="background1"/>
            <w:vAlign w:val="center"/>
          </w:tcPr>
          <w:p w14:paraId="14F29A4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满足大型地面电站的市场需求，有效降低地面电站的BOS成本。</w:t>
            </w:r>
          </w:p>
        </w:tc>
        <w:tc>
          <w:tcPr>
            <w:tcW w:w="1279" w:type="dxa"/>
            <w:shd w:val="clear" w:color="auto" w:fill="FFFFFF" w:themeFill="background1"/>
            <w:vAlign w:val="center"/>
          </w:tcPr>
          <w:p w14:paraId="3A1585D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已完成</w:t>
            </w:r>
          </w:p>
        </w:tc>
        <w:tc>
          <w:tcPr>
            <w:tcW w:w="2552" w:type="dxa"/>
            <w:shd w:val="clear" w:color="auto" w:fill="FFFFFF" w:themeFill="background1"/>
            <w:vAlign w:val="center"/>
          </w:tcPr>
          <w:p w14:paraId="66BB453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本项目可以进一步降低</w:t>
            </w:r>
            <w:proofErr w:type="spellStart"/>
            <w:r>
              <w:rPr>
                <w:rFonts w:ascii="宋体" w:eastAsia="宋体" w:hAnsi="宋体" w:cs="宋体"/>
                <w:sz w:val="18"/>
                <w:szCs w:val="18"/>
              </w:rPr>
              <w:t>Lcoe</w:t>
            </w:r>
            <w:proofErr w:type="spellEnd"/>
            <w:r>
              <w:rPr>
                <w:rFonts w:ascii="宋体" w:eastAsia="宋体" w:hAnsi="宋体" w:cs="宋体"/>
                <w:sz w:val="18"/>
                <w:szCs w:val="18"/>
              </w:rPr>
              <w:t>。</w:t>
            </w:r>
          </w:p>
        </w:tc>
        <w:tc>
          <w:tcPr>
            <w:tcW w:w="1418" w:type="dxa"/>
            <w:shd w:val="clear" w:color="auto" w:fill="FFFFFF" w:themeFill="background1"/>
            <w:vAlign w:val="center"/>
          </w:tcPr>
          <w:p w14:paraId="395C3CB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满足大型电站的产品需求，可以提升公司产品在全球市场的竞争力。</w:t>
            </w:r>
          </w:p>
        </w:tc>
      </w:tr>
      <w:tr w:rsidR="00632E5B" w14:paraId="52787380" w14:textId="77777777" w:rsidTr="00D954C5">
        <w:trPr>
          <w:trHeight w:val="240"/>
        </w:trPr>
        <w:tc>
          <w:tcPr>
            <w:tcW w:w="1927" w:type="dxa"/>
            <w:shd w:val="clear" w:color="auto" w:fill="FFFFFF" w:themeFill="background1"/>
            <w:vAlign w:val="center"/>
          </w:tcPr>
          <w:p w14:paraId="4AF7A52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182R-矩形</w:t>
            </w:r>
            <w:proofErr w:type="spellStart"/>
            <w:r>
              <w:rPr>
                <w:rFonts w:ascii="宋体" w:eastAsia="宋体" w:hAnsi="宋体" w:cs="宋体"/>
                <w:sz w:val="18"/>
                <w:szCs w:val="18"/>
              </w:rPr>
              <w:t>TOPCon</w:t>
            </w:r>
            <w:proofErr w:type="spellEnd"/>
            <w:r>
              <w:rPr>
                <w:rFonts w:ascii="宋体" w:eastAsia="宋体" w:hAnsi="宋体" w:cs="宋体"/>
                <w:sz w:val="18"/>
                <w:szCs w:val="18"/>
              </w:rPr>
              <w:t>轻质组件</w:t>
            </w:r>
          </w:p>
        </w:tc>
        <w:tc>
          <w:tcPr>
            <w:tcW w:w="1928" w:type="dxa"/>
            <w:shd w:val="clear" w:color="auto" w:fill="FFFFFF" w:themeFill="background1"/>
            <w:vAlign w:val="center"/>
          </w:tcPr>
          <w:p w14:paraId="1988A24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提升户用的组件在“阳光阳台”政策的激励下的市场竞争力。</w:t>
            </w:r>
          </w:p>
        </w:tc>
        <w:tc>
          <w:tcPr>
            <w:tcW w:w="1279" w:type="dxa"/>
            <w:shd w:val="clear" w:color="auto" w:fill="FFFFFF" w:themeFill="background1"/>
            <w:vAlign w:val="center"/>
          </w:tcPr>
          <w:p w14:paraId="29C6BCC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已完成</w:t>
            </w:r>
          </w:p>
        </w:tc>
        <w:tc>
          <w:tcPr>
            <w:tcW w:w="2552" w:type="dxa"/>
            <w:shd w:val="clear" w:color="auto" w:fill="FFFFFF" w:themeFill="background1"/>
            <w:vAlign w:val="center"/>
          </w:tcPr>
          <w:p w14:paraId="484544E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可以给客户获得更高的产品收益。</w:t>
            </w:r>
          </w:p>
        </w:tc>
        <w:tc>
          <w:tcPr>
            <w:tcW w:w="1418" w:type="dxa"/>
            <w:shd w:val="clear" w:color="auto" w:fill="FFFFFF" w:themeFill="background1"/>
            <w:vAlign w:val="center"/>
          </w:tcPr>
          <w:p w14:paraId="24725D7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满足国外户用轻质细分市场不断增长的需求，提升产品在欧洲的影响力。</w:t>
            </w:r>
          </w:p>
        </w:tc>
      </w:tr>
      <w:tr w:rsidR="00632E5B" w14:paraId="008D9896" w14:textId="77777777" w:rsidTr="00D954C5">
        <w:trPr>
          <w:trHeight w:val="240"/>
        </w:trPr>
        <w:tc>
          <w:tcPr>
            <w:tcW w:w="1927" w:type="dxa"/>
            <w:shd w:val="clear" w:color="auto" w:fill="FFFFFF" w:themeFill="background1"/>
            <w:vAlign w:val="center"/>
          </w:tcPr>
          <w:p w14:paraId="71F3C41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210R-低成本矩形</w:t>
            </w:r>
            <w:proofErr w:type="spellStart"/>
            <w:r>
              <w:rPr>
                <w:rFonts w:ascii="宋体" w:eastAsia="宋体" w:hAnsi="宋体" w:cs="宋体"/>
                <w:sz w:val="18"/>
                <w:szCs w:val="18"/>
              </w:rPr>
              <w:t>TOPCon</w:t>
            </w:r>
            <w:proofErr w:type="spellEnd"/>
            <w:r>
              <w:rPr>
                <w:rFonts w:ascii="宋体" w:eastAsia="宋体" w:hAnsi="宋体" w:cs="宋体"/>
                <w:sz w:val="18"/>
                <w:szCs w:val="18"/>
              </w:rPr>
              <w:t>高功率组件</w:t>
            </w:r>
          </w:p>
        </w:tc>
        <w:tc>
          <w:tcPr>
            <w:tcW w:w="1928" w:type="dxa"/>
            <w:shd w:val="clear" w:color="auto" w:fill="FFFFFF" w:themeFill="background1"/>
            <w:vAlign w:val="center"/>
          </w:tcPr>
          <w:p w14:paraId="2FB6E1A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满足全球地面电站组件单片功率提升以及成本下降。</w:t>
            </w:r>
          </w:p>
        </w:tc>
        <w:tc>
          <w:tcPr>
            <w:tcW w:w="1279" w:type="dxa"/>
            <w:shd w:val="clear" w:color="auto" w:fill="FFFFFF" w:themeFill="background1"/>
            <w:vAlign w:val="center"/>
          </w:tcPr>
          <w:p w14:paraId="15FC879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已完成</w:t>
            </w:r>
          </w:p>
        </w:tc>
        <w:tc>
          <w:tcPr>
            <w:tcW w:w="2552" w:type="dxa"/>
            <w:shd w:val="clear" w:color="auto" w:fill="FFFFFF" w:themeFill="background1"/>
            <w:vAlign w:val="center"/>
          </w:tcPr>
          <w:p w14:paraId="13EA41E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开发出620W以上的组件，并且依据海运货运柜标准尺寸比较了多种设计，从而降低货运单瓦成本。</w:t>
            </w:r>
          </w:p>
        </w:tc>
        <w:tc>
          <w:tcPr>
            <w:tcW w:w="1418" w:type="dxa"/>
            <w:shd w:val="clear" w:color="auto" w:fill="FFFFFF" w:themeFill="background1"/>
            <w:vAlign w:val="center"/>
          </w:tcPr>
          <w:p w14:paraId="1CEE646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满足国外地面电站的低成本高功率需求，提升公司海外竞争力。</w:t>
            </w:r>
          </w:p>
        </w:tc>
      </w:tr>
    </w:tbl>
    <w:p w14:paraId="46AFC258" w14:textId="5D6D40A6" w:rsidR="002D5C47"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公司研发人员情况</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2409"/>
        <w:gridCol w:w="2410"/>
        <w:gridCol w:w="2410"/>
        <w:gridCol w:w="2410"/>
      </w:tblGrid>
      <w:tr w:rsidR="00632E5B" w14:paraId="366C995C" w14:textId="77777777" w:rsidTr="00D954C5">
        <w:trPr>
          <w:trHeight w:val="240"/>
        </w:trPr>
        <w:tc>
          <w:tcPr>
            <w:tcW w:w="2409" w:type="dxa"/>
            <w:shd w:val="clear" w:color="auto" w:fill="FFFFFF" w:themeFill="background1"/>
            <w:vAlign w:val="center"/>
          </w:tcPr>
          <w:p w14:paraId="0F3CB615" w14:textId="77777777" w:rsidR="00632E5B" w:rsidRDefault="00632E5B"/>
        </w:tc>
        <w:tc>
          <w:tcPr>
            <w:tcW w:w="2410" w:type="dxa"/>
            <w:shd w:val="clear" w:color="auto" w:fill="FFFFFF" w:themeFill="background1"/>
            <w:vAlign w:val="center"/>
          </w:tcPr>
          <w:p w14:paraId="2721F7E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2024年</w:t>
            </w:r>
          </w:p>
        </w:tc>
        <w:tc>
          <w:tcPr>
            <w:tcW w:w="2410" w:type="dxa"/>
            <w:shd w:val="clear" w:color="auto" w:fill="FFFFFF" w:themeFill="background1"/>
            <w:vAlign w:val="center"/>
          </w:tcPr>
          <w:p w14:paraId="5D31370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2023年</w:t>
            </w:r>
          </w:p>
        </w:tc>
        <w:tc>
          <w:tcPr>
            <w:tcW w:w="2410" w:type="dxa"/>
            <w:shd w:val="clear" w:color="auto" w:fill="FFFFFF" w:themeFill="background1"/>
            <w:vAlign w:val="center"/>
          </w:tcPr>
          <w:p w14:paraId="441A0CD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变动比例</w:t>
            </w:r>
          </w:p>
        </w:tc>
      </w:tr>
      <w:tr w:rsidR="00632E5B" w14:paraId="5A901DF1" w14:textId="77777777" w:rsidTr="00D954C5">
        <w:trPr>
          <w:trHeight w:val="240"/>
        </w:trPr>
        <w:tc>
          <w:tcPr>
            <w:tcW w:w="2409" w:type="dxa"/>
            <w:shd w:val="clear" w:color="auto" w:fill="FFFFFF" w:themeFill="background1"/>
            <w:vAlign w:val="center"/>
          </w:tcPr>
          <w:p w14:paraId="7F4429CC"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研发人员数量（人）</w:t>
            </w:r>
          </w:p>
        </w:tc>
        <w:tc>
          <w:tcPr>
            <w:tcW w:w="2410" w:type="dxa"/>
            <w:shd w:val="clear" w:color="auto" w:fill="FFFFFF" w:themeFill="background1"/>
            <w:vAlign w:val="center"/>
          </w:tcPr>
          <w:p w14:paraId="75046CF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280</w:t>
            </w:r>
          </w:p>
        </w:tc>
        <w:tc>
          <w:tcPr>
            <w:tcW w:w="2410" w:type="dxa"/>
            <w:shd w:val="clear" w:color="auto" w:fill="FFFFFF" w:themeFill="background1"/>
            <w:vAlign w:val="center"/>
          </w:tcPr>
          <w:p w14:paraId="45D55BA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455</w:t>
            </w:r>
          </w:p>
        </w:tc>
        <w:tc>
          <w:tcPr>
            <w:tcW w:w="2410" w:type="dxa"/>
            <w:shd w:val="clear" w:color="auto" w:fill="FFFFFF" w:themeFill="background1"/>
            <w:vAlign w:val="center"/>
          </w:tcPr>
          <w:p w14:paraId="252A15B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-38.46%</w:t>
            </w:r>
          </w:p>
        </w:tc>
      </w:tr>
      <w:tr w:rsidR="00632E5B" w14:paraId="1965DAB7" w14:textId="77777777" w:rsidTr="00D954C5">
        <w:trPr>
          <w:trHeight w:val="240"/>
        </w:trPr>
        <w:tc>
          <w:tcPr>
            <w:tcW w:w="2409" w:type="dxa"/>
            <w:shd w:val="clear" w:color="auto" w:fill="FFFFFF" w:themeFill="background1"/>
            <w:vAlign w:val="center"/>
          </w:tcPr>
          <w:p w14:paraId="65D9882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研发人员数量占比</w:t>
            </w:r>
          </w:p>
        </w:tc>
        <w:tc>
          <w:tcPr>
            <w:tcW w:w="2410" w:type="dxa"/>
            <w:shd w:val="clear" w:color="auto" w:fill="FFFFFF" w:themeFill="background1"/>
            <w:vAlign w:val="center"/>
          </w:tcPr>
          <w:p w14:paraId="654A408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12.19%</w:t>
            </w:r>
          </w:p>
        </w:tc>
        <w:tc>
          <w:tcPr>
            <w:tcW w:w="2410" w:type="dxa"/>
            <w:shd w:val="clear" w:color="auto" w:fill="FFFFFF" w:themeFill="background1"/>
            <w:vAlign w:val="center"/>
          </w:tcPr>
          <w:p w14:paraId="6C9B340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13.89%</w:t>
            </w:r>
          </w:p>
        </w:tc>
        <w:tc>
          <w:tcPr>
            <w:tcW w:w="2410" w:type="dxa"/>
            <w:shd w:val="clear" w:color="auto" w:fill="FFFFFF" w:themeFill="background1"/>
            <w:vAlign w:val="center"/>
          </w:tcPr>
          <w:p w14:paraId="192772A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-1.70%</w:t>
            </w:r>
          </w:p>
        </w:tc>
      </w:tr>
      <w:tr w:rsidR="00632E5B" w14:paraId="3AC3E213" w14:textId="77777777" w:rsidTr="00D954C5">
        <w:trPr>
          <w:trHeight w:val="240"/>
        </w:trPr>
        <w:tc>
          <w:tcPr>
            <w:tcW w:w="9639" w:type="dxa"/>
            <w:gridSpan w:val="4"/>
            <w:shd w:val="clear" w:color="auto" w:fill="FFFFFF" w:themeFill="background1"/>
            <w:vAlign w:val="center"/>
          </w:tcPr>
          <w:p w14:paraId="73846FDA"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研发人员学历结构</w:t>
            </w:r>
          </w:p>
        </w:tc>
      </w:tr>
      <w:tr w:rsidR="00632E5B" w14:paraId="22976E2C" w14:textId="77777777" w:rsidTr="00D954C5">
        <w:trPr>
          <w:trHeight w:val="240"/>
        </w:trPr>
        <w:tc>
          <w:tcPr>
            <w:tcW w:w="2409" w:type="dxa"/>
            <w:shd w:val="clear" w:color="auto" w:fill="FFFFFF" w:themeFill="background1"/>
            <w:vAlign w:val="center"/>
          </w:tcPr>
          <w:p w14:paraId="07C4D1B1"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本科</w:t>
            </w:r>
          </w:p>
        </w:tc>
        <w:tc>
          <w:tcPr>
            <w:tcW w:w="2410" w:type="dxa"/>
            <w:shd w:val="clear" w:color="auto" w:fill="FFFFFF" w:themeFill="background1"/>
            <w:vAlign w:val="center"/>
          </w:tcPr>
          <w:p w14:paraId="24AD1E2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144</w:t>
            </w:r>
          </w:p>
        </w:tc>
        <w:tc>
          <w:tcPr>
            <w:tcW w:w="2410" w:type="dxa"/>
            <w:shd w:val="clear" w:color="auto" w:fill="FFFFFF" w:themeFill="background1"/>
            <w:vAlign w:val="center"/>
          </w:tcPr>
          <w:p w14:paraId="206AE0D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159</w:t>
            </w:r>
          </w:p>
        </w:tc>
        <w:tc>
          <w:tcPr>
            <w:tcW w:w="2410" w:type="dxa"/>
            <w:shd w:val="clear" w:color="auto" w:fill="FFFFFF" w:themeFill="background1"/>
            <w:vAlign w:val="center"/>
          </w:tcPr>
          <w:p w14:paraId="3F4058B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-9.43%</w:t>
            </w:r>
          </w:p>
        </w:tc>
      </w:tr>
      <w:tr w:rsidR="00632E5B" w14:paraId="3A1BD4D4" w14:textId="77777777" w:rsidTr="00D954C5">
        <w:trPr>
          <w:trHeight w:val="240"/>
        </w:trPr>
        <w:tc>
          <w:tcPr>
            <w:tcW w:w="2409" w:type="dxa"/>
            <w:shd w:val="clear" w:color="auto" w:fill="FFFFFF" w:themeFill="background1"/>
            <w:vAlign w:val="center"/>
          </w:tcPr>
          <w:p w14:paraId="266A48BB"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硕士</w:t>
            </w:r>
          </w:p>
        </w:tc>
        <w:tc>
          <w:tcPr>
            <w:tcW w:w="2410" w:type="dxa"/>
            <w:shd w:val="clear" w:color="auto" w:fill="FFFFFF" w:themeFill="background1"/>
            <w:vAlign w:val="center"/>
          </w:tcPr>
          <w:p w14:paraId="5674F0F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w:t>
            </w:r>
          </w:p>
        </w:tc>
        <w:tc>
          <w:tcPr>
            <w:tcW w:w="2410" w:type="dxa"/>
            <w:shd w:val="clear" w:color="auto" w:fill="FFFFFF" w:themeFill="background1"/>
            <w:vAlign w:val="center"/>
          </w:tcPr>
          <w:p w14:paraId="5F4E2FE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w:t>
            </w:r>
          </w:p>
        </w:tc>
        <w:tc>
          <w:tcPr>
            <w:tcW w:w="2410" w:type="dxa"/>
            <w:shd w:val="clear" w:color="auto" w:fill="FFFFFF" w:themeFill="background1"/>
            <w:vAlign w:val="center"/>
          </w:tcPr>
          <w:p w14:paraId="5591169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-50.00%</w:t>
            </w:r>
          </w:p>
        </w:tc>
      </w:tr>
      <w:tr w:rsidR="00632E5B" w14:paraId="4BBBB547" w14:textId="77777777" w:rsidTr="00D954C5">
        <w:trPr>
          <w:trHeight w:val="240"/>
        </w:trPr>
        <w:tc>
          <w:tcPr>
            <w:tcW w:w="2409" w:type="dxa"/>
            <w:shd w:val="clear" w:color="auto" w:fill="FFFFFF" w:themeFill="background1"/>
            <w:vAlign w:val="center"/>
          </w:tcPr>
          <w:p w14:paraId="58C0912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大专及以下</w:t>
            </w:r>
          </w:p>
        </w:tc>
        <w:tc>
          <w:tcPr>
            <w:tcW w:w="2410" w:type="dxa"/>
            <w:shd w:val="clear" w:color="auto" w:fill="FFFFFF" w:themeFill="background1"/>
            <w:vAlign w:val="center"/>
          </w:tcPr>
          <w:p w14:paraId="6E8E1BC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132</w:t>
            </w:r>
          </w:p>
        </w:tc>
        <w:tc>
          <w:tcPr>
            <w:tcW w:w="2410" w:type="dxa"/>
            <w:shd w:val="clear" w:color="auto" w:fill="FFFFFF" w:themeFill="background1"/>
            <w:vAlign w:val="center"/>
          </w:tcPr>
          <w:p w14:paraId="5CCB7BA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288</w:t>
            </w:r>
          </w:p>
        </w:tc>
        <w:tc>
          <w:tcPr>
            <w:tcW w:w="2410" w:type="dxa"/>
            <w:shd w:val="clear" w:color="auto" w:fill="FFFFFF" w:themeFill="background1"/>
            <w:vAlign w:val="center"/>
          </w:tcPr>
          <w:p w14:paraId="0552921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-54.17%</w:t>
            </w:r>
          </w:p>
        </w:tc>
      </w:tr>
      <w:tr w:rsidR="00632E5B" w14:paraId="06E70B63" w14:textId="77777777" w:rsidTr="00D954C5">
        <w:trPr>
          <w:trHeight w:val="240"/>
        </w:trPr>
        <w:tc>
          <w:tcPr>
            <w:tcW w:w="9639" w:type="dxa"/>
            <w:gridSpan w:val="4"/>
            <w:shd w:val="clear" w:color="auto" w:fill="FFFFFF" w:themeFill="background1"/>
            <w:vAlign w:val="center"/>
          </w:tcPr>
          <w:p w14:paraId="7B2649B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研发人员年龄构成</w:t>
            </w:r>
          </w:p>
        </w:tc>
      </w:tr>
      <w:tr w:rsidR="00632E5B" w14:paraId="1CDD8BAA" w14:textId="77777777" w:rsidTr="00D954C5">
        <w:trPr>
          <w:trHeight w:val="240"/>
        </w:trPr>
        <w:tc>
          <w:tcPr>
            <w:tcW w:w="2409" w:type="dxa"/>
            <w:shd w:val="clear" w:color="auto" w:fill="FFFFFF" w:themeFill="background1"/>
            <w:vAlign w:val="center"/>
          </w:tcPr>
          <w:p w14:paraId="68AC8C09"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30岁以下</w:t>
            </w:r>
          </w:p>
        </w:tc>
        <w:tc>
          <w:tcPr>
            <w:tcW w:w="2410" w:type="dxa"/>
            <w:shd w:val="clear" w:color="auto" w:fill="FFFFFF" w:themeFill="background1"/>
            <w:vAlign w:val="center"/>
          </w:tcPr>
          <w:p w14:paraId="3E85228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71</w:t>
            </w:r>
          </w:p>
        </w:tc>
        <w:tc>
          <w:tcPr>
            <w:tcW w:w="2410" w:type="dxa"/>
            <w:shd w:val="clear" w:color="auto" w:fill="FFFFFF" w:themeFill="background1"/>
            <w:vAlign w:val="center"/>
          </w:tcPr>
          <w:p w14:paraId="1489F55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165</w:t>
            </w:r>
          </w:p>
        </w:tc>
        <w:tc>
          <w:tcPr>
            <w:tcW w:w="2410" w:type="dxa"/>
            <w:shd w:val="clear" w:color="auto" w:fill="FFFFFF" w:themeFill="background1"/>
            <w:vAlign w:val="center"/>
          </w:tcPr>
          <w:p w14:paraId="0B96378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-56.97%</w:t>
            </w:r>
          </w:p>
        </w:tc>
      </w:tr>
      <w:tr w:rsidR="00632E5B" w14:paraId="3D77CC90" w14:textId="77777777" w:rsidTr="00D954C5">
        <w:trPr>
          <w:trHeight w:val="240"/>
        </w:trPr>
        <w:tc>
          <w:tcPr>
            <w:tcW w:w="2409" w:type="dxa"/>
            <w:shd w:val="clear" w:color="auto" w:fill="FFFFFF" w:themeFill="background1"/>
            <w:vAlign w:val="center"/>
          </w:tcPr>
          <w:p w14:paraId="7A43CD20"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30~40岁</w:t>
            </w:r>
          </w:p>
        </w:tc>
        <w:tc>
          <w:tcPr>
            <w:tcW w:w="2410" w:type="dxa"/>
            <w:shd w:val="clear" w:color="auto" w:fill="FFFFFF" w:themeFill="background1"/>
            <w:vAlign w:val="center"/>
          </w:tcPr>
          <w:p w14:paraId="162132B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149</w:t>
            </w:r>
          </w:p>
        </w:tc>
        <w:tc>
          <w:tcPr>
            <w:tcW w:w="2410" w:type="dxa"/>
            <w:shd w:val="clear" w:color="auto" w:fill="FFFFFF" w:themeFill="background1"/>
            <w:vAlign w:val="center"/>
          </w:tcPr>
          <w:p w14:paraId="12A2AA1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231</w:t>
            </w:r>
          </w:p>
        </w:tc>
        <w:tc>
          <w:tcPr>
            <w:tcW w:w="2410" w:type="dxa"/>
            <w:shd w:val="clear" w:color="auto" w:fill="FFFFFF" w:themeFill="background1"/>
            <w:vAlign w:val="center"/>
          </w:tcPr>
          <w:p w14:paraId="0562E1A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-35.50%</w:t>
            </w:r>
          </w:p>
        </w:tc>
      </w:tr>
      <w:tr w:rsidR="00632E5B" w14:paraId="47FC5FAD" w14:textId="77777777" w:rsidTr="00D954C5">
        <w:trPr>
          <w:trHeight w:val="240"/>
        </w:trPr>
        <w:tc>
          <w:tcPr>
            <w:tcW w:w="2409" w:type="dxa"/>
            <w:shd w:val="clear" w:color="auto" w:fill="FFFFFF" w:themeFill="background1"/>
            <w:vAlign w:val="center"/>
          </w:tcPr>
          <w:p w14:paraId="37EF84A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40岁以上</w:t>
            </w:r>
          </w:p>
        </w:tc>
        <w:tc>
          <w:tcPr>
            <w:tcW w:w="2410" w:type="dxa"/>
            <w:shd w:val="clear" w:color="auto" w:fill="FFFFFF" w:themeFill="background1"/>
            <w:vAlign w:val="center"/>
          </w:tcPr>
          <w:p w14:paraId="7AC1F54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w:t>
            </w:r>
          </w:p>
        </w:tc>
        <w:tc>
          <w:tcPr>
            <w:tcW w:w="2410" w:type="dxa"/>
            <w:shd w:val="clear" w:color="auto" w:fill="FFFFFF" w:themeFill="background1"/>
            <w:vAlign w:val="center"/>
          </w:tcPr>
          <w:p w14:paraId="7DEB9E7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58</w:t>
            </w:r>
          </w:p>
        </w:tc>
        <w:tc>
          <w:tcPr>
            <w:tcW w:w="2410" w:type="dxa"/>
            <w:shd w:val="clear" w:color="auto" w:fill="FFFFFF" w:themeFill="background1"/>
            <w:vAlign w:val="center"/>
          </w:tcPr>
          <w:p w14:paraId="532B878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3.45%</w:t>
            </w:r>
          </w:p>
        </w:tc>
      </w:tr>
    </w:tbl>
    <w:p w14:paraId="37EF4AD0"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公司研发投入情况</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2409"/>
        <w:gridCol w:w="2410"/>
        <w:gridCol w:w="2410"/>
        <w:gridCol w:w="2410"/>
      </w:tblGrid>
      <w:tr w:rsidR="00632E5B" w14:paraId="639E5889" w14:textId="77777777" w:rsidTr="00D954C5">
        <w:trPr>
          <w:trHeight w:val="240"/>
        </w:trPr>
        <w:tc>
          <w:tcPr>
            <w:tcW w:w="2410" w:type="dxa"/>
            <w:shd w:val="clear" w:color="auto" w:fill="FFFFFF" w:themeFill="background1"/>
            <w:vAlign w:val="center"/>
          </w:tcPr>
          <w:p w14:paraId="7215D4AB" w14:textId="77777777" w:rsidR="00632E5B" w:rsidRDefault="00632E5B"/>
        </w:tc>
        <w:tc>
          <w:tcPr>
            <w:tcW w:w="2410" w:type="dxa"/>
            <w:shd w:val="clear" w:color="auto" w:fill="FFFFFF" w:themeFill="background1"/>
            <w:vAlign w:val="center"/>
          </w:tcPr>
          <w:p w14:paraId="4A8C8C6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2024年</w:t>
            </w:r>
          </w:p>
        </w:tc>
        <w:tc>
          <w:tcPr>
            <w:tcW w:w="2410" w:type="dxa"/>
            <w:shd w:val="clear" w:color="auto" w:fill="FFFFFF" w:themeFill="background1"/>
            <w:vAlign w:val="center"/>
          </w:tcPr>
          <w:p w14:paraId="0CF3DF1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2023年</w:t>
            </w:r>
          </w:p>
        </w:tc>
        <w:tc>
          <w:tcPr>
            <w:tcW w:w="2410" w:type="dxa"/>
            <w:shd w:val="clear" w:color="auto" w:fill="FFFFFF" w:themeFill="background1"/>
            <w:vAlign w:val="center"/>
          </w:tcPr>
          <w:p w14:paraId="02C1E5E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变动比例</w:t>
            </w:r>
          </w:p>
        </w:tc>
      </w:tr>
      <w:tr w:rsidR="00632E5B" w14:paraId="41C0F95E" w14:textId="77777777" w:rsidTr="00D954C5">
        <w:trPr>
          <w:trHeight w:val="240"/>
        </w:trPr>
        <w:tc>
          <w:tcPr>
            <w:tcW w:w="2410" w:type="dxa"/>
            <w:shd w:val="clear" w:color="auto" w:fill="FFFFFF" w:themeFill="background1"/>
            <w:vAlign w:val="center"/>
          </w:tcPr>
          <w:p w14:paraId="4CB77CC0"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研发投入金额（元）</w:t>
            </w:r>
          </w:p>
        </w:tc>
        <w:tc>
          <w:tcPr>
            <w:tcW w:w="2410" w:type="dxa"/>
            <w:shd w:val="clear" w:color="auto" w:fill="FFFFFF" w:themeFill="background1"/>
            <w:vAlign w:val="center"/>
          </w:tcPr>
          <w:p w14:paraId="3639C1B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51,764,597.23</w:t>
            </w:r>
          </w:p>
        </w:tc>
        <w:tc>
          <w:tcPr>
            <w:tcW w:w="2410" w:type="dxa"/>
            <w:shd w:val="clear" w:color="auto" w:fill="FFFFFF" w:themeFill="background1"/>
            <w:vAlign w:val="center"/>
          </w:tcPr>
          <w:p w14:paraId="60C88B6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113,059,127.20</w:t>
            </w:r>
          </w:p>
        </w:tc>
        <w:tc>
          <w:tcPr>
            <w:tcW w:w="2410" w:type="dxa"/>
            <w:shd w:val="clear" w:color="auto" w:fill="FFFFFF" w:themeFill="background1"/>
            <w:vAlign w:val="center"/>
          </w:tcPr>
          <w:p w14:paraId="0897C72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-54.21%</w:t>
            </w:r>
          </w:p>
        </w:tc>
      </w:tr>
      <w:tr w:rsidR="00632E5B" w14:paraId="34A2E4C0" w14:textId="77777777" w:rsidTr="00D954C5">
        <w:trPr>
          <w:trHeight w:val="240"/>
        </w:trPr>
        <w:tc>
          <w:tcPr>
            <w:tcW w:w="2410" w:type="dxa"/>
            <w:shd w:val="clear" w:color="auto" w:fill="FFFFFF" w:themeFill="background1"/>
            <w:vAlign w:val="center"/>
          </w:tcPr>
          <w:p w14:paraId="232B53D5"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研发投入占营业收入比例</w:t>
            </w:r>
          </w:p>
        </w:tc>
        <w:tc>
          <w:tcPr>
            <w:tcW w:w="2410" w:type="dxa"/>
            <w:shd w:val="clear" w:color="auto" w:fill="FFFFFF" w:themeFill="background1"/>
            <w:vAlign w:val="center"/>
          </w:tcPr>
          <w:p w14:paraId="503BCD3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2.20%</w:t>
            </w:r>
          </w:p>
        </w:tc>
        <w:tc>
          <w:tcPr>
            <w:tcW w:w="2410" w:type="dxa"/>
            <w:shd w:val="clear" w:color="auto" w:fill="FFFFFF" w:themeFill="background1"/>
            <w:vAlign w:val="center"/>
          </w:tcPr>
          <w:p w14:paraId="213BE78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2.79%</w:t>
            </w:r>
          </w:p>
        </w:tc>
        <w:tc>
          <w:tcPr>
            <w:tcW w:w="2410" w:type="dxa"/>
            <w:shd w:val="clear" w:color="auto" w:fill="FFFFFF" w:themeFill="background1"/>
            <w:vAlign w:val="center"/>
          </w:tcPr>
          <w:p w14:paraId="122F1E1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-0.59%</w:t>
            </w:r>
          </w:p>
        </w:tc>
      </w:tr>
      <w:tr w:rsidR="00632E5B" w14:paraId="7445F37D" w14:textId="77777777" w:rsidTr="00D954C5">
        <w:trPr>
          <w:trHeight w:val="240"/>
        </w:trPr>
        <w:tc>
          <w:tcPr>
            <w:tcW w:w="2410" w:type="dxa"/>
            <w:shd w:val="clear" w:color="auto" w:fill="FFFFFF" w:themeFill="background1"/>
            <w:vAlign w:val="center"/>
          </w:tcPr>
          <w:p w14:paraId="682E65A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研发投入资本化的金额（元）</w:t>
            </w:r>
          </w:p>
        </w:tc>
        <w:tc>
          <w:tcPr>
            <w:tcW w:w="2410" w:type="dxa"/>
            <w:shd w:val="clear" w:color="auto" w:fill="FFFFFF" w:themeFill="background1"/>
            <w:vAlign w:val="center"/>
          </w:tcPr>
          <w:p w14:paraId="56FE919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2410" w:type="dxa"/>
            <w:shd w:val="clear" w:color="auto" w:fill="FFFFFF" w:themeFill="background1"/>
            <w:vAlign w:val="center"/>
          </w:tcPr>
          <w:p w14:paraId="7F23D9C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2410" w:type="dxa"/>
            <w:shd w:val="clear" w:color="auto" w:fill="FFFFFF" w:themeFill="background1"/>
            <w:vAlign w:val="center"/>
          </w:tcPr>
          <w:p w14:paraId="1D662FD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r>
      <w:tr w:rsidR="00632E5B" w14:paraId="72DE0332" w14:textId="77777777" w:rsidTr="00D954C5">
        <w:trPr>
          <w:trHeight w:val="240"/>
        </w:trPr>
        <w:tc>
          <w:tcPr>
            <w:tcW w:w="2410" w:type="dxa"/>
            <w:shd w:val="clear" w:color="auto" w:fill="FFFFFF" w:themeFill="background1"/>
            <w:vAlign w:val="center"/>
          </w:tcPr>
          <w:p w14:paraId="3A9AFEF1"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资本化研发投入占研发投入的比例</w:t>
            </w:r>
          </w:p>
        </w:tc>
        <w:tc>
          <w:tcPr>
            <w:tcW w:w="2410" w:type="dxa"/>
            <w:shd w:val="clear" w:color="auto" w:fill="FFFFFF" w:themeFill="background1"/>
            <w:vAlign w:val="center"/>
          </w:tcPr>
          <w:p w14:paraId="6733393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2410" w:type="dxa"/>
            <w:shd w:val="clear" w:color="auto" w:fill="FFFFFF" w:themeFill="background1"/>
            <w:vAlign w:val="center"/>
          </w:tcPr>
          <w:p w14:paraId="3325FE3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2410" w:type="dxa"/>
            <w:shd w:val="clear" w:color="auto" w:fill="FFFFFF" w:themeFill="background1"/>
            <w:vAlign w:val="center"/>
          </w:tcPr>
          <w:p w14:paraId="53976A8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r>
    </w:tbl>
    <w:p w14:paraId="4A2D8CAD"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公司研发人员构成发生重大变化的原因及影响</w:t>
      </w:r>
    </w:p>
    <w:p w14:paraId="507A97E5"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0A221E3C" w14:textId="73A215F6" w:rsidR="00E72F0C" w:rsidRDefault="00107901" w:rsidP="00C91D96">
      <w:pPr>
        <w:pStyle w:val="a3"/>
        <w:spacing w:before="0" w:beforeAutospacing="0" w:after="0" w:afterAutospacing="0"/>
        <w:divId w:val="2040740885"/>
        <w:rPr>
          <w:rFonts w:hint="eastAsia"/>
          <w:sz w:val="18"/>
          <w:szCs w:val="18"/>
        </w:rPr>
      </w:pPr>
      <w:r>
        <w:rPr>
          <w:rFonts w:hint="eastAsia"/>
          <w:sz w:val="21"/>
          <w:szCs w:val="21"/>
        </w:rPr>
        <w:t>公司重整期间保留重点研发人员团队。</w:t>
      </w:r>
    </w:p>
    <w:p w14:paraId="59EEA8CE"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研发投入总额占营业收入的比重较上年发生显著变化的原因</w:t>
      </w:r>
    </w:p>
    <w:p w14:paraId="33CECBD7"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1F6ECB41"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研发投入资本化率大幅变动的原因及其合理性说明</w:t>
      </w:r>
    </w:p>
    <w:p w14:paraId="78782F69"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208F3767" w14:textId="77777777" w:rsidR="00D954C5" w:rsidRDefault="00D954C5">
      <w:pPr>
        <w:widowControl/>
        <w:rPr>
          <w:rFonts w:ascii="宋体" w:eastAsia="宋体" w:hAnsi="宋体" w:cs="宋体" w:hint="eastAsia"/>
          <w:b/>
          <w:bCs/>
          <w:szCs w:val="21"/>
        </w:rPr>
      </w:pPr>
      <w:bookmarkStart w:id="30" w:name="_Toc988919"/>
      <w:r>
        <w:rPr>
          <w:rFonts w:ascii="宋体" w:hAnsi="宋体" w:cs="宋体" w:hint="eastAsia"/>
          <w:b/>
          <w:bCs/>
        </w:rPr>
        <w:br w:type="page"/>
      </w:r>
    </w:p>
    <w:p w14:paraId="35BFD531" w14:textId="32848280" w:rsidR="00632E5B" w:rsidRDefault="00107901">
      <w:pPr>
        <w:pStyle w:val="3"/>
        <w:spacing w:line="280" w:lineRule="exact"/>
        <w:jc w:val="left"/>
        <w:rPr>
          <w:rFonts w:ascii="宋体" w:hAnsi="宋体" w:cs="宋体" w:hint="eastAsia"/>
          <w:b/>
          <w:bCs/>
        </w:rPr>
      </w:pPr>
      <w:r>
        <w:rPr>
          <w:rFonts w:ascii="宋体" w:hAnsi="宋体" w:cs="宋体"/>
          <w:b/>
          <w:bCs/>
        </w:rPr>
        <w:lastRenderedPageBreak/>
        <w:t>5、现金流</w:t>
      </w:r>
      <w:bookmarkEnd w:id="30"/>
    </w:p>
    <w:p w14:paraId="1B6290FE"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2409"/>
        <w:gridCol w:w="2410"/>
        <w:gridCol w:w="2410"/>
        <w:gridCol w:w="2410"/>
      </w:tblGrid>
      <w:tr w:rsidR="00632E5B" w14:paraId="31FC66E4" w14:textId="77777777" w:rsidTr="00D954C5">
        <w:trPr>
          <w:trHeight w:val="240"/>
        </w:trPr>
        <w:tc>
          <w:tcPr>
            <w:tcW w:w="2410" w:type="dxa"/>
            <w:shd w:val="clear" w:color="auto" w:fill="FFFFFF" w:themeFill="background1"/>
            <w:vAlign w:val="center"/>
          </w:tcPr>
          <w:p w14:paraId="2F61321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2410" w:type="dxa"/>
            <w:shd w:val="clear" w:color="auto" w:fill="FFFFFF" w:themeFill="background1"/>
            <w:vAlign w:val="center"/>
          </w:tcPr>
          <w:p w14:paraId="3ECBAA0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2024年</w:t>
            </w:r>
          </w:p>
        </w:tc>
        <w:tc>
          <w:tcPr>
            <w:tcW w:w="2410" w:type="dxa"/>
            <w:shd w:val="clear" w:color="auto" w:fill="FFFFFF" w:themeFill="background1"/>
            <w:vAlign w:val="center"/>
          </w:tcPr>
          <w:p w14:paraId="2647545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2023年</w:t>
            </w:r>
          </w:p>
        </w:tc>
        <w:tc>
          <w:tcPr>
            <w:tcW w:w="2410" w:type="dxa"/>
            <w:shd w:val="clear" w:color="auto" w:fill="FFFFFF" w:themeFill="background1"/>
            <w:vAlign w:val="center"/>
          </w:tcPr>
          <w:p w14:paraId="197B807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同比增减</w:t>
            </w:r>
          </w:p>
        </w:tc>
      </w:tr>
      <w:tr w:rsidR="00632E5B" w14:paraId="183975F8" w14:textId="77777777" w:rsidTr="00D954C5">
        <w:trPr>
          <w:trHeight w:val="240"/>
        </w:trPr>
        <w:tc>
          <w:tcPr>
            <w:tcW w:w="2410" w:type="dxa"/>
            <w:shd w:val="clear" w:color="auto" w:fill="FFFFFF" w:themeFill="background1"/>
            <w:vAlign w:val="center"/>
          </w:tcPr>
          <w:p w14:paraId="3B0416DD"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经营活动现金流入小计</w:t>
            </w:r>
          </w:p>
        </w:tc>
        <w:tc>
          <w:tcPr>
            <w:tcW w:w="2410" w:type="dxa"/>
            <w:shd w:val="clear" w:color="auto" w:fill="FFFFFF" w:themeFill="background1"/>
            <w:vAlign w:val="center"/>
          </w:tcPr>
          <w:p w14:paraId="26EDF48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1,880,206,234.95</w:t>
            </w:r>
          </w:p>
        </w:tc>
        <w:tc>
          <w:tcPr>
            <w:tcW w:w="2410" w:type="dxa"/>
            <w:shd w:val="clear" w:color="auto" w:fill="FFFFFF" w:themeFill="background1"/>
            <w:vAlign w:val="center"/>
          </w:tcPr>
          <w:p w14:paraId="11CB9E0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4,052,191,772.62</w:t>
            </w:r>
          </w:p>
        </w:tc>
        <w:tc>
          <w:tcPr>
            <w:tcW w:w="2410" w:type="dxa"/>
            <w:shd w:val="clear" w:color="auto" w:fill="FFFFFF" w:themeFill="background1"/>
            <w:vAlign w:val="center"/>
          </w:tcPr>
          <w:p w14:paraId="4B79BC4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-53.60%</w:t>
            </w:r>
          </w:p>
        </w:tc>
      </w:tr>
      <w:tr w:rsidR="00632E5B" w14:paraId="11251EB0" w14:textId="77777777" w:rsidTr="00D954C5">
        <w:trPr>
          <w:trHeight w:val="240"/>
        </w:trPr>
        <w:tc>
          <w:tcPr>
            <w:tcW w:w="2410" w:type="dxa"/>
            <w:shd w:val="clear" w:color="auto" w:fill="FFFFFF" w:themeFill="background1"/>
            <w:vAlign w:val="center"/>
          </w:tcPr>
          <w:p w14:paraId="6F6F7412"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经营活动现金流出小计</w:t>
            </w:r>
          </w:p>
        </w:tc>
        <w:tc>
          <w:tcPr>
            <w:tcW w:w="2410" w:type="dxa"/>
            <w:shd w:val="clear" w:color="auto" w:fill="FFFFFF" w:themeFill="background1"/>
            <w:vAlign w:val="center"/>
          </w:tcPr>
          <w:p w14:paraId="21C4D39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2,539,411,558.67</w:t>
            </w:r>
          </w:p>
        </w:tc>
        <w:tc>
          <w:tcPr>
            <w:tcW w:w="2410" w:type="dxa"/>
            <w:shd w:val="clear" w:color="auto" w:fill="FFFFFF" w:themeFill="background1"/>
            <w:vAlign w:val="center"/>
          </w:tcPr>
          <w:p w14:paraId="16F64E3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3,762,529,945.75</w:t>
            </w:r>
          </w:p>
        </w:tc>
        <w:tc>
          <w:tcPr>
            <w:tcW w:w="2410" w:type="dxa"/>
            <w:shd w:val="clear" w:color="auto" w:fill="FFFFFF" w:themeFill="background1"/>
            <w:vAlign w:val="center"/>
          </w:tcPr>
          <w:p w14:paraId="0222EE8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-32.51%</w:t>
            </w:r>
          </w:p>
        </w:tc>
      </w:tr>
      <w:tr w:rsidR="00632E5B" w14:paraId="2A6A49BB" w14:textId="77777777" w:rsidTr="00D954C5">
        <w:trPr>
          <w:trHeight w:val="240"/>
        </w:trPr>
        <w:tc>
          <w:tcPr>
            <w:tcW w:w="2410" w:type="dxa"/>
            <w:shd w:val="clear" w:color="auto" w:fill="FFFFFF" w:themeFill="background1"/>
            <w:vAlign w:val="center"/>
          </w:tcPr>
          <w:p w14:paraId="58170C85"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经营活动产生的现金流量净额</w:t>
            </w:r>
          </w:p>
        </w:tc>
        <w:tc>
          <w:tcPr>
            <w:tcW w:w="2410" w:type="dxa"/>
            <w:shd w:val="clear" w:color="auto" w:fill="FFFFFF" w:themeFill="background1"/>
            <w:vAlign w:val="center"/>
          </w:tcPr>
          <w:p w14:paraId="07483F3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-659,205,323.72</w:t>
            </w:r>
          </w:p>
        </w:tc>
        <w:tc>
          <w:tcPr>
            <w:tcW w:w="2410" w:type="dxa"/>
            <w:shd w:val="clear" w:color="auto" w:fill="FFFFFF" w:themeFill="background1"/>
            <w:vAlign w:val="center"/>
          </w:tcPr>
          <w:p w14:paraId="79AD958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289,661,826.87</w:t>
            </w:r>
          </w:p>
        </w:tc>
        <w:tc>
          <w:tcPr>
            <w:tcW w:w="2410" w:type="dxa"/>
            <w:shd w:val="clear" w:color="auto" w:fill="FFFFFF" w:themeFill="background1"/>
            <w:vAlign w:val="center"/>
          </w:tcPr>
          <w:p w14:paraId="134DCAD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-327.58%</w:t>
            </w:r>
          </w:p>
        </w:tc>
      </w:tr>
      <w:tr w:rsidR="00632E5B" w14:paraId="369FD469" w14:textId="77777777" w:rsidTr="00D954C5">
        <w:trPr>
          <w:trHeight w:val="240"/>
        </w:trPr>
        <w:tc>
          <w:tcPr>
            <w:tcW w:w="2410" w:type="dxa"/>
            <w:shd w:val="clear" w:color="auto" w:fill="FFFFFF" w:themeFill="background1"/>
            <w:vAlign w:val="center"/>
          </w:tcPr>
          <w:p w14:paraId="4A9B5F4D"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投资活动现金流入小计</w:t>
            </w:r>
          </w:p>
        </w:tc>
        <w:tc>
          <w:tcPr>
            <w:tcW w:w="2410" w:type="dxa"/>
            <w:shd w:val="clear" w:color="auto" w:fill="FFFFFF" w:themeFill="background1"/>
            <w:vAlign w:val="center"/>
          </w:tcPr>
          <w:p w14:paraId="45A3FB0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14,849,030.53</w:t>
            </w:r>
          </w:p>
        </w:tc>
        <w:tc>
          <w:tcPr>
            <w:tcW w:w="2410" w:type="dxa"/>
            <w:shd w:val="clear" w:color="auto" w:fill="FFFFFF" w:themeFill="background1"/>
            <w:vAlign w:val="center"/>
          </w:tcPr>
          <w:p w14:paraId="3EE2A85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21,843,594.45</w:t>
            </w:r>
          </w:p>
        </w:tc>
        <w:tc>
          <w:tcPr>
            <w:tcW w:w="2410" w:type="dxa"/>
            <w:shd w:val="clear" w:color="auto" w:fill="FFFFFF" w:themeFill="background1"/>
            <w:vAlign w:val="center"/>
          </w:tcPr>
          <w:p w14:paraId="186004A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-32.02%</w:t>
            </w:r>
          </w:p>
        </w:tc>
      </w:tr>
      <w:tr w:rsidR="00632E5B" w14:paraId="2528CAA7" w14:textId="77777777" w:rsidTr="00D954C5">
        <w:trPr>
          <w:trHeight w:val="240"/>
        </w:trPr>
        <w:tc>
          <w:tcPr>
            <w:tcW w:w="2410" w:type="dxa"/>
            <w:shd w:val="clear" w:color="auto" w:fill="FFFFFF" w:themeFill="background1"/>
            <w:vAlign w:val="center"/>
          </w:tcPr>
          <w:p w14:paraId="2CA49424"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投资活动现金流出小计</w:t>
            </w:r>
          </w:p>
        </w:tc>
        <w:tc>
          <w:tcPr>
            <w:tcW w:w="2410" w:type="dxa"/>
            <w:shd w:val="clear" w:color="auto" w:fill="FFFFFF" w:themeFill="background1"/>
            <w:vAlign w:val="center"/>
          </w:tcPr>
          <w:p w14:paraId="40D3F44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149,998,510.45</w:t>
            </w:r>
          </w:p>
        </w:tc>
        <w:tc>
          <w:tcPr>
            <w:tcW w:w="2410" w:type="dxa"/>
            <w:shd w:val="clear" w:color="auto" w:fill="FFFFFF" w:themeFill="background1"/>
            <w:vAlign w:val="center"/>
          </w:tcPr>
          <w:p w14:paraId="1E503C4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159,127,096.02</w:t>
            </w:r>
          </w:p>
        </w:tc>
        <w:tc>
          <w:tcPr>
            <w:tcW w:w="2410" w:type="dxa"/>
            <w:shd w:val="clear" w:color="auto" w:fill="FFFFFF" w:themeFill="background1"/>
            <w:vAlign w:val="center"/>
          </w:tcPr>
          <w:p w14:paraId="0724ADB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-5.74%</w:t>
            </w:r>
          </w:p>
        </w:tc>
      </w:tr>
      <w:tr w:rsidR="00632E5B" w14:paraId="7FC6D7A3" w14:textId="77777777" w:rsidTr="00D954C5">
        <w:trPr>
          <w:trHeight w:val="240"/>
        </w:trPr>
        <w:tc>
          <w:tcPr>
            <w:tcW w:w="2410" w:type="dxa"/>
            <w:shd w:val="clear" w:color="auto" w:fill="FFFFFF" w:themeFill="background1"/>
            <w:vAlign w:val="center"/>
          </w:tcPr>
          <w:p w14:paraId="28F3309A"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投资活动产生的现金流量净额</w:t>
            </w:r>
          </w:p>
        </w:tc>
        <w:tc>
          <w:tcPr>
            <w:tcW w:w="2410" w:type="dxa"/>
            <w:shd w:val="clear" w:color="auto" w:fill="FFFFFF" w:themeFill="background1"/>
            <w:vAlign w:val="center"/>
          </w:tcPr>
          <w:p w14:paraId="149C45C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-135,149,479.92</w:t>
            </w:r>
          </w:p>
        </w:tc>
        <w:tc>
          <w:tcPr>
            <w:tcW w:w="2410" w:type="dxa"/>
            <w:shd w:val="clear" w:color="auto" w:fill="FFFFFF" w:themeFill="background1"/>
            <w:vAlign w:val="center"/>
          </w:tcPr>
          <w:p w14:paraId="4A2EE31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-137,283,501.57</w:t>
            </w:r>
          </w:p>
        </w:tc>
        <w:tc>
          <w:tcPr>
            <w:tcW w:w="2410" w:type="dxa"/>
            <w:shd w:val="clear" w:color="auto" w:fill="FFFFFF" w:themeFill="background1"/>
            <w:vAlign w:val="center"/>
          </w:tcPr>
          <w:p w14:paraId="03CA37A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1.55%</w:t>
            </w:r>
          </w:p>
        </w:tc>
      </w:tr>
      <w:tr w:rsidR="00632E5B" w14:paraId="549168BB" w14:textId="77777777" w:rsidTr="00D954C5">
        <w:trPr>
          <w:trHeight w:val="240"/>
        </w:trPr>
        <w:tc>
          <w:tcPr>
            <w:tcW w:w="2410" w:type="dxa"/>
            <w:shd w:val="clear" w:color="auto" w:fill="FFFFFF" w:themeFill="background1"/>
            <w:vAlign w:val="center"/>
          </w:tcPr>
          <w:p w14:paraId="0A4B88B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筹资活动现金流入小计</w:t>
            </w:r>
          </w:p>
        </w:tc>
        <w:tc>
          <w:tcPr>
            <w:tcW w:w="2410" w:type="dxa"/>
            <w:shd w:val="clear" w:color="auto" w:fill="FFFFFF" w:themeFill="background1"/>
            <w:vAlign w:val="center"/>
          </w:tcPr>
          <w:p w14:paraId="0EC8C21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2,332,264,653.77</w:t>
            </w:r>
          </w:p>
        </w:tc>
        <w:tc>
          <w:tcPr>
            <w:tcW w:w="2410" w:type="dxa"/>
            <w:shd w:val="clear" w:color="auto" w:fill="FFFFFF" w:themeFill="background1"/>
            <w:vAlign w:val="center"/>
          </w:tcPr>
          <w:p w14:paraId="46CB2F5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613,856,472.09</w:t>
            </w:r>
          </w:p>
        </w:tc>
        <w:tc>
          <w:tcPr>
            <w:tcW w:w="2410" w:type="dxa"/>
            <w:shd w:val="clear" w:color="auto" w:fill="FFFFFF" w:themeFill="background1"/>
            <w:vAlign w:val="center"/>
          </w:tcPr>
          <w:p w14:paraId="7BE3286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279.94%</w:t>
            </w:r>
          </w:p>
        </w:tc>
      </w:tr>
      <w:tr w:rsidR="00632E5B" w14:paraId="35A490A0" w14:textId="77777777" w:rsidTr="00D954C5">
        <w:trPr>
          <w:trHeight w:val="240"/>
        </w:trPr>
        <w:tc>
          <w:tcPr>
            <w:tcW w:w="2410" w:type="dxa"/>
            <w:shd w:val="clear" w:color="auto" w:fill="FFFFFF" w:themeFill="background1"/>
            <w:vAlign w:val="center"/>
          </w:tcPr>
          <w:p w14:paraId="696BB70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筹资活动现金流出小计</w:t>
            </w:r>
          </w:p>
        </w:tc>
        <w:tc>
          <w:tcPr>
            <w:tcW w:w="2410" w:type="dxa"/>
            <w:shd w:val="clear" w:color="auto" w:fill="FFFFFF" w:themeFill="background1"/>
            <w:vAlign w:val="center"/>
          </w:tcPr>
          <w:p w14:paraId="645A8E3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1,752,267,830.30</w:t>
            </w:r>
          </w:p>
        </w:tc>
        <w:tc>
          <w:tcPr>
            <w:tcW w:w="2410" w:type="dxa"/>
            <w:shd w:val="clear" w:color="auto" w:fill="FFFFFF" w:themeFill="background1"/>
            <w:vAlign w:val="center"/>
          </w:tcPr>
          <w:p w14:paraId="010ED70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892,301,439.38</w:t>
            </w:r>
          </w:p>
        </w:tc>
        <w:tc>
          <w:tcPr>
            <w:tcW w:w="2410" w:type="dxa"/>
            <w:shd w:val="clear" w:color="auto" w:fill="FFFFFF" w:themeFill="background1"/>
            <w:vAlign w:val="center"/>
          </w:tcPr>
          <w:p w14:paraId="315C1BD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96.38%</w:t>
            </w:r>
          </w:p>
        </w:tc>
      </w:tr>
      <w:tr w:rsidR="00632E5B" w14:paraId="7E439C3F" w14:textId="77777777" w:rsidTr="00D954C5">
        <w:trPr>
          <w:trHeight w:val="240"/>
        </w:trPr>
        <w:tc>
          <w:tcPr>
            <w:tcW w:w="2410" w:type="dxa"/>
            <w:shd w:val="clear" w:color="auto" w:fill="FFFFFF" w:themeFill="background1"/>
            <w:vAlign w:val="center"/>
          </w:tcPr>
          <w:p w14:paraId="054D0BBB"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筹资活动产生的现金流量净额</w:t>
            </w:r>
          </w:p>
        </w:tc>
        <w:tc>
          <w:tcPr>
            <w:tcW w:w="2410" w:type="dxa"/>
            <w:shd w:val="clear" w:color="auto" w:fill="FFFFFF" w:themeFill="background1"/>
            <w:vAlign w:val="center"/>
          </w:tcPr>
          <w:p w14:paraId="77C7A63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579,996,823.47</w:t>
            </w:r>
          </w:p>
        </w:tc>
        <w:tc>
          <w:tcPr>
            <w:tcW w:w="2410" w:type="dxa"/>
            <w:shd w:val="clear" w:color="auto" w:fill="FFFFFF" w:themeFill="background1"/>
            <w:vAlign w:val="center"/>
          </w:tcPr>
          <w:p w14:paraId="413FE53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-278,444,967.29</w:t>
            </w:r>
          </w:p>
        </w:tc>
        <w:tc>
          <w:tcPr>
            <w:tcW w:w="2410" w:type="dxa"/>
            <w:shd w:val="clear" w:color="auto" w:fill="FFFFFF" w:themeFill="background1"/>
            <w:vAlign w:val="center"/>
          </w:tcPr>
          <w:p w14:paraId="4B4A58F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308.30%</w:t>
            </w:r>
          </w:p>
        </w:tc>
      </w:tr>
      <w:tr w:rsidR="00632E5B" w14:paraId="7B64BE3D" w14:textId="77777777" w:rsidTr="00D954C5">
        <w:trPr>
          <w:trHeight w:val="240"/>
        </w:trPr>
        <w:tc>
          <w:tcPr>
            <w:tcW w:w="2410" w:type="dxa"/>
            <w:shd w:val="clear" w:color="auto" w:fill="FFFFFF" w:themeFill="background1"/>
            <w:vAlign w:val="center"/>
          </w:tcPr>
          <w:p w14:paraId="02CE16A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现金及现金等价物净增加额</w:t>
            </w:r>
          </w:p>
        </w:tc>
        <w:tc>
          <w:tcPr>
            <w:tcW w:w="2410" w:type="dxa"/>
            <w:shd w:val="clear" w:color="auto" w:fill="FFFFFF" w:themeFill="background1"/>
            <w:vAlign w:val="center"/>
          </w:tcPr>
          <w:p w14:paraId="3747983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-200,802,489.42</w:t>
            </w:r>
          </w:p>
        </w:tc>
        <w:tc>
          <w:tcPr>
            <w:tcW w:w="2410" w:type="dxa"/>
            <w:shd w:val="clear" w:color="auto" w:fill="FFFFFF" w:themeFill="background1"/>
            <w:vAlign w:val="center"/>
          </w:tcPr>
          <w:p w14:paraId="50A7AC3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-118,439,930.89</w:t>
            </w:r>
          </w:p>
        </w:tc>
        <w:tc>
          <w:tcPr>
            <w:tcW w:w="2410" w:type="dxa"/>
            <w:shd w:val="clear" w:color="auto" w:fill="FFFFFF" w:themeFill="background1"/>
            <w:vAlign w:val="center"/>
          </w:tcPr>
          <w:p w14:paraId="4B86548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-69.54%</w:t>
            </w:r>
          </w:p>
        </w:tc>
      </w:tr>
    </w:tbl>
    <w:p w14:paraId="62E32125"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相关数据同比发生重大变动的主要影响因素说明</w:t>
      </w:r>
    </w:p>
    <w:p w14:paraId="3E7B735D"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42616E4B" w14:textId="77777777" w:rsidR="002D5C47" w:rsidRDefault="00107901" w:rsidP="002D5C47">
      <w:pPr>
        <w:pStyle w:val="a3"/>
        <w:spacing w:before="0" w:beforeAutospacing="0" w:after="0" w:afterAutospacing="0" w:line="360" w:lineRule="auto"/>
        <w:divId w:val="129522103"/>
        <w:rPr>
          <w:rFonts w:hint="eastAsia"/>
          <w:sz w:val="18"/>
          <w:szCs w:val="18"/>
        </w:rPr>
      </w:pPr>
      <w:r>
        <w:rPr>
          <w:rFonts w:hint="eastAsia"/>
          <w:sz w:val="18"/>
          <w:szCs w:val="18"/>
        </w:rPr>
        <w:t>主要原因：</w:t>
      </w:r>
      <w:r w:rsidR="002D5C47">
        <w:rPr>
          <w:rFonts w:hint="eastAsia"/>
          <w:sz w:val="18"/>
          <w:szCs w:val="18"/>
        </w:rPr>
        <w:t xml:space="preserve"> </w:t>
      </w:r>
    </w:p>
    <w:p w14:paraId="42E2A818" w14:textId="41016607" w:rsidR="002D5C47" w:rsidRDefault="00107901" w:rsidP="002D5C47">
      <w:pPr>
        <w:pStyle w:val="a3"/>
        <w:spacing w:before="0" w:beforeAutospacing="0" w:after="0" w:afterAutospacing="0" w:line="360" w:lineRule="auto"/>
        <w:ind w:firstLineChars="200" w:firstLine="420"/>
        <w:jc w:val="both"/>
        <w:divId w:val="129522103"/>
        <w:rPr>
          <w:rFonts w:hint="eastAsia"/>
          <w:sz w:val="21"/>
          <w:szCs w:val="18"/>
        </w:rPr>
      </w:pPr>
      <w:r w:rsidRPr="002D5C47">
        <w:rPr>
          <w:rFonts w:hint="eastAsia"/>
          <w:sz w:val="21"/>
          <w:szCs w:val="18"/>
        </w:rPr>
        <w:t>1</w:t>
      </w:r>
      <w:r w:rsidR="00C91D96">
        <w:rPr>
          <w:rFonts w:hint="eastAsia"/>
          <w:sz w:val="21"/>
          <w:szCs w:val="18"/>
        </w:rPr>
        <w:t>.</w:t>
      </w:r>
      <w:r w:rsidRPr="002D5C47">
        <w:rPr>
          <w:rFonts w:hint="eastAsia"/>
          <w:sz w:val="21"/>
          <w:szCs w:val="18"/>
        </w:rPr>
        <w:t>经营活动产生的现金流量净额变动主要原因是：本报告期公司经营规模下降导致经营现金流入减少，支付重整相关费用增加。</w:t>
      </w:r>
      <w:r w:rsidR="002D5C47">
        <w:rPr>
          <w:rFonts w:hint="eastAsia"/>
          <w:sz w:val="21"/>
          <w:szCs w:val="18"/>
        </w:rPr>
        <w:t xml:space="preserve"> </w:t>
      </w:r>
    </w:p>
    <w:p w14:paraId="21059858" w14:textId="21969C3C" w:rsidR="00E72F0C" w:rsidRPr="002D5C47" w:rsidRDefault="00107901" w:rsidP="002D5C47">
      <w:pPr>
        <w:pStyle w:val="a3"/>
        <w:spacing w:before="0" w:beforeAutospacing="0" w:after="0" w:afterAutospacing="0" w:line="360" w:lineRule="auto"/>
        <w:ind w:firstLineChars="200" w:firstLine="420"/>
        <w:jc w:val="both"/>
        <w:divId w:val="129522103"/>
        <w:rPr>
          <w:rFonts w:hint="eastAsia"/>
          <w:sz w:val="21"/>
          <w:szCs w:val="18"/>
        </w:rPr>
      </w:pPr>
      <w:r w:rsidRPr="002D5C47">
        <w:rPr>
          <w:rFonts w:hint="eastAsia"/>
          <w:sz w:val="21"/>
          <w:szCs w:val="18"/>
        </w:rPr>
        <w:t>2</w:t>
      </w:r>
      <w:r w:rsidR="00C91D96">
        <w:rPr>
          <w:sz w:val="21"/>
          <w:szCs w:val="18"/>
        </w:rPr>
        <w:t>.</w:t>
      </w:r>
      <w:r w:rsidRPr="002D5C47">
        <w:rPr>
          <w:rFonts w:hint="eastAsia"/>
          <w:sz w:val="21"/>
          <w:szCs w:val="18"/>
        </w:rPr>
        <w:t>筹资活动产生的现金流量净额变动主要原因是：本报告期公司完成重整计划，收到财务投资人、产业投资人投资款。</w:t>
      </w:r>
    </w:p>
    <w:p w14:paraId="6EB22E79"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报告期内公司经营活动产生的现金净流量与本年度净利润存在重大差异的原因说明</w:t>
      </w:r>
    </w:p>
    <w:p w14:paraId="44ADD53D"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5BDA539C" w14:textId="60F87EE4" w:rsidR="00E72F0C" w:rsidRDefault="00107901" w:rsidP="002D5C47">
      <w:pPr>
        <w:pStyle w:val="a3"/>
        <w:spacing w:before="0" w:beforeAutospacing="0" w:after="0" w:afterAutospacing="0" w:line="360" w:lineRule="auto"/>
        <w:ind w:firstLineChars="200" w:firstLine="420"/>
        <w:jc w:val="both"/>
        <w:divId w:val="1810005482"/>
        <w:rPr>
          <w:rFonts w:hint="eastAsia"/>
          <w:sz w:val="18"/>
          <w:szCs w:val="18"/>
        </w:rPr>
      </w:pPr>
      <w:r>
        <w:rPr>
          <w:rFonts w:hint="eastAsia"/>
          <w:sz w:val="21"/>
          <w:szCs w:val="21"/>
        </w:rPr>
        <w:t>报告期内，公司经营活动产生的现金净流量与本年度净利润存在较大差异，主要系受到投资收益、资产减值损失、信用减值损失、资产折旧等不涉及经营活动现金流的损益类科目影响，相关情况详见下文“第十节财务报告 七、合并财务报表项目注释 61现金流量表补充资料”。</w:t>
      </w:r>
    </w:p>
    <w:p w14:paraId="61C66854" w14:textId="77777777" w:rsidR="00632E5B" w:rsidRDefault="00107901">
      <w:pPr>
        <w:pStyle w:val="2"/>
        <w:spacing w:before="300" w:after="300" w:line="320" w:lineRule="exact"/>
        <w:rPr>
          <w:rFonts w:ascii="宋体" w:eastAsia="宋体" w:hAnsi="宋体" w:cs="宋体" w:hint="eastAsia"/>
          <w:b/>
          <w:bCs/>
          <w:sz w:val="24"/>
          <w:szCs w:val="24"/>
        </w:rPr>
      </w:pPr>
      <w:bookmarkStart w:id="31" w:name="_Toc988920"/>
      <w:r>
        <w:rPr>
          <w:rFonts w:ascii="宋体" w:eastAsia="宋体" w:hAnsi="宋体" w:cs="宋体"/>
          <w:b/>
          <w:bCs/>
          <w:sz w:val="24"/>
          <w:szCs w:val="24"/>
        </w:rPr>
        <w:t>五、非主营业务分析</w:t>
      </w:r>
      <w:bookmarkEnd w:id="31"/>
    </w:p>
    <w:p w14:paraId="139D447F"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135977C8" w14:textId="77777777" w:rsidR="00632E5B" w:rsidRDefault="00107901">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927"/>
        <w:gridCol w:w="1928"/>
        <w:gridCol w:w="1704"/>
        <w:gridCol w:w="2268"/>
        <w:gridCol w:w="1812"/>
      </w:tblGrid>
      <w:tr w:rsidR="00632E5B" w14:paraId="3AA54F6A" w14:textId="77777777" w:rsidTr="00D954C5">
        <w:trPr>
          <w:trHeight w:val="240"/>
        </w:trPr>
        <w:tc>
          <w:tcPr>
            <w:tcW w:w="1927" w:type="dxa"/>
            <w:shd w:val="clear" w:color="auto" w:fill="FFFFFF" w:themeFill="background1"/>
            <w:vAlign w:val="center"/>
          </w:tcPr>
          <w:p w14:paraId="6A54FD9C" w14:textId="77777777" w:rsidR="00632E5B" w:rsidRDefault="00632E5B"/>
        </w:tc>
        <w:tc>
          <w:tcPr>
            <w:tcW w:w="1928" w:type="dxa"/>
            <w:shd w:val="clear" w:color="auto" w:fill="FFFFFF" w:themeFill="background1"/>
            <w:vAlign w:val="center"/>
          </w:tcPr>
          <w:p w14:paraId="59922E3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1704" w:type="dxa"/>
            <w:shd w:val="clear" w:color="auto" w:fill="FFFFFF" w:themeFill="background1"/>
            <w:vAlign w:val="center"/>
          </w:tcPr>
          <w:p w14:paraId="580437C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占利润总额比例</w:t>
            </w:r>
          </w:p>
        </w:tc>
        <w:tc>
          <w:tcPr>
            <w:tcW w:w="2268" w:type="dxa"/>
            <w:shd w:val="clear" w:color="auto" w:fill="FFFFFF" w:themeFill="background1"/>
            <w:vAlign w:val="center"/>
          </w:tcPr>
          <w:p w14:paraId="34DC4C1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形成原因说明</w:t>
            </w:r>
          </w:p>
        </w:tc>
        <w:tc>
          <w:tcPr>
            <w:tcW w:w="1812" w:type="dxa"/>
            <w:shd w:val="clear" w:color="auto" w:fill="FFFFFF" w:themeFill="background1"/>
            <w:vAlign w:val="center"/>
          </w:tcPr>
          <w:p w14:paraId="0260122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是否具有可持续性</w:t>
            </w:r>
          </w:p>
        </w:tc>
      </w:tr>
      <w:tr w:rsidR="00632E5B" w14:paraId="67F442AB" w14:textId="77777777" w:rsidTr="00D954C5">
        <w:trPr>
          <w:trHeight w:val="240"/>
        </w:trPr>
        <w:tc>
          <w:tcPr>
            <w:tcW w:w="1927" w:type="dxa"/>
            <w:shd w:val="clear" w:color="auto" w:fill="FFFFFF" w:themeFill="background1"/>
            <w:vAlign w:val="center"/>
          </w:tcPr>
          <w:p w14:paraId="72E468E7"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投资收益</w:t>
            </w:r>
          </w:p>
        </w:tc>
        <w:tc>
          <w:tcPr>
            <w:tcW w:w="1928" w:type="dxa"/>
            <w:shd w:val="clear" w:color="auto" w:fill="FFFFFF" w:themeFill="background1"/>
            <w:vAlign w:val="center"/>
          </w:tcPr>
          <w:p w14:paraId="3F995D2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1,734,202,998.35</w:t>
            </w:r>
          </w:p>
        </w:tc>
        <w:tc>
          <w:tcPr>
            <w:tcW w:w="1704" w:type="dxa"/>
            <w:shd w:val="clear" w:color="auto" w:fill="FFFFFF" w:themeFill="background1"/>
            <w:vAlign w:val="center"/>
          </w:tcPr>
          <w:p w14:paraId="7996948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-149.82%</w:t>
            </w:r>
          </w:p>
        </w:tc>
        <w:tc>
          <w:tcPr>
            <w:tcW w:w="2268" w:type="dxa"/>
            <w:shd w:val="clear" w:color="auto" w:fill="FFFFFF" w:themeFill="background1"/>
            <w:vAlign w:val="center"/>
          </w:tcPr>
          <w:p w14:paraId="20CCDB3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主要是公司执行重整计划，确认债务重组收益。</w:t>
            </w:r>
          </w:p>
        </w:tc>
        <w:tc>
          <w:tcPr>
            <w:tcW w:w="1812" w:type="dxa"/>
            <w:shd w:val="clear" w:color="auto" w:fill="FFFFFF" w:themeFill="background1"/>
            <w:vAlign w:val="center"/>
          </w:tcPr>
          <w:p w14:paraId="6E0243E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449B8DF3" w14:textId="77777777" w:rsidTr="00D954C5">
        <w:trPr>
          <w:trHeight w:val="240"/>
        </w:trPr>
        <w:tc>
          <w:tcPr>
            <w:tcW w:w="1927" w:type="dxa"/>
            <w:shd w:val="clear" w:color="auto" w:fill="FFFFFF" w:themeFill="background1"/>
            <w:vAlign w:val="center"/>
          </w:tcPr>
          <w:p w14:paraId="20AE923C"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公允价值变动损益</w:t>
            </w:r>
          </w:p>
        </w:tc>
        <w:tc>
          <w:tcPr>
            <w:tcW w:w="1928" w:type="dxa"/>
            <w:shd w:val="clear" w:color="auto" w:fill="FFFFFF" w:themeFill="background1"/>
            <w:vAlign w:val="center"/>
          </w:tcPr>
          <w:p w14:paraId="642CC1C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-73,778,607.07</w:t>
            </w:r>
          </w:p>
        </w:tc>
        <w:tc>
          <w:tcPr>
            <w:tcW w:w="1704" w:type="dxa"/>
            <w:shd w:val="clear" w:color="auto" w:fill="FFFFFF" w:themeFill="background1"/>
            <w:vAlign w:val="center"/>
          </w:tcPr>
          <w:p w14:paraId="241352D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6.37%</w:t>
            </w:r>
          </w:p>
        </w:tc>
        <w:tc>
          <w:tcPr>
            <w:tcW w:w="2268" w:type="dxa"/>
            <w:shd w:val="clear" w:color="auto" w:fill="FFFFFF" w:themeFill="background1"/>
            <w:vAlign w:val="center"/>
          </w:tcPr>
          <w:p w14:paraId="145E415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主要是公司持有的股权投资公允价值发生变动。</w:t>
            </w:r>
          </w:p>
        </w:tc>
        <w:tc>
          <w:tcPr>
            <w:tcW w:w="1812" w:type="dxa"/>
            <w:shd w:val="clear" w:color="auto" w:fill="FFFFFF" w:themeFill="background1"/>
            <w:vAlign w:val="center"/>
          </w:tcPr>
          <w:p w14:paraId="7EFCD59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078F51E6" w14:textId="77777777" w:rsidTr="00D954C5">
        <w:trPr>
          <w:trHeight w:val="240"/>
        </w:trPr>
        <w:tc>
          <w:tcPr>
            <w:tcW w:w="1927" w:type="dxa"/>
            <w:shd w:val="clear" w:color="auto" w:fill="FFFFFF" w:themeFill="background1"/>
            <w:vAlign w:val="center"/>
          </w:tcPr>
          <w:p w14:paraId="1EA179D2"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资产减值</w:t>
            </w:r>
          </w:p>
        </w:tc>
        <w:tc>
          <w:tcPr>
            <w:tcW w:w="1928" w:type="dxa"/>
            <w:shd w:val="clear" w:color="auto" w:fill="FFFFFF" w:themeFill="background1"/>
            <w:vAlign w:val="center"/>
          </w:tcPr>
          <w:p w14:paraId="33CB3F4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-889,888,939.04</w:t>
            </w:r>
          </w:p>
        </w:tc>
        <w:tc>
          <w:tcPr>
            <w:tcW w:w="1704" w:type="dxa"/>
            <w:shd w:val="clear" w:color="auto" w:fill="FFFFFF" w:themeFill="background1"/>
            <w:vAlign w:val="center"/>
          </w:tcPr>
          <w:p w14:paraId="1746BC3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76.88%</w:t>
            </w:r>
          </w:p>
        </w:tc>
        <w:tc>
          <w:tcPr>
            <w:tcW w:w="2268" w:type="dxa"/>
            <w:shd w:val="clear" w:color="auto" w:fill="FFFFFF" w:themeFill="background1"/>
            <w:vAlign w:val="center"/>
          </w:tcPr>
          <w:p w14:paraId="0FB0544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主要是本期计提固定资产、在建工程减值。</w:t>
            </w:r>
          </w:p>
        </w:tc>
        <w:tc>
          <w:tcPr>
            <w:tcW w:w="1812" w:type="dxa"/>
            <w:shd w:val="clear" w:color="auto" w:fill="FFFFFF" w:themeFill="background1"/>
            <w:vAlign w:val="center"/>
          </w:tcPr>
          <w:p w14:paraId="7A9D81F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5EDCCE8A" w14:textId="77777777" w:rsidTr="00D954C5">
        <w:trPr>
          <w:trHeight w:val="443"/>
        </w:trPr>
        <w:tc>
          <w:tcPr>
            <w:tcW w:w="1927" w:type="dxa"/>
            <w:shd w:val="clear" w:color="auto" w:fill="FFFFFF" w:themeFill="background1"/>
            <w:vAlign w:val="center"/>
          </w:tcPr>
          <w:p w14:paraId="2045998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lastRenderedPageBreak/>
              <w:t>营业外收入</w:t>
            </w:r>
          </w:p>
        </w:tc>
        <w:tc>
          <w:tcPr>
            <w:tcW w:w="1928" w:type="dxa"/>
            <w:shd w:val="clear" w:color="auto" w:fill="FFFFFF" w:themeFill="background1"/>
            <w:vAlign w:val="center"/>
          </w:tcPr>
          <w:p w14:paraId="291FB9F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25,928,029.00</w:t>
            </w:r>
          </w:p>
        </w:tc>
        <w:tc>
          <w:tcPr>
            <w:tcW w:w="1704" w:type="dxa"/>
            <w:shd w:val="clear" w:color="auto" w:fill="FFFFFF" w:themeFill="background1"/>
            <w:vAlign w:val="center"/>
          </w:tcPr>
          <w:p w14:paraId="412F18F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-2.24%</w:t>
            </w:r>
          </w:p>
        </w:tc>
        <w:tc>
          <w:tcPr>
            <w:tcW w:w="2268" w:type="dxa"/>
            <w:shd w:val="clear" w:color="auto" w:fill="FFFFFF" w:themeFill="background1"/>
            <w:vAlign w:val="center"/>
          </w:tcPr>
          <w:p w14:paraId="46DDB7D0" w14:textId="77777777" w:rsidR="00632E5B" w:rsidRDefault="00632E5B">
            <w:pPr>
              <w:spacing w:line="240" w:lineRule="exact"/>
              <w:rPr>
                <w:rFonts w:ascii="宋体" w:eastAsia="宋体" w:hAnsi="宋体" w:cs="宋体" w:hint="eastAsia"/>
                <w:sz w:val="18"/>
                <w:szCs w:val="18"/>
              </w:rPr>
            </w:pPr>
          </w:p>
        </w:tc>
        <w:tc>
          <w:tcPr>
            <w:tcW w:w="1812" w:type="dxa"/>
            <w:shd w:val="clear" w:color="auto" w:fill="FFFFFF" w:themeFill="background1"/>
            <w:vAlign w:val="center"/>
          </w:tcPr>
          <w:p w14:paraId="42E1789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21313EDB" w14:textId="77777777" w:rsidTr="00D954C5">
        <w:trPr>
          <w:trHeight w:val="240"/>
        </w:trPr>
        <w:tc>
          <w:tcPr>
            <w:tcW w:w="1927" w:type="dxa"/>
            <w:shd w:val="clear" w:color="auto" w:fill="FFFFFF" w:themeFill="background1"/>
            <w:vAlign w:val="center"/>
          </w:tcPr>
          <w:p w14:paraId="57EC641D"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营业外支出</w:t>
            </w:r>
          </w:p>
        </w:tc>
        <w:tc>
          <w:tcPr>
            <w:tcW w:w="1928" w:type="dxa"/>
            <w:shd w:val="clear" w:color="auto" w:fill="FFFFFF" w:themeFill="background1"/>
            <w:vAlign w:val="center"/>
          </w:tcPr>
          <w:p w14:paraId="22C9A08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428,589,703.71</w:t>
            </w:r>
          </w:p>
        </w:tc>
        <w:tc>
          <w:tcPr>
            <w:tcW w:w="1704" w:type="dxa"/>
            <w:shd w:val="clear" w:color="auto" w:fill="FFFFFF" w:themeFill="background1"/>
            <w:vAlign w:val="center"/>
          </w:tcPr>
          <w:p w14:paraId="2C20156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-37.03%</w:t>
            </w:r>
          </w:p>
        </w:tc>
        <w:tc>
          <w:tcPr>
            <w:tcW w:w="2268" w:type="dxa"/>
            <w:shd w:val="clear" w:color="auto" w:fill="FFFFFF" w:themeFill="background1"/>
            <w:vAlign w:val="center"/>
          </w:tcPr>
          <w:p w14:paraId="65E24A1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主要是本期计提未决诉讼、承担担保责任产生的预计负债及支付罚款、违约金等相关损失。</w:t>
            </w:r>
          </w:p>
        </w:tc>
        <w:tc>
          <w:tcPr>
            <w:tcW w:w="1812" w:type="dxa"/>
            <w:shd w:val="clear" w:color="auto" w:fill="FFFFFF" w:themeFill="background1"/>
            <w:vAlign w:val="center"/>
          </w:tcPr>
          <w:p w14:paraId="3541323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bl>
    <w:p w14:paraId="79451239" w14:textId="77777777" w:rsidR="00632E5B" w:rsidRDefault="00107901">
      <w:pPr>
        <w:pStyle w:val="2"/>
        <w:spacing w:before="300" w:after="300" w:line="320" w:lineRule="exact"/>
        <w:rPr>
          <w:rFonts w:ascii="宋体" w:eastAsia="宋体" w:hAnsi="宋体" w:cs="宋体" w:hint="eastAsia"/>
          <w:b/>
          <w:bCs/>
          <w:sz w:val="24"/>
          <w:szCs w:val="24"/>
        </w:rPr>
      </w:pPr>
      <w:bookmarkStart w:id="32" w:name="_Toc988921"/>
      <w:r>
        <w:rPr>
          <w:rFonts w:ascii="宋体" w:eastAsia="宋体" w:hAnsi="宋体" w:cs="宋体"/>
          <w:b/>
          <w:bCs/>
          <w:sz w:val="24"/>
          <w:szCs w:val="24"/>
        </w:rPr>
        <w:t>六、资产及负债状况分析</w:t>
      </w:r>
      <w:bookmarkEnd w:id="32"/>
    </w:p>
    <w:p w14:paraId="69D91D86" w14:textId="77777777" w:rsidR="00632E5B" w:rsidRDefault="00107901">
      <w:pPr>
        <w:pStyle w:val="3"/>
        <w:spacing w:line="280" w:lineRule="exact"/>
        <w:jc w:val="left"/>
        <w:rPr>
          <w:rFonts w:ascii="宋体" w:hAnsi="宋体" w:cs="宋体" w:hint="eastAsia"/>
          <w:b/>
          <w:bCs/>
        </w:rPr>
      </w:pPr>
      <w:bookmarkStart w:id="33" w:name="_Toc988922"/>
      <w:r>
        <w:rPr>
          <w:rFonts w:ascii="宋体" w:hAnsi="宋体" w:cs="宋体"/>
          <w:b/>
          <w:bCs/>
        </w:rPr>
        <w:t>1、资产构成重大变动情况</w:t>
      </w:r>
      <w:bookmarkEnd w:id="33"/>
    </w:p>
    <w:p w14:paraId="494E9198"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387"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165"/>
        <w:gridCol w:w="1701"/>
        <w:gridCol w:w="992"/>
        <w:gridCol w:w="1701"/>
        <w:gridCol w:w="993"/>
        <w:gridCol w:w="860"/>
        <w:gridCol w:w="1975"/>
      </w:tblGrid>
      <w:tr w:rsidR="00632E5B" w14:paraId="79E6F9FB" w14:textId="77777777" w:rsidTr="00D954C5">
        <w:trPr>
          <w:trHeight w:val="240"/>
        </w:trPr>
        <w:tc>
          <w:tcPr>
            <w:tcW w:w="1165" w:type="dxa"/>
            <w:vMerge w:val="restart"/>
            <w:shd w:val="clear" w:color="auto" w:fill="FFFFFF" w:themeFill="background1"/>
            <w:vAlign w:val="center"/>
          </w:tcPr>
          <w:p w14:paraId="66344DFB" w14:textId="77777777" w:rsidR="00632E5B" w:rsidRDefault="00632E5B"/>
        </w:tc>
        <w:tc>
          <w:tcPr>
            <w:tcW w:w="2693" w:type="dxa"/>
            <w:gridSpan w:val="2"/>
            <w:shd w:val="clear" w:color="auto" w:fill="FFFFFF" w:themeFill="background1"/>
            <w:vAlign w:val="center"/>
          </w:tcPr>
          <w:p w14:paraId="7FA0873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2024年末</w:t>
            </w:r>
          </w:p>
        </w:tc>
        <w:tc>
          <w:tcPr>
            <w:tcW w:w="2694" w:type="dxa"/>
            <w:gridSpan w:val="2"/>
            <w:shd w:val="clear" w:color="auto" w:fill="FFFFFF" w:themeFill="background1"/>
            <w:vAlign w:val="center"/>
          </w:tcPr>
          <w:p w14:paraId="4C717FC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2024年初</w:t>
            </w:r>
          </w:p>
        </w:tc>
        <w:tc>
          <w:tcPr>
            <w:tcW w:w="860" w:type="dxa"/>
            <w:vMerge w:val="restart"/>
            <w:shd w:val="clear" w:color="auto" w:fill="FFFFFF" w:themeFill="background1"/>
            <w:vAlign w:val="center"/>
          </w:tcPr>
          <w:p w14:paraId="393F29B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比重增减</w:t>
            </w:r>
          </w:p>
        </w:tc>
        <w:tc>
          <w:tcPr>
            <w:tcW w:w="1975" w:type="dxa"/>
            <w:vMerge w:val="restart"/>
            <w:shd w:val="clear" w:color="auto" w:fill="FFFFFF" w:themeFill="background1"/>
            <w:vAlign w:val="center"/>
          </w:tcPr>
          <w:p w14:paraId="472F3A9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重大变动说明</w:t>
            </w:r>
          </w:p>
        </w:tc>
      </w:tr>
      <w:tr w:rsidR="00632E5B" w14:paraId="18BCD839" w14:textId="77777777" w:rsidTr="00D954C5">
        <w:trPr>
          <w:trHeight w:val="240"/>
        </w:trPr>
        <w:tc>
          <w:tcPr>
            <w:tcW w:w="1165" w:type="dxa"/>
            <w:vMerge/>
            <w:shd w:val="clear" w:color="auto" w:fill="FFFFFF" w:themeFill="background1"/>
            <w:vAlign w:val="center"/>
          </w:tcPr>
          <w:p w14:paraId="2D11178F" w14:textId="77777777" w:rsidR="00632E5B" w:rsidRDefault="00632E5B"/>
        </w:tc>
        <w:tc>
          <w:tcPr>
            <w:tcW w:w="1701" w:type="dxa"/>
            <w:shd w:val="clear" w:color="auto" w:fill="FFFFFF" w:themeFill="background1"/>
            <w:vAlign w:val="center"/>
          </w:tcPr>
          <w:p w14:paraId="03C188B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992" w:type="dxa"/>
            <w:shd w:val="clear" w:color="auto" w:fill="FFFFFF" w:themeFill="background1"/>
            <w:vAlign w:val="center"/>
          </w:tcPr>
          <w:p w14:paraId="32A69E1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占总资产比例</w:t>
            </w:r>
          </w:p>
        </w:tc>
        <w:tc>
          <w:tcPr>
            <w:tcW w:w="1701" w:type="dxa"/>
            <w:shd w:val="clear" w:color="auto" w:fill="FFFFFF" w:themeFill="background1"/>
            <w:vAlign w:val="center"/>
          </w:tcPr>
          <w:p w14:paraId="3D0A8D8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993" w:type="dxa"/>
            <w:shd w:val="clear" w:color="auto" w:fill="FFFFFF" w:themeFill="background1"/>
            <w:vAlign w:val="center"/>
          </w:tcPr>
          <w:p w14:paraId="58E432F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占总资产比例</w:t>
            </w:r>
          </w:p>
        </w:tc>
        <w:tc>
          <w:tcPr>
            <w:tcW w:w="860" w:type="dxa"/>
            <w:vMerge/>
            <w:shd w:val="clear" w:color="auto" w:fill="FFFFFF" w:themeFill="background1"/>
            <w:vAlign w:val="center"/>
          </w:tcPr>
          <w:p w14:paraId="4584B734" w14:textId="77777777" w:rsidR="00632E5B" w:rsidRDefault="00632E5B"/>
        </w:tc>
        <w:tc>
          <w:tcPr>
            <w:tcW w:w="1975" w:type="dxa"/>
            <w:vMerge/>
            <w:shd w:val="clear" w:color="auto" w:fill="FFFFFF" w:themeFill="background1"/>
            <w:vAlign w:val="center"/>
          </w:tcPr>
          <w:p w14:paraId="0F750E93" w14:textId="77777777" w:rsidR="00632E5B" w:rsidRDefault="00632E5B"/>
        </w:tc>
      </w:tr>
      <w:tr w:rsidR="00632E5B" w14:paraId="7DD0F243" w14:textId="77777777" w:rsidTr="00D954C5">
        <w:trPr>
          <w:trHeight w:val="240"/>
        </w:trPr>
        <w:tc>
          <w:tcPr>
            <w:tcW w:w="1165" w:type="dxa"/>
            <w:shd w:val="clear" w:color="auto" w:fill="FFFFFF" w:themeFill="background1"/>
            <w:vAlign w:val="center"/>
          </w:tcPr>
          <w:p w14:paraId="1FBFCCBD"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货币资金</w:t>
            </w:r>
          </w:p>
        </w:tc>
        <w:tc>
          <w:tcPr>
            <w:tcW w:w="1701" w:type="dxa"/>
            <w:shd w:val="clear" w:color="auto" w:fill="FFFFFF" w:themeFill="background1"/>
            <w:vAlign w:val="center"/>
          </w:tcPr>
          <w:p w14:paraId="1C1E33D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1,936,966,530.18</w:t>
            </w:r>
          </w:p>
        </w:tc>
        <w:tc>
          <w:tcPr>
            <w:tcW w:w="992" w:type="dxa"/>
            <w:shd w:val="clear" w:color="auto" w:fill="FFFFFF" w:themeFill="background1"/>
            <w:vAlign w:val="center"/>
          </w:tcPr>
          <w:p w14:paraId="4DB6CBD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35.06%</w:t>
            </w:r>
          </w:p>
        </w:tc>
        <w:tc>
          <w:tcPr>
            <w:tcW w:w="1701" w:type="dxa"/>
            <w:shd w:val="clear" w:color="auto" w:fill="FFFFFF" w:themeFill="background1"/>
            <w:vAlign w:val="center"/>
          </w:tcPr>
          <w:p w14:paraId="78B7CF8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704,975,286.40</w:t>
            </w:r>
          </w:p>
        </w:tc>
        <w:tc>
          <w:tcPr>
            <w:tcW w:w="993" w:type="dxa"/>
            <w:shd w:val="clear" w:color="auto" w:fill="FFFFFF" w:themeFill="background1"/>
            <w:vAlign w:val="center"/>
          </w:tcPr>
          <w:p w14:paraId="3EA22E2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9.14%</w:t>
            </w:r>
          </w:p>
        </w:tc>
        <w:tc>
          <w:tcPr>
            <w:tcW w:w="860" w:type="dxa"/>
            <w:shd w:val="clear" w:color="auto" w:fill="FFFFFF" w:themeFill="background1"/>
            <w:vAlign w:val="center"/>
          </w:tcPr>
          <w:p w14:paraId="6ED0CD5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25.92%</w:t>
            </w:r>
          </w:p>
        </w:tc>
        <w:tc>
          <w:tcPr>
            <w:tcW w:w="1975" w:type="dxa"/>
            <w:shd w:val="clear" w:color="auto" w:fill="FFFFFF" w:themeFill="background1"/>
            <w:vAlign w:val="center"/>
          </w:tcPr>
          <w:p w14:paraId="5B62F15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主要原因为：收到重整投资人投入资金。</w:t>
            </w:r>
          </w:p>
        </w:tc>
      </w:tr>
      <w:tr w:rsidR="00632E5B" w14:paraId="6B98379F" w14:textId="77777777" w:rsidTr="00D954C5">
        <w:trPr>
          <w:trHeight w:val="240"/>
        </w:trPr>
        <w:tc>
          <w:tcPr>
            <w:tcW w:w="1165" w:type="dxa"/>
            <w:shd w:val="clear" w:color="auto" w:fill="FFFFFF" w:themeFill="background1"/>
            <w:vAlign w:val="center"/>
          </w:tcPr>
          <w:p w14:paraId="53EAF0DF"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应收账款</w:t>
            </w:r>
          </w:p>
        </w:tc>
        <w:tc>
          <w:tcPr>
            <w:tcW w:w="1701" w:type="dxa"/>
            <w:shd w:val="clear" w:color="auto" w:fill="FFFFFF" w:themeFill="background1"/>
            <w:vAlign w:val="center"/>
          </w:tcPr>
          <w:p w14:paraId="772770A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607,532,776.76</w:t>
            </w:r>
          </w:p>
        </w:tc>
        <w:tc>
          <w:tcPr>
            <w:tcW w:w="992" w:type="dxa"/>
            <w:shd w:val="clear" w:color="auto" w:fill="FFFFFF" w:themeFill="background1"/>
            <w:vAlign w:val="center"/>
          </w:tcPr>
          <w:p w14:paraId="3F19A81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11.00%</w:t>
            </w:r>
          </w:p>
        </w:tc>
        <w:tc>
          <w:tcPr>
            <w:tcW w:w="1701" w:type="dxa"/>
            <w:shd w:val="clear" w:color="auto" w:fill="FFFFFF" w:themeFill="background1"/>
            <w:vAlign w:val="center"/>
          </w:tcPr>
          <w:p w14:paraId="5653144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944,281,300.16</w:t>
            </w:r>
          </w:p>
        </w:tc>
        <w:tc>
          <w:tcPr>
            <w:tcW w:w="993" w:type="dxa"/>
            <w:shd w:val="clear" w:color="auto" w:fill="FFFFFF" w:themeFill="background1"/>
            <w:vAlign w:val="center"/>
          </w:tcPr>
          <w:p w14:paraId="4C3F083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12.24%</w:t>
            </w:r>
          </w:p>
        </w:tc>
        <w:tc>
          <w:tcPr>
            <w:tcW w:w="860" w:type="dxa"/>
            <w:shd w:val="clear" w:color="auto" w:fill="FFFFFF" w:themeFill="background1"/>
            <w:vAlign w:val="center"/>
          </w:tcPr>
          <w:p w14:paraId="292C21C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-1.24%</w:t>
            </w:r>
          </w:p>
        </w:tc>
        <w:tc>
          <w:tcPr>
            <w:tcW w:w="1975" w:type="dxa"/>
            <w:shd w:val="clear" w:color="auto" w:fill="FFFFFF" w:themeFill="background1"/>
            <w:vAlign w:val="center"/>
          </w:tcPr>
          <w:p w14:paraId="1D19387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主要原因为：销售规模减少。</w:t>
            </w:r>
          </w:p>
        </w:tc>
      </w:tr>
      <w:tr w:rsidR="00632E5B" w14:paraId="232F940C" w14:textId="77777777" w:rsidTr="00D954C5">
        <w:trPr>
          <w:trHeight w:val="240"/>
        </w:trPr>
        <w:tc>
          <w:tcPr>
            <w:tcW w:w="1165" w:type="dxa"/>
            <w:shd w:val="clear" w:color="auto" w:fill="FFFFFF" w:themeFill="background1"/>
            <w:vAlign w:val="center"/>
          </w:tcPr>
          <w:p w14:paraId="499ABB6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存货</w:t>
            </w:r>
          </w:p>
        </w:tc>
        <w:tc>
          <w:tcPr>
            <w:tcW w:w="1701" w:type="dxa"/>
            <w:shd w:val="clear" w:color="auto" w:fill="FFFFFF" w:themeFill="background1"/>
            <w:vAlign w:val="center"/>
          </w:tcPr>
          <w:p w14:paraId="50146D4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403,444,686.81</w:t>
            </w:r>
          </w:p>
        </w:tc>
        <w:tc>
          <w:tcPr>
            <w:tcW w:w="992" w:type="dxa"/>
            <w:shd w:val="clear" w:color="auto" w:fill="FFFFFF" w:themeFill="background1"/>
            <w:vAlign w:val="center"/>
          </w:tcPr>
          <w:p w14:paraId="3AB2321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7.30%</w:t>
            </w:r>
          </w:p>
        </w:tc>
        <w:tc>
          <w:tcPr>
            <w:tcW w:w="1701" w:type="dxa"/>
            <w:shd w:val="clear" w:color="auto" w:fill="FFFFFF" w:themeFill="background1"/>
            <w:vAlign w:val="center"/>
          </w:tcPr>
          <w:p w14:paraId="61384D4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883,888,101.21</w:t>
            </w:r>
          </w:p>
        </w:tc>
        <w:tc>
          <w:tcPr>
            <w:tcW w:w="993" w:type="dxa"/>
            <w:shd w:val="clear" w:color="auto" w:fill="FFFFFF" w:themeFill="background1"/>
            <w:vAlign w:val="center"/>
          </w:tcPr>
          <w:p w14:paraId="47F9B47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11.46%</w:t>
            </w:r>
          </w:p>
        </w:tc>
        <w:tc>
          <w:tcPr>
            <w:tcW w:w="860" w:type="dxa"/>
            <w:shd w:val="clear" w:color="auto" w:fill="FFFFFF" w:themeFill="background1"/>
            <w:vAlign w:val="center"/>
          </w:tcPr>
          <w:p w14:paraId="518C6BD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-4.16%</w:t>
            </w:r>
          </w:p>
        </w:tc>
        <w:tc>
          <w:tcPr>
            <w:tcW w:w="1975" w:type="dxa"/>
            <w:shd w:val="clear" w:color="auto" w:fill="FFFFFF" w:themeFill="background1"/>
            <w:vAlign w:val="center"/>
          </w:tcPr>
          <w:p w14:paraId="13118BD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主要原因为：减少产品备货。</w:t>
            </w:r>
          </w:p>
        </w:tc>
      </w:tr>
      <w:tr w:rsidR="00632E5B" w14:paraId="6A00706A" w14:textId="77777777" w:rsidTr="00D954C5">
        <w:trPr>
          <w:trHeight w:val="240"/>
        </w:trPr>
        <w:tc>
          <w:tcPr>
            <w:tcW w:w="1165" w:type="dxa"/>
            <w:shd w:val="clear" w:color="auto" w:fill="FFFFFF" w:themeFill="background1"/>
            <w:vAlign w:val="center"/>
          </w:tcPr>
          <w:p w14:paraId="734F6660"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长期股权投资</w:t>
            </w:r>
          </w:p>
        </w:tc>
        <w:tc>
          <w:tcPr>
            <w:tcW w:w="1701" w:type="dxa"/>
            <w:shd w:val="clear" w:color="auto" w:fill="FFFFFF" w:themeFill="background1"/>
            <w:vAlign w:val="center"/>
          </w:tcPr>
          <w:p w14:paraId="48175ECB" w14:textId="2D5A104D" w:rsidR="00632E5B" w:rsidRDefault="00ED3754">
            <w:pPr>
              <w:spacing w:line="240" w:lineRule="exact"/>
              <w:jc w:val="right"/>
              <w:rPr>
                <w:rFonts w:ascii="宋体" w:eastAsia="宋体" w:hAnsi="宋体" w:cs="宋体" w:hint="eastAsia"/>
                <w:sz w:val="18"/>
                <w:szCs w:val="18"/>
              </w:rPr>
            </w:pPr>
            <w:r>
              <w:rPr>
                <w:rFonts w:ascii="宋体" w:eastAsia="宋体" w:hAnsi="宋体" w:cs="宋体" w:hint="eastAsia"/>
                <w:sz w:val="18"/>
                <w:szCs w:val="18"/>
              </w:rPr>
              <w:t>0</w:t>
            </w:r>
            <w:r>
              <w:rPr>
                <w:rFonts w:ascii="宋体" w:eastAsia="宋体" w:hAnsi="宋体" w:cs="宋体"/>
                <w:sz w:val="18"/>
                <w:szCs w:val="18"/>
              </w:rPr>
              <w:t>.00</w:t>
            </w:r>
          </w:p>
        </w:tc>
        <w:tc>
          <w:tcPr>
            <w:tcW w:w="992" w:type="dxa"/>
            <w:shd w:val="clear" w:color="auto" w:fill="FFFFFF" w:themeFill="background1"/>
            <w:vAlign w:val="center"/>
          </w:tcPr>
          <w:p w14:paraId="439C7D91" w14:textId="0EF8194D" w:rsidR="00632E5B" w:rsidRDefault="00ED3754">
            <w:pPr>
              <w:spacing w:line="240" w:lineRule="exact"/>
              <w:jc w:val="right"/>
              <w:rPr>
                <w:rFonts w:ascii="宋体" w:eastAsia="宋体" w:hAnsi="宋体" w:cs="宋体" w:hint="eastAsia"/>
                <w:sz w:val="18"/>
                <w:szCs w:val="18"/>
              </w:rPr>
            </w:pPr>
            <w:r>
              <w:rPr>
                <w:rFonts w:ascii="宋体" w:eastAsia="宋体" w:hAnsi="宋体" w:cs="宋体" w:hint="eastAsia"/>
                <w:sz w:val="18"/>
                <w:szCs w:val="18"/>
              </w:rPr>
              <w:t>0</w:t>
            </w:r>
            <w:r>
              <w:rPr>
                <w:rFonts w:ascii="宋体" w:eastAsia="宋体" w:hAnsi="宋体" w:cs="宋体"/>
                <w:sz w:val="18"/>
                <w:szCs w:val="18"/>
              </w:rPr>
              <w:t>.00</w:t>
            </w:r>
          </w:p>
        </w:tc>
        <w:tc>
          <w:tcPr>
            <w:tcW w:w="1701" w:type="dxa"/>
            <w:shd w:val="clear" w:color="auto" w:fill="FFFFFF" w:themeFill="background1"/>
            <w:vAlign w:val="center"/>
          </w:tcPr>
          <w:p w14:paraId="658A0C2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14,158,288.31</w:t>
            </w:r>
          </w:p>
        </w:tc>
        <w:tc>
          <w:tcPr>
            <w:tcW w:w="993" w:type="dxa"/>
            <w:shd w:val="clear" w:color="auto" w:fill="FFFFFF" w:themeFill="background1"/>
            <w:vAlign w:val="center"/>
          </w:tcPr>
          <w:p w14:paraId="7C00096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0.18%</w:t>
            </w:r>
          </w:p>
        </w:tc>
        <w:tc>
          <w:tcPr>
            <w:tcW w:w="860" w:type="dxa"/>
            <w:shd w:val="clear" w:color="auto" w:fill="FFFFFF" w:themeFill="background1"/>
            <w:vAlign w:val="center"/>
          </w:tcPr>
          <w:p w14:paraId="2875B63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-0.18%</w:t>
            </w:r>
          </w:p>
        </w:tc>
        <w:tc>
          <w:tcPr>
            <w:tcW w:w="1975" w:type="dxa"/>
            <w:shd w:val="clear" w:color="auto" w:fill="FFFFFF" w:themeFill="background1"/>
            <w:vAlign w:val="center"/>
          </w:tcPr>
          <w:p w14:paraId="46DB66B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主要原因为：本报告期末对参股公司上海康速全额计提减值。</w:t>
            </w:r>
          </w:p>
        </w:tc>
      </w:tr>
      <w:tr w:rsidR="00632E5B" w14:paraId="4DFB9A2E" w14:textId="77777777" w:rsidTr="00D954C5">
        <w:trPr>
          <w:trHeight w:val="240"/>
        </w:trPr>
        <w:tc>
          <w:tcPr>
            <w:tcW w:w="1165" w:type="dxa"/>
            <w:shd w:val="clear" w:color="auto" w:fill="FFFFFF" w:themeFill="background1"/>
            <w:vAlign w:val="center"/>
          </w:tcPr>
          <w:p w14:paraId="2DE58EF7"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固定资产</w:t>
            </w:r>
          </w:p>
        </w:tc>
        <w:tc>
          <w:tcPr>
            <w:tcW w:w="1701" w:type="dxa"/>
            <w:shd w:val="clear" w:color="auto" w:fill="FFFFFF" w:themeFill="background1"/>
            <w:vAlign w:val="center"/>
          </w:tcPr>
          <w:p w14:paraId="5AAA684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1,308,107,733.97</w:t>
            </w:r>
          </w:p>
        </w:tc>
        <w:tc>
          <w:tcPr>
            <w:tcW w:w="992" w:type="dxa"/>
            <w:shd w:val="clear" w:color="auto" w:fill="FFFFFF" w:themeFill="background1"/>
            <w:vAlign w:val="center"/>
          </w:tcPr>
          <w:p w14:paraId="566E6D3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23.68%</w:t>
            </w:r>
          </w:p>
        </w:tc>
        <w:tc>
          <w:tcPr>
            <w:tcW w:w="1701" w:type="dxa"/>
            <w:shd w:val="clear" w:color="auto" w:fill="FFFFFF" w:themeFill="background1"/>
            <w:vAlign w:val="center"/>
          </w:tcPr>
          <w:p w14:paraId="65619F0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2,785,422,629.34</w:t>
            </w:r>
          </w:p>
        </w:tc>
        <w:tc>
          <w:tcPr>
            <w:tcW w:w="993" w:type="dxa"/>
            <w:shd w:val="clear" w:color="auto" w:fill="FFFFFF" w:themeFill="background1"/>
            <w:vAlign w:val="center"/>
          </w:tcPr>
          <w:p w14:paraId="6D1E3ED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36.12%</w:t>
            </w:r>
          </w:p>
        </w:tc>
        <w:tc>
          <w:tcPr>
            <w:tcW w:w="860" w:type="dxa"/>
            <w:shd w:val="clear" w:color="auto" w:fill="FFFFFF" w:themeFill="background1"/>
            <w:vAlign w:val="center"/>
          </w:tcPr>
          <w:p w14:paraId="3C5D5E2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-12.44%</w:t>
            </w:r>
          </w:p>
        </w:tc>
        <w:tc>
          <w:tcPr>
            <w:tcW w:w="1975" w:type="dxa"/>
            <w:shd w:val="clear" w:color="auto" w:fill="FFFFFF" w:themeFill="background1"/>
            <w:vAlign w:val="center"/>
          </w:tcPr>
          <w:p w14:paraId="64F2B44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主要原因为：本报告期末对设备计提资产减值；处置部分子公司。</w:t>
            </w:r>
          </w:p>
        </w:tc>
      </w:tr>
      <w:tr w:rsidR="00632E5B" w14:paraId="1C4C435D" w14:textId="77777777" w:rsidTr="00D954C5">
        <w:trPr>
          <w:trHeight w:val="240"/>
        </w:trPr>
        <w:tc>
          <w:tcPr>
            <w:tcW w:w="1165" w:type="dxa"/>
            <w:shd w:val="clear" w:color="auto" w:fill="FFFFFF" w:themeFill="background1"/>
            <w:vAlign w:val="center"/>
          </w:tcPr>
          <w:p w14:paraId="4856B6F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在建工程</w:t>
            </w:r>
          </w:p>
        </w:tc>
        <w:tc>
          <w:tcPr>
            <w:tcW w:w="1701" w:type="dxa"/>
            <w:shd w:val="clear" w:color="auto" w:fill="FFFFFF" w:themeFill="background1"/>
            <w:vAlign w:val="center"/>
          </w:tcPr>
          <w:p w14:paraId="41B717C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217,756,537.37</w:t>
            </w:r>
          </w:p>
        </w:tc>
        <w:tc>
          <w:tcPr>
            <w:tcW w:w="992" w:type="dxa"/>
            <w:shd w:val="clear" w:color="auto" w:fill="FFFFFF" w:themeFill="background1"/>
            <w:vAlign w:val="center"/>
          </w:tcPr>
          <w:p w14:paraId="2817D72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3.94%</w:t>
            </w:r>
          </w:p>
        </w:tc>
        <w:tc>
          <w:tcPr>
            <w:tcW w:w="1701" w:type="dxa"/>
            <w:shd w:val="clear" w:color="auto" w:fill="FFFFFF" w:themeFill="background1"/>
            <w:vAlign w:val="center"/>
          </w:tcPr>
          <w:p w14:paraId="35A6C7C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646,128,873.74</w:t>
            </w:r>
          </w:p>
        </w:tc>
        <w:tc>
          <w:tcPr>
            <w:tcW w:w="993" w:type="dxa"/>
            <w:shd w:val="clear" w:color="auto" w:fill="FFFFFF" w:themeFill="background1"/>
            <w:vAlign w:val="center"/>
          </w:tcPr>
          <w:p w14:paraId="5A4B868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8.38%</w:t>
            </w:r>
          </w:p>
        </w:tc>
        <w:tc>
          <w:tcPr>
            <w:tcW w:w="860" w:type="dxa"/>
            <w:shd w:val="clear" w:color="auto" w:fill="FFFFFF" w:themeFill="background1"/>
            <w:vAlign w:val="center"/>
          </w:tcPr>
          <w:p w14:paraId="1E756D7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-4.44%</w:t>
            </w:r>
          </w:p>
        </w:tc>
        <w:tc>
          <w:tcPr>
            <w:tcW w:w="1975" w:type="dxa"/>
            <w:shd w:val="clear" w:color="auto" w:fill="FFFFFF" w:themeFill="background1"/>
            <w:vAlign w:val="center"/>
          </w:tcPr>
          <w:p w14:paraId="19F6634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主要原因为：青海中利三期工程计提减值；处置部分子公司。</w:t>
            </w:r>
          </w:p>
        </w:tc>
      </w:tr>
      <w:tr w:rsidR="00632E5B" w14:paraId="1F6A6A85" w14:textId="77777777" w:rsidTr="00D954C5">
        <w:trPr>
          <w:trHeight w:val="240"/>
        </w:trPr>
        <w:tc>
          <w:tcPr>
            <w:tcW w:w="1165" w:type="dxa"/>
            <w:shd w:val="clear" w:color="auto" w:fill="FFFFFF" w:themeFill="background1"/>
            <w:vAlign w:val="center"/>
          </w:tcPr>
          <w:p w14:paraId="34C0F7B7"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使用权资产</w:t>
            </w:r>
          </w:p>
        </w:tc>
        <w:tc>
          <w:tcPr>
            <w:tcW w:w="1701" w:type="dxa"/>
            <w:shd w:val="clear" w:color="auto" w:fill="FFFFFF" w:themeFill="background1"/>
            <w:vAlign w:val="center"/>
          </w:tcPr>
          <w:p w14:paraId="69EBF26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7,815,205.16</w:t>
            </w:r>
          </w:p>
        </w:tc>
        <w:tc>
          <w:tcPr>
            <w:tcW w:w="992" w:type="dxa"/>
            <w:shd w:val="clear" w:color="auto" w:fill="FFFFFF" w:themeFill="background1"/>
            <w:vAlign w:val="center"/>
          </w:tcPr>
          <w:p w14:paraId="1BBF723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0.14%</w:t>
            </w:r>
          </w:p>
        </w:tc>
        <w:tc>
          <w:tcPr>
            <w:tcW w:w="1701" w:type="dxa"/>
            <w:shd w:val="clear" w:color="auto" w:fill="FFFFFF" w:themeFill="background1"/>
            <w:vAlign w:val="center"/>
          </w:tcPr>
          <w:p w14:paraId="1A8CD00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73,307,174.23</w:t>
            </w:r>
          </w:p>
        </w:tc>
        <w:tc>
          <w:tcPr>
            <w:tcW w:w="993" w:type="dxa"/>
            <w:shd w:val="clear" w:color="auto" w:fill="FFFFFF" w:themeFill="background1"/>
            <w:vAlign w:val="center"/>
          </w:tcPr>
          <w:p w14:paraId="2714F9D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0.95%</w:t>
            </w:r>
          </w:p>
        </w:tc>
        <w:tc>
          <w:tcPr>
            <w:tcW w:w="860" w:type="dxa"/>
            <w:shd w:val="clear" w:color="auto" w:fill="FFFFFF" w:themeFill="background1"/>
            <w:vAlign w:val="center"/>
          </w:tcPr>
          <w:p w14:paraId="6AC1F63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-0.81%</w:t>
            </w:r>
          </w:p>
        </w:tc>
        <w:tc>
          <w:tcPr>
            <w:tcW w:w="1975" w:type="dxa"/>
            <w:shd w:val="clear" w:color="auto" w:fill="FFFFFF" w:themeFill="background1"/>
            <w:vAlign w:val="center"/>
          </w:tcPr>
          <w:p w14:paraId="2E0F638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主要原因为：处置部分子公司进入信托计划出表。</w:t>
            </w:r>
          </w:p>
        </w:tc>
      </w:tr>
      <w:tr w:rsidR="00632E5B" w14:paraId="6245085C" w14:textId="77777777" w:rsidTr="00D954C5">
        <w:trPr>
          <w:trHeight w:val="240"/>
        </w:trPr>
        <w:tc>
          <w:tcPr>
            <w:tcW w:w="1165" w:type="dxa"/>
            <w:shd w:val="clear" w:color="auto" w:fill="FFFFFF" w:themeFill="background1"/>
            <w:vAlign w:val="center"/>
          </w:tcPr>
          <w:p w14:paraId="50852B6F"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短期借款</w:t>
            </w:r>
          </w:p>
        </w:tc>
        <w:tc>
          <w:tcPr>
            <w:tcW w:w="1701" w:type="dxa"/>
            <w:shd w:val="clear" w:color="auto" w:fill="FFFFFF" w:themeFill="background1"/>
            <w:vAlign w:val="center"/>
          </w:tcPr>
          <w:p w14:paraId="1FE0273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466,896,591.38</w:t>
            </w:r>
          </w:p>
        </w:tc>
        <w:tc>
          <w:tcPr>
            <w:tcW w:w="992" w:type="dxa"/>
            <w:shd w:val="clear" w:color="auto" w:fill="FFFFFF" w:themeFill="background1"/>
            <w:vAlign w:val="center"/>
          </w:tcPr>
          <w:p w14:paraId="754DB71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8.45%</w:t>
            </w:r>
          </w:p>
        </w:tc>
        <w:tc>
          <w:tcPr>
            <w:tcW w:w="1701" w:type="dxa"/>
            <w:shd w:val="clear" w:color="auto" w:fill="FFFFFF" w:themeFill="background1"/>
            <w:vAlign w:val="center"/>
          </w:tcPr>
          <w:p w14:paraId="41767B3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2,910,605,047.91</w:t>
            </w:r>
          </w:p>
        </w:tc>
        <w:tc>
          <w:tcPr>
            <w:tcW w:w="993" w:type="dxa"/>
            <w:shd w:val="clear" w:color="auto" w:fill="FFFFFF" w:themeFill="background1"/>
            <w:vAlign w:val="center"/>
          </w:tcPr>
          <w:p w14:paraId="7963043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37.74%</w:t>
            </w:r>
          </w:p>
        </w:tc>
        <w:tc>
          <w:tcPr>
            <w:tcW w:w="860" w:type="dxa"/>
            <w:shd w:val="clear" w:color="auto" w:fill="FFFFFF" w:themeFill="background1"/>
            <w:vAlign w:val="center"/>
          </w:tcPr>
          <w:p w14:paraId="66A5942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-29.29%</w:t>
            </w:r>
          </w:p>
        </w:tc>
        <w:tc>
          <w:tcPr>
            <w:tcW w:w="1975" w:type="dxa"/>
            <w:shd w:val="clear" w:color="auto" w:fill="FFFFFF" w:themeFill="background1"/>
            <w:vAlign w:val="center"/>
          </w:tcPr>
          <w:p w14:paraId="7930DAC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主要原因为：根据重整计划，对部分短期借款进行了重分类。</w:t>
            </w:r>
          </w:p>
        </w:tc>
      </w:tr>
      <w:tr w:rsidR="00632E5B" w14:paraId="0E9392A5" w14:textId="77777777" w:rsidTr="00D954C5">
        <w:trPr>
          <w:trHeight w:val="240"/>
        </w:trPr>
        <w:tc>
          <w:tcPr>
            <w:tcW w:w="1165" w:type="dxa"/>
            <w:shd w:val="clear" w:color="auto" w:fill="FFFFFF" w:themeFill="background1"/>
            <w:vAlign w:val="center"/>
          </w:tcPr>
          <w:p w14:paraId="0D5EA125"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合同负债</w:t>
            </w:r>
          </w:p>
        </w:tc>
        <w:tc>
          <w:tcPr>
            <w:tcW w:w="1701" w:type="dxa"/>
            <w:shd w:val="clear" w:color="auto" w:fill="FFFFFF" w:themeFill="background1"/>
            <w:vAlign w:val="center"/>
          </w:tcPr>
          <w:p w14:paraId="0258B54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101,737,410.53</w:t>
            </w:r>
          </w:p>
        </w:tc>
        <w:tc>
          <w:tcPr>
            <w:tcW w:w="992" w:type="dxa"/>
            <w:shd w:val="clear" w:color="auto" w:fill="FFFFFF" w:themeFill="background1"/>
            <w:vAlign w:val="center"/>
          </w:tcPr>
          <w:p w14:paraId="202E238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1.84%</w:t>
            </w:r>
          </w:p>
        </w:tc>
        <w:tc>
          <w:tcPr>
            <w:tcW w:w="1701" w:type="dxa"/>
            <w:shd w:val="clear" w:color="auto" w:fill="FFFFFF" w:themeFill="background1"/>
            <w:vAlign w:val="center"/>
          </w:tcPr>
          <w:p w14:paraId="2516C71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463,179,315.20</w:t>
            </w:r>
          </w:p>
        </w:tc>
        <w:tc>
          <w:tcPr>
            <w:tcW w:w="993" w:type="dxa"/>
            <w:shd w:val="clear" w:color="auto" w:fill="FFFFFF" w:themeFill="background1"/>
            <w:vAlign w:val="center"/>
          </w:tcPr>
          <w:p w14:paraId="75E1B42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6.01%</w:t>
            </w:r>
          </w:p>
        </w:tc>
        <w:tc>
          <w:tcPr>
            <w:tcW w:w="860" w:type="dxa"/>
            <w:shd w:val="clear" w:color="auto" w:fill="FFFFFF" w:themeFill="background1"/>
            <w:vAlign w:val="center"/>
          </w:tcPr>
          <w:p w14:paraId="6EC8DF0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-4.17%</w:t>
            </w:r>
          </w:p>
        </w:tc>
        <w:tc>
          <w:tcPr>
            <w:tcW w:w="1975" w:type="dxa"/>
            <w:shd w:val="clear" w:color="auto" w:fill="FFFFFF" w:themeFill="background1"/>
            <w:vAlign w:val="center"/>
          </w:tcPr>
          <w:p w14:paraId="2B203B6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主要原因为：销售规模减少。</w:t>
            </w:r>
          </w:p>
        </w:tc>
      </w:tr>
      <w:tr w:rsidR="00632E5B" w14:paraId="0330B76D" w14:textId="77777777" w:rsidTr="00D954C5">
        <w:trPr>
          <w:trHeight w:val="240"/>
        </w:trPr>
        <w:tc>
          <w:tcPr>
            <w:tcW w:w="1165" w:type="dxa"/>
            <w:shd w:val="clear" w:color="auto" w:fill="FFFFFF" w:themeFill="background1"/>
            <w:vAlign w:val="center"/>
          </w:tcPr>
          <w:p w14:paraId="4E6D8E92"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长期借款</w:t>
            </w:r>
          </w:p>
        </w:tc>
        <w:tc>
          <w:tcPr>
            <w:tcW w:w="1701" w:type="dxa"/>
            <w:shd w:val="clear" w:color="auto" w:fill="FFFFFF" w:themeFill="background1"/>
            <w:vAlign w:val="center"/>
          </w:tcPr>
          <w:p w14:paraId="5C034D9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11,750,000.00</w:t>
            </w:r>
          </w:p>
        </w:tc>
        <w:tc>
          <w:tcPr>
            <w:tcW w:w="992" w:type="dxa"/>
            <w:shd w:val="clear" w:color="auto" w:fill="FFFFFF" w:themeFill="background1"/>
            <w:vAlign w:val="center"/>
          </w:tcPr>
          <w:p w14:paraId="05C41F1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0.21%</w:t>
            </w:r>
          </w:p>
        </w:tc>
        <w:tc>
          <w:tcPr>
            <w:tcW w:w="1701" w:type="dxa"/>
            <w:shd w:val="clear" w:color="auto" w:fill="FFFFFF" w:themeFill="background1"/>
            <w:vAlign w:val="center"/>
          </w:tcPr>
          <w:p w14:paraId="4FE9F75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474,163,955.47</w:t>
            </w:r>
          </w:p>
        </w:tc>
        <w:tc>
          <w:tcPr>
            <w:tcW w:w="993" w:type="dxa"/>
            <w:shd w:val="clear" w:color="auto" w:fill="FFFFFF" w:themeFill="background1"/>
            <w:vAlign w:val="center"/>
          </w:tcPr>
          <w:p w14:paraId="5DC2CF1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6.15%</w:t>
            </w:r>
          </w:p>
        </w:tc>
        <w:tc>
          <w:tcPr>
            <w:tcW w:w="860" w:type="dxa"/>
            <w:shd w:val="clear" w:color="auto" w:fill="FFFFFF" w:themeFill="background1"/>
            <w:vAlign w:val="center"/>
          </w:tcPr>
          <w:p w14:paraId="158ED92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-5.94%</w:t>
            </w:r>
          </w:p>
        </w:tc>
        <w:tc>
          <w:tcPr>
            <w:tcW w:w="1975" w:type="dxa"/>
            <w:shd w:val="clear" w:color="auto" w:fill="FFFFFF" w:themeFill="background1"/>
            <w:vAlign w:val="center"/>
          </w:tcPr>
          <w:p w14:paraId="242D916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主要原因为：根据重整计划，对部分长期借款进行了重分类。</w:t>
            </w:r>
          </w:p>
        </w:tc>
      </w:tr>
      <w:tr w:rsidR="00632E5B" w14:paraId="2C12BE7A" w14:textId="77777777" w:rsidTr="00D954C5">
        <w:trPr>
          <w:trHeight w:val="240"/>
        </w:trPr>
        <w:tc>
          <w:tcPr>
            <w:tcW w:w="1165" w:type="dxa"/>
            <w:shd w:val="clear" w:color="auto" w:fill="FFFFFF" w:themeFill="background1"/>
            <w:vAlign w:val="center"/>
          </w:tcPr>
          <w:p w14:paraId="7EF9863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租赁负债</w:t>
            </w:r>
          </w:p>
        </w:tc>
        <w:tc>
          <w:tcPr>
            <w:tcW w:w="1701" w:type="dxa"/>
            <w:shd w:val="clear" w:color="auto" w:fill="FFFFFF" w:themeFill="background1"/>
            <w:vAlign w:val="center"/>
          </w:tcPr>
          <w:p w14:paraId="459FFAD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5,092,028.94</w:t>
            </w:r>
          </w:p>
        </w:tc>
        <w:tc>
          <w:tcPr>
            <w:tcW w:w="992" w:type="dxa"/>
            <w:shd w:val="clear" w:color="auto" w:fill="FFFFFF" w:themeFill="background1"/>
            <w:vAlign w:val="center"/>
          </w:tcPr>
          <w:p w14:paraId="25665CA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0.09%</w:t>
            </w:r>
          </w:p>
        </w:tc>
        <w:tc>
          <w:tcPr>
            <w:tcW w:w="1701" w:type="dxa"/>
            <w:shd w:val="clear" w:color="auto" w:fill="FFFFFF" w:themeFill="background1"/>
            <w:vAlign w:val="center"/>
          </w:tcPr>
          <w:p w14:paraId="62FC362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54,203,365.98</w:t>
            </w:r>
          </w:p>
        </w:tc>
        <w:tc>
          <w:tcPr>
            <w:tcW w:w="993" w:type="dxa"/>
            <w:shd w:val="clear" w:color="auto" w:fill="FFFFFF" w:themeFill="background1"/>
            <w:vAlign w:val="center"/>
          </w:tcPr>
          <w:p w14:paraId="00B6295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0.70%</w:t>
            </w:r>
          </w:p>
        </w:tc>
        <w:tc>
          <w:tcPr>
            <w:tcW w:w="860" w:type="dxa"/>
            <w:shd w:val="clear" w:color="auto" w:fill="FFFFFF" w:themeFill="background1"/>
            <w:vAlign w:val="center"/>
          </w:tcPr>
          <w:p w14:paraId="675CF12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-0.61%</w:t>
            </w:r>
          </w:p>
        </w:tc>
        <w:tc>
          <w:tcPr>
            <w:tcW w:w="1975" w:type="dxa"/>
            <w:shd w:val="clear" w:color="auto" w:fill="FFFFFF" w:themeFill="background1"/>
            <w:vAlign w:val="center"/>
          </w:tcPr>
          <w:p w14:paraId="739B68D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主要原因为：处置部分子公司。</w:t>
            </w:r>
          </w:p>
        </w:tc>
      </w:tr>
      <w:tr w:rsidR="00632E5B" w14:paraId="562485EB" w14:textId="77777777" w:rsidTr="00D954C5">
        <w:trPr>
          <w:trHeight w:val="240"/>
        </w:trPr>
        <w:tc>
          <w:tcPr>
            <w:tcW w:w="1165" w:type="dxa"/>
            <w:shd w:val="clear" w:color="auto" w:fill="FFFFFF" w:themeFill="background1"/>
            <w:vAlign w:val="center"/>
          </w:tcPr>
          <w:p w14:paraId="66222037" w14:textId="77777777" w:rsidR="00632E5B" w:rsidRDefault="00107901" w:rsidP="00A31A34">
            <w:pPr>
              <w:spacing w:before="40" w:after="40" w:line="240" w:lineRule="exact"/>
              <w:rPr>
                <w:rFonts w:ascii="宋体" w:eastAsia="宋体" w:hAnsi="宋体" w:cs="宋体" w:hint="eastAsia"/>
                <w:sz w:val="18"/>
                <w:szCs w:val="18"/>
              </w:rPr>
            </w:pPr>
            <w:r>
              <w:rPr>
                <w:rFonts w:ascii="宋体" w:eastAsia="宋体" w:hAnsi="宋体" w:cs="宋体"/>
                <w:sz w:val="18"/>
                <w:szCs w:val="18"/>
              </w:rPr>
              <w:t>长期应付款</w:t>
            </w:r>
          </w:p>
        </w:tc>
        <w:tc>
          <w:tcPr>
            <w:tcW w:w="1701" w:type="dxa"/>
            <w:shd w:val="clear" w:color="auto" w:fill="FFFFFF" w:themeFill="background1"/>
            <w:vAlign w:val="center"/>
          </w:tcPr>
          <w:p w14:paraId="463ACC4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782,955,823.08</w:t>
            </w:r>
          </w:p>
        </w:tc>
        <w:tc>
          <w:tcPr>
            <w:tcW w:w="992" w:type="dxa"/>
            <w:shd w:val="clear" w:color="auto" w:fill="FFFFFF" w:themeFill="background1"/>
            <w:vAlign w:val="center"/>
          </w:tcPr>
          <w:p w14:paraId="58BB81A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14.17%</w:t>
            </w:r>
          </w:p>
        </w:tc>
        <w:tc>
          <w:tcPr>
            <w:tcW w:w="1701" w:type="dxa"/>
            <w:shd w:val="clear" w:color="auto" w:fill="FFFFFF" w:themeFill="background1"/>
            <w:vAlign w:val="center"/>
          </w:tcPr>
          <w:p w14:paraId="2C69D6E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60,078,273.66</w:t>
            </w:r>
          </w:p>
        </w:tc>
        <w:tc>
          <w:tcPr>
            <w:tcW w:w="993" w:type="dxa"/>
            <w:shd w:val="clear" w:color="auto" w:fill="FFFFFF" w:themeFill="background1"/>
            <w:vAlign w:val="center"/>
          </w:tcPr>
          <w:p w14:paraId="73666A0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0.78%</w:t>
            </w:r>
          </w:p>
        </w:tc>
        <w:tc>
          <w:tcPr>
            <w:tcW w:w="860" w:type="dxa"/>
            <w:shd w:val="clear" w:color="auto" w:fill="FFFFFF" w:themeFill="background1"/>
            <w:vAlign w:val="center"/>
          </w:tcPr>
          <w:p w14:paraId="3AFF8AE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13.39%</w:t>
            </w:r>
          </w:p>
        </w:tc>
        <w:tc>
          <w:tcPr>
            <w:tcW w:w="1975" w:type="dxa"/>
            <w:shd w:val="clear" w:color="auto" w:fill="FFFFFF" w:themeFill="background1"/>
            <w:vAlign w:val="center"/>
          </w:tcPr>
          <w:p w14:paraId="787FB3E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主要原因为：根据重整计划，对相关科目进行了重分类。</w:t>
            </w:r>
          </w:p>
        </w:tc>
      </w:tr>
    </w:tbl>
    <w:p w14:paraId="523277CA"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境外资产占比较高</w:t>
      </w:r>
    </w:p>
    <w:p w14:paraId="752A5E0A"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15F7244D" w14:textId="77777777" w:rsidR="00A31A34" w:rsidRDefault="00A31A34">
      <w:pPr>
        <w:widowControl/>
        <w:rPr>
          <w:rFonts w:ascii="宋体" w:eastAsia="宋体" w:hAnsi="宋体" w:cs="宋体" w:hint="eastAsia"/>
          <w:b/>
          <w:bCs/>
          <w:szCs w:val="21"/>
        </w:rPr>
      </w:pPr>
      <w:bookmarkStart w:id="34" w:name="_Toc988923"/>
      <w:r>
        <w:rPr>
          <w:rFonts w:ascii="宋体" w:hAnsi="宋体" w:cs="宋体"/>
          <w:b/>
          <w:bCs/>
        </w:rPr>
        <w:br w:type="page"/>
      </w:r>
    </w:p>
    <w:p w14:paraId="7566A7C8" w14:textId="5651AA17" w:rsidR="00632E5B" w:rsidRDefault="00107901">
      <w:pPr>
        <w:pStyle w:val="3"/>
        <w:spacing w:line="280" w:lineRule="exact"/>
        <w:jc w:val="left"/>
        <w:rPr>
          <w:rFonts w:ascii="宋体" w:hAnsi="宋体" w:cs="宋体" w:hint="eastAsia"/>
          <w:b/>
          <w:bCs/>
        </w:rPr>
      </w:pPr>
      <w:r>
        <w:rPr>
          <w:rFonts w:ascii="宋体" w:hAnsi="宋体" w:cs="宋体"/>
          <w:b/>
          <w:bCs/>
        </w:rPr>
        <w:lastRenderedPageBreak/>
        <w:t>2、以公允价值计量的资产和负债</w:t>
      </w:r>
      <w:bookmarkEnd w:id="34"/>
    </w:p>
    <w:p w14:paraId="7E3F911F"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67AF60FF" w14:textId="77777777" w:rsidR="00632E5B" w:rsidRDefault="00107901">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071"/>
        <w:gridCol w:w="1512"/>
        <w:gridCol w:w="1559"/>
        <w:gridCol w:w="1559"/>
        <w:gridCol w:w="567"/>
        <w:gridCol w:w="567"/>
        <w:gridCol w:w="567"/>
        <w:gridCol w:w="567"/>
        <w:gridCol w:w="1670"/>
      </w:tblGrid>
      <w:tr w:rsidR="0079795F" w14:paraId="1D86BC35" w14:textId="77777777" w:rsidTr="00D954C5">
        <w:trPr>
          <w:trHeight w:val="240"/>
        </w:trPr>
        <w:tc>
          <w:tcPr>
            <w:tcW w:w="1071" w:type="dxa"/>
            <w:shd w:val="clear" w:color="auto" w:fill="FFFFFF" w:themeFill="background1"/>
            <w:vAlign w:val="center"/>
          </w:tcPr>
          <w:p w14:paraId="4E2917E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512" w:type="dxa"/>
            <w:shd w:val="clear" w:color="auto" w:fill="FFFFFF" w:themeFill="background1"/>
            <w:vAlign w:val="center"/>
          </w:tcPr>
          <w:p w14:paraId="198645F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期初数</w:t>
            </w:r>
          </w:p>
        </w:tc>
        <w:tc>
          <w:tcPr>
            <w:tcW w:w="1559" w:type="dxa"/>
            <w:shd w:val="clear" w:color="auto" w:fill="FFFFFF" w:themeFill="background1"/>
            <w:vAlign w:val="center"/>
          </w:tcPr>
          <w:p w14:paraId="4F37012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本期公允价值变动损益</w:t>
            </w:r>
          </w:p>
        </w:tc>
        <w:tc>
          <w:tcPr>
            <w:tcW w:w="1559" w:type="dxa"/>
            <w:shd w:val="clear" w:color="auto" w:fill="FFFFFF" w:themeFill="background1"/>
            <w:vAlign w:val="center"/>
          </w:tcPr>
          <w:p w14:paraId="0C3408A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计入权益的累计公允价值变动</w:t>
            </w:r>
          </w:p>
        </w:tc>
        <w:tc>
          <w:tcPr>
            <w:tcW w:w="567" w:type="dxa"/>
            <w:shd w:val="clear" w:color="auto" w:fill="FFFFFF" w:themeFill="background1"/>
            <w:vAlign w:val="center"/>
          </w:tcPr>
          <w:p w14:paraId="433C3C6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本期计提的减值</w:t>
            </w:r>
          </w:p>
        </w:tc>
        <w:tc>
          <w:tcPr>
            <w:tcW w:w="567" w:type="dxa"/>
            <w:shd w:val="clear" w:color="auto" w:fill="FFFFFF" w:themeFill="background1"/>
            <w:vAlign w:val="center"/>
          </w:tcPr>
          <w:p w14:paraId="78E5A6B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本期购买金额</w:t>
            </w:r>
          </w:p>
        </w:tc>
        <w:tc>
          <w:tcPr>
            <w:tcW w:w="567" w:type="dxa"/>
            <w:shd w:val="clear" w:color="auto" w:fill="FFFFFF" w:themeFill="background1"/>
            <w:vAlign w:val="center"/>
          </w:tcPr>
          <w:p w14:paraId="1D3A756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本期出售金额</w:t>
            </w:r>
          </w:p>
        </w:tc>
        <w:tc>
          <w:tcPr>
            <w:tcW w:w="567" w:type="dxa"/>
            <w:shd w:val="clear" w:color="auto" w:fill="FFFFFF" w:themeFill="background1"/>
            <w:vAlign w:val="center"/>
          </w:tcPr>
          <w:p w14:paraId="66B6DB0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其他变动</w:t>
            </w:r>
          </w:p>
        </w:tc>
        <w:tc>
          <w:tcPr>
            <w:tcW w:w="1670" w:type="dxa"/>
            <w:shd w:val="clear" w:color="auto" w:fill="FFFFFF" w:themeFill="background1"/>
            <w:vAlign w:val="center"/>
          </w:tcPr>
          <w:p w14:paraId="0FFDFAA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期末数</w:t>
            </w:r>
          </w:p>
        </w:tc>
      </w:tr>
      <w:tr w:rsidR="00632E5B" w14:paraId="6CEC6F3C" w14:textId="77777777" w:rsidTr="00D954C5">
        <w:trPr>
          <w:trHeight w:val="240"/>
        </w:trPr>
        <w:tc>
          <w:tcPr>
            <w:tcW w:w="9639" w:type="dxa"/>
            <w:gridSpan w:val="9"/>
            <w:shd w:val="clear" w:color="auto" w:fill="FFFFFF" w:themeFill="background1"/>
            <w:vAlign w:val="center"/>
          </w:tcPr>
          <w:p w14:paraId="54EEEC4F"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金融资产</w:t>
            </w:r>
          </w:p>
        </w:tc>
      </w:tr>
      <w:tr w:rsidR="0079795F" w14:paraId="40851D41" w14:textId="77777777" w:rsidTr="00D954C5">
        <w:trPr>
          <w:trHeight w:val="240"/>
        </w:trPr>
        <w:tc>
          <w:tcPr>
            <w:tcW w:w="1071" w:type="dxa"/>
            <w:shd w:val="clear" w:color="auto" w:fill="FFFFFF" w:themeFill="background1"/>
            <w:vAlign w:val="center"/>
          </w:tcPr>
          <w:p w14:paraId="4574372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1.交易性金融资产（不含衍生金融资产）</w:t>
            </w:r>
          </w:p>
        </w:tc>
        <w:tc>
          <w:tcPr>
            <w:tcW w:w="1512" w:type="dxa"/>
            <w:shd w:val="clear" w:color="auto" w:fill="FFFFFF" w:themeFill="background1"/>
            <w:vAlign w:val="center"/>
          </w:tcPr>
          <w:p w14:paraId="16748B7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39,623,360.00</w:t>
            </w:r>
          </w:p>
        </w:tc>
        <w:tc>
          <w:tcPr>
            <w:tcW w:w="1559" w:type="dxa"/>
            <w:shd w:val="clear" w:color="auto" w:fill="FFFFFF" w:themeFill="background1"/>
            <w:vAlign w:val="center"/>
          </w:tcPr>
          <w:p w14:paraId="1016315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-10,296,860.00</w:t>
            </w:r>
          </w:p>
        </w:tc>
        <w:tc>
          <w:tcPr>
            <w:tcW w:w="1559" w:type="dxa"/>
            <w:shd w:val="clear" w:color="auto" w:fill="FFFFFF" w:themeFill="background1"/>
            <w:vAlign w:val="center"/>
          </w:tcPr>
          <w:p w14:paraId="3E6F8E6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8,569,500.00</w:t>
            </w:r>
          </w:p>
        </w:tc>
        <w:tc>
          <w:tcPr>
            <w:tcW w:w="567" w:type="dxa"/>
            <w:shd w:val="clear" w:color="auto" w:fill="FFFFFF" w:themeFill="background1"/>
            <w:vAlign w:val="center"/>
          </w:tcPr>
          <w:p w14:paraId="58B7D1CC" w14:textId="77777777" w:rsidR="00632E5B" w:rsidRDefault="00632E5B">
            <w:pPr>
              <w:spacing w:line="240" w:lineRule="exact"/>
              <w:jc w:val="right"/>
              <w:rPr>
                <w:rFonts w:ascii="宋体" w:eastAsia="宋体" w:hAnsi="宋体" w:cs="宋体" w:hint="eastAsia"/>
                <w:sz w:val="18"/>
                <w:szCs w:val="18"/>
              </w:rPr>
            </w:pPr>
          </w:p>
        </w:tc>
        <w:tc>
          <w:tcPr>
            <w:tcW w:w="567" w:type="dxa"/>
            <w:shd w:val="clear" w:color="auto" w:fill="FFFFFF" w:themeFill="background1"/>
            <w:vAlign w:val="center"/>
          </w:tcPr>
          <w:p w14:paraId="1EF87606" w14:textId="77777777" w:rsidR="00632E5B" w:rsidRDefault="00632E5B">
            <w:pPr>
              <w:spacing w:line="240" w:lineRule="exact"/>
              <w:jc w:val="right"/>
              <w:rPr>
                <w:rFonts w:ascii="宋体" w:eastAsia="宋体" w:hAnsi="宋体" w:cs="宋体" w:hint="eastAsia"/>
                <w:sz w:val="18"/>
                <w:szCs w:val="18"/>
              </w:rPr>
            </w:pPr>
          </w:p>
        </w:tc>
        <w:tc>
          <w:tcPr>
            <w:tcW w:w="567" w:type="dxa"/>
            <w:shd w:val="clear" w:color="auto" w:fill="FFFFFF" w:themeFill="background1"/>
            <w:vAlign w:val="center"/>
          </w:tcPr>
          <w:p w14:paraId="3CD481C5" w14:textId="77777777" w:rsidR="00632E5B" w:rsidRDefault="00632E5B">
            <w:pPr>
              <w:spacing w:line="240" w:lineRule="exact"/>
              <w:jc w:val="right"/>
              <w:rPr>
                <w:rFonts w:ascii="宋体" w:eastAsia="宋体" w:hAnsi="宋体" w:cs="宋体" w:hint="eastAsia"/>
                <w:sz w:val="18"/>
                <w:szCs w:val="18"/>
              </w:rPr>
            </w:pPr>
          </w:p>
        </w:tc>
        <w:tc>
          <w:tcPr>
            <w:tcW w:w="567" w:type="dxa"/>
            <w:shd w:val="clear" w:color="auto" w:fill="FFFFFF" w:themeFill="background1"/>
            <w:vAlign w:val="center"/>
          </w:tcPr>
          <w:p w14:paraId="3F83483F" w14:textId="77777777" w:rsidR="00632E5B" w:rsidRDefault="00632E5B">
            <w:pPr>
              <w:spacing w:line="240" w:lineRule="exact"/>
              <w:jc w:val="right"/>
              <w:rPr>
                <w:rFonts w:ascii="宋体" w:eastAsia="宋体" w:hAnsi="宋体" w:cs="宋体" w:hint="eastAsia"/>
                <w:sz w:val="18"/>
                <w:szCs w:val="18"/>
              </w:rPr>
            </w:pPr>
          </w:p>
        </w:tc>
        <w:tc>
          <w:tcPr>
            <w:tcW w:w="1670" w:type="dxa"/>
            <w:shd w:val="clear" w:color="auto" w:fill="FFFFFF" w:themeFill="background1"/>
            <w:vAlign w:val="center"/>
          </w:tcPr>
          <w:p w14:paraId="2A775F0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29,326,500.00</w:t>
            </w:r>
          </w:p>
        </w:tc>
      </w:tr>
      <w:tr w:rsidR="0079795F" w14:paraId="02CA4BCC" w14:textId="77777777" w:rsidTr="00D954C5">
        <w:trPr>
          <w:trHeight w:val="240"/>
        </w:trPr>
        <w:tc>
          <w:tcPr>
            <w:tcW w:w="1071" w:type="dxa"/>
            <w:shd w:val="clear" w:color="auto" w:fill="FFFFFF" w:themeFill="background1"/>
            <w:vAlign w:val="center"/>
          </w:tcPr>
          <w:p w14:paraId="4DC029AB" w14:textId="77777777" w:rsidR="0073453C" w:rsidRDefault="0073453C" w:rsidP="0073453C">
            <w:pPr>
              <w:spacing w:before="40" w:after="40" w:line="240" w:lineRule="exact"/>
              <w:rPr>
                <w:rFonts w:ascii="宋体" w:eastAsia="宋体" w:hAnsi="宋体" w:cs="宋体" w:hint="eastAsia"/>
                <w:sz w:val="18"/>
                <w:szCs w:val="18"/>
              </w:rPr>
            </w:pPr>
            <w:r>
              <w:rPr>
                <w:rFonts w:ascii="宋体" w:eastAsia="宋体" w:hAnsi="宋体" w:cs="宋体"/>
                <w:sz w:val="18"/>
                <w:szCs w:val="18"/>
              </w:rPr>
              <w:t>4.其他权益工具投资</w:t>
            </w:r>
          </w:p>
        </w:tc>
        <w:tc>
          <w:tcPr>
            <w:tcW w:w="1512" w:type="dxa"/>
            <w:shd w:val="clear" w:color="auto" w:fill="FFFFFF" w:themeFill="background1"/>
            <w:vAlign w:val="center"/>
          </w:tcPr>
          <w:p w14:paraId="600B63E7" w14:textId="77777777" w:rsidR="0073453C" w:rsidRDefault="0073453C" w:rsidP="0073453C">
            <w:pPr>
              <w:spacing w:line="240" w:lineRule="exact"/>
              <w:jc w:val="right"/>
              <w:rPr>
                <w:rFonts w:ascii="宋体" w:eastAsia="宋体" w:hAnsi="宋体" w:cs="宋体" w:hint="eastAsia"/>
                <w:sz w:val="18"/>
                <w:szCs w:val="18"/>
              </w:rPr>
            </w:pPr>
            <w:r>
              <w:rPr>
                <w:rFonts w:ascii="宋体" w:eastAsia="宋体" w:hAnsi="宋体" w:cs="宋体"/>
                <w:sz w:val="18"/>
                <w:szCs w:val="18"/>
              </w:rPr>
              <w:t>415,546,194.80</w:t>
            </w:r>
          </w:p>
        </w:tc>
        <w:tc>
          <w:tcPr>
            <w:tcW w:w="1559" w:type="dxa"/>
            <w:shd w:val="clear" w:color="auto" w:fill="FFFFFF" w:themeFill="background1"/>
            <w:vAlign w:val="center"/>
          </w:tcPr>
          <w:p w14:paraId="30048C81" w14:textId="77777777" w:rsidR="0073453C" w:rsidRDefault="0073453C" w:rsidP="0073453C">
            <w:pPr>
              <w:spacing w:line="240" w:lineRule="exact"/>
              <w:jc w:val="right"/>
              <w:rPr>
                <w:rFonts w:ascii="宋体" w:eastAsia="宋体" w:hAnsi="宋体" w:cs="宋体" w:hint="eastAsia"/>
                <w:sz w:val="18"/>
                <w:szCs w:val="18"/>
              </w:rPr>
            </w:pPr>
            <w:r>
              <w:rPr>
                <w:rFonts w:ascii="宋体" w:eastAsia="宋体" w:hAnsi="宋体" w:cs="宋体"/>
                <w:sz w:val="18"/>
                <w:szCs w:val="18"/>
              </w:rPr>
              <w:t>-382,830.04</w:t>
            </w:r>
          </w:p>
        </w:tc>
        <w:tc>
          <w:tcPr>
            <w:tcW w:w="1559" w:type="dxa"/>
            <w:shd w:val="clear" w:color="auto" w:fill="FFFFFF" w:themeFill="background1"/>
            <w:vAlign w:val="center"/>
          </w:tcPr>
          <w:p w14:paraId="398F06CF" w14:textId="6628F804" w:rsidR="0073453C" w:rsidRDefault="0073453C" w:rsidP="0073453C">
            <w:pPr>
              <w:spacing w:line="240" w:lineRule="exact"/>
              <w:jc w:val="right"/>
              <w:rPr>
                <w:rFonts w:ascii="宋体" w:eastAsia="宋体" w:hAnsi="宋体" w:cs="宋体" w:hint="eastAsia"/>
                <w:sz w:val="18"/>
                <w:szCs w:val="18"/>
              </w:rPr>
            </w:pPr>
            <w:r>
              <w:rPr>
                <w:rFonts w:ascii="宋体" w:eastAsia="宋体" w:hAnsi="宋体" w:cs="宋体" w:hint="eastAsia"/>
                <w:sz w:val="18"/>
                <w:szCs w:val="18"/>
              </w:rPr>
              <w:t>434,836,635.24</w:t>
            </w:r>
          </w:p>
        </w:tc>
        <w:tc>
          <w:tcPr>
            <w:tcW w:w="567" w:type="dxa"/>
            <w:shd w:val="clear" w:color="auto" w:fill="FFFFFF" w:themeFill="background1"/>
            <w:vAlign w:val="center"/>
          </w:tcPr>
          <w:p w14:paraId="3F04F3CA" w14:textId="77777777" w:rsidR="0073453C" w:rsidRDefault="0073453C" w:rsidP="0073453C">
            <w:pPr>
              <w:spacing w:line="240" w:lineRule="exact"/>
              <w:jc w:val="right"/>
              <w:rPr>
                <w:rFonts w:ascii="宋体" w:eastAsia="宋体" w:hAnsi="宋体" w:cs="宋体" w:hint="eastAsia"/>
                <w:sz w:val="18"/>
                <w:szCs w:val="18"/>
              </w:rPr>
            </w:pPr>
          </w:p>
        </w:tc>
        <w:tc>
          <w:tcPr>
            <w:tcW w:w="567" w:type="dxa"/>
            <w:shd w:val="clear" w:color="auto" w:fill="FFFFFF" w:themeFill="background1"/>
            <w:vAlign w:val="center"/>
          </w:tcPr>
          <w:p w14:paraId="3C0955E3" w14:textId="77777777" w:rsidR="0073453C" w:rsidRDefault="0073453C" w:rsidP="0073453C">
            <w:pPr>
              <w:spacing w:line="240" w:lineRule="exact"/>
              <w:jc w:val="right"/>
              <w:rPr>
                <w:rFonts w:ascii="宋体" w:eastAsia="宋体" w:hAnsi="宋体" w:cs="宋体" w:hint="eastAsia"/>
                <w:sz w:val="18"/>
                <w:szCs w:val="18"/>
              </w:rPr>
            </w:pPr>
          </w:p>
        </w:tc>
        <w:tc>
          <w:tcPr>
            <w:tcW w:w="567" w:type="dxa"/>
            <w:shd w:val="clear" w:color="auto" w:fill="FFFFFF" w:themeFill="background1"/>
            <w:vAlign w:val="center"/>
          </w:tcPr>
          <w:p w14:paraId="4D30C692" w14:textId="77777777" w:rsidR="0073453C" w:rsidRDefault="0073453C" w:rsidP="0073453C">
            <w:pPr>
              <w:spacing w:line="240" w:lineRule="exact"/>
              <w:jc w:val="right"/>
              <w:rPr>
                <w:rFonts w:ascii="宋体" w:eastAsia="宋体" w:hAnsi="宋体" w:cs="宋体" w:hint="eastAsia"/>
                <w:sz w:val="18"/>
                <w:szCs w:val="18"/>
              </w:rPr>
            </w:pPr>
          </w:p>
        </w:tc>
        <w:tc>
          <w:tcPr>
            <w:tcW w:w="567" w:type="dxa"/>
            <w:shd w:val="clear" w:color="auto" w:fill="FFFFFF" w:themeFill="background1"/>
            <w:vAlign w:val="center"/>
          </w:tcPr>
          <w:p w14:paraId="633EB876" w14:textId="77777777" w:rsidR="0073453C" w:rsidRDefault="0073453C" w:rsidP="0073453C">
            <w:pPr>
              <w:spacing w:line="240" w:lineRule="exact"/>
              <w:jc w:val="right"/>
              <w:rPr>
                <w:rFonts w:ascii="宋体" w:eastAsia="宋体" w:hAnsi="宋体" w:cs="宋体" w:hint="eastAsia"/>
                <w:sz w:val="18"/>
                <w:szCs w:val="18"/>
              </w:rPr>
            </w:pPr>
          </w:p>
        </w:tc>
        <w:tc>
          <w:tcPr>
            <w:tcW w:w="1670" w:type="dxa"/>
            <w:shd w:val="clear" w:color="auto" w:fill="FFFFFF" w:themeFill="background1"/>
            <w:vAlign w:val="center"/>
          </w:tcPr>
          <w:p w14:paraId="78377682" w14:textId="77777777" w:rsidR="0073453C" w:rsidRDefault="0073453C" w:rsidP="0073453C">
            <w:pPr>
              <w:spacing w:line="240" w:lineRule="exact"/>
              <w:jc w:val="right"/>
              <w:rPr>
                <w:rFonts w:ascii="宋体" w:eastAsia="宋体" w:hAnsi="宋体" w:cs="宋体" w:hint="eastAsia"/>
                <w:sz w:val="18"/>
                <w:szCs w:val="18"/>
              </w:rPr>
            </w:pPr>
            <w:r>
              <w:rPr>
                <w:rFonts w:ascii="宋体" w:eastAsia="宋体" w:hAnsi="宋体" w:cs="宋体"/>
                <w:sz w:val="18"/>
                <w:szCs w:val="18"/>
              </w:rPr>
              <w:t>415,163,364.76</w:t>
            </w:r>
          </w:p>
        </w:tc>
      </w:tr>
      <w:tr w:rsidR="0079795F" w14:paraId="61628A9C" w14:textId="77777777" w:rsidTr="00D954C5">
        <w:trPr>
          <w:trHeight w:val="240"/>
        </w:trPr>
        <w:tc>
          <w:tcPr>
            <w:tcW w:w="1071" w:type="dxa"/>
            <w:shd w:val="clear" w:color="auto" w:fill="FFFFFF" w:themeFill="background1"/>
            <w:vAlign w:val="center"/>
          </w:tcPr>
          <w:p w14:paraId="25CA7A3F" w14:textId="77777777" w:rsidR="0073453C" w:rsidRDefault="0073453C" w:rsidP="0073453C">
            <w:pPr>
              <w:spacing w:before="40" w:after="40" w:line="240" w:lineRule="exact"/>
              <w:rPr>
                <w:rFonts w:ascii="宋体" w:eastAsia="宋体" w:hAnsi="宋体" w:cs="宋体" w:hint="eastAsia"/>
                <w:sz w:val="18"/>
                <w:szCs w:val="18"/>
              </w:rPr>
            </w:pPr>
            <w:r>
              <w:rPr>
                <w:rFonts w:ascii="宋体" w:eastAsia="宋体" w:hAnsi="宋体" w:cs="宋体"/>
                <w:sz w:val="18"/>
                <w:szCs w:val="18"/>
              </w:rPr>
              <w:t>5.其他非流动金融资产</w:t>
            </w:r>
          </w:p>
        </w:tc>
        <w:tc>
          <w:tcPr>
            <w:tcW w:w="1512" w:type="dxa"/>
            <w:shd w:val="clear" w:color="auto" w:fill="FFFFFF" w:themeFill="background1"/>
            <w:vAlign w:val="center"/>
          </w:tcPr>
          <w:p w14:paraId="63C09203" w14:textId="77777777" w:rsidR="0073453C" w:rsidRDefault="0073453C" w:rsidP="0073453C">
            <w:pPr>
              <w:spacing w:line="240" w:lineRule="exact"/>
              <w:jc w:val="right"/>
              <w:rPr>
                <w:rFonts w:ascii="宋体" w:eastAsia="宋体" w:hAnsi="宋体" w:cs="宋体" w:hint="eastAsia"/>
                <w:sz w:val="18"/>
                <w:szCs w:val="18"/>
              </w:rPr>
            </w:pPr>
            <w:r>
              <w:rPr>
                <w:rFonts w:ascii="宋体" w:eastAsia="宋体" w:hAnsi="宋体" w:cs="宋体"/>
                <w:sz w:val="18"/>
                <w:szCs w:val="18"/>
              </w:rPr>
              <w:t>63,481,747.07</w:t>
            </w:r>
          </w:p>
        </w:tc>
        <w:tc>
          <w:tcPr>
            <w:tcW w:w="1559" w:type="dxa"/>
            <w:shd w:val="clear" w:color="auto" w:fill="FFFFFF" w:themeFill="background1"/>
            <w:vAlign w:val="center"/>
          </w:tcPr>
          <w:p w14:paraId="6DAE66BC" w14:textId="77777777" w:rsidR="0073453C" w:rsidRDefault="0073453C" w:rsidP="0073453C">
            <w:pPr>
              <w:spacing w:line="240" w:lineRule="exact"/>
              <w:jc w:val="right"/>
              <w:rPr>
                <w:rFonts w:ascii="宋体" w:eastAsia="宋体" w:hAnsi="宋体" w:cs="宋体" w:hint="eastAsia"/>
                <w:sz w:val="18"/>
                <w:szCs w:val="18"/>
              </w:rPr>
            </w:pPr>
            <w:r>
              <w:rPr>
                <w:rFonts w:ascii="宋体" w:eastAsia="宋体" w:hAnsi="宋体" w:cs="宋体"/>
                <w:sz w:val="18"/>
                <w:szCs w:val="18"/>
              </w:rPr>
              <w:t>-63,481,747.07</w:t>
            </w:r>
          </w:p>
        </w:tc>
        <w:tc>
          <w:tcPr>
            <w:tcW w:w="1559" w:type="dxa"/>
            <w:shd w:val="clear" w:color="auto" w:fill="FFFFFF" w:themeFill="background1"/>
            <w:vAlign w:val="center"/>
          </w:tcPr>
          <w:p w14:paraId="56A83ED8" w14:textId="6D9153EC" w:rsidR="0073453C" w:rsidRDefault="0073453C" w:rsidP="0073453C">
            <w:pPr>
              <w:spacing w:line="240" w:lineRule="exact"/>
              <w:jc w:val="right"/>
              <w:rPr>
                <w:rFonts w:ascii="宋体" w:eastAsia="宋体" w:hAnsi="宋体" w:cs="宋体" w:hint="eastAsia"/>
                <w:sz w:val="18"/>
                <w:szCs w:val="18"/>
              </w:rPr>
            </w:pPr>
            <w:r>
              <w:rPr>
                <w:rFonts w:ascii="宋体" w:eastAsia="宋体" w:hAnsi="宋体" w:cs="宋体" w:hint="eastAsia"/>
                <w:sz w:val="18"/>
                <w:szCs w:val="18"/>
              </w:rPr>
              <w:t>-32,363,790.00</w:t>
            </w:r>
          </w:p>
        </w:tc>
        <w:tc>
          <w:tcPr>
            <w:tcW w:w="567" w:type="dxa"/>
            <w:shd w:val="clear" w:color="auto" w:fill="FFFFFF" w:themeFill="background1"/>
            <w:vAlign w:val="center"/>
          </w:tcPr>
          <w:p w14:paraId="0F7FCAC0" w14:textId="77777777" w:rsidR="0073453C" w:rsidRDefault="0073453C" w:rsidP="0073453C">
            <w:pPr>
              <w:spacing w:line="240" w:lineRule="exact"/>
              <w:jc w:val="right"/>
              <w:rPr>
                <w:rFonts w:ascii="宋体" w:eastAsia="宋体" w:hAnsi="宋体" w:cs="宋体" w:hint="eastAsia"/>
                <w:sz w:val="18"/>
                <w:szCs w:val="18"/>
              </w:rPr>
            </w:pPr>
          </w:p>
        </w:tc>
        <w:tc>
          <w:tcPr>
            <w:tcW w:w="567" w:type="dxa"/>
            <w:shd w:val="clear" w:color="auto" w:fill="FFFFFF" w:themeFill="background1"/>
            <w:vAlign w:val="center"/>
          </w:tcPr>
          <w:p w14:paraId="3491D8E7" w14:textId="77777777" w:rsidR="0073453C" w:rsidRDefault="0073453C" w:rsidP="0073453C">
            <w:pPr>
              <w:spacing w:line="240" w:lineRule="exact"/>
              <w:jc w:val="right"/>
              <w:rPr>
                <w:rFonts w:ascii="宋体" w:eastAsia="宋体" w:hAnsi="宋体" w:cs="宋体" w:hint="eastAsia"/>
                <w:sz w:val="18"/>
                <w:szCs w:val="18"/>
              </w:rPr>
            </w:pPr>
          </w:p>
        </w:tc>
        <w:tc>
          <w:tcPr>
            <w:tcW w:w="567" w:type="dxa"/>
            <w:shd w:val="clear" w:color="auto" w:fill="FFFFFF" w:themeFill="background1"/>
            <w:vAlign w:val="center"/>
          </w:tcPr>
          <w:p w14:paraId="5A3AF5C0" w14:textId="77777777" w:rsidR="0073453C" w:rsidRDefault="0073453C" w:rsidP="0073453C">
            <w:pPr>
              <w:spacing w:line="240" w:lineRule="exact"/>
              <w:jc w:val="right"/>
              <w:rPr>
                <w:rFonts w:ascii="宋体" w:eastAsia="宋体" w:hAnsi="宋体" w:cs="宋体" w:hint="eastAsia"/>
                <w:sz w:val="18"/>
                <w:szCs w:val="18"/>
              </w:rPr>
            </w:pPr>
          </w:p>
        </w:tc>
        <w:tc>
          <w:tcPr>
            <w:tcW w:w="567" w:type="dxa"/>
            <w:shd w:val="clear" w:color="auto" w:fill="FFFFFF" w:themeFill="background1"/>
            <w:vAlign w:val="center"/>
          </w:tcPr>
          <w:p w14:paraId="22F2ACCE" w14:textId="77777777" w:rsidR="0073453C" w:rsidRDefault="0073453C" w:rsidP="0073453C">
            <w:pPr>
              <w:spacing w:line="240" w:lineRule="exact"/>
              <w:jc w:val="right"/>
              <w:rPr>
                <w:rFonts w:ascii="宋体" w:eastAsia="宋体" w:hAnsi="宋体" w:cs="宋体" w:hint="eastAsia"/>
                <w:sz w:val="18"/>
                <w:szCs w:val="18"/>
              </w:rPr>
            </w:pPr>
          </w:p>
        </w:tc>
        <w:tc>
          <w:tcPr>
            <w:tcW w:w="1670" w:type="dxa"/>
            <w:shd w:val="clear" w:color="auto" w:fill="FFFFFF" w:themeFill="background1"/>
            <w:vAlign w:val="center"/>
          </w:tcPr>
          <w:p w14:paraId="52DC1D72" w14:textId="77777777" w:rsidR="0073453C" w:rsidRDefault="0073453C" w:rsidP="0073453C">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r>
      <w:tr w:rsidR="0079795F" w14:paraId="27E87F01" w14:textId="77777777" w:rsidTr="00D954C5">
        <w:trPr>
          <w:trHeight w:val="240"/>
        </w:trPr>
        <w:tc>
          <w:tcPr>
            <w:tcW w:w="1071" w:type="dxa"/>
            <w:shd w:val="clear" w:color="auto" w:fill="FFFFFF" w:themeFill="background1"/>
            <w:vAlign w:val="center"/>
          </w:tcPr>
          <w:p w14:paraId="1C6C679A" w14:textId="77777777" w:rsidR="0073453C" w:rsidRDefault="0073453C" w:rsidP="0073453C">
            <w:pPr>
              <w:spacing w:before="40" w:after="40" w:line="240" w:lineRule="exact"/>
              <w:rPr>
                <w:rFonts w:ascii="宋体" w:eastAsia="宋体" w:hAnsi="宋体" w:cs="宋体" w:hint="eastAsia"/>
                <w:sz w:val="18"/>
                <w:szCs w:val="18"/>
              </w:rPr>
            </w:pPr>
            <w:r>
              <w:rPr>
                <w:rFonts w:ascii="宋体" w:eastAsia="宋体" w:hAnsi="宋体" w:cs="宋体"/>
                <w:sz w:val="18"/>
                <w:szCs w:val="18"/>
              </w:rPr>
              <w:t>金融资产小计</w:t>
            </w:r>
          </w:p>
        </w:tc>
        <w:tc>
          <w:tcPr>
            <w:tcW w:w="1512" w:type="dxa"/>
            <w:shd w:val="clear" w:color="auto" w:fill="FFFFFF" w:themeFill="background1"/>
            <w:vAlign w:val="center"/>
          </w:tcPr>
          <w:p w14:paraId="05CF4C20" w14:textId="77777777" w:rsidR="0073453C" w:rsidRDefault="0073453C" w:rsidP="0073453C">
            <w:pPr>
              <w:spacing w:line="240" w:lineRule="exact"/>
              <w:jc w:val="right"/>
              <w:rPr>
                <w:rFonts w:ascii="宋体" w:eastAsia="宋体" w:hAnsi="宋体" w:cs="宋体" w:hint="eastAsia"/>
                <w:sz w:val="18"/>
                <w:szCs w:val="18"/>
              </w:rPr>
            </w:pPr>
            <w:r>
              <w:rPr>
                <w:rFonts w:ascii="宋体" w:eastAsia="宋体" w:hAnsi="宋体" w:cs="宋体"/>
                <w:sz w:val="18"/>
                <w:szCs w:val="18"/>
              </w:rPr>
              <w:t>518,651,301.87</w:t>
            </w:r>
          </w:p>
        </w:tc>
        <w:tc>
          <w:tcPr>
            <w:tcW w:w="1559" w:type="dxa"/>
            <w:shd w:val="clear" w:color="auto" w:fill="FFFFFF" w:themeFill="background1"/>
            <w:vAlign w:val="center"/>
          </w:tcPr>
          <w:p w14:paraId="7CA81E8B" w14:textId="77777777" w:rsidR="0073453C" w:rsidRDefault="0073453C" w:rsidP="0073453C">
            <w:pPr>
              <w:spacing w:line="240" w:lineRule="exact"/>
              <w:jc w:val="right"/>
              <w:rPr>
                <w:rFonts w:ascii="宋体" w:eastAsia="宋体" w:hAnsi="宋体" w:cs="宋体" w:hint="eastAsia"/>
                <w:sz w:val="18"/>
                <w:szCs w:val="18"/>
              </w:rPr>
            </w:pPr>
            <w:r>
              <w:rPr>
                <w:rFonts w:ascii="宋体" w:eastAsia="宋体" w:hAnsi="宋体" w:cs="宋体"/>
                <w:sz w:val="18"/>
                <w:szCs w:val="18"/>
              </w:rPr>
              <w:t>-74,161,437.11</w:t>
            </w:r>
          </w:p>
        </w:tc>
        <w:tc>
          <w:tcPr>
            <w:tcW w:w="1559" w:type="dxa"/>
            <w:shd w:val="clear" w:color="auto" w:fill="FFFFFF" w:themeFill="background1"/>
            <w:vAlign w:val="center"/>
          </w:tcPr>
          <w:p w14:paraId="58A8C02B" w14:textId="647984F8" w:rsidR="0073453C" w:rsidRDefault="0073453C" w:rsidP="0073453C">
            <w:pPr>
              <w:spacing w:line="240" w:lineRule="exact"/>
              <w:jc w:val="right"/>
              <w:rPr>
                <w:rFonts w:ascii="宋体" w:eastAsia="宋体" w:hAnsi="宋体" w:cs="宋体" w:hint="eastAsia"/>
                <w:sz w:val="18"/>
                <w:szCs w:val="18"/>
              </w:rPr>
            </w:pPr>
            <w:r>
              <w:rPr>
                <w:rFonts w:ascii="宋体" w:eastAsia="宋体" w:hAnsi="宋体" w:cs="宋体" w:hint="eastAsia"/>
                <w:sz w:val="18"/>
                <w:szCs w:val="18"/>
              </w:rPr>
              <w:t>411,042,345.24</w:t>
            </w:r>
          </w:p>
        </w:tc>
        <w:tc>
          <w:tcPr>
            <w:tcW w:w="567" w:type="dxa"/>
            <w:shd w:val="clear" w:color="auto" w:fill="FFFFFF" w:themeFill="background1"/>
            <w:vAlign w:val="center"/>
          </w:tcPr>
          <w:p w14:paraId="5CE10D42" w14:textId="5ADD5E24" w:rsidR="0073453C" w:rsidRDefault="0073453C" w:rsidP="0073453C">
            <w:pPr>
              <w:spacing w:line="240" w:lineRule="exact"/>
              <w:jc w:val="right"/>
              <w:rPr>
                <w:rFonts w:ascii="宋体" w:eastAsia="宋体" w:hAnsi="宋体" w:cs="宋体" w:hint="eastAsia"/>
                <w:sz w:val="18"/>
                <w:szCs w:val="18"/>
              </w:rPr>
            </w:pPr>
          </w:p>
        </w:tc>
        <w:tc>
          <w:tcPr>
            <w:tcW w:w="567" w:type="dxa"/>
            <w:shd w:val="clear" w:color="auto" w:fill="FFFFFF" w:themeFill="background1"/>
            <w:vAlign w:val="center"/>
          </w:tcPr>
          <w:p w14:paraId="40C67C6F" w14:textId="797181FC" w:rsidR="0073453C" w:rsidRDefault="0073453C" w:rsidP="0073453C">
            <w:pPr>
              <w:spacing w:line="240" w:lineRule="exact"/>
              <w:jc w:val="right"/>
              <w:rPr>
                <w:rFonts w:ascii="宋体" w:eastAsia="宋体" w:hAnsi="宋体" w:cs="宋体" w:hint="eastAsia"/>
                <w:sz w:val="18"/>
                <w:szCs w:val="18"/>
              </w:rPr>
            </w:pPr>
          </w:p>
        </w:tc>
        <w:tc>
          <w:tcPr>
            <w:tcW w:w="567" w:type="dxa"/>
            <w:shd w:val="clear" w:color="auto" w:fill="FFFFFF" w:themeFill="background1"/>
            <w:vAlign w:val="center"/>
          </w:tcPr>
          <w:p w14:paraId="19A097E7" w14:textId="1294AADE" w:rsidR="0073453C" w:rsidRDefault="0073453C" w:rsidP="0073453C">
            <w:pPr>
              <w:spacing w:line="240" w:lineRule="exact"/>
              <w:jc w:val="right"/>
              <w:rPr>
                <w:rFonts w:ascii="宋体" w:eastAsia="宋体" w:hAnsi="宋体" w:cs="宋体" w:hint="eastAsia"/>
                <w:sz w:val="18"/>
                <w:szCs w:val="18"/>
              </w:rPr>
            </w:pPr>
          </w:p>
        </w:tc>
        <w:tc>
          <w:tcPr>
            <w:tcW w:w="567" w:type="dxa"/>
            <w:shd w:val="clear" w:color="auto" w:fill="FFFFFF" w:themeFill="background1"/>
            <w:vAlign w:val="center"/>
          </w:tcPr>
          <w:p w14:paraId="40F029C6" w14:textId="6C6BC61C" w:rsidR="0073453C" w:rsidRDefault="0073453C" w:rsidP="0073453C">
            <w:pPr>
              <w:spacing w:line="240" w:lineRule="exact"/>
              <w:jc w:val="right"/>
              <w:rPr>
                <w:rFonts w:ascii="宋体" w:eastAsia="宋体" w:hAnsi="宋体" w:cs="宋体" w:hint="eastAsia"/>
                <w:sz w:val="18"/>
                <w:szCs w:val="18"/>
              </w:rPr>
            </w:pPr>
          </w:p>
        </w:tc>
        <w:tc>
          <w:tcPr>
            <w:tcW w:w="1670" w:type="dxa"/>
            <w:shd w:val="clear" w:color="auto" w:fill="FFFFFF" w:themeFill="background1"/>
            <w:vAlign w:val="center"/>
          </w:tcPr>
          <w:p w14:paraId="587F54E3" w14:textId="77777777" w:rsidR="0073453C" w:rsidRDefault="0073453C" w:rsidP="0073453C">
            <w:pPr>
              <w:spacing w:line="240" w:lineRule="exact"/>
              <w:jc w:val="right"/>
              <w:rPr>
                <w:rFonts w:ascii="宋体" w:eastAsia="宋体" w:hAnsi="宋体" w:cs="宋体" w:hint="eastAsia"/>
                <w:sz w:val="18"/>
                <w:szCs w:val="18"/>
              </w:rPr>
            </w:pPr>
            <w:r>
              <w:rPr>
                <w:rFonts w:ascii="宋体" w:eastAsia="宋体" w:hAnsi="宋体" w:cs="宋体"/>
                <w:sz w:val="18"/>
                <w:szCs w:val="18"/>
              </w:rPr>
              <w:t>444,489,864.76</w:t>
            </w:r>
          </w:p>
        </w:tc>
      </w:tr>
      <w:tr w:rsidR="0079795F" w14:paraId="1665D02F" w14:textId="77777777" w:rsidTr="00D954C5">
        <w:trPr>
          <w:trHeight w:val="240"/>
        </w:trPr>
        <w:tc>
          <w:tcPr>
            <w:tcW w:w="1071" w:type="dxa"/>
            <w:shd w:val="clear" w:color="auto" w:fill="FFFFFF" w:themeFill="background1"/>
            <w:vAlign w:val="center"/>
          </w:tcPr>
          <w:p w14:paraId="1D5D0A7A" w14:textId="77777777" w:rsidR="0073453C" w:rsidRDefault="0073453C" w:rsidP="0073453C">
            <w:pPr>
              <w:spacing w:before="40" w:after="40" w:line="240" w:lineRule="exact"/>
              <w:rPr>
                <w:rFonts w:ascii="宋体" w:eastAsia="宋体" w:hAnsi="宋体" w:cs="宋体" w:hint="eastAsia"/>
                <w:sz w:val="18"/>
                <w:szCs w:val="18"/>
              </w:rPr>
            </w:pPr>
            <w:r>
              <w:rPr>
                <w:rFonts w:ascii="宋体" w:eastAsia="宋体" w:hAnsi="宋体" w:cs="宋体"/>
                <w:sz w:val="18"/>
                <w:szCs w:val="18"/>
              </w:rPr>
              <w:t>上述合计</w:t>
            </w:r>
          </w:p>
        </w:tc>
        <w:tc>
          <w:tcPr>
            <w:tcW w:w="1512" w:type="dxa"/>
            <w:shd w:val="clear" w:color="auto" w:fill="FFFFFF" w:themeFill="background1"/>
            <w:vAlign w:val="center"/>
          </w:tcPr>
          <w:p w14:paraId="1567BE3E" w14:textId="77777777" w:rsidR="0073453C" w:rsidRDefault="0073453C" w:rsidP="0073453C">
            <w:pPr>
              <w:spacing w:line="240" w:lineRule="exact"/>
              <w:jc w:val="right"/>
              <w:rPr>
                <w:rFonts w:ascii="宋体" w:eastAsia="宋体" w:hAnsi="宋体" w:cs="宋体" w:hint="eastAsia"/>
                <w:sz w:val="18"/>
                <w:szCs w:val="18"/>
              </w:rPr>
            </w:pPr>
            <w:r>
              <w:rPr>
                <w:rFonts w:ascii="宋体" w:eastAsia="宋体" w:hAnsi="宋体" w:cs="宋体"/>
                <w:sz w:val="18"/>
                <w:szCs w:val="18"/>
              </w:rPr>
              <w:t>518,651,301.87</w:t>
            </w:r>
          </w:p>
        </w:tc>
        <w:tc>
          <w:tcPr>
            <w:tcW w:w="1559" w:type="dxa"/>
            <w:shd w:val="clear" w:color="auto" w:fill="FFFFFF" w:themeFill="background1"/>
            <w:vAlign w:val="center"/>
          </w:tcPr>
          <w:p w14:paraId="47FA14C8" w14:textId="77777777" w:rsidR="0073453C" w:rsidRDefault="0073453C" w:rsidP="0073453C">
            <w:pPr>
              <w:spacing w:line="240" w:lineRule="exact"/>
              <w:jc w:val="right"/>
              <w:rPr>
                <w:rFonts w:ascii="宋体" w:eastAsia="宋体" w:hAnsi="宋体" w:cs="宋体" w:hint="eastAsia"/>
                <w:sz w:val="18"/>
                <w:szCs w:val="18"/>
              </w:rPr>
            </w:pPr>
            <w:r>
              <w:rPr>
                <w:rFonts w:ascii="宋体" w:eastAsia="宋体" w:hAnsi="宋体" w:cs="宋体"/>
                <w:sz w:val="18"/>
                <w:szCs w:val="18"/>
              </w:rPr>
              <w:t>-74,161,437.11</w:t>
            </w:r>
          </w:p>
        </w:tc>
        <w:tc>
          <w:tcPr>
            <w:tcW w:w="1559" w:type="dxa"/>
            <w:shd w:val="clear" w:color="auto" w:fill="FFFFFF" w:themeFill="background1"/>
            <w:vAlign w:val="center"/>
          </w:tcPr>
          <w:p w14:paraId="5FFC28B4" w14:textId="16A99B7B" w:rsidR="0073453C" w:rsidRDefault="0073453C" w:rsidP="0073453C">
            <w:pPr>
              <w:spacing w:line="240" w:lineRule="exact"/>
              <w:jc w:val="right"/>
              <w:rPr>
                <w:rFonts w:ascii="宋体" w:eastAsia="宋体" w:hAnsi="宋体" w:cs="宋体" w:hint="eastAsia"/>
                <w:sz w:val="18"/>
                <w:szCs w:val="18"/>
              </w:rPr>
            </w:pPr>
            <w:r>
              <w:rPr>
                <w:rFonts w:ascii="宋体" w:eastAsia="宋体" w:hAnsi="宋体" w:cs="宋体" w:hint="eastAsia"/>
                <w:kern w:val="0"/>
                <w:sz w:val="18"/>
                <w:szCs w:val="18"/>
              </w:rPr>
              <w:t>411,042,345.24</w:t>
            </w:r>
          </w:p>
        </w:tc>
        <w:tc>
          <w:tcPr>
            <w:tcW w:w="567" w:type="dxa"/>
            <w:shd w:val="clear" w:color="auto" w:fill="FFFFFF" w:themeFill="background1"/>
            <w:vAlign w:val="center"/>
          </w:tcPr>
          <w:p w14:paraId="67B25861" w14:textId="51407183" w:rsidR="0073453C" w:rsidRDefault="0073453C" w:rsidP="0073453C">
            <w:pPr>
              <w:spacing w:line="240" w:lineRule="exact"/>
              <w:jc w:val="right"/>
              <w:rPr>
                <w:rFonts w:ascii="宋体" w:eastAsia="宋体" w:hAnsi="宋体" w:cs="宋体" w:hint="eastAsia"/>
                <w:sz w:val="18"/>
                <w:szCs w:val="18"/>
              </w:rPr>
            </w:pPr>
          </w:p>
        </w:tc>
        <w:tc>
          <w:tcPr>
            <w:tcW w:w="567" w:type="dxa"/>
            <w:shd w:val="clear" w:color="auto" w:fill="FFFFFF" w:themeFill="background1"/>
            <w:vAlign w:val="center"/>
          </w:tcPr>
          <w:p w14:paraId="3FF57D05" w14:textId="15C8BE7D" w:rsidR="0073453C" w:rsidRDefault="0073453C" w:rsidP="0073453C">
            <w:pPr>
              <w:spacing w:line="240" w:lineRule="exact"/>
              <w:jc w:val="right"/>
              <w:rPr>
                <w:rFonts w:ascii="宋体" w:eastAsia="宋体" w:hAnsi="宋体" w:cs="宋体" w:hint="eastAsia"/>
                <w:sz w:val="18"/>
                <w:szCs w:val="18"/>
              </w:rPr>
            </w:pPr>
          </w:p>
        </w:tc>
        <w:tc>
          <w:tcPr>
            <w:tcW w:w="567" w:type="dxa"/>
            <w:shd w:val="clear" w:color="auto" w:fill="FFFFFF" w:themeFill="background1"/>
            <w:vAlign w:val="center"/>
          </w:tcPr>
          <w:p w14:paraId="47CA055A" w14:textId="68B57EA7" w:rsidR="0073453C" w:rsidRDefault="0073453C" w:rsidP="0073453C">
            <w:pPr>
              <w:spacing w:line="240" w:lineRule="exact"/>
              <w:jc w:val="right"/>
              <w:rPr>
                <w:rFonts w:ascii="宋体" w:eastAsia="宋体" w:hAnsi="宋体" w:cs="宋体" w:hint="eastAsia"/>
                <w:sz w:val="18"/>
                <w:szCs w:val="18"/>
              </w:rPr>
            </w:pPr>
          </w:p>
        </w:tc>
        <w:tc>
          <w:tcPr>
            <w:tcW w:w="567" w:type="dxa"/>
            <w:shd w:val="clear" w:color="auto" w:fill="FFFFFF" w:themeFill="background1"/>
            <w:vAlign w:val="center"/>
          </w:tcPr>
          <w:p w14:paraId="2C3C340D" w14:textId="7D9C1A9A" w:rsidR="0073453C" w:rsidRDefault="0073453C" w:rsidP="0073453C">
            <w:pPr>
              <w:spacing w:line="240" w:lineRule="exact"/>
              <w:jc w:val="right"/>
              <w:rPr>
                <w:rFonts w:ascii="宋体" w:eastAsia="宋体" w:hAnsi="宋体" w:cs="宋体" w:hint="eastAsia"/>
                <w:sz w:val="18"/>
                <w:szCs w:val="18"/>
              </w:rPr>
            </w:pPr>
          </w:p>
        </w:tc>
        <w:tc>
          <w:tcPr>
            <w:tcW w:w="1670" w:type="dxa"/>
            <w:shd w:val="clear" w:color="auto" w:fill="FFFFFF" w:themeFill="background1"/>
            <w:vAlign w:val="center"/>
          </w:tcPr>
          <w:p w14:paraId="1CA58ED9" w14:textId="77777777" w:rsidR="0073453C" w:rsidRDefault="0073453C" w:rsidP="0073453C">
            <w:pPr>
              <w:spacing w:line="240" w:lineRule="exact"/>
              <w:jc w:val="right"/>
              <w:rPr>
                <w:rFonts w:ascii="宋体" w:eastAsia="宋体" w:hAnsi="宋体" w:cs="宋体" w:hint="eastAsia"/>
                <w:sz w:val="18"/>
                <w:szCs w:val="18"/>
              </w:rPr>
            </w:pPr>
            <w:r>
              <w:rPr>
                <w:rFonts w:ascii="宋体" w:eastAsia="宋体" w:hAnsi="宋体" w:cs="宋体"/>
                <w:sz w:val="18"/>
                <w:szCs w:val="18"/>
              </w:rPr>
              <w:t>444,489,864.76</w:t>
            </w:r>
          </w:p>
        </w:tc>
      </w:tr>
      <w:tr w:rsidR="0079795F" w14:paraId="7B259764" w14:textId="77777777" w:rsidTr="00D954C5">
        <w:trPr>
          <w:trHeight w:val="240"/>
        </w:trPr>
        <w:tc>
          <w:tcPr>
            <w:tcW w:w="1071" w:type="dxa"/>
            <w:shd w:val="clear" w:color="auto" w:fill="FFFFFF" w:themeFill="background1"/>
            <w:vAlign w:val="center"/>
          </w:tcPr>
          <w:p w14:paraId="5AF05B23" w14:textId="77777777" w:rsidR="0073453C" w:rsidRDefault="0073453C" w:rsidP="0073453C">
            <w:pPr>
              <w:spacing w:before="40" w:after="40" w:line="240" w:lineRule="exact"/>
              <w:rPr>
                <w:rFonts w:ascii="宋体" w:eastAsia="宋体" w:hAnsi="宋体" w:cs="宋体" w:hint="eastAsia"/>
                <w:sz w:val="18"/>
                <w:szCs w:val="18"/>
              </w:rPr>
            </w:pPr>
            <w:r>
              <w:rPr>
                <w:rFonts w:ascii="宋体" w:eastAsia="宋体" w:hAnsi="宋体" w:cs="宋体"/>
                <w:sz w:val="18"/>
                <w:szCs w:val="18"/>
              </w:rPr>
              <w:t>金融负债</w:t>
            </w:r>
          </w:p>
        </w:tc>
        <w:tc>
          <w:tcPr>
            <w:tcW w:w="1512" w:type="dxa"/>
            <w:shd w:val="clear" w:color="auto" w:fill="FFFFFF" w:themeFill="background1"/>
            <w:vAlign w:val="center"/>
          </w:tcPr>
          <w:p w14:paraId="51E5332B" w14:textId="77777777" w:rsidR="0073453C" w:rsidRDefault="0073453C" w:rsidP="0073453C">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1559" w:type="dxa"/>
            <w:shd w:val="clear" w:color="auto" w:fill="FFFFFF" w:themeFill="background1"/>
            <w:vAlign w:val="center"/>
          </w:tcPr>
          <w:p w14:paraId="60E8D036" w14:textId="77777777" w:rsidR="0073453C" w:rsidRDefault="0073453C" w:rsidP="0073453C">
            <w:pPr>
              <w:spacing w:line="240" w:lineRule="exact"/>
              <w:jc w:val="right"/>
              <w:rPr>
                <w:rFonts w:ascii="宋体" w:eastAsia="宋体" w:hAnsi="宋体" w:cs="宋体" w:hint="eastAsia"/>
                <w:sz w:val="18"/>
                <w:szCs w:val="18"/>
              </w:rPr>
            </w:pPr>
          </w:p>
        </w:tc>
        <w:tc>
          <w:tcPr>
            <w:tcW w:w="1559" w:type="dxa"/>
            <w:shd w:val="clear" w:color="auto" w:fill="FFFFFF" w:themeFill="background1"/>
            <w:vAlign w:val="center"/>
          </w:tcPr>
          <w:p w14:paraId="5E888E6B" w14:textId="77777777" w:rsidR="0073453C" w:rsidRDefault="0073453C" w:rsidP="0073453C">
            <w:pPr>
              <w:spacing w:line="240" w:lineRule="exact"/>
              <w:jc w:val="right"/>
              <w:rPr>
                <w:rFonts w:ascii="宋体" w:eastAsia="宋体" w:hAnsi="宋体" w:cs="宋体" w:hint="eastAsia"/>
                <w:sz w:val="18"/>
                <w:szCs w:val="18"/>
              </w:rPr>
            </w:pPr>
          </w:p>
        </w:tc>
        <w:tc>
          <w:tcPr>
            <w:tcW w:w="567" w:type="dxa"/>
            <w:shd w:val="clear" w:color="auto" w:fill="FFFFFF" w:themeFill="background1"/>
            <w:vAlign w:val="center"/>
          </w:tcPr>
          <w:p w14:paraId="37CC80CE" w14:textId="77777777" w:rsidR="0073453C" w:rsidRDefault="0073453C" w:rsidP="0073453C">
            <w:pPr>
              <w:spacing w:line="240" w:lineRule="exact"/>
              <w:jc w:val="right"/>
              <w:rPr>
                <w:rFonts w:ascii="宋体" w:eastAsia="宋体" w:hAnsi="宋体" w:cs="宋体" w:hint="eastAsia"/>
                <w:sz w:val="18"/>
                <w:szCs w:val="18"/>
              </w:rPr>
            </w:pPr>
          </w:p>
        </w:tc>
        <w:tc>
          <w:tcPr>
            <w:tcW w:w="567" w:type="dxa"/>
            <w:shd w:val="clear" w:color="auto" w:fill="FFFFFF" w:themeFill="background1"/>
            <w:vAlign w:val="center"/>
          </w:tcPr>
          <w:p w14:paraId="3B7621D3" w14:textId="77777777" w:rsidR="0073453C" w:rsidRDefault="0073453C" w:rsidP="0073453C">
            <w:pPr>
              <w:spacing w:line="240" w:lineRule="exact"/>
              <w:jc w:val="right"/>
              <w:rPr>
                <w:rFonts w:ascii="宋体" w:eastAsia="宋体" w:hAnsi="宋体" w:cs="宋体" w:hint="eastAsia"/>
                <w:sz w:val="18"/>
                <w:szCs w:val="18"/>
              </w:rPr>
            </w:pPr>
          </w:p>
        </w:tc>
        <w:tc>
          <w:tcPr>
            <w:tcW w:w="567" w:type="dxa"/>
            <w:shd w:val="clear" w:color="auto" w:fill="FFFFFF" w:themeFill="background1"/>
            <w:vAlign w:val="center"/>
          </w:tcPr>
          <w:p w14:paraId="3DFC5DF7" w14:textId="77777777" w:rsidR="0073453C" w:rsidRDefault="0073453C" w:rsidP="0073453C">
            <w:pPr>
              <w:spacing w:line="240" w:lineRule="exact"/>
              <w:jc w:val="right"/>
              <w:rPr>
                <w:rFonts w:ascii="宋体" w:eastAsia="宋体" w:hAnsi="宋体" w:cs="宋体" w:hint="eastAsia"/>
                <w:sz w:val="18"/>
                <w:szCs w:val="18"/>
              </w:rPr>
            </w:pPr>
          </w:p>
        </w:tc>
        <w:tc>
          <w:tcPr>
            <w:tcW w:w="567" w:type="dxa"/>
            <w:shd w:val="clear" w:color="auto" w:fill="FFFFFF" w:themeFill="background1"/>
            <w:vAlign w:val="center"/>
          </w:tcPr>
          <w:p w14:paraId="15AD9D0E" w14:textId="77777777" w:rsidR="0073453C" w:rsidRDefault="0073453C" w:rsidP="0073453C">
            <w:pPr>
              <w:spacing w:line="240" w:lineRule="exact"/>
              <w:jc w:val="right"/>
              <w:rPr>
                <w:rFonts w:ascii="宋体" w:eastAsia="宋体" w:hAnsi="宋体" w:cs="宋体" w:hint="eastAsia"/>
                <w:sz w:val="18"/>
                <w:szCs w:val="18"/>
              </w:rPr>
            </w:pPr>
          </w:p>
        </w:tc>
        <w:tc>
          <w:tcPr>
            <w:tcW w:w="1670" w:type="dxa"/>
            <w:shd w:val="clear" w:color="auto" w:fill="FFFFFF" w:themeFill="background1"/>
            <w:vAlign w:val="center"/>
          </w:tcPr>
          <w:p w14:paraId="406EF123" w14:textId="77777777" w:rsidR="0073453C" w:rsidRDefault="0073453C" w:rsidP="0073453C">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r>
    </w:tbl>
    <w:p w14:paraId="6C2DC2B3"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其他变动的内容</w:t>
      </w:r>
    </w:p>
    <w:p w14:paraId="3293321B" w14:textId="77777777" w:rsidR="00E72F0C" w:rsidRPr="008109AC" w:rsidRDefault="00107901" w:rsidP="008109AC">
      <w:pPr>
        <w:pStyle w:val="a3"/>
        <w:spacing w:before="0" w:beforeAutospacing="0" w:after="0" w:afterAutospacing="0" w:line="360" w:lineRule="auto"/>
        <w:divId w:val="837424532"/>
        <w:rPr>
          <w:rFonts w:hint="eastAsia"/>
          <w:sz w:val="21"/>
          <w:szCs w:val="18"/>
        </w:rPr>
      </w:pPr>
      <w:r w:rsidRPr="008109AC">
        <w:rPr>
          <w:rFonts w:hint="eastAsia"/>
          <w:sz w:val="21"/>
          <w:szCs w:val="18"/>
        </w:rPr>
        <w:t>无。</w:t>
      </w:r>
    </w:p>
    <w:p w14:paraId="53F610FF"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报告期内公司主要资产计量属性是否发生重大变化</w:t>
      </w:r>
    </w:p>
    <w:p w14:paraId="21F6E2A7"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1761D63F" w14:textId="77777777" w:rsidR="00632E5B" w:rsidRDefault="00107901">
      <w:pPr>
        <w:pStyle w:val="3"/>
        <w:spacing w:line="280" w:lineRule="exact"/>
        <w:jc w:val="left"/>
        <w:rPr>
          <w:rFonts w:ascii="宋体" w:hAnsi="宋体" w:cs="宋体" w:hint="eastAsia"/>
          <w:b/>
          <w:bCs/>
        </w:rPr>
      </w:pPr>
      <w:bookmarkStart w:id="35" w:name="_Toc988924"/>
      <w:r>
        <w:rPr>
          <w:rFonts w:ascii="宋体" w:hAnsi="宋体" w:cs="宋体"/>
          <w:b/>
          <w:bCs/>
        </w:rPr>
        <w:t>3、截至报告期末的资产权利受限情况</w:t>
      </w:r>
      <w:bookmarkEnd w:id="35"/>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0"/>
        <w:gridCol w:w="1656"/>
        <w:gridCol w:w="1700"/>
        <w:gridCol w:w="1404"/>
        <w:gridCol w:w="2894"/>
      </w:tblGrid>
      <w:tr w:rsidR="00E72F0C" w:rsidRPr="00DE4098" w14:paraId="1A3CD430" w14:textId="77777777" w:rsidTr="00D954C5">
        <w:trPr>
          <w:divId w:val="2104301303"/>
          <w:trHeight w:val="357"/>
          <w:tblHeader/>
        </w:trPr>
        <w:tc>
          <w:tcPr>
            <w:tcW w:w="1980" w:type="dxa"/>
            <w:tcMar>
              <w:top w:w="0" w:type="dxa"/>
              <w:left w:w="108" w:type="dxa"/>
              <w:bottom w:w="0" w:type="dxa"/>
              <w:right w:w="108" w:type="dxa"/>
            </w:tcMar>
            <w:vAlign w:val="center"/>
            <w:hideMark/>
          </w:tcPr>
          <w:p w14:paraId="1F64DD7F" w14:textId="77777777" w:rsidR="00E72F0C" w:rsidRPr="00DE4098" w:rsidRDefault="00107901">
            <w:pPr>
              <w:pStyle w:val="a3"/>
              <w:spacing w:before="0" w:beforeAutospacing="0" w:after="0" w:afterAutospacing="0" w:line="360" w:lineRule="atLeast"/>
              <w:ind w:right="-61"/>
              <w:jc w:val="center"/>
              <w:rPr>
                <w:rFonts w:asciiTheme="minorEastAsia" w:eastAsiaTheme="minorEastAsia" w:hAnsiTheme="minorEastAsia" w:cs="Times New Roman" w:hint="eastAsia"/>
                <w:sz w:val="18"/>
                <w:szCs w:val="18"/>
              </w:rPr>
            </w:pPr>
            <w:r w:rsidRPr="00DE4098">
              <w:rPr>
                <w:rFonts w:asciiTheme="minorEastAsia" w:eastAsiaTheme="minorEastAsia" w:hAnsiTheme="minorEastAsia" w:cs="Times New Roman" w:hint="eastAsia"/>
                <w:sz w:val="18"/>
                <w:szCs w:val="18"/>
              </w:rPr>
              <w:t>资产类别</w:t>
            </w:r>
          </w:p>
        </w:tc>
        <w:tc>
          <w:tcPr>
            <w:tcW w:w="1656" w:type="dxa"/>
            <w:tcMar>
              <w:top w:w="0" w:type="dxa"/>
              <w:left w:w="108" w:type="dxa"/>
              <w:bottom w:w="0" w:type="dxa"/>
              <w:right w:w="108" w:type="dxa"/>
            </w:tcMar>
            <w:vAlign w:val="center"/>
            <w:hideMark/>
          </w:tcPr>
          <w:p w14:paraId="7B9203DC" w14:textId="77777777" w:rsidR="00E72F0C" w:rsidRPr="00DE4098" w:rsidRDefault="00107901">
            <w:pPr>
              <w:pStyle w:val="a3"/>
              <w:spacing w:before="0" w:beforeAutospacing="0" w:after="0" w:afterAutospacing="0" w:line="360" w:lineRule="atLeast"/>
              <w:ind w:right="-61"/>
              <w:jc w:val="center"/>
              <w:rPr>
                <w:rFonts w:asciiTheme="minorEastAsia" w:eastAsiaTheme="minorEastAsia" w:hAnsiTheme="minorEastAsia" w:cs="Times New Roman" w:hint="eastAsia"/>
                <w:sz w:val="18"/>
                <w:szCs w:val="18"/>
              </w:rPr>
            </w:pPr>
            <w:r w:rsidRPr="00DE4098">
              <w:rPr>
                <w:rFonts w:asciiTheme="minorEastAsia" w:eastAsiaTheme="minorEastAsia" w:hAnsiTheme="minorEastAsia" w:cs="Times New Roman" w:hint="eastAsia"/>
                <w:sz w:val="18"/>
                <w:szCs w:val="18"/>
              </w:rPr>
              <w:t>期末账面余额</w:t>
            </w:r>
          </w:p>
        </w:tc>
        <w:tc>
          <w:tcPr>
            <w:tcW w:w="1700" w:type="dxa"/>
            <w:tcMar>
              <w:top w:w="0" w:type="dxa"/>
              <w:left w:w="108" w:type="dxa"/>
              <w:bottom w:w="0" w:type="dxa"/>
              <w:right w:w="108" w:type="dxa"/>
            </w:tcMar>
            <w:vAlign w:val="center"/>
            <w:hideMark/>
          </w:tcPr>
          <w:p w14:paraId="2BAB0E00" w14:textId="77777777" w:rsidR="00E72F0C" w:rsidRPr="00DE4098" w:rsidRDefault="00107901">
            <w:pPr>
              <w:pStyle w:val="a3"/>
              <w:spacing w:before="0" w:beforeAutospacing="0" w:after="0" w:afterAutospacing="0" w:line="360" w:lineRule="atLeast"/>
              <w:ind w:right="-61"/>
              <w:jc w:val="center"/>
              <w:rPr>
                <w:rFonts w:asciiTheme="minorEastAsia" w:eastAsiaTheme="minorEastAsia" w:hAnsiTheme="minorEastAsia" w:cs="Times New Roman" w:hint="eastAsia"/>
                <w:sz w:val="18"/>
                <w:szCs w:val="18"/>
              </w:rPr>
            </w:pPr>
            <w:r w:rsidRPr="00DE4098">
              <w:rPr>
                <w:rFonts w:asciiTheme="minorEastAsia" w:eastAsiaTheme="minorEastAsia" w:hAnsiTheme="minorEastAsia" w:cs="Times New Roman" w:hint="eastAsia"/>
                <w:sz w:val="18"/>
                <w:szCs w:val="18"/>
              </w:rPr>
              <w:t>期末账面价值</w:t>
            </w:r>
          </w:p>
        </w:tc>
        <w:tc>
          <w:tcPr>
            <w:tcW w:w="1404" w:type="dxa"/>
            <w:tcMar>
              <w:top w:w="0" w:type="dxa"/>
              <w:left w:w="108" w:type="dxa"/>
              <w:bottom w:w="0" w:type="dxa"/>
              <w:right w:w="108" w:type="dxa"/>
            </w:tcMar>
            <w:vAlign w:val="center"/>
            <w:hideMark/>
          </w:tcPr>
          <w:p w14:paraId="5C44F23C" w14:textId="77777777" w:rsidR="00E72F0C" w:rsidRPr="00DE4098" w:rsidRDefault="00107901">
            <w:pPr>
              <w:pStyle w:val="a3"/>
              <w:spacing w:before="0" w:beforeAutospacing="0" w:after="0" w:afterAutospacing="0" w:line="360" w:lineRule="atLeast"/>
              <w:ind w:right="-61"/>
              <w:jc w:val="center"/>
              <w:rPr>
                <w:rFonts w:asciiTheme="minorEastAsia" w:eastAsiaTheme="minorEastAsia" w:hAnsiTheme="minorEastAsia" w:cs="Times New Roman" w:hint="eastAsia"/>
                <w:sz w:val="18"/>
                <w:szCs w:val="18"/>
              </w:rPr>
            </w:pPr>
            <w:r w:rsidRPr="00DE4098">
              <w:rPr>
                <w:rFonts w:asciiTheme="minorEastAsia" w:eastAsiaTheme="minorEastAsia" w:hAnsiTheme="minorEastAsia" w:cs="Times New Roman" w:hint="eastAsia"/>
                <w:sz w:val="18"/>
                <w:szCs w:val="18"/>
              </w:rPr>
              <w:t>受限类型</w:t>
            </w:r>
          </w:p>
        </w:tc>
        <w:tc>
          <w:tcPr>
            <w:tcW w:w="2894" w:type="dxa"/>
            <w:tcMar>
              <w:top w:w="0" w:type="dxa"/>
              <w:left w:w="108" w:type="dxa"/>
              <w:bottom w:w="0" w:type="dxa"/>
              <w:right w:w="108" w:type="dxa"/>
            </w:tcMar>
            <w:vAlign w:val="center"/>
            <w:hideMark/>
          </w:tcPr>
          <w:p w14:paraId="5C0DD8A3" w14:textId="77777777" w:rsidR="00E72F0C" w:rsidRPr="00DE4098" w:rsidRDefault="00107901">
            <w:pPr>
              <w:pStyle w:val="a3"/>
              <w:spacing w:before="0" w:beforeAutospacing="0" w:after="0" w:afterAutospacing="0" w:line="360" w:lineRule="atLeast"/>
              <w:ind w:right="-61"/>
              <w:jc w:val="center"/>
              <w:rPr>
                <w:rFonts w:asciiTheme="minorEastAsia" w:eastAsiaTheme="minorEastAsia" w:hAnsiTheme="minorEastAsia" w:cs="Times New Roman" w:hint="eastAsia"/>
                <w:sz w:val="18"/>
                <w:szCs w:val="18"/>
              </w:rPr>
            </w:pPr>
            <w:r w:rsidRPr="00DE4098">
              <w:rPr>
                <w:rFonts w:asciiTheme="minorEastAsia" w:eastAsiaTheme="minorEastAsia" w:hAnsiTheme="minorEastAsia" w:cs="Times New Roman" w:hint="eastAsia"/>
                <w:sz w:val="18"/>
                <w:szCs w:val="18"/>
              </w:rPr>
              <w:t>受限情况</w:t>
            </w:r>
          </w:p>
        </w:tc>
      </w:tr>
      <w:tr w:rsidR="00E72F0C" w:rsidRPr="00DE4098" w14:paraId="161EBC2D" w14:textId="77777777" w:rsidTr="00D954C5">
        <w:trPr>
          <w:divId w:val="2104301303"/>
          <w:trHeight w:val="846"/>
        </w:trPr>
        <w:tc>
          <w:tcPr>
            <w:tcW w:w="1980" w:type="dxa"/>
            <w:tcMar>
              <w:top w:w="0" w:type="dxa"/>
              <w:left w:w="108" w:type="dxa"/>
              <w:bottom w:w="0" w:type="dxa"/>
              <w:right w:w="108" w:type="dxa"/>
            </w:tcMar>
            <w:vAlign w:val="center"/>
            <w:hideMark/>
          </w:tcPr>
          <w:p w14:paraId="2AA4E94A" w14:textId="77777777" w:rsidR="00E72F0C" w:rsidRPr="00DE4098" w:rsidRDefault="00107901">
            <w:pPr>
              <w:pStyle w:val="a3"/>
              <w:spacing w:before="0" w:beforeAutospacing="0" w:after="0" w:afterAutospacing="0" w:line="360" w:lineRule="atLeast"/>
              <w:ind w:right="-61"/>
              <w:jc w:val="center"/>
              <w:rPr>
                <w:rFonts w:asciiTheme="minorEastAsia" w:eastAsiaTheme="minorEastAsia" w:hAnsiTheme="minorEastAsia" w:cs="Times New Roman" w:hint="eastAsia"/>
                <w:sz w:val="18"/>
                <w:szCs w:val="18"/>
              </w:rPr>
            </w:pPr>
            <w:r w:rsidRPr="00DE4098">
              <w:rPr>
                <w:rFonts w:asciiTheme="minorEastAsia" w:eastAsiaTheme="minorEastAsia" w:hAnsiTheme="minorEastAsia" w:cs="Times New Roman" w:hint="eastAsia"/>
                <w:sz w:val="18"/>
                <w:szCs w:val="18"/>
              </w:rPr>
              <w:t>货币资金</w:t>
            </w:r>
          </w:p>
        </w:tc>
        <w:tc>
          <w:tcPr>
            <w:tcW w:w="1656" w:type="dxa"/>
            <w:tcMar>
              <w:top w:w="0" w:type="dxa"/>
              <w:left w:w="108" w:type="dxa"/>
              <w:bottom w:w="0" w:type="dxa"/>
              <w:right w:w="108" w:type="dxa"/>
            </w:tcMar>
            <w:vAlign w:val="center"/>
            <w:hideMark/>
          </w:tcPr>
          <w:p w14:paraId="13968A09" w14:textId="77777777" w:rsidR="00E72F0C" w:rsidRPr="00DE4098" w:rsidRDefault="00107901">
            <w:pPr>
              <w:pStyle w:val="a3"/>
              <w:spacing w:before="0" w:beforeAutospacing="0" w:after="0" w:afterAutospacing="0" w:line="360" w:lineRule="atLeast"/>
              <w:jc w:val="right"/>
              <w:rPr>
                <w:rFonts w:asciiTheme="minorEastAsia" w:eastAsiaTheme="minorEastAsia" w:hAnsiTheme="minorEastAsia" w:cs="Times New Roman" w:hint="eastAsia"/>
                <w:sz w:val="18"/>
                <w:szCs w:val="18"/>
              </w:rPr>
            </w:pPr>
            <w:r w:rsidRPr="00DE4098">
              <w:rPr>
                <w:rFonts w:asciiTheme="minorEastAsia" w:eastAsiaTheme="minorEastAsia" w:hAnsiTheme="minorEastAsia" w:cs="Arial"/>
                <w:sz w:val="18"/>
                <w:szCs w:val="18"/>
              </w:rPr>
              <w:t>1,813,587,150.31</w:t>
            </w:r>
          </w:p>
        </w:tc>
        <w:tc>
          <w:tcPr>
            <w:tcW w:w="1700" w:type="dxa"/>
            <w:tcMar>
              <w:top w:w="0" w:type="dxa"/>
              <w:left w:w="108" w:type="dxa"/>
              <w:bottom w:w="0" w:type="dxa"/>
              <w:right w:w="108" w:type="dxa"/>
            </w:tcMar>
            <w:vAlign w:val="center"/>
            <w:hideMark/>
          </w:tcPr>
          <w:p w14:paraId="113A400F" w14:textId="77777777" w:rsidR="00E72F0C" w:rsidRPr="00DE4098" w:rsidRDefault="00107901">
            <w:pPr>
              <w:pStyle w:val="a3"/>
              <w:spacing w:before="0" w:beforeAutospacing="0" w:after="0" w:afterAutospacing="0" w:line="360" w:lineRule="atLeast"/>
              <w:jc w:val="right"/>
              <w:rPr>
                <w:rFonts w:asciiTheme="minorEastAsia" w:eastAsiaTheme="minorEastAsia" w:hAnsiTheme="minorEastAsia" w:cs="Times New Roman" w:hint="eastAsia"/>
                <w:sz w:val="18"/>
                <w:szCs w:val="18"/>
              </w:rPr>
            </w:pPr>
            <w:r w:rsidRPr="00DE4098">
              <w:rPr>
                <w:rFonts w:asciiTheme="minorEastAsia" w:eastAsiaTheme="minorEastAsia" w:hAnsiTheme="minorEastAsia" w:cs="Arial"/>
                <w:sz w:val="18"/>
                <w:szCs w:val="18"/>
              </w:rPr>
              <w:t>1,813,587,150.31</w:t>
            </w:r>
          </w:p>
        </w:tc>
        <w:tc>
          <w:tcPr>
            <w:tcW w:w="1404" w:type="dxa"/>
            <w:tcMar>
              <w:top w:w="0" w:type="dxa"/>
              <w:left w:w="108" w:type="dxa"/>
              <w:bottom w:w="0" w:type="dxa"/>
              <w:right w:w="108" w:type="dxa"/>
            </w:tcMar>
            <w:vAlign w:val="center"/>
            <w:hideMark/>
          </w:tcPr>
          <w:p w14:paraId="02B82930" w14:textId="77777777" w:rsidR="00E72F0C" w:rsidRPr="00DE4098" w:rsidRDefault="00107901">
            <w:pPr>
              <w:pStyle w:val="a3"/>
              <w:spacing w:before="0" w:beforeAutospacing="0" w:after="0" w:afterAutospacing="0" w:line="360" w:lineRule="atLeast"/>
              <w:ind w:right="-61"/>
              <w:jc w:val="center"/>
              <w:rPr>
                <w:rFonts w:asciiTheme="minorEastAsia" w:eastAsiaTheme="minorEastAsia" w:hAnsiTheme="minorEastAsia" w:cs="Times New Roman" w:hint="eastAsia"/>
                <w:sz w:val="18"/>
                <w:szCs w:val="18"/>
              </w:rPr>
            </w:pPr>
            <w:r w:rsidRPr="00DE4098">
              <w:rPr>
                <w:rFonts w:asciiTheme="minorEastAsia" w:eastAsiaTheme="minorEastAsia" w:hAnsiTheme="minorEastAsia" w:cs="Times New Roman" w:hint="eastAsia"/>
                <w:sz w:val="18"/>
                <w:szCs w:val="18"/>
              </w:rPr>
              <w:t>冻结、其他</w:t>
            </w:r>
          </w:p>
        </w:tc>
        <w:tc>
          <w:tcPr>
            <w:tcW w:w="2894" w:type="dxa"/>
            <w:tcMar>
              <w:top w:w="0" w:type="dxa"/>
              <w:left w:w="108" w:type="dxa"/>
              <w:bottom w:w="0" w:type="dxa"/>
              <w:right w:w="108" w:type="dxa"/>
            </w:tcMar>
            <w:vAlign w:val="center"/>
            <w:hideMark/>
          </w:tcPr>
          <w:p w14:paraId="6E10D094" w14:textId="77777777" w:rsidR="00E72F0C" w:rsidRPr="00DE4098" w:rsidRDefault="00107901">
            <w:pPr>
              <w:pStyle w:val="a3"/>
              <w:spacing w:before="0" w:beforeAutospacing="0" w:after="0" w:afterAutospacing="0" w:line="360" w:lineRule="atLeast"/>
              <w:ind w:right="-61"/>
              <w:jc w:val="center"/>
              <w:rPr>
                <w:rFonts w:asciiTheme="minorEastAsia" w:eastAsiaTheme="minorEastAsia" w:hAnsiTheme="minorEastAsia" w:cs="Times New Roman" w:hint="eastAsia"/>
                <w:sz w:val="18"/>
                <w:szCs w:val="18"/>
              </w:rPr>
            </w:pPr>
            <w:r w:rsidRPr="00DE4098">
              <w:rPr>
                <w:rFonts w:asciiTheme="minorEastAsia" w:eastAsiaTheme="minorEastAsia" w:hAnsiTheme="minorEastAsia" w:cs="Times New Roman" w:hint="eastAsia"/>
                <w:sz w:val="18"/>
                <w:szCs w:val="18"/>
              </w:rPr>
              <w:t>主要为破产管理人保护性冻结、破产重整管理人账户银行存款</w:t>
            </w:r>
          </w:p>
        </w:tc>
      </w:tr>
      <w:tr w:rsidR="00E72F0C" w:rsidRPr="00DE4098" w14:paraId="69BB0DC6" w14:textId="77777777" w:rsidTr="00D954C5">
        <w:trPr>
          <w:divId w:val="2104301303"/>
          <w:trHeight w:val="357"/>
        </w:trPr>
        <w:tc>
          <w:tcPr>
            <w:tcW w:w="1980" w:type="dxa"/>
            <w:tcMar>
              <w:top w:w="0" w:type="dxa"/>
              <w:left w:w="108" w:type="dxa"/>
              <w:bottom w:w="0" w:type="dxa"/>
              <w:right w:w="108" w:type="dxa"/>
            </w:tcMar>
            <w:vAlign w:val="center"/>
            <w:hideMark/>
          </w:tcPr>
          <w:p w14:paraId="3425BEE0" w14:textId="77777777" w:rsidR="00E72F0C" w:rsidRPr="00DE4098" w:rsidRDefault="00107901">
            <w:pPr>
              <w:pStyle w:val="a3"/>
              <w:spacing w:before="0" w:beforeAutospacing="0" w:after="0" w:afterAutospacing="0" w:line="360" w:lineRule="atLeast"/>
              <w:ind w:right="-61"/>
              <w:jc w:val="center"/>
              <w:rPr>
                <w:rFonts w:asciiTheme="minorEastAsia" w:eastAsiaTheme="minorEastAsia" w:hAnsiTheme="minorEastAsia" w:cs="Times New Roman" w:hint="eastAsia"/>
                <w:sz w:val="18"/>
                <w:szCs w:val="18"/>
              </w:rPr>
            </w:pPr>
            <w:r w:rsidRPr="00DE4098">
              <w:rPr>
                <w:rFonts w:asciiTheme="minorEastAsia" w:eastAsiaTheme="minorEastAsia" w:hAnsiTheme="minorEastAsia" w:cs="Times New Roman" w:hint="eastAsia"/>
                <w:sz w:val="18"/>
                <w:szCs w:val="18"/>
              </w:rPr>
              <w:t>存货</w:t>
            </w:r>
          </w:p>
        </w:tc>
        <w:tc>
          <w:tcPr>
            <w:tcW w:w="1656" w:type="dxa"/>
            <w:tcMar>
              <w:top w:w="0" w:type="dxa"/>
              <w:left w:w="108" w:type="dxa"/>
              <w:bottom w:w="0" w:type="dxa"/>
              <w:right w:w="108" w:type="dxa"/>
            </w:tcMar>
            <w:vAlign w:val="center"/>
            <w:hideMark/>
          </w:tcPr>
          <w:p w14:paraId="27185784" w14:textId="77777777" w:rsidR="00E72F0C" w:rsidRPr="00DE4098" w:rsidRDefault="00107901">
            <w:pPr>
              <w:pStyle w:val="a3"/>
              <w:spacing w:before="0" w:beforeAutospacing="0" w:after="0" w:afterAutospacing="0" w:line="360" w:lineRule="atLeast"/>
              <w:jc w:val="right"/>
              <w:rPr>
                <w:rFonts w:asciiTheme="minorEastAsia" w:eastAsiaTheme="minorEastAsia" w:hAnsiTheme="minorEastAsia" w:cs="Times New Roman" w:hint="eastAsia"/>
                <w:sz w:val="18"/>
                <w:szCs w:val="18"/>
              </w:rPr>
            </w:pPr>
            <w:r w:rsidRPr="00DE4098">
              <w:rPr>
                <w:rFonts w:asciiTheme="minorEastAsia" w:eastAsiaTheme="minorEastAsia" w:hAnsiTheme="minorEastAsia" w:cs="Arial"/>
                <w:sz w:val="18"/>
                <w:szCs w:val="18"/>
              </w:rPr>
              <w:t>224,042,460.28</w:t>
            </w:r>
          </w:p>
        </w:tc>
        <w:tc>
          <w:tcPr>
            <w:tcW w:w="1700" w:type="dxa"/>
            <w:tcMar>
              <w:top w:w="0" w:type="dxa"/>
              <w:left w:w="108" w:type="dxa"/>
              <w:bottom w:w="0" w:type="dxa"/>
              <w:right w:w="108" w:type="dxa"/>
            </w:tcMar>
            <w:vAlign w:val="center"/>
            <w:hideMark/>
          </w:tcPr>
          <w:p w14:paraId="6BE22902" w14:textId="77777777" w:rsidR="00E72F0C" w:rsidRPr="00DE4098" w:rsidRDefault="00107901">
            <w:pPr>
              <w:pStyle w:val="a3"/>
              <w:spacing w:before="0" w:beforeAutospacing="0" w:after="0" w:afterAutospacing="0" w:line="360" w:lineRule="atLeast"/>
              <w:jc w:val="right"/>
              <w:rPr>
                <w:rFonts w:asciiTheme="minorEastAsia" w:eastAsiaTheme="minorEastAsia" w:hAnsiTheme="minorEastAsia" w:cs="Times New Roman" w:hint="eastAsia"/>
                <w:sz w:val="18"/>
                <w:szCs w:val="18"/>
              </w:rPr>
            </w:pPr>
            <w:r w:rsidRPr="00DE4098">
              <w:rPr>
                <w:rFonts w:asciiTheme="minorEastAsia" w:eastAsiaTheme="minorEastAsia" w:hAnsiTheme="minorEastAsia" w:cs="Arial"/>
                <w:sz w:val="18"/>
                <w:szCs w:val="18"/>
              </w:rPr>
              <w:t>129,098,885.44</w:t>
            </w:r>
          </w:p>
        </w:tc>
        <w:tc>
          <w:tcPr>
            <w:tcW w:w="1404" w:type="dxa"/>
            <w:tcMar>
              <w:top w:w="0" w:type="dxa"/>
              <w:left w:w="108" w:type="dxa"/>
              <w:bottom w:w="0" w:type="dxa"/>
              <w:right w:w="108" w:type="dxa"/>
            </w:tcMar>
            <w:vAlign w:val="center"/>
            <w:hideMark/>
          </w:tcPr>
          <w:p w14:paraId="5E4C2B8F" w14:textId="77777777" w:rsidR="00E72F0C" w:rsidRPr="00DE4098" w:rsidRDefault="00107901">
            <w:pPr>
              <w:pStyle w:val="a3"/>
              <w:spacing w:before="0" w:beforeAutospacing="0" w:after="0" w:afterAutospacing="0" w:line="360" w:lineRule="atLeast"/>
              <w:ind w:right="-61"/>
              <w:jc w:val="center"/>
              <w:rPr>
                <w:rFonts w:asciiTheme="minorEastAsia" w:eastAsiaTheme="minorEastAsia" w:hAnsiTheme="minorEastAsia" w:cs="Times New Roman" w:hint="eastAsia"/>
                <w:sz w:val="18"/>
                <w:szCs w:val="18"/>
              </w:rPr>
            </w:pPr>
            <w:r w:rsidRPr="00DE4098">
              <w:rPr>
                <w:rFonts w:asciiTheme="minorEastAsia" w:eastAsiaTheme="minorEastAsia" w:hAnsiTheme="minorEastAsia" w:cs="Times New Roman" w:hint="eastAsia"/>
                <w:sz w:val="18"/>
                <w:szCs w:val="18"/>
              </w:rPr>
              <w:t>抵押</w:t>
            </w:r>
          </w:p>
        </w:tc>
        <w:tc>
          <w:tcPr>
            <w:tcW w:w="2894" w:type="dxa"/>
            <w:tcMar>
              <w:top w:w="0" w:type="dxa"/>
              <w:left w:w="108" w:type="dxa"/>
              <w:bottom w:w="0" w:type="dxa"/>
              <w:right w:w="108" w:type="dxa"/>
            </w:tcMar>
            <w:vAlign w:val="center"/>
            <w:hideMark/>
          </w:tcPr>
          <w:p w14:paraId="2B2FF447" w14:textId="77777777" w:rsidR="00E72F0C" w:rsidRPr="00DE4098" w:rsidRDefault="00107901">
            <w:pPr>
              <w:pStyle w:val="a3"/>
              <w:spacing w:before="0" w:beforeAutospacing="0" w:after="0" w:afterAutospacing="0" w:line="360" w:lineRule="atLeast"/>
              <w:ind w:right="-61"/>
              <w:jc w:val="center"/>
              <w:rPr>
                <w:rFonts w:asciiTheme="minorEastAsia" w:eastAsiaTheme="minorEastAsia" w:hAnsiTheme="minorEastAsia" w:cs="Times New Roman" w:hint="eastAsia"/>
                <w:sz w:val="18"/>
                <w:szCs w:val="18"/>
              </w:rPr>
            </w:pPr>
            <w:r w:rsidRPr="00DE4098">
              <w:rPr>
                <w:rFonts w:asciiTheme="minorEastAsia" w:eastAsiaTheme="minorEastAsia" w:hAnsiTheme="minorEastAsia" w:cs="Times New Roman" w:hint="eastAsia"/>
                <w:sz w:val="18"/>
                <w:szCs w:val="18"/>
              </w:rPr>
              <w:t>抵押借款</w:t>
            </w:r>
          </w:p>
        </w:tc>
      </w:tr>
      <w:tr w:rsidR="00E72F0C" w:rsidRPr="00DE4098" w14:paraId="3321C7E1" w14:textId="77777777" w:rsidTr="00D954C5">
        <w:trPr>
          <w:divId w:val="2104301303"/>
          <w:trHeight w:val="357"/>
        </w:trPr>
        <w:tc>
          <w:tcPr>
            <w:tcW w:w="1980" w:type="dxa"/>
            <w:tcMar>
              <w:top w:w="0" w:type="dxa"/>
              <w:left w:w="108" w:type="dxa"/>
              <w:bottom w:w="0" w:type="dxa"/>
              <w:right w:w="108" w:type="dxa"/>
            </w:tcMar>
            <w:vAlign w:val="center"/>
            <w:hideMark/>
          </w:tcPr>
          <w:p w14:paraId="480C57CB" w14:textId="77777777" w:rsidR="00E72F0C" w:rsidRPr="00DE4098" w:rsidRDefault="00107901">
            <w:pPr>
              <w:pStyle w:val="a3"/>
              <w:spacing w:before="0" w:beforeAutospacing="0" w:after="0" w:afterAutospacing="0" w:line="360" w:lineRule="atLeast"/>
              <w:ind w:right="-61"/>
              <w:jc w:val="center"/>
              <w:rPr>
                <w:rFonts w:asciiTheme="minorEastAsia" w:eastAsiaTheme="minorEastAsia" w:hAnsiTheme="minorEastAsia" w:cs="Times New Roman" w:hint="eastAsia"/>
                <w:sz w:val="18"/>
                <w:szCs w:val="18"/>
              </w:rPr>
            </w:pPr>
            <w:r w:rsidRPr="00DE4098">
              <w:rPr>
                <w:rFonts w:asciiTheme="minorEastAsia" w:eastAsiaTheme="minorEastAsia" w:hAnsiTheme="minorEastAsia" w:cs="Times New Roman" w:hint="eastAsia"/>
                <w:sz w:val="18"/>
                <w:szCs w:val="18"/>
              </w:rPr>
              <w:t>固定资产</w:t>
            </w:r>
          </w:p>
        </w:tc>
        <w:tc>
          <w:tcPr>
            <w:tcW w:w="1656" w:type="dxa"/>
            <w:tcMar>
              <w:top w:w="0" w:type="dxa"/>
              <w:left w:w="108" w:type="dxa"/>
              <w:bottom w:w="0" w:type="dxa"/>
              <w:right w:w="108" w:type="dxa"/>
            </w:tcMar>
            <w:vAlign w:val="center"/>
            <w:hideMark/>
          </w:tcPr>
          <w:p w14:paraId="1C90F20C" w14:textId="77777777" w:rsidR="00E72F0C" w:rsidRPr="00DE4098" w:rsidRDefault="00107901">
            <w:pPr>
              <w:pStyle w:val="a3"/>
              <w:spacing w:before="0" w:beforeAutospacing="0" w:after="0" w:afterAutospacing="0" w:line="360" w:lineRule="atLeast"/>
              <w:jc w:val="right"/>
              <w:rPr>
                <w:rFonts w:asciiTheme="minorEastAsia" w:eastAsiaTheme="minorEastAsia" w:hAnsiTheme="minorEastAsia" w:cs="Times New Roman" w:hint="eastAsia"/>
                <w:sz w:val="18"/>
                <w:szCs w:val="18"/>
              </w:rPr>
            </w:pPr>
            <w:r w:rsidRPr="00DE4098">
              <w:rPr>
                <w:rFonts w:asciiTheme="minorEastAsia" w:eastAsiaTheme="minorEastAsia" w:hAnsiTheme="minorEastAsia" w:cs="Arial"/>
                <w:sz w:val="18"/>
                <w:szCs w:val="18"/>
              </w:rPr>
              <w:t>3,359,333,737.50</w:t>
            </w:r>
          </w:p>
        </w:tc>
        <w:tc>
          <w:tcPr>
            <w:tcW w:w="1700" w:type="dxa"/>
            <w:tcMar>
              <w:top w:w="0" w:type="dxa"/>
              <w:left w:w="108" w:type="dxa"/>
              <w:bottom w:w="0" w:type="dxa"/>
              <w:right w:w="108" w:type="dxa"/>
            </w:tcMar>
            <w:vAlign w:val="center"/>
            <w:hideMark/>
          </w:tcPr>
          <w:p w14:paraId="7FA26E07" w14:textId="77777777" w:rsidR="00E72F0C" w:rsidRPr="00DE4098" w:rsidRDefault="00107901">
            <w:pPr>
              <w:pStyle w:val="a3"/>
              <w:spacing w:before="0" w:beforeAutospacing="0" w:after="0" w:afterAutospacing="0" w:line="360" w:lineRule="atLeast"/>
              <w:jc w:val="right"/>
              <w:rPr>
                <w:rFonts w:asciiTheme="minorEastAsia" w:eastAsiaTheme="minorEastAsia" w:hAnsiTheme="minorEastAsia" w:cs="Times New Roman" w:hint="eastAsia"/>
                <w:sz w:val="18"/>
                <w:szCs w:val="18"/>
              </w:rPr>
            </w:pPr>
            <w:r w:rsidRPr="00DE4098">
              <w:rPr>
                <w:rFonts w:asciiTheme="minorEastAsia" w:eastAsiaTheme="minorEastAsia" w:hAnsiTheme="minorEastAsia" w:cs="Arial"/>
                <w:sz w:val="18"/>
                <w:szCs w:val="18"/>
              </w:rPr>
              <w:t>1,047,738,753.06</w:t>
            </w:r>
          </w:p>
        </w:tc>
        <w:tc>
          <w:tcPr>
            <w:tcW w:w="1404" w:type="dxa"/>
            <w:tcMar>
              <w:top w:w="0" w:type="dxa"/>
              <w:left w:w="108" w:type="dxa"/>
              <w:bottom w:w="0" w:type="dxa"/>
              <w:right w:w="108" w:type="dxa"/>
            </w:tcMar>
            <w:vAlign w:val="center"/>
            <w:hideMark/>
          </w:tcPr>
          <w:p w14:paraId="1564012D" w14:textId="77777777" w:rsidR="00E72F0C" w:rsidRPr="00DE4098" w:rsidRDefault="00107901">
            <w:pPr>
              <w:pStyle w:val="a3"/>
              <w:spacing w:before="0" w:beforeAutospacing="0" w:after="0" w:afterAutospacing="0" w:line="360" w:lineRule="atLeast"/>
              <w:ind w:right="-61"/>
              <w:jc w:val="center"/>
              <w:rPr>
                <w:rFonts w:asciiTheme="minorEastAsia" w:eastAsiaTheme="minorEastAsia" w:hAnsiTheme="minorEastAsia" w:cs="Times New Roman" w:hint="eastAsia"/>
                <w:sz w:val="18"/>
                <w:szCs w:val="18"/>
              </w:rPr>
            </w:pPr>
            <w:r w:rsidRPr="00DE4098">
              <w:rPr>
                <w:rFonts w:asciiTheme="minorEastAsia" w:eastAsiaTheme="minorEastAsia" w:hAnsiTheme="minorEastAsia" w:cs="Times New Roman" w:hint="eastAsia"/>
                <w:sz w:val="18"/>
                <w:szCs w:val="18"/>
              </w:rPr>
              <w:t>抵押</w:t>
            </w:r>
          </w:p>
        </w:tc>
        <w:tc>
          <w:tcPr>
            <w:tcW w:w="2894" w:type="dxa"/>
            <w:tcMar>
              <w:top w:w="0" w:type="dxa"/>
              <w:left w:w="108" w:type="dxa"/>
              <w:bottom w:w="0" w:type="dxa"/>
              <w:right w:w="108" w:type="dxa"/>
            </w:tcMar>
            <w:vAlign w:val="center"/>
            <w:hideMark/>
          </w:tcPr>
          <w:p w14:paraId="388DCDED" w14:textId="77777777" w:rsidR="00E72F0C" w:rsidRPr="00DE4098" w:rsidRDefault="00107901">
            <w:pPr>
              <w:pStyle w:val="a3"/>
              <w:spacing w:before="0" w:beforeAutospacing="0" w:after="0" w:afterAutospacing="0" w:line="360" w:lineRule="atLeast"/>
              <w:ind w:right="-61"/>
              <w:jc w:val="center"/>
              <w:rPr>
                <w:rFonts w:asciiTheme="minorEastAsia" w:eastAsiaTheme="minorEastAsia" w:hAnsiTheme="minorEastAsia" w:cs="Times New Roman" w:hint="eastAsia"/>
                <w:sz w:val="18"/>
                <w:szCs w:val="18"/>
              </w:rPr>
            </w:pPr>
            <w:r w:rsidRPr="00DE4098">
              <w:rPr>
                <w:rFonts w:asciiTheme="minorEastAsia" w:eastAsiaTheme="minorEastAsia" w:hAnsiTheme="minorEastAsia" w:cs="Times New Roman" w:hint="eastAsia"/>
                <w:sz w:val="18"/>
                <w:szCs w:val="18"/>
              </w:rPr>
              <w:t>抵押借款</w:t>
            </w:r>
          </w:p>
        </w:tc>
      </w:tr>
      <w:tr w:rsidR="00E72F0C" w:rsidRPr="00DE4098" w14:paraId="5E6F9087" w14:textId="77777777" w:rsidTr="00D954C5">
        <w:trPr>
          <w:divId w:val="2104301303"/>
          <w:trHeight w:val="372"/>
        </w:trPr>
        <w:tc>
          <w:tcPr>
            <w:tcW w:w="1980" w:type="dxa"/>
            <w:tcMar>
              <w:top w:w="0" w:type="dxa"/>
              <w:left w:w="108" w:type="dxa"/>
              <w:bottom w:w="0" w:type="dxa"/>
              <w:right w:w="108" w:type="dxa"/>
            </w:tcMar>
            <w:vAlign w:val="center"/>
            <w:hideMark/>
          </w:tcPr>
          <w:p w14:paraId="31FDC0DB" w14:textId="77777777" w:rsidR="00E72F0C" w:rsidRPr="00DE4098"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18"/>
                <w:szCs w:val="18"/>
              </w:rPr>
            </w:pPr>
            <w:r w:rsidRPr="00DE4098">
              <w:rPr>
                <w:rFonts w:asciiTheme="minorEastAsia" w:eastAsiaTheme="minorEastAsia" w:hAnsiTheme="minorEastAsia" w:cs="Times New Roman" w:hint="eastAsia"/>
                <w:sz w:val="18"/>
                <w:szCs w:val="18"/>
              </w:rPr>
              <w:t>其他权益工具投资</w:t>
            </w:r>
          </w:p>
        </w:tc>
        <w:tc>
          <w:tcPr>
            <w:tcW w:w="1656" w:type="dxa"/>
            <w:tcMar>
              <w:top w:w="0" w:type="dxa"/>
              <w:left w:w="108" w:type="dxa"/>
              <w:bottom w:w="0" w:type="dxa"/>
              <w:right w:w="108" w:type="dxa"/>
            </w:tcMar>
            <w:vAlign w:val="center"/>
            <w:hideMark/>
          </w:tcPr>
          <w:p w14:paraId="6EDC5B49" w14:textId="77777777" w:rsidR="00E72F0C" w:rsidRPr="00DE4098" w:rsidRDefault="00107901">
            <w:pPr>
              <w:pStyle w:val="a3"/>
              <w:spacing w:before="0" w:beforeAutospacing="0" w:after="0" w:afterAutospacing="0"/>
              <w:jc w:val="right"/>
              <w:textAlignment w:val="center"/>
              <w:rPr>
                <w:rFonts w:asciiTheme="minorEastAsia" w:eastAsiaTheme="minorEastAsia" w:hAnsiTheme="minorEastAsia" w:cs="Times New Roman" w:hint="eastAsia"/>
                <w:sz w:val="18"/>
                <w:szCs w:val="18"/>
              </w:rPr>
            </w:pPr>
            <w:r w:rsidRPr="00DE4098">
              <w:rPr>
                <w:rFonts w:asciiTheme="minorEastAsia" w:eastAsiaTheme="minorEastAsia" w:hAnsiTheme="minorEastAsia" w:cs="Arial"/>
                <w:color w:val="000000"/>
                <w:sz w:val="18"/>
                <w:szCs w:val="18"/>
              </w:rPr>
              <w:t>415,163,364.76</w:t>
            </w:r>
          </w:p>
        </w:tc>
        <w:tc>
          <w:tcPr>
            <w:tcW w:w="1700" w:type="dxa"/>
            <w:tcMar>
              <w:top w:w="0" w:type="dxa"/>
              <w:left w:w="108" w:type="dxa"/>
              <w:bottom w:w="0" w:type="dxa"/>
              <w:right w:w="108" w:type="dxa"/>
            </w:tcMar>
            <w:vAlign w:val="center"/>
            <w:hideMark/>
          </w:tcPr>
          <w:p w14:paraId="16A6F589" w14:textId="77777777" w:rsidR="00E72F0C" w:rsidRPr="00DE4098" w:rsidRDefault="00107901">
            <w:pPr>
              <w:pStyle w:val="a3"/>
              <w:spacing w:before="0" w:beforeAutospacing="0" w:after="0" w:afterAutospacing="0"/>
              <w:jc w:val="right"/>
              <w:textAlignment w:val="center"/>
              <w:rPr>
                <w:rFonts w:asciiTheme="minorEastAsia" w:eastAsiaTheme="minorEastAsia" w:hAnsiTheme="minorEastAsia" w:cs="Times New Roman" w:hint="eastAsia"/>
                <w:sz w:val="18"/>
                <w:szCs w:val="18"/>
              </w:rPr>
            </w:pPr>
            <w:r w:rsidRPr="00DE4098">
              <w:rPr>
                <w:rFonts w:asciiTheme="minorEastAsia" w:eastAsiaTheme="minorEastAsia" w:hAnsiTheme="minorEastAsia" w:cs="Arial"/>
                <w:color w:val="000000"/>
                <w:sz w:val="18"/>
                <w:szCs w:val="18"/>
              </w:rPr>
              <w:t>415,163,364.76</w:t>
            </w:r>
          </w:p>
        </w:tc>
        <w:tc>
          <w:tcPr>
            <w:tcW w:w="1404" w:type="dxa"/>
            <w:tcMar>
              <w:top w:w="0" w:type="dxa"/>
              <w:left w:w="108" w:type="dxa"/>
              <w:bottom w:w="0" w:type="dxa"/>
              <w:right w:w="108" w:type="dxa"/>
            </w:tcMar>
            <w:vAlign w:val="center"/>
            <w:hideMark/>
          </w:tcPr>
          <w:p w14:paraId="1E263F8B" w14:textId="77777777" w:rsidR="00E72F0C" w:rsidRPr="00DE4098" w:rsidRDefault="00107901">
            <w:pPr>
              <w:pStyle w:val="a3"/>
              <w:spacing w:before="0" w:beforeAutospacing="0" w:after="0" w:afterAutospacing="0" w:line="360" w:lineRule="atLeast"/>
              <w:ind w:right="-61"/>
              <w:jc w:val="center"/>
              <w:rPr>
                <w:rFonts w:asciiTheme="minorEastAsia" w:eastAsiaTheme="minorEastAsia" w:hAnsiTheme="minorEastAsia" w:cs="Times New Roman" w:hint="eastAsia"/>
                <w:sz w:val="18"/>
                <w:szCs w:val="18"/>
              </w:rPr>
            </w:pPr>
            <w:r w:rsidRPr="00DE4098">
              <w:rPr>
                <w:rFonts w:asciiTheme="minorEastAsia" w:eastAsiaTheme="minorEastAsia" w:hAnsiTheme="minorEastAsia" w:cs="Times New Roman" w:hint="eastAsia"/>
                <w:sz w:val="18"/>
                <w:szCs w:val="18"/>
              </w:rPr>
              <w:t>质押</w:t>
            </w:r>
          </w:p>
        </w:tc>
        <w:tc>
          <w:tcPr>
            <w:tcW w:w="2894" w:type="dxa"/>
            <w:tcMar>
              <w:top w:w="0" w:type="dxa"/>
              <w:left w:w="108" w:type="dxa"/>
              <w:bottom w:w="0" w:type="dxa"/>
              <w:right w:w="108" w:type="dxa"/>
            </w:tcMar>
            <w:vAlign w:val="center"/>
            <w:hideMark/>
          </w:tcPr>
          <w:p w14:paraId="3C6088DE" w14:textId="77777777" w:rsidR="00E72F0C" w:rsidRPr="00DE4098" w:rsidRDefault="00107901">
            <w:pPr>
              <w:pStyle w:val="a3"/>
              <w:spacing w:before="0" w:beforeAutospacing="0" w:after="0" w:afterAutospacing="0" w:line="360" w:lineRule="atLeast"/>
              <w:ind w:right="-61"/>
              <w:jc w:val="center"/>
              <w:rPr>
                <w:rFonts w:asciiTheme="minorEastAsia" w:eastAsiaTheme="minorEastAsia" w:hAnsiTheme="minorEastAsia" w:cs="Times New Roman" w:hint="eastAsia"/>
                <w:sz w:val="18"/>
                <w:szCs w:val="18"/>
              </w:rPr>
            </w:pPr>
            <w:r w:rsidRPr="00DE4098">
              <w:rPr>
                <w:rFonts w:asciiTheme="minorEastAsia" w:eastAsiaTheme="minorEastAsia" w:hAnsiTheme="minorEastAsia" w:cs="Times New Roman" w:hint="eastAsia"/>
                <w:sz w:val="18"/>
                <w:szCs w:val="18"/>
              </w:rPr>
              <w:t>质押借款</w:t>
            </w:r>
          </w:p>
        </w:tc>
      </w:tr>
      <w:tr w:rsidR="00E72F0C" w:rsidRPr="00DE4098" w14:paraId="6D169F5A" w14:textId="77777777" w:rsidTr="00D954C5">
        <w:trPr>
          <w:divId w:val="2104301303"/>
          <w:trHeight w:val="357"/>
        </w:trPr>
        <w:tc>
          <w:tcPr>
            <w:tcW w:w="1980" w:type="dxa"/>
            <w:tcMar>
              <w:top w:w="0" w:type="dxa"/>
              <w:left w:w="108" w:type="dxa"/>
              <w:bottom w:w="0" w:type="dxa"/>
              <w:right w:w="108" w:type="dxa"/>
            </w:tcMar>
            <w:vAlign w:val="center"/>
            <w:hideMark/>
          </w:tcPr>
          <w:p w14:paraId="790869C0" w14:textId="77777777" w:rsidR="00E72F0C" w:rsidRPr="00DE4098" w:rsidRDefault="00107901">
            <w:pPr>
              <w:pStyle w:val="a3"/>
              <w:spacing w:before="0" w:beforeAutospacing="0" w:after="0" w:afterAutospacing="0" w:line="360" w:lineRule="atLeast"/>
              <w:ind w:right="-61"/>
              <w:jc w:val="center"/>
              <w:rPr>
                <w:rFonts w:asciiTheme="minorEastAsia" w:eastAsiaTheme="minorEastAsia" w:hAnsiTheme="minorEastAsia" w:cs="Times New Roman" w:hint="eastAsia"/>
                <w:sz w:val="18"/>
                <w:szCs w:val="18"/>
              </w:rPr>
            </w:pPr>
            <w:r w:rsidRPr="00DE4098">
              <w:rPr>
                <w:rFonts w:asciiTheme="minorEastAsia" w:eastAsiaTheme="minorEastAsia" w:hAnsiTheme="minorEastAsia" w:cs="Times New Roman" w:hint="eastAsia"/>
                <w:sz w:val="18"/>
                <w:szCs w:val="18"/>
              </w:rPr>
              <w:t>无形资产</w:t>
            </w:r>
          </w:p>
        </w:tc>
        <w:tc>
          <w:tcPr>
            <w:tcW w:w="1656" w:type="dxa"/>
            <w:tcMar>
              <w:top w:w="0" w:type="dxa"/>
              <w:left w:w="108" w:type="dxa"/>
              <w:bottom w:w="0" w:type="dxa"/>
              <w:right w:w="108" w:type="dxa"/>
            </w:tcMar>
            <w:vAlign w:val="center"/>
            <w:hideMark/>
          </w:tcPr>
          <w:p w14:paraId="52CDDB5E" w14:textId="77777777" w:rsidR="00E72F0C" w:rsidRPr="00DE4098" w:rsidRDefault="00107901">
            <w:pPr>
              <w:pStyle w:val="a3"/>
              <w:spacing w:before="0" w:beforeAutospacing="0" w:after="0" w:afterAutospacing="0" w:line="360" w:lineRule="atLeast"/>
              <w:jc w:val="right"/>
              <w:rPr>
                <w:rFonts w:asciiTheme="minorEastAsia" w:eastAsiaTheme="minorEastAsia" w:hAnsiTheme="minorEastAsia" w:cs="Times New Roman" w:hint="eastAsia"/>
                <w:sz w:val="18"/>
                <w:szCs w:val="18"/>
              </w:rPr>
            </w:pPr>
            <w:r w:rsidRPr="00DE4098">
              <w:rPr>
                <w:rFonts w:asciiTheme="minorEastAsia" w:eastAsiaTheme="minorEastAsia" w:hAnsiTheme="minorEastAsia" w:cs="Arial"/>
                <w:sz w:val="18"/>
                <w:szCs w:val="18"/>
              </w:rPr>
              <w:t>306,810,572.69</w:t>
            </w:r>
          </w:p>
        </w:tc>
        <w:tc>
          <w:tcPr>
            <w:tcW w:w="1700" w:type="dxa"/>
            <w:tcMar>
              <w:top w:w="0" w:type="dxa"/>
              <w:left w:w="108" w:type="dxa"/>
              <w:bottom w:w="0" w:type="dxa"/>
              <w:right w:w="108" w:type="dxa"/>
            </w:tcMar>
            <w:vAlign w:val="center"/>
            <w:hideMark/>
          </w:tcPr>
          <w:p w14:paraId="3E657F4A" w14:textId="77777777" w:rsidR="00E72F0C" w:rsidRPr="00DE4098" w:rsidRDefault="00107901">
            <w:pPr>
              <w:pStyle w:val="a3"/>
              <w:spacing w:before="0" w:beforeAutospacing="0" w:after="0" w:afterAutospacing="0" w:line="360" w:lineRule="atLeast"/>
              <w:jc w:val="right"/>
              <w:rPr>
                <w:rFonts w:asciiTheme="minorEastAsia" w:eastAsiaTheme="minorEastAsia" w:hAnsiTheme="minorEastAsia" w:cs="Times New Roman" w:hint="eastAsia"/>
                <w:sz w:val="18"/>
                <w:szCs w:val="18"/>
              </w:rPr>
            </w:pPr>
            <w:r w:rsidRPr="00DE4098">
              <w:rPr>
                <w:rFonts w:asciiTheme="minorEastAsia" w:eastAsiaTheme="minorEastAsia" w:hAnsiTheme="minorEastAsia" w:cs="Arial"/>
                <w:sz w:val="18"/>
                <w:szCs w:val="18"/>
              </w:rPr>
              <w:t>245,275,753.53</w:t>
            </w:r>
          </w:p>
        </w:tc>
        <w:tc>
          <w:tcPr>
            <w:tcW w:w="1404" w:type="dxa"/>
            <w:tcMar>
              <w:top w:w="0" w:type="dxa"/>
              <w:left w:w="108" w:type="dxa"/>
              <w:bottom w:w="0" w:type="dxa"/>
              <w:right w:w="108" w:type="dxa"/>
            </w:tcMar>
            <w:vAlign w:val="center"/>
            <w:hideMark/>
          </w:tcPr>
          <w:p w14:paraId="56D10110" w14:textId="77777777" w:rsidR="00E72F0C" w:rsidRPr="00DE4098" w:rsidRDefault="00107901">
            <w:pPr>
              <w:pStyle w:val="a3"/>
              <w:spacing w:before="0" w:beforeAutospacing="0" w:after="0" w:afterAutospacing="0" w:line="360" w:lineRule="atLeast"/>
              <w:ind w:right="-61"/>
              <w:jc w:val="center"/>
              <w:rPr>
                <w:rFonts w:asciiTheme="minorEastAsia" w:eastAsiaTheme="minorEastAsia" w:hAnsiTheme="minorEastAsia" w:cs="Times New Roman" w:hint="eastAsia"/>
                <w:sz w:val="18"/>
                <w:szCs w:val="18"/>
              </w:rPr>
            </w:pPr>
            <w:r w:rsidRPr="00DE4098">
              <w:rPr>
                <w:rFonts w:asciiTheme="minorEastAsia" w:eastAsiaTheme="minorEastAsia" w:hAnsiTheme="minorEastAsia" w:cs="Times New Roman" w:hint="eastAsia"/>
                <w:sz w:val="18"/>
                <w:szCs w:val="18"/>
              </w:rPr>
              <w:t>抵押</w:t>
            </w:r>
          </w:p>
        </w:tc>
        <w:tc>
          <w:tcPr>
            <w:tcW w:w="2894" w:type="dxa"/>
            <w:tcMar>
              <w:top w:w="0" w:type="dxa"/>
              <w:left w:w="108" w:type="dxa"/>
              <w:bottom w:w="0" w:type="dxa"/>
              <w:right w:w="108" w:type="dxa"/>
            </w:tcMar>
            <w:vAlign w:val="center"/>
            <w:hideMark/>
          </w:tcPr>
          <w:p w14:paraId="2B22B215" w14:textId="77777777" w:rsidR="00E72F0C" w:rsidRPr="00DE4098" w:rsidRDefault="00107901">
            <w:pPr>
              <w:pStyle w:val="a3"/>
              <w:spacing w:before="0" w:beforeAutospacing="0" w:after="0" w:afterAutospacing="0" w:line="360" w:lineRule="atLeast"/>
              <w:ind w:right="-61"/>
              <w:jc w:val="center"/>
              <w:rPr>
                <w:rFonts w:asciiTheme="minorEastAsia" w:eastAsiaTheme="minorEastAsia" w:hAnsiTheme="minorEastAsia" w:cs="Times New Roman" w:hint="eastAsia"/>
                <w:sz w:val="18"/>
                <w:szCs w:val="18"/>
              </w:rPr>
            </w:pPr>
            <w:r w:rsidRPr="00DE4098">
              <w:rPr>
                <w:rFonts w:asciiTheme="minorEastAsia" w:eastAsiaTheme="minorEastAsia" w:hAnsiTheme="minorEastAsia" w:cs="Times New Roman" w:hint="eastAsia"/>
                <w:sz w:val="18"/>
                <w:szCs w:val="18"/>
              </w:rPr>
              <w:t>抵押借款</w:t>
            </w:r>
          </w:p>
        </w:tc>
      </w:tr>
      <w:tr w:rsidR="00E72F0C" w:rsidRPr="00DE4098" w14:paraId="06C2977C" w14:textId="77777777" w:rsidTr="00D954C5">
        <w:trPr>
          <w:divId w:val="2104301303"/>
          <w:trHeight w:val="357"/>
        </w:trPr>
        <w:tc>
          <w:tcPr>
            <w:tcW w:w="1980" w:type="dxa"/>
            <w:tcMar>
              <w:top w:w="0" w:type="dxa"/>
              <w:left w:w="108" w:type="dxa"/>
              <w:bottom w:w="0" w:type="dxa"/>
              <w:right w:w="108" w:type="dxa"/>
            </w:tcMar>
            <w:vAlign w:val="center"/>
            <w:hideMark/>
          </w:tcPr>
          <w:p w14:paraId="17EC23BA" w14:textId="77777777" w:rsidR="00E72F0C" w:rsidRPr="00DE4098" w:rsidRDefault="00107901">
            <w:pPr>
              <w:pStyle w:val="a3"/>
              <w:spacing w:before="0" w:beforeAutospacing="0" w:after="0" w:afterAutospacing="0" w:line="360" w:lineRule="atLeast"/>
              <w:ind w:right="-61"/>
              <w:jc w:val="center"/>
              <w:rPr>
                <w:rFonts w:asciiTheme="minorEastAsia" w:eastAsiaTheme="minorEastAsia" w:hAnsiTheme="minorEastAsia" w:cs="Times New Roman" w:hint="eastAsia"/>
                <w:sz w:val="18"/>
                <w:szCs w:val="18"/>
              </w:rPr>
            </w:pPr>
            <w:r w:rsidRPr="00DE4098">
              <w:rPr>
                <w:rFonts w:asciiTheme="minorEastAsia" w:eastAsiaTheme="minorEastAsia" w:hAnsiTheme="minorEastAsia" w:cs="Times New Roman" w:hint="eastAsia"/>
                <w:sz w:val="18"/>
                <w:szCs w:val="18"/>
              </w:rPr>
              <w:t>应收账款</w:t>
            </w:r>
          </w:p>
        </w:tc>
        <w:tc>
          <w:tcPr>
            <w:tcW w:w="1656" w:type="dxa"/>
            <w:tcMar>
              <w:top w:w="0" w:type="dxa"/>
              <w:left w:w="108" w:type="dxa"/>
              <w:bottom w:w="0" w:type="dxa"/>
              <w:right w:w="108" w:type="dxa"/>
            </w:tcMar>
            <w:vAlign w:val="center"/>
            <w:hideMark/>
          </w:tcPr>
          <w:p w14:paraId="59235CED" w14:textId="77777777" w:rsidR="00E72F0C" w:rsidRPr="00DE4098" w:rsidRDefault="00107901">
            <w:pPr>
              <w:pStyle w:val="a3"/>
              <w:spacing w:before="0" w:beforeAutospacing="0" w:after="0" w:afterAutospacing="0" w:line="360" w:lineRule="atLeast"/>
              <w:jc w:val="right"/>
              <w:rPr>
                <w:rFonts w:asciiTheme="minorEastAsia" w:eastAsiaTheme="minorEastAsia" w:hAnsiTheme="minorEastAsia" w:cs="Times New Roman" w:hint="eastAsia"/>
                <w:sz w:val="18"/>
                <w:szCs w:val="18"/>
              </w:rPr>
            </w:pPr>
            <w:r w:rsidRPr="00DE4098">
              <w:rPr>
                <w:rFonts w:asciiTheme="minorEastAsia" w:eastAsiaTheme="minorEastAsia" w:hAnsiTheme="minorEastAsia" w:cs="Arial"/>
                <w:sz w:val="18"/>
                <w:szCs w:val="18"/>
              </w:rPr>
              <w:t>329,843,271.14</w:t>
            </w:r>
          </w:p>
        </w:tc>
        <w:tc>
          <w:tcPr>
            <w:tcW w:w="1700" w:type="dxa"/>
            <w:tcMar>
              <w:top w:w="0" w:type="dxa"/>
              <w:left w:w="108" w:type="dxa"/>
              <w:bottom w:w="0" w:type="dxa"/>
              <w:right w:w="108" w:type="dxa"/>
            </w:tcMar>
            <w:vAlign w:val="center"/>
            <w:hideMark/>
          </w:tcPr>
          <w:p w14:paraId="3CB0DF71" w14:textId="77777777" w:rsidR="00E72F0C" w:rsidRPr="00DE4098" w:rsidRDefault="00107901">
            <w:pPr>
              <w:pStyle w:val="a3"/>
              <w:spacing w:before="0" w:beforeAutospacing="0" w:after="0" w:afterAutospacing="0" w:line="360" w:lineRule="atLeast"/>
              <w:jc w:val="right"/>
              <w:rPr>
                <w:rFonts w:asciiTheme="minorEastAsia" w:eastAsiaTheme="minorEastAsia" w:hAnsiTheme="minorEastAsia" w:cs="Times New Roman" w:hint="eastAsia"/>
                <w:sz w:val="18"/>
                <w:szCs w:val="18"/>
              </w:rPr>
            </w:pPr>
            <w:r w:rsidRPr="00DE4098">
              <w:rPr>
                <w:rFonts w:asciiTheme="minorEastAsia" w:eastAsiaTheme="minorEastAsia" w:hAnsiTheme="minorEastAsia" w:cs="Arial"/>
                <w:sz w:val="18"/>
                <w:szCs w:val="18"/>
              </w:rPr>
              <w:t>34,666,621.35</w:t>
            </w:r>
          </w:p>
        </w:tc>
        <w:tc>
          <w:tcPr>
            <w:tcW w:w="1404" w:type="dxa"/>
            <w:tcMar>
              <w:top w:w="0" w:type="dxa"/>
              <w:left w:w="108" w:type="dxa"/>
              <w:bottom w:w="0" w:type="dxa"/>
              <w:right w:w="108" w:type="dxa"/>
            </w:tcMar>
            <w:vAlign w:val="center"/>
            <w:hideMark/>
          </w:tcPr>
          <w:p w14:paraId="6878C8BE" w14:textId="77777777" w:rsidR="00E72F0C" w:rsidRPr="00DE4098" w:rsidRDefault="00107901">
            <w:pPr>
              <w:pStyle w:val="a3"/>
              <w:spacing w:before="0" w:beforeAutospacing="0" w:after="0" w:afterAutospacing="0" w:line="360" w:lineRule="atLeast"/>
              <w:ind w:right="-61"/>
              <w:jc w:val="center"/>
              <w:rPr>
                <w:rFonts w:asciiTheme="minorEastAsia" w:eastAsiaTheme="minorEastAsia" w:hAnsiTheme="minorEastAsia" w:cs="Times New Roman" w:hint="eastAsia"/>
                <w:sz w:val="18"/>
                <w:szCs w:val="18"/>
              </w:rPr>
            </w:pPr>
            <w:r w:rsidRPr="00DE4098">
              <w:rPr>
                <w:rFonts w:asciiTheme="minorEastAsia" w:eastAsiaTheme="minorEastAsia" w:hAnsiTheme="minorEastAsia" w:cs="Times New Roman" w:hint="eastAsia"/>
                <w:sz w:val="18"/>
                <w:szCs w:val="18"/>
              </w:rPr>
              <w:t>质押</w:t>
            </w:r>
          </w:p>
        </w:tc>
        <w:tc>
          <w:tcPr>
            <w:tcW w:w="2894" w:type="dxa"/>
            <w:tcMar>
              <w:top w:w="0" w:type="dxa"/>
              <w:left w:w="108" w:type="dxa"/>
              <w:bottom w:w="0" w:type="dxa"/>
              <w:right w:w="108" w:type="dxa"/>
            </w:tcMar>
            <w:vAlign w:val="center"/>
            <w:hideMark/>
          </w:tcPr>
          <w:p w14:paraId="7CBA00EE" w14:textId="77777777" w:rsidR="00E72F0C" w:rsidRPr="00DE4098" w:rsidRDefault="00107901">
            <w:pPr>
              <w:pStyle w:val="a3"/>
              <w:spacing w:before="0" w:beforeAutospacing="0" w:after="0" w:afterAutospacing="0" w:line="360" w:lineRule="atLeast"/>
              <w:ind w:right="-61"/>
              <w:jc w:val="center"/>
              <w:rPr>
                <w:rFonts w:asciiTheme="minorEastAsia" w:eastAsiaTheme="minorEastAsia" w:hAnsiTheme="minorEastAsia" w:cs="Times New Roman" w:hint="eastAsia"/>
                <w:sz w:val="18"/>
                <w:szCs w:val="18"/>
              </w:rPr>
            </w:pPr>
            <w:r w:rsidRPr="00DE4098">
              <w:rPr>
                <w:rFonts w:asciiTheme="minorEastAsia" w:eastAsiaTheme="minorEastAsia" w:hAnsiTheme="minorEastAsia" w:cs="Times New Roman" w:hint="eastAsia"/>
                <w:sz w:val="18"/>
                <w:szCs w:val="18"/>
              </w:rPr>
              <w:t>质押借款</w:t>
            </w:r>
          </w:p>
        </w:tc>
      </w:tr>
      <w:tr w:rsidR="00E72F0C" w:rsidRPr="00DE4098" w14:paraId="5C108EB1" w14:textId="77777777" w:rsidTr="00D954C5">
        <w:trPr>
          <w:divId w:val="2104301303"/>
          <w:trHeight w:val="372"/>
        </w:trPr>
        <w:tc>
          <w:tcPr>
            <w:tcW w:w="1980" w:type="dxa"/>
            <w:tcMar>
              <w:top w:w="0" w:type="dxa"/>
              <w:left w:w="108" w:type="dxa"/>
              <w:bottom w:w="0" w:type="dxa"/>
              <w:right w:w="108" w:type="dxa"/>
            </w:tcMar>
            <w:vAlign w:val="center"/>
            <w:hideMark/>
          </w:tcPr>
          <w:p w14:paraId="723A2E9C" w14:textId="77777777" w:rsidR="00E72F0C" w:rsidRPr="00DE4098" w:rsidRDefault="00107901">
            <w:pPr>
              <w:pStyle w:val="a3"/>
              <w:spacing w:before="0" w:beforeAutospacing="0" w:after="0" w:afterAutospacing="0" w:line="360" w:lineRule="atLeast"/>
              <w:ind w:right="-61"/>
              <w:jc w:val="center"/>
              <w:rPr>
                <w:rFonts w:asciiTheme="minorEastAsia" w:eastAsiaTheme="minorEastAsia" w:hAnsiTheme="minorEastAsia" w:cs="Times New Roman" w:hint="eastAsia"/>
                <w:sz w:val="18"/>
                <w:szCs w:val="18"/>
              </w:rPr>
            </w:pPr>
            <w:r w:rsidRPr="00DE4098">
              <w:rPr>
                <w:rFonts w:asciiTheme="minorEastAsia" w:eastAsiaTheme="minorEastAsia" w:hAnsiTheme="minorEastAsia" w:cs="Times New Roman" w:hint="eastAsia"/>
                <w:sz w:val="18"/>
                <w:szCs w:val="18"/>
              </w:rPr>
              <w:t>在建工程</w:t>
            </w:r>
          </w:p>
        </w:tc>
        <w:tc>
          <w:tcPr>
            <w:tcW w:w="1656" w:type="dxa"/>
            <w:tcMar>
              <w:top w:w="0" w:type="dxa"/>
              <w:left w:w="108" w:type="dxa"/>
              <w:bottom w:w="0" w:type="dxa"/>
              <w:right w:w="108" w:type="dxa"/>
            </w:tcMar>
            <w:vAlign w:val="center"/>
            <w:hideMark/>
          </w:tcPr>
          <w:p w14:paraId="3D1B0A36" w14:textId="77777777" w:rsidR="00E72F0C" w:rsidRPr="00DE4098" w:rsidRDefault="00107901">
            <w:pPr>
              <w:pStyle w:val="a3"/>
              <w:spacing w:before="0" w:beforeAutospacing="0" w:after="0" w:afterAutospacing="0" w:line="360" w:lineRule="atLeast"/>
              <w:jc w:val="right"/>
              <w:rPr>
                <w:rFonts w:asciiTheme="minorEastAsia" w:eastAsiaTheme="minorEastAsia" w:hAnsiTheme="minorEastAsia" w:cs="Times New Roman" w:hint="eastAsia"/>
                <w:sz w:val="18"/>
                <w:szCs w:val="18"/>
              </w:rPr>
            </w:pPr>
            <w:r w:rsidRPr="00DE4098">
              <w:rPr>
                <w:rFonts w:asciiTheme="minorEastAsia" w:eastAsiaTheme="minorEastAsia" w:hAnsiTheme="minorEastAsia" w:cs="Arial"/>
                <w:sz w:val="18"/>
                <w:szCs w:val="18"/>
              </w:rPr>
              <w:t>371,289,932.58</w:t>
            </w:r>
          </w:p>
        </w:tc>
        <w:tc>
          <w:tcPr>
            <w:tcW w:w="1700" w:type="dxa"/>
            <w:tcMar>
              <w:top w:w="0" w:type="dxa"/>
              <w:left w:w="108" w:type="dxa"/>
              <w:bottom w:w="0" w:type="dxa"/>
              <w:right w:w="108" w:type="dxa"/>
            </w:tcMar>
            <w:vAlign w:val="center"/>
            <w:hideMark/>
          </w:tcPr>
          <w:p w14:paraId="5163970D" w14:textId="77777777" w:rsidR="00E72F0C" w:rsidRPr="00DE4098" w:rsidRDefault="00107901">
            <w:pPr>
              <w:pStyle w:val="a3"/>
              <w:spacing w:before="0" w:beforeAutospacing="0" w:after="0" w:afterAutospacing="0" w:line="360" w:lineRule="atLeast"/>
              <w:jc w:val="right"/>
              <w:rPr>
                <w:rFonts w:asciiTheme="minorEastAsia" w:eastAsiaTheme="minorEastAsia" w:hAnsiTheme="minorEastAsia" w:cs="Times New Roman" w:hint="eastAsia"/>
                <w:sz w:val="18"/>
                <w:szCs w:val="18"/>
              </w:rPr>
            </w:pPr>
            <w:r w:rsidRPr="00DE4098">
              <w:rPr>
                <w:rFonts w:asciiTheme="minorEastAsia" w:eastAsiaTheme="minorEastAsia" w:hAnsiTheme="minorEastAsia" w:cs="Arial"/>
                <w:sz w:val="18"/>
                <w:szCs w:val="18"/>
              </w:rPr>
              <w:t>87,882,391.12</w:t>
            </w:r>
          </w:p>
        </w:tc>
        <w:tc>
          <w:tcPr>
            <w:tcW w:w="1404" w:type="dxa"/>
            <w:tcMar>
              <w:top w:w="0" w:type="dxa"/>
              <w:left w:w="108" w:type="dxa"/>
              <w:bottom w:w="0" w:type="dxa"/>
              <w:right w:w="108" w:type="dxa"/>
            </w:tcMar>
            <w:vAlign w:val="center"/>
            <w:hideMark/>
          </w:tcPr>
          <w:p w14:paraId="74A6BAF7" w14:textId="77777777" w:rsidR="00E72F0C" w:rsidRPr="00DE4098" w:rsidRDefault="00107901">
            <w:pPr>
              <w:pStyle w:val="a3"/>
              <w:spacing w:before="0" w:beforeAutospacing="0" w:after="0" w:afterAutospacing="0" w:line="360" w:lineRule="atLeast"/>
              <w:ind w:right="-61"/>
              <w:jc w:val="center"/>
              <w:rPr>
                <w:rFonts w:asciiTheme="minorEastAsia" w:eastAsiaTheme="minorEastAsia" w:hAnsiTheme="minorEastAsia" w:cs="Times New Roman" w:hint="eastAsia"/>
                <w:sz w:val="18"/>
                <w:szCs w:val="18"/>
              </w:rPr>
            </w:pPr>
            <w:r w:rsidRPr="00DE4098">
              <w:rPr>
                <w:rFonts w:asciiTheme="minorEastAsia" w:eastAsiaTheme="minorEastAsia" w:hAnsiTheme="minorEastAsia" w:cs="Times New Roman" w:hint="eastAsia"/>
                <w:sz w:val="18"/>
                <w:szCs w:val="18"/>
              </w:rPr>
              <w:t>抵押</w:t>
            </w:r>
          </w:p>
        </w:tc>
        <w:tc>
          <w:tcPr>
            <w:tcW w:w="2894" w:type="dxa"/>
            <w:tcMar>
              <w:top w:w="0" w:type="dxa"/>
              <w:left w:w="108" w:type="dxa"/>
              <w:bottom w:w="0" w:type="dxa"/>
              <w:right w:w="108" w:type="dxa"/>
            </w:tcMar>
            <w:vAlign w:val="center"/>
            <w:hideMark/>
          </w:tcPr>
          <w:p w14:paraId="3B5F8F7D" w14:textId="77777777" w:rsidR="00E72F0C" w:rsidRPr="00DE4098" w:rsidRDefault="00107901">
            <w:pPr>
              <w:pStyle w:val="a3"/>
              <w:spacing w:before="0" w:beforeAutospacing="0" w:after="0" w:afterAutospacing="0" w:line="360" w:lineRule="atLeast"/>
              <w:ind w:right="-61"/>
              <w:jc w:val="center"/>
              <w:rPr>
                <w:rFonts w:asciiTheme="minorEastAsia" w:eastAsiaTheme="minorEastAsia" w:hAnsiTheme="minorEastAsia" w:cs="Times New Roman" w:hint="eastAsia"/>
                <w:sz w:val="18"/>
                <w:szCs w:val="18"/>
              </w:rPr>
            </w:pPr>
            <w:r w:rsidRPr="00DE4098">
              <w:rPr>
                <w:rFonts w:asciiTheme="minorEastAsia" w:eastAsiaTheme="minorEastAsia" w:hAnsiTheme="minorEastAsia" w:cs="Times New Roman" w:hint="eastAsia"/>
                <w:sz w:val="18"/>
                <w:szCs w:val="18"/>
              </w:rPr>
              <w:t>抵押借款</w:t>
            </w:r>
          </w:p>
        </w:tc>
      </w:tr>
      <w:tr w:rsidR="00E72F0C" w:rsidRPr="00DE4098" w14:paraId="78CDE036" w14:textId="77777777" w:rsidTr="00D954C5">
        <w:trPr>
          <w:divId w:val="2104301303"/>
          <w:trHeight w:val="357"/>
        </w:trPr>
        <w:tc>
          <w:tcPr>
            <w:tcW w:w="1980" w:type="dxa"/>
            <w:tcMar>
              <w:top w:w="0" w:type="dxa"/>
              <w:left w:w="108" w:type="dxa"/>
              <w:bottom w:w="0" w:type="dxa"/>
              <w:right w:w="108" w:type="dxa"/>
            </w:tcMar>
            <w:vAlign w:val="center"/>
            <w:hideMark/>
          </w:tcPr>
          <w:p w14:paraId="023F05CE" w14:textId="77777777" w:rsidR="00E72F0C" w:rsidRPr="00DE4098" w:rsidRDefault="00107901">
            <w:pPr>
              <w:pStyle w:val="a3"/>
              <w:spacing w:before="0" w:beforeAutospacing="0" w:after="0" w:afterAutospacing="0" w:line="360" w:lineRule="atLeast"/>
              <w:ind w:right="-61"/>
              <w:jc w:val="center"/>
              <w:rPr>
                <w:rFonts w:asciiTheme="minorEastAsia" w:eastAsiaTheme="minorEastAsia" w:hAnsiTheme="minorEastAsia" w:cs="Times New Roman" w:hint="eastAsia"/>
                <w:sz w:val="18"/>
                <w:szCs w:val="18"/>
              </w:rPr>
            </w:pPr>
            <w:r w:rsidRPr="00DE4098">
              <w:rPr>
                <w:rFonts w:asciiTheme="minorEastAsia" w:eastAsiaTheme="minorEastAsia" w:hAnsiTheme="minorEastAsia" w:cs="Times New Roman" w:hint="eastAsia"/>
                <w:sz w:val="18"/>
                <w:szCs w:val="18"/>
              </w:rPr>
              <w:t>合计</w:t>
            </w:r>
          </w:p>
        </w:tc>
        <w:tc>
          <w:tcPr>
            <w:tcW w:w="1656" w:type="dxa"/>
            <w:tcMar>
              <w:top w:w="0" w:type="dxa"/>
              <w:left w:w="108" w:type="dxa"/>
              <w:bottom w:w="0" w:type="dxa"/>
              <w:right w:w="108" w:type="dxa"/>
            </w:tcMar>
            <w:vAlign w:val="center"/>
            <w:hideMark/>
          </w:tcPr>
          <w:p w14:paraId="46CE59B9" w14:textId="77777777" w:rsidR="00E72F0C" w:rsidRPr="00DE4098" w:rsidRDefault="00107901">
            <w:pPr>
              <w:pStyle w:val="a3"/>
              <w:spacing w:before="0" w:beforeAutospacing="0" w:after="0" w:afterAutospacing="0"/>
              <w:jc w:val="right"/>
              <w:textAlignment w:val="center"/>
              <w:rPr>
                <w:rFonts w:asciiTheme="minorEastAsia" w:eastAsiaTheme="minorEastAsia" w:hAnsiTheme="minorEastAsia" w:cs="Times New Roman" w:hint="eastAsia"/>
                <w:sz w:val="18"/>
                <w:szCs w:val="18"/>
              </w:rPr>
            </w:pPr>
            <w:r w:rsidRPr="00DE4098">
              <w:rPr>
                <w:rFonts w:asciiTheme="minorEastAsia" w:eastAsiaTheme="minorEastAsia" w:hAnsiTheme="minorEastAsia" w:cs="Arial"/>
                <w:color w:val="000000"/>
                <w:sz w:val="18"/>
                <w:szCs w:val="18"/>
              </w:rPr>
              <w:t>6,820,070,489.26</w:t>
            </w:r>
          </w:p>
        </w:tc>
        <w:tc>
          <w:tcPr>
            <w:tcW w:w="1700" w:type="dxa"/>
            <w:tcMar>
              <w:top w:w="0" w:type="dxa"/>
              <w:left w:w="108" w:type="dxa"/>
              <w:bottom w:w="0" w:type="dxa"/>
              <w:right w:w="108" w:type="dxa"/>
            </w:tcMar>
            <w:vAlign w:val="center"/>
            <w:hideMark/>
          </w:tcPr>
          <w:p w14:paraId="7554D64A" w14:textId="77777777" w:rsidR="00E72F0C" w:rsidRPr="00DE4098" w:rsidRDefault="00107901">
            <w:pPr>
              <w:pStyle w:val="a3"/>
              <w:spacing w:before="0" w:beforeAutospacing="0" w:after="0" w:afterAutospacing="0"/>
              <w:jc w:val="right"/>
              <w:textAlignment w:val="center"/>
              <w:rPr>
                <w:rFonts w:asciiTheme="minorEastAsia" w:eastAsiaTheme="minorEastAsia" w:hAnsiTheme="minorEastAsia" w:cs="Times New Roman" w:hint="eastAsia"/>
                <w:sz w:val="18"/>
                <w:szCs w:val="18"/>
              </w:rPr>
            </w:pPr>
            <w:r w:rsidRPr="00DE4098">
              <w:rPr>
                <w:rFonts w:asciiTheme="minorEastAsia" w:eastAsiaTheme="minorEastAsia" w:hAnsiTheme="minorEastAsia" w:cs="Arial"/>
                <w:color w:val="000000"/>
                <w:sz w:val="18"/>
                <w:szCs w:val="18"/>
              </w:rPr>
              <w:t>3,773,412,919.57</w:t>
            </w:r>
          </w:p>
        </w:tc>
        <w:tc>
          <w:tcPr>
            <w:tcW w:w="1404" w:type="dxa"/>
            <w:tcMar>
              <w:top w:w="0" w:type="dxa"/>
              <w:left w:w="108" w:type="dxa"/>
              <w:bottom w:w="0" w:type="dxa"/>
              <w:right w:w="108" w:type="dxa"/>
            </w:tcMar>
            <w:vAlign w:val="center"/>
            <w:hideMark/>
          </w:tcPr>
          <w:p w14:paraId="52ADBBAF" w14:textId="77777777" w:rsidR="00E72F0C" w:rsidRPr="00DE4098" w:rsidRDefault="00107901">
            <w:pPr>
              <w:pStyle w:val="a3"/>
              <w:spacing w:before="0" w:beforeAutospacing="0" w:after="0" w:afterAutospacing="0" w:line="360" w:lineRule="atLeast"/>
              <w:ind w:right="-61"/>
              <w:jc w:val="center"/>
              <w:rPr>
                <w:rFonts w:asciiTheme="minorEastAsia" w:eastAsiaTheme="minorEastAsia" w:hAnsiTheme="minorEastAsia" w:cs="Times New Roman" w:hint="eastAsia"/>
                <w:sz w:val="18"/>
                <w:szCs w:val="18"/>
              </w:rPr>
            </w:pPr>
            <w:r w:rsidRPr="00DE4098">
              <w:rPr>
                <w:rFonts w:asciiTheme="minorEastAsia" w:eastAsiaTheme="minorEastAsia" w:hAnsiTheme="minorEastAsia" w:cs="Times New Roman"/>
                <w:sz w:val="18"/>
                <w:szCs w:val="18"/>
              </w:rPr>
              <w:t> </w:t>
            </w:r>
          </w:p>
        </w:tc>
        <w:tc>
          <w:tcPr>
            <w:tcW w:w="2894" w:type="dxa"/>
            <w:tcMar>
              <w:top w:w="0" w:type="dxa"/>
              <w:left w:w="108" w:type="dxa"/>
              <w:bottom w:w="0" w:type="dxa"/>
              <w:right w:w="108" w:type="dxa"/>
            </w:tcMar>
            <w:vAlign w:val="center"/>
            <w:hideMark/>
          </w:tcPr>
          <w:p w14:paraId="6E060A81" w14:textId="77777777" w:rsidR="00E72F0C" w:rsidRPr="00DE4098" w:rsidRDefault="00107901">
            <w:pPr>
              <w:pStyle w:val="a3"/>
              <w:spacing w:before="0" w:beforeAutospacing="0" w:after="0" w:afterAutospacing="0" w:line="360" w:lineRule="atLeast"/>
              <w:ind w:right="-61"/>
              <w:jc w:val="center"/>
              <w:rPr>
                <w:rFonts w:asciiTheme="minorEastAsia" w:eastAsiaTheme="minorEastAsia" w:hAnsiTheme="minorEastAsia" w:cs="Times New Roman" w:hint="eastAsia"/>
                <w:sz w:val="18"/>
                <w:szCs w:val="18"/>
              </w:rPr>
            </w:pPr>
            <w:r w:rsidRPr="00DE4098">
              <w:rPr>
                <w:rFonts w:asciiTheme="minorEastAsia" w:eastAsiaTheme="minorEastAsia" w:hAnsiTheme="minorEastAsia" w:cs="Times New Roman"/>
                <w:sz w:val="18"/>
                <w:szCs w:val="18"/>
              </w:rPr>
              <w:t>/</w:t>
            </w:r>
          </w:p>
        </w:tc>
      </w:tr>
    </w:tbl>
    <w:p w14:paraId="07C3AD64" w14:textId="77777777" w:rsidR="00632E5B" w:rsidRDefault="00107901">
      <w:pPr>
        <w:pStyle w:val="2"/>
        <w:spacing w:before="300" w:after="300" w:line="320" w:lineRule="exact"/>
        <w:rPr>
          <w:rFonts w:ascii="宋体" w:eastAsia="宋体" w:hAnsi="宋体" w:cs="宋体" w:hint="eastAsia"/>
          <w:b/>
          <w:bCs/>
          <w:sz w:val="24"/>
          <w:szCs w:val="24"/>
        </w:rPr>
      </w:pPr>
      <w:bookmarkStart w:id="36" w:name="_Toc988925"/>
      <w:r>
        <w:rPr>
          <w:rFonts w:ascii="宋体" w:eastAsia="宋体" w:hAnsi="宋体" w:cs="宋体"/>
          <w:b/>
          <w:bCs/>
          <w:sz w:val="24"/>
          <w:szCs w:val="24"/>
        </w:rPr>
        <w:lastRenderedPageBreak/>
        <w:t>七、投资状况分析</w:t>
      </w:r>
      <w:bookmarkEnd w:id="36"/>
    </w:p>
    <w:p w14:paraId="78DF7CBD" w14:textId="77777777" w:rsidR="00632E5B" w:rsidRDefault="00107901">
      <w:pPr>
        <w:pStyle w:val="3"/>
        <w:spacing w:line="280" w:lineRule="exact"/>
        <w:jc w:val="left"/>
        <w:rPr>
          <w:rFonts w:ascii="宋体" w:hAnsi="宋体" w:cs="宋体" w:hint="eastAsia"/>
          <w:b/>
          <w:bCs/>
        </w:rPr>
      </w:pPr>
      <w:bookmarkStart w:id="37" w:name="_Toc988926"/>
      <w:r>
        <w:rPr>
          <w:rFonts w:ascii="宋体" w:hAnsi="宋体" w:cs="宋体"/>
          <w:b/>
          <w:bCs/>
        </w:rPr>
        <w:t>1、总体情况</w:t>
      </w:r>
      <w:bookmarkEnd w:id="37"/>
    </w:p>
    <w:p w14:paraId="30C14D55"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02C0744C" w14:textId="77777777" w:rsidR="00632E5B" w:rsidRDefault="00107901">
      <w:pPr>
        <w:pStyle w:val="3"/>
        <w:spacing w:line="280" w:lineRule="exact"/>
        <w:jc w:val="left"/>
        <w:rPr>
          <w:rFonts w:ascii="宋体" w:hAnsi="宋体" w:cs="宋体" w:hint="eastAsia"/>
          <w:b/>
          <w:bCs/>
        </w:rPr>
      </w:pPr>
      <w:bookmarkStart w:id="38" w:name="_Toc988927"/>
      <w:r>
        <w:rPr>
          <w:rFonts w:ascii="宋体" w:hAnsi="宋体" w:cs="宋体"/>
          <w:b/>
          <w:bCs/>
        </w:rPr>
        <w:t>2、报告期内获取的重大的股权投资情况</w:t>
      </w:r>
      <w:bookmarkEnd w:id="38"/>
    </w:p>
    <w:p w14:paraId="2C3A46DA"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52BCD85D" w14:textId="77777777" w:rsidR="00632E5B" w:rsidRDefault="00107901">
      <w:pPr>
        <w:pStyle w:val="3"/>
        <w:spacing w:line="280" w:lineRule="exact"/>
        <w:jc w:val="left"/>
        <w:rPr>
          <w:rFonts w:ascii="宋体" w:hAnsi="宋体" w:cs="宋体" w:hint="eastAsia"/>
          <w:b/>
          <w:bCs/>
        </w:rPr>
      </w:pPr>
      <w:bookmarkStart w:id="39" w:name="_Toc988928"/>
      <w:r>
        <w:rPr>
          <w:rFonts w:ascii="宋体" w:hAnsi="宋体" w:cs="宋体"/>
          <w:b/>
          <w:bCs/>
        </w:rPr>
        <w:t>3、报告期内正在进行的重大的非股权投资情况</w:t>
      </w:r>
      <w:bookmarkEnd w:id="39"/>
    </w:p>
    <w:p w14:paraId="31C536FC"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5DB3B28" w14:textId="77777777" w:rsidR="00632E5B" w:rsidRDefault="00107901">
      <w:pPr>
        <w:pStyle w:val="3"/>
        <w:spacing w:line="280" w:lineRule="exact"/>
        <w:jc w:val="left"/>
        <w:rPr>
          <w:rFonts w:ascii="宋体" w:hAnsi="宋体" w:cs="宋体" w:hint="eastAsia"/>
          <w:b/>
          <w:bCs/>
        </w:rPr>
      </w:pPr>
      <w:bookmarkStart w:id="40" w:name="_Toc988929"/>
      <w:r>
        <w:rPr>
          <w:rFonts w:ascii="宋体" w:hAnsi="宋体" w:cs="宋体"/>
          <w:b/>
          <w:bCs/>
        </w:rPr>
        <w:t>4、金融资产投资</w:t>
      </w:r>
      <w:bookmarkEnd w:id="40"/>
    </w:p>
    <w:p w14:paraId="76797706" w14:textId="77777777" w:rsidR="00632E5B" w:rsidRDefault="00107901">
      <w:pPr>
        <w:keepNext/>
        <w:keepLines/>
        <w:spacing w:before="300" w:after="300" w:line="280" w:lineRule="exact"/>
        <w:outlineLvl w:val="3"/>
        <w:rPr>
          <w:rFonts w:ascii="宋体" w:eastAsia="宋体" w:hAnsi="宋体" w:cs="宋体" w:hint="eastAsia"/>
          <w:b/>
          <w:bCs/>
          <w:sz w:val="18"/>
          <w:szCs w:val="18"/>
        </w:rPr>
      </w:pPr>
      <w:bookmarkStart w:id="41" w:name="_Toc988930"/>
      <w:r>
        <w:rPr>
          <w:rFonts w:ascii="宋体" w:eastAsia="宋体" w:hAnsi="宋体" w:cs="宋体"/>
          <w:b/>
          <w:bCs/>
          <w:sz w:val="18"/>
          <w:szCs w:val="18"/>
        </w:rPr>
        <w:t>（1） 证券投资情况</w:t>
      </w:r>
      <w:bookmarkEnd w:id="41"/>
    </w:p>
    <w:p w14:paraId="2CD80702"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7691ABDE" w14:textId="77777777" w:rsidR="00632E5B" w:rsidRDefault="00107901">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689"/>
        <w:gridCol w:w="689"/>
        <w:gridCol w:w="689"/>
        <w:gridCol w:w="689"/>
        <w:gridCol w:w="689"/>
        <w:gridCol w:w="689"/>
        <w:gridCol w:w="689"/>
        <w:gridCol w:w="688"/>
        <w:gridCol w:w="688"/>
        <w:gridCol w:w="688"/>
        <w:gridCol w:w="688"/>
        <w:gridCol w:w="688"/>
        <w:gridCol w:w="688"/>
        <w:gridCol w:w="688"/>
      </w:tblGrid>
      <w:tr w:rsidR="00632E5B" w14:paraId="095C3686" w14:textId="77777777" w:rsidTr="00D954C5">
        <w:trPr>
          <w:trHeight w:val="240"/>
        </w:trPr>
        <w:tc>
          <w:tcPr>
            <w:tcW w:w="689" w:type="dxa"/>
            <w:shd w:val="clear" w:color="auto" w:fill="FFFFFF" w:themeFill="background1"/>
            <w:vAlign w:val="center"/>
          </w:tcPr>
          <w:p w14:paraId="4D7B632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证券品种</w:t>
            </w:r>
          </w:p>
        </w:tc>
        <w:tc>
          <w:tcPr>
            <w:tcW w:w="689" w:type="dxa"/>
            <w:shd w:val="clear" w:color="auto" w:fill="FFFFFF" w:themeFill="background1"/>
            <w:vAlign w:val="center"/>
          </w:tcPr>
          <w:p w14:paraId="1198952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证券代码</w:t>
            </w:r>
          </w:p>
        </w:tc>
        <w:tc>
          <w:tcPr>
            <w:tcW w:w="689" w:type="dxa"/>
            <w:shd w:val="clear" w:color="auto" w:fill="FFFFFF" w:themeFill="background1"/>
            <w:vAlign w:val="center"/>
          </w:tcPr>
          <w:p w14:paraId="259FEBC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证券简称</w:t>
            </w:r>
          </w:p>
        </w:tc>
        <w:tc>
          <w:tcPr>
            <w:tcW w:w="689" w:type="dxa"/>
            <w:shd w:val="clear" w:color="auto" w:fill="FFFFFF" w:themeFill="background1"/>
            <w:vAlign w:val="center"/>
          </w:tcPr>
          <w:p w14:paraId="032480D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最初投资成本</w:t>
            </w:r>
          </w:p>
        </w:tc>
        <w:tc>
          <w:tcPr>
            <w:tcW w:w="689" w:type="dxa"/>
            <w:shd w:val="clear" w:color="auto" w:fill="FFFFFF" w:themeFill="background1"/>
            <w:vAlign w:val="center"/>
          </w:tcPr>
          <w:p w14:paraId="2A6E97C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会计计量模式</w:t>
            </w:r>
          </w:p>
        </w:tc>
        <w:tc>
          <w:tcPr>
            <w:tcW w:w="689" w:type="dxa"/>
            <w:shd w:val="clear" w:color="auto" w:fill="FFFFFF" w:themeFill="background1"/>
            <w:vAlign w:val="center"/>
          </w:tcPr>
          <w:p w14:paraId="6FC0D26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期初账面价值</w:t>
            </w:r>
          </w:p>
        </w:tc>
        <w:tc>
          <w:tcPr>
            <w:tcW w:w="689" w:type="dxa"/>
            <w:shd w:val="clear" w:color="auto" w:fill="FFFFFF" w:themeFill="background1"/>
            <w:vAlign w:val="center"/>
          </w:tcPr>
          <w:p w14:paraId="5354C3F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本期公允价值变动损益</w:t>
            </w:r>
          </w:p>
        </w:tc>
        <w:tc>
          <w:tcPr>
            <w:tcW w:w="689" w:type="dxa"/>
            <w:shd w:val="clear" w:color="auto" w:fill="FFFFFF" w:themeFill="background1"/>
            <w:vAlign w:val="center"/>
          </w:tcPr>
          <w:p w14:paraId="75EE88A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计入权益的累计公允价值变动</w:t>
            </w:r>
          </w:p>
        </w:tc>
        <w:tc>
          <w:tcPr>
            <w:tcW w:w="689" w:type="dxa"/>
            <w:shd w:val="clear" w:color="auto" w:fill="FFFFFF" w:themeFill="background1"/>
            <w:vAlign w:val="center"/>
          </w:tcPr>
          <w:p w14:paraId="5AFDA27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本期购买金额</w:t>
            </w:r>
          </w:p>
        </w:tc>
        <w:tc>
          <w:tcPr>
            <w:tcW w:w="689" w:type="dxa"/>
            <w:shd w:val="clear" w:color="auto" w:fill="FFFFFF" w:themeFill="background1"/>
            <w:vAlign w:val="center"/>
          </w:tcPr>
          <w:p w14:paraId="4F4FB99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本期出售金额</w:t>
            </w:r>
          </w:p>
        </w:tc>
        <w:tc>
          <w:tcPr>
            <w:tcW w:w="689" w:type="dxa"/>
            <w:shd w:val="clear" w:color="auto" w:fill="FFFFFF" w:themeFill="background1"/>
            <w:vAlign w:val="center"/>
          </w:tcPr>
          <w:p w14:paraId="408F3BA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报告期损益</w:t>
            </w:r>
          </w:p>
        </w:tc>
        <w:tc>
          <w:tcPr>
            <w:tcW w:w="689" w:type="dxa"/>
            <w:shd w:val="clear" w:color="auto" w:fill="FFFFFF" w:themeFill="background1"/>
            <w:vAlign w:val="center"/>
          </w:tcPr>
          <w:p w14:paraId="51EF79A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期末账面价值</w:t>
            </w:r>
          </w:p>
        </w:tc>
        <w:tc>
          <w:tcPr>
            <w:tcW w:w="689" w:type="dxa"/>
            <w:shd w:val="clear" w:color="auto" w:fill="FFFFFF" w:themeFill="background1"/>
            <w:vAlign w:val="center"/>
          </w:tcPr>
          <w:p w14:paraId="6B1B30F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会计核算科目</w:t>
            </w:r>
          </w:p>
        </w:tc>
        <w:tc>
          <w:tcPr>
            <w:tcW w:w="689" w:type="dxa"/>
            <w:shd w:val="clear" w:color="auto" w:fill="FFFFFF" w:themeFill="background1"/>
            <w:vAlign w:val="center"/>
          </w:tcPr>
          <w:p w14:paraId="0D336FF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资金来源</w:t>
            </w:r>
          </w:p>
        </w:tc>
      </w:tr>
      <w:tr w:rsidR="00632E5B" w14:paraId="31DFEF22" w14:textId="77777777" w:rsidTr="00D954C5">
        <w:trPr>
          <w:trHeight w:val="240"/>
        </w:trPr>
        <w:tc>
          <w:tcPr>
            <w:tcW w:w="689" w:type="dxa"/>
            <w:shd w:val="clear" w:color="auto" w:fill="FFFFFF" w:themeFill="background1"/>
            <w:vAlign w:val="center"/>
          </w:tcPr>
          <w:p w14:paraId="31A45E9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境内外股票</w:t>
            </w:r>
          </w:p>
        </w:tc>
        <w:tc>
          <w:tcPr>
            <w:tcW w:w="689" w:type="dxa"/>
            <w:shd w:val="clear" w:color="auto" w:fill="FFFFFF" w:themeFill="background1"/>
            <w:vAlign w:val="center"/>
          </w:tcPr>
          <w:p w14:paraId="09CD8B4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832280</w:t>
            </w:r>
          </w:p>
        </w:tc>
        <w:tc>
          <w:tcPr>
            <w:tcW w:w="689" w:type="dxa"/>
            <w:shd w:val="clear" w:color="auto" w:fill="FFFFFF" w:themeFill="background1"/>
            <w:vAlign w:val="center"/>
          </w:tcPr>
          <w:p w14:paraId="2D64835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创元期货</w:t>
            </w:r>
          </w:p>
        </w:tc>
        <w:tc>
          <w:tcPr>
            <w:tcW w:w="689" w:type="dxa"/>
            <w:shd w:val="clear" w:color="auto" w:fill="FFFFFF" w:themeFill="background1"/>
            <w:vAlign w:val="center"/>
          </w:tcPr>
          <w:p w14:paraId="040ED5E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20,757,000.00</w:t>
            </w:r>
          </w:p>
        </w:tc>
        <w:tc>
          <w:tcPr>
            <w:tcW w:w="689" w:type="dxa"/>
            <w:shd w:val="clear" w:color="auto" w:fill="FFFFFF" w:themeFill="background1"/>
            <w:vAlign w:val="center"/>
          </w:tcPr>
          <w:p w14:paraId="4830D51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公允价值计量</w:t>
            </w:r>
          </w:p>
        </w:tc>
        <w:tc>
          <w:tcPr>
            <w:tcW w:w="689" w:type="dxa"/>
            <w:shd w:val="clear" w:color="auto" w:fill="FFFFFF" w:themeFill="background1"/>
            <w:vAlign w:val="center"/>
          </w:tcPr>
          <w:p w14:paraId="146B827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39,623,360.00</w:t>
            </w:r>
          </w:p>
        </w:tc>
        <w:tc>
          <w:tcPr>
            <w:tcW w:w="689" w:type="dxa"/>
            <w:shd w:val="clear" w:color="auto" w:fill="FFFFFF" w:themeFill="background1"/>
            <w:vAlign w:val="center"/>
          </w:tcPr>
          <w:p w14:paraId="7B79B28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-10,296,860.00</w:t>
            </w:r>
          </w:p>
        </w:tc>
        <w:tc>
          <w:tcPr>
            <w:tcW w:w="689" w:type="dxa"/>
            <w:shd w:val="clear" w:color="auto" w:fill="FFFFFF" w:themeFill="background1"/>
            <w:vAlign w:val="center"/>
          </w:tcPr>
          <w:p w14:paraId="06C3AD7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8,569,500.00</w:t>
            </w:r>
          </w:p>
        </w:tc>
        <w:tc>
          <w:tcPr>
            <w:tcW w:w="689" w:type="dxa"/>
            <w:shd w:val="clear" w:color="auto" w:fill="FFFFFF" w:themeFill="background1"/>
            <w:vAlign w:val="center"/>
          </w:tcPr>
          <w:p w14:paraId="1BE21A1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689" w:type="dxa"/>
            <w:shd w:val="clear" w:color="auto" w:fill="FFFFFF" w:themeFill="background1"/>
            <w:vAlign w:val="center"/>
          </w:tcPr>
          <w:p w14:paraId="4C0F2A1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689" w:type="dxa"/>
            <w:shd w:val="clear" w:color="auto" w:fill="FFFFFF" w:themeFill="background1"/>
            <w:vAlign w:val="center"/>
          </w:tcPr>
          <w:p w14:paraId="7CCD758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689" w:type="dxa"/>
            <w:shd w:val="clear" w:color="auto" w:fill="FFFFFF" w:themeFill="background1"/>
            <w:vAlign w:val="center"/>
          </w:tcPr>
          <w:p w14:paraId="71220A4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29,326,500.00</w:t>
            </w:r>
          </w:p>
        </w:tc>
        <w:tc>
          <w:tcPr>
            <w:tcW w:w="689" w:type="dxa"/>
            <w:shd w:val="clear" w:color="auto" w:fill="FFFFFF" w:themeFill="background1"/>
            <w:vAlign w:val="center"/>
          </w:tcPr>
          <w:p w14:paraId="41F1A1B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交易性金融资产</w:t>
            </w:r>
          </w:p>
        </w:tc>
        <w:tc>
          <w:tcPr>
            <w:tcW w:w="689" w:type="dxa"/>
            <w:shd w:val="clear" w:color="auto" w:fill="FFFFFF" w:themeFill="background1"/>
            <w:vAlign w:val="center"/>
          </w:tcPr>
          <w:p w14:paraId="6DD57B1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自有资金</w:t>
            </w:r>
          </w:p>
        </w:tc>
      </w:tr>
      <w:tr w:rsidR="00632E5B" w14:paraId="03ECC7B0" w14:textId="77777777" w:rsidTr="00D954C5">
        <w:trPr>
          <w:trHeight w:val="240"/>
        </w:trPr>
        <w:tc>
          <w:tcPr>
            <w:tcW w:w="2066" w:type="dxa"/>
            <w:gridSpan w:val="3"/>
            <w:shd w:val="clear" w:color="auto" w:fill="FFFFFF" w:themeFill="background1"/>
            <w:vAlign w:val="center"/>
          </w:tcPr>
          <w:p w14:paraId="76E5B3C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689" w:type="dxa"/>
            <w:shd w:val="clear" w:color="auto" w:fill="FFFFFF" w:themeFill="background1"/>
            <w:vAlign w:val="center"/>
          </w:tcPr>
          <w:p w14:paraId="652FD87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20,757,000.00</w:t>
            </w:r>
          </w:p>
        </w:tc>
        <w:tc>
          <w:tcPr>
            <w:tcW w:w="689" w:type="dxa"/>
            <w:shd w:val="clear" w:color="auto" w:fill="FFFFFF" w:themeFill="background1"/>
            <w:vAlign w:val="center"/>
          </w:tcPr>
          <w:p w14:paraId="779096D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689" w:type="dxa"/>
            <w:shd w:val="clear" w:color="auto" w:fill="FFFFFF" w:themeFill="background1"/>
            <w:vAlign w:val="center"/>
          </w:tcPr>
          <w:p w14:paraId="00F86E4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39,623,360.00</w:t>
            </w:r>
          </w:p>
        </w:tc>
        <w:tc>
          <w:tcPr>
            <w:tcW w:w="689" w:type="dxa"/>
            <w:shd w:val="clear" w:color="auto" w:fill="FFFFFF" w:themeFill="background1"/>
            <w:vAlign w:val="center"/>
          </w:tcPr>
          <w:p w14:paraId="55AAA90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-10,296,860.00</w:t>
            </w:r>
          </w:p>
        </w:tc>
        <w:tc>
          <w:tcPr>
            <w:tcW w:w="689" w:type="dxa"/>
            <w:shd w:val="clear" w:color="auto" w:fill="FFFFFF" w:themeFill="background1"/>
            <w:vAlign w:val="center"/>
          </w:tcPr>
          <w:p w14:paraId="0F233D3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8,569,500.00</w:t>
            </w:r>
          </w:p>
        </w:tc>
        <w:tc>
          <w:tcPr>
            <w:tcW w:w="689" w:type="dxa"/>
            <w:shd w:val="clear" w:color="auto" w:fill="FFFFFF" w:themeFill="background1"/>
            <w:vAlign w:val="center"/>
          </w:tcPr>
          <w:p w14:paraId="55F0842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689" w:type="dxa"/>
            <w:shd w:val="clear" w:color="auto" w:fill="FFFFFF" w:themeFill="background1"/>
            <w:vAlign w:val="center"/>
          </w:tcPr>
          <w:p w14:paraId="070BB5B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689" w:type="dxa"/>
            <w:shd w:val="clear" w:color="auto" w:fill="FFFFFF" w:themeFill="background1"/>
            <w:vAlign w:val="center"/>
          </w:tcPr>
          <w:p w14:paraId="6746577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689" w:type="dxa"/>
            <w:shd w:val="clear" w:color="auto" w:fill="FFFFFF" w:themeFill="background1"/>
            <w:vAlign w:val="center"/>
          </w:tcPr>
          <w:p w14:paraId="109635F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29,326,500.00</w:t>
            </w:r>
          </w:p>
        </w:tc>
        <w:tc>
          <w:tcPr>
            <w:tcW w:w="689" w:type="dxa"/>
            <w:shd w:val="clear" w:color="auto" w:fill="FFFFFF" w:themeFill="background1"/>
            <w:vAlign w:val="center"/>
          </w:tcPr>
          <w:p w14:paraId="6DA208D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689" w:type="dxa"/>
            <w:shd w:val="clear" w:color="auto" w:fill="FFFFFF" w:themeFill="background1"/>
            <w:vAlign w:val="center"/>
          </w:tcPr>
          <w:p w14:paraId="7C3B244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r>
      <w:tr w:rsidR="00632E5B" w14:paraId="51E274B4" w14:textId="77777777" w:rsidTr="00D954C5">
        <w:trPr>
          <w:trHeight w:val="240"/>
        </w:trPr>
        <w:tc>
          <w:tcPr>
            <w:tcW w:w="2066" w:type="dxa"/>
            <w:gridSpan w:val="3"/>
            <w:shd w:val="clear" w:color="auto" w:fill="FFFFFF" w:themeFill="background1"/>
            <w:vAlign w:val="center"/>
          </w:tcPr>
          <w:p w14:paraId="2DB56E73"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证券投资审批董事会公告披露日期</w:t>
            </w:r>
          </w:p>
        </w:tc>
        <w:tc>
          <w:tcPr>
            <w:tcW w:w="7574" w:type="dxa"/>
            <w:gridSpan w:val="11"/>
            <w:shd w:val="clear" w:color="auto" w:fill="FFFFFF" w:themeFill="background1"/>
            <w:vAlign w:val="center"/>
          </w:tcPr>
          <w:p w14:paraId="245AFE8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2012年05月17日</w:t>
            </w:r>
          </w:p>
        </w:tc>
      </w:tr>
    </w:tbl>
    <w:p w14:paraId="77A3EF0F" w14:textId="77777777" w:rsidR="00632E5B" w:rsidRDefault="00107901">
      <w:pPr>
        <w:keepNext/>
        <w:keepLines/>
        <w:spacing w:before="300" w:after="300" w:line="280" w:lineRule="exact"/>
        <w:outlineLvl w:val="3"/>
        <w:rPr>
          <w:rFonts w:ascii="宋体" w:eastAsia="宋体" w:hAnsi="宋体" w:cs="宋体" w:hint="eastAsia"/>
          <w:b/>
          <w:bCs/>
          <w:sz w:val="18"/>
          <w:szCs w:val="18"/>
        </w:rPr>
      </w:pPr>
      <w:bookmarkStart w:id="42" w:name="_Toc988931"/>
      <w:r>
        <w:rPr>
          <w:rFonts w:ascii="宋体" w:eastAsia="宋体" w:hAnsi="宋体" w:cs="宋体"/>
          <w:b/>
          <w:bCs/>
          <w:sz w:val="18"/>
          <w:szCs w:val="18"/>
        </w:rPr>
        <w:t>（2） 衍生品投资情况</w:t>
      </w:r>
      <w:bookmarkEnd w:id="42"/>
    </w:p>
    <w:p w14:paraId="67171233"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B222330"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公司报告期不存在衍生品投资。</w:t>
      </w:r>
    </w:p>
    <w:p w14:paraId="2B421A47" w14:textId="77777777" w:rsidR="00A60474" w:rsidRDefault="00A60474">
      <w:pPr>
        <w:pStyle w:val="3"/>
        <w:spacing w:line="280" w:lineRule="exact"/>
        <w:jc w:val="left"/>
        <w:rPr>
          <w:rFonts w:ascii="宋体" w:hAnsi="宋体" w:cs="宋体" w:hint="eastAsia"/>
          <w:b/>
          <w:bCs/>
        </w:rPr>
        <w:sectPr w:rsidR="00A60474" w:rsidSect="00E90C20">
          <w:pgSz w:w="11905" w:h="16840"/>
          <w:pgMar w:top="1440" w:right="1134" w:bottom="1440" w:left="1134" w:header="850" w:footer="992" w:gutter="0"/>
          <w:cols w:space="720"/>
          <w:docGrid w:type="linesAndChars" w:linePitch="312"/>
        </w:sectPr>
      </w:pPr>
      <w:bookmarkStart w:id="43" w:name="_Toc988932"/>
    </w:p>
    <w:p w14:paraId="67ACE185" w14:textId="2AAF89B1" w:rsidR="00632E5B" w:rsidRDefault="00107901">
      <w:pPr>
        <w:pStyle w:val="3"/>
        <w:spacing w:line="280" w:lineRule="exact"/>
        <w:jc w:val="left"/>
        <w:rPr>
          <w:rFonts w:ascii="宋体" w:hAnsi="宋体" w:cs="宋体" w:hint="eastAsia"/>
          <w:b/>
          <w:bCs/>
        </w:rPr>
      </w:pPr>
      <w:r>
        <w:rPr>
          <w:rFonts w:ascii="宋体" w:hAnsi="宋体" w:cs="宋体"/>
          <w:b/>
          <w:bCs/>
        </w:rPr>
        <w:lastRenderedPageBreak/>
        <w:t>5、募集资金使用情况</w:t>
      </w:r>
      <w:bookmarkEnd w:id="43"/>
    </w:p>
    <w:p w14:paraId="6E549989"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3E92FE07" w14:textId="77777777" w:rsidR="00632E5B" w:rsidRDefault="00107901">
      <w:pPr>
        <w:keepNext/>
        <w:keepLines/>
        <w:spacing w:before="300" w:after="300" w:line="280" w:lineRule="exact"/>
        <w:outlineLvl w:val="3"/>
        <w:rPr>
          <w:rFonts w:ascii="宋体" w:eastAsia="宋体" w:hAnsi="宋体" w:cs="宋体" w:hint="eastAsia"/>
          <w:b/>
          <w:bCs/>
          <w:sz w:val="18"/>
          <w:szCs w:val="18"/>
        </w:rPr>
      </w:pPr>
      <w:bookmarkStart w:id="44" w:name="_Toc988933"/>
      <w:r>
        <w:rPr>
          <w:rFonts w:ascii="宋体" w:eastAsia="宋体" w:hAnsi="宋体" w:cs="宋体"/>
          <w:b/>
          <w:bCs/>
          <w:sz w:val="18"/>
          <w:szCs w:val="18"/>
        </w:rPr>
        <w:t>（1） 募集资金总体使用情况</w:t>
      </w:r>
      <w:bookmarkEnd w:id="44"/>
    </w:p>
    <w:p w14:paraId="282823B1"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26EE0C47" w14:textId="77777777" w:rsidR="00632E5B" w:rsidRDefault="00107901">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单位：万元</w:t>
      </w:r>
    </w:p>
    <w:tbl>
      <w:tblPr>
        <w:tblW w:w="1350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689"/>
        <w:gridCol w:w="1435"/>
        <w:gridCol w:w="1596"/>
        <w:gridCol w:w="1049"/>
        <w:gridCol w:w="1134"/>
        <w:gridCol w:w="709"/>
        <w:gridCol w:w="992"/>
        <w:gridCol w:w="850"/>
        <w:gridCol w:w="709"/>
        <w:gridCol w:w="992"/>
        <w:gridCol w:w="688"/>
        <w:gridCol w:w="588"/>
        <w:gridCol w:w="688"/>
        <w:gridCol w:w="1345"/>
        <w:gridCol w:w="44"/>
      </w:tblGrid>
      <w:tr w:rsidR="00DE03DB" w14:paraId="6B46221F" w14:textId="77777777" w:rsidTr="00D954C5">
        <w:trPr>
          <w:gridAfter w:val="1"/>
          <w:wAfter w:w="44" w:type="dxa"/>
          <w:trHeight w:val="240"/>
          <w:jc w:val="center"/>
        </w:trPr>
        <w:tc>
          <w:tcPr>
            <w:tcW w:w="689" w:type="dxa"/>
            <w:shd w:val="clear" w:color="auto" w:fill="FFFFFF" w:themeFill="background1"/>
            <w:vAlign w:val="center"/>
          </w:tcPr>
          <w:p w14:paraId="1559C48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募集年份</w:t>
            </w:r>
          </w:p>
        </w:tc>
        <w:tc>
          <w:tcPr>
            <w:tcW w:w="1435" w:type="dxa"/>
            <w:shd w:val="clear" w:color="auto" w:fill="FFFFFF" w:themeFill="background1"/>
            <w:vAlign w:val="center"/>
          </w:tcPr>
          <w:p w14:paraId="2FD451F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募集方式</w:t>
            </w:r>
          </w:p>
        </w:tc>
        <w:tc>
          <w:tcPr>
            <w:tcW w:w="1596" w:type="dxa"/>
            <w:shd w:val="clear" w:color="auto" w:fill="FFFFFF" w:themeFill="background1"/>
            <w:vAlign w:val="center"/>
          </w:tcPr>
          <w:p w14:paraId="7F5A61E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证券上市日期</w:t>
            </w:r>
          </w:p>
        </w:tc>
        <w:tc>
          <w:tcPr>
            <w:tcW w:w="1049" w:type="dxa"/>
            <w:shd w:val="clear" w:color="auto" w:fill="FFFFFF" w:themeFill="background1"/>
            <w:vAlign w:val="center"/>
          </w:tcPr>
          <w:p w14:paraId="496AB29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募集资金总额</w:t>
            </w:r>
          </w:p>
        </w:tc>
        <w:tc>
          <w:tcPr>
            <w:tcW w:w="1134" w:type="dxa"/>
            <w:shd w:val="clear" w:color="auto" w:fill="FFFFFF" w:themeFill="background1"/>
            <w:vAlign w:val="center"/>
          </w:tcPr>
          <w:p w14:paraId="1D51EC0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募集资金净额（1）</w:t>
            </w:r>
          </w:p>
        </w:tc>
        <w:tc>
          <w:tcPr>
            <w:tcW w:w="709" w:type="dxa"/>
            <w:shd w:val="clear" w:color="auto" w:fill="FFFFFF" w:themeFill="background1"/>
            <w:vAlign w:val="center"/>
          </w:tcPr>
          <w:p w14:paraId="6AD9741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本期已使用募集资金总额</w:t>
            </w:r>
          </w:p>
        </w:tc>
        <w:tc>
          <w:tcPr>
            <w:tcW w:w="992" w:type="dxa"/>
            <w:shd w:val="clear" w:color="auto" w:fill="FFFFFF" w:themeFill="background1"/>
            <w:vAlign w:val="center"/>
          </w:tcPr>
          <w:p w14:paraId="3348114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已累计使用募集资金总额（2）</w:t>
            </w:r>
          </w:p>
        </w:tc>
        <w:tc>
          <w:tcPr>
            <w:tcW w:w="850" w:type="dxa"/>
            <w:shd w:val="clear" w:color="auto" w:fill="FFFFFF" w:themeFill="background1"/>
            <w:vAlign w:val="center"/>
          </w:tcPr>
          <w:p w14:paraId="6ECC29D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报告期末募集资金使用比例（3）=（2）/（1）</w:t>
            </w:r>
          </w:p>
        </w:tc>
        <w:tc>
          <w:tcPr>
            <w:tcW w:w="709" w:type="dxa"/>
            <w:shd w:val="clear" w:color="auto" w:fill="FFFFFF" w:themeFill="background1"/>
            <w:vAlign w:val="center"/>
          </w:tcPr>
          <w:p w14:paraId="296EBEE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报告期内变更用途的募集资金总额</w:t>
            </w:r>
          </w:p>
        </w:tc>
        <w:tc>
          <w:tcPr>
            <w:tcW w:w="992" w:type="dxa"/>
            <w:shd w:val="clear" w:color="auto" w:fill="FFFFFF" w:themeFill="background1"/>
            <w:vAlign w:val="center"/>
          </w:tcPr>
          <w:p w14:paraId="189F7A6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累计变更用途的募集资金总额</w:t>
            </w:r>
          </w:p>
        </w:tc>
        <w:tc>
          <w:tcPr>
            <w:tcW w:w="688" w:type="dxa"/>
            <w:shd w:val="clear" w:color="auto" w:fill="FFFFFF" w:themeFill="background1"/>
            <w:vAlign w:val="center"/>
          </w:tcPr>
          <w:p w14:paraId="3928191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累计变更用途的募集资金总额比例</w:t>
            </w:r>
          </w:p>
        </w:tc>
        <w:tc>
          <w:tcPr>
            <w:tcW w:w="588" w:type="dxa"/>
            <w:shd w:val="clear" w:color="auto" w:fill="FFFFFF" w:themeFill="background1"/>
            <w:vAlign w:val="center"/>
          </w:tcPr>
          <w:p w14:paraId="52564B8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尚未使用募集资金总额</w:t>
            </w:r>
          </w:p>
        </w:tc>
        <w:tc>
          <w:tcPr>
            <w:tcW w:w="688" w:type="dxa"/>
            <w:shd w:val="clear" w:color="auto" w:fill="FFFFFF" w:themeFill="background1"/>
            <w:vAlign w:val="center"/>
          </w:tcPr>
          <w:p w14:paraId="539BAC1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尚未使用募集资金用途及去向</w:t>
            </w:r>
          </w:p>
        </w:tc>
        <w:tc>
          <w:tcPr>
            <w:tcW w:w="1345" w:type="dxa"/>
            <w:shd w:val="clear" w:color="auto" w:fill="FFFFFF" w:themeFill="background1"/>
            <w:vAlign w:val="center"/>
          </w:tcPr>
          <w:p w14:paraId="1626D85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闲置两年以上募集资金金额</w:t>
            </w:r>
          </w:p>
        </w:tc>
      </w:tr>
      <w:tr w:rsidR="00632E5B" w:rsidRPr="00DE03DB" w14:paraId="58BC5ACB" w14:textId="77777777" w:rsidTr="00D954C5">
        <w:trPr>
          <w:gridAfter w:val="1"/>
          <w:wAfter w:w="44" w:type="dxa"/>
          <w:trHeight w:val="240"/>
          <w:jc w:val="center"/>
        </w:trPr>
        <w:tc>
          <w:tcPr>
            <w:tcW w:w="689" w:type="dxa"/>
            <w:shd w:val="clear" w:color="auto" w:fill="FFFFFF" w:themeFill="background1"/>
            <w:vAlign w:val="center"/>
          </w:tcPr>
          <w:p w14:paraId="7C97F904" w14:textId="77777777" w:rsidR="00632E5B" w:rsidRPr="00DE03DB" w:rsidRDefault="00107901">
            <w:pPr>
              <w:spacing w:line="240" w:lineRule="exact"/>
              <w:rPr>
                <w:rFonts w:ascii="宋体" w:eastAsia="宋体" w:hAnsi="宋体" w:cs="宋体" w:hint="eastAsia"/>
                <w:sz w:val="15"/>
                <w:szCs w:val="18"/>
              </w:rPr>
            </w:pPr>
            <w:r w:rsidRPr="00DE03DB">
              <w:rPr>
                <w:rFonts w:ascii="宋体" w:eastAsia="宋体" w:hAnsi="宋体" w:cs="宋体"/>
                <w:sz w:val="15"/>
                <w:szCs w:val="18"/>
              </w:rPr>
              <w:t>2017</w:t>
            </w:r>
          </w:p>
        </w:tc>
        <w:tc>
          <w:tcPr>
            <w:tcW w:w="1435" w:type="dxa"/>
            <w:shd w:val="clear" w:color="auto" w:fill="FFFFFF" w:themeFill="background1"/>
            <w:vAlign w:val="center"/>
          </w:tcPr>
          <w:p w14:paraId="6D391519" w14:textId="77777777" w:rsidR="00632E5B" w:rsidRPr="00DE03DB" w:rsidRDefault="00107901">
            <w:pPr>
              <w:spacing w:line="240" w:lineRule="exact"/>
              <w:rPr>
                <w:rFonts w:ascii="宋体" w:eastAsia="宋体" w:hAnsi="宋体" w:cs="宋体" w:hint="eastAsia"/>
                <w:sz w:val="15"/>
                <w:szCs w:val="18"/>
              </w:rPr>
            </w:pPr>
            <w:r w:rsidRPr="00DE03DB">
              <w:rPr>
                <w:rFonts w:ascii="宋体" w:eastAsia="宋体" w:hAnsi="宋体" w:cs="宋体"/>
                <w:sz w:val="15"/>
                <w:szCs w:val="18"/>
              </w:rPr>
              <w:t>非公开发行股票</w:t>
            </w:r>
          </w:p>
        </w:tc>
        <w:tc>
          <w:tcPr>
            <w:tcW w:w="1596" w:type="dxa"/>
            <w:shd w:val="clear" w:color="auto" w:fill="FFFFFF" w:themeFill="background1"/>
            <w:vAlign w:val="center"/>
          </w:tcPr>
          <w:p w14:paraId="41EB49A8" w14:textId="77777777" w:rsidR="00632E5B" w:rsidRPr="00DE03DB" w:rsidRDefault="00107901">
            <w:pPr>
              <w:spacing w:line="240" w:lineRule="exact"/>
              <w:rPr>
                <w:rFonts w:ascii="宋体" w:eastAsia="宋体" w:hAnsi="宋体" w:cs="宋体" w:hint="eastAsia"/>
                <w:sz w:val="15"/>
                <w:szCs w:val="18"/>
              </w:rPr>
            </w:pPr>
            <w:r w:rsidRPr="00DE03DB">
              <w:rPr>
                <w:rFonts w:ascii="宋体" w:eastAsia="宋体" w:hAnsi="宋体" w:cs="宋体"/>
                <w:sz w:val="15"/>
                <w:szCs w:val="18"/>
              </w:rPr>
              <w:t>2018年01月22日</w:t>
            </w:r>
          </w:p>
        </w:tc>
        <w:tc>
          <w:tcPr>
            <w:tcW w:w="1049" w:type="dxa"/>
            <w:shd w:val="clear" w:color="auto" w:fill="FFFFFF" w:themeFill="background1"/>
            <w:vAlign w:val="center"/>
          </w:tcPr>
          <w:p w14:paraId="7A758952" w14:textId="77777777" w:rsidR="00632E5B" w:rsidRPr="00DE03DB" w:rsidRDefault="00107901">
            <w:pPr>
              <w:spacing w:line="240" w:lineRule="exact"/>
              <w:jc w:val="right"/>
              <w:rPr>
                <w:rFonts w:ascii="宋体" w:eastAsia="宋体" w:hAnsi="宋体" w:cs="宋体" w:hint="eastAsia"/>
                <w:sz w:val="15"/>
                <w:szCs w:val="18"/>
              </w:rPr>
            </w:pPr>
            <w:r w:rsidRPr="00DE03DB">
              <w:rPr>
                <w:rFonts w:ascii="宋体" w:eastAsia="宋体" w:hAnsi="宋体" w:cs="宋体"/>
                <w:sz w:val="15"/>
                <w:szCs w:val="18"/>
              </w:rPr>
              <w:t>310,614.45</w:t>
            </w:r>
          </w:p>
        </w:tc>
        <w:tc>
          <w:tcPr>
            <w:tcW w:w="1134" w:type="dxa"/>
            <w:shd w:val="clear" w:color="auto" w:fill="FFFFFF" w:themeFill="background1"/>
            <w:vAlign w:val="center"/>
          </w:tcPr>
          <w:p w14:paraId="0A220016" w14:textId="77777777" w:rsidR="00632E5B" w:rsidRPr="00DE03DB" w:rsidRDefault="00107901">
            <w:pPr>
              <w:spacing w:line="240" w:lineRule="exact"/>
              <w:jc w:val="right"/>
              <w:rPr>
                <w:rFonts w:ascii="宋体" w:eastAsia="宋体" w:hAnsi="宋体" w:cs="宋体" w:hint="eastAsia"/>
                <w:sz w:val="15"/>
                <w:szCs w:val="18"/>
              </w:rPr>
            </w:pPr>
            <w:r w:rsidRPr="00DE03DB">
              <w:rPr>
                <w:rFonts w:ascii="宋体" w:eastAsia="宋体" w:hAnsi="宋体" w:cs="宋体"/>
                <w:sz w:val="15"/>
                <w:szCs w:val="18"/>
              </w:rPr>
              <w:t>308,482.18</w:t>
            </w:r>
          </w:p>
        </w:tc>
        <w:tc>
          <w:tcPr>
            <w:tcW w:w="709" w:type="dxa"/>
            <w:shd w:val="clear" w:color="auto" w:fill="FFFFFF" w:themeFill="background1"/>
            <w:vAlign w:val="center"/>
          </w:tcPr>
          <w:p w14:paraId="5569F1AE" w14:textId="77777777" w:rsidR="00632E5B" w:rsidRPr="00DE03DB" w:rsidRDefault="00107901">
            <w:pPr>
              <w:spacing w:line="240" w:lineRule="exact"/>
              <w:jc w:val="right"/>
              <w:rPr>
                <w:rFonts w:ascii="宋体" w:eastAsia="宋体" w:hAnsi="宋体" w:cs="宋体" w:hint="eastAsia"/>
                <w:sz w:val="15"/>
                <w:szCs w:val="18"/>
              </w:rPr>
            </w:pPr>
            <w:r w:rsidRPr="00DE03DB">
              <w:rPr>
                <w:rFonts w:ascii="宋体" w:eastAsia="宋体" w:hAnsi="宋体" w:cs="宋体"/>
                <w:sz w:val="15"/>
                <w:szCs w:val="18"/>
              </w:rPr>
              <w:t>10.16</w:t>
            </w:r>
          </w:p>
        </w:tc>
        <w:tc>
          <w:tcPr>
            <w:tcW w:w="992" w:type="dxa"/>
            <w:shd w:val="clear" w:color="auto" w:fill="FFFFFF" w:themeFill="background1"/>
            <w:vAlign w:val="center"/>
          </w:tcPr>
          <w:p w14:paraId="5C69880F" w14:textId="77777777" w:rsidR="00632E5B" w:rsidRPr="00DE03DB" w:rsidRDefault="00107901">
            <w:pPr>
              <w:spacing w:line="240" w:lineRule="exact"/>
              <w:jc w:val="right"/>
              <w:rPr>
                <w:rFonts w:ascii="宋体" w:eastAsia="宋体" w:hAnsi="宋体" w:cs="宋体" w:hint="eastAsia"/>
                <w:sz w:val="15"/>
                <w:szCs w:val="18"/>
              </w:rPr>
            </w:pPr>
            <w:r w:rsidRPr="00DE03DB">
              <w:rPr>
                <w:rFonts w:ascii="宋体" w:eastAsia="宋体" w:hAnsi="宋体" w:cs="宋体"/>
                <w:sz w:val="15"/>
                <w:szCs w:val="18"/>
              </w:rPr>
              <w:t>308,500.89</w:t>
            </w:r>
          </w:p>
        </w:tc>
        <w:tc>
          <w:tcPr>
            <w:tcW w:w="850" w:type="dxa"/>
            <w:shd w:val="clear" w:color="auto" w:fill="FFFFFF" w:themeFill="background1"/>
            <w:vAlign w:val="center"/>
          </w:tcPr>
          <w:p w14:paraId="57959E36" w14:textId="77777777" w:rsidR="00632E5B" w:rsidRPr="00DE03DB" w:rsidRDefault="00107901">
            <w:pPr>
              <w:spacing w:line="240" w:lineRule="exact"/>
              <w:jc w:val="right"/>
              <w:rPr>
                <w:rFonts w:ascii="宋体" w:eastAsia="宋体" w:hAnsi="宋体" w:cs="宋体" w:hint="eastAsia"/>
                <w:sz w:val="15"/>
                <w:szCs w:val="18"/>
              </w:rPr>
            </w:pPr>
            <w:r w:rsidRPr="00DE03DB">
              <w:rPr>
                <w:rFonts w:ascii="宋体" w:eastAsia="宋体" w:hAnsi="宋体" w:cs="宋体"/>
                <w:sz w:val="15"/>
                <w:szCs w:val="18"/>
              </w:rPr>
              <w:t>100.01%</w:t>
            </w:r>
          </w:p>
        </w:tc>
        <w:tc>
          <w:tcPr>
            <w:tcW w:w="709" w:type="dxa"/>
            <w:shd w:val="clear" w:color="auto" w:fill="FFFFFF" w:themeFill="background1"/>
            <w:vAlign w:val="center"/>
          </w:tcPr>
          <w:p w14:paraId="21E353A3" w14:textId="77777777" w:rsidR="00632E5B" w:rsidRPr="00DE03DB" w:rsidRDefault="00107901">
            <w:pPr>
              <w:spacing w:line="240" w:lineRule="exact"/>
              <w:jc w:val="right"/>
              <w:rPr>
                <w:rFonts w:ascii="宋体" w:eastAsia="宋体" w:hAnsi="宋体" w:cs="宋体" w:hint="eastAsia"/>
                <w:sz w:val="15"/>
                <w:szCs w:val="18"/>
              </w:rPr>
            </w:pPr>
            <w:r w:rsidRPr="00DE03DB">
              <w:rPr>
                <w:rFonts w:ascii="宋体" w:eastAsia="宋体" w:hAnsi="宋体" w:cs="宋体"/>
                <w:sz w:val="15"/>
                <w:szCs w:val="18"/>
              </w:rPr>
              <w:t>0</w:t>
            </w:r>
          </w:p>
        </w:tc>
        <w:tc>
          <w:tcPr>
            <w:tcW w:w="992" w:type="dxa"/>
            <w:shd w:val="clear" w:color="auto" w:fill="FFFFFF" w:themeFill="background1"/>
            <w:vAlign w:val="center"/>
          </w:tcPr>
          <w:p w14:paraId="290C5BC6" w14:textId="77777777" w:rsidR="00632E5B" w:rsidRPr="00DE03DB" w:rsidRDefault="00107901">
            <w:pPr>
              <w:spacing w:line="240" w:lineRule="exact"/>
              <w:jc w:val="right"/>
              <w:rPr>
                <w:rFonts w:ascii="宋体" w:eastAsia="宋体" w:hAnsi="宋体" w:cs="宋体" w:hint="eastAsia"/>
                <w:sz w:val="15"/>
                <w:szCs w:val="18"/>
              </w:rPr>
            </w:pPr>
            <w:r w:rsidRPr="00DE03DB">
              <w:rPr>
                <w:rFonts w:ascii="宋体" w:eastAsia="宋体" w:hAnsi="宋体" w:cs="宋体"/>
                <w:sz w:val="15"/>
                <w:szCs w:val="18"/>
              </w:rPr>
              <w:t>152,281.74</w:t>
            </w:r>
          </w:p>
        </w:tc>
        <w:tc>
          <w:tcPr>
            <w:tcW w:w="688" w:type="dxa"/>
            <w:shd w:val="clear" w:color="auto" w:fill="FFFFFF" w:themeFill="background1"/>
            <w:vAlign w:val="center"/>
          </w:tcPr>
          <w:p w14:paraId="5A298050" w14:textId="77777777" w:rsidR="00632E5B" w:rsidRPr="00DE03DB" w:rsidRDefault="00107901">
            <w:pPr>
              <w:spacing w:line="240" w:lineRule="exact"/>
              <w:jc w:val="right"/>
              <w:rPr>
                <w:rFonts w:ascii="宋体" w:eastAsia="宋体" w:hAnsi="宋体" w:cs="宋体" w:hint="eastAsia"/>
                <w:sz w:val="15"/>
                <w:szCs w:val="18"/>
              </w:rPr>
            </w:pPr>
            <w:r w:rsidRPr="00DE03DB">
              <w:rPr>
                <w:rFonts w:ascii="宋体" w:eastAsia="宋体" w:hAnsi="宋体" w:cs="宋体"/>
                <w:sz w:val="15"/>
                <w:szCs w:val="18"/>
              </w:rPr>
              <w:t>49.36%</w:t>
            </w:r>
          </w:p>
        </w:tc>
        <w:tc>
          <w:tcPr>
            <w:tcW w:w="588" w:type="dxa"/>
            <w:shd w:val="clear" w:color="auto" w:fill="FFFFFF" w:themeFill="background1"/>
            <w:vAlign w:val="center"/>
          </w:tcPr>
          <w:p w14:paraId="052C5E8C" w14:textId="77777777" w:rsidR="00632E5B" w:rsidRPr="00DE03DB" w:rsidRDefault="00107901">
            <w:pPr>
              <w:spacing w:line="240" w:lineRule="exact"/>
              <w:jc w:val="right"/>
              <w:rPr>
                <w:rFonts w:ascii="宋体" w:eastAsia="宋体" w:hAnsi="宋体" w:cs="宋体" w:hint="eastAsia"/>
                <w:sz w:val="15"/>
                <w:szCs w:val="18"/>
              </w:rPr>
            </w:pPr>
            <w:r w:rsidRPr="00DE03DB">
              <w:rPr>
                <w:rFonts w:ascii="宋体" w:eastAsia="宋体" w:hAnsi="宋体" w:cs="宋体"/>
                <w:sz w:val="15"/>
                <w:szCs w:val="18"/>
              </w:rPr>
              <w:t>0</w:t>
            </w:r>
          </w:p>
        </w:tc>
        <w:tc>
          <w:tcPr>
            <w:tcW w:w="688" w:type="dxa"/>
            <w:shd w:val="clear" w:color="auto" w:fill="FFFFFF" w:themeFill="background1"/>
            <w:vAlign w:val="center"/>
          </w:tcPr>
          <w:p w14:paraId="1233E067" w14:textId="77777777" w:rsidR="00632E5B" w:rsidRPr="00DE03DB" w:rsidRDefault="00107901">
            <w:pPr>
              <w:spacing w:line="240" w:lineRule="exact"/>
              <w:rPr>
                <w:rFonts w:ascii="宋体" w:eastAsia="宋体" w:hAnsi="宋体" w:cs="宋体" w:hint="eastAsia"/>
                <w:sz w:val="15"/>
                <w:szCs w:val="18"/>
              </w:rPr>
            </w:pPr>
            <w:r w:rsidRPr="00DE03DB">
              <w:rPr>
                <w:rFonts w:ascii="宋体" w:eastAsia="宋体" w:hAnsi="宋体" w:cs="宋体"/>
                <w:sz w:val="15"/>
                <w:szCs w:val="18"/>
              </w:rPr>
              <w:t>不适用</w:t>
            </w:r>
          </w:p>
        </w:tc>
        <w:tc>
          <w:tcPr>
            <w:tcW w:w="1345" w:type="dxa"/>
            <w:shd w:val="clear" w:color="auto" w:fill="FFFFFF" w:themeFill="background1"/>
            <w:vAlign w:val="center"/>
          </w:tcPr>
          <w:p w14:paraId="6B348417" w14:textId="77777777" w:rsidR="00632E5B" w:rsidRPr="00DE03DB" w:rsidRDefault="00107901">
            <w:pPr>
              <w:spacing w:line="240" w:lineRule="exact"/>
              <w:jc w:val="right"/>
              <w:rPr>
                <w:rFonts w:ascii="宋体" w:eastAsia="宋体" w:hAnsi="宋体" w:cs="宋体" w:hint="eastAsia"/>
                <w:sz w:val="15"/>
                <w:szCs w:val="18"/>
              </w:rPr>
            </w:pPr>
            <w:r w:rsidRPr="00DE03DB">
              <w:rPr>
                <w:rFonts w:ascii="宋体" w:eastAsia="宋体" w:hAnsi="宋体" w:cs="宋体"/>
                <w:sz w:val="15"/>
                <w:szCs w:val="18"/>
              </w:rPr>
              <w:t>0</w:t>
            </w:r>
          </w:p>
        </w:tc>
      </w:tr>
      <w:tr w:rsidR="00632E5B" w14:paraId="3A1D2C93" w14:textId="77777777" w:rsidTr="00D954C5">
        <w:trPr>
          <w:gridAfter w:val="1"/>
          <w:wAfter w:w="44" w:type="dxa"/>
          <w:trHeight w:val="240"/>
          <w:jc w:val="center"/>
        </w:trPr>
        <w:tc>
          <w:tcPr>
            <w:tcW w:w="689" w:type="dxa"/>
            <w:shd w:val="clear" w:color="auto" w:fill="FFFFFF" w:themeFill="background1"/>
            <w:vAlign w:val="center"/>
          </w:tcPr>
          <w:p w14:paraId="4CF4021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合计</w:t>
            </w:r>
          </w:p>
        </w:tc>
        <w:tc>
          <w:tcPr>
            <w:tcW w:w="1435" w:type="dxa"/>
            <w:shd w:val="clear" w:color="auto" w:fill="FFFFFF" w:themeFill="background1"/>
            <w:vAlign w:val="center"/>
          </w:tcPr>
          <w:p w14:paraId="4800750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1596" w:type="dxa"/>
            <w:shd w:val="clear" w:color="auto" w:fill="FFFFFF" w:themeFill="background1"/>
            <w:vAlign w:val="center"/>
          </w:tcPr>
          <w:p w14:paraId="5497985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1049" w:type="dxa"/>
            <w:shd w:val="clear" w:color="auto" w:fill="FFFFFF" w:themeFill="background1"/>
            <w:vAlign w:val="center"/>
          </w:tcPr>
          <w:p w14:paraId="56BC1DEB" w14:textId="77777777" w:rsidR="00632E5B" w:rsidRPr="00DE03DB" w:rsidRDefault="00107901">
            <w:pPr>
              <w:spacing w:line="240" w:lineRule="exact"/>
              <w:jc w:val="right"/>
              <w:rPr>
                <w:rFonts w:ascii="宋体" w:eastAsia="宋体" w:hAnsi="宋体" w:cs="宋体" w:hint="eastAsia"/>
                <w:sz w:val="15"/>
                <w:szCs w:val="18"/>
              </w:rPr>
            </w:pPr>
            <w:r w:rsidRPr="00DE03DB">
              <w:rPr>
                <w:rFonts w:ascii="宋体" w:eastAsia="宋体" w:hAnsi="宋体" w:cs="宋体"/>
                <w:sz w:val="15"/>
                <w:szCs w:val="18"/>
              </w:rPr>
              <w:t>310,614.45</w:t>
            </w:r>
          </w:p>
        </w:tc>
        <w:tc>
          <w:tcPr>
            <w:tcW w:w="1134" w:type="dxa"/>
            <w:shd w:val="clear" w:color="auto" w:fill="FFFFFF" w:themeFill="background1"/>
            <w:vAlign w:val="center"/>
          </w:tcPr>
          <w:p w14:paraId="09D491D2" w14:textId="77777777" w:rsidR="00632E5B" w:rsidRPr="00DE03DB" w:rsidRDefault="00107901">
            <w:pPr>
              <w:spacing w:line="240" w:lineRule="exact"/>
              <w:jc w:val="right"/>
              <w:rPr>
                <w:rFonts w:ascii="宋体" w:eastAsia="宋体" w:hAnsi="宋体" w:cs="宋体" w:hint="eastAsia"/>
                <w:sz w:val="15"/>
                <w:szCs w:val="18"/>
              </w:rPr>
            </w:pPr>
            <w:r w:rsidRPr="00DE03DB">
              <w:rPr>
                <w:rFonts w:ascii="宋体" w:eastAsia="宋体" w:hAnsi="宋体" w:cs="宋体"/>
                <w:sz w:val="15"/>
                <w:szCs w:val="18"/>
              </w:rPr>
              <w:t>308,482.18</w:t>
            </w:r>
          </w:p>
        </w:tc>
        <w:tc>
          <w:tcPr>
            <w:tcW w:w="709" w:type="dxa"/>
            <w:shd w:val="clear" w:color="auto" w:fill="FFFFFF" w:themeFill="background1"/>
            <w:vAlign w:val="center"/>
          </w:tcPr>
          <w:p w14:paraId="3AEAE9C6" w14:textId="77777777" w:rsidR="00632E5B" w:rsidRPr="00DE03DB" w:rsidRDefault="00107901">
            <w:pPr>
              <w:spacing w:line="240" w:lineRule="exact"/>
              <w:jc w:val="right"/>
              <w:rPr>
                <w:rFonts w:ascii="宋体" w:eastAsia="宋体" w:hAnsi="宋体" w:cs="宋体" w:hint="eastAsia"/>
                <w:sz w:val="15"/>
                <w:szCs w:val="18"/>
              </w:rPr>
            </w:pPr>
            <w:r w:rsidRPr="00DE03DB">
              <w:rPr>
                <w:rFonts w:ascii="宋体" w:eastAsia="宋体" w:hAnsi="宋体" w:cs="宋体"/>
                <w:sz w:val="15"/>
                <w:szCs w:val="18"/>
              </w:rPr>
              <w:t>10.16</w:t>
            </w:r>
          </w:p>
        </w:tc>
        <w:tc>
          <w:tcPr>
            <w:tcW w:w="992" w:type="dxa"/>
            <w:shd w:val="clear" w:color="auto" w:fill="FFFFFF" w:themeFill="background1"/>
            <w:vAlign w:val="center"/>
          </w:tcPr>
          <w:p w14:paraId="61172B84" w14:textId="77777777" w:rsidR="00632E5B" w:rsidRPr="00DE03DB" w:rsidRDefault="00107901">
            <w:pPr>
              <w:spacing w:line="240" w:lineRule="exact"/>
              <w:jc w:val="right"/>
              <w:rPr>
                <w:rFonts w:ascii="宋体" w:eastAsia="宋体" w:hAnsi="宋体" w:cs="宋体" w:hint="eastAsia"/>
                <w:sz w:val="15"/>
                <w:szCs w:val="18"/>
              </w:rPr>
            </w:pPr>
            <w:r w:rsidRPr="00DE03DB">
              <w:rPr>
                <w:rFonts w:ascii="宋体" w:eastAsia="宋体" w:hAnsi="宋体" w:cs="宋体"/>
                <w:sz w:val="15"/>
                <w:szCs w:val="18"/>
              </w:rPr>
              <w:t>308,500.89</w:t>
            </w:r>
          </w:p>
        </w:tc>
        <w:tc>
          <w:tcPr>
            <w:tcW w:w="850" w:type="dxa"/>
            <w:shd w:val="clear" w:color="auto" w:fill="FFFFFF" w:themeFill="background1"/>
            <w:vAlign w:val="center"/>
          </w:tcPr>
          <w:p w14:paraId="50ED57F2" w14:textId="77777777" w:rsidR="00632E5B" w:rsidRPr="00DE03DB" w:rsidRDefault="00107901">
            <w:pPr>
              <w:spacing w:line="240" w:lineRule="exact"/>
              <w:jc w:val="right"/>
              <w:rPr>
                <w:rFonts w:ascii="宋体" w:eastAsia="宋体" w:hAnsi="宋体" w:cs="宋体" w:hint="eastAsia"/>
                <w:sz w:val="15"/>
                <w:szCs w:val="18"/>
              </w:rPr>
            </w:pPr>
            <w:r w:rsidRPr="00DE03DB">
              <w:rPr>
                <w:rFonts w:ascii="宋体" w:eastAsia="宋体" w:hAnsi="宋体" w:cs="宋体"/>
                <w:sz w:val="15"/>
                <w:szCs w:val="18"/>
              </w:rPr>
              <w:t>100.01%</w:t>
            </w:r>
          </w:p>
        </w:tc>
        <w:tc>
          <w:tcPr>
            <w:tcW w:w="709" w:type="dxa"/>
            <w:shd w:val="clear" w:color="auto" w:fill="FFFFFF" w:themeFill="background1"/>
            <w:vAlign w:val="center"/>
          </w:tcPr>
          <w:p w14:paraId="3C53B575" w14:textId="77777777" w:rsidR="00632E5B" w:rsidRPr="00DE03DB" w:rsidRDefault="00107901">
            <w:pPr>
              <w:spacing w:line="240" w:lineRule="exact"/>
              <w:jc w:val="right"/>
              <w:rPr>
                <w:rFonts w:ascii="宋体" w:eastAsia="宋体" w:hAnsi="宋体" w:cs="宋体" w:hint="eastAsia"/>
                <w:sz w:val="15"/>
                <w:szCs w:val="18"/>
              </w:rPr>
            </w:pPr>
            <w:r w:rsidRPr="00DE03DB">
              <w:rPr>
                <w:rFonts w:ascii="宋体" w:eastAsia="宋体" w:hAnsi="宋体" w:cs="宋体"/>
                <w:sz w:val="15"/>
                <w:szCs w:val="18"/>
              </w:rPr>
              <w:t>0</w:t>
            </w:r>
          </w:p>
        </w:tc>
        <w:tc>
          <w:tcPr>
            <w:tcW w:w="992" w:type="dxa"/>
            <w:shd w:val="clear" w:color="auto" w:fill="FFFFFF" w:themeFill="background1"/>
            <w:vAlign w:val="center"/>
          </w:tcPr>
          <w:p w14:paraId="72651B79" w14:textId="77777777" w:rsidR="00632E5B" w:rsidRPr="00DE03DB" w:rsidRDefault="00107901">
            <w:pPr>
              <w:spacing w:line="240" w:lineRule="exact"/>
              <w:jc w:val="right"/>
              <w:rPr>
                <w:rFonts w:ascii="宋体" w:eastAsia="宋体" w:hAnsi="宋体" w:cs="宋体" w:hint="eastAsia"/>
                <w:sz w:val="15"/>
                <w:szCs w:val="18"/>
              </w:rPr>
            </w:pPr>
            <w:r w:rsidRPr="00DE03DB">
              <w:rPr>
                <w:rFonts w:ascii="宋体" w:eastAsia="宋体" w:hAnsi="宋体" w:cs="宋体"/>
                <w:sz w:val="15"/>
                <w:szCs w:val="18"/>
              </w:rPr>
              <w:t>152,281.74</w:t>
            </w:r>
          </w:p>
        </w:tc>
        <w:tc>
          <w:tcPr>
            <w:tcW w:w="688" w:type="dxa"/>
            <w:shd w:val="clear" w:color="auto" w:fill="FFFFFF" w:themeFill="background1"/>
            <w:vAlign w:val="center"/>
          </w:tcPr>
          <w:p w14:paraId="2BDBE639" w14:textId="77777777" w:rsidR="00632E5B" w:rsidRPr="00DE03DB" w:rsidRDefault="00107901">
            <w:pPr>
              <w:spacing w:line="240" w:lineRule="exact"/>
              <w:jc w:val="right"/>
              <w:rPr>
                <w:rFonts w:ascii="宋体" w:eastAsia="宋体" w:hAnsi="宋体" w:cs="宋体" w:hint="eastAsia"/>
                <w:sz w:val="15"/>
                <w:szCs w:val="18"/>
              </w:rPr>
            </w:pPr>
            <w:r w:rsidRPr="00DE03DB">
              <w:rPr>
                <w:rFonts w:ascii="宋体" w:eastAsia="宋体" w:hAnsi="宋体" w:cs="宋体"/>
                <w:sz w:val="15"/>
                <w:szCs w:val="18"/>
              </w:rPr>
              <w:t>49.36%</w:t>
            </w:r>
          </w:p>
        </w:tc>
        <w:tc>
          <w:tcPr>
            <w:tcW w:w="588" w:type="dxa"/>
            <w:shd w:val="clear" w:color="auto" w:fill="FFFFFF" w:themeFill="background1"/>
            <w:vAlign w:val="center"/>
          </w:tcPr>
          <w:p w14:paraId="2E1BD686" w14:textId="77777777" w:rsidR="00632E5B" w:rsidRPr="00DE03DB" w:rsidRDefault="00107901">
            <w:pPr>
              <w:spacing w:line="240" w:lineRule="exact"/>
              <w:jc w:val="right"/>
              <w:rPr>
                <w:rFonts w:ascii="宋体" w:eastAsia="宋体" w:hAnsi="宋体" w:cs="宋体" w:hint="eastAsia"/>
                <w:sz w:val="15"/>
                <w:szCs w:val="18"/>
              </w:rPr>
            </w:pPr>
            <w:r w:rsidRPr="00DE03DB">
              <w:rPr>
                <w:rFonts w:ascii="宋体" w:eastAsia="宋体" w:hAnsi="宋体" w:cs="宋体"/>
                <w:sz w:val="15"/>
                <w:szCs w:val="18"/>
              </w:rPr>
              <w:t>0</w:t>
            </w:r>
          </w:p>
        </w:tc>
        <w:tc>
          <w:tcPr>
            <w:tcW w:w="688" w:type="dxa"/>
            <w:shd w:val="clear" w:color="auto" w:fill="FFFFFF" w:themeFill="background1"/>
            <w:vAlign w:val="center"/>
          </w:tcPr>
          <w:p w14:paraId="7D01A6E5" w14:textId="77777777" w:rsidR="00632E5B" w:rsidRPr="00DE03DB" w:rsidRDefault="00107901">
            <w:pPr>
              <w:spacing w:before="40" w:after="40" w:line="240" w:lineRule="exact"/>
              <w:jc w:val="center"/>
              <w:rPr>
                <w:rFonts w:ascii="宋体" w:eastAsia="宋体" w:hAnsi="宋体" w:cs="宋体" w:hint="eastAsia"/>
                <w:sz w:val="15"/>
                <w:szCs w:val="18"/>
              </w:rPr>
            </w:pPr>
            <w:r w:rsidRPr="00DE03DB">
              <w:rPr>
                <w:rFonts w:ascii="宋体" w:eastAsia="宋体" w:hAnsi="宋体" w:cs="宋体"/>
                <w:sz w:val="15"/>
                <w:szCs w:val="18"/>
              </w:rPr>
              <w:t>--</w:t>
            </w:r>
          </w:p>
        </w:tc>
        <w:tc>
          <w:tcPr>
            <w:tcW w:w="1345" w:type="dxa"/>
            <w:shd w:val="clear" w:color="auto" w:fill="FFFFFF" w:themeFill="background1"/>
            <w:vAlign w:val="center"/>
          </w:tcPr>
          <w:p w14:paraId="436CA5B0" w14:textId="77777777" w:rsidR="00632E5B" w:rsidRPr="00DE03DB" w:rsidRDefault="00107901">
            <w:pPr>
              <w:spacing w:line="240" w:lineRule="exact"/>
              <w:jc w:val="right"/>
              <w:rPr>
                <w:rFonts w:ascii="宋体" w:eastAsia="宋体" w:hAnsi="宋体" w:cs="宋体" w:hint="eastAsia"/>
                <w:sz w:val="15"/>
                <w:szCs w:val="18"/>
              </w:rPr>
            </w:pPr>
            <w:r w:rsidRPr="00DE03DB">
              <w:rPr>
                <w:rFonts w:ascii="宋体" w:eastAsia="宋体" w:hAnsi="宋体" w:cs="宋体"/>
                <w:sz w:val="15"/>
                <w:szCs w:val="18"/>
              </w:rPr>
              <w:t>0</w:t>
            </w:r>
          </w:p>
        </w:tc>
      </w:tr>
      <w:tr w:rsidR="00632E5B" w14:paraId="2362FB7F" w14:textId="77777777" w:rsidTr="00D954C5">
        <w:trPr>
          <w:trHeight w:val="240"/>
          <w:jc w:val="center"/>
        </w:trPr>
        <w:tc>
          <w:tcPr>
            <w:tcW w:w="13508" w:type="dxa"/>
            <w:gridSpan w:val="15"/>
            <w:shd w:val="clear" w:color="auto" w:fill="FFFFFF" w:themeFill="background1"/>
            <w:vAlign w:val="center"/>
          </w:tcPr>
          <w:p w14:paraId="0C43E2D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募集资金总体使用情况说明</w:t>
            </w:r>
          </w:p>
        </w:tc>
      </w:tr>
      <w:tr w:rsidR="00632E5B" w14:paraId="01D9F063" w14:textId="77777777" w:rsidTr="00D954C5">
        <w:trPr>
          <w:trHeight w:val="240"/>
          <w:jc w:val="center"/>
        </w:trPr>
        <w:tc>
          <w:tcPr>
            <w:tcW w:w="13508" w:type="dxa"/>
            <w:gridSpan w:val="15"/>
            <w:shd w:val="clear" w:color="auto" w:fill="FFFFFF" w:themeFill="background1"/>
            <w:vAlign w:val="center"/>
          </w:tcPr>
          <w:p w14:paraId="27570E5B" w14:textId="77777777" w:rsidR="00632E5B" w:rsidRDefault="00107901" w:rsidP="00127DD8">
            <w:pPr>
              <w:spacing w:line="240" w:lineRule="exact"/>
              <w:jc w:val="both"/>
              <w:rPr>
                <w:rFonts w:ascii="宋体" w:eastAsia="宋体" w:hAnsi="宋体" w:cs="宋体" w:hint="eastAsia"/>
                <w:sz w:val="18"/>
                <w:szCs w:val="18"/>
              </w:rPr>
            </w:pPr>
            <w:r>
              <w:rPr>
                <w:rFonts w:ascii="宋体" w:eastAsia="宋体" w:hAnsi="宋体" w:cs="宋体"/>
                <w:sz w:val="18"/>
                <w:szCs w:val="18"/>
              </w:rPr>
              <w:t xml:space="preserve">    2017年非公开发行股票募集资金：根据公司2015年第五次、2016年第六次、2016年第八次以及2017年第二次临时股东大会决议，并经中国证券监督管理委员会证监许可[2017]1591号《关于核准江苏中利集团股份有限公司非公开发行股票的批复》核准，公司非公开发行人民币普通股（A股）股票232,670,000股，每股面值人民币1.00元，每股发行价人民币13.35元，募集资金总额为人民币3,106,144,500.00元，扣除发行费用人民币21,322,670.00元后，实际募集资金净额为人民币3,084,821,830.00元。上述募集资金实际到位时间为2017年12月29日，存入公司募集资金专用账户。以上非公开发行新股募集的资金已经天衡会计师事务所（特殊普通合伙）审验，并出具了天衡验字（2017）00164号《验资报告》。</w:t>
            </w:r>
          </w:p>
          <w:p w14:paraId="51CE7D05" w14:textId="77777777" w:rsidR="00632E5B" w:rsidRDefault="00107901" w:rsidP="00127DD8">
            <w:pPr>
              <w:spacing w:line="240" w:lineRule="exact"/>
              <w:jc w:val="both"/>
              <w:rPr>
                <w:rFonts w:ascii="宋体" w:eastAsia="宋体" w:hAnsi="宋体" w:cs="宋体" w:hint="eastAsia"/>
                <w:sz w:val="18"/>
                <w:szCs w:val="18"/>
              </w:rPr>
            </w:pPr>
            <w:r>
              <w:rPr>
                <w:rFonts w:ascii="宋体" w:eastAsia="宋体" w:hAnsi="宋体" w:cs="宋体"/>
                <w:sz w:val="18"/>
                <w:szCs w:val="18"/>
              </w:rPr>
              <w:t xml:space="preserve">    公司第四届董事会2018年第一次临时会议审议通过了《关于公司使用募集资金对全资子公司腾晖光伏进行增资的议案》，同意公司拟以募集资金106,200.44万元按1元现金出资认缴一元注册资本的比例，出资认缴苏州腾晖光伏技术有限公司新增注册资本，本次增资完成后，腾晖光伏的注册资本将由296,500.654076万元增至402,701.094076万元，仍为公司的全资子公司。</w:t>
            </w:r>
          </w:p>
          <w:p w14:paraId="799EF8FD" w14:textId="77777777" w:rsidR="00632E5B" w:rsidRDefault="00107901" w:rsidP="00127DD8">
            <w:pPr>
              <w:spacing w:line="240" w:lineRule="exact"/>
              <w:jc w:val="both"/>
              <w:rPr>
                <w:rFonts w:ascii="宋体" w:eastAsia="宋体" w:hAnsi="宋体" w:cs="宋体" w:hint="eastAsia"/>
                <w:sz w:val="18"/>
                <w:szCs w:val="18"/>
              </w:rPr>
            </w:pPr>
            <w:r>
              <w:rPr>
                <w:rFonts w:ascii="宋体" w:eastAsia="宋体" w:hAnsi="宋体" w:cs="宋体"/>
                <w:sz w:val="18"/>
                <w:szCs w:val="18"/>
              </w:rPr>
              <w:t xml:space="preserve">    公司第四届董事会2018年第一次临时会议及第四届监事会2018年第一次临时会议审议通过了《关于全资子公司腾晖光伏使用募集资金置换预先投入募投项目自筹资金的议案》，同意中利集团全资子公司以非公开发行股票募集资金人民币73,496.82万元置换截至2017年12月31日先期投入“河南马村区50MW项目、安徽定远一期20MW项目、安徽定远二期20MW项目、安徽丰乐20MW项目、浙江湖州60MW项目”的自筹资金。</w:t>
            </w:r>
          </w:p>
          <w:p w14:paraId="62C2E962" w14:textId="77777777" w:rsidR="00632E5B" w:rsidRDefault="00107901" w:rsidP="00127DD8">
            <w:pPr>
              <w:spacing w:line="240" w:lineRule="exact"/>
              <w:jc w:val="both"/>
              <w:rPr>
                <w:rFonts w:ascii="宋体" w:eastAsia="宋体" w:hAnsi="宋体" w:cs="宋体" w:hint="eastAsia"/>
                <w:sz w:val="18"/>
                <w:szCs w:val="18"/>
              </w:rPr>
            </w:pPr>
            <w:r>
              <w:rPr>
                <w:rFonts w:ascii="宋体" w:eastAsia="宋体" w:hAnsi="宋体" w:cs="宋体"/>
                <w:sz w:val="18"/>
                <w:szCs w:val="18"/>
              </w:rPr>
              <w:t xml:space="preserve">    公司第四届董事会2018年第一次临时会议及2018年第一次临时股东大会审议通过了《关于光纤预制棒及光纤募投项目变更实施主体和实施地点的议案》，同意将募投项目“年产600吨光纤预制棒、1,300万芯公里光纤项目”实施的主体由常熟中利光纤技术有限公司变更为青海中利光纤技术有限公司，实施地点相应由常熟市沙家浜镇常昆工业园腾晖路8号变更为西宁市城东区昆仑东路17号。</w:t>
            </w:r>
          </w:p>
          <w:p w14:paraId="6A804EF5" w14:textId="77777777" w:rsidR="00632E5B" w:rsidRDefault="00107901" w:rsidP="00127DD8">
            <w:pPr>
              <w:spacing w:line="240" w:lineRule="exact"/>
              <w:jc w:val="both"/>
              <w:rPr>
                <w:rFonts w:ascii="宋体" w:eastAsia="宋体" w:hAnsi="宋体" w:cs="宋体" w:hint="eastAsia"/>
                <w:sz w:val="18"/>
                <w:szCs w:val="18"/>
              </w:rPr>
            </w:pPr>
            <w:r>
              <w:rPr>
                <w:rFonts w:ascii="宋体" w:eastAsia="宋体" w:hAnsi="宋体" w:cs="宋体"/>
                <w:sz w:val="18"/>
                <w:szCs w:val="18"/>
              </w:rPr>
              <w:t xml:space="preserve">    公司第四届董事会2018年第四次临时会议审议通过了《关于使用部分闲置募集资金暂时性补充流动资金的议案》，同意公司使用不超过100,000万元（含本数）闲置募集资金暂时补充流动资金。截至2019年5月21日，公司已将100,000万元募集资金全部归还至募集资金专项账户，并将上述募集资金的归还情况及时通知了公司保荐机构和保荐代表人。</w:t>
            </w:r>
          </w:p>
          <w:p w14:paraId="5761FE98" w14:textId="77777777" w:rsidR="00632E5B" w:rsidRDefault="00107901" w:rsidP="00127DD8">
            <w:pPr>
              <w:spacing w:line="240" w:lineRule="exact"/>
              <w:jc w:val="both"/>
              <w:rPr>
                <w:rFonts w:ascii="宋体" w:eastAsia="宋体" w:hAnsi="宋体" w:cs="宋体" w:hint="eastAsia"/>
                <w:sz w:val="18"/>
                <w:szCs w:val="18"/>
              </w:rPr>
            </w:pPr>
            <w:r>
              <w:rPr>
                <w:rFonts w:ascii="宋体" w:eastAsia="宋体" w:hAnsi="宋体" w:cs="宋体"/>
                <w:sz w:val="18"/>
                <w:szCs w:val="18"/>
              </w:rPr>
              <w:lastRenderedPageBreak/>
              <w:t xml:space="preserve">    公司第四届董事会2018年第五次临时会议审议通过了《关于公司拟使用募集资金对控股子公司青海中利进行增资的议案》，同意公司拟将募集资金98,747.25万元按1.57元现金出资认缴一元注册资本的比例，出资认缴青海中利新增注册资本,本次增资完成后，青海中利的注册资本将由19,330万元增至82,211.25万元，公司持有其股权由77.60%增至94.73%。</w:t>
            </w:r>
          </w:p>
          <w:p w14:paraId="6570F524" w14:textId="7E34508C" w:rsidR="00632E5B" w:rsidRDefault="00107901" w:rsidP="00127DD8">
            <w:pPr>
              <w:spacing w:line="240" w:lineRule="exact"/>
              <w:jc w:val="both"/>
              <w:rPr>
                <w:rFonts w:ascii="宋体" w:eastAsia="宋体" w:hAnsi="宋体" w:cs="宋体" w:hint="eastAsia"/>
                <w:sz w:val="18"/>
                <w:szCs w:val="18"/>
              </w:rPr>
            </w:pPr>
            <w:r>
              <w:rPr>
                <w:rFonts w:ascii="宋体" w:eastAsia="宋体" w:hAnsi="宋体" w:cs="宋体"/>
                <w:sz w:val="18"/>
                <w:szCs w:val="18"/>
              </w:rPr>
              <w:t xml:space="preserve">    公司第四届董事会第九次会议及第四届监事会第九次会议审议通过了《关于变更部分募投项目的议案》，同意公司对募投项目350MW光伏电站项目中“河南祥符区80MW项目”和“江西余干100MW项目”进行变更，原计划投入该些项目的53,534.49万元募集资金拟全部变更为分别投入“安图县32.48MW光伏扶贫项目”“承德县33.3MW光伏扶贫项目”“民和县43.4MW光伏扶贫项目”和“丰宁县37.5MW光伏扶贫项目”。</w:t>
            </w:r>
          </w:p>
          <w:p w14:paraId="397963CF" w14:textId="77777777" w:rsidR="00632E5B" w:rsidRDefault="00107901" w:rsidP="00127DD8">
            <w:pPr>
              <w:spacing w:line="240" w:lineRule="exact"/>
              <w:jc w:val="both"/>
              <w:rPr>
                <w:rFonts w:ascii="宋体" w:eastAsia="宋体" w:hAnsi="宋体" w:cs="宋体" w:hint="eastAsia"/>
                <w:sz w:val="18"/>
                <w:szCs w:val="18"/>
              </w:rPr>
            </w:pPr>
            <w:r>
              <w:rPr>
                <w:rFonts w:ascii="宋体" w:eastAsia="宋体" w:hAnsi="宋体" w:cs="宋体"/>
                <w:sz w:val="18"/>
                <w:szCs w:val="18"/>
              </w:rPr>
              <w:t xml:space="preserve">    公司第四届董事会2018年第十一次临时会议审议通过了《关于公司使用募集资金对全资子公司腾晖光伏进行增资的议案》，同意公司拟以募集资金53,534.49万元按1元现金出资认缴一元注册资本的比例，出资认缴苏州腾晖光伏技术有限公司新增注册资本，本次增资完成后，腾晖光伏的注册资本将由402,701.094076万元增至456,235.584076万元，仍为公司的全资子公司。</w:t>
            </w:r>
          </w:p>
          <w:p w14:paraId="00F6CE1A" w14:textId="77777777" w:rsidR="00632E5B" w:rsidRDefault="00107901" w:rsidP="00127DD8">
            <w:pPr>
              <w:spacing w:line="240" w:lineRule="exact"/>
              <w:jc w:val="both"/>
              <w:rPr>
                <w:rFonts w:ascii="宋体" w:eastAsia="宋体" w:hAnsi="宋体" w:cs="宋体" w:hint="eastAsia"/>
                <w:sz w:val="18"/>
                <w:szCs w:val="18"/>
              </w:rPr>
            </w:pPr>
            <w:r>
              <w:rPr>
                <w:rFonts w:ascii="宋体" w:eastAsia="宋体" w:hAnsi="宋体" w:cs="宋体"/>
                <w:sz w:val="18"/>
                <w:szCs w:val="18"/>
              </w:rPr>
              <w:t xml:space="preserve">    公司第四届董事会2019年第六次临时会议审议通过了《关于使用部分闲置募集资金暂时性补充流动资金的议案》，同意公司使用不超过100,000万元（含本数）闲置募集资金暂时补充流动资金。截至2020年5月19日，公司已将100,000万元募集资金全部归还至募集资金专项账户，并将上述募集资金的归还情况及时通知了公司保荐机构和保荐代表人。</w:t>
            </w:r>
          </w:p>
          <w:p w14:paraId="174D5D04" w14:textId="77777777" w:rsidR="00632E5B" w:rsidRDefault="00107901" w:rsidP="00127DD8">
            <w:pPr>
              <w:spacing w:line="240" w:lineRule="exact"/>
              <w:jc w:val="both"/>
              <w:rPr>
                <w:rFonts w:ascii="宋体" w:eastAsia="宋体" w:hAnsi="宋体" w:cs="宋体" w:hint="eastAsia"/>
                <w:sz w:val="18"/>
                <w:szCs w:val="18"/>
              </w:rPr>
            </w:pPr>
            <w:r>
              <w:rPr>
                <w:rFonts w:ascii="宋体" w:eastAsia="宋体" w:hAnsi="宋体" w:cs="宋体"/>
                <w:sz w:val="18"/>
                <w:szCs w:val="18"/>
              </w:rPr>
              <w:t xml:space="preserve">    公司第五届董事会2020年第四次临时会议及2020年第三次临时股东大会审议通过了《关于部分募投项目结项并将节余募集资金永久补充流动资金的议案》，同意公司募集资金投资项目“350MW光伏电站项目”予以结项并将募投项目结项后的节余募集资金及利息收入用于永久性补充流动资金。截至2020年5月12日，公司已将上述募集资金专户节余金额及利息收入合计28,263.88万元转入公司一般账户用于永久性补充流动资金。</w:t>
            </w:r>
          </w:p>
          <w:p w14:paraId="0DF62452" w14:textId="77777777" w:rsidR="00632E5B" w:rsidRDefault="00107901" w:rsidP="00127DD8">
            <w:pPr>
              <w:spacing w:line="240" w:lineRule="exact"/>
              <w:jc w:val="both"/>
              <w:rPr>
                <w:rFonts w:ascii="宋体" w:eastAsia="宋体" w:hAnsi="宋体" w:cs="宋体" w:hint="eastAsia"/>
                <w:sz w:val="18"/>
                <w:szCs w:val="18"/>
              </w:rPr>
            </w:pPr>
            <w:r>
              <w:rPr>
                <w:rFonts w:ascii="宋体" w:eastAsia="宋体" w:hAnsi="宋体" w:cs="宋体"/>
                <w:sz w:val="18"/>
                <w:szCs w:val="18"/>
              </w:rPr>
              <w:t xml:space="preserve">    公司第五届董事会2020年第五次临时会议审议通过了《关于使用部分闲置募集资金暂时性补充流动资金的议案》，同意公司使用不超过72,800万元（含本数）闲置募集资金暂时性补充流动资金。截至2021年5月12日，公司已将72,800万元募集资金全部归还至募集资金专项账户，并将上述募集资金的归还情况及时通知了公司保荐机构和保荐代表人。</w:t>
            </w:r>
          </w:p>
          <w:p w14:paraId="36DC0FCE" w14:textId="77777777" w:rsidR="00632E5B" w:rsidRDefault="00107901" w:rsidP="00127DD8">
            <w:pPr>
              <w:spacing w:line="240" w:lineRule="exact"/>
              <w:jc w:val="both"/>
              <w:rPr>
                <w:rFonts w:ascii="宋体" w:eastAsia="宋体" w:hAnsi="宋体" w:cs="宋体" w:hint="eastAsia"/>
                <w:sz w:val="18"/>
                <w:szCs w:val="18"/>
              </w:rPr>
            </w:pPr>
            <w:r>
              <w:rPr>
                <w:rFonts w:ascii="宋体" w:eastAsia="宋体" w:hAnsi="宋体" w:cs="宋体"/>
                <w:sz w:val="18"/>
                <w:szCs w:val="18"/>
              </w:rPr>
              <w:t xml:space="preserve">    公司第五届董事会2021年第七次临时会议审议通过了《关于使用部分闲置募集资金暂时性补充流动资金的议案》，同意公司使用不超过63,440万元（含本数）闲置募集资金暂时补充流动资金。截至2022年5月11日，公司已将63,440万元募集资金归还至募集资金专项账户，并将上述募集资金的归还情况及时通知了公司保荐机构和保荐代表人。</w:t>
            </w:r>
          </w:p>
          <w:p w14:paraId="335721E6" w14:textId="77777777" w:rsidR="00632E5B" w:rsidRDefault="00107901" w:rsidP="00127DD8">
            <w:pPr>
              <w:spacing w:line="240" w:lineRule="exact"/>
              <w:jc w:val="both"/>
              <w:rPr>
                <w:rFonts w:ascii="宋体" w:eastAsia="宋体" w:hAnsi="宋体" w:cs="宋体" w:hint="eastAsia"/>
                <w:sz w:val="18"/>
                <w:szCs w:val="18"/>
              </w:rPr>
            </w:pPr>
            <w:r>
              <w:rPr>
                <w:rFonts w:ascii="宋体" w:eastAsia="宋体" w:hAnsi="宋体" w:cs="宋体"/>
                <w:sz w:val="18"/>
                <w:szCs w:val="18"/>
              </w:rPr>
              <w:t xml:space="preserve">    公司第五届董事会2022年第三次临时会议审议通过了《关于使用部分闲置募集资金暂时性补充流动资金的议案》，同意公司使用不超过人民币 56,000 万元闲置募集资金暂时补充流动资金。截至2022年11月2日，公司已将 56,000 万元募集资金全部归还至募集资金专项账户，并将上述募集资金的归还情况及时通知了公司保荐机构和保荐代表人。</w:t>
            </w:r>
          </w:p>
          <w:p w14:paraId="30BC3E6F" w14:textId="77777777" w:rsidR="00632E5B" w:rsidRDefault="00107901" w:rsidP="00127DD8">
            <w:pPr>
              <w:spacing w:line="240" w:lineRule="exact"/>
              <w:jc w:val="both"/>
              <w:rPr>
                <w:rFonts w:ascii="宋体" w:eastAsia="宋体" w:hAnsi="宋体" w:cs="宋体" w:hint="eastAsia"/>
                <w:sz w:val="18"/>
                <w:szCs w:val="18"/>
              </w:rPr>
            </w:pPr>
            <w:r>
              <w:rPr>
                <w:rFonts w:ascii="宋体" w:eastAsia="宋体" w:hAnsi="宋体" w:cs="宋体"/>
                <w:sz w:val="18"/>
                <w:szCs w:val="18"/>
              </w:rPr>
              <w:t xml:space="preserve">    公司第六届董事会第一次会议、第六届监事会第一次会议和2022年第四次临时股东大会审议通过了《关于募集资金投资项目部分变更、部分终止并永久补充流动资金的议案》，同意公司将“年产 600吨光纤预制棒、1,300 万芯公里光纤项目”变更为“年产 600 吨光纤预制棒智能制造项目”。公司拟为“年产 600 吨光纤预制棒智能制造项目”预留约 3,011.02万元使其能够达到预定可使用状态，同时将扣除预留款后的项目剩余募集资金 50,900.00万元，以及公司其他募集资金专户余额一并用于永久补充流动资金。</w:t>
            </w:r>
          </w:p>
          <w:p w14:paraId="40B405E9" w14:textId="77777777" w:rsidR="00632E5B" w:rsidRDefault="00107901" w:rsidP="00127DD8">
            <w:pPr>
              <w:spacing w:line="240" w:lineRule="exact"/>
              <w:jc w:val="both"/>
              <w:rPr>
                <w:rFonts w:ascii="宋体" w:eastAsia="宋体" w:hAnsi="宋体" w:cs="宋体" w:hint="eastAsia"/>
                <w:sz w:val="18"/>
                <w:szCs w:val="18"/>
              </w:rPr>
            </w:pPr>
            <w:r>
              <w:rPr>
                <w:rFonts w:ascii="宋体" w:eastAsia="宋体" w:hAnsi="宋体" w:cs="宋体"/>
                <w:sz w:val="18"/>
                <w:szCs w:val="18"/>
              </w:rPr>
              <w:t xml:space="preserve">    截至2023年12月31日，公司除存放在中国农业银行股份有限公司常熟沙家浜支行开设的募集资金专项账户（尾号1151）因被冻结，该等账户中剩余10.16万元（含利息）无法转出外，剩余其他的募集资金专户金额及利息收入全部转入公司一般账户，用于永久性补充流动资金。</w:t>
            </w:r>
          </w:p>
          <w:p w14:paraId="55539076" w14:textId="77777777" w:rsidR="00632E5B" w:rsidRDefault="00107901" w:rsidP="00127DD8">
            <w:pPr>
              <w:spacing w:line="240" w:lineRule="exact"/>
              <w:jc w:val="both"/>
              <w:rPr>
                <w:rFonts w:ascii="宋体" w:eastAsia="宋体" w:hAnsi="宋体" w:cs="宋体" w:hint="eastAsia"/>
                <w:sz w:val="18"/>
                <w:szCs w:val="18"/>
              </w:rPr>
            </w:pPr>
            <w:r>
              <w:rPr>
                <w:rFonts w:ascii="宋体" w:eastAsia="宋体" w:hAnsi="宋体" w:cs="宋体"/>
                <w:sz w:val="18"/>
                <w:szCs w:val="18"/>
              </w:rPr>
              <w:t xml:space="preserve">    2024年4月3日，公司经自查发现存放在该账户中的101,565.00元因诉讼事项被债权人向法院申请执行被划扣。由于该账户持续处于被划扣的状态，公司无法满足归还前期被划扣的募集资金后再实施永久补流；同时为了避免上述账户再次被冻结，公司于2024年4月19日办理完成该账户的注销手续。</w:t>
            </w:r>
          </w:p>
        </w:tc>
      </w:tr>
    </w:tbl>
    <w:p w14:paraId="603FDD38" w14:textId="77777777" w:rsidR="00A60474" w:rsidRDefault="00A60474">
      <w:pPr>
        <w:keepNext/>
        <w:keepLines/>
        <w:spacing w:before="300" w:after="300" w:line="280" w:lineRule="exact"/>
        <w:outlineLvl w:val="3"/>
        <w:rPr>
          <w:rFonts w:ascii="宋体" w:eastAsia="宋体" w:hAnsi="宋体" w:cs="宋体" w:hint="eastAsia"/>
          <w:b/>
          <w:bCs/>
          <w:sz w:val="18"/>
          <w:szCs w:val="18"/>
        </w:rPr>
        <w:sectPr w:rsidR="00A60474" w:rsidSect="00E90C20">
          <w:pgSz w:w="16840" w:h="11905" w:orient="landscape"/>
          <w:pgMar w:top="1134" w:right="1440" w:bottom="1134" w:left="1440" w:header="851" w:footer="992" w:gutter="0"/>
          <w:cols w:space="720"/>
          <w:docGrid w:type="lines" w:linePitch="312"/>
        </w:sectPr>
      </w:pPr>
      <w:bookmarkStart w:id="45" w:name="_Toc988934"/>
    </w:p>
    <w:p w14:paraId="20E7C090" w14:textId="28D721FE" w:rsidR="00632E5B" w:rsidRDefault="00107901">
      <w:pPr>
        <w:keepNext/>
        <w:keepLines/>
        <w:spacing w:before="300" w:after="300" w:line="280" w:lineRule="exact"/>
        <w:outlineLvl w:val="3"/>
        <w:rPr>
          <w:rFonts w:ascii="宋体" w:eastAsia="宋体" w:hAnsi="宋体" w:cs="宋体" w:hint="eastAsia"/>
          <w:b/>
          <w:bCs/>
          <w:sz w:val="18"/>
          <w:szCs w:val="18"/>
        </w:rPr>
      </w:pPr>
      <w:r>
        <w:rPr>
          <w:rFonts w:ascii="宋体" w:eastAsia="宋体" w:hAnsi="宋体" w:cs="宋体"/>
          <w:b/>
          <w:bCs/>
          <w:sz w:val="18"/>
          <w:szCs w:val="18"/>
        </w:rPr>
        <w:lastRenderedPageBreak/>
        <w:t>（2） 募集资金承诺项目情况</w:t>
      </w:r>
      <w:bookmarkEnd w:id="45"/>
    </w:p>
    <w:p w14:paraId="75D30970"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3C1DF637" w14:textId="77777777" w:rsidR="00632E5B" w:rsidRDefault="00107901">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单位：万元</w:t>
      </w:r>
    </w:p>
    <w:tbl>
      <w:tblPr>
        <w:tblW w:w="135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557"/>
        <w:gridCol w:w="992"/>
        <w:gridCol w:w="914"/>
        <w:gridCol w:w="642"/>
        <w:gridCol w:w="12"/>
        <w:gridCol w:w="1177"/>
        <w:gridCol w:w="12"/>
        <w:gridCol w:w="1028"/>
        <w:gridCol w:w="12"/>
        <w:gridCol w:w="980"/>
        <w:gridCol w:w="12"/>
        <w:gridCol w:w="631"/>
        <w:gridCol w:w="12"/>
        <w:gridCol w:w="1046"/>
        <w:gridCol w:w="12"/>
        <w:gridCol w:w="839"/>
        <w:gridCol w:w="12"/>
        <w:gridCol w:w="1085"/>
        <w:gridCol w:w="6"/>
        <w:gridCol w:w="637"/>
        <w:gridCol w:w="6"/>
        <w:gridCol w:w="637"/>
        <w:gridCol w:w="6"/>
        <w:gridCol w:w="637"/>
        <w:gridCol w:w="6"/>
        <w:gridCol w:w="637"/>
        <w:gridCol w:w="6"/>
        <w:gridCol w:w="38"/>
        <w:gridCol w:w="6"/>
      </w:tblGrid>
      <w:tr w:rsidR="00632E5B" w14:paraId="6CA9917D" w14:textId="77777777" w:rsidTr="00D954C5">
        <w:trPr>
          <w:gridAfter w:val="3"/>
          <w:wAfter w:w="50" w:type="dxa"/>
          <w:trHeight w:val="240"/>
        </w:trPr>
        <w:tc>
          <w:tcPr>
            <w:tcW w:w="155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47B5E7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融资项目名称</w:t>
            </w:r>
          </w:p>
        </w:tc>
        <w:tc>
          <w:tcPr>
            <w:tcW w:w="99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BE2F34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证券上市日期</w:t>
            </w:r>
          </w:p>
        </w:tc>
        <w:tc>
          <w:tcPr>
            <w:tcW w:w="91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C9D0AD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承诺投资项目和超募资金投向</w:t>
            </w:r>
          </w:p>
        </w:tc>
        <w:tc>
          <w:tcPr>
            <w:tcW w:w="64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FB6D98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项目性质</w:t>
            </w:r>
          </w:p>
        </w:tc>
        <w:tc>
          <w:tcPr>
            <w:tcW w:w="1189"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4C361F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是否已变更项目(含部分变更)</w:t>
            </w:r>
          </w:p>
        </w:tc>
        <w:tc>
          <w:tcPr>
            <w:tcW w:w="1040"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691FF5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募集资金承诺投资总额</w:t>
            </w:r>
          </w:p>
        </w:tc>
        <w:tc>
          <w:tcPr>
            <w:tcW w:w="992"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9FEB3A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调整后投资总额(1)</w:t>
            </w:r>
          </w:p>
        </w:tc>
        <w:tc>
          <w:tcPr>
            <w:tcW w:w="643"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B3F0D3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本报告期投入金额</w:t>
            </w:r>
          </w:p>
        </w:tc>
        <w:tc>
          <w:tcPr>
            <w:tcW w:w="1058"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CEA16D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截至期末累计投入金额(2)</w:t>
            </w:r>
          </w:p>
        </w:tc>
        <w:tc>
          <w:tcPr>
            <w:tcW w:w="851"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B7B5AF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截至期末投资进度(3)＝(2)/(1)</w:t>
            </w:r>
          </w:p>
        </w:tc>
        <w:tc>
          <w:tcPr>
            <w:tcW w:w="1097"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65CE72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项目达到预定可使用状态日期</w:t>
            </w:r>
          </w:p>
        </w:tc>
        <w:tc>
          <w:tcPr>
            <w:tcW w:w="643"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51BC86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本报告期实现的效益</w:t>
            </w:r>
          </w:p>
        </w:tc>
        <w:tc>
          <w:tcPr>
            <w:tcW w:w="643"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5E5364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截止报告期末累计实现的效益</w:t>
            </w:r>
          </w:p>
        </w:tc>
        <w:tc>
          <w:tcPr>
            <w:tcW w:w="643"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560D1A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是否达到预计效益</w:t>
            </w:r>
          </w:p>
        </w:tc>
        <w:tc>
          <w:tcPr>
            <w:tcW w:w="643"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E570D6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项目可行性是否发生重大变化</w:t>
            </w:r>
          </w:p>
        </w:tc>
      </w:tr>
      <w:tr w:rsidR="00A60474" w14:paraId="3D57A193" w14:textId="77777777" w:rsidTr="00D954C5">
        <w:trPr>
          <w:gridAfter w:val="3"/>
          <w:wAfter w:w="50" w:type="dxa"/>
          <w:trHeight w:val="240"/>
        </w:trPr>
        <w:tc>
          <w:tcPr>
            <w:tcW w:w="13547" w:type="dxa"/>
            <w:gridSpan w:val="26"/>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BCC72AA" w14:textId="3A953A80" w:rsidR="00A60474" w:rsidRDefault="00A60474" w:rsidP="00A60474">
            <w:pPr>
              <w:spacing w:before="40" w:after="40" w:line="240" w:lineRule="exact"/>
              <w:rPr>
                <w:rFonts w:ascii="宋体" w:eastAsia="宋体" w:hAnsi="宋体" w:cs="宋体" w:hint="eastAsia"/>
                <w:sz w:val="18"/>
                <w:szCs w:val="18"/>
              </w:rPr>
            </w:pPr>
            <w:r>
              <w:rPr>
                <w:rFonts w:ascii="宋体" w:eastAsia="宋体" w:hAnsi="宋体" w:cs="宋体"/>
                <w:sz w:val="18"/>
                <w:szCs w:val="18"/>
              </w:rPr>
              <w:t>承诺投资项目</w:t>
            </w:r>
          </w:p>
        </w:tc>
      </w:tr>
      <w:tr w:rsidR="00632E5B" w14:paraId="756CDCA5" w14:textId="77777777" w:rsidTr="00D954C5">
        <w:trPr>
          <w:gridAfter w:val="3"/>
          <w:wAfter w:w="50" w:type="dxa"/>
          <w:trHeight w:val="240"/>
        </w:trPr>
        <w:tc>
          <w:tcPr>
            <w:tcW w:w="155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4950961"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2017年向特定对象发行股票</w:t>
            </w:r>
          </w:p>
        </w:tc>
        <w:tc>
          <w:tcPr>
            <w:tcW w:w="99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4959C8A"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2018年01月22日</w:t>
            </w:r>
          </w:p>
        </w:tc>
        <w:tc>
          <w:tcPr>
            <w:tcW w:w="91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AA32CDB"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河南马村区50MW项目</w:t>
            </w:r>
          </w:p>
        </w:tc>
        <w:tc>
          <w:tcPr>
            <w:tcW w:w="64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0FC956B"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生产建设</w:t>
            </w:r>
          </w:p>
        </w:tc>
        <w:tc>
          <w:tcPr>
            <w:tcW w:w="1189"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4FCE4C3"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否</w:t>
            </w:r>
          </w:p>
        </w:tc>
        <w:tc>
          <w:tcPr>
            <w:tcW w:w="1040"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4E10433"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30,933.97</w:t>
            </w:r>
          </w:p>
        </w:tc>
        <w:tc>
          <w:tcPr>
            <w:tcW w:w="992"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76AFFED"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30,933.97</w:t>
            </w:r>
          </w:p>
        </w:tc>
        <w:tc>
          <w:tcPr>
            <w:tcW w:w="643"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EE91A6A"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1058"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FA71CE4"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27,001.49</w:t>
            </w:r>
          </w:p>
        </w:tc>
        <w:tc>
          <w:tcPr>
            <w:tcW w:w="851"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90C1C24"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87.29%</w:t>
            </w:r>
          </w:p>
        </w:tc>
        <w:tc>
          <w:tcPr>
            <w:tcW w:w="1097"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0A0453B"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2017年03月01日</w:t>
            </w:r>
          </w:p>
        </w:tc>
        <w:tc>
          <w:tcPr>
            <w:tcW w:w="643"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F8CAC19"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643"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2B2EF61"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643"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5965FB3"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否</w:t>
            </w:r>
          </w:p>
        </w:tc>
        <w:tc>
          <w:tcPr>
            <w:tcW w:w="643"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4E23737"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否</w:t>
            </w:r>
          </w:p>
        </w:tc>
      </w:tr>
      <w:tr w:rsidR="00632E5B" w14:paraId="45BC17B5" w14:textId="77777777" w:rsidTr="00A60474">
        <w:trPr>
          <w:gridAfter w:val="3"/>
          <w:wAfter w:w="50" w:type="dxa"/>
          <w:trHeight w:val="240"/>
        </w:trPr>
        <w:tc>
          <w:tcPr>
            <w:tcW w:w="1557" w:type="dxa"/>
            <w:tcBorders>
              <w:top w:val="single" w:sz="2" w:space="0" w:color="auto"/>
              <w:left w:val="single" w:sz="2" w:space="0" w:color="auto"/>
              <w:bottom w:val="single" w:sz="2" w:space="0" w:color="auto"/>
              <w:right w:val="single" w:sz="2" w:space="0" w:color="auto"/>
            </w:tcBorders>
            <w:vAlign w:val="center"/>
          </w:tcPr>
          <w:p w14:paraId="6C599176"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2017年向特定对象发行股票</w:t>
            </w:r>
          </w:p>
        </w:tc>
        <w:tc>
          <w:tcPr>
            <w:tcW w:w="992" w:type="dxa"/>
            <w:tcBorders>
              <w:top w:val="single" w:sz="2" w:space="0" w:color="auto"/>
              <w:left w:val="single" w:sz="2" w:space="0" w:color="auto"/>
              <w:bottom w:val="single" w:sz="2" w:space="0" w:color="auto"/>
              <w:right w:val="single" w:sz="2" w:space="0" w:color="auto"/>
            </w:tcBorders>
            <w:vAlign w:val="center"/>
          </w:tcPr>
          <w:p w14:paraId="432E4EE2"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2018年01月22日</w:t>
            </w:r>
          </w:p>
        </w:tc>
        <w:tc>
          <w:tcPr>
            <w:tcW w:w="914" w:type="dxa"/>
            <w:tcBorders>
              <w:top w:val="single" w:sz="2" w:space="0" w:color="auto"/>
              <w:left w:val="single" w:sz="2" w:space="0" w:color="auto"/>
              <w:bottom w:val="single" w:sz="2" w:space="0" w:color="auto"/>
              <w:right w:val="single" w:sz="2" w:space="0" w:color="auto"/>
            </w:tcBorders>
            <w:vAlign w:val="center"/>
          </w:tcPr>
          <w:p w14:paraId="6295070C"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安徽定远一期20MW及二期20MW项目</w:t>
            </w:r>
          </w:p>
        </w:tc>
        <w:tc>
          <w:tcPr>
            <w:tcW w:w="642" w:type="dxa"/>
            <w:tcBorders>
              <w:top w:val="single" w:sz="2" w:space="0" w:color="auto"/>
              <w:left w:val="single" w:sz="2" w:space="0" w:color="auto"/>
              <w:bottom w:val="single" w:sz="2" w:space="0" w:color="auto"/>
              <w:right w:val="single" w:sz="2" w:space="0" w:color="auto"/>
            </w:tcBorders>
            <w:vAlign w:val="center"/>
          </w:tcPr>
          <w:p w14:paraId="0A3C3420"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生产建设</w:t>
            </w:r>
          </w:p>
        </w:tc>
        <w:tc>
          <w:tcPr>
            <w:tcW w:w="1189" w:type="dxa"/>
            <w:gridSpan w:val="2"/>
            <w:tcBorders>
              <w:top w:val="single" w:sz="2" w:space="0" w:color="auto"/>
              <w:left w:val="single" w:sz="2" w:space="0" w:color="auto"/>
              <w:bottom w:val="single" w:sz="2" w:space="0" w:color="auto"/>
              <w:right w:val="single" w:sz="2" w:space="0" w:color="auto"/>
            </w:tcBorders>
            <w:vAlign w:val="center"/>
          </w:tcPr>
          <w:p w14:paraId="42A85E28"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否</w:t>
            </w:r>
          </w:p>
        </w:tc>
        <w:tc>
          <w:tcPr>
            <w:tcW w:w="1040" w:type="dxa"/>
            <w:gridSpan w:val="2"/>
            <w:tcBorders>
              <w:top w:val="single" w:sz="2" w:space="0" w:color="auto"/>
              <w:left w:val="single" w:sz="2" w:space="0" w:color="auto"/>
              <w:bottom w:val="single" w:sz="2" w:space="0" w:color="auto"/>
              <w:right w:val="single" w:sz="2" w:space="0" w:color="auto"/>
            </w:tcBorders>
            <w:vAlign w:val="center"/>
          </w:tcPr>
          <w:p w14:paraId="5030F6A7"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24,927.14</w:t>
            </w:r>
          </w:p>
        </w:tc>
        <w:tc>
          <w:tcPr>
            <w:tcW w:w="992" w:type="dxa"/>
            <w:gridSpan w:val="2"/>
            <w:tcBorders>
              <w:top w:val="single" w:sz="2" w:space="0" w:color="auto"/>
              <w:left w:val="single" w:sz="2" w:space="0" w:color="auto"/>
              <w:bottom w:val="single" w:sz="2" w:space="0" w:color="auto"/>
              <w:right w:val="single" w:sz="2" w:space="0" w:color="auto"/>
            </w:tcBorders>
            <w:vAlign w:val="center"/>
          </w:tcPr>
          <w:p w14:paraId="01734182"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24,927.14</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3DA4CDBA"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1058" w:type="dxa"/>
            <w:gridSpan w:val="2"/>
            <w:tcBorders>
              <w:top w:val="single" w:sz="2" w:space="0" w:color="auto"/>
              <w:left w:val="single" w:sz="2" w:space="0" w:color="auto"/>
              <w:bottom w:val="single" w:sz="2" w:space="0" w:color="auto"/>
              <w:right w:val="single" w:sz="2" w:space="0" w:color="auto"/>
            </w:tcBorders>
            <w:vAlign w:val="center"/>
          </w:tcPr>
          <w:p w14:paraId="76752692"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9,126.92</w:t>
            </w:r>
          </w:p>
        </w:tc>
        <w:tc>
          <w:tcPr>
            <w:tcW w:w="851" w:type="dxa"/>
            <w:gridSpan w:val="2"/>
            <w:tcBorders>
              <w:top w:val="single" w:sz="2" w:space="0" w:color="auto"/>
              <w:left w:val="single" w:sz="2" w:space="0" w:color="auto"/>
              <w:bottom w:val="single" w:sz="2" w:space="0" w:color="auto"/>
              <w:right w:val="single" w:sz="2" w:space="0" w:color="auto"/>
            </w:tcBorders>
            <w:vAlign w:val="center"/>
          </w:tcPr>
          <w:p w14:paraId="075597B8"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36.61%</w:t>
            </w:r>
          </w:p>
        </w:tc>
        <w:tc>
          <w:tcPr>
            <w:tcW w:w="1097" w:type="dxa"/>
            <w:gridSpan w:val="2"/>
            <w:tcBorders>
              <w:top w:val="single" w:sz="2" w:space="0" w:color="auto"/>
              <w:left w:val="single" w:sz="2" w:space="0" w:color="auto"/>
              <w:bottom w:val="single" w:sz="2" w:space="0" w:color="auto"/>
              <w:right w:val="single" w:sz="2" w:space="0" w:color="auto"/>
            </w:tcBorders>
            <w:vAlign w:val="center"/>
          </w:tcPr>
          <w:p w14:paraId="79AA17E0"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2017年01月01日</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0D62E8C2"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26882209"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4F8E78A7"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否</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27B78027"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否</w:t>
            </w:r>
          </w:p>
        </w:tc>
      </w:tr>
      <w:tr w:rsidR="00632E5B" w14:paraId="1B5D2B42" w14:textId="77777777" w:rsidTr="00A60474">
        <w:trPr>
          <w:gridAfter w:val="3"/>
          <w:wAfter w:w="50" w:type="dxa"/>
          <w:trHeight w:val="240"/>
        </w:trPr>
        <w:tc>
          <w:tcPr>
            <w:tcW w:w="1557" w:type="dxa"/>
            <w:tcBorders>
              <w:top w:val="single" w:sz="2" w:space="0" w:color="auto"/>
              <w:left w:val="single" w:sz="2" w:space="0" w:color="auto"/>
              <w:bottom w:val="single" w:sz="2" w:space="0" w:color="auto"/>
              <w:right w:val="single" w:sz="2" w:space="0" w:color="auto"/>
            </w:tcBorders>
            <w:vAlign w:val="center"/>
          </w:tcPr>
          <w:p w14:paraId="5BE655CA"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2017年向特定对象发行股票</w:t>
            </w:r>
          </w:p>
        </w:tc>
        <w:tc>
          <w:tcPr>
            <w:tcW w:w="992" w:type="dxa"/>
            <w:tcBorders>
              <w:top w:val="single" w:sz="2" w:space="0" w:color="auto"/>
              <w:left w:val="single" w:sz="2" w:space="0" w:color="auto"/>
              <w:bottom w:val="single" w:sz="2" w:space="0" w:color="auto"/>
              <w:right w:val="single" w:sz="2" w:space="0" w:color="auto"/>
            </w:tcBorders>
            <w:vAlign w:val="center"/>
          </w:tcPr>
          <w:p w14:paraId="2E761AD3"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2018年01月22日</w:t>
            </w:r>
          </w:p>
        </w:tc>
        <w:tc>
          <w:tcPr>
            <w:tcW w:w="914" w:type="dxa"/>
            <w:tcBorders>
              <w:top w:val="single" w:sz="2" w:space="0" w:color="auto"/>
              <w:left w:val="single" w:sz="2" w:space="0" w:color="auto"/>
              <w:bottom w:val="single" w:sz="2" w:space="0" w:color="auto"/>
              <w:right w:val="single" w:sz="2" w:space="0" w:color="auto"/>
            </w:tcBorders>
            <w:vAlign w:val="center"/>
          </w:tcPr>
          <w:p w14:paraId="03EFCE79"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安徽丰乐20MW项目</w:t>
            </w:r>
          </w:p>
        </w:tc>
        <w:tc>
          <w:tcPr>
            <w:tcW w:w="642" w:type="dxa"/>
            <w:tcBorders>
              <w:top w:val="single" w:sz="2" w:space="0" w:color="auto"/>
              <w:left w:val="single" w:sz="2" w:space="0" w:color="auto"/>
              <w:bottom w:val="single" w:sz="2" w:space="0" w:color="auto"/>
              <w:right w:val="single" w:sz="2" w:space="0" w:color="auto"/>
            </w:tcBorders>
            <w:vAlign w:val="center"/>
          </w:tcPr>
          <w:p w14:paraId="21D0A5D1"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生产建设</w:t>
            </w:r>
          </w:p>
        </w:tc>
        <w:tc>
          <w:tcPr>
            <w:tcW w:w="1189" w:type="dxa"/>
            <w:gridSpan w:val="2"/>
            <w:tcBorders>
              <w:top w:val="single" w:sz="2" w:space="0" w:color="auto"/>
              <w:left w:val="single" w:sz="2" w:space="0" w:color="auto"/>
              <w:bottom w:val="single" w:sz="2" w:space="0" w:color="auto"/>
              <w:right w:val="single" w:sz="2" w:space="0" w:color="auto"/>
            </w:tcBorders>
            <w:vAlign w:val="center"/>
          </w:tcPr>
          <w:p w14:paraId="5C75FCB2"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否</w:t>
            </w:r>
          </w:p>
        </w:tc>
        <w:tc>
          <w:tcPr>
            <w:tcW w:w="1040" w:type="dxa"/>
            <w:gridSpan w:val="2"/>
            <w:tcBorders>
              <w:top w:val="single" w:sz="2" w:space="0" w:color="auto"/>
              <w:left w:val="single" w:sz="2" w:space="0" w:color="auto"/>
              <w:bottom w:val="single" w:sz="2" w:space="0" w:color="auto"/>
              <w:right w:val="single" w:sz="2" w:space="0" w:color="auto"/>
            </w:tcBorders>
            <w:vAlign w:val="center"/>
          </w:tcPr>
          <w:p w14:paraId="356C143A"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13,007.67</w:t>
            </w:r>
          </w:p>
        </w:tc>
        <w:tc>
          <w:tcPr>
            <w:tcW w:w="992" w:type="dxa"/>
            <w:gridSpan w:val="2"/>
            <w:tcBorders>
              <w:top w:val="single" w:sz="2" w:space="0" w:color="auto"/>
              <w:left w:val="single" w:sz="2" w:space="0" w:color="auto"/>
              <w:bottom w:val="single" w:sz="2" w:space="0" w:color="auto"/>
              <w:right w:val="single" w:sz="2" w:space="0" w:color="auto"/>
            </w:tcBorders>
            <w:vAlign w:val="center"/>
          </w:tcPr>
          <w:p w14:paraId="0E50CD90"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13,007.67</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4CEAD4A5"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1058" w:type="dxa"/>
            <w:gridSpan w:val="2"/>
            <w:tcBorders>
              <w:top w:val="single" w:sz="2" w:space="0" w:color="auto"/>
              <w:left w:val="single" w:sz="2" w:space="0" w:color="auto"/>
              <w:bottom w:val="single" w:sz="2" w:space="0" w:color="auto"/>
              <w:right w:val="single" w:sz="2" w:space="0" w:color="auto"/>
            </w:tcBorders>
            <w:vAlign w:val="center"/>
          </w:tcPr>
          <w:p w14:paraId="67EC94C8"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4,842.92</w:t>
            </w:r>
          </w:p>
        </w:tc>
        <w:tc>
          <w:tcPr>
            <w:tcW w:w="851" w:type="dxa"/>
            <w:gridSpan w:val="2"/>
            <w:tcBorders>
              <w:top w:val="single" w:sz="2" w:space="0" w:color="auto"/>
              <w:left w:val="single" w:sz="2" w:space="0" w:color="auto"/>
              <w:bottom w:val="single" w:sz="2" w:space="0" w:color="auto"/>
              <w:right w:val="single" w:sz="2" w:space="0" w:color="auto"/>
            </w:tcBorders>
            <w:vAlign w:val="center"/>
          </w:tcPr>
          <w:p w14:paraId="7A14AA7F"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37.23%</w:t>
            </w:r>
          </w:p>
        </w:tc>
        <w:tc>
          <w:tcPr>
            <w:tcW w:w="1097" w:type="dxa"/>
            <w:gridSpan w:val="2"/>
            <w:tcBorders>
              <w:top w:val="single" w:sz="2" w:space="0" w:color="auto"/>
              <w:left w:val="single" w:sz="2" w:space="0" w:color="auto"/>
              <w:bottom w:val="single" w:sz="2" w:space="0" w:color="auto"/>
              <w:right w:val="single" w:sz="2" w:space="0" w:color="auto"/>
            </w:tcBorders>
            <w:vAlign w:val="center"/>
          </w:tcPr>
          <w:p w14:paraId="05DDD548"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2016年12月01日</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2A4BEA79"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3D6EEA17"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63174ECB"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否</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1036A4CE"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否</w:t>
            </w:r>
          </w:p>
        </w:tc>
      </w:tr>
      <w:tr w:rsidR="00632E5B" w14:paraId="4315DE42" w14:textId="77777777" w:rsidTr="00A60474">
        <w:trPr>
          <w:gridAfter w:val="3"/>
          <w:wAfter w:w="50" w:type="dxa"/>
          <w:trHeight w:val="240"/>
        </w:trPr>
        <w:tc>
          <w:tcPr>
            <w:tcW w:w="1557" w:type="dxa"/>
            <w:tcBorders>
              <w:top w:val="single" w:sz="2" w:space="0" w:color="auto"/>
              <w:left w:val="single" w:sz="2" w:space="0" w:color="auto"/>
              <w:bottom w:val="single" w:sz="2" w:space="0" w:color="auto"/>
              <w:right w:val="single" w:sz="2" w:space="0" w:color="auto"/>
            </w:tcBorders>
            <w:vAlign w:val="center"/>
          </w:tcPr>
          <w:p w14:paraId="60515432"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2017年向特定对象发行股票</w:t>
            </w:r>
          </w:p>
        </w:tc>
        <w:tc>
          <w:tcPr>
            <w:tcW w:w="992" w:type="dxa"/>
            <w:tcBorders>
              <w:top w:val="single" w:sz="2" w:space="0" w:color="auto"/>
              <w:left w:val="single" w:sz="2" w:space="0" w:color="auto"/>
              <w:bottom w:val="single" w:sz="2" w:space="0" w:color="auto"/>
              <w:right w:val="single" w:sz="2" w:space="0" w:color="auto"/>
            </w:tcBorders>
            <w:vAlign w:val="center"/>
          </w:tcPr>
          <w:p w14:paraId="2B17FE79"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2018年01月22日</w:t>
            </w:r>
          </w:p>
        </w:tc>
        <w:tc>
          <w:tcPr>
            <w:tcW w:w="914" w:type="dxa"/>
            <w:tcBorders>
              <w:top w:val="single" w:sz="2" w:space="0" w:color="auto"/>
              <w:left w:val="single" w:sz="2" w:space="0" w:color="auto"/>
              <w:bottom w:val="single" w:sz="2" w:space="0" w:color="auto"/>
              <w:right w:val="single" w:sz="2" w:space="0" w:color="auto"/>
            </w:tcBorders>
            <w:vAlign w:val="center"/>
          </w:tcPr>
          <w:p w14:paraId="528A288B"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浙江湖州60MW项目</w:t>
            </w:r>
          </w:p>
        </w:tc>
        <w:tc>
          <w:tcPr>
            <w:tcW w:w="642" w:type="dxa"/>
            <w:tcBorders>
              <w:top w:val="single" w:sz="2" w:space="0" w:color="auto"/>
              <w:left w:val="single" w:sz="2" w:space="0" w:color="auto"/>
              <w:bottom w:val="single" w:sz="2" w:space="0" w:color="auto"/>
              <w:right w:val="single" w:sz="2" w:space="0" w:color="auto"/>
            </w:tcBorders>
            <w:vAlign w:val="center"/>
          </w:tcPr>
          <w:p w14:paraId="19424C5E"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生产建设</w:t>
            </w:r>
          </w:p>
        </w:tc>
        <w:tc>
          <w:tcPr>
            <w:tcW w:w="1189" w:type="dxa"/>
            <w:gridSpan w:val="2"/>
            <w:tcBorders>
              <w:top w:val="single" w:sz="2" w:space="0" w:color="auto"/>
              <w:left w:val="single" w:sz="2" w:space="0" w:color="auto"/>
              <w:bottom w:val="single" w:sz="2" w:space="0" w:color="auto"/>
              <w:right w:val="single" w:sz="2" w:space="0" w:color="auto"/>
            </w:tcBorders>
            <w:vAlign w:val="center"/>
          </w:tcPr>
          <w:p w14:paraId="1F786CE5"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否</w:t>
            </w:r>
          </w:p>
        </w:tc>
        <w:tc>
          <w:tcPr>
            <w:tcW w:w="1040" w:type="dxa"/>
            <w:gridSpan w:val="2"/>
            <w:tcBorders>
              <w:top w:val="single" w:sz="2" w:space="0" w:color="auto"/>
              <w:left w:val="single" w:sz="2" w:space="0" w:color="auto"/>
              <w:bottom w:val="single" w:sz="2" w:space="0" w:color="auto"/>
              <w:right w:val="single" w:sz="2" w:space="0" w:color="auto"/>
            </w:tcBorders>
            <w:vAlign w:val="center"/>
          </w:tcPr>
          <w:p w14:paraId="69F65040"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37,331.66</w:t>
            </w:r>
          </w:p>
        </w:tc>
        <w:tc>
          <w:tcPr>
            <w:tcW w:w="992" w:type="dxa"/>
            <w:gridSpan w:val="2"/>
            <w:tcBorders>
              <w:top w:val="single" w:sz="2" w:space="0" w:color="auto"/>
              <w:left w:val="single" w:sz="2" w:space="0" w:color="auto"/>
              <w:bottom w:val="single" w:sz="2" w:space="0" w:color="auto"/>
              <w:right w:val="single" w:sz="2" w:space="0" w:color="auto"/>
            </w:tcBorders>
            <w:vAlign w:val="center"/>
          </w:tcPr>
          <w:p w14:paraId="297196E5"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37,331.66</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05B69B66"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1058" w:type="dxa"/>
            <w:gridSpan w:val="2"/>
            <w:tcBorders>
              <w:top w:val="single" w:sz="2" w:space="0" w:color="auto"/>
              <w:left w:val="single" w:sz="2" w:space="0" w:color="auto"/>
              <w:bottom w:val="single" w:sz="2" w:space="0" w:color="auto"/>
              <w:right w:val="single" w:sz="2" w:space="0" w:color="auto"/>
            </w:tcBorders>
            <w:vAlign w:val="center"/>
          </w:tcPr>
          <w:p w14:paraId="4974411D"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37,096.86</w:t>
            </w:r>
          </w:p>
        </w:tc>
        <w:tc>
          <w:tcPr>
            <w:tcW w:w="851" w:type="dxa"/>
            <w:gridSpan w:val="2"/>
            <w:tcBorders>
              <w:top w:val="single" w:sz="2" w:space="0" w:color="auto"/>
              <w:left w:val="single" w:sz="2" w:space="0" w:color="auto"/>
              <w:bottom w:val="single" w:sz="2" w:space="0" w:color="auto"/>
              <w:right w:val="single" w:sz="2" w:space="0" w:color="auto"/>
            </w:tcBorders>
            <w:vAlign w:val="center"/>
          </w:tcPr>
          <w:p w14:paraId="0BF2E40F"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99.37%</w:t>
            </w:r>
          </w:p>
        </w:tc>
        <w:tc>
          <w:tcPr>
            <w:tcW w:w="1097" w:type="dxa"/>
            <w:gridSpan w:val="2"/>
            <w:tcBorders>
              <w:top w:val="single" w:sz="2" w:space="0" w:color="auto"/>
              <w:left w:val="single" w:sz="2" w:space="0" w:color="auto"/>
              <w:bottom w:val="single" w:sz="2" w:space="0" w:color="auto"/>
              <w:right w:val="single" w:sz="2" w:space="0" w:color="auto"/>
            </w:tcBorders>
            <w:vAlign w:val="center"/>
          </w:tcPr>
          <w:p w14:paraId="0023C3DB"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2016年12月01日</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771D6912"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3E54C071"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54677C4D"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是</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21187A3B"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否</w:t>
            </w:r>
          </w:p>
        </w:tc>
      </w:tr>
      <w:tr w:rsidR="00632E5B" w14:paraId="7DB30D8B" w14:textId="77777777" w:rsidTr="00A60474">
        <w:trPr>
          <w:gridAfter w:val="3"/>
          <w:wAfter w:w="50" w:type="dxa"/>
          <w:trHeight w:val="240"/>
        </w:trPr>
        <w:tc>
          <w:tcPr>
            <w:tcW w:w="1557" w:type="dxa"/>
            <w:tcBorders>
              <w:top w:val="single" w:sz="2" w:space="0" w:color="auto"/>
              <w:left w:val="single" w:sz="2" w:space="0" w:color="auto"/>
              <w:bottom w:val="single" w:sz="2" w:space="0" w:color="auto"/>
              <w:right w:val="single" w:sz="2" w:space="0" w:color="auto"/>
            </w:tcBorders>
            <w:vAlign w:val="center"/>
          </w:tcPr>
          <w:p w14:paraId="38FC65FD"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2017年向特定对象发行股票</w:t>
            </w:r>
          </w:p>
        </w:tc>
        <w:tc>
          <w:tcPr>
            <w:tcW w:w="992" w:type="dxa"/>
            <w:tcBorders>
              <w:top w:val="single" w:sz="2" w:space="0" w:color="auto"/>
              <w:left w:val="single" w:sz="2" w:space="0" w:color="auto"/>
              <w:bottom w:val="single" w:sz="2" w:space="0" w:color="auto"/>
              <w:right w:val="single" w:sz="2" w:space="0" w:color="auto"/>
            </w:tcBorders>
            <w:vAlign w:val="center"/>
          </w:tcPr>
          <w:p w14:paraId="45E176D9"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2018年01月22日</w:t>
            </w:r>
          </w:p>
        </w:tc>
        <w:tc>
          <w:tcPr>
            <w:tcW w:w="914" w:type="dxa"/>
            <w:tcBorders>
              <w:top w:val="single" w:sz="2" w:space="0" w:color="auto"/>
              <w:left w:val="single" w:sz="2" w:space="0" w:color="auto"/>
              <w:bottom w:val="single" w:sz="2" w:space="0" w:color="auto"/>
              <w:right w:val="single" w:sz="2" w:space="0" w:color="auto"/>
            </w:tcBorders>
            <w:vAlign w:val="center"/>
          </w:tcPr>
          <w:p w14:paraId="759937CC"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河南祥符区80MW项目</w:t>
            </w:r>
          </w:p>
        </w:tc>
        <w:tc>
          <w:tcPr>
            <w:tcW w:w="642" w:type="dxa"/>
            <w:tcBorders>
              <w:top w:val="single" w:sz="2" w:space="0" w:color="auto"/>
              <w:left w:val="single" w:sz="2" w:space="0" w:color="auto"/>
              <w:bottom w:val="single" w:sz="2" w:space="0" w:color="auto"/>
              <w:right w:val="single" w:sz="2" w:space="0" w:color="auto"/>
            </w:tcBorders>
            <w:vAlign w:val="center"/>
          </w:tcPr>
          <w:p w14:paraId="11FE8C91"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生产建设</w:t>
            </w:r>
          </w:p>
        </w:tc>
        <w:tc>
          <w:tcPr>
            <w:tcW w:w="1189" w:type="dxa"/>
            <w:gridSpan w:val="2"/>
            <w:tcBorders>
              <w:top w:val="single" w:sz="2" w:space="0" w:color="auto"/>
              <w:left w:val="single" w:sz="2" w:space="0" w:color="auto"/>
              <w:bottom w:val="single" w:sz="2" w:space="0" w:color="auto"/>
              <w:right w:val="single" w:sz="2" w:space="0" w:color="auto"/>
            </w:tcBorders>
            <w:vAlign w:val="center"/>
          </w:tcPr>
          <w:p w14:paraId="6D63491A"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是</w:t>
            </w:r>
          </w:p>
        </w:tc>
        <w:tc>
          <w:tcPr>
            <w:tcW w:w="1040" w:type="dxa"/>
            <w:gridSpan w:val="2"/>
            <w:tcBorders>
              <w:top w:val="single" w:sz="2" w:space="0" w:color="auto"/>
              <w:left w:val="single" w:sz="2" w:space="0" w:color="auto"/>
              <w:bottom w:val="single" w:sz="2" w:space="0" w:color="auto"/>
              <w:right w:val="single" w:sz="2" w:space="0" w:color="auto"/>
            </w:tcBorders>
            <w:vAlign w:val="center"/>
          </w:tcPr>
          <w:p w14:paraId="14F84DA7"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48,992.83</w:t>
            </w:r>
          </w:p>
        </w:tc>
        <w:tc>
          <w:tcPr>
            <w:tcW w:w="992" w:type="dxa"/>
            <w:gridSpan w:val="2"/>
            <w:tcBorders>
              <w:top w:val="single" w:sz="2" w:space="0" w:color="auto"/>
              <w:left w:val="single" w:sz="2" w:space="0" w:color="auto"/>
              <w:bottom w:val="single" w:sz="2" w:space="0" w:color="auto"/>
              <w:right w:val="single" w:sz="2" w:space="0" w:color="auto"/>
            </w:tcBorders>
            <w:vAlign w:val="center"/>
          </w:tcPr>
          <w:p w14:paraId="14C7C607"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4F04C386"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1058" w:type="dxa"/>
            <w:gridSpan w:val="2"/>
            <w:tcBorders>
              <w:top w:val="single" w:sz="2" w:space="0" w:color="auto"/>
              <w:left w:val="single" w:sz="2" w:space="0" w:color="auto"/>
              <w:bottom w:val="single" w:sz="2" w:space="0" w:color="auto"/>
              <w:right w:val="single" w:sz="2" w:space="0" w:color="auto"/>
            </w:tcBorders>
            <w:vAlign w:val="center"/>
          </w:tcPr>
          <w:p w14:paraId="04CDC260"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851" w:type="dxa"/>
            <w:gridSpan w:val="2"/>
            <w:tcBorders>
              <w:top w:val="single" w:sz="2" w:space="0" w:color="auto"/>
              <w:left w:val="single" w:sz="2" w:space="0" w:color="auto"/>
              <w:bottom w:val="single" w:sz="2" w:space="0" w:color="auto"/>
              <w:right w:val="single" w:sz="2" w:space="0" w:color="auto"/>
            </w:tcBorders>
            <w:vAlign w:val="center"/>
          </w:tcPr>
          <w:p w14:paraId="64A6966B"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0.00%</w:t>
            </w:r>
          </w:p>
        </w:tc>
        <w:tc>
          <w:tcPr>
            <w:tcW w:w="1097" w:type="dxa"/>
            <w:gridSpan w:val="2"/>
            <w:tcBorders>
              <w:top w:val="single" w:sz="2" w:space="0" w:color="auto"/>
              <w:left w:val="single" w:sz="2" w:space="0" w:color="auto"/>
              <w:bottom w:val="single" w:sz="2" w:space="0" w:color="auto"/>
              <w:right w:val="single" w:sz="2" w:space="0" w:color="auto"/>
            </w:tcBorders>
            <w:vAlign w:val="center"/>
          </w:tcPr>
          <w:p w14:paraId="65E573E4" w14:textId="77777777" w:rsidR="00632E5B" w:rsidRPr="004C5EA3" w:rsidRDefault="00632E5B">
            <w:pPr>
              <w:spacing w:line="240" w:lineRule="exact"/>
              <w:rPr>
                <w:rFonts w:ascii="宋体" w:eastAsia="宋体" w:hAnsi="宋体" w:cs="宋体" w:hint="eastAsia"/>
                <w:sz w:val="15"/>
                <w:szCs w:val="15"/>
              </w:rPr>
            </w:pP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2E9BD6AF"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2B87BDC9"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11888311"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不适用</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3D18DBBF"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是</w:t>
            </w:r>
          </w:p>
        </w:tc>
      </w:tr>
      <w:tr w:rsidR="00632E5B" w14:paraId="5AAAFF68" w14:textId="77777777" w:rsidTr="00A60474">
        <w:trPr>
          <w:gridAfter w:val="3"/>
          <w:wAfter w:w="50" w:type="dxa"/>
          <w:trHeight w:val="240"/>
        </w:trPr>
        <w:tc>
          <w:tcPr>
            <w:tcW w:w="1557" w:type="dxa"/>
            <w:tcBorders>
              <w:top w:val="single" w:sz="2" w:space="0" w:color="auto"/>
              <w:left w:val="single" w:sz="2" w:space="0" w:color="auto"/>
              <w:bottom w:val="single" w:sz="2" w:space="0" w:color="auto"/>
              <w:right w:val="single" w:sz="2" w:space="0" w:color="auto"/>
            </w:tcBorders>
            <w:vAlign w:val="center"/>
          </w:tcPr>
          <w:p w14:paraId="591B818F"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2017年向特定对象发行股票</w:t>
            </w:r>
          </w:p>
        </w:tc>
        <w:tc>
          <w:tcPr>
            <w:tcW w:w="992" w:type="dxa"/>
            <w:tcBorders>
              <w:top w:val="single" w:sz="2" w:space="0" w:color="auto"/>
              <w:left w:val="single" w:sz="2" w:space="0" w:color="auto"/>
              <w:bottom w:val="single" w:sz="2" w:space="0" w:color="auto"/>
              <w:right w:val="single" w:sz="2" w:space="0" w:color="auto"/>
            </w:tcBorders>
            <w:vAlign w:val="center"/>
          </w:tcPr>
          <w:p w14:paraId="0F4632BA"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2018年01月22日</w:t>
            </w:r>
          </w:p>
        </w:tc>
        <w:tc>
          <w:tcPr>
            <w:tcW w:w="914" w:type="dxa"/>
            <w:tcBorders>
              <w:top w:val="single" w:sz="2" w:space="0" w:color="auto"/>
              <w:left w:val="single" w:sz="2" w:space="0" w:color="auto"/>
              <w:bottom w:val="single" w:sz="2" w:space="0" w:color="auto"/>
              <w:right w:val="single" w:sz="2" w:space="0" w:color="auto"/>
            </w:tcBorders>
            <w:vAlign w:val="center"/>
          </w:tcPr>
          <w:p w14:paraId="1314D301"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江西余干100MW项目</w:t>
            </w:r>
          </w:p>
        </w:tc>
        <w:tc>
          <w:tcPr>
            <w:tcW w:w="642" w:type="dxa"/>
            <w:tcBorders>
              <w:top w:val="single" w:sz="2" w:space="0" w:color="auto"/>
              <w:left w:val="single" w:sz="2" w:space="0" w:color="auto"/>
              <w:bottom w:val="single" w:sz="2" w:space="0" w:color="auto"/>
              <w:right w:val="single" w:sz="2" w:space="0" w:color="auto"/>
            </w:tcBorders>
            <w:vAlign w:val="center"/>
          </w:tcPr>
          <w:p w14:paraId="20EF8124"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生产建设</w:t>
            </w:r>
          </w:p>
        </w:tc>
        <w:tc>
          <w:tcPr>
            <w:tcW w:w="1189" w:type="dxa"/>
            <w:gridSpan w:val="2"/>
            <w:tcBorders>
              <w:top w:val="single" w:sz="2" w:space="0" w:color="auto"/>
              <w:left w:val="single" w:sz="2" w:space="0" w:color="auto"/>
              <w:bottom w:val="single" w:sz="2" w:space="0" w:color="auto"/>
              <w:right w:val="single" w:sz="2" w:space="0" w:color="auto"/>
            </w:tcBorders>
            <w:vAlign w:val="center"/>
          </w:tcPr>
          <w:p w14:paraId="1F3A0943"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是</w:t>
            </w:r>
          </w:p>
        </w:tc>
        <w:tc>
          <w:tcPr>
            <w:tcW w:w="1040" w:type="dxa"/>
            <w:gridSpan w:val="2"/>
            <w:tcBorders>
              <w:top w:val="single" w:sz="2" w:space="0" w:color="auto"/>
              <w:left w:val="single" w:sz="2" w:space="0" w:color="auto"/>
              <w:bottom w:val="single" w:sz="2" w:space="0" w:color="auto"/>
              <w:right w:val="single" w:sz="2" w:space="0" w:color="auto"/>
            </w:tcBorders>
            <w:vAlign w:val="center"/>
          </w:tcPr>
          <w:p w14:paraId="10821840"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4,541.66</w:t>
            </w:r>
          </w:p>
        </w:tc>
        <w:tc>
          <w:tcPr>
            <w:tcW w:w="992" w:type="dxa"/>
            <w:gridSpan w:val="2"/>
            <w:tcBorders>
              <w:top w:val="single" w:sz="2" w:space="0" w:color="auto"/>
              <w:left w:val="single" w:sz="2" w:space="0" w:color="auto"/>
              <w:bottom w:val="single" w:sz="2" w:space="0" w:color="auto"/>
              <w:right w:val="single" w:sz="2" w:space="0" w:color="auto"/>
            </w:tcBorders>
            <w:vAlign w:val="center"/>
          </w:tcPr>
          <w:p w14:paraId="69E8F89C"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29965CB4"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1058" w:type="dxa"/>
            <w:gridSpan w:val="2"/>
            <w:tcBorders>
              <w:top w:val="single" w:sz="2" w:space="0" w:color="auto"/>
              <w:left w:val="single" w:sz="2" w:space="0" w:color="auto"/>
              <w:bottom w:val="single" w:sz="2" w:space="0" w:color="auto"/>
              <w:right w:val="single" w:sz="2" w:space="0" w:color="auto"/>
            </w:tcBorders>
            <w:vAlign w:val="center"/>
          </w:tcPr>
          <w:p w14:paraId="086F2BAD"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851" w:type="dxa"/>
            <w:gridSpan w:val="2"/>
            <w:tcBorders>
              <w:top w:val="single" w:sz="2" w:space="0" w:color="auto"/>
              <w:left w:val="single" w:sz="2" w:space="0" w:color="auto"/>
              <w:bottom w:val="single" w:sz="2" w:space="0" w:color="auto"/>
              <w:right w:val="single" w:sz="2" w:space="0" w:color="auto"/>
            </w:tcBorders>
            <w:vAlign w:val="center"/>
          </w:tcPr>
          <w:p w14:paraId="2BEB4DDC"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0.00%</w:t>
            </w:r>
          </w:p>
        </w:tc>
        <w:tc>
          <w:tcPr>
            <w:tcW w:w="1097" w:type="dxa"/>
            <w:gridSpan w:val="2"/>
            <w:tcBorders>
              <w:top w:val="single" w:sz="2" w:space="0" w:color="auto"/>
              <w:left w:val="single" w:sz="2" w:space="0" w:color="auto"/>
              <w:bottom w:val="single" w:sz="2" w:space="0" w:color="auto"/>
              <w:right w:val="single" w:sz="2" w:space="0" w:color="auto"/>
            </w:tcBorders>
            <w:vAlign w:val="center"/>
          </w:tcPr>
          <w:p w14:paraId="7D16CBBB" w14:textId="77777777" w:rsidR="00632E5B" w:rsidRPr="004C5EA3" w:rsidRDefault="00632E5B">
            <w:pPr>
              <w:spacing w:line="240" w:lineRule="exact"/>
              <w:rPr>
                <w:rFonts w:ascii="宋体" w:eastAsia="宋体" w:hAnsi="宋体" w:cs="宋体" w:hint="eastAsia"/>
                <w:sz w:val="15"/>
                <w:szCs w:val="15"/>
              </w:rPr>
            </w:pP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6E92CAD4"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107C17A3"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03A37BFF"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不适用</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31D88675"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是</w:t>
            </w:r>
          </w:p>
        </w:tc>
      </w:tr>
      <w:tr w:rsidR="00632E5B" w14:paraId="57C05EB9" w14:textId="77777777" w:rsidTr="00A60474">
        <w:trPr>
          <w:gridAfter w:val="3"/>
          <w:wAfter w:w="50" w:type="dxa"/>
          <w:trHeight w:val="240"/>
        </w:trPr>
        <w:tc>
          <w:tcPr>
            <w:tcW w:w="1557" w:type="dxa"/>
            <w:tcBorders>
              <w:top w:val="single" w:sz="2" w:space="0" w:color="auto"/>
              <w:left w:val="single" w:sz="2" w:space="0" w:color="auto"/>
              <w:bottom w:val="single" w:sz="2" w:space="0" w:color="auto"/>
              <w:right w:val="single" w:sz="2" w:space="0" w:color="auto"/>
            </w:tcBorders>
            <w:vAlign w:val="center"/>
          </w:tcPr>
          <w:p w14:paraId="6D152EDE"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2017年向特定对象发行股票</w:t>
            </w:r>
          </w:p>
        </w:tc>
        <w:tc>
          <w:tcPr>
            <w:tcW w:w="992" w:type="dxa"/>
            <w:tcBorders>
              <w:top w:val="single" w:sz="2" w:space="0" w:color="auto"/>
              <w:left w:val="single" w:sz="2" w:space="0" w:color="auto"/>
              <w:bottom w:val="single" w:sz="2" w:space="0" w:color="auto"/>
              <w:right w:val="single" w:sz="2" w:space="0" w:color="auto"/>
            </w:tcBorders>
            <w:vAlign w:val="center"/>
          </w:tcPr>
          <w:p w14:paraId="60B3DEAD"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2018年01月22日</w:t>
            </w:r>
          </w:p>
        </w:tc>
        <w:tc>
          <w:tcPr>
            <w:tcW w:w="914" w:type="dxa"/>
            <w:tcBorders>
              <w:top w:val="single" w:sz="2" w:space="0" w:color="auto"/>
              <w:left w:val="single" w:sz="2" w:space="0" w:color="auto"/>
              <w:bottom w:val="single" w:sz="2" w:space="0" w:color="auto"/>
              <w:right w:val="single" w:sz="2" w:space="0" w:color="auto"/>
            </w:tcBorders>
            <w:vAlign w:val="center"/>
          </w:tcPr>
          <w:p w14:paraId="6F727F91"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安图县32.48MW光伏扶贫项目</w:t>
            </w:r>
          </w:p>
        </w:tc>
        <w:tc>
          <w:tcPr>
            <w:tcW w:w="642" w:type="dxa"/>
            <w:tcBorders>
              <w:top w:val="single" w:sz="2" w:space="0" w:color="auto"/>
              <w:left w:val="single" w:sz="2" w:space="0" w:color="auto"/>
              <w:bottom w:val="single" w:sz="2" w:space="0" w:color="auto"/>
              <w:right w:val="single" w:sz="2" w:space="0" w:color="auto"/>
            </w:tcBorders>
            <w:vAlign w:val="center"/>
          </w:tcPr>
          <w:p w14:paraId="1694CD06"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生产建设</w:t>
            </w:r>
          </w:p>
        </w:tc>
        <w:tc>
          <w:tcPr>
            <w:tcW w:w="1189" w:type="dxa"/>
            <w:gridSpan w:val="2"/>
            <w:tcBorders>
              <w:top w:val="single" w:sz="2" w:space="0" w:color="auto"/>
              <w:left w:val="single" w:sz="2" w:space="0" w:color="auto"/>
              <w:bottom w:val="single" w:sz="2" w:space="0" w:color="auto"/>
              <w:right w:val="single" w:sz="2" w:space="0" w:color="auto"/>
            </w:tcBorders>
            <w:vAlign w:val="center"/>
          </w:tcPr>
          <w:p w14:paraId="658A0FA8"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是</w:t>
            </w:r>
          </w:p>
        </w:tc>
        <w:tc>
          <w:tcPr>
            <w:tcW w:w="1040" w:type="dxa"/>
            <w:gridSpan w:val="2"/>
            <w:tcBorders>
              <w:top w:val="single" w:sz="2" w:space="0" w:color="auto"/>
              <w:left w:val="single" w:sz="2" w:space="0" w:color="auto"/>
              <w:bottom w:val="single" w:sz="2" w:space="0" w:color="auto"/>
              <w:right w:val="single" w:sz="2" w:space="0" w:color="auto"/>
            </w:tcBorders>
            <w:vAlign w:val="center"/>
          </w:tcPr>
          <w:p w14:paraId="7C878DDF"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992" w:type="dxa"/>
            <w:gridSpan w:val="2"/>
            <w:tcBorders>
              <w:top w:val="single" w:sz="2" w:space="0" w:color="auto"/>
              <w:left w:val="single" w:sz="2" w:space="0" w:color="auto"/>
              <w:bottom w:val="single" w:sz="2" w:space="0" w:color="auto"/>
              <w:right w:val="single" w:sz="2" w:space="0" w:color="auto"/>
            </w:tcBorders>
            <w:vAlign w:val="center"/>
          </w:tcPr>
          <w:p w14:paraId="775AAF27"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12,062.01</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6CFE50D8"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1058" w:type="dxa"/>
            <w:gridSpan w:val="2"/>
            <w:tcBorders>
              <w:top w:val="single" w:sz="2" w:space="0" w:color="auto"/>
              <w:left w:val="single" w:sz="2" w:space="0" w:color="auto"/>
              <w:bottom w:val="single" w:sz="2" w:space="0" w:color="auto"/>
              <w:right w:val="single" w:sz="2" w:space="0" w:color="auto"/>
            </w:tcBorders>
            <w:vAlign w:val="center"/>
          </w:tcPr>
          <w:p w14:paraId="73705B09"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12,068.42</w:t>
            </w:r>
          </w:p>
        </w:tc>
        <w:tc>
          <w:tcPr>
            <w:tcW w:w="851" w:type="dxa"/>
            <w:gridSpan w:val="2"/>
            <w:tcBorders>
              <w:top w:val="single" w:sz="2" w:space="0" w:color="auto"/>
              <w:left w:val="single" w:sz="2" w:space="0" w:color="auto"/>
              <w:bottom w:val="single" w:sz="2" w:space="0" w:color="auto"/>
              <w:right w:val="single" w:sz="2" w:space="0" w:color="auto"/>
            </w:tcBorders>
            <w:vAlign w:val="center"/>
          </w:tcPr>
          <w:p w14:paraId="3861701E"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100.05%</w:t>
            </w:r>
          </w:p>
        </w:tc>
        <w:tc>
          <w:tcPr>
            <w:tcW w:w="1097" w:type="dxa"/>
            <w:gridSpan w:val="2"/>
            <w:tcBorders>
              <w:top w:val="single" w:sz="2" w:space="0" w:color="auto"/>
              <w:left w:val="single" w:sz="2" w:space="0" w:color="auto"/>
              <w:bottom w:val="single" w:sz="2" w:space="0" w:color="auto"/>
              <w:right w:val="single" w:sz="2" w:space="0" w:color="auto"/>
            </w:tcBorders>
            <w:vAlign w:val="center"/>
          </w:tcPr>
          <w:p w14:paraId="0D16EE84"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2018年12月31日</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43C8F999"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101C2C8A"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23E56853"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是</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32E008DA"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否</w:t>
            </w:r>
          </w:p>
        </w:tc>
      </w:tr>
      <w:tr w:rsidR="00632E5B" w14:paraId="71720E48" w14:textId="77777777" w:rsidTr="00A60474">
        <w:trPr>
          <w:gridAfter w:val="3"/>
          <w:wAfter w:w="50" w:type="dxa"/>
          <w:trHeight w:val="240"/>
        </w:trPr>
        <w:tc>
          <w:tcPr>
            <w:tcW w:w="1557" w:type="dxa"/>
            <w:tcBorders>
              <w:top w:val="single" w:sz="2" w:space="0" w:color="auto"/>
              <w:left w:val="single" w:sz="2" w:space="0" w:color="auto"/>
              <w:bottom w:val="single" w:sz="2" w:space="0" w:color="auto"/>
              <w:right w:val="single" w:sz="2" w:space="0" w:color="auto"/>
            </w:tcBorders>
            <w:vAlign w:val="center"/>
          </w:tcPr>
          <w:p w14:paraId="09FEBCA5"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2017年向特定对象发行股票</w:t>
            </w:r>
          </w:p>
        </w:tc>
        <w:tc>
          <w:tcPr>
            <w:tcW w:w="992" w:type="dxa"/>
            <w:tcBorders>
              <w:top w:val="single" w:sz="2" w:space="0" w:color="auto"/>
              <w:left w:val="single" w:sz="2" w:space="0" w:color="auto"/>
              <w:bottom w:val="single" w:sz="2" w:space="0" w:color="auto"/>
              <w:right w:val="single" w:sz="2" w:space="0" w:color="auto"/>
            </w:tcBorders>
            <w:vAlign w:val="center"/>
          </w:tcPr>
          <w:p w14:paraId="0C97CCD4"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2018年01月22日</w:t>
            </w:r>
          </w:p>
        </w:tc>
        <w:tc>
          <w:tcPr>
            <w:tcW w:w="914" w:type="dxa"/>
            <w:tcBorders>
              <w:top w:val="single" w:sz="2" w:space="0" w:color="auto"/>
              <w:left w:val="single" w:sz="2" w:space="0" w:color="auto"/>
              <w:bottom w:val="single" w:sz="2" w:space="0" w:color="auto"/>
              <w:right w:val="single" w:sz="2" w:space="0" w:color="auto"/>
            </w:tcBorders>
            <w:vAlign w:val="center"/>
          </w:tcPr>
          <w:p w14:paraId="36998E0C"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承德县33.3MW光伏扶贫项目</w:t>
            </w:r>
          </w:p>
        </w:tc>
        <w:tc>
          <w:tcPr>
            <w:tcW w:w="642" w:type="dxa"/>
            <w:tcBorders>
              <w:top w:val="single" w:sz="2" w:space="0" w:color="auto"/>
              <w:left w:val="single" w:sz="2" w:space="0" w:color="auto"/>
              <w:bottom w:val="single" w:sz="2" w:space="0" w:color="auto"/>
              <w:right w:val="single" w:sz="2" w:space="0" w:color="auto"/>
            </w:tcBorders>
            <w:vAlign w:val="center"/>
          </w:tcPr>
          <w:p w14:paraId="3BEB4291"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生产建设</w:t>
            </w:r>
          </w:p>
        </w:tc>
        <w:tc>
          <w:tcPr>
            <w:tcW w:w="1189" w:type="dxa"/>
            <w:gridSpan w:val="2"/>
            <w:tcBorders>
              <w:top w:val="single" w:sz="2" w:space="0" w:color="auto"/>
              <w:left w:val="single" w:sz="2" w:space="0" w:color="auto"/>
              <w:bottom w:val="single" w:sz="2" w:space="0" w:color="auto"/>
              <w:right w:val="single" w:sz="2" w:space="0" w:color="auto"/>
            </w:tcBorders>
            <w:vAlign w:val="center"/>
          </w:tcPr>
          <w:p w14:paraId="4B659735"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是</w:t>
            </w:r>
          </w:p>
        </w:tc>
        <w:tc>
          <w:tcPr>
            <w:tcW w:w="1040" w:type="dxa"/>
            <w:gridSpan w:val="2"/>
            <w:tcBorders>
              <w:top w:val="single" w:sz="2" w:space="0" w:color="auto"/>
              <w:left w:val="single" w:sz="2" w:space="0" w:color="auto"/>
              <w:bottom w:val="single" w:sz="2" w:space="0" w:color="auto"/>
              <w:right w:val="single" w:sz="2" w:space="0" w:color="auto"/>
            </w:tcBorders>
            <w:vAlign w:val="center"/>
          </w:tcPr>
          <w:p w14:paraId="1366A0A0"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992" w:type="dxa"/>
            <w:gridSpan w:val="2"/>
            <w:tcBorders>
              <w:top w:val="single" w:sz="2" w:space="0" w:color="auto"/>
              <w:left w:val="single" w:sz="2" w:space="0" w:color="auto"/>
              <w:bottom w:val="single" w:sz="2" w:space="0" w:color="auto"/>
              <w:right w:val="single" w:sz="2" w:space="0" w:color="auto"/>
            </w:tcBorders>
            <w:vAlign w:val="center"/>
          </w:tcPr>
          <w:p w14:paraId="632CE1D4"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13,616.11</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4BE07BB3"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1058" w:type="dxa"/>
            <w:gridSpan w:val="2"/>
            <w:tcBorders>
              <w:top w:val="single" w:sz="2" w:space="0" w:color="auto"/>
              <w:left w:val="single" w:sz="2" w:space="0" w:color="auto"/>
              <w:bottom w:val="single" w:sz="2" w:space="0" w:color="auto"/>
              <w:right w:val="single" w:sz="2" w:space="0" w:color="auto"/>
            </w:tcBorders>
            <w:vAlign w:val="center"/>
          </w:tcPr>
          <w:p w14:paraId="7DF65B43"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13,637.95</w:t>
            </w:r>
          </w:p>
        </w:tc>
        <w:tc>
          <w:tcPr>
            <w:tcW w:w="851" w:type="dxa"/>
            <w:gridSpan w:val="2"/>
            <w:tcBorders>
              <w:top w:val="single" w:sz="2" w:space="0" w:color="auto"/>
              <w:left w:val="single" w:sz="2" w:space="0" w:color="auto"/>
              <w:bottom w:val="single" w:sz="2" w:space="0" w:color="auto"/>
              <w:right w:val="single" w:sz="2" w:space="0" w:color="auto"/>
            </w:tcBorders>
            <w:vAlign w:val="center"/>
          </w:tcPr>
          <w:p w14:paraId="6F18265A"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100.16%</w:t>
            </w:r>
          </w:p>
        </w:tc>
        <w:tc>
          <w:tcPr>
            <w:tcW w:w="1097" w:type="dxa"/>
            <w:gridSpan w:val="2"/>
            <w:tcBorders>
              <w:top w:val="single" w:sz="2" w:space="0" w:color="auto"/>
              <w:left w:val="single" w:sz="2" w:space="0" w:color="auto"/>
              <w:bottom w:val="single" w:sz="2" w:space="0" w:color="auto"/>
              <w:right w:val="single" w:sz="2" w:space="0" w:color="auto"/>
            </w:tcBorders>
            <w:vAlign w:val="center"/>
          </w:tcPr>
          <w:p w14:paraId="0C844535"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2018年12月31日</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495FB521"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77B499A3"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6676FC92"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是</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7DC45EB4"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否</w:t>
            </w:r>
          </w:p>
        </w:tc>
      </w:tr>
      <w:tr w:rsidR="00632E5B" w14:paraId="5F15B5F5" w14:textId="77777777" w:rsidTr="00A60474">
        <w:trPr>
          <w:gridAfter w:val="3"/>
          <w:wAfter w:w="50" w:type="dxa"/>
          <w:trHeight w:val="240"/>
        </w:trPr>
        <w:tc>
          <w:tcPr>
            <w:tcW w:w="1557" w:type="dxa"/>
            <w:tcBorders>
              <w:top w:val="single" w:sz="2" w:space="0" w:color="auto"/>
              <w:left w:val="single" w:sz="2" w:space="0" w:color="auto"/>
              <w:bottom w:val="single" w:sz="2" w:space="0" w:color="auto"/>
              <w:right w:val="single" w:sz="2" w:space="0" w:color="auto"/>
            </w:tcBorders>
            <w:vAlign w:val="center"/>
          </w:tcPr>
          <w:p w14:paraId="3F9AD9C4"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lastRenderedPageBreak/>
              <w:t>2017年向特定对象发行股票</w:t>
            </w:r>
          </w:p>
        </w:tc>
        <w:tc>
          <w:tcPr>
            <w:tcW w:w="992" w:type="dxa"/>
            <w:tcBorders>
              <w:top w:val="single" w:sz="2" w:space="0" w:color="auto"/>
              <w:left w:val="single" w:sz="2" w:space="0" w:color="auto"/>
              <w:bottom w:val="single" w:sz="2" w:space="0" w:color="auto"/>
              <w:right w:val="single" w:sz="2" w:space="0" w:color="auto"/>
            </w:tcBorders>
            <w:vAlign w:val="center"/>
          </w:tcPr>
          <w:p w14:paraId="32A1068D"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2018年01月22日</w:t>
            </w:r>
          </w:p>
        </w:tc>
        <w:tc>
          <w:tcPr>
            <w:tcW w:w="914" w:type="dxa"/>
            <w:tcBorders>
              <w:top w:val="single" w:sz="2" w:space="0" w:color="auto"/>
              <w:left w:val="single" w:sz="2" w:space="0" w:color="auto"/>
              <w:bottom w:val="single" w:sz="2" w:space="0" w:color="auto"/>
              <w:right w:val="single" w:sz="2" w:space="0" w:color="auto"/>
            </w:tcBorders>
            <w:vAlign w:val="center"/>
          </w:tcPr>
          <w:p w14:paraId="66851A99"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民和县43.4MW光伏扶贫项目</w:t>
            </w:r>
          </w:p>
        </w:tc>
        <w:tc>
          <w:tcPr>
            <w:tcW w:w="642" w:type="dxa"/>
            <w:tcBorders>
              <w:top w:val="single" w:sz="2" w:space="0" w:color="auto"/>
              <w:left w:val="single" w:sz="2" w:space="0" w:color="auto"/>
              <w:bottom w:val="single" w:sz="2" w:space="0" w:color="auto"/>
              <w:right w:val="single" w:sz="2" w:space="0" w:color="auto"/>
            </w:tcBorders>
            <w:vAlign w:val="center"/>
          </w:tcPr>
          <w:p w14:paraId="1B5A5572"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生产建设</w:t>
            </w:r>
          </w:p>
        </w:tc>
        <w:tc>
          <w:tcPr>
            <w:tcW w:w="1189" w:type="dxa"/>
            <w:gridSpan w:val="2"/>
            <w:tcBorders>
              <w:top w:val="single" w:sz="2" w:space="0" w:color="auto"/>
              <w:left w:val="single" w:sz="2" w:space="0" w:color="auto"/>
              <w:bottom w:val="single" w:sz="2" w:space="0" w:color="auto"/>
              <w:right w:val="single" w:sz="2" w:space="0" w:color="auto"/>
            </w:tcBorders>
            <w:vAlign w:val="center"/>
          </w:tcPr>
          <w:p w14:paraId="738CC589"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是</w:t>
            </w:r>
          </w:p>
        </w:tc>
        <w:tc>
          <w:tcPr>
            <w:tcW w:w="1040" w:type="dxa"/>
            <w:gridSpan w:val="2"/>
            <w:tcBorders>
              <w:top w:val="single" w:sz="2" w:space="0" w:color="auto"/>
              <w:left w:val="single" w:sz="2" w:space="0" w:color="auto"/>
              <w:bottom w:val="single" w:sz="2" w:space="0" w:color="auto"/>
              <w:right w:val="single" w:sz="2" w:space="0" w:color="auto"/>
            </w:tcBorders>
            <w:vAlign w:val="center"/>
          </w:tcPr>
          <w:p w14:paraId="7A8311C7"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992" w:type="dxa"/>
            <w:gridSpan w:val="2"/>
            <w:tcBorders>
              <w:top w:val="single" w:sz="2" w:space="0" w:color="auto"/>
              <w:left w:val="single" w:sz="2" w:space="0" w:color="auto"/>
              <w:bottom w:val="single" w:sz="2" w:space="0" w:color="auto"/>
              <w:right w:val="single" w:sz="2" w:space="0" w:color="auto"/>
            </w:tcBorders>
            <w:vAlign w:val="center"/>
          </w:tcPr>
          <w:p w14:paraId="114DE69F"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16,084.93</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749527D1"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1058" w:type="dxa"/>
            <w:gridSpan w:val="2"/>
            <w:tcBorders>
              <w:top w:val="single" w:sz="2" w:space="0" w:color="auto"/>
              <w:left w:val="single" w:sz="2" w:space="0" w:color="auto"/>
              <w:bottom w:val="single" w:sz="2" w:space="0" w:color="auto"/>
              <w:right w:val="single" w:sz="2" w:space="0" w:color="auto"/>
            </w:tcBorders>
            <w:vAlign w:val="center"/>
          </w:tcPr>
          <w:p w14:paraId="192576C3"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16,103.57</w:t>
            </w:r>
          </w:p>
        </w:tc>
        <w:tc>
          <w:tcPr>
            <w:tcW w:w="851" w:type="dxa"/>
            <w:gridSpan w:val="2"/>
            <w:tcBorders>
              <w:top w:val="single" w:sz="2" w:space="0" w:color="auto"/>
              <w:left w:val="single" w:sz="2" w:space="0" w:color="auto"/>
              <w:bottom w:val="single" w:sz="2" w:space="0" w:color="auto"/>
              <w:right w:val="single" w:sz="2" w:space="0" w:color="auto"/>
            </w:tcBorders>
            <w:vAlign w:val="center"/>
          </w:tcPr>
          <w:p w14:paraId="4D49D7CD"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100.12%</w:t>
            </w:r>
          </w:p>
        </w:tc>
        <w:tc>
          <w:tcPr>
            <w:tcW w:w="1097" w:type="dxa"/>
            <w:gridSpan w:val="2"/>
            <w:tcBorders>
              <w:top w:val="single" w:sz="2" w:space="0" w:color="auto"/>
              <w:left w:val="single" w:sz="2" w:space="0" w:color="auto"/>
              <w:bottom w:val="single" w:sz="2" w:space="0" w:color="auto"/>
              <w:right w:val="single" w:sz="2" w:space="0" w:color="auto"/>
            </w:tcBorders>
            <w:vAlign w:val="center"/>
          </w:tcPr>
          <w:p w14:paraId="24E8BFD2"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2019年06月30日</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1013A7CB"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5D18DBAE"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1DB08040"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是</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1734C928"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否</w:t>
            </w:r>
          </w:p>
        </w:tc>
      </w:tr>
      <w:tr w:rsidR="00632E5B" w14:paraId="752D529A" w14:textId="77777777" w:rsidTr="00A60474">
        <w:trPr>
          <w:gridAfter w:val="3"/>
          <w:wAfter w:w="50" w:type="dxa"/>
          <w:trHeight w:val="240"/>
        </w:trPr>
        <w:tc>
          <w:tcPr>
            <w:tcW w:w="1557" w:type="dxa"/>
            <w:tcBorders>
              <w:top w:val="single" w:sz="2" w:space="0" w:color="auto"/>
              <w:left w:val="single" w:sz="2" w:space="0" w:color="auto"/>
              <w:bottom w:val="single" w:sz="2" w:space="0" w:color="auto"/>
              <w:right w:val="single" w:sz="2" w:space="0" w:color="auto"/>
            </w:tcBorders>
            <w:vAlign w:val="center"/>
          </w:tcPr>
          <w:p w14:paraId="5EF25B35"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2017年向特定对象发行股票</w:t>
            </w:r>
          </w:p>
        </w:tc>
        <w:tc>
          <w:tcPr>
            <w:tcW w:w="992" w:type="dxa"/>
            <w:tcBorders>
              <w:top w:val="single" w:sz="2" w:space="0" w:color="auto"/>
              <w:left w:val="single" w:sz="2" w:space="0" w:color="auto"/>
              <w:bottom w:val="single" w:sz="2" w:space="0" w:color="auto"/>
              <w:right w:val="single" w:sz="2" w:space="0" w:color="auto"/>
            </w:tcBorders>
            <w:vAlign w:val="center"/>
          </w:tcPr>
          <w:p w14:paraId="12A1ECFA"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2018年01月22日</w:t>
            </w:r>
          </w:p>
        </w:tc>
        <w:tc>
          <w:tcPr>
            <w:tcW w:w="914" w:type="dxa"/>
            <w:tcBorders>
              <w:top w:val="single" w:sz="2" w:space="0" w:color="auto"/>
              <w:left w:val="single" w:sz="2" w:space="0" w:color="auto"/>
              <w:bottom w:val="single" w:sz="2" w:space="0" w:color="auto"/>
              <w:right w:val="single" w:sz="2" w:space="0" w:color="auto"/>
            </w:tcBorders>
            <w:vAlign w:val="center"/>
          </w:tcPr>
          <w:p w14:paraId="690CFBCC"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丰宁县37.5MW光伏扶贫项目</w:t>
            </w:r>
          </w:p>
        </w:tc>
        <w:tc>
          <w:tcPr>
            <w:tcW w:w="642" w:type="dxa"/>
            <w:tcBorders>
              <w:top w:val="single" w:sz="2" w:space="0" w:color="auto"/>
              <w:left w:val="single" w:sz="2" w:space="0" w:color="auto"/>
              <w:bottom w:val="single" w:sz="2" w:space="0" w:color="auto"/>
              <w:right w:val="single" w:sz="2" w:space="0" w:color="auto"/>
            </w:tcBorders>
            <w:vAlign w:val="center"/>
          </w:tcPr>
          <w:p w14:paraId="3224BE2A"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生产建设</w:t>
            </w:r>
          </w:p>
        </w:tc>
        <w:tc>
          <w:tcPr>
            <w:tcW w:w="1189" w:type="dxa"/>
            <w:gridSpan w:val="2"/>
            <w:tcBorders>
              <w:top w:val="single" w:sz="2" w:space="0" w:color="auto"/>
              <w:left w:val="single" w:sz="2" w:space="0" w:color="auto"/>
              <w:bottom w:val="single" w:sz="2" w:space="0" w:color="auto"/>
              <w:right w:val="single" w:sz="2" w:space="0" w:color="auto"/>
            </w:tcBorders>
            <w:vAlign w:val="center"/>
          </w:tcPr>
          <w:p w14:paraId="46A0312A"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是</w:t>
            </w:r>
          </w:p>
        </w:tc>
        <w:tc>
          <w:tcPr>
            <w:tcW w:w="1040" w:type="dxa"/>
            <w:gridSpan w:val="2"/>
            <w:tcBorders>
              <w:top w:val="single" w:sz="2" w:space="0" w:color="auto"/>
              <w:left w:val="single" w:sz="2" w:space="0" w:color="auto"/>
              <w:bottom w:val="single" w:sz="2" w:space="0" w:color="auto"/>
              <w:right w:val="single" w:sz="2" w:space="0" w:color="auto"/>
            </w:tcBorders>
            <w:vAlign w:val="center"/>
          </w:tcPr>
          <w:p w14:paraId="0A8B0548"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992" w:type="dxa"/>
            <w:gridSpan w:val="2"/>
            <w:tcBorders>
              <w:top w:val="single" w:sz="2" w:space="0" w:color="auto"/>
              <w:left w:val="single" w:sz="2" w:space="0" w:color="auto"/>
              <w:bottom w:val="single" w:sz="2" w:space="0" w:color="auto"/>
              <w:right w:val="single" w:sz="2" w:space="0" w:color="auto"/>
            </w:tcBorders>
            <w:vAlign w:val="center"/>
          </w:tcPr>
          <w:p w14:paraId="125659A6"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11,771.44</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15B9FB84"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1058" w:type="dxa"/>
            <w:gridSpan w:val="2"/>
            <w:tcBorders>
              <w:top w:val="single" w:sz="2" w:space="0" w:color="auto"/>
              <w:left w:val="single" w:sz="2" w:space="0" w:color="auto"/>
              <w:bottom w:val="single" w:sz="2" w:space="0" w:color="auto"/>
              <w:right w:val="single" w:sz="2" w:space="0" w:color="auto"/>
            </w:tcBorders>
            <w:vAlign w:val="center"/>
          </w:tcPr>
          <w:p w14:paraId="1AF2B200"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11,765.3</w:t>
            </w:r>
          </w:p>
        </w:tc>
        <w:tc>
          <w:tcPr>
            <w:tcW w:w="851" w:type="dxa"/>
            <w:gridSpan w:val="2"/>
            <w:tcBorders>
              <w:top w:val="single" w:sz="2" w:space="0" w:color="auto"/>
              <w:left w:val="single" w:sz="2" w:space="0" w:color="auto"/>
              <w:bottom w:val="single" w:sz="2" w:space="0" w:color="auto"/>
              <w:right w:val="single" w:sz="2" w:space="0" w:color="auto"/>
            </w:tcBorders>
            <w:vAlign w:val="center"/>
          </w:tcPr>
          <w:p w14:paraId="6BA36292"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99.95%</w:t>
            </w:r>
          </w:p>
        </w:tc>
        <w:tc>
          <w:tcPr>
            <w:tcW w:w="1097" w:type="dxa"/>
            <w:gridSpan w:val="2"/>
            <w:tcBorders>
              <w:top w:val="single" w:sz="2" w:space="0" w:color="auto"/>
              <w:left w:val="single" w:sz="2" w:space="0" w:color="auto"/>
              <w:bottom w:val="single" w:sz="2" w:space="0" w:color="auto"/>
              <w:right w:val="single" w:sz="2" w:space="0" w:color="auto"/>
            </w:tcBorders>
            <w:vAlign w:val="center"/>
          </w:tcPr>
          <w:p w14:paraId="76095A32"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2018年12月31日</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5FD62460"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353E6C97"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36D89E0B"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是</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2F33E6E3"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否</w:t>
            </w:r>
          </w:p>
        </w:tc>
      </w:tr>
      <w:tr w:rsidR="00632E5B" w14:paraId="6C5F53E3" w14:textId="77777777" w:rsidTr="00A60474">
        <w:trPr>
          <w:gridAfter w:val="3"/>
          <w:wAfter w:w="50" w:type="dxa"/>
          <w:trHeight w:val="240"/>
        </w:trPr>
        <w:tc>
          <w:tcPr>
            <w:tcW w:w="1557" w:type="dxa"/>
            <w:tcBorders>
              <w:top w:val="single" w:sz="2" w:space="0" w:color="auto"/>
              <w:left w:val="single" w:sz="2" w:space="0" w:color="auto"/>
              <w:bottom w:val="single" w:sz="2" w:space="0" w:color="auto"/>
              <w:right w:val="single" w:sz="2" w:space="0" w:color="auto"/>
            </w:tcBorders>
            <w:vAlign w:val="center"/>
          </w:tcPr>
          <w:p w14:paraId="66C6CA5D"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2017年向特定对象发行股票</w:t>
            </w:r>
          </w:p>
        </w:tc>
        <w:tc>
          <w:tcPr>
            <w:tcW w:w="992" w:type="dxa"/>
            <w:tcBorders>
              <w:top w:val="single" w:sz="2" w:space="0" w:color="auto"/>
              <w:left w:val="single" w:sz="2" w:space="0" w:color="auto"/>
              <w:bottom w:val="single" w:sz="2" w:space="0" w:color="auto"/>
              <w:right w:val="single" w:sz="2" w:space="0" w:color="auto"/>
            </w:tcBorders>
            <w:vAlign w:val="center"/>
          </w:tcPr>
          <w:p w14:paraId="734E4BB1"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2018年01月22日</w:t>
            </w:r>
          </w:p>
        </w:tc>
        <w:tc>
          <w:tcPr>
            <w:tcW w:w="914" w:type="dxa"/>
            <w:tcBorders>
              <w:top w:val="single" w:sz="2" w:space="0" w:color="auto"/>
              <w:left w:val="single" w:sz="2" w:space="0" w:color="auto"/>
              <w:bottom w:val="single" w:sz="2" w:space="0" w:color="auto"/>
              <w:right w:val="single" w:sz="2" w:space="0" w:color="auto"/>
            </w:tcBorders>
            <w:vAlign w:val="center"/>
          </w:tcPr>
          <w:p w14:paraId="1DBAB373"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年产600吨光纤预制棒、1300万芯公里光纤项目</w:t>
            </w:r>
          </w:p>
        </w:tc>
        <w:tc>
          <w:tcPr>
            <w:tcW w:w="642" w:type="dxa"/>
            <w:tcBorders>
              <w:top w:val="single" w:sz="2" w:space="0" w:color="auto"/>
              <w:left w:val="single" w:sz="2" w:space="0" w:color="auto"/>
              <w:bottom w:val="single" w:sz="2" w:space="0" w:color="auto"/>
              <w:right w:val="single" w:sz="2" w:space="0" w:color="auto"/>
            </w:tcBorders>
            <w:vAlign w:val="center"/>
          </w:tcPr>
          <w:p w14:paraId="1E82F6DB"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生产建设</w:t>
            </w:r>
          </w:p>
        </w:tc>
        <w:tc>
          <w:tcPr>
            <w:tcW w:w="1189" w:type="dxa"/>
            <w:gridSpan w:val="2"/>
            <w:tcBorders>
              <w:top w:val="single" w:sz="2" w:space="0" w:color="auto"/>
              <w:left w:val="single" w:sz="2" w:space="0" w:color="auto"/>
              <w:bottom w:val="single" w:sz="2" w:space="0" w:color="auto"/>
              <w:right w:val="single" w:sz="2" w:space="0" w:color="auto"/>
            </w:tcBorders>
            <w:vAlign w:val="center"/>
          </w:tcPr>
          <w:p w14:paraId="2144EC41"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是</w:t>
            </w:r>
          </w:p>
        </w:tc>
        <w:tc>
          <w:tcPr>
            <w:tcW w:w="1040" w:type="dxa"/>
            <w:gridSpan w:val="2"/>
            <w:tcBorders>
              <w:top w:val="single" w:sz="2" w:space="0" w:color="auto"/>
              <w:left w:val="single" w:sz="2" w:space="0" w:color="auto"/>
              <w:bottom w:val="single" w:sz="2" w:space="0" w:color="auto"/>
              <w:right w:val="single" w:sz="2" w:space="0" w:color="auto"/>
            </w:tcBorders>
            <w:vAlign w:val="center"/>
          </w:tcPr>
          <w:p w14:paraId="6C283208"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98,747.25</w:t>
            </w:r>
          </w:p>
        </w:tc>
        <w:tc>
          <w:tcPr>
            <w:tcW w:w="992" w:type="dxa"/>
            <w:gridSpan w:val="2"/>
            <w:tcBorders>
              <w:top w:val="single" w:sz="2" w:space="0" w:color="auto"/>
              <w:left w:val="single" w:sz="2" w:space="0" w:color="auto"/>
              <w:bottom w:val="single" w:sz="2" w:space="0" w:color="auto"/>
              <w:right w:val="single" w:sz="2" w:space="0" w:color="auto"/>
            </w:tcBorders>
            <w:vAlign w:val="center"/>
          </w:tcPr>
          <w:p w14:paraId="5D14547E"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47,847.25</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6FFA3BB7"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1058" w:type="dxa"/>
            <w:gridSpan w:val="2"/>
            <w:tcBorders>
              <w:top w:val="single" w:sz="2" w:space="0" w:color="auto"/>
              <w:left w:val="single" w:sz="2" w:space="0" w:color="auto"/>
              <w:bottom w:val="single" w:sz="2" w:space="0" w:color="auto"/>
              <w:right w:val="single" w:sz="2" w:space="0" w:color="auto"/>
            </w:tcBorders>
            <w:vAlign w:val="center"/>
          </w:tcPr>
          <w:p w14:paraId="6DD1C26E"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47,852.01</w:t>
            </w:r>
          </w:p>
        </w:tc>
        <w:tc>
          <w:tcPr>
            <w:tcW w:w="851" w:type="dxa"/>
            <w:gridSpan w:val="2"/>
            <w:tcBorders>
              <w:top w:val="single" w:sz="2" w:space="0" w:color="auto"/>
              <w:left w:val="single" w:sz="2" w:space="0" w:color="auto"/>
              <w:bottom w:val="single" w:sz="2" w:space="0" w:color="auto"/>
              <w:right w:val="single" w:sz="2" w:space="0" w:color="auto"/>
            </w:tcBorders>
            <w:vAlign w:val="center"/>
          </w:tcPr>
          <w:p w14:paraId="231CE5FB"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100.01%</w:t>
            </w:r>
          </w:p>
        </w:tc>
        <w:tc>
          <w:tcPr>
            <w:tcW w:w="1097" w:type="dxa"/>
            <w:gridSpan w:val="2"/>
            <w:tcBorders>
              <w:top w:val="single" w:sz="2" w:space="0" w:color="auto"/>
              <w:left w:val="single" w:sz="2" w:space="0" w:color="auto"/>
              <w:bottom w:val="single" w:sz="2" w:space="0" w:color="auto"/>
              <w:right w:val="single" w:sz="2" w:space="0" w:color="auto"/>
            </w:tcBorders>
            <w:vAlign w:val="center"/>
          </w:tcPr>
          <w:p w14:paraId="26AF96F1"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2022年12月31日</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393E5D57"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288F9884"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27DAC57D"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否</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0ED71578"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是</w:t>
            </w:r>
          </w:p>
        </w:tc>
      </w:tr>
      <w:tr w:rsidR="00632E5B" w14:paraId="37004F7A" w14:textId="77777777" w:rsidTr="00A60474">
        <w:trPr>
          <w:gridAfter w:val="3"/>
          <w:wAfter w:w="50" w:type="dxa"/>
          <w:trHeight w:val="240"/>
        </w:trPr>
        <w:tc>
          <w:tcPr>
            <w:tcW w:w="1557" w:type="dxa"/>
            <w:tcBorders>
              <w:top w:val="single" w:sz="2" w:space="0" w:color="auto"/>
              <w:left w:val="single" w:sz="2" w:space="0" w:color="auto"/>
              <w:bottom w:val="single" w:sz="2" w:space="0" w:color="auto"/>
              <w:right w:val="single" w:sz="2" w:space="0" w:color="auto"/>
            </w:tcBorders>
            <w:vAlign w:val="center"/>
          </w:tcPr>
          <w:p w14:paraId="20222D9E"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2017年向特定对象发行股票</w:t>
            </w:r>
          </w:p>
        </w:tc>
        <w:tc>
          <w:tcPr>
            <w:tcW w:w="992" w:type="dxa"/>
            <w:tcBorders>
              <w:top w:val="single" w:sz="2" w:space="0" w:color="auto"/>
              <w:left w:val="single" w:sz="2" w:space="0" w:color="auto"/>
              <w:bottom w:val="single" w:sz="2" w:space="0" w:color="auto"/>
              <w:right w:val="single" w:sz="2" w:space="0" w:color="auto"/>
            </w:tcBorders>
            <w:vAlign w:val="center"/>
          </w:tcPr>
          <w:p w14:paraId="5A3CCD81"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2018年01月22日</w:t>
            </w:r>
          </w:p>
        </w:tc>
        <w:tc>
          <w:tcPr>
            <w:tcW w:w="914" w:type="dxa"/>
            <w:tcBorders>
              <w:top w:val="single" w:sz="2" w:space="0" w:color="auto"/>
              <w:left w:val="single" w:sz="2" w:space="0" w:color="auto"/>
              <w:bottom w:val="single" w:sz="2" w:space="0" w:color="auto"/>
              <w:right w:val="single" w:sz="2" w:space="0" w:color="auto"/>
            </w:tcBorders>
            <w:vAlign w:val="center"/>
          </w:tcPr>
          <w:p w14:paraId="69A4B629"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永久补充流动资金</w:t>
            </w:r>
          </w:p>
        </w:tc>
        <w:tc>
          <w:tcPr>
            <w:tcW w:w="642" w:type="dxa"/>
            <w:tcBorders>
              <w:top w:val="single" w:sz="2" w:space="0" w:color="auto"/>
              <w:left w:val="single" w:sz="2" w:space="0" w:color="auto"/>
              <w:bottom w:val="single" w:sz="2" w:space="0" w:color="auto"/>
              <w:right w:val="single" w:sz="2" w:space="0" w:color="auto"/>
            </w:tcBorders>
            <w:vAlign w:val="center"/>
          </w:tcPr>
          <w:p w14:paraId="6EED3D1A"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补流</w:t>
            </w:r>
          </w:p>
        </w:tc>
        <w:tc>
          <w:tcPr>
            <w:tcW w:w="1189" w:type="dxa"/>
            <w:gridSpan w:val="2"/>
            <w:tcBorders>
              <w:top w:val="single" w:sz="2" w:space="0" w:color="auto"/>
              <w:left w:val="single" w:sz="2" w:space="0" w:color="auto"/>
              <w:bottom w:val="single" w:sz="2" w:space="0" w:color="auto"/>
              <w:right w:val="single" w:sz="2" w:space="0" w:color="auto"/>
            </w:tcBorders>
            <w:vAlign w:val="center"/>
          </w:tcPr>
          <w:p w14:paraId="1E4DF21A"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是</w:t>
            </w:r>
          </w:p>
        </w:tc>
        <w:tc>
          <w:tcPr>
            <w:tcW w:w="1040" w:type="dxa"/>
            <w:gridSpan w:val="2"/>
            <w:tcBorders>
              <w:top w:val="single" w:sz="2" w:space="0" w:color="auto"/>
              <w:left w:val="single" w:sz="2" w:space="0" w:color="auto"/>
              <w:bottom w:val="single" w:sz="2" w:space="0" w:color="auto"/>
              <w:right w:val="single" w:sz="2" w:space="0" w:color="auto"/>
            </w:tcBorders>
            <w:vAlign w:val="center"/>
          </w:tcPr>
          <w:p w14:paraId="2F4D9967"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992" w:type="dxa"/>
            <w:gridSpan w:val="2"/>
            <w:tcBorders>
              <w:top w:val="single" w:sz="2" w:space="0" w:color="auto"/>
              <w:left w:val="single" w:sz="2" w:space="0" w:color="auto"/>
              <w:bottom w:val="single" w:sz="2" w:space="0" w:color="auto"/>
              <w:right w:val="single" w:sz="2" w:space="0" w:color="auto"/>
            </w:tcBorders>
            <w:vAlign w:val="center"/>
          </w:tcPr>
          <w:p w14:paraId="4F02C29C"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50,900</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37F0AB5F"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10.16</w:t>
            </w:r>
          </w:p>
        </w:tc>
        <w:tc>
          <w:tcPr>
            <w:tcW w:w="1058" w:type="dxa"/>
            <w:gridSpan w:val="2"/>
            <w:tcBorders>
              <w:top w:val="single" w:sz="2" w:space="0" w:color="auto"/>
              <w:left w:val="single" w:sz="2" w:space="0" w:color="auto"/>
              <w:bottom w:val="single" w:sz="2" w:space="0" w:color="auto"/>
              <w:right w:val="single" w:sz="2" w:space="0" w:color="auto"/>
            </w:tcBorders>
            <w:vAlign w:val="center"/>
          </w:tcPr>
          <w:p w14:paraId="26EB270B"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79,005.45</w:t>
            </w:r>
          </w:p>
        </w:tc>
        <w:tc>
          <w:tcPr>
            <w:tcW w:w="851" w:type="dxa"/>
            <w:gridSpan w:val="2"/>
            <w:tcBorders>
              <w:top w:val="single" w:sz="2" w:space="0" w:color="auto"/>
              <w:left w:val="single" w:sz="2" w:space="0" w:color="auto"/>
              <w:bottom w:val="single" w:sz="2" w:space="0" w:color="auto"/>
              <w:right w:val="single" w:sz="2" w:space="0" w:color="auto"/>
            </w:tcBorders>
            <w:vAlign w:val="center"/>
          </w:tcPr>
          <w:p w14:paraId="26458812"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155.22%</w:t>
            </w:r>
          </w:p>
        </w:tc>
        <w:tc>
          <w:tcPr>
            <w:tcW w:w="1097" w:type="dxa"/>
            <w:gridSpan w:val="2"/>
            <w:tcBorders>
              <w:top w:val="single" w:sz="2" w:space="0" w:color="auto"/>
              <w:left w:val="single" w:sz="2" w:space="0" w:color="auto"/>
              <w:bottom w:val="single" w:sz="2" w:space="0" w:color="auto"/>
              <w:right w:val="single" w:sz="2" w:space="0" w:color="auto"/>
            </w:tcBorders>
            <w:vAlign w:val="center"/>
          </w:tcPr>
          <w:p w14:paraId="5481E16C" w14:textId="77777777" w:rsidR="00632E5B" w:rsidRPr="004C5EA3" w:rsidRDefault="00632E5B">
            <w:pPr>
              <w:spacing w:line="240" w:lineRule="exact"/>
              <w:rPr>
                <w:rFonts w:ascii="宋体" w:eastAsia="宋体" w:hAnsi="宋体" w:cs="宋体" w:hint="eastAsia"/>
                <w:sz w:val="15"/>
                <w:szCs w:val="15"/>
              </w:rPr>
            </w:pP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15B1BFA2"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5F1163B2"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392A8632"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不适用</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2F6B0089"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是</w:t>
            </w:r>
          </w:p>
        </w:tc>
      </w:tr>
      <w:tr w:rsidR="00632E5B" w14:paraId="5E716059" w14:textId="77777777" w:rsidTr="00A60474">
        <w:trPr>
          <w:gridAfter w:val="3"/>
          <w:wAfter w:w="50" w:type="dxa"/>
          <w:trHeight w:val="240"/>
        </w:trPr>
        <w:tc>
          <w:tcPr>
            <w:tcW w:w="1557" w:type="dxa"/>
            <w:tcBorders>
              <w:top w:val="single" w:sz="2" w:space="0" w:color="auto"/>
              <w:left w:val="single" w:sz="2" w:space="0" w:color="auto"/>
              <w:bottom w:val="single" w:sz="2" w:space="0" w:color="auto"/>
              <w:right w:val="single" w:sz="2" w:space="0" w:color="auto"/>
            </w:tcBorders>
            <w:vAlign w:val="center"/>
          </w:tcPr>
          <w:p w14:paraId="21F5CEA5"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2017年向特定对象发行股票</w:t>
            </w:r>
          </w:p>
        </w:tc>
        <w:tc>
          <w:tcPr>
            <w:tcW w:w="992" w:type="dxa"/>
            <w:tcBorders>
              <w:top w:val="single" w:sz="2" w:space="0" w:color="auto"/>
              <w:left w:val="single" w:sz="2" w:space="0" w:color="auto"/>
              <w:bottom w:val="single" w:sz="2" w:space="0" w:color="auto"/>
              <w:right w:val="single" w:sz="2" w:space="0" w:color="auto"/>
            </w:tcBorders>
            <w:vAlign w:val="center"/>
          </w:tcPr>
          <w:p w14:paraId="6E0542D1"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2018年01月22日</w:t>
            </w:r>
          </w:p>
        </w:tc>
        <w:tc>
          <w:tcPr>
            <w:tcW w:w="914" w:type="dxa"/>
            <w:tcBorders>
              <w:top w:val="single" w:sz="2" w:space="0" w:color="auto"/>
              <w:left w:val="single" w:sz="2" w:space="0" w:color="auto"/>
              <w:bottom w:val="single" w:sz="2" w:space="0" w:color="auto"/>
              <w:right w:val="single" w:sz="2" w:space="0" w:color="auto"/>
            </w:tcBorders>
            <w:vAlign w:val="center"/>
          </w:tcPr>
          <w:p w14:paraId="5AE13294"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补充流动资金</w:t>
            </w:r>
          </w:p>
        </w:tc>
        <w:tc>
          <w:tcPr>
            <w:tcW w:w="642" w:type="dxa"/>
            <w:tcBorders>
              <w:top w:val="single" w:sz="2" w:space="0" w:color="auto"/>
              <w:left w:val="single" w:sz="2" w:space="0" w:color="auto"/>
              <w:bottom w:val="single" w:sz="2" w:space="0" w:color="auto"/>
              <w:right w:val="single" w:sz="2" w:space="0" w:color="auto"/>
            </w:tcBorders>
            <w:vAlign w:val="center"/>
          </w:tcPr>
          <w:p w14:paraId="0C5E2BEA"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补流</w:t>
            </w:r>
          </w:p>
        </w:tc>
        <w:tc>
          <w:tcPr>
            <w:tcW w:w="1189" w:type="dxa"/>
            <w:gridSpan w:val="2"/>
            <w:tcBorders>
              <w:top w:val="single" w:sz="2" w:space="0" w:color="auto"/>
              <w:left w:val="single" w:sz="2" w:space="0" w:color="auto"/>
              <w:bottom w:val="single" w:sz="2" w:space="0" w:color="auto"/>
              <w:right w:val="single" w:sz="2" w:space="0" w:color="auto"/>
            </w:tcBorders>
            <w:vAlign w:val="center"/>
          </w:tcPr>
          <w:p w14:paraId="13C762D0"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否</w:t>
            </w:r>
          </w:p>
        </w:tc>
        <w:tc>
          <w:tcPr>
            <w:tcW w:w="1040" w:type="dxa"/>
            <w:gridSpan w:val="2"/>
            <w:tcBorders>
              <w:top w:val="single" w:sz="2" w:space="0" w:color="auto"/>
              <w:left w:val="single" w:sz="2" w:space="0" w:color="auto"/>
              <w:bottom w:val="single" w:sz="2" w:space="0" w:color="auto"/>
              <w:right w:val="single" w:sz="2" w:space="0" w:color="auto"/>
            </w:tcBorders>
            <w:vAlign w:val="center"/>
          </w:tcPr>
          <w:p w14:paraId="63267EE1"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50,000</w:t>
            </w:r>
          </w:p>
        </w:tc>
        <w:tc>
          <w:tcPr>
            <w:tcW w:w="992" w:type="dxa"/>
            <w:gridSpan w:val="2"/>
            <w:tcBorders>
              <w:top w:val="single" w:sz="2" w:space="0" w:color="auto"/>
              <w:left w:val="single" w:sz="2" w:space="0" w:color="auto"/>
              <w:bottom w:val="single" w:sz="2" w:space="0" w:color="auto"/>
              <w:right w:val="single" w:sz="2" w:space="0" w:color="auto"/>
            </w:tcBorders>
            <w:vAlign w:val="center"/>
          </w:tcPr>
          <w:p w14:paraId="56DE7C37"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50,000</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30503B33"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1058" w:type="dxa"/>
            <w:gridSpan w:val="2"/>
            <w:tcBorders>
              <w:top w:val="single" w:sz="2" w:space="0" w:color="auto"/>
              <w:left w:val="single" w:sz="2" w:space="0" w:color="auto"/>
              <w:bottom w:val="single" w:sz="2" w:space="0" w:color="auto"/>
              <w:right w:val="single" w:sz="2" w:space="0" w:color="auto"/>
            </w:tcBorders>
            <w:vAlign w:val="center"/>
          </w:tcPr>
          <w:p w14:paraId="10FBD89D"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50,000</w:t>
            </w:r>
          </w:p>
        </w:tc>
        <w:tc>
          <w:tcPr>
            <w:tcW w:w="851" w:type="dxa"/>
            <w:gridSpan w:val="2"/>
            <w:tcBorders>
              <w:top w:val="single" w:sz="2" w:space="0" w:color="auto"/>
              <w:left w:val="single" w:sz="2" w:space="0" w:color="auto"/>
              <w:bottom w:val="single" w:sz="2" w:space="0" w:color="auto"/>
              <w:right w:val="single" w:sz="2" w:space="0" w:color="auto"/>
            </w:tcBorders>
            <w:vAlign w:val="center"/>
          </w:tcPr>
          <w:p w14:paraId="28B1C4A5"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100.00%</w:t>
            </w:r>
          </w:p>
        </w:tc>
        <w:tc>
          <w:tcPr>
            <w:tcW w:w="1097" w:type="dxa"/>
            <w:gridSpan w:val="2"/>
            <w:tcBorders>
              <w:top w:val="single" w:sz="2" w:space="0" w:color="auto"/>
              <w:left w:val="single" w:sz="2" w:space="0" w:color="auto"/>
              <w:bottom w:val="single" w:sz="2" w:space="0" w:color="auto"/>
              <w:right w:val="single" w:sz="2" w:space="0" w:color="auto"/>
            </w:tcBorders>
            <w:vAlign w:val="center"/>
          </w:tcPr>
          <w:p w14:paraId="46D1BDF7" w14:textId="77777777" w:rsidR="00632E5B" w:rsidRPr="004C5EA3" w:rsidRDefault="00632E5B">
            <w:pPr>
              <w:spacing w:line="240" w:lineRule="exact"/>
              <w:rPr>
                <w:rFonts w:ascii="宋体" w:eastAsia="宋体" w:hAnsi="宋体" w:cs="宋体" w:hint="eastAsia"/>
                <w:sz w:val="15"/>
                <w:szCs w:val="15"/>
              </w:rPr>
            </w:pP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77718644"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5938E13A"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76255817"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不适用</w:t>
            </w:r>
          </w:p>
        </w:tc>
        <w:tc>
          <w:tcPr>
            <w:tcW w:w="643" w:type="dxa"/>
            <w:gridSpan w:val="2"/>
            <w:tcBorders>
              <w:top w:val="single" w:sz="2" w:space="0" w:color="auto"/>
              <w:left w:val="single" w:sz="2" w:space="0" w:color="auto"/>
              <w:bottom w:val="single" w:sz="2" w:space="0" w:color="auto"/>
              <w:right w:val="single" w:sz="2" w:space="0" w:color="auto"/>
            </w:tcBorders>
            <w:vAlign w:val="center"/>
          </w:tcPr>
          <w:p w14:paraId="11B16B63"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否</w:t>
            </w:r>
          </w:p>
        </w:tc>
      </w:tr>
      <w:tr w:rsidR="00632E5B" w14:paraId="78D0FDE1" w14:textId="77777777" w:rsidTr="00D954C5">
        <w:trPr>
          <w:gridAfter w:val="2"/>
          <w:wAfter w:w="44" w:type="dxa"/>
          <w:trHeight w:val="240"/>
        </w:trPr>
        <w:tc>
          <w:tcPr>
            <w:tcW w:w="4117" w:type="dxa"/>
            <w:gridSpan w:val="5"/>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E8A16B1"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承诺投资项目小计</w:t>
            </w:r>
          </w:p>
        </w:tc>
        <w:tc>
          <w:tcPr>
            <w:tcW w:w="1189"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2954E6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1040"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4EDB7E9"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308,482.18</w:t>
            </w:r>
          </w:p>
        </w:tc>
        <w:tc>
          <w:tcPr>
            <w:tcW w:w="992"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EB52E19"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308,482.18</w:t>
            </w:r>
          </w:p>
        </w:tc>
        <w:tc>
          <w:tcPr>
            <w:tcW w:w="643"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7B667B9"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10.16</w:t>
            </w:r>
          </w:p>
        </w:tc>
        <w:tc>
          <w:tcPr>
            <w:tcW w:w="1058"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BB5FABF"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308,500.89</w:t>
            </w:r>
          </w:p>
        </w:tc>
        <w:tc>
          <w:tcPr>
            <w:tcW w:w="851"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F6169B9" w14:textId="77777777" w:rsidR="00632E5B" w:rsidRPr="004C5EA3" w:rsidRDefault="00107901">
            <w:pPr>
              <w:spacing w:before="40" w:after="40" w:line="240" w:lineRule="exact"/>
              <w:jc w:val="center"/>
              <w:rPr>
                <w:rFonts w:ascii="宋体" w:eastAsia="宋体" w:hAnsi="宋体" w:cs="宋体" w:hint="eastAsia"/>
                <w:sz w:val="15"/>
                <w:szCs w:val="15"/>
              </w:rPr>
            </w:pPr>
            <w:r w:rsidRPr="004C5EA3">
              <w:rPr>
                <w:rFonts w:ascii="宋体" w:eastAsia="宋体" w:hAnsi="宋体" w:cs="宋体"/>
                <w:sz w:val="15"/>
                <w:szCs w:val="15"/>
              </w:rPr>
              <w:t>--</w:t>
            </w:r>
          </w:p>
        </w:tc>
        <w:tc>
          <w:tcPr>
            <w:tcW w:w="1091"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721AD42" w14:textId="77777777" w:rsidR="00632E5B" w:rsidRPr="004C5EA3" w:rsidRDefault="00107901">
            <w:pPr>
              <w:spacing w:before="40" w:after="40" w:line="240" w:lineRule="exact"/>
              <w:jc w:val="center"/>
              <w:rPr>
                <w:rFonts w:ascii="宋体" w:eastAsia="宋体" w:hAnsi="宋体" w:cs="宋体" w:hint="eastAsia"/>
                <w:sz w:val="15"/>
                <w:szCs w:val="15"/>
              </w:rPr>
            </w:pPr>
            <w:r w:rsidRPr="004C5EA3">
              <w:rPr>
                <w:rFonts w:ascii="宋体" w:eastAsia="宋体" w:hAnsi="宋体" w:cs="宋体"/>
                <w:sz w:val="15"/>
                <w:szCs w:val="15"/>
              </w:rPr>
              <w:t>--</w:t>
            </w:r>
          </w:p>
        </w:tc>
        <w:tc>
          <w:tcPr>
            <w:tcW w:w="643"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20088A9"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643"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9875A0A" w14:textId="77777777" w:rsidR="00632E5B" w:rsidRPr="004C5EA3" w:rsidRDefault="00632E5B">
            <w:pPr>
              <w:spacing w:line="240" w:lineRule="exact"/>
              <w:jc w:val="right"/>
              <w:rPr>
                <w:rFonts w:ascii="宋体" w:eastAsia="宋体" w:hAnsi="宋体" w:cs="宋体" w:hint="eastAsia"/>
                <w:sz w:val="15"/>
                <w:szCs w:val="15"/>
              </w:rPr>
            </w:pPr>
          </w:p>
        </w:tc>
        <w:tc>
          <w:tcPr>
            <w:tcW w:w="643"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89616A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643"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0EF565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r>
      <w:tr w:rsidR="00632E5B" w14:paraId="5532EF40" w14:textId="77777777" w:rsidTr="00D954C5">
        <w:trPr>
          <w:trHeight w:val="240"/>
        </w:trPr>
        <w:tc>
          <w:tcPr>
            <w:tcW w:w="13597" w:type="dxa"/>
            <w:gridSpan w:val="29"/>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4A8A79D"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超募资金投向</w:t>
            </w:r>
          </w:p>
        </w:tc>
      </w:tr>
      <w:tr w:rsidR="00632E5B" w14:paraId="604C85E0" w14:textId="77777777" w:rsidTr="00D954C5">
        <w:trPr>
          <w:gridAfter w:val="3"/>
          <w:wAfter w:w="50" w:type="dxa"/>
          <w:trHeight w:val="240"/>
        </w:trPr>
        <w:tc>
          <w:tcPr>
            <w:tcW w:w="155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E115374"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无</w:t>
            </w:r>
          </w:p>
        </w:tc>
        <w:tc>
          <w:tcPr>
            <w:tcW w:w="99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9BB3D85"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2018年01月22日</w:t>
            </w:r>
          </w:p>
        </w:tc>
        <w:tc>
          <w:tcPr>
            <w:tcW w:w="91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F33C985"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无</w:t>
            </w:r>
          </w:p>
        </w:tc>
        <w:tc>
          <w:tcPr>
            <w:tcW w:w="64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0C6C19E"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不适用</w:t>
            </w:r>
          </w:p>
        </w:tc>
        <w:tc>
          <w:tcPr>
            <w:tcW w:w="1189"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3FE9D1F"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否</w:t>
            </w:r>
          </w:p>
        </w:tc>
        <w:tc>
          <w:tcPr>
            <w:tcW w:w="1040"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9DE761D"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992"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6663E27"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643"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B6B55AD"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1058"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FC2C32F"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851"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DC6CD4C"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0.00%</w:t>
            </w:r>
          </w:p>
        </w:tc>
        <w:tc>
          <w:tcPr>
            <w:tcW w:w="1097"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EBEB3AD" w14:textId="77777777" w:rsidR="00632E5B" w:rsidRPr="004C5EA3" w:rsidRDefault="00632E5B">
            <w:pPr>
              <w:spacing w:line="240" w:lineRule="exact"/>
              <w:rPr>
                <w:rFonts w:ascii="宋体" w:eastAsia="宋体" w:hAnsi="宋体" w:cs="宋体" w:hint="eastAsia"/>
                <w:sz w:val="15"/>
                <w:szCs w:val="15"/>
              </w:rPr>
            </w:pPr>
          </w:p>
        </w:tc>
        <w:tc>
          <w:tcPr>
            <w:tcW w:w="643"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4FFD03C"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643"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4E46636"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643"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9320C57"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不适用</w:t>
            </w:r>
          </w:p>
        </w:tc>
        <w:tc>
          <w:tcPr>
            <w:tcW w:w="643"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0106703" w14:textId="77777777" w:rsidR="00632E5B" w:rsidRPr="004C5EA3" w:rsidRDefault="00107901">
            <w:pPr>
              <w:spacing w:line="240" w:lineRule="exact"/>
              <w:rPr>
                <w:rFonts w:ascii="宋体" w:eastAsia="宋体" w:hAnsi="宋体" w:cs="宋体" w:hint="eastAsia"/>
                <w:sz w:val="15"/>
                <w:szCs w:val="15"/>
              </w:rPr>
            </w:pPr>
            <w:r w:rsidRPr="004C5EA3">
              <w:rPr>
                <w:rFonts w:ascii="宋体" w:eastAsia="宋体" w:hAnsi="宋体" w:cs="宋体"/>
                <w:sz w:val="15"/>
                <w:szCs w:val="15"/>
              </w:rPr>
              <w:t>否</w:t>
            </w:r>
          </w:p>
        </w:tc>
      </w:tr>
      <w:tr w:rsidR="00632E5B" w14:paraId="3E5A8169" w14:textId="77777777" w:rsidTr="00D954C5">
        <w:trPr>
          <w:gridAfter w:val="2"/>
          <w:wAfter w:w="44" w:type="dxa"/>
          <w:trHeight w:val="240"/>
        </w:trPr>
        <w:tc>
          <w:tcPr>
            <w:tcW w:w="4117" w:type="dxa"/>
            <w:gridSpan w:val="5"/>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2B8CD85"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189"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6B15DC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1040"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D677BE0"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308,482.18</w:t>
            </w:r>
          </w:p>
        </w:tc>
        <w:tc>
          <w:tcPr>
            <w:tcW w:w="992"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6081F63"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308,482.18</w:t>
            </w:r>
          </w:p>
        </w:tc>
        <w:tc>
          <w:tcPr>
            <w:tcW w:w="643"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0A8D8BA"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10.16</w:t>
            </w:r>
          </w:p>
        </w:tc>
        <w:tc>
          <w:tcPr>
            <w:tcW w:w="1058"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88F4783"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308,500.89</w:t>
            </w:r>
          </w:p>
        </w:tc>
        <w:tc>
          <w:tcPr>
            <w:tcW w:w="851"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BB754AB" w14:textId="77777777" w:rsidR="00632E5B" w:rsidRPr="004C5EA3" w:rsidRDefault="00107901">
            <w:pPr>
              <w:spacing w:before="40" w:after="40" w:line="240" w:lineRule="exact"/>
              <w:jc w:val="center"/>
              <w:rPr>
                <w:rFonts w:ascii="宋体" w:eastAsia="宋体" w:hAnsi="宋体" w:cs="宋体" w:hint="eastAsia"/>
                <w:sz w:val="15"/>
                <w:szCs w:val="15"/>
              </w:rPr>
            </w:pPr>
            <w:r w:rsidRPr="004C5EA3">
              <w:rPr>
                <w:rFonts w:ascii="宋体" w:eastAsia="宋体" w:hAnsi="宋体" w:cs="宋体"/>
                <w:sz w:val="15"/>
                <w:szCs w:val="15"/>
              </w:rPr>
              <w:t>--</w:t>
            </w:r>
          </w:p>
        </w:tc>
        <w:tc>
          <w:tcPr>
            <w:tcW w:w="1091"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337E323" w14:textId="77777777" w:rsidR="00632E5B" w:rsidRPr="004C5EA3" w:rsidRDefault="00107901">
            <w:pPr>
              <w:spacing w:before="40" w:after="40" w:line="240" w:lineRule="exact"/>
              <w:jc w:val="center"/>
              <w:rPr>
                <w:rFonts w:ascii="宋体" w:eastAsia="宋体" w:hAnsi="宋体" w:cs="宋体" w:hint="eastAsia"/>
                <w:sz w:val="15"/>
                <w:szCs w:val="15"/>
              </w:rPr>
            </w:pPr>
            <w:r w:rsidRPr="004C5EA3">
              <w:rPr>
                <w:rFonts w:ascii="宋体" w:eastAsia="宋体" w:hAnsi="宋体" w:cs="宋体"/>
                <w:sz w:val="15"/>
                <w:szCs w:val="15"/>
              </w:rPr>
              <w:t>--</w:t>
            </w:r>
          </w:p>
        </w:tc>
        <w:tc>
          <w:tcPr>
            <w:tcW w:w="643"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2118657"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643"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55B7C29" w14:textId="77777777" w:rsidR="00632E5B" w:rsidRPr="004C5EA3" w:rsidRDefault="00107901">
            <w:pPr>
              <w:spacing w:line="240" w:lineRule="exact"/>
              <w:jc w:val="right"/>
              <w:rPr>
                <w:rFonts w:ascii="宋体" w:eastAsia="宋体" w:hAnsi="宋体" w:cs="宋体" w:hint="eastAsia"/>
                <w:sz w:val="15"/>
                <w:szCs w:val="15"/>
              </w:rPr>
            </w:pPr>
            <w:r w:rsidRPr="004C5EA3">
              <w:rPr>
                <w:rFonts w:ascii="宋体" w:eastAsia="宋体" w:hAnsi="宋体" w:cs="宋体"/>
                <w:sz w:val="15"/>
                <w:szCs w:val="15"/>
              </w:rPr>
              <w:t>0</w:t>
            </w:r>
          </w:p>
        </w:tc>
        <w:tc>
          <w:tcPr>
            <w:tcW w:w="643"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1B738D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643"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D0B878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r>
      <w:tr w:rsidR="00632E5B" w14:paraId="3459BAE4" w14:textId="77777777" w:rsidTr="00D954C5">
        <w:trPr>
          <w:gridAfter w:val="1"/>
          <w:wAfter w:w="6" w:type="dxa"/>
          <w:trHeight w:val="240"/>
        </w:trPr>
        <w:tc>
          <w:tcPr>
            <w:tcW w:w="2549"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123644D"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分项目说明未达到计划进度、预计收益的情况和原因（含“是否达到预计效益”选择“不适用”的原因）</w:t>
            </w:r>
          </w:p>
        </w:tc>
        <w:tc>
          <w:tcPr>
            <w:tcW w:w="11042" w:type="dxa"/>
            <w:gridSpan w:val="26"/>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5CB9891" w14:textId="41641C08" w:rsidR="00632E5B" w:rsidRDefault="00107901" w:rsidP="00C444E9">
            <w:pPr>
              <w:spacing w:line="240" w:lineRule="exact"/>
              <w:jc w:val="both"/>
              <w:rPr>
                <w:rFonts w:ascii="宋体" w:eastAsia="宋体" w:hAnsi="宋体" w:cs="宋体" w:hint="eastAsia"/>
                <w:sz w:val="18"/>
                <w:szCs w:val="18"/>
              </w:rPr>
            </w:pPr>
            <w:r>
              <w:rPr>
                <w:rFonts w:ascii="宋体" w:eastAsia="宋体" w:hAnsi="宋体" w:cs="宋体"/>
                <w:sz w:val="18"/>
                <w:szCs w:val="18"/>
              </w:rPr>
              <w:t>1</w:t>
            </w:r>
            <w:r w:rsidR="00C91D96">
              <w:rPr>
                <w:rFonts w:ascii="宋体" w:eastAsia="宋体" w:hAnsi="宋体" w:cs="宋体"/>
                <w:sz w:val="18"/>
                <w:szCs w:val="18"/>
              </w:rPr>
              <w:t>.</w:t>
            </w:r>
            <w:r>
              <w:rPr>
                <w:rFonts w:ascii="宋体" w:eastAsia="宋体" w:hAnsi="宋体" w:cs="宋体"/>
                <w:sz w:val="18"/>
                <w:szCs w:val="18"/>
              </w:rPr>
              <w:t>“河南马村区 50MW 项目”于 2016 年 10 月开始建设，若考虑 2016 年 9 月 29 日之前以自有资金的投入，该项目的投资进度为 90.6%；“安徽定远一期 20MW 及二期 20MW 项目”于 2016年4月开始建设，若考虑2016年9月29 日之前以自有资金的投入金额，该项目的投资进度为 90.15%；</w:t>
            </w:r>
          </w:p>
          <w:p w14:paraId="5EA8CE29" w14:textId="77777777" w:rsidR="00632E5B" w:rsidRDefault="00107901" w:rsidP="00C444E9">
            <w:pPr>
              <w:spacing w:line="240" w:lineRule="exact"/>
              <w:jc w:val="both"/>
              <w:rPr>
                <w:rFonts w:ascii="宋体" w:eastAsia="宋体" w:hAnsi="宋体" w:cs="宋体" w:hint="eastAsia"/>
                <w:sz w:val="18"/>
                <w:szCs w:val="18"/>
              </w:rPr>
            </w:pPr>
            <w:r>
              <w:rPr>
                <w:rFonts w:ascii="宋体" w:eastAsia="宋体" w:hAnsi="宋体" w:cs="宋体"/>
                <w:sz w:val="18"/>
                <w:szCs w:val="18"/>
              </w:rPr>
              <w:t>“安徽丰乐 20MW 项目”于 2016 年 5 月开始建设，若考虑 2016 年 9 月 29 日之前以自有资金的投入金额，该项目的投资进度 87.54%。上述项目资金投入进度未达到 100%主要是项目建设过程中公司合理降低了项目建设成本和费用。</w:t>
            </w:r>
          </w:p>
          <w:p w14:paraId="0CF9F2C9" w14:textId="18CC7667" w:rsidR="00632E5B" w:rsidRDefault="00107901" w:rsidP="00C444E9">
            <w:pPr>
              <w:spacing w:line="240" w:lineRule="exact"/>
              <w:jc w:val="both"/>
              <w:rPr>
                <w:rFonts w:ascii="宋体" w:eastAsia="宋体" w:hAnsi="宋体" w:cs="宋体" w:hint="eastAsia"/>
                <w:sz w:val="18"/>
                <w:szCs w:val="18"/>
              </w:rPr>
            </w:pPr>
            <w:r>
              <w:rPr>
                <w:rFonts w:ascii="宋体" w:eastAsia="宋体" w:hAnsi="宋体" w:cs="宋体"/>
                <w:sz w:val="18"/>
                <w:szCs w:val="18"/>
              </w:rPr>
              <w:t>2</w:t>
            </w:r>
            <w:r w:rsidR="00C91D96">
              <w:rPr>
                <w:rFonts w:ascii="宋体" w:eastAsia="宋体" w:hAnsi="宋体" w:cs="宋体" w:hint="eastAsia"/>
                <w:sz w:val="18"/>
                <w:szCs w:val="18"/>
              </w:rPr>
              <w:t>.</w:t>
            </w:r>
            <w:r>
              <w:rPr>
                <w:rFonts w:ascii="宋体" w:eastAsia="宋体" w:hAnsi="宋体" w:cs="宋体"/>
                <w:sz w:val="18"/>
                <w:szCs w:val="18"/>
              </w:rPr>
              <w:t xml:space="preserve">“河南马村区 50MW 项目”、“安徽定远一期 20MW 及二期 20MW 项目”和“安徽丰乐 20MW项目”三个项目均未达到预计效益，主要原因为：一方面因前期并网消缺项逐步实施造成投入增加所致，另一方面该等项目实际发电总价总体低于预测的电价包括上网电价和新能源补贴电价。受“531”光伏新政等政策的影响，国家暂不安排 2018 年普通光伏电站建设规模指标，公司未确认部分电费补贴收入，“安徽定远一期 20MW 及二期 20MW 项目”预测电价为 0.86 元/度，实际发电电价为 0.38~0.86 元/度；"河南马村区 50MW 项目"预测电价为 0.86 元/度，实际发电电价为 0.38 元/度；“安徽丰乐 20MW 项目”预测电价为 0.86 元/度，实际发电电价为 0.64 元/度。  </w:t>
            </w:r>
          </w:p>
          <w:p w14:paraId="6BE3AE1B" w14:textId="5FAD5ECF" w:rsidR="00632E5B" w:rsidRDefault="00107901" w:rsidP="00C444E9">
            <w:pPr>
              <w:spacing w:line="240" w:lineRule="exact"/>
              <w:jc w:val="both"/>
              <w:rPr>
                <w:rFonts w:ascii="宋体" w:eastAsia="宋体" w:hAnsi="宋体" w:cs="宋体" w:hint="eastAsia"/>
                <w:sz w:val="18"/>
                <w:szCs w:val="18"/>
              </w:rPr>
            </w:pPr>
            <w:r>
              <w:rPr>
                <w:rFonts w:ascii="宋体" w:eastAsia="宋体" w:hAnsi="宋体" w:cs="宋体"/>
                <w:sz w:val="18"/>
                <w:szCs w:val="18"/>
              </w:rPr>
              <w:t>3</w:t>
            </w:r>
            <w:r w:rsidR="00C91D96">
              <w:rPr>
                <w:rFonts w:ascii="宋体" w:eastAsia="宋体" w:hAnsi="宋体" w:cs="宋体" w:hint="eastAsia"/>
                <w:sz w:val="18"/>
                <w:szCs w:val="18"/>
              </w:rPr>
              <w:t>.</w:t>
            </w:r>
            <w:r>
              <w:rPr>
                <w:rFonts w:ascii="宋体" w:eastAsia="宋体" w:hAnsi="宋体" w:cs="宋体"/>
                <w:sz w:val="18"/>
                <w:szCs w:val="18"/>
              </w:rPr>
              <w:t>公司第五届董事会第三次会议审议通过了《关于部分募集资金投资项目延期的议案》，“年产 600 吨、1300 万芯公里光纤项目”由于青海西宁的气候和施工审批等原因，使工程进度受到影响，且由于中美贸易摩擦升级，该项目采购的进口设备由零关税增加至10%，采购期限延长，同时受市场及行业环境影响，光纤价格在2019年及2020年出现较大幅度的下降。为降低募集资金投资风险，结合公司中长期发展战略，公司将募投项目的达到预定可使用的状态时间延长至2021年12月31日。</w:t>
            </w:r>
          </w:p>
          <w:p w14:paraId="189B3EA4" w14:textId="1F095C9B" w:rsidR="00632E5B" w:rsidRDefault="00107901" w:rsidP="00C444E9">
            <w:pPr>
              <w:spacing w:line="240" w:lineRule="exact"/>
              <w:jc w:val="both"/>
              <w:rPr>
                <w:rFonts w:ascii="宋体" w:eastAsia="宋体" w:hAnsi="宋体" w:cs="宋体" w:hint="eastAsia"/>
                <w:sz w:val="18"/>
                <w:szCs w:val="18"/>
              </w:rPr>
            </w:pPr>
            <w:r>
              <w:rPr>
                <w:rFonts w:ascii="宋体" w:eastAsia="宋体" w:hAnsi="宋体" w:cs="宋体"/>
                <w:sz w:val="18"/>
                <w:szCs w:val="18"/>
              </w:rPr>
              <w:t>4</w:t>
            </w:r>
            <w:r w:rsidR="00C91D96">
              <w:rPr>
                <w:rFonts w:ascii="宋体" w:eastAsia="宋体" w:hAnsi="宋体" w:cs="宋体" w:hint="eastAsia"/>
                <w:sz w:val="18"/>
                <w:szCs w:val="18"/>
              </w:rPr>
              <w:t>.</w:t>
            </w:r>
            <w:r>
              <w:rPr>
                <w:rFonts w:ascii="宋体" w:eastAsia="宋体" w:hAnsi="宋体" w:cs="宋体"/>
                <w:sz w:val="18"/>
                <w:szCs w:val="18"/>
              </w:rPr>
              <w:t>公司第五届董事会2022年第二次临时会议，审议通过了《关于对“年产 600 吨、1300 万芯公里光纤项目”募集资金投资项目延期的</w:t>
            </w:r>
            <w:r>
              <w:rPr>
                <w:rFonts w:ascii="宋体" w:eastAsia="宋体" w:hAnsi="宋体" w:cs="宋体"/>
                <w:sz w:val="18"/>
                <w:szCs w:val="18"/>
              </w:rPr>
              <w:lastRenderedPageBreak/>
              <w:t>议案》，由于 2020 年开始受到国内外经济大环境的影响，外方设备调试人员无法按计划入境开展工作，导致设备安装及调试工作受到极大影响，进而导致“年产 600 吨、1300 万芯公里光纤项目”实施时间远远落后于原计划。对募集资金投资项目“年产 600 吨、1300 万芯公里光纤项目”预定达到可使用状态的时间进行调整，延长至2022年12月31日。</w:t>
            </w:r>
          </w:p>
          <w:p w14:paraId="16BEE4BC" w14:textId="0379E539" w:rsidR="00632E5B" w:rsidRDefault="00107901" w:rsidP="00C444E9">
            <w:pPr>
              <w:spacing w:line="240" w:lineRule="exact"/>
              <w:jc w:val="both"/>
              <w:rPr>
                <w:rFonts w:ascii="宋体" w:eastAsia="宋体" w:hAnsi="宋体" w:cs="宋体" w:hint="eastAsia"/>
                <w:sz w:val="18"/>
                <w:szCs w:val="18"/>
              </w:rPr>
            </w:pPr>
            <w:r>
              <w:rPr>
                <w:rFonts w:ascii="宋体" w:eastAsia="宋体" w:hAnsi="宋体" w:cs="宋体"/>
                <w:sz w:val="18"/>
                <w:szCs w:val="18"/>
              </w:rPr>
              <w:t>5</w:t>
            </w:r>
            <w:r w:rsidR="00C91D96">
              <w:rPr>
                <w:rFonts w:ascii="宋体" w:eastAsia="宋体" w:hAnsi="宋体" w:cs="宋体" w:hint="eastAsia"/>
                <w:sz w:val="18"/>
                <w:szCs w:val="18"/>
              </w:rPr>
              <w:t>.</w:t>
            </w:r>
            <w:r>
              <w:rPr>
                <w:rFonts w:ascii="宋体" w:eastAsia="宋体" w:hAnsi="宋体" w:cs="宋体"/>
                <w:sz w:val="18"/>
                <w:szCs w:val="18"/>
              </w:rPr>
              <w:t>截至2024年12月31日，“年产 600 吨光纤预制棒智能制造项目”的厂房基建工程、环保系统、供料系统、供电系统等配套工程已完工。由于受行业大环境不景气的影响，设备调试进度不达预期，尚未达到正式使用状态。</w:t>
            </w:r>
          </w:p>
        </w:tc>
      </w:tr>
      <w:tr w:rsidR="00632E5B" w14:paraId="1DE431BC" w14:textId="77777777" w:rsidTr="00D954C5">
        <w:trPr>
          <w:gridAfter w:val="1"/>
          <w:wAfter w:w="6" w:type="dxa"/>
          <w:trHeight w:val="240"/>
        </w:trPr>
        <w:tc>
          <w:tcPr>
            <w:tcW w:w="2549"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1639850"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lastRenderedPageBreak/>
              <w:t>项目可行性发生重大变化的情况说明</w:t>
            </w:r>
          </w:p>
        </w:tc>
        <w:tc>
          <w:tcPr>
            <w:tcW w:w="11042" w:type="dxa"/>
            <w:gridSpan w:val="26"/>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4D72CF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32E5B" w14:paraId="0537C542" w14:textId="77777777" w:rsidTr="00D954C5">
        <w:trPr>
          <w:gridAfter w:val="1"/>
          <w:wAfter w:w="6" w:type="dxa"/>
          <w:trHeight w:val="240"/>
        </w:trPr>
        <w:tc>
          <w:tcPr>
            <w:tcW w:w="2549"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654A96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超募资金的金额、用途及使用进展情况</w:t>
            </w:r>
          </w:p>
        </w:tc>
        <w:tc>
          <w:tcPr>
            <w:tcW w:w="11042" w:type="dxa"/>
            <w:gridSpan w:val="26"/>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8F39F6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32E5B" w14:paraId="733B8D84" w14:textId="77777777" w:rsidTr="00D954C5">
        <w:trPr>
          <w:gridAfter w:val="1"/>
          <w:wAfter w:w="6" w:type="dxa"/>
          <w:trHeight w:val="240"/>
        </w:trPr>
        <w:tc>
          <w:tcPr>
            <w:tcW w:w="2549" w:type="dxa"/>
            <w:gridSpan w:val="2"/>
            <w:vMerge w:val="restar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797325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募集资金投资项目实施地点变更情况</w:t>
            </w:r>
          </w:p>
        </w:tc>
        <w:tc>
          <w:tcPr>
            <w:tcW w:w="11042" w:type="dxa"/>
            <w:gridSpan w:val="26"/>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E732AB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适用</w:t>
            </w:r>
          </w:p>
        </w:tc>
      </w:tr>
      <w:tr w:rsidR="00632E5B" w14:paraId="6D94180B" w14:textId="77777777" w:rsidTr="00D954C5">
        <w:trPr>
          <w:gridAfter w:val="1"/>
          <w:wAfter w:w="6" w:type="dxa"/>
          <w:trHeight w:val="240"/>
        </w:trPr>
        <w:tc>
          <w:tcPr>
            <w:tcW w:w="2549" w:type="dxa"/>
            <w:gridSpan w:val="2"/>
            <w:vMerge/>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EB100A1" w14:textId="77777777" w:rsidR="00632E5B" w:rsidRDefault="00632E5B"/>
        </w:tc>
        <w:tc>
          <w:tcPr>
            <w:tcW w:w="11042" w:type="dxa"/>
            <w:gridSpan w:val="26"/>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7720E1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以前年度发生</w:t>
            </w:r>
          </w:p>
        </w:tc>
      </w:tr>
      <w:tr w:rsidR="00632E5B" w14:paraId="07074659" w14:textId="77777777" w:rsidTr="00D954C5">
        <w:trPr>
          <w:gridAfter w:val="1"/>
          <w:wAfter w:w="6" w:type="dxa"/>
          <w:trHeight w:val="240"/>
        </w:trPr>
        <w:tc>
          <w:tcPr>
            <w:tcW w:w="2549" w:type="dxa"/>
            <w:gridSpan w:val="2"/>
            <w:vMerge/>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56B501C" w14:textId="77777777" w:rsidR="00632E5B" w:rsidRDefault="00632E5B"/>
        </w:tc>
        <w:tc>
          <w:tcPr>
            <w:tcW w:w="11042" w:type="dxa"/>
            <w:gridSpan w:val="26"/>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0ED349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公司第四届董事会2018年第一次临时会议及2018年第一次临时股东大会，审议通过了《关于光纤预制棒及光纤募投项目变更实施主体和实施地点的议案》，同意将募投项目“年产600吨光纤预制棒、1,300万芯公里光纤项目”实施的主体由常熟中利光纤技术有限公司变更为青海中利光纤技术有限公司，实施地点相应由常熟市沙家浜镇常昆工业园腾晖路8号变更为西宁市城东区昆仑东路17号。</w:t>
            </w:r>
          </w:p>
        </w:tc>
      </w:tr>
      <w:tr w:rsidR="00632E5B" w14:paraId="7021532D" w14:textId="77777777" w:rsidTr="00D954C5">
        <w:trPr>
          <w:gridAfter w:val="1"/>
          <w:wAfter w:w="6" w:type="dxa"/>
          <w:trHeight w:val="240"/>
        </w:trPr>
        <w:tc>
          <w:tcPr>
            <w:tcW w:w="2549" w:type="dxa"/>
            <w:gridSpan w:val="2"/>
            <w:vMerge w:val="restar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D226E5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募集资金投资项目实施方式调整情况</w:t>
            </w:r>
          </w:p>
        </w:tc>
        <w:tc>
          <w:tcPr>
            <w:tcW w:w="11042" w:type="dxa"/>
            <w:gridSpan w:val="26"/>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CF0E22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适用</w:t>
            </w:r>
          </w:p>
        </w:tc>
      </w:tr>
      <w:tr w:rsidR="00632E5B" w14:paraId="0FE73F32" w14:textId="77777777" w:rsidTr="00D954C5">
        <w:trPr>
          <w:gridAfter w:val="1"/>
          <w:wAfter w:w="6" w:type="dxa"/>
          <w:trHeight w:val="240"/>
        </w:trPr>
        <w:tc>
          <w:tcPr>
            <w:tcW w:w="2549" w:type="dxa"/>
            <w:gridSpan w:val="2"/>
            <w:vMerge/>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980D12B" w14:textId="77777777" w:rsidR="00632E5B" w:rsidRDefault="00632E5B"/>
        </w:tc>
        <w:tc>
          <w:tcPr>
            <w:tcW w:w="11042" w:type="dxa"/>
            <w:gridSpan w:val="26"/>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DE5472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以前年度发生</w:t>
            </w:r>
          </w:p>
        </w:tc>
      </w:tr>
      <w:tr w:rsidR="00632E5B" w14:paraId="3B1FBC51" w14:textId="77777777" w:rsidTr="00D954C5">
        <w:trPr>
          <w:gridAfter w:val="1"/>
          <w:wAfter w:w="6" w:type="dxa"/>
          <w:trHeight w:val="240"/>
        </w:trPr>
        <w:tc>
          <w:tcPr>
            <w:tcW w:w="2549" w:type="dxa"/>
            <w:gridSpan w:val="2"/>
            <w:vMerge/>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570123E" w14:textId="77777777" w:rsidR="00632E5B" w:rsidRDefault="00632E5B"/>
        </w:tc>
        <w:tc>
          <w:tcPr>
            <w:tcW w:w="11042" w:type="dxa"/>
            <w:gridSpan w:val="26"/>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778AD64" w14:textId="603440A1"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1</w:t>
            </w:r>
            <w:r w:rsidR="00C91D96">
              <w:rPr>
                <w:rFonts w:ascii="宋体" w:eastAsia="宋体" w:hAnsi="宋体" w:cs="宋体" w:hint="eastAsia"/>
                <w:sz w:val="18"/>
                <w:szCs w:val="18"/>
              </w:rPr>
              <w:t>.</w:t>
            </w:r>
            <w:r>
              <w:rPr>
                <w:rFonts w:ascii="宋体" w:eastAsia="宋体" w:hAnsi="宋体" w:cs="宋体"/>
                <w:sz w:val="18"/>
                <w:szCs w:val="18"/>
              </w:rPr>
              <w:t>公司第四届董事会第九次会议及第四届监事会第九次会议，审议通过了《关于变更部分募投项目的议案》，董事会同意公司对募投项目350MW光伏电站项目中“河南祥符区80MW项目”和“江西余干100MW项目”进行变更，原计划投入该些项目的53,534.49万元募集资金拟全部变更分别投入“安图县32.48MW光伏扶贫项目”“承德县33.3MW光伏扶贫项目”“民和县43.4MW光伏扶贫项目”和“丰宁县37.5MW光伏扶贫项目”。</w:t>
            </w:r>
          </w:p>
          <w:p w14:paraId="5BA09923" w14:textId="0FF43DC9" w:rsidR="00632E5B" w:rsidRDefault="00107901" w:rsidP="00C444E9">
            <w:pPr>
              <w:spacing w:line="240" w:lineRule="exact"/>
              <w:jc w:val="both"/>
              <w:rPr>
                <w:rFonts w:ascii="宋体" w:eastAsia="宋体" w:hAnsi="宋体" w:cs="宋体" w:hint="eastAsia"/>
                <w:sz w:val="18"/>
                <w:szCs w:val="18"/>
              </w:rPr>
            </w:pPr>
            <w:r>
              <w:rPr>
                <w:rFonts w:ascii="宋体" w:eastAsia="宋体" w:hAnsi="宋体" w:cs="宋体"/>
                <w:sz w:val="18"/>
                <w:szCs w:val="18"/>
              </w:rPr>
              <w:t>2</w:t>
            </w:r>
            <w:r w:rsidR="00C91D96">
              <w:rPr>
                <w:rFonts w:ascii="宋体" w:eastAsia="宋体" w:hAnsi="宋体" w:cs="宋体" w:hint="eastAsia"/>
                <w:sz w:val="18"/>
                <w:szCs w:val="18"/>
              </w:rPr>
              <w:t>.</w:t>
            </w:r>
            <w:r>
              <w:rPr>
                <w:rFonts w:ascii="宋体" w:eastAsia="宋体" w:hAnsi="宋体" w:cs="宋体"/>
                <w:sz w:val="18"/>
                <w:szCs w:val="18"/>
              </w:rPr>
              <w:t>公司第六届董事会第一次会议、第六届监事会第一次会议和2022年第四次临时股东大会审议通过了《关于募集资金投资项目部分变更、部分终止并永久补充流动资金的议案》，同意公司将“年产 600吨光纤预制棒、1,300 万芯公里光纤项目”变更为“年产 600 吨光纤预制棒智能制造项目”。公司拟为“年产 600 吨光纤预制棒智能制造项目”预留约 3,011.02万元使其能够达到预定可使用状态，同时将扣除预留款后的项目剩余募集资金 50,900.00万元，以及公司其他募集资金专户余额一并用于永久补充流动资金。</w:t>
            </w:r>
          </w:p>
        </w:tc>
      </w:tr>
      <w:tr w:rsidR="00632E5B" w14:paraId="7B264751" w14:textId="77777777" w:rsidTr="00D954C5">
        <w:trPr>
          <w:gridAfter w:val="1"/>
          <w:wAfter w:w="6" w:type="dxa"/>
          <w:trHeight w:val="240"/>
        </w:trPr>
        <w:tc>
          <w:tcPr>
            <w:tcW w:w="2549" w:type="dxa"/>
            <w:gridSpan w:val="2"/>
            <w:vMerge w:val="restar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B8838C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募集资金投资项目先期投入及置换情况</w:t>
            </w:r>
          </w:p>
        </w:tc>
        <w:tc>
          <w:tcPr>
            <w:tcW w:w="11042" w:type="dxa"/>
            <w:gridSpan w:val="26"/>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3F723D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适用</w:t>
            </w:r>
          </w:p>
        </w:tc>
      </w:tr>
      <w:tr w:rsidR="00632E5B" w14:paraId="38AC398B" w14:textId="77777777" w:rsidTr="00D954C5">
        <w:trPr>
          <w:gridAfter w:val="1"/>
          <w:wAfter w:w="6" w:type="dxa"/>
          <w:trHeight w:val="240"/>
        </w:trPr>
        <w:tc>
          <w:tcPr>
            <w:tcW w:w="2549" w:type="dxa"/>
            <w:gridSpan w:val="2"/>
            <w:vMerge/>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68ADD53" w14:textId="77777777" w:rsidR="00632E5B" w:rsidRDefault="00632E5B"/>
        </w:tc>
        <w:tc>
          <w:tcPr>
            <w:tcW w:w="11042" w:type="dxa"/>
            <w:gridSpan w:val="26"/>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859660A" w14:textId="77777777" w:rsidR="00632E5B" w:rsidRDefault="00107901" w:rsidP="00C444E9">
            <w:pPr>
              <w:spacing w:line="240" w:lineRule="exact"/>
              <w:jc w:val="both"/>
              <w:rPr>
                <w:rFonts w:ascii="宋体" w:eastAsia="宋体" w:hAnsi="宋体" w:cs="宋体" w:hint="eastAsia"/>
                <w:sz w:val="18"/>
                <w:szCs w:val="18"/>
              </w:rPr>
            </w:pPr>
            <w:r>
              <w:rPr>
                <w:rFonts w:ascii="宋体" w:eastAsia="宋体" w:hAnsi="宋体" w:cs="宋体"/>
                <w:sz w:val="18"/>
                <w:szCs w:val="18"/>
              </w:rPr>
              <w:t>公司第四届董事会2018年第一次临时会议及第四届监事会2018年第一次临时会议，审议通过了《关于全资子公司腾晖光伏使用募集资金置换预先投入募投项目自筹资金的议案》， 同意中利集团全资子公司以非公开发行股票募集资金人民币73,496.82万元置换截至2017年12月31日先期投入“ 河南马村区50MW项目、安徽定远一期20MW项目、安徽定远二期20MW项目、安徽丰乐20MW项目、浙江湖州60MW项目”的自筹资金。</w:t>
            </w:r>
          </w:p>
        </w:tc>
      </w:tr>
      <w:tr w:rsidR="00632E5B" w14:paraId="3160BCAB" w14:textId="77777777" w:rsidTr="00D954C5">
        <w:trPr>
          <w:gridAfter w:val="1"/>
          <w:wAfter w:w="6" w:type="dxa"/>
          <w:trHeight w:val="240"/>
        </w:trPr>
        <w:tc>
          <w:tcPr>
            <w:tcW w:w="2549" w:type="dxa"/>
            <w:gridSpan w:val="2"/>
            <w:vMerge w:val="restar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2284DE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用闲置募集资金暂时补充流动资金情况</w:t>
            </w:r>
          </w:p>
        </w:tc>
        <w:tc>
          <w:tcPr>
            <w:tcW w:w="11042" w:type="dxa"/>
            <w:gridSpan w:val="26"/>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F4190E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适用</w:t>
            </w:r>
          </w:p>
        </w:tc>
      </w:tr>
      <w:tr w:rsidR="00632E5B" w14:paraId="527575B3" w14:textId="77777777" w:rsidTr="00D954C5">
        <w:trPr>
          <w:gridAfter w:val="1"/>
          <w:wAfter w:w="6" w:type="dxa"/>
          <w:trHeight w:val="240"/>
        </w:trPr>
        <w:tc>
          <w:tcPr>
            <w:tcW w:w="2549" w:type="dxa"/>
            <w:gridSpan w:val="2"/>
            <w:vMerge/>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732C249" w14:textId="77777777" w:rsidR="00632E5B" w:rsidRDefault="00632E5B"/>
        </w:tc>
        <w:tc>
          <w:tcPr>
            <w:tcW w:w="11042" w:type="dxa"/>
            <w:gridSpan w:val="26"/>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1546661" w14:textId="55EE85AA" w:rsidR="00632E5B" w:rsidRDefault="00107901" w:rsidP="00C444E9">
            <w:pPr>
              <w:spacing w:line="240" w:lineRule="exact"/>
              <w:jc w:val="both"/>
              <w:rPr>
                <w:rFonts w:ascii="宋体" w:eastAsia="宋体" w:hAnsi="宋体" w:cs="宋体" w:hint="eastAsia"/>
                <w:sz w:val="18"/>
                <w:szCs w:val="18"/>
              </w:rPr>
            </w:pPr>
            <w:r>
              <w:rPr>
                <w:rFonts w:ascii="宋体" w:eastAsia="宋体" w:hAnsi="宋体" w:cs="宋体"/>
                <w:sz w:val="18"/>
                <w:szCs w:val="18"/>
              </w:rPr>
              <w:t>1</w:t>
            </w:r>
            <w:r w:rsidR="00C91D96">
              <w:rPr>
                <w:rFonts w:ascii="宋体" w:eastAsia="宋体" w:hAnsi="宋体" w:cs="宋体"/>
                <w:sz w:val="18"/>
                <w:szCs w:val="18"/>
              </w:rPr>
              <w:t>.</w:t>
            </w:r>
            <w:r>
              <w:rPr>
                <w:rFonts w:ascii="宋体" w:eastAsia="宋体" w:hAnsi="宋体" w:cs="宋体"/>
                <w:sz w:val="18"/>
                <w:szCs w:val="18"/>
              </w:rPr>
              <w:t>公司第四届董事会2018年第四次临时会议审议通过了《关于使用部分闲置募集资金暂时性补充流动资金的议案》，同意公司使用不超过100,000万元（含本数）闲置募集资金暂时补充流动资金。截至2019年5月21日，公司将100,000万元募集资金全部归还至募集资金专项账户，并将上述募集资金的归还情况及时通知了公司保荐机构和保荐代表人。</w:t>
            </w:r>
          </w:p>
          <w:p w14:paraId="3DE85461" w14:textId="4B89E81C"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w:t>
            </w:r>
            <w:r w:rsidR="00C91D96">
              <w:rPr>
                <w:rFonts w:ascii="宋体" w:eastAsia="宋体" w:hAnsi="宋体" w:cs="宋体" w:hint="eastAsia"/>
                <w:sz w:val="18"/>
                <w:szCs w:val="18"/>
              </w:rPr>
              <w:t>.</w:t>
            </w:r>
            <w:r>
              <w:rPr>
                <w:rFonts w:ascii="宋体" w:eastAsia="宋体" w:hAnsi="宋体" w:cs="宋体"/>
                <w:sz w:val="18"/>
                <w:szCs w:val="18"/>
              </w:rPr>
              <w:t>公司第四届董事会2019年第六次临时会议审议通过了《关于使用部分闲置募集资金暂时性补充流动资金的议案》，同意公司使用不超过100,000万元（含本数）闲置募集资金暂时性补充流动资金。截至2020年5月19日,公司已将上述100,000万元募集资金全部归还至募集资金专项账户，并将上述募集资金的归还情况及时通知了公司保荐机构和保荐代表人。</w:t>
            </w:r>
          </w:p>
          <w:p w14:paraId="14F9EF79" w14:textId="44D352FF"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3</w:t>
            </w:r>
            <w:r w:rsidR="00C91D96">
              <w:rPr>
                <w:rFonts w:ascii="宋体" w:eastAsia="宋体" w:hAnsi="宋体" w:cs="宋体" w:hint="eastAsia"/>
                <w:sz w:val="18"/>
                <w:szCs w:val="18"/>
              </w:rPr>
              <w:t>.</w:t>
            </w:r>
            <w:r>
              <w:rPr>
                <w:rFonts w:ascii="宋体" w:eastAsia="宋体" w:hAnsi="宋体" w:cs="宋体"/>
                <w:sz w:val="18"/>
                <w:szCs w:val="18"/>
              </w:rPr>
              <w:t>公司第五届董事会2020年第五次临时会议审议通过了《关于使用部分闲置募集资金暂时性补充流动资金的议案》，同意公司使用不超过72,800万元（含本数）闲置募集资金暂时补充流动资金。截至2021年5月12日，公司已将72,800万元（其中2020年度已归还</w:t>
            </w:r>
            <w:r>
              <w:rPr>
                <w:rFonts w:ascii="宋体" w:eastAsia="宋体" w:hAnsi="宋体" w:cs="宋体"/>
                <w:sz w:val="18"/>
                <w:szCs w:val="18"/>
              </w:rPr>
              <w:lastRenderedPageBreak/>
              <w:t>5,760.00万元）募集资金全部归还至募集资金专项账户，并将上述募集资金的归还情况及时通知了公司保荐机构和保荐代表人。</w:t>
            </w:r>
          </w:p>
          <w:p w14:paraId="5364AD74" w14:textId="6DD234B6"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4</w:t>
            </w:r>
            <w:r w:rsidR="00C91D96">
              <w:rPr>
                <w:rFonts w:ascii="宋体" w:eastAsia="宋体" w:hAnsi="宋体" w:cs="宋体" w:hint="eastAsia"/>
                <w:sz w:val="18"/>
                <w:szCs w:val="18"/>
              </w:rPr>
              <w:t>.</w:t>
            </w:r>
            <w:r>
              <w:rPr>
                <w:rFonts w:ascii="宋体" w:eastAsia="宋体" w:hAnsi="宋体" w:cs="宋体"/>
                <w:sz w:val="18"/>
                <w:szCs w:val="18"/>
              </w:rPr>
              <w:t>公司第五届董事会2021年第七次临时会议审议通过了《关于使用部分闲置募集资金暂时性补充流动资金的议案》，同意公司使用不超过63,440万元（含本数）闲置募集资金暂时补充流动资金。截至2022年5月11日，公司已将63,440万元募集资金归还至募集资金专项账户，并将上述募集资金的归还情况及时通知了公司保荐机构和保荐代表人。</w:t>
            </w:r>
          </w:p>
          <w:p w14:paraId="585F1354" w14:textId="3383755E"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5</w:t>
            </w:r>
            <w:r w:rsidR="00C91D96">
              <w:rPr>
                <w:rFonts w:ascii="宋体" w:eastAsia="宋体" w:hAnsi="宋体" w:cs="宋体" w:hint="eastAsia"/>
                <w:sz w:val="18"/>
                <w:szCs w:val="18"/>
              </w:rPr>
              <w:t>.</w:t>
            </w:r>
            <w:r>
              <w:rPr>
                <w:rFonts w:ascii="宋体" w:eastAsia="宋体" w:hAnsi="宋体" w:cs="宋体"/>
                <w:sz w:val="18"/>
                <w:szCs w:val="18"/>
              </w:rPr>
              <w:t>公司第五届董事会2022年第三次临时会议审议通过了《关于使用部分闲置募集资金暂时性补充流动资金的议案》，同意公司使用不超过56,000万元（含本数）闲置募集资金暂时补充流动资金。截至2022年11月2日，公司已将56,000万元募集资金归还至募集资金专项账户，并将上述募集资金的归还情况及时通知了公司保荐机构和保荐代表人。</w:t>
            </w:r>
          </w:p>
        </w:tc>
      </w:tr>
      <w:tr w:rsidR="00632E5B" w14:paraId="1A72EAA6" w14:textId="77777777" w:rsidTr="00D954C5">
        <w:trPr>
          <w:gridAfter w:val="1"/>
          <w:wAfter w:w="6" w:type="dxa"/>
          <w:trHeight w:val="240"/>
        </w:trPr>
        <w:tc>
          <w:tcPr>
            <w:tcW w:w="2549" w:type="dxa"/>
            <w:gridSpan w:val="2"/>
            <w:vMerge w:val="restar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F313B5A"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lastRenderedPageBreak/>
              <w:t>项目实施出现募集资金结余的金额及原因</w:t>
            </w:r>
          </w:p>
        </w:tc>
        <w:tc>
          <w:tcPr>
            <w:tcW w:w="11042" w:type="dxa"/>
            <w:gridSpan w:val="26"/>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EBED80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适用</w:t>
            </w:r>
          </w:p>
        </w:tc>
      </w:tr>
      <w:tr w:rsidR="00632E5B" w14:paraId="34F61F18" w14:textId="77777777" w:rsidTr="00D954C5">
        <w:trPr>
          <w:gridAfter w:val="1"/>
          <w:wAfter w:w="6" w:type="dxa"/>
          <w:trHeight w:val="240"/>
        </w:trPr>
        <w:tc>
          <w:tcPr>
            <w:tcW w:w="2549" w:type="dxa"/>
            <w:gridSpan w:val="2"/>
            <w:vMerge/>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5A0B52D" w14:textId="77777777" w:rsidR="00632E5B" w:rsidRDefault="00632E5B"/>
        </w:tc>
        <w:tc>
          <w:tcPr>
            <w:tcW w:w="11042" w:type="dxa"/>
            <w:gridSpan w:val="26"/>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1535524" w14:textId="77777777" w:rsidR="00632E5B" w:rsidRDefault="00107901" w:rsidP="00C444E9">
            <w:pPr>
              <w:spacing w:line="240" w:lineRule="exact"/>
              <w:jc w:val="both"/>
              <w:rPr>
                <w:rFonts w:ascii="宋体" w:eastAsia="宋体" w:hAnsi="宋体" w:cs="宋体" w:hint="eastAsia"/>
                <w:sz w:val="18"/>
                <w:szCs w:val="18"/>
              </w:rPr>
            </w:pPr>
            <w:r>
              <w:rPr>
                <w:rFonts w:ascii="宋体" w:eastAsia="宋体" w:hAnsi="宋体" w:cs="宋体"/>
                <w:sz w:val="18"/>
                <w:szCs w:val="18"/>
              </w:rPr>
              <w:t>公司第五届董事会2020年第四次临时会议审议通过了《关于部分募投项目结项并将节余募集资金永久补充流动资金的议案》，公司募投项目“350MW光伏电站项目”在实施过程中一方面因光伏电站的组件价格下降较多，另一方面公司在建设过程中从实际情况出发，本着节约、合理、有效的原则，科学审慎地使用募集资金，结合光伏市场的情况和国家相关政策的变化情况，在保证项目质量和控制风险的前提下，对项目建设的各方面费用进行了严格的控制、监督和管理，通过对各项资源的合理调度和优化，合理地降低了项目建设成本和费用。</w:t>
            </w:r>
          </w:p>
        </w:tc>
      </w:tr>
      <w:tr w:rsidR="00632E5B" w14:paraId="565500F5" w14:textId="77777777" w:rsidTr="00D954C5">
        <w:trPr>
          <w:gridAfter w:val="1"/>
          <w:wAfter w:w="6" w:type="dxa"/>
          <w:trHeight w:val="240"/>
        </w:trPr>
        <w:tc>
          <w:tcPr>
            <w:tcW w:w="2549"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113AD77"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尚未使用的募集资金用途及去向</w:t>
            </w:r>
          </w:p>
        </w:tc>
        <w:tc>
          <w:tcPr>
            <w:tcW w:w="11042" w:type="dxa"/>
            <w:gridSpan w:val="26"/>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AF28E9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32E5B" w14:paraId="60FDD47E" w14:textId="77777777" w:rsidTr="00D954C5">
        <w:trPr>
          <w:gridAfter w:val="1"/>
          <w:wAfter w:w="6" w:type="dxa"/>
          <w:trHeight w:val="240"/>
        </w:trPr>
        <w:tc>
          <w:tcPr>
            <w:tcW w:w="2549"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612A97F"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募集资金使用及披露中存在的问题或其他情况</w:t>
            </w:r>
          </w:p>
        </w:tc>
        <w:tc>
          <w:tcPr>
            <w:tcW w:w="11042" w:type="dxa"/>
            <w:gridSpan w:val="26"/>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4FD3597" w14:textId="77777777" w:rsidR="00632E5B" w:rsidRDefault="00107901" w:rsidP="00C444E9">
            <w:pPr>
              <w:spacing w:line="240" w:lineRule="exact"/>
              <w:jc w:val="both"/>
              <w:rPr>
                <w:rFonts w:ascii="宋体" w:eastAsia="宋体" w:hAnsi="宋体" w:cs="宋体" w:hint="eastAsia"/>
                <w:sz w:val="18"/>
                <w:szCs w:val="18"/>
              </w:rPr>
            </w:pPr>
            <w:r>
              <w:rPr>
                <w:rFonts w:ascii="宋体" w:eastAsia="宋体" w:hAnsi="宋体" w:cs="宋体"/>
                <w:sz w:val="18"/>
                <w:szCs w:val="18"/>
              </w:rPr>
              <w:t>截至2023年12月31日，公司除存放在中国农业银行股份有限公司常熟沙家浜支行开设的募集资金专项账户（尾号1151）因被冻结，该等账户中剩余10.16万元（含利息）无法转出外，剩余其他的募集资金专户金额及利息收入全部转入公司一般账户，用于永久性补充流动资金。2024年4月3日，公司经自查发现存放在该账户中的101,565.00元因诉讼事项被债权人向法院申请执行被划扣。由于该账户持续处于被划扣的状态，公司无法满足归还前期被划扣的募集资金后再实施永久补流；同时为了避免上述账户再次被冻结，公司于2024年4月19日办理完成该账户的注销手续。</w:t>
            </w:r>
          </w:p>
        </w:tc>
      </w:tr>
    </w:tbl>
    <w:p w14:paraId="04CDE288" w14:textId="77777777" w:rsidR="00632E5B" w:rsidRDefault="00107901">
      <w:pPr>
        <w:keepNext/>
        <w:keepLines/>
        <w:spacing w:before="300" w:after="300" w:line="280" w:lineRule="exact"/>
        <w:outlineLvl w:val="3"/>
        <w:rPr>
          <w:rFonts w:ascii="宋体" w:eastAsia="宋体" w:hAnsi="宋体" w:cs="宋体" w:hint="eastAsia"/>
          <w:b/>
          <w:bCs/>
          <w:sz w:val="18"/>
          <w:szCs w:val="18"/>
        </w:rPr>
      </w:pPr>
      <w:bookmarkStart w:id="46" w:name="_Toc988935"/>
      <w:r>
        <w:rPr>
          <w:rFonts w:ascii="宋体" w:eastAsia="宋体" w:hAnsi="宋体" w:cs="宋体"/>
          <w:b/>
          <w:bCs/>
          <w:sz w:val="18"/>
          <w:szCs w:val="18"/>
        </w:rPr>
        <w:t>（3） 募集资金变更项目情况</w:t>
      </w:r>
      <w:bookmarkEnd w:id="46"/>
    </w:p>
    <w:p w14:paraId="69783F70" w14:textId="77777777" w:rsidR="00632E5B" w:rsidRDefault="00107901" w:rsidP="00B1577B">
      <w:pPr>
        <w:spacing w:before="40" w:after="40" w:line="360" w:lineRule="auto"/>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4526A931" w14:textId="77777777" w:rsidR="00632E5B" w:rsidRDefault="00107901" w:rsidP="00A60474">
      <w:pPr>
        <w:spacing w:before="120" w:after="120" w:line="240" w:lineRule="exact"/>
        <w:ind w:right="540"/>
        <w:jc w:val="right"/>
        <w:rPr>
          <w:rFonts w:ascii="宋体" w:eastAsia="宋体" w:hAnsi="宋体" w:cs="宋体" w:hint="eastAsia"/>
          <w:sz w:val="18"/>
          <w:szCs w:val="18"/>
        </w:rPr>
      </w:pPr>
      <w:r>
        <w:rPr>
          <w:rFonts w:ascii="宋体" w:eastAsia="宋体" w:hAnsi="宋体" w:cs="宋体"/>
          <w:sz w:val="18"/>
          <w:szCs w:val="18"/>
        </w:rPr>
        <w:t>单位：万元</w:t>
      </w:r>
    </w:p>
    <w:tbl>
      <w:tblPr>
        <w:tblW w:w="1409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73"/>
        <w:gridCol w:w="1276"/>
        <w:gridCol w:w="1182"/>
        <w:gridCol w:w="8"/>
        <w:gridCol w:w="1976"/>
        <w:gridCol w:w="1559"/>
        <w:gridCol w:w="803"/>
        <w:gridCol w:w="1323"/>
        <w:gridCol w:w="930"/>
        <w:gridCol w:w="1196"/>
        <w:gridCol w:w="771"/>
        <w:gridCol w:w="803"/>
        <w:gridCol w:w="978"/>
        <w:gridCol w:w="18"/>
      </w:tblGrid>
      <w:tr w:rsidR="00632E5B" w14:paraId="0ADE2D9D" w14:textId="77777777" w:rsidTr="00B1577B">
        <w:trPr>
          <w:gridAfter w:val="1"/>
          <w:wAfter w:w="18" w:type="dxa"/>
          <w:trHeight w:val="240"/>
        </w:trPr>
        <w:tc>
          <w:tcPr>
            <w:tcW w:w="127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735A02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融资项目名称</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F4DF2D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募集方式</w:t>
            </w:r>
          </w:p>
        </w:tc>
        <w:tc>
          <w:tcPr>
            <w:tcW w:w="118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C696FD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变更后的项目</w:t>
            </w:r>
          </w:p>
        </w:tc>
        <w:tc>
          <w:tcPr>
            <w:tcW w:w="1984"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3F3F66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对应的原承诺项目</w:t>
            </w:r>
          </w:p>
        </w:tc>
        <w:tc>
          <w:tcPr>
            <w:tcW w:w="155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141885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变更后项目拟投入募集资金总额(1)</w:t>
            </w:r>
          </w:p>
        </w:tc>
        <w:tc>
          <w:tcPr>
            <w:tcW w:w="80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A185C2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本报告期实际投入金额</w:t>
            </w:r>
          </w:p>
        </w:tc>
        <w:tc>
          <w:tcPr>
            <w:tcW w:w="132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394293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截至期末实际累计投入金额(2)</w:t>
            </w:r>
          </w:p>
        </w:tc>
        <w:tc>
          <w:tcPr>
            <w:tcW w:w="93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5FF310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截至期末投资进度(3)=(2)/(1)</w:t>
            </w:r>
          </w:p>
        </w:tc>
        <w:tc>
          <w:tcPr>
            <w:tcW w:w="119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A07A20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项目达到预定可使用状态日期</w:t>
            </w:r>
          </w:p>
        </w:tc>
        <w:tc>
          <w:tcPr>
            <w:tcW w:w="77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1E0600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本报告期实现的效益</w:t>
            </w:r>
          </w:p>
        </w:tc>
        <w:tc>
          <w:tcPr>
            <w:tcW w:w="80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7D1CDA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是否达到预计效益</w:t>
            </w:r>
          </w:p>
        </w:tc>
        <w:tc>
          <w:tcPr>
            <w:tcW w:w="97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6CC68D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变更后的项目可行性是否发生重大变化</w:t>
            </w:r>
          </w:p>
        </w:tc>
      </w:tr>
      <w:tr w:rsidR="00632E5B" w14:paraId="1C2B1BEB" w14:textId="77777777" w:rsidTr="00B1577B">
        <w:trPr>
          <w:gridAfter w:val="1"/>
          <w:wAfter w:w="18" w:type="dxa"/>
          <w:trHeight w:val="240"/>
        </w:trPr>
        <w:tc>
          <w:tcPr>
            <w:tcW w:w="127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888940A" w14:textId="77777777" w:rsidR="00632E5B" w:rsidRPr="0069363F" w:rsidRDefault="00107901">
            <w:pPr>
              <w:spacing w:line="240" w:lineRule="exact"/>
              <w:rPr>
                <w:rFonts w:ascii="宋体" w:eastAsia="宋体" w:hAnsi="宋体" w:cs="宋体" w:hint="eastAsia"/>
                <w:sz w:val="15"/>
                <w:szCs w:val="15"/>
              </w:rPr>
            </w:pPr>
            <w:r w:rsidRPr="0069363F">
              <w:rPr>
                <w:rFonts w:ascii="宋体" w:eastAsia="宋体" w:hAnsi="宋体" w:cs="宋体"/>
                <w:sz w:val="15"/>
                <w:szCs w:val="15"/>
              </w:rPr>
              <w:t>2017年向特定对象发行股票</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AA3F95A" w14:textId="77777777" w:rsidR="00632E5B" w:rsidRPr="0069363F" w:rsidRDefault="00107901">
            <w:pPr>
              <w:spacing w:line="240" w:lineRule="exact"/>
              <w:rPr>
                <w:rFonts w:ascii="宋体" w:eastAsia="宋体" w:hAnsi="宋体" w:cs="宋体" w:hint="eastAsia"/>
                <w:sz w:val="15"/>
                <w:szCs w:val="15"/>
              </w:rPr>
            </w:pPr>
            <w:r w:rsidRPr="0069363F">
              <w:rPr>
                <w:rFonts w:ascii="宋体" w:eastAsia="宋体" w:hAnsi="宋体" w:cs="宋体"/>
                <w:sz w:val="15"/>
                <w:szCs w:val="15"/>
              </w:rPr>
              <w:t>向特定对象发行股票</w:t>
            </w:r>
          </w:p>
        </w:tc>
        <w:tc>
          <w:tcPr>
            <w:tcW w:w="118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FA1FAF6" w14:textId="77777777" w:rsidR="00632E5B" w:rsidRPr="0069363F" w:rsidRDefault="00107901">
            <w:pPr>
              <w:spacing w:line="240" w:lineRule="exact"/>
              <w:rPr>
                <w:rFonts w:ascii="宋体" w:eastAsia="宋体" w:hAnsi="宋体" w:cs="宋体" w:hint="eastAsia"/>
                <w:sz w:val="15"/>
                <w:szCs w:val="15"/>
              </w:rPr>
            </w:pPr>
            <w:r w:rsidRPr="0069363F">
              <w:rPr>
                <w:rFonts w:ascii="宋体" w:eastAsia="宋体" w:hAnsi="宋体" w:cs="宋体"/>
                <w:sz w:val="15"/>
                <w:szCs w:val="15"/>
              </w:rPr>
              <w:t>安图县32.48MW光伏扶贫项目</w:t>
            </w:r>
          </w:p>
        </w:tc>
        <w:tc>
          <w:tcPr>
            <w:tcW w:w="1984"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425A695" w14:textId="77777777" w:rsidR="00632E5B" w:rsidRPr="0069363F" w:rsidRDefault="00107901">
            <w:pPr>
              <w:spacing w:line="240" w:lineRule="exact"/>
              <w:rPr>
                <w:rFonts w:ascii="宋体" w:eastAsia="宋体" w:hAnsi="宋体" w:cs="宋体" w:hint="eastAsia"/>
                <w:sz w:val="15"/>
                <w:szCs w:val="15"/>
              </w:rPr>
            </w:pPr>
            <w:r w:rsidRPr="0069363F">
              <w:rPr>
                <w:rFonts w:ascii="宋体" w:eastAsia="宋体" w:hAnsi="宋体" w:cs="宋体"/>
                <w:sz w:val="15"/>
                <w:szCs w:val="15"/>
              </w:rPr>
              <w:t>河南祥符区80MW项目、江西余干100MW项目</w:t>
            </w:r>
          </w:p>
        </w:tc>
        <w:tc>
          <w:tcPr>
            <w:tcW w:w="155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374554E" w14:textId="77777777" w:rsidR="00632E5B" w:rsidRPr="0069363F" w:rsidRDefault="00107901">
            <w:pPr>
              <w:spacing w:line="240" w:lineRule="exact"/>
              <w:jc w:val="right"/>
              <w:rPr>
                <w:rFonts w:ascii="宋体" w:eastAsia="宋体" w:hAnsi="宋体" w:cs="宋体" w:hint="eastAsia"/>
                <w:sz w:val="15"/>
                <w:szCs w:val="15"/>
              </w:rPr>
            </w:pPr>
            <w:r w:rsidRPr="0069363F">
              <w:rPr>
                <w:rFonts w:ascii="宋体" w:eastAsia="宋体" w:hAnsi="宋体" w:cs="宋体"/>
                <w:sz w:val="15"/>
                <w:szCs w:val="15"/>
              </w:rPr>
              <w:t>12,062.01</w:t>
            </w:r>
          </w:p>
        </w:tc>
        <w:tc>
          <w:tcPr>
            <w:tcW w:w="80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0F96D80" w14:textId="77777777" w:rsidR="00632E5B" w:rsidRPr="0069363F" w:rsidRDefault="00107901">
            <w:pPr>
              <w:spacing w:line="240" w:lineRule="exact"/>
              <w:jc w:val="right"/>
              <w:rPr>
                <w:rFonts w:ascii="宋体" w:eastAsia="宋体" w:hAnsi="宋体" w:cs="宋体" w:hint="eastAsia"/>
                <w:sz w:val="15"/>
                <w:szCs w:val="15"/>
              </w:rPr>
            </w:pPr>
            <w:r w:rsidRPr="0069363F">
              <w:rPr>
                <w:rFonts w:ascii="宋体" w:eastAsia="宋体" w:hAnsi="宋体" w:cs="宋体"/>
                <w:sz w:val="15"/>
                <w:szCs w:val="15"/>
              </w:rPr>
              <w:t>0</w:t>
            </w:r>
          </w:p>
        </w:tc>
        <w:tc>
          <w:tcPr>
            <w:tcW w:w="132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BEA8B03" w14:textId="77777777" w:rsidR="00632E5B" w:rsidRPr="0069363F" w:rsidRDefault="00107901">
            <w:pPr>
              <w:spacing w:line="240" w:lineRule="exact"/>
              <w:jc w:val="right"/>
              <w:rPr>
                <w:rFonts w:ascii="宋体" w:eastAsia="宋体" w:hAnsi="宋体" w:cs="宋体" w:hint="eastAsia"/>
                <w:sz w:val="15"/>
                <w:szCs w:val="15"/>
              </w:rPr>
            </w:pPr>
            <w:r w:rsidRPr="0069363F">
              <w:rPr>
                <w:rFonts w:ascii="宋体" w:eastAsia="宋体" w:hAnsi="宋体" w:cs="宋体"/>
                <w:sz w:val="15"/>
                <w:szCs w:val="15"/>
              </w:rPr>
              <w:t>12,068.42</w:t>
            </w:r>
          </w:p>
        </w:tc>
        <w:tc>
          <w:tcPr>
            <w:tcW w:w="93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FE3BED0" w14:textId="77777777" w:rsidR="00632E5B" w:rsidRPr="0069363F" w:rsidRDefault="00107901">
            <w:pPr>
              <w:spacing w:line="240" w:lineRule="exact"/>
              <w:jc w:val="right"/>
              <w:rPr>
                <w:rFonts w:ascii="宋体" w:eastAsia="宋体" w:hAnsi="宋体" w:cs="宋体" w:hint="eastAsia"/>
                <w:sz w:val="15"/>
                <w:szCs w:val="15"/>
              </w:rPr>
            </w:pPr>
            <w:r w:rsidRPr="0069363F">
              <w:rPr>
                <w:rFonts w:ascii="宋体" w:eastAsia="宋体" w:hAnsi="宋体" w:cs="宋体"/>
                <w:sz w:val="15"/>
                <w:szCs w:val="15"/>
              </w:rPr>
              <w:t>100.05%</w:t>
            </w:r>
          </w:p>
        </w:tc>
        <w:tc>
          <w:tcPr>
            <w:tcW w:w="119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F1C31C3" w14:textId="77777777" w:rsidR="00632E5B" w:rsidRPr="0069363F" w:rsidRDefault="00107901">
            <w:pPr>
              <w:spacing w:line="240" w:lineRule="exact"/>
              <w:rPr>
                <w:rFonts w:ascii="宋体" w:eastAsia="宋体" w:hAnsi="宋体" w:cs="宋体" w:hint="eastAsia"/>
                <w:sz w:val="15"/>
                <w:szCs w:val="15"/>
              </w:rPr>
            </w:pPr>
            <w:r w:rsidRPr="0069363F">
              <w:rPr>
                <w:rFonts w:ascii="宋体" w:eastAsia="宋体" w:hAnsi="宋体" w:cs="宋体"/>
                <w:sz w:val="15"/>
                <w:szCs w:val="15"/>
              </w:rPr>
              <w:t>2018年12月31日</w:t>
            </w:r>
          </w:p>
        </w:tc>
        <w:tc>
          <w:tcPr>
            <w:tcW w:w="77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7ADFDF3" w14:textId="77777777" w:rsidR="00632E5B" w:rsidRPr="0069363F" w:rsidRDefault="00107901">
            <w:pPr>
              <w:spacing w:line="240" w:lineRule="exact"/>
              <w:jc w:val="right"/>
              <w:rPr>
                <w:rFonts w:ascii="宋体" w:eastAsia="宋体" w:hAnsi="宋体" w:cs="宋体" w:hint="eastAsia"/>
                <w:sz w:val="15"/>
                <w:szCs w:val="15"/>
              </w:rPr>
            </w:pPr>
            <w:r w:rsidRPr="0069363F">
              <w:rPr>
                <w:rFonts w:ascii="宋体" w:eastAsia="宋体" w:hAnsi="宋体" w:cs="宋体"/>
                <w:sz w:val="15"/>
                <w:szCs w:val="15"/>
              </w:rPr>
              <w:t>0</w:t>
            </w:r>
          </w:p>
        </w:tc>
        <w:tc>
          <w:tcPr>
            <w:tcW w:w="80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8F433A3" w14:textId="77777777" w:rsidR="00632E5B" w:rsidRPr="0069363F" w:rsidRDefault="00107901">
            <w:pPr>
              <w:spacing w:line="240" w:lineRule="exact"/>
              <w:rPr>
                <w:rFonts w:ascii="宋体" w:eastAsia="宋体" w:hAnsi="宋体" w:cs="宋体" w:hint="eastAsia"/>
                <w:sz w:val="15"/>
                <w:szCs w:val="15"/>
              </w:rPr>
            </w:pPr>
            <w:r w:rsidRPr="0069363F">
              <w:rPr>
                <w:rFonts w:ascii="宋体" w:eastAsia="宋体" w:hAnsi="宋体" w:cs="宋体"/>
                <w:sz w:val="15"/>
                <w:szCs w:val="15"/>
              </w:rPr>
              <w:t>是</w:t>
            </w:r>
          </w:p>
        </w:tc>
        <w:tc>
          <w:tcPr>
            <w:tcW w:w="97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B6DBE51" w14:textId="77777777" w:rsidR="00632E5B" w:rsidRPr="0069363F" w:rsidRDefault="00107901">
            <w:pPr>
              <w:spacing w:line="240" w:lineRule="exact"/>
              <w:rPr>
                <w:rFonts w:ascii="宋体" w:eastAsia="宋体" w:hAnsi="宋体" w:cs="宋体" w:hint="eastAsia"/>
                <w:sz w:val="15"/>
                <w:szCs w:val="15"/>
              </w:rPr>
            </w:pPr>
            <w:r w:rsidRPr="0069363F">
              <w:rPr>
                <w:rFonts w:ascii="宋体" w:eastAsia="宋体" w:hAnsi="宋体" w:cs="宋体"/>
                <w:sz w:val="15"/>
                <w:szCs w:val="15"/>
              </w:rPr>
              <w:t>否</w:t>
            </w:r>
          </w:p>
        </w:tc>
      </w:tr>
      <w:tr w:rsidR="00632E5B" w14:paraId="7E60A3D9" w14:textId="77777777" w:rsidTr="00B1577B">
        <w:trPr>
          <w:gridAfter w:val="1"/>
          <w:wAfter w:w="18" w:type="dxa"/>
          <w:trHeight w:val="240"/>
        </w:trPr>
        <w:tc>
          <w:tcPr>
            <w:tcW w:w="127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CDACED4" w14:textId="77777777" w:rsidR="00632E5B" w:rsidRPr="0069363F" w:rsidRDefault="00107901">
            <w:pPr>
              <w:spacing w:line="240" w:lineRule="exact"/>
              <w:rPr>
                <w:rFonts w:ascii="宋体" w:eastAsia="宋体" w:hAnsi="宋体" w:cs="宋体" w:hint="eastAsia"/>
                <w:sz w:val="15"/>
                <w:szCs w:val="15"/>
              </w:rPr>
            </w:pPr>
            <w:r w:rsidRPr="0069363F">
              <w:rPr>
                <w:rFonts w:ascii="宋体" w:eastAsia="宋体" w:hAnsi="宋体" w:cs="宋体"/>
                <w:sz w:val="15"/>
                <w:szCs w:val="15"/>
              </w:rPr>
              <w:t>2017年向特定对象发行股票</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13D674B" w14:textId="77777777" w:rsidR="00632E5B" w:rsidRPr="0069363F" w:rsidRDefault="00107901">
            <w:pPr>
              <w:spacing w:line="240" w:lineRule="exact"/>
              <w:rPr>
                <w:rFonts w:ascii="宋体" w:eastAsia="宋体" w:hAnsi="宋体" w:cs="宋体" w:hint="eastAsia"/>
                <w:sz w:val="15"/>
                <w:szCs w:val="15"/>
              </w:rPr>
            </w:pPr>
            <w:r w:rsidRPr="0069363F">
              <w:rPr>
                <w:rFonts w:ascii="宋体" w:eastAsia="宋体" w:hAnsi="宋体" w:cs="宋体"/>
                <w:sz w:val="15"/>
                <w:szCs w:val="15"/>
              </w:rPr>
              <w:t>向特定对象发行股票</w:t>
            </w:r>
          </w:p>
        </w:tc>
        <w:tc>
          <w:tcPr>
            <w:tcW w:w="118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BB07EA4" w14:textId="77777777" w:rsidR="00632E5B" w:rsidRPr="0069363F" w:rsidRDefault="00107901">
            <w:pPr>
              <w:spacing w:line="240" w:lineRule="exact"/>
              <w:rPr>
                <w:rFonts w:ascii="宋体" w:eastAsia="宋体" w:hAnsi="宋体" w:cs="宋体" w:hint="eastAsia"/>
                <w:sz w:val="15"/>
                <w:szCs w:val="15"/>
              </w:rPr>
            </w:pPr>
            <w:r w:rsidRPr="0069363F">
              <w:rPr>
                <w:rFonts w:ascii="宋体" w:eastAsia="宋体" w:hAnsi="宋体" w:cs="宋体"/>
                <w:sz w:val="15"/>
                <w:szCs w:val="15"/>
              </w:rPr>
              <w:t>承德县33.3MW光伏扶贫项目</w:t>
            </w:r>
          </w:p>
        </w:tc>
        <w:tc>
          <w:tcPr>
            <w:tcW w:w="1984"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CF71D9D" w14:textId="77777777" w:rsidR="00632E5B" w:rsidRPr="0069363F" w:rsidRDefault="00107901">
            <w:pPr>
              <w:spacing w:line="240" w:lineRule="exact"/>
              <w:rPr>
                <w:rFonts w:ascii="宋体" w:eastAsia="宋体" w:hAnsi="宋体" w:cs="宋体" w:hint="eastAsia"/>
                <w:sz w:val="15"/>
                <w:szCs w:val="15"/>
              </w:rPr>
            </w:pPr>
            <w:r w:rsidRPr="0069363F">
              <w:rPr>
                <w:rFonts w:ascii="宋体" w:eastAsia="宋体" w:hAnsi="宋体" w:cs="宋体"/>
                <w:sz w:val="15"/>
                <w:szCs w:val="15"/>
              </w:rPr>
              <w:t>河南祥符区80MW项目、江西余干100MW项目</w:t>
            </w:r>
          </w:p>
        </w:tc>
        <w:tc>
          <w:tcPr>
            <w:tcW w:w="155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F37E72E" w14:textId="77777777" w:rsidR="00632E5B" w:rsidRPr="0069363F" w:rsidRDefault="00107901">
            <w:pPr>
              <w:spacing w:line="240" w:lineRule="exact"/>
              <w:jc w:val="right"/>
              <w:rPr>
                <w:rFonts w:ascii="宋体" w:eastAsia="宋体" w:hAnsi="宋体" w:cs="宋体" w:hint="eastAsia"/>
                <w:sz w:val="15"/>
                <w:szCs w:val="15"/>
              </w:rPr>
            </w:pPr>
            <w:r w:rsidRPr="0069363F">
              <w:rPr>
                <w:rFonts w:ascii="宋体" w:eastAsia="宋体" w:hAnsi="宋体" w:cs="宋体"/>
                <w:sz w:val="15"/>
                <w:szCs w:val="15"/>
              </w:rPr>
              <w:t>13,616.11</w:t>
            </w:r>
          </w:p>
        </w:tc>
        <w:tc>
          <w:tcPr>
            <w:tcW w:w="80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EAC8CB3" w14:textId="77777777" w:rsidR="00632E5B" w:rsidRPr="0069363F" w:rsidRDefault="00107901">
            <w:pPr>
              <w:spacing w:line="240" w:lineRule="exact"/>
              <w:jc w:val="right"/>
              <w:rPr>
                <w:rFonts w:ascii="宋体" w:eastAsia="宋体" w:hAnsi="宋体" w:cs="宋体" w:hint="eastAsia"/>
                <w:sz w:val="15"/>
                <w:szCs w:val="15"/>
              </w:rPr>
            </w:pPr>
            <w:r w:rsidRPr="0069363F">
              <w:rPr>
                <w:rFonts w:ascii="宋体" w:eastAsia="宋体" w:hAnsi="宋体" w:cs="宋体"/>
                <w:sz w:val="15"/>
                <w:szCs w:val="15"/>
              </w:rPr>
              <w:t>0</w:t>
            </w:r>
          </w:p>
        </w:tc>
        <w:tc>
          <w:tcPr>
            <w:tcW w:w="132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C9EA9AF" w14:textId="77777777" w:rsidR="00632E5B" w:rsidRPr="0069363F" w:rsidRDefault="00107901">
            <w:pPr>
              <w:spacing w:line="240" w:lineRule="exact"/>
              <w:jc w:val="right"/>
              <w:rPr>
                <w:rFonts w:ascii="宋体" w:eastAsia="宋体" w:hAnsi="宋体" w:cs="宋体" w:hint="eastAsia"/>
                <w:sz w:val="15"/>
                <w:szCs w:val="15"/>
              </w:rPr>
            </w:pPr>
            <w:r w:rsidRPr="0069363F">
              <w:rPr>
                <w:rFonts w:ascii="宋体" w:eastAsia="宋体" w:hAnsi="宋体" w:cs="宋体"/>
                <w:sz w:val="15"/>
                <w:szCs w:val="15"/>
              </w:rPr>
              <w:t>13,637.95</w:t>
            </w:r>
          </w:p>
        </w:tc>
        <w:tc>
          <w:tcPr>
            <w:tcW w:w="93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DE085C1" w14:textId="77777777" w:rsidR="00632E5B" w:rsidRPr="0069363F" w:rsidRDefault="00107901">
            <w:pPr>
              <w:spacing w:line="240" w:lineRule="exact"/>
              <w:jc w:val="right"/>
              <w:rPr>
                <w:rFonts w:ascii="宋体" w:eastAsia="宋体" w:hAnsi="宋体" w:cs="宋体" w:hint="eastAsia"/>
                <w:sz w:val="15"/>
                <w:szCs w:val="15"/>
              </w:rPr>
            </w:pPr>
            <w:r w:rsidRPr="0069363F">
              <w:rPr>
                <w:rFonts w:ascii="宋体" w:eastAsia="宋体" w:hAnsi="宋体" w:cs="宋体"/>
                <w:sz w:val="15"/>
                <w:szCs w:val="15"/>
              </w:rPr>
              <w:t>100.16%</w:t>
            </w:r>
          </w:p>
        </w:tc>
        <w:tc>
          <w:tcPr>
            <w:tcW w:w="119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977F53C" w14:textId="77777777" w:rsidR="00632E5B" w:rsidRPr="0069363F" w:rsidRDefault="00107901">
            <w:pPr>
              <w:spacing w:line="240" w:lineRule="exact"/>
              <w:rPr>
                <w:rFonts w:ascii="宋体" w:eastAsia="宋体" w:hAnsi="宋体" w:cs="宋体" w:hint="eastAsia"/>
                <w:sz w:val="15"/>
                <w:szCs w:val="15"/>
              </w:rPr>
            </w:pPr>
            <w:r w:rsidRPr="0069363F">
              <w:rPr>
                <w:rFonts w:ascii="宋体" w:eastAsia="宋体" w:hAnsi="宋体" w:cs="宋体"/>
                <w:sz w:val="15"/>
                <w:szCs w:val="15"/>
              </w:rPr>
              <w:t>2018年12月31日</w:t>
            </w:r>
          </w:p>
        </w:tc>
        <w:tc>
          <w:tcPr>
            <w:tcW w:w="77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A07DA83" w14:textId="77777777" w:rsidR="00632E5B" w:rsidRPr="0069363F" w:rsidRDefault="00107901">
            <w:pPr>
              <w:spacing w:line="240" w:lineRule="exact"/>
              <w:jc w:val="right"/>
              <w:rPr>
                <w:rFonts w:ascii="宋体" w:eastAsia="宋体" w:hAnsi="宋体" w:cs="宋体" w:hint="eastAsia"/>
                <w:sz w:val="15"/>
                <w:szCs w:val="15"/>
              </w:rPr>
            </w:pPr>
            <w:r w:rsidRPr="0069363F">
              <w:rPr>
                <w:rFonts w:ascii="宋体" w:eastAsia="宋体" w:hAnsi="宋体" w:cs="宋体"/>
                <w:sz w:val="15"/>
                <w:szCs w:val="15"/>
              </w:rPr>
              <w:t>0</w:t>
            </w:r>
          </w:p>
        </w:tc>
        <w:tc>
          <w:tcPr>
            <w:tcW w:w="80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A5693A7" w14:textId="77777777" w:rsidR="00632E5B" w:rsidRPr="0069363F" w:rsidRDefault="00107901">
            <w:pPr>
              <w:spacing w:line="240" w:lineRule="exact"/>
              <w:rPr>
                <w:rFonts w:ascii="宋体" w:eastAsia="宋体" w:hAnsi="宋体" w:cs="宋体" w:hint="eastAsia"/>
                <w:sz w:val="15"/>
                <w:szCs w:val="15"/>
              </w:rPr>
            </w:pPr>
            <w:r w:rsidRPr="0069363F">
              <w:rPr>
                <w:rFonts w:ascii="宋体" w:eastAsia="宋体" w:hAnsi="宋体" w:cs="宋体"/>
                <w:sz w:val="15"/>
                <w:szCs w:val="15"/>
              </w:rPr>
              <w:t>是</w:t>
            </w:r>
          </w:p>
        </w:tc>
        <w:tc>
          <w:tcPr>
            <w:tcW w:w="97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66B531F" w14:textId="77777777" w:rsidR="00632E5B" w:rsidRPr="0069363F" w:rsidRDefault="00107901">
            <w:pPr>
              <w:spacing w:line="240" w:lineRule="exact"/>
              <w:rPr>
                <w:rFonts w:ascii="宋体" w:eastAsia="宋体" w:hAnsi="宋体" w:cs="宋体" w:hint="eastAsia"/>
                <w:sz w:val="15"/>
                <w:szCs w:val="15"/>
              </w:rPr>
            </w:pPr>
            <w:r w:rsidRPr="0069363F">
              <w:rPr>
                <w:rFonts w:ascii="宋体" w:eastAsia="宋体" w:hAnsi="宋体" w:cs="宋体"/>
                <w:sz w:val="15"/>
                <w:szCs w:val="15"/>
              </w:rPr>
              <w:t>否</w:t>
            </w:r>
          </w:p>
        </w:tc>
      </w:tr>
      <w:tr w:rsidR="00632E5B" w14:paraId="2875A992" w14:textId="77777777" w:rsidTr="00B1577B">
        <w:trPr>
          <w:gridAfter w:val="1"/>
          <w:wAfter w:w="18" w:type="dxa"/>
          <w:trHeight w:val="240"/>
        </w:trPr>
        <w:tc>
          <w:tcPr>
            <w:tcW w:w="127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C7AC8FF" w14:textId="77777777" w:rsidR="00632E5B" w:rsidRPr="0069363F" w:rsidRDefault="00107901">
            <w:pPr>
              <w:spacing w:line="240" w:lineRule="exact"/>
              <w:rPr>
                <w:rFonts w:ascii="宋体" w:eastAsia="宋体" w:hAnsi="宋体" w:cs="宋体" w:hint="eastAsia"/>
                <w:sz w:val="15"/>
                <w:szCs w:val="15"/>
              </w:rPr>
            </w:pPr>
            <w:r w:rsidRPr="0069363F">
              <w:rPr>
                <w:rFonts w:ascii="宋体" w:eastAsia="宋体" w:hAnsi="宋体" w:cs="宋体"/>
                <w:sz w:val="15"/>
                <w:szCs w:val="15"/>
              </w:rPr>
              <w:t>2017年向特定对象发行股票</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D7DC091" w14:textId="77777777" w:rsidR="00632E5B" w:rsidRPr="0069363F" w:rsidRDefault="00107901">
            <w:pPr>
              <w:spacing w:line="240" w:lineRule="exact"/>
              <w:rPr>
                <w:rFonts w:ascii="宋体" w:eastAsia="宋体" w:hAnsi="宋体" w:cs="宋体" w:hint="eastAsia"/>
                <w:sz w:val="15"/>
                <w:szCs w:val="15"/>
              </w:rPr>
            </w:pPr>
            <w:r w:rsidRPr="0069363F">
              <w:rPr>
                <w:rFonts w:ascii="宋体" w:eastAsia="宋体" w:hAnsi="宋体" w:cs="宋体"/>
                <w:sz w:val="15"/>
                <w:szCs w:val="15"/>
              </w:rPr>
              <w:t>向特定对象发行股票</w:t>
            </w:r>
          </w:p>
        </w:tc>
        <w:tc>
          <w:tcPr>
            <w:tcW w:w="118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C516407" w14:textId="77777777" w:rsidR="00632E5B" w:rsidRPr="0069363F" w:rsidRDefault="00107901">
            <w:pPr>
              <w:spacing w:line="240" w:lineRule="exact"/>
              <w:rPr>
                <w:rFonts w:ascii="宋体" w:eastAsia="宋体" w:hAnsi="宋体" w:cs="宋体" w:hint="eastAsia"/>
                <w:sz w:val="15"/>
                <w:szCs w:val="15"/>
              </w:rPr>
            </w:pPr>
            <w:r w:rsidRPr="0069363F">
              <w:rPr>
                <w:rFonts w:ascii="宋体" w:eastAsia="宋体" w:hAnsi="宋体" w:cs="宋体"/>
                <w:sz w:val="15"/>
                <w:szCs w:val="15"/>
              </w:rPr>
              <w:t>民和县43.4MW光伏扶贫项目</w:t>
            </w:r>
          </w:p>
        </w:tc>
        <w:tc>
          <w:tcPr>
            <w:tcW w:w="1984"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9772302" w14:textId="77777777" w:rsidR="00632E5B" w:rsidRPr="0069363F" w:rsidRDefault="00107901">
            <w:pPr>
              <w:spacing w:line="240" w:lineRule="exact"/>
              <w:rPr>
                <w:rFonts w:ascii="宋体" w:eastAsia="宋体" w:hAnsi="宋体" w:cs="宋体" w:hint="eastAsia"/>
                <w:sz w:val="15"/>
                <w:szCs w:val="15"/>
              </w:rPr>
            </w:pPr>
            <w:r w:rsidRPr="0069363F">
              <w:rPr>
                <w:rFonts w:ascii="宋体" w:eastAsia="宋体" w:hAnsi="宋体" w:cs="宋体"/>
                <w:sz w:val="15"/>
                <w:szCs w:val="15"/>
              </w:rPr>
              <w:t>河南祥符区80MW项目、江西余干100MW项目</w:t>
            </w:r>
          </w:p>
        </w:tc>
        <w:tc>
          <w:tcPr>
            <w:tcW w:w="155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A86BB9F" w14:textId="77777777" w:rsidR="00632E5B" w:rsidRPr="0069363F" w:rsidRDefault="00107901">
            <w:pPr>
              <w:spacing w:line="240" w:lineRule="exact"/>
              <w:jc w:val="right"/>
              <w:rPr>
                <w:rFonts w:ascii="宋体" w:eastAsia="宋体" w:hAnsi="宋体" w:cs="宋体" w:hint="eastAsia"/>
                <w:sz w:val="15"/>
                <w:szCs w:val="15"/>
              </w:rPr>
            </w:pPr>
            <w:r w:rsidRPr="0069363F">
              <w:rPr>
                <w:rFonts w:ascii="宋体" w:eastAsia="宋体" w:hAnsi="宋体" w:cs="宋体"/>
                <w:sz w:val="15"/>
                <w:szCs w:val="15"/>
              </w:rPr>
              <w:t>16,084.93</w:t>
            </w:r>
          </w:p>
        </w:tc>
        <w:tc>
          <w:tcPr>
            <w:tcW w:w="80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DD8AFEE" w14:textId="77777777" w:rsidR="00632E5B" w:rsidRPr="0069363F" w:rsidRDefault="00107901">
            <w:pPr>
              <w:spacing w:line="240" w:lineRule="exact"/>
              <w:jc w:val="right"/>
              <w:rPr>
                <w:rFonts w:ascii="宋体" w:eastAsia="宋体" w:hAnsi="宋体" w:cs="宋体" w:hint="eastAsia"/>
                <w:sz w:val="15"/>
                <w:szCs w:val="15"/>
              </w:rPr>
            </w:pPr>
            <w:r w:rsidRPr="0069363F">
              <w:rPr>
                <w:rFonts w:ascii="宋体" w:eastAsia="宋体" w:hAnsi="宋体" w:cs="宋体"/>
                <w:sz w:val="15"/>
                <w:szCs w:val="15"/>
              </w:rPr>
              <w:t>0</w:t>
            </w:r>
          </w:p>
        </w:tc>
        <w:tc>
          <w:tcPr>
            <w:tcW w:w="132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CE2303F" w14:textId="77777777" w:rsidR="00632E5B" w:rsidRPr="0069363F" w:rsidRDefault="00107901">
            <w:pPr>
              <w:spacing w:line="240" w:lineRule="exact"/>
              <w:jc w:val="right"/>
              <w:rPr>
                <w:rFonts w:ascii="宋体" w:eastAsia="宋体" w:hAnsi="宋体" w:cs="宋体" w:hint="eastAsia"/>
                <w:sz w:val="15"/>
                <w:szCs w:val="15"/>
              </w:rPr>
            </w:pPr>
            <w:r w:rsidRPr="0069363F">
              <w:rPr>
                <w:rFonts w:ascii="宋体" w:eastAsia="宋体" w:hAnsi="宋体" w:cs="宋体"/>
                <w:sz w:val="15"/>
                <w:szCs w:val="15"/>
              </w:rPr>
              <w:t>16,103.57</w:t>
            </w:r>
          </w:p>
        </w:tc>
        <w:tc>
          <w:tcPr>
            <w:tcW w:w="93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C61EB95" w14:textId="77777777" w:rsidR="00632E5B" w:rsidRPr="0069363F" w:rsidRDefault="00107901">
            <w:pPr>
              <w:spacing w:line="240" w:lineRule="exact"/>
              <w:jc w:val="right"/>
              <w:rPr>
                <w:rFonts w:ascii="宋体" w:eastAsia="宋体" w:hAnsi="宋体" w:cs="宋体" w:hint="eastAsia"/>
                <w:sz w:val="15"/>
                <w:szCs w:val="15"/>
              </w:rPr>
            </w:pPr>
            <w:r w:rsidRPr="0069363F">
              <w:rPr>
                <w:rFonts w:ascii="宋体" w:eastAsia="宋体" w:hAnsi="宋体" w:cs="宋体"/>
                <w:sz w:val="15"/>
                <w:szCs w:val="15"/>
              </w:rPr>
              <w:t>100.12%</w:t>
            </w:r>
          </w:p>
        </w:tc>
        <w:tc>
          <w:tcPr>
            <w:tcW w:w="119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3976F00" w14:textId="77777777" w:rsidR="00632E5B" w:rsidRPr="0069363F" w:rsidRDefault="00107901">
            <w:pPr>
              <w:spacing w:line="240" w:lineRule="exact"/>
              <w:rPr>
                <w:rFonts w:ascii="宋体" w:eastAsia="宋体" w:hAnsi="宋体" w:cs="宋体" w:hint="eastAsia"/>
                <w:sz w:val="15"/>
                <w:szCs w:val="15"/>
              </w:rPr>
            </w:pPr>
            <w:r w:rsidRPr="0069363F">
              <w:rPr>
                <w:rFonts w:ascii="宋体" w:eastAsia="宋体" w:hAnsi="宋体" w:cs="宋体"/>
                <w:sz w:val="15"/>
                <w:szCs w:val="15"/>
              </w:rPr>
              <w:t>2019年06月30日</w:t>
            </w:r>
          </w:p>
        </w:tc>
        <w:tc>
          <w:tcPr>
            <w:tcW w:w="77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38A0B80" w14:textId="77777777" w:rsidR="00632E5B" w:rsidRPr="0069363F" w:rsidRDefault="00107901">
            <w:pPr>
              <w:spacing w:line="240" w:lineRule="exact"/>
              <w:jc w:val="right"/>
              <w:rPr>
                <w:rFonts w:ascii="宋体" w:eastAsia="宋体" w:hAnsi="宋体" w:cs="宋体" w:hint="eastAsia"/>
                <w:sz w:val="15"/>
                <w:szCs w:val="15"/>
              </w:rPr>
            </w:pPr>
            <w:r w:rsidRPr="0069363F">
              <w:rPr>
                <w:rFonts w:ascii="宋体" w:eastAsia="宋体" w:hAnsi="宋体" w:cs="宋体"/>
                <w:sz w:val="15"/>
                <w:szCs w:val="15"/>
              </w:rPr>
              <w:t>0</w:t>
            </w:r>
          </w:p>
        </w:tc>
        <w:tc>
          <w:tcPr>
            <w:tcW w:w="80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1E7DF53" w14:textId="77777777" w:rsidR="00632E5B" w:rsidRPr="0069363F" w:rsidRDefault="00107901">
            <w:pPr>
              <w:spacing w:line="240" w:lineRule="exact"/>
              <w:rPr>
                <w:rFonts w:ascii="宋体" w:eastAsia="宋体" w:hAnsi="宋体" w:cs="宋体" w:hint="eastAsia"/>
                <w:sz w:val="15"/>
                <w:szCs w:val="15"/>
              </w:rPr>
            </w:pPr>
            <w:r w:rsidRPr="0069363F">
              <w:rPr>
                <w:rFonts w:ascii="宋体" w:eastAsia="宋体" w:hAnsi="宋体" w:cs="宋体"/>
                <w:sz w:val="15"/>
                <w:szCs w:val="15"/>
              </w:rPr>
              <w:t>是</w:t>
            </w:r>
          </w:p>
        </w:tc>
        <w:tc>
          <w:tcPr>
            <w:tcW w:w="97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76F6B57" w14:textId="77777777" w:rsidR="00632E5B" w:rsidRPr="0069363F" w:rsidRDefault="00107901">
            <w:pPr>
              <w:spacing w:line="240" w:lineRule="exact"/>
              <w:rPr>
                <w:rFonts w:ascii="宋体" w:eastAsia="宋体" w:hAnsi="宋体" w:cs="宋体" w:hint="eastAsia"/>
                <w:sz w:val="15"/>
                <w:szCs w:val="15"/>
              </w:rPr>
            </w:pPr>
            <w:r w:rsidRPr="0069363F">
              <w:rPr>
                <w:rFonts w:ascii="宋体" w:eastAsia="宋体" w:hAnsi="宋体" w:cs="宋体"/>
                <w:sz w:val="15"/>
                <w:szCs w:val="15"/>
              </w:rPr>
              <w:t>否</w:t>
            </w:r>
          </w:p>
        </w:tc>
      </w:tr>
      <w:tr w:rsidR="00632E5B" w14:paraId="54B09E2E" w14:textId="77777777" w:rsidTr="00B1577B">
        <w:trPr>
          <w:gridAfter w:val="1"/>
          <w:wAfter w:w="18" w:type="dxa"/>
          <w:trHeight w:val="240"/>
        </w:trPr>
        <w:tc>
          <w:tcPr>
            <w:tcW w:w="127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4F70C06" w14:textId="77777777" w:rsidR="00632E5B" w:rsidRPr="0069363F" w:rsidRDefault="00107901">
            <w:pPr>
              <w:spacing w:line="240" w:lineRule="exact"/>
              <w:rPr>
                <w:rFonts w:ascii="宋体" w:eastAsia="宋体" w:hAnsi="宋体" w:cs="宋体" w:hint="eastAsia"/>
                <w:sz w:val="15"/>
                <w:szCs w:val="15"/>
              </w:rPr>
            </w:pPr>
            <w:r w:rsidRPr="0069363F">
              <w:rPr>
                <w:rFonts w:ascii="宋体" w:eastAsia="宋体" w:hAnsi="宋体" w:cs="宋体"/>
                <w:sz w:val="15"/>
                <w:szCs w:val="15"/>
              </w:rPr>
              <w:lastRenderedPageBreak/>
              <w:t>2017年向特定对象发行股票</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4950EAE" w14:textId="77777777" w:rsidR="00632E5B" w:rsidRPr="0069363F" w:rsidRDefault="00107901">
            <w:pPr>
              <w:spacing w:line="240" w:lineRule="exact"/>
              <w:rPr>
                <w:rFonts w:ascii="宋体" w:eastAsia="宋体" w:hAnsi="宋体" w:cs="宋体" w:hint="eastAsia"/>
                <w:sz w:val="15"/>
                <w:szCs w:val="15"/>
              </w:rPr>
            </w:pPr>
            <w:r w:rsidRPr="0069363F">
              <w:rPr>
                <w:rFonts w:ascii="宋体" w:eastAsia="宋体" w:hAnsi="宋体" w:cs="宋体"/>
                <w:sz w:val="15"/>
                <w:szCs w:val="15"/>
              </w:rPr>
              <w:t>向特定对象发行股票</w:t>
            </w:r>
          </w:p>
        </w:tc>
        <w:tc>
          <w:tcPr>
            <w:tcW w:w="118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5611481" w14:textId="77777777" w:rsidR="00632E5B" w:rsidRPr="0069363F" w:rsidRDefault="00107901">
            <w:pPr>
              <w:spacing w:line="240" w:lineRule="exact"/>
              <w:rPr>
                <w:rFonts w:ascii="宋体" w:eastAsia="宋体" w:hAnsi="宋体" w:cs="宋体" w:hint="eastAsia"/>
                <w:sz w:val="15"/>
                <w:szCs w:val="15"/>
              </w:rPr>
            </w:pPr>
            <w:r w:rsidRPr="0069363F">
              <w:rPr>
                <w:rFonts w:ascii="宋体" w:eastAsia="宋体" w:hAnsi="宋体" w:cs="宋体"/>
                <w:sz w:val="15"/>
                <w:szCs w:val="15"/>
              </w:rPr>
              <w:t>丰宁县37.5MW光伏扶贫项目</w:t>
            </w:r>
          </w:p>
        </w:tc>
        <w:tc>
          <w:tcPr>
            <w:tcW w:w="1984"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85C9D43" w14:textId="77777777" w:rsidR="00632E5B" w:rsidRPr="0069363F" w:rsidRDefault="00107901">
            <w:pPr>
              <w:spacing w:line="240" w:lineRule="exact"/>
              <w:rPr>
                <w:rFonts w:ascii="宋体" w:eastAsia="宋体" w:hAnsi="宋体" w:cs="宋体" w:hint="eastAsia"/>
                <w:sz w:val="15"/>
                <w:szCs w:val="15"/>
              </w:rPr>
            </w:pPr>
            <w:r w:rsidRPr="0069363F">
              <w:rPr>
                <w:rFonts w:ascii="宋体" w:eastAsia="宋体" w:hAnsi="宋体" w:cs="宋体"/>
                <w:sz w:val="15"/>
                <w:szCs w:val="15"/>
              </w:rPr>
              <w:t>河南祥符区80MW项目、江西余干100MW项目</w:t>
            </w:r>
          </w:p>
        </w:tc>
        <w:tc>
          <w:tcPr>
            <w:tcW w:w="155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409EBAF" w14:textId="77777777" w:rsidR="00632E5B" w:rsidRPr="0069363F" w:rsidRDefault="00107901">
            <w:pPr>
              <w:spacing w:line="240" w:lineRule="exact"/>
              <w:jc w:val="right"/>
              <w:rPr>
                <w:rFonts w:ascii="宋体" w:eastAsia="宋体" w:hAnsi="宋体" w:cs="宋体" w:hint="eastAsia"/>
                <w:sz w:val="15"/>
                <w:szCs w:val="15"/>
              </w:rPr>
            </w:pPr>
            <w:r w:rsidRPr="0069363F">
              <w:rPr>
                <w:rFonts w:ascii="宋体" w:eastAsia="宋体" w:hAnsi="宋体" w:cs="宋体"/>
                <w:sz w:val="15"/>
                <w:szCs w:val="15"/>
              </w:rPr>
              <w:t>11,771.44</w:t>
            </w:r>
          </w:p>
        </w:tc>
        <w:tc>
          <w:tcPr>
            <w:tcW w:w="80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BA351F9" w14:textId="77777777" w:rsidR="00632E5B" w:rsidRPr="0069363F" w:rsidRDefault="00107901">
            <w:pPr>
              <w:spacing w:line="240" w:lineRule="exact"/>
              <w:jc w:val="right"/>
              <w:rPr>
                <w:rFonts w:ascii="宋体" w:eastAsia="宋体" w:hAnsi="宋体" w:cs="宋体" w:hint="eastAsia"/>
                <w:sz w:val="15"/>
                <w:szCs w:val="15"/>
              </w:rPr>
            </w:pPr>
            <w:r w:rsidRPr="0069363F">
              <w:rPr>
                <w:rFonts w:ascii="宋体" w:eastAsia="宋体" w:hAnsi="宋体" w:cs="宋体"/>
                <w:sz w:val="15"/>
                <w:szCs w:val="15"/>
              </w:rPr>
              <w:t>0</w:t>
            </w:r>
          </w:p>
        </w:tc>
        <w:tc>
          <w:tcPr>
            <w:tcW w:w="132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38C762E" w14:textId="77777777" w:rsidR="00632E5B" w:rsidRPr="0069363F" w:rsidRDefault="00107901">
            <w:pPr>
              <w:spacing w:line="240" w:lineRule="exact"/>
              <w:jc w:val="right"/>
              <w:rPr>
                <w:rFonts w:ascii="宋体" w:eastAsia="宋体" w:hAnsi="宋体" w:cs="宋体" w:hint="eastAsia"/>
                <w:sz w:val="15"/>
                <w:szCs w:val="15"/>
              </w:rPr>
            </w:pPr>
            <w:r w:rsidRPr="0069363F">
              <w:rPr>
                <w:rFonts w:ascii="宋体" w:eastAsia="宋体" w:hAnsi="宋体" w:cs="宋体"/>
                <w:sz w:val="15"/>
                <w:szCs w:val="15"/>
              </w:rPr>
              <w:t>11,765.3</w:t>
            </w:r>
          </w:p>
        </w:tc>
        <w:tc>
          <w:tcPr>
            <w:tcW w:w="93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E9E8972" w14:textId="77777777" w:rsidR="00632E5B" w:rsidRPr="0069363F" w:rsidRDefault="00107901">
            <w:pPr>
              <w:spacing w:line="240" w:lineRule="exact"/>
              <w:jc w:val="right"/>
              <w:rPr>
                <w:rFonts w:ascii="宋体" w:eastAsia="宋体" w:hAnsi="宋体" w:cs="宋体" w:hint="eastAsia"/>
                <w:sz w:val="15"/>
                <w:szCs w:val="15"/>
              </w:rPr>
            </w:pPr>
            <w:r w:rsidRPr="0069363F">
              <w:rPr>
                <w:rFonts w:ascii="宋体" w:eastAsia="宋体" w:hAnsi="宋体" w:cs="宋体"/>
                <w:sz w:val="15"/>
                <w:szCs w:val="15"/>
              </w:rPr>
              <w:t>99.95%</w:t>
            </w:r>
          </w:p>
        </w:tc>
        <w:tc>
          <w:tcPr>
            <w:tcW w:w="119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30B9FDF" w14:textId="77777777" w:rsidR="00632E5B" w:rsidRPr="0069363F" w:rsidRDefault="00107901">
            <w:pPr>
              <w:spacing w:line="240" w:lineRule="exact"/>
              <w:rPr>
                <w:rFonts w:ascii="宋体" w:eastAsia="宋体" w:hAnsi="宋体" w:cs="宋体" w:hint="eastAsia"/>
                <w:sz w:val="15"/>
                <w:szCs w:val="15"/>
              </w:rPr>
            </w:pPr>
            <w:r w:rsidRPr="0069363F">
              <w:rPr>
                <w:rFonts w:ascii="宋体" w:eastAsia="宋体" w:hAnsi="宋体" w:cs="宋体"/>
                <w:sz w:val="15"/>
                <w:szCs w:val="15"/>
              </w:rPr>
              <w:t>2018年12月31日</w:t>
            </w:r>
          </w:p>
        </w:tc>
        <w:tc>
          <w:tcPr>
            <w:tcW w:w="77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0011677" w14:textId="77777777" w:rsidR="00632E5B" w:rsidRPr="0069363F" w:rsidRDefault="00107901">
            <w:pPr>
              <w:spacing w:line="240" w:lineRule="exact"/>
              <w:jc w:val="right"/>
              <w:rPr>
                <w:rFonts w:ascii="宋体" w:eastAsia="宋体" w:hAnsi="宋体" w:cs="宋体" w:hint="eastAsia"/>
                <w:sz w:val="15"/>
                <w:szCs w:val="15"/>
              </w:rPr>
            </w:pPr>
            <w:r w:rsidRPr="0069363F">
              <w:rPr>
                <w:rFonts w:ascii="宋体" w:eastAsia="宋体" w:hAnsi="宋体" w:cs="宋体"/>
                <w:sz w:val="15"/>
                <w:szCs w:val="15"/>
              </w:rPr>
              <w:t>0</w:t>
            </w:r>
          </w:p>
        </w:tc>
        <w:tc>
          <w:tcPr>
            <w:tcW w:w="80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4C78ECC" w14:textId="77777777" w:rsidR="00632E5B" w:rsidRPr="0069363F" w:rsidRDefault="00107901">
            <w:pPr>
              <w:spacing w:line="240" w:lineRule="exact"/>
              <w:rPr>
                <w:rFonts w:ascii="宋体" w:eastAsia="宋体" w:hAnsi="宋体" w:cs="宋体" w:hint="eastAsia"/>
                <w:sz w:val="15"/>
                <w:szCs w:val="15"/>
              </w:rPr>
            </w:pPr>
            <w:r w:rsidRPr="0069363F">
              <w:rPr>
                <w:rFonts w:ascii="宋体" w:eastAsia="宋体" w:hAnsi="宋体" w:cs="宋体"/>
                <w:sz w:val="15"/>
                <w:szCs w:val="15"/>
              </w:rPr>
              <w:t>是</w:t>
            </w:r>
          </w:p>
        </w:tc>
        <w:tc>
          <w:tcPr>
            <w:tcW w:w="97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6BE1175" w14:textId="77777777" w:rsidR="00632E5B" w:rsidRPr="0069363F" w:rsidRDefault="00107901">
            <w:pPr>
              <w:spacing w:line="240" w:lineRule="exact"/>
              <w:rPr>
                <w:rFonts w:ascii="宋体" w:eastAsia="宋体" w:hAnsi="宋体" w:cs="宋体" w:hint="eastAsia"/>
                <w:sz w:val="15"/>
                <w:szCs w:val="15"/>
              </w:rPr>
            </w:pPr>
            <w:r w:rsidRPr="0069363F">
              <w:rPr>
                <w:rFonts w:ascii="宋体" w:eastAsia="宋体" w:hAnsi="宋体" w:cs="宋体"/>
                <w:sz w:val="15"/>
                <w:szCs w:val="15"/>
              </w:rPr>
              <w:t>否</w:t>
            </w:r>
          </w:p>
        </w:tc>
      </w:tr>
      <w:tr w:rsidR="00632E5B" w14:paraId="353AB7B6" w14:textId="77777777" w:rsidTr="00B1577B">
        <w:trPr>
          <w:gridAfter w:val="1"/>
          <w:wAfter w:w="18" w:type="dxa"/>
          <w:trHeight w:val="240"/>
        </w:trPr>
        <w:tc>
          <w:tcPr>
            <w:tcW w:w="127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6B11B09" w14:textId="77777777" w:rsidR="00632E5B" w:rsidRPr="0069363F" w:rsidRDefault="00107901">
            <w:pPr>
              <w:spacing w:line="240" w:lineRule="exact"/>
              <w:rPr>
                <w:rFonts w:ascii="宋体" w:eastAsia="宋体" w:hAnsi="宋体" w:cs="宋体" w:hint="eastAsia"/>
                <w:sz w:val="15"/>
                <w:szCs w:val="15"/>
              </w:rPr>
            </w:pPr>
            <w:r w:rsidRPr="0069363F">
              <w:rPr>
                <w:rFonts w:ascii="宋体" w:eastAsia="宋体" w:hAnsi="宋体" w:cs="宋体"/>
                <w:sz w:val="15"/>
                <w:szCs w:val="15"/>
              </w:rPr>
              <w:t>2017年向特定对象发行股票</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366F752" w14:textId="77777777" w:rsidR="00632E5B" w:rsidRPr="0069363F" w:rsidRDefault="00107901">
            <w:pPr>
              <w:spacing w:line="240" w:lineRule="exact"/>
              <w:rPr>
                <w:rFonts w:ascii="宋体" w:eastAsia="宋体" w:hAnsi="宋体" w:cs="宋体" w:hint="eastAsia"/>
                <w:sz w:val="15"/>
                <w:szCs w:val="15"/>
              </w:rPr>
            </w:pPr>
            <w:r w:rsidRPr="0069363F">
              <w:rPr>
                <w:rFonts w:ascii="宋体" w:eastAsia="宋体" w:hAnsi="宋体" w:cs="宋体"/>
                <w:sz w:val="15"/>
                <w:szCs w:val="15"/>
              </w:rPr>
              <w:t>向特定对象发行股票</w:t>
            </w:r>
          </w:p>
        </w:tc>
        <w:tc>
          <w:tcPr>
            <w:tcW w:w="118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02AD078" w14:textId="77777777" w:rsidR="00632E5B" w:rsidRPr="0069363F" w:rsidRDefault="00107901">
            <w:pPr>
              <w:spacing w:line="240" w:lineRule="exact"/>
              <w:rPr>
                <w:rFonts w:ascii="宋体" w:eastAsia="宋体" w:hAnsi="宋体" w:cs="宋体" w:hint="eastAsia"/>
                <w:sz w:val="15"/>
                <w:szCs w:val="15"/>
              </w:rPr>
            </w:pPr>
            <w:r w:rsidRPr="0069363F">
              <w:rPr>
                <w:rFonts w:ascii="宋体" w:eastAsia="宋体" w:hAnsi="宋体" w:cs="宋体"/>
                <w:sz w:val="15"/>
                <w:szCs w:val="15"/>
              </w:rPr>
              <w:t>年产600吨光纤预制棒智能制造项目</w:t>
            </w:r>
          </w:p>
        </w:tc>
        <w:tc>
          <w:tcPr>
            <w:tcW w:w="1984"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58C509A" w14:textId="77777777" w:rsidR="00632E5B" w:rsidRPr="0069363F" w:rsidRDefault="00107901">
            <w:pPr>
              <w:spacing w:line="240" w:lineRule="exact"/>
              <w:rPr>
                <w:rFonts w:ascii="宋体" w:eastAsia="宋体" w:hAnsi="宋体" w:cs="宋体" w:hint="eastAsia"/>
                <w:sz w:val="15"/>
                <w:szCs w:val="15"/>
              </w:rPr>
            </w:pPr>
            <w:r w:rsidRPr="0069363F">
              <w:rPr>
                <w:rFonts w:ascii="宋体" w:eastAsia="宋体" w:hAnsi="宋体" w:cs="宋体"/>
                <w:sz w:val="15"/>
                <w:szCs w:val="15"/>
              </w:rPr>
              <w:t>年产600吨光纤预制棒、1300万芯公里光纤项目</w:t>
            </w:r>
          </w:p>
        </w:tc>
        <w:tc>
          <w:tcPr>
            <w:tcW w:w="155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2FD08F3" w14:textId="77777777" w:rsidR="00632E5B" w:rsidRPr="0069363F" w:rsidRDefault="00107901">
            <w:pPr>
              <w:spacing w:line="240" w:lineRule="exact"/>
              <w:jc w:val="right"/>
              <w:rPr>
                <w:rFonts w:ascii="宋体" w:eastAsia="宋体" w:hAnsi="宋体" w:cs="宋体" w:hint="eastAsia"/>
                <w:sz w:val="15"/>
                <w:szCs w:val="15"/>
              </w:rPr>
            </w:pPr>
            <w:r w:rsidRPr="0069363F">
              <w:rPr>
                <w:rFonts w:ascii="宋体" w:eastAsia="宋体" w:hAnsi="宋体" w:cs="宋体"/>
                <w:sz w:val="15"/>
                <w:szCs w:val="15"/>
              </w:rPr>
              <w:t>47,847.25</w:t>
            </w:r>
          </w:p>
        </w:tc>
        <w:tc>
          <w:tcPr>
            <w:tcW w:w="80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04D266C" w14:textId="77777777" w:rsidR="00632E5B" w:rsidRPr="0069363F" w:rsidRDefault="00107901">
            <w:pPr>
              <w:spacing w:line="240" w:lineRule="exact"/>
              <w:jc w:val="right"/>
              <w:rPr>
                <w:rFonts w:ascii="宋体" w:eastAsia="宋体" w:hAnsi="宋体" w:cs="宋体" w:hint="eastAsia"/>
                <w:sz w:val="15"/>
                <w:szCs w:val="15"/>
              </w:rPr>
            </w:pPr>
            <w:r w:rsidRPr="0069363F">
              <w:rPr>
                <w:rFonts w:ascii="宋体" w:eastAsia="宋体" w:hAnsi="宋体" w:cs="宋体"/>
                <w:sz w:val="15"/>
                <w:szCs w:val="15"/>
              </w:rPr>
              <w:t>0</w:t>
            </w:r>
          </w:p>
        </w:tc>
        <w:tc>
          <w:tcPr>
            <w:tcW w:w="132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AC7D667" w14:textId="77777777" w:rsidR="00632E5B" w:rsidRPr="0069363F" w:rsidRDefault="00107901">
            <w:pPr>
              <w:spacing w:line="240" w:lineRule="exact"/>
              <w:jc w:val="right"/>
              <w:rPr>
                <w:rFonts w:ascii="宋体" w:eastAsia="宋体" w:hAnsi="宋体" w:cs="宋体" w:hint="eastAsia"/>
                <w:sz w:val="15"/>
                <w:szCs w:val="15"/>
              </w:rPr>
            </w:pPr>
            <w:r w:rsidRPr="0069363F">
              <w:rPr>
                <w:rFonts w:ascii="宋体" w:eastAsia="宋体" w:hAnsi="宋体" w:cs="宋体"/>
                <w:sz w:val="15"/>
                <w:szCs w:val="15"/>
              </w:rPr>
              <w:t>47,852.01</w:t>
            </w:r>
          </w:p>
        </w:tc>
        <w:tc>
          <w:tcPr>
            <w:tcW w:w="93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F78E6BC" w14:textId="77777777" w:rsidR="00632E5B" w:rsidRPr="0069363F" w:rsidRDefault="00107901">
            <w:pPr>
              <w:spacing w:line="240" w:lineRule="exact"/>
              <w:jc w:val="right"/>
              <w:rPr>
                <w:rFonts w:ascii="宋体" w:eastAsia="宋体" w:hAnsi="宋体" w:cs="宋体" w:hint="eastAsia"/>
                <w:sz w:val="15"/>
                <w:szCs w:val="15"/>
              </w:rPr>
            </w:pPr>
            <w:r w:rsidRPr="0069363F">
              <w:rPr>
                <w:rFonts w:ascii="宋体" w:eastAsia="宋体" w:hAnsi="宋体" w:cs="宋体"/>
                <w:sz w:val="15"/>
                <w:szCs w:val="15"/>
              </w:rPr>
              <w:t>100.01%</w:t>
            </w:r>
          </w:p>
        </w:tc>
        <w:tc>
          <w:tcPr>
            <w:tcW w:w="119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C38B8C6" w14:textId="77777777" w:rsidR="00632E5B" w:rsidRPr="0069363F" w:rsidRDefault="00632E5B">
            <w:pPr>
              <w:spacing w:line="240" w:lineRule="exact"/>
              <w:rPr>
                <w:rFonts w:ascii="宋体" w:eastAsia="宋体" w:hAnsi="宋体" w:cs="宋体" w:hint="eastAsia"/>
                <w:sz w:val="15"/>
                <w:szCs w:val="15"/>
              </w:rPr>
            </w:pPr>
          </w:p>
        </w:tc>
        <w:tc>
          <w:tcPr>
            <w:tcW w:w="77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7157526" w14:textId="77777777" w:rsidR="00632E5B" w:rsidRPr="0069363F" w:rsidRDefault="00107901">
            <w:pPr>
              <w:spacing w:line="240" w:lineRule="exact"/>
              <w:jc w:val="right"/>
              <w:rPr>
                <w:rFonts w:ascii="宋体" w:eastAsia="宋体" w:hAnsi="宋体" w:cs="宋体" w:hint="eastAsia"/>
                <w:sz w:val="15"/>
                <w:szCs w:val="15"/>
              </w:rPr>
            </w:pPr>
            <w:r w:rsidRPr="0069363F">
              <w:rPr>
                <w:rFonts w:ascii="宋体" w:eastAsia="宋体" w:hAnsi="宋体" w:cs="宋体"/>
                <w:sz w:val="15"/>
                <w:szCs w:val="15"/>
              </w:rPr>
              <w:t>0</w:t>
            </w:r>
          </w:p>
        </w:tc>
        <w:tc>
          <w:tcPr>
            <w:tcW w:w="80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D3BF7E3" w14:textId="77777777" w:rsidR="00632E5B" w:rsidRPr="0069363F" w:rsidRDefault="00107901">
            <w:pPr>
              <w:spacing w:line="240" w:lineRule="exact"/>
              <w:rPr>
                <w:rFonts w:ascii="宋体" w:eastAsia="宋体" w:hAnsi="宋体" w:cs="宋体" w:hint="eastAsia"/>
                <w:sz w:val="15"/>
                <w:szCs w:val="15"/>
              </w:rPr>
            </w:pPr>
            <w:r w:rsidRPr="0069363F">
              <w:rPr>
                <w:rFonts w:ascii="宋体" w:eastAsia="宋体" w:hAnsi="宋体" w:cs="宋体"/>
                <w:sz w:val="15"/>
                <w:szCs w:val="15"/>
              </w:rPr>
              <w:t>否</w:t>
            </w:r>
          </w:p>
        </w:tc>
        <w:tc>
          <w:tcPr>
            <w:tcW w:w="97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0A1AB6F" w14:textId="77777777" w:rsidR="00632E5B" w:rsidRPr="0069363F" w:rsidRDefault="00107901">
            <w:pPr>
              <w:spacing w:line="240" w:lineRule="exact"/>
              <w:rPr>
                <w:rFonts w:ascii="宋体" w:eastAsia="宋体" w:hAnsi="宋体" w:cs="宋体" w:hint="eastAsia"/>
                <w:sz w:val="15"/>
                <w:szCs w:val="15"/>
              </w:rPr>
            </w:pPr>
            <w:r w:rsidRPr="0069363F">
              <w:rPr>
                <w:rFonts w:ascii="宋体" w:eastAsia="宋体" w:hAnsi="宋体" w:cs="宋体"/>
                <w:sz w:val="15"/>
                <w:szCs w:val="15"/>
              </w:rPr>
              <w:t>否</w:t>
            </w:r>
          </w:p>
        </w:tc>
      </w:tr>
      <w:tr w:rsidR="00632E5B" w14:paraId="5BFEAE6A" w14:textId="77777777" w:rsidTr="00B1577B">
        <w:trPr>
          <w:gridAfter w:val="1"/>
          <w:wAfter w:w="18" w:type="dxa"/>
          <w:trHeight w:val="240"/>
        </w:trPr>
        <w:tc>
          <w:tcPr>
            <w:tcW w:w="127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8A69AA9" w14:textId="77777777" w:rsidR="00632E5B" w:rsidRPr="0069363F" w:rsidRDefault="00107901">
            <w:pPr>
              <w:spacing w:line="240" w:lineRule="exact"/>
              <w:rPr>
                <w:rFonts w:ascii="宋体" w:eastAsia="宋体" w:hAnsi="宋体" w:cs="宋体" w:hint="eastAsia"/>
                <w:sz w:val="15"/>
                <w:szCs w:val="15"/>
              </w:rPr>
            </w:pPr>
            <w:r w:rsidRPr="0069363F">
              <w:rPr>
                <w:rFonts w:ascii="宋体" w:eastAsia="宋体" w:hAnsi="宋体" w:cs="宋体"/>
                <w:sz w:val="15"/>
                <w:szCs w:val="15"/>
              </w:rPr>
              <w:t>2017年向特定对象发行股票</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A87FB32" w14:textId="77777777" w:rsidR="00632E5B" w:rsidRPr="0069363F" w:rsidRDefault="00107901">
            <w:pPr>
              <w:spacing w:line="240" w:lineRule="exact"/>
              <w:rPr>
                <w:rFonts w:ascii="宋体" w:eastAsia="宋体" w:hAnsi="宋体" w:cs="宋体" w:hint="eastAsia"/>
                <w:sz w:val="15"/>
                <w:szCs w:val="15"/>
              </w:rPr>
            </w:pPr>
            <w:r w:rsidRPr="0069363F">
              <w:rPr>
                <w:rFonts w:ascii="宋体" w:eastAsia="宋体" w:hAnsi="宋体" w:cs="宋体"/>
                <w:sz w:val="15"/>
                <w:szCs w:val="15"/>
              </w:rPr>
              <w:t>向特定对象发行股票</w:t>
            </w:r>
          </w:p>
        </w:tc>
        <w:tc>
          <w:tcPr>
            <w:tcW w:w="118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DBC70AC" w14:textId="77777777" w:rsidR="00632E5B" w:rsidRPr="0069363F" w:rsidRDefault="00107901">
            <w:pPr>
              <w:spacing w:line="240" w:lineRule="exact"/>
              <w:rPr>
                <w:rFonts w:ascii="宋体" w:eastAsia="宋体" w:hAnsi="宋体" w:cs="宋体" w:hint="eastAsia"/>
                <w:sz w:val="15"/>
                <w:szCs w:val="15"/>
              </w:rPr>
            </w:pPr>
            <w:r w:rsidRPr="0069363F">
              <w:rPr>
                <w:rFonts w:ascii="宋体" w:eastAsia="宋体" w:hAnsi="宋体" w:cs="宋体"/>
                <w:sz w:val="15"/>
                <w:szCs w:val="15"/>
              </w:rPr>
              <w:t>永久补充流动资金</w:t>
            </w:r>
          </w:p>
        </w:tc>
        <w:tc>
          <w:tcPr>
            <w:tcW w:w="1984"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13B6992" w14:textId="77777777" w:rsidR="00632E5B" w:rsidRPr="0069363F" w:rsidRDefault="00107901">
            <w:pPr>
              <w:spacing w:line="240" w:lineRule="exact"/>
              <w:rPr>
                <w:rFonts w:ascii="宋体" w:eastAsia="宋体" w:hAnsi="宋体" w:cs="宋体" w:hint="eastAsia"/>
                <w:sz w:val="15"/>
                <w:szCs w:val="15"/>
              </w:rPr>
            </w:pPr>
            <w:r w:rsidRPr="0069363F">
              <w:rPr>
                <w:rFonts w:ascii="宋体" w:eastAsia="宋体" w:hAnsi="宋体" w:cs="宋体"/>
                <w:sz w:val="15"/>
                <w:szCs w:val="15"/>
              </w:rPr>
              <w:t>年产600吨光纤预制棒、1300万芯公里光纤项目</w:t>
            </w:r>
          </w:p>
        </w:tc>
        <w:tc>
          <w:tcPr>
            <w:tcW w:w="155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F4E063F" w14:textId="77777777" w:rsidR="00632E5B" w:rsidRPr="0069363F" w:rsidRDefault="00107901">
            <w:pPr>
              <w:spacing w:line="240" w:lineRule="exact"/>
              <w:jc w:val="right"/>
              <w:rPr>
                <w:rFonts w:ascii="宋体" w:eastAsia="宋体" w:hAnsi="宋体" w:cs="宋体" w:hint="eastAsia"/>
                <w:sz w:val="15"/>
                <w:szCs w:val="15"/>
              </w:rPr>
            </w:pPr>
            <w:r w:rsidRPr="0069363F">
              <w:rPr>
                <w:rFonts w:ascii="宋体" w:eastAsia="宋体" w:hAnsi="宋体" w:cs="宋体"/>
                <w:sz w:val="15"/>
                <w:szCs w:val="15"/>
              </w:rPr>
              <w:t>50,900</w:t>
            </w:r>
          </w:p>
        </w:tc>
        <w:tc>
          <w:tcPr>
            <w:tcW w:w="80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F524A45" w14:textId="77777777" w:rsidR="00632E5B" w:rsidRPr="0069363F" w:rsidRDefault="00107901">
            <w:pPr>
              <w:spacing w:line="240" w:lineRule="exact"/>
              <w:jc w:val="right"/>
              <w:rPr>
                <w:rFonts w:ascii="宋体" w:eastAsia="宋体" w:hAnsi="宋体" w:cs="宋体" w:hint="eastAsia"/>
                <w:sz w:val="15"/>
                <w:szCs w:val="15"/>
              </w:rPr>
            </w:pPr>
            <w:r w:rsidRPr="0069363F">
              <w:rPr>
                <w:rFonts w:ascii="宋体" w:eastAsia="宋体" w:hAnsi="宋体" w:cs="宋体"/>
                <w:sz w:val="15"/>
                <w:szCs w:val="15"/>
              </w:rPr>
              <w:t>0</w:t>
            </w:r>
          </w:p>
        </w:tc>
        <w:tc>
          <w:tcPr>
            <w:tcW w:w="132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2F8196C" w14:textId="77777777" w:rsidR="00632E5B" w:rsidRPr="0069363F" w:rsidRDefault="00107901">
            <w:pPr>
              <w:spacing w:line="240" w:lineRule="exact"/>
              <w:jc w:val="right"/>
              <w:rPr>
                <w:rFonts w:ascii="宋体" w:eastAsia="宋体" w:hAnsi="宋体" w:cs="宋体" w:hint="eastAsia"/>
                <w:sz w:val="15"/>
                <w:szCs w:val="15"/>
              </w:rPr>
            </w:pPr>
            <w:r w:rsidRPr="0069363F">
              <w:rPr>
                <w:rFonts w:ascii="宋体" w:eastAsia="宋体" w:hAnsi="宋体" w:cs="宋体"/>
                <w:sz w:val="15"/>
                <w:szCs w:val="15"/>
              </w:rPr>
              <w:t>50,900</w:t>
            </w:r>
          </w:p>
        </w:tc>
        <w:tc>
          <w:tcPr>
            <w:tcW w:w="93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2F434B4" w14:textId="77777777" w:rsidR="00632E5B" w:rsidRPr="0069363F" w:rsidRDefault="00107901">
            <w:pPr>
              <w:spacing w:line="240" w:lineRule="exact"/>
              <w:jc w:val="right"/>
              <w:rPr>
                <w:rFonts w:ascii="宋体" w:eastAsia="宋体" w:hAnsi="宋体" w:cs="宋体" w:hint="eastAsia"/>
                <w:sz w:val="15"/>
                <w:szCs w:val="15"/>
              </w:rPr>
            </w:pPr>
            <w:r w:rsidRPr="0069363F">
              <w:rPr>
                <w:rFonts w:ascii="宋体" w:eastAsia="宋体" w:hAnsi="宋体" w:cs="宋体"/>
                <w:sz w:val="15"/>
                <w:szCs w:val="15"/>
              </w:rPr>
              <w:t>100.00%</w:t>
            </w:r>
          </w:p>
        </w:tc>
        <w:tc>
          <w:tcPr>
            <w:tcW w:w="119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D96A985" w14:textId="77777777" w:rsidR="00632E5B" w:rsidRPr="0069363F" w:rsidRDefault="00632E5B">
            <w:pPr>
              <w:spacing w:line="240" w:lineRule="exact"/>
              <w:rPr>
                <w:rFonts w:ascii="宋体" w:eastAsia="宋体" w:hAnsi="宋体" w:cs="宋体" w:hint="eastAsia"/>
                <w:sz w:val="15"/>
                <w:szCs w:val="15"/>
              </w:rPr>
            </w:pPr>
          </w:p>
        </w:tc>
        <w:tc>
          <w:tcPr>
            <w:tcW w:w="77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7F21BC5" w14:textId="77777777" w:rsidR="00632E5B" w:rsidRPr="0069363F" w:rsidRDefault="00107901">
            <w:pPr>
              <w:spacing w:line="240" w:lineRule="exact"/>
              <w:jc w:val="right"/>
              <w:rPr>
                <w:rFonts w:ascii="宋体" w:eastAsia="宋体" w:hAnsi="宋体" w:cs="宋体" w:hint="eastAsia"/>
                <w:sz w:val="15"/>
                <w:szCs w:val="15"/>
              </w:rPr>
            </w:pPr>
            <w:r w:rsidRPr="0069363F">
              <w:rPr>
                <w:rFonts w:ascii="宋体" w:eastAsia="宋体" w:hAnsi="宋体" w:cs="宋体"/>
                <w:sz w:val="15"/>
                <w:szCs w:val="15"/>
              </w:rPr>
              <w:t>0</w:t>
            </w:r>
          </w:p>
        </w:tc>
        <w:tc>
          <w:tcPr>
            <w:tcW w:w="80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E204734" w14:textId="77777777" w:rsidR="00632E5B" w:rsidRPr="0069363F" w:rsidRDefault="00107901">
            <w:pPr>
              <w:spacing w:line="240" w:lineRule="exact"/>
              <w:rPr>
                <w:rFonts w:ascii="宋体" w:eastAsia="宋体" w:hAnsi="宋体" w:cs="宋体" w:hint="eastAsia"/>
                <w:sz w:val="15"/>
                <w:szCs w:val="15"/>
              </w:rPr>
            </w:pPr>
            <w:r w:rsidRPr="0069363F">
              <w:rPr>
                <w:rFonts w:ascii="宋体" w:eastAsia="宋体" w:hAnsi="宋体" w:cs="宋体"/>
                <w:sz w:val="15"/>
                <w:szCs w:val="15"/>
              </w:rPr>
              <w:t>不适用</w:t>
            </w:r>
          </w:p>
        </w:tc>
        <w:tc>
          <w:tcPr>
            <w:tcW w:w="97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75892A6" w14:textId="77777777" w:rsidR="00632E5B" w:rsidRPr="0069363F" w:rsidRDefault="00107901">
            <w:pPr>
              <w:spacing w:line="240" w:lineRule="exact"/>
              <w:rPr>
                <w:rFonts w:ascii="宋体" w:eastAsia="宋体" w:hAnsi="宋体" w:cs="宋体" w:hint="eastAsia"/>
                <w:sz w:val="15"/>
                <w:szCs w:val="15"/>
              </w:rPr>
            </w:pPr>
            <w:r w:rsidRPr="0069363F">
              <w:rPr>
                <w:rFonts w:ascii="宋体" w:eastAsia="宋体" w:hAnsi="宋体" w:cs="宋体"/>
                <w:sz w:val="15"/>
                <w:szCs w:val="15"/>
              </w:rPr>
              <w:t>否</w:t>
            </w:r>
          </w:p>
        </w:tc>
      </w:tr>
      <w:tr w:rsidR="00632E5B" w14:paraId="6E74423F" w14:textId="77777777" w:rsidTr="00B1577B">
        <w:trPr>
          <w:gridAfter w:val="1"/>
          <w:wAfter w:w="18" w:type="dxa"/>
          <w:trHeight w:val="240"/>
        </w:trPr>
        <w:tc>
          <w:tcPr>
            <w:tcW w:w="127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475F69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C82EAA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118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5701D8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1984"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9295AE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155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290EC64" w14:textId="77777777" w:rsidR="00632E5B" w:rsidRPr="0069363F" w:rsidRDefault="00107901">
            <w:pPr>
              <w:spacing w:line="240" w:lineRule="exact"/>
              <w:jc w:val="right"/>
              <w:rPr>
                <w:rFonts w:ascii="宋体" w:eastAsia="宋体" w:hAnsi="宋体" w:cs="宋体" w:hint="eastAsia"/>
                <w:sz w:val="15"/>
                <w:szCs w:val="15"/>
              </w:rPr>
            </w:pPr>
            <w:r w:rsidRPr="0069363F">
              <w:rPr>
                <w:rFonts w:ascii="宋体" w:eastAsia="宋体" w:hAnsi="宋体" w:cs="宋体"/>
                <w:sz w:val="15"/>
                <w:szCs w:val="15"/>
              </w:rPr>
              <w:t>152,281.74</w:t>
            </w:r>
          </w:p>
        </w:tc>
        <w:tc>
          <w:tcPr>
            <w:tcW w:w="80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CC99312" w14:textId="77777777" w:rsidR="00632E5B" w:rsidRPr="0069363F" w:rsidRDefault="00107901">
            <w:pPr>
              <w:spacing w:line="240" w:lineRule="exact"/>
              <w:jc w:val="right"/>
              <w:rPr>
                <w:rFonts w:ascii="宋体" w:eastAsia="宋体" w:hAnsi="宋体" w:cs="宋体" w:hint="eastAsia"/>
                <w:sz w:val="15"/>
                <w:szCs w:val="15"/>
              </w:rPr>
            </w:pPr>
            <w:r w:rsidRPr="0069363F">
              <w:rPr>
                <w:rFonts w:ascii="宋体" w:eastAsia="宋体" w:hAnsi="宋体" w:cs="宋体"/>
                <w:sz w:val="15"/>
                <w:szCs w:val="15"/>
              </w:rPr>
              <w:t>0</w:t>
            </w:r>
          </w:p>
        </w:tc>
        <w:tc>
          <w:tcPr>
            <w:tcW w:w="132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C1BCBBD" w14:textId="77777777" w:rsidR="00632E5B" w:rsidRPr="0069363F" w:rsidRDefault="00107901">
            <w:pPr>
              <w:spacing w:line="240" w:lineRule="exact"/>
              <w:jc w:val="right"/>
              <w:rPr>
                <w:rFonts w:ascii="宋体" w:eastAsia="宋体" w:hAnsi="宋体" w:cs="宋体" w:hint="eastAsia"/>
                <w:sz w:val="15"/>
                <w:szCs w:val="15"/>
              </w:rPr>
            </w:pPr>
            <w:r w:rsidRPr="0069363F">
              <w:rPr>
                <w:rFonts w:ascii="宋体" w:eastAsia="宋体" w:hAnsi="宋体" w:cs="宋体"/>
                <w:sz w:val="15"/>
                <w:szCs w:val="15"/>
              </w:rPr>
              <w:t>152,327.25</w:t>
            </w:r>
          </w:p>
        </w:tc>
        <w:tc>
          <w:tcPr>
            <w:tcW w:w="93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1640653" w14:textId="77777777" w:rsidR="00632E5B" w:rsidRPr="0069363F" w:rsidRDefault="00107901">
            <w:pPr>
              <w:spacing w:before="40" w:after="40" w:line="240" w:lineRule="exact"/>
              <w:jc w:val="center"/>
              <w:rPr>
                <w:rFonts w:ascii="宋体" w:eastAsia="宋体" w:hAnsi="宋体" w:cs="宋体" w:hint="eastAsia"/>
                <w:sz w:val="15"/>
                <w:szCs w:val="15"/>
              </w:rPr>
            </w:pPr>
            <w:r w:rsidRPr="0069363F">
              <w:rPr>
                <w:rFonts w:ascii="宋体" w:eastAsia="宋体" w:hAnsi="宋体" w:cs="宋体"/>
                <w:sz w:val="15"/>
                <w:szCs w:val="15"/>
              </w:rPr>
              <w:t>--</w:t>
            </w:r>
          </w:p>
        </w:tc>
        <w:tc>
          <w:tcPr>
            <w:tcW w:w="119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55370F4" w14:textId="77777777" w:rsidR="00632E5B" w:rsidRPr="0069363F" w:rsidRDefault="00107901">
            <w:pPr>
              <w:spacing w:before="40" w:after="40" w:line="240" w:lineRule="exact"/>
              <w:jc w:val="center"/>
              <w:rPr>
                <w:rFonts w:ascii="宋体" w:eastAsia="宋体" w:hAnsi="宋体" w:cs="宋体" w:hint="eastAsia"/>
                <w:sz w:val="15"/>
                <w:szCs w:val="15"/>
              </w:rPr>
            </w:pPr>
            <w:r w:rsidRPr="0069363F">
              <w:rPr>
                <w:rFonts w:ascii="宋体" w:eastAsia="宋体" w:hAnsi="宋体" w:cs="宋体"/>
                <w:sz w:val="15"/>
                <w:szCs w:val="15"/>
              </w:rPr>
              <w:t>--</w:t>
            </w:r>
          </w:p>
        </w:tc>
        <w:tc>
          <w:tcPr>
            <w:tcW w:w="77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D20E919" w14:textId="77777777" w:rsidR="00632E5B" w:rsidRPr="0069363F" w:rsidRDefault="00107901">
            <w:pPr>
              <w:spacing w:line="240" w:lineRule="exact"/>
              <w:jc w:val="right"/>
              <w:rPr>
                <w:rFonts w:ascii="宋体" w:eastAsia="宋体" w:hAnsi="宋体" w:cs="宋体" w:hint="eastAsia"/>
                <w:sz w:val="15"/>
                <w:szCs w:val="15"/>
              </w:rPr>
            </w:pPr>
            <w:r w:rsidRPr="0069363F">
              <w:rPr>
                <w:rFonts w:ascii="宋体" w:eastAsia="宋体" w:hAnsi="宋体" w:cs="宋体"/>
                <w:sz w:val="15"/>
                <w:szCs w:val="15"/>
              </w:rPr>
              <w:t>0</w:t>
            </w:r>
          </w:p>
        </w:tc>
        <w:tc>
          <w:tcPr>
            <w:tcW w:w="80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29B679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97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EE1909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r>
      <w:tr w:rsidR="00632E5B" w14:paraId="306EADC0" w14:textId="77777777" w:rsidTr="00B1577B">
        <w:trPr>
          <w:trHeight w:val="240"/>
        </w:trPr>
        <w:tc>
          <w:tcPr>
            <w:tcW w:w="3739"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D1E6BD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变更原因、决策程序及信息披露情况说明(分具体项目)</w:t>
            </w:r>
          </w:p>
        </w:tc>
        <w:tc>
          <w:tcPr>
            <w:tcW w:w="10357" w:type="dxa"/>
            <w:gridSpan w:val="10"/>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31BE1D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一、光伏扶贫项目</w:t>
            </w:r>
          </w:p>
          <w:p w14:paraId="2FB29FC9" w14:textId="304603E3" w:rsidR="00632E5B" w:rsidRDefault="00107901" w:rsidP="001A6B97">
            <w:pPr>
              <w:spacing w:line="240" w:lineRule="exact"/>
              <w:jc w:val="both"/>
              <w:rPr>
                <w:rFonts w:ascii="宋体" w:eastAsia="宋体" w:hAnsi="宋体" w:cs="宋体" w:hint="eastAsia"/>
                <w:sz w:val="18"/>
                <w:szCs w:val="18"/>
              </w:rPr>
            </w:pPr>
            <w:r>
              <w:rPr>
                <w:rFonts w:ascii="宋体" w:eastAsia="宋体" w:hAnsi="宋体" w:cs="宋体"/>
                <w:sz w:val="18"/>
                <w:szCs w:val="18"/>
              </w:rPr>
              <w:t xml:space="preserve">    1</w:t>
            </w:r>
            <w:r w:rsidR="00C91D96">
              <w:rPr>
                <w:rFonts w:ascii="宋体" w:eastAsia="宋体" w:hAnsi="宋体" w:cs="宋体" w:hint="eastAsia"/>
                <w:sz w:val="18"/>
                <w:szCs w:val="18"/>
              </w:rPr>
              <w:t>.</w:t>
            </w:r>
            <w:r>
              <w:rPr>
                <w:rFonts w:ascii="宋体" w:eastAsia="宋体" w:hAnsi="宋体" w:cs="宋体"/>
                <w:sz w:val="18"/>
                <w:szCs w:val="18"/>
              </w:rPr>
              <w:t>变更原因：国家发展改革委、财政部和国家能源局于2018年5月31日联合出台《关于2018年光伏发电有关事项的通知》，要求“合理把握发展节奏，优化光伏发电新增建设规模”，表示“暂不安排2018年普通光伏电站建设规模”，明确“支持光伏扶贫”。“河南祥符区80MW项目”及“江西余干100MW项目”作为普通光伏电站的建设投资环已发生一定变化，且未有募集资金投入，在此背景之下，将以上项目变更为“安图县32.48MW光伏扶贫、承德县33.3MW光伏扶贫、民和县43.4MW光伏扶贫和丰宁县37.5MW光伏扶贫”4个项目共计146.68MW。光伏扶贫项目符合国家产业政策和行业发展趋势，符合公司主推光伏扶贫电站业务的发展方向，有利于延续公司光伏扶贫电站发展优势，提升公司抗风险能力，提高公司盈利能力水平，保障上市公司及中小股东利益。</w:t>
            </w:r>
          </w:p>
          <w:p w14:paraId="72A8B6D6" w14:textId="764CD388"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 xml:space="preserve">    2</w:t>
            </w:r>
            <w:r w:rsidR="00C91D96">
              <w:rPr>
                <w:rFonts w:ascii="宋体" w:eastAsia="宋体" w:hAnsi="宋体" w:cs="宋体" w:hint="eastAsia"/>
                <w:sz w:val="18"/>
                <w:szCs w:val="18"/>
              </w:rPr>
              <w:t>.</w:t>
            </w:r>
            <w:r>
              <w:rPr>
                <w:rFonts w:ascii="宋体" w:eastAsia="宋体" w:hAnsi="宋体" w:cs="宋体"/>
                <w:sz w:val="18"/>
                <w:szCs w:val="18"/>
              </w:rPr>
              <w:t>决策程序：公司召开第四届董事会第九次会议及第四届监事会第九次会议，审议通过了《关于变更部分募投项目的议案》，独立董事发表了独立意见，保荐机构发表了核查意见。</w:t>
            </w:r>
          </w:p>
          <w:p w14:paraId="4D7B2142" w14:textId="097E2AE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 xml:space="preserve">    3</w:t>
            </w:r>
            <w:r w:rsidR="00C91D96">
              <w:rPr>
                <w:rFonts w:ascii="宋体" w:eastAsia="宋体" w:hAnsi="宋体" w:cs="宋体" w:hint="eastAsia"/>
                <w:sz w:val="18"/>
                <w:szCs w:val="18"/>
              </w:rPr>
              <w:t>.</w:t>
            </w:r>
            <w:r>
              <w:rPr>
                <w:rFonts w:ascii="宋体" w:eastAsia="宋体" w:hAnsi="宋体" w:cs="宋体"/>
                <w:sz w:val="18"/>
                <w:szCs w:val="18"/>
              </w:rPr>
              <w:t>信息披露：上述变更原因、决策程序均于2018年10月26日披露于巨潮资讯网及《证券时报》《证券日报》《中国证券报》。</w:t>
            </w:r>
          </w:p>
          <w:p w14:paraId="07B7C20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二、年产600吨光纤预制棒、1300万芯公里光纤项目</w:t>
            </w:r>
          </w:p>
          <w:p w14:paraId="2F9AA92F" w14:textId="7EC9D3C4" w:rsidR="00632E5B" w:rsidRDefault="00107901" w:rsidP="001A6B97">
            <w:pPr>
              <w:spacing w:line="240" w:lineRule="exact"/>
              <w:jc w:val="both"/>
              <w:rPr>
                <w:rFonts w:ascii="宋体" w:eastAsia="宋体" w:hAnsi="宋体" w:cs="宋体" w:hint="eastAsia"/>
                <w:sz w:val="18"/>
                <w:szCs w:val="18"/>
              </w:rPr>
            </w:pPr>
            <w:r>
              <w:rPr>
                <w:rFonts w:ascii="宋体" w:eastAsia="宋体" w:hAnsi="宋体" w:cs="宋体"/>
                <w:sz w:val="18"/>
                <w:szCs w:val="18"/>
              </w:rPr>
              <w:t xml:space="preserve">    1</w:t>
            </w:r>
            <w:r w:rsidR="00C91D96">
              <w:rPr>
                <w:rFonts w:ascii="宋体" w:eastAsia="宋体" w:hAnsi="宋体" w:cs="宋体" w:hint="eastAsia"/>
                <w:sz w:val="18"/>
                <w:szCs w:val="18"/>
              </w:rPr>
              <w:t>.</w:t>
            </w:r>
            <w:r>
              <w:rPr>
                <w:rFonts w:ascii="宋体" w:eastAsia="宋体" w:hAnsi="宋体" w:cs="宋体"/>
                <w:sz w:val="18"/>
                <w:szCs w:val="18"/>
              </w:rPr>
              <w:t>变更原因：国内光纤预制棒及光纤市场总体形势发生重大变化，虽然自2021年下半年开始，国内和海外市场需求量开始回暖，国内光纤市场价格逐步回升，国内光纤市场价格目前回升到2017年的一半，按此价格预计项目投资效益可能无法达到预期；2022年初，公司基于整体发展规划，针对部分光缆、电缆板块的经营模式进行调整，同时由于国内前期光纤光缆行情低谷，公司将持有的长飞中利全部股权转让，导致公司光通信产业链下游布局发生重大调整，若继续实施“年产1,300万芯公里光纤项目”预计难以达到预期效益；伴随技术迭代升级及成本的进一步下降，以及应用场景的不断拓宽，我国光伏行业发展迅猛，为了支持公司长期发展战略，集中优势资源聚焦光伏主营业务，公司未来需要更多的投资资金和营运资金。</w:t>
            </w:r>
          </w:p>
          <w:p w14:paraId="5B593D79" w14:textId="0D6775D5" w:rsidR="00632E5B" w:rsidRDefault="00107901" w:rsidP="001A6B97">
            <w:pPr>
              <w:spacing w:line="240" w:lineRule="exact"/>
              <w:jc w:val="both"/>
              <w:rPr>
                <w:rFonts w:ascii="宋体" w:eastAsia="宋体" w:hAnsi="宋体" w:cs="宋体" w:hint="eastAsia"/>
                <w:sz w:val="18"/>
                <w:szCs w:val="18"/>
              </w:rPr>
            </w:pPr>
            <w:r>
              <w:rPr>
                <w:rFonts w:ascii="宋体" w:eastAsia="宋体" w:hAnsi="宋体" w:cs="宋体"/>
                <w:sz w:val="18"/>
                <w:szCs w:val="18"/>
              </w:rPr>
              <w:t xml:space="preserve">    2</w:t>
            </w:r>
            <w:r w:rsidR="00C91D96">
              <w:rPr>
                <w:rFonts w:ascii="宋体" w:eastAsia="宋体" w:hAnsi="宋体" w:cs="宋体" w:hint="eastAsia"/>
                <w:sz w:val="18"/>
                <w:szCs w:val="18"/>
              </w:rPr>
              <w:t>.</w:t>
            </w:r>
            <w:r>
              <w:rPr>
                <w:rFonts w:ascii="宋体" w:eastAsia="宋体" w:hAnsi="宋体" w:cs="宋体"/>
                <w:sz w:val="18"/>
                <w:szCs w:val="18"/>
              </w:rPr>
              <w:t>决策程序：公司召开第六届董事会第一次会议、第六届监事会第一次会议和2022年第四次临时股东大会审议通过了《关于募集资金投资项目部分变更、部分终止并永久补充流动资金的议案》，独立董事发表了独立意见，保荐机构发表了核查意见。</w:t>
            </w:r>
          </w:p>
          <w:p w14:paraId="09983D27" w14:textId="3F1F81DB" w:rsidR="00632E5B" w:rsidRDefault="00107901" w:rsidP="001A6B97">
            <w:pPr>
              <w:spacing w:line="240" w:lineRule="exact"/>
              <w:jc w:val="both"/>
              <w:rPr>
                <w:rFonts w:ascii="宋体" w:eastAsia="宋体" w:hAnsi="宋体" w:cs="宋体" w:hint="eastAsia"/>
                <w:sz w:val="18"/>
                <w:szCs w:val="18"/>
              </w:rPr>
            </w:pPr>
            <w:r>
              <w:rPr>
                <w:rFonts w:ascii="宋体" w:eastAsia="宋体" w:hAnsi="宋体" w:cs="宋体"/>
                <w:sz w:val="18"/>
                <w:szCs w:val="18"/>
              </w:rPr>
              <w:t xml:space="preserve">    3</w:t>
            </w:r>
            <w:r w:rsidR="00C91D96">
              <w:rPr>
                <w:rFonts w:ascii="宋体" w:eastAsia="宋体" w:hAnsi="宋体" w:cs="宋体"/>
                <w:sz w:val="18"/>
                <w:szCs w:val="18"/>
              </w:rPr>
              <w:t>.</w:t>
            </w:r>
            <w:r>
              <w:rPr>
                <w:rFonts w:ascii="宋体" w:eastAsia="宋体" w:hAnsi="宋体" w:cs="宋体"/>
                <w:sz w:val="18"/>
                <w:szCs w:val="18"/>
              </w:rPr>
              <w:t>信息披露：上述变更原因、决策程序均于2022年8月31日披露于巨潮资讯网及《证券时报》《证券日报》《上海证券报》。</w:t>
            </w:r>
          </w:p>
        </w:tc>
      </w:tr>
      <w:tr w:rsidR="00632E5B" w14:paraId="3609D82B" w14:textId="77777777" w:rsidTr="00B1577B">
        <w:trPr>
          <w:trHeight w:val="240"/>
        </w:trPr>
        <w:tc>
          <w:tcPr>
            <w:tcW w:w="3739"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10C7B83"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未达到计划进度或预计收益的情况和原因(分具体项目)</w:t>
            </w:r>
          </w:p>
        </w:tc>
        <w:tc>
          <w:tcPr>
            <w:tcW w:w="10357" w:type="dxa"/>
            <w:gridSpan w:val="10"/>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6EB257B" w14:textId="77777777" w:rsidR="00632E5B" w:rsidRDefault="00107901" w:rsidP="001A6B97">
            <w:pPr>
              <w:spacing w:line="240" w:lineRule="exact"/>
              <w:ind w:firstLineChars="200" w:firstLine="360"/>
              <w:rPr>
                <w:rFonts w:ascii="宋体" w:eastAsia="宋体" w:hAnsi="宋体" w:cs="宋体" w:hint="eastAsia"/>
                <w:sz w:val="18"/>
                <w:szCs w:val="18"/>
              </w:rPr>
            </w:pPr>
            <w:r>
              <w:rPr>
                <w:rFonts w:ascii="宋体" w:eastAsia="宋体" w:hAnsi="宋体" w:cs="宋体"/>
                <w:sz w:val="18"/>
                <w:szCs w:val="18"/>
              </w:rPr>
              <w:t>截至2024年12月31日，“年产 600 吨光纤预制棒智能制造项目”的厂房基建工程、环保系统、供料系统、供电系统等配套工程已完工。由于受行业大环境不景气的影响，设备调试进度不达预期，尚未达到正式使用状态。</w:t>
            </w:r>
          </w:p>
        </w:tc>
      </w:tr>
      <w:tr w:rsidR="00632E5B" w14:paraId="73ACAE25" w14:textId="77777777" w:rsidTr="00B1577B">
        <w:trPr>
          <w:trHeight w:val="240"/>
        </w:trPr>
        <w:tc>
          <w:tcPr>
            <w:tcW w:w="3739"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2B6C675"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变更后的项目可行性发生重大变化的情况说明</w:t>
            </w:r>
          </w:p>
        </w:tc>
        <w:tc>
          <w:tcPr>
            <w:tcW w:w="10357" w:type="dxa"/>
            <w:gridSpan w:val="10"/>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8E8525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bl>
    <w:p w14:paraId="38F5D214" w14:textId="77777777" w:rsidR="00A60474" w:rsidRDefault="00A60474">
      <w:pPr>
        <w:pStyle w:val="2"/>
        <w:spacing w:before="300" w:after="300" w:line="320" w:lineRule="exact"/>
        <w:rPr>
          <w:rFonts w:ascii="宋体" w:eastAsia="宋体" w:hAnsi="宋体" w:cs="宋体" w:hint="eastAsia"/>
          <w:b/>
          <w:bCs/>
          <w:sz w:val="24"/>
          <w:szCs w:val="24"/>
        </w:rPr>
        <w:sectPr w:rsidR="00A60474" w:rsidSect="00E90C20">
          <w:pgSz w:w="16840" w:h="11905" w:orient="landscape"/>
          <w:pgMar w:top="1134" w:right="1440" w:bottom="1134" w:left="1440" w:header="851" w:footer="992" w:gutter="0"/>
          <w:cols w:space="720"/>
          <w:docGrid w:type="lines" w:linePitch="312"/>
        </w:sectPr>
      </w:pPr>
      <w:bookmarkStart w:id="47" w:name="_Toc988936"/>
    </w:p>
    <w:p w14:paraId="42A1C504" w14:textId="0D16A648" w:rsidR="00632E5B" w:rsidRDefault="00107901">
      <w:pPr>
        <w:pStyle w:val="2"/>
        <w:spacing w:before="300" w:after="300" w:line="320" w:lineRule="exact"/>
        <w:rPr>
          <w:rFonts w:ascii="宋体" w:eastAsia="宋体" w:hAnsi="宋体" w:cs="宋体" w:hint="eastAsia"/>
          <w:b/>
          <w:bCs/>
          <w:sz w:val="24"/>
          <w:szCs w:val="24"/>
        </w:rPr>
      </w:pPr>
      <w:r>
        <w:rPr>
          <w:rFonts w:ascii="宋体" w:eastAsia="宋体" w:hAnsi="宋体" w:cs="宋体"/>
          <w:b/>
          <w:bCs/>
          <w:sz w:val="24"/>
          <w:szCs w:val="24"/>
        </w:rPr>
        <w:lastRenderedPageBreak/>
        <w:t>八、重大资产和股权出售</w:t>
      </w:r>
      <w:bookmarkEnd w:id="47"/>
    </w:p>
    <w:p w14:paraId="531002CB" w14:textId="77777777" w:rsidR="00632E5B" w:rsidRDefault="00107901">
      <w:pPr>
        <w:pStyle w:val="3"/>
        <w:spacing w:line="280" w:lineRule="exact"/>
        <w:jc w:val="left"/>
        <w:rPr>
          <w:rFonts w:ascii="宋体" w:hAnsi="宋体" w:cs="宋体" w:hint="eastAsia"/>
          <w:b/>
          <w:bCs/>
        </w:rPr>
      </w:pPr>
      <w:bookmarkStart w:id="48" w:name="_Toc988937"/>
      <w:r>
        <w:rPr>
          <w:rFonts w:ascii="宋体" w:hAnsi="宋体" w:cs="宋体"/>
          <w:b/>
          <w:bCs/>
        </w:rPr>
        <w:t>1、出售重大资产情况</w:t>
      </w:r>
      <w:bookmarkEnd w:id="48"/>
    </w:p>
    <w:p w14:paraId="28480582"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6E0804F2"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公司报告期未出售重大资产。</w:t>
      </w:r>
    </w:p>
    <w:p w14:paraId="44B2A502" w14:textId="77777777" w:rsidR="00632E5B" w:rsidRDefault="00107901">
      <w:pPr>
        <w:pStyle w:val="3"/>
        <w:spacing w:line="280" w:lineRule="exact"/>
        <w:jc w:val="left"/>
        <w:rPr>
          <w:rFonts w:ascii="宋体" w:hAnsi="宋体" w:cs="宋体" w:hint="eastAsia"/>
          <w:b/>
          <w:bCs/>
        </w:rPr>
      </w:pPr>
      <w:bookmarkStart w:id="49" w:name="_Toc988938"/>
      <w:r>
        <w:rPr>
          <w:rFonts w:ascii="宋体" w:hAnsi="宋体" w:cs="宋体"/>
          <w:b/>
          <w:bCs/>
        </w:rPr>
        <w:t>2、出售重大股权情况</w:t>
      </w:r>
      <w:bookmarkEnd w:id="49"/>
    </w:p>
    <w:p w14:paraId="1471298D"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5453C84F" w14:textId="77777777" w:rsidR="00632E5B" w:rsidRDefault="00107901">
      <w:pPr>
        <w:pStyle w:val="2"/>
        <w:spacing w:before="300" w:after="300" w:line="320" w:lineRule="exact"/>
        <w:rPr>
          <w:rFonts w:ascii="宋体" w:eastAsia="宋体" w:hAnsi="宋体" w:cs="宋体" w:hint="eastAsia"/>
          <w:b/>
          <w:bCs/>
          <w:sz w:val="24"/>
          <w:szCs w:val="24"/>
        </w:rPr>
      </w:pPr>
      <w:bookmarkStart w:id="50" w:name="_Toc988939"/>
      <w:r>
        <w:rPr>
          <w:rFonts w:ascii="宋体" w:eastAsia="宋体" w:hAnsi="宋体" w:cs="宋体"/>
          <w:b/>
          <w:bCs/>
          <w:sz w:val="24"/>
          <w:szCs w:val="24"/>
        </w:rPr>
        <w:t>九、主要控股参股公司分析</w:t>
      </w:r>
      <w:bookmarkEnd w:id="50"/>
    </w:p>
    <w:p w14:paraId="2D38607B"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66DA2A18"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主要子公司及对公司净利润影响达10%以上的参股公司情况</w:t>
      </w:r>
    </w:p>
    <w:p w14:paraId="5A8DCBA2" w14:textId="77777777" w:rsidR="00632E5B" w:rsidRDefault="00107901">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单位：万元</w:t>
      </w:r>
    </w:p>
    <w:tbl>
      <w:tblPr>
        <w:tblW w:w="995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023"/>
        <w:gridCol w:w="993"/>
        <w:gridCol w:w="992"/>
        <w:gridCol w:w="1134"/>
        <w:gridCol w:w="1134"/>
        <w:gridCol w:w="1276"/>
        <w:gridCol w:w="1134"/>
        <w:gridCol w:w="1134"/>
        <w:gridCol w:w="1134"/>
      </w:tblGrid>
      <w:tr w:rsidR="00632E5B" w14:paraId="1AD80C41" w14:textId="77777777" w:rsidTr="00933E86">
        <w:trPr>
          <w:trHeight w:val="240"/>
          <w:jc w:val="center"/>
        </w:trPr>
        <w:tc>
          <w:tcPr>
            <w:tcW w:w="1023" w:type="dxa"/>
            <w:shd w:val="clear" w:color="auto" w:fill="FFFFFF" w:themeFill="background1"/>
            <w:vAlign w:val="center"/>
          </w:tcPr>
          <w:p w14:paraId="0CC9FBC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公司名称</w:t>
            </w:r>
          </w:p>
        </w:tc>
        <w:tc>
          <w:tcPr>
            <w:tcW w:w="993" w:type="dxa"/>
            <w:shd w:val="clear" w:color="auto" w:fill="FFFFFF" w:themeFill="background1"/>
            <w:vAlign w:val="center"/>
          </w:tcPr>
          <w:p w14:paraId="3BCD4A7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公司类型</w:t>
            </w:r>
          </w:p>
        </w:tc>
        <w:tc>
          <w:tcPr>
            <w:tcW w:w="992" w:type="dxa"/>
            <w:shd w:val="clear" w:color="auto" w:fill="FFFFFF" w:themeFill="background1"/>
            <w:vAlign w:val="center"/>
          </w:tcPr>
          <w:p w14:paraId="4DAEF8D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主要业务</w:t>
            </w:r>
          </w:p>
        </w:tc>
        <w:tc>
          <w:tcPr>
            <w:tcW w:w="1134" w:type="dxa"/>
            <w:shd w:val="clear" w:color="auto" w:fill="FFFFFF" w:themeFill="background1"/>
            <w:vAlign w:val="center"/>
          </w:tcPr>
          <w:p w14:paraId="4C8D5E1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注册资本</w:t>
            </w:r>
          </w:p>
        </w:tc>
        <w:tc>
          <w:tcPr>
            <w:tcW w:w="1134" w:type="dxa"/>
            <w:shd w:val="clear" w:color="auto" w:fill="FFFFFF" w:themeFill="background1"/>
            <w:vAlign w:val="center"/>
          </w:tcPr>
          <w:p w14:paraId="665FA09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总资产</w:t>
            </w:r>
          </w:p>
        </w:tc>
        <w:tc>
          <w:tcPr>
            <w:tcW w:w="1276" w:type="dxa"/>
            <w:shd w:val="clear" w:color="auto" w:fill="FFFFFF" w:themeFill="background1"/>
            <w:vAlign w:val="center"/>
          </w:tcPr>
          <w:p w14:paraId="7DA009C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净资产</w:t>
            </w:r>
          </w:p>
        </w:tc>
        <w:tc>
          <w:tcPr>
            <w:tcW w:w="1134" w:type="dxa"/>
            <w:shd w:val="clear" w:color="auto" w:fill="FFFFFF" w:themeFill="background1"/>
            <w:vAlign w:val="center"/>
          </w:tcPr>
          <w:p w14:paraId="7FA42A7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营业收入</w:t>
            </w:r>
          </w:p>
        </w:tc>
        <w:tc>
          <w:tcPr>
            <w:tcW w:w="1134" w:type="dxa"/>
            <w:shd w:val="clear" w:color="auto" w:fill="FFFFFF" w:themeFill="background1"/>
            <w:vAlign w:val="center"/>
          </w:tcPr>
          <w:p w14:paraId="57FD741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营业利润</w:t>
            </w:r>
          </w:p>
        </w:tc>
        <w:tc>
          <w:tcPr>
            <w:tcW w:w="1134" w:type="dxa"/>
            <w:shd w:val="clear" w:color="auto" w:fill="FFFFFF" w:themeFill="background1"/>
            <w:vAlign w:val="center"/>
          </w:tcPr>
          <w:p w14:paraId="315B690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净利润</w:t>
            </w:r>
          </w:p>
        </w:tc>
      </w:tr>
      <w:tr w:rsidR="00632E5B" w14:paraId="4434505E" w14:textId="77777777" w:rsidTr="00933E86">
        <w:trPr>
          <w:trHeight w:val="240"/>
          <w:jc w:val="center"/>
        </w:trPr>
        <w:tc>
          <w:tcPr>
            <w:tcW w:w="1023" w:type="dxa"/>
            <w:shd w:val="clear" w:color="auto" w:fill="FFFFFF" w:themeFill="background1"/>
            <w:vAlign w:val="center"/>
          </w:tcPr>
          <w:p w14:paraId="6D5AD8A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腾晖光伏</w:t>
            </w:r>
          </w:p>
        </w:tc>
        <w:tc>
          <w:tcPr>
            <w:tcW w:w="993" w:type="dxa"/>
            <w:shd w:val="clear" w:color="auto" w:fill="FFFFFF" w:themeFill="background1"/>
            <w:vAlign w:val="center"/>
          </w:tcPr>
          <w:p w14:paraId="5135691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子公司</w:t>
            </w:r>
          </w:p>
        </w:tc>
        <w:tc>
          <w:tcPr>
            <w:tcW w:w="992" w:type="dxa"/>
            <w:shd w:val="clear" w:color="auto" w:fill="FFFFFF" w:themeFill="background1"/>
            <w:vAlign w:val="center"/>
          </w:tcPr>
          <w:p w14:paraId="090E421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光伏发电</w:t>
            </w:r>
          </w:p>
        </w:tc>
        <w:tc>
          <w:tcPr>
            <w:tcW w:w="1134" w:type="dxa"/>
            <w:shd w:val="clear" w:color="auto" w:fill="FFFFFF" w:themeFill="background1"/>
            <w:vAlign w:val="center"/>
          </w:tcPr>
          <w:p w14:paraId="030A7448" w14:textId="30BC3C81" w:rsidR="00632E5B" w:rsidRDefault="00C848C2">
            <w:pPr>
              <w:spacing w:line="240" w:lineRule="exact"/>
              <w:rPr>
                <w:rFonts w:ascii="宋体" w:eastAsia="宋体" w:hAnsi="宋体" w:cs="宋体" w:hint="eastAsia"/>
                <w:sz w:val="18"/>
                <w:szCs w:val="18"/>
              </w:rPr>
            </w:pPr>
            <w:r>
              <w:rPr>
                <w:rFonts w:ascii="宋体" w:eastAsia="宋体" w:hAnsi="宋体" w:cs="宋体"/>
                <w:sz w:val="18"/>
                <w:szCs w:val="18"/>
              </w:rPr>
              <w:t>456,235.58</w:t>
            </w:r>
          </w:p>
        </w:tc>
        <w:tc>
          <w:tcPr>
            <w:tcW w:w="1134" w:type="dxa"/>
            <w:shd w:val="clear" w:color="auto" w:fill="FFFFFF" w:themeFill="background1"/>
            <w:vAlign w:val="center"/>
          </w:tcPr>
          <w:p w14:paraId="431B8E4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98,571.06</w:t>
            </w:r>
          </w:p>
        </w:tc>
        <w:tc>
          <w:tcPr>
            <w:tcW w:w="1276" w:type="dxa"/>
            <w:shd w:val="clear" w:color="auto" w:fill="FFFFFF" w:themeFill="background1"/>
            <w:vAlign w:val="center"/>
          </w:tcPr>
          <w:p w14:paraId="132EF6E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-166,238.11</w:t>
            </w:r>
          </w:p>
        </w:tc>
        <w:tc>
          <w:tcPr>
            <w:tcW w:w="1134" w:type="dxa"/>
            <w:shd w:val="clear" w:color="auto" w:fill="FFFFFF" w:themeFill="background1"/>
            <w:vAlign w:val="center"/>
          </w:tcPr>
          <w:p w14:paraId="0BC26E4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80,426.58</w:t>
            </w:r>
          </w:p>
        </w:tc>
        <w:tc>
          <w:tcPr>
            <w:tcW w:w="1134" w:type="dxa"/>
            <w:shd w:val="clear" w:color="auto" w:fill="FFFFFF" w:themeFill="background1"/>
            <w:vAlign w:val="center"/>
          </w:tcPr>
          <w:p w14:paraId="3D0D97B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-81,955.09</w:t>
            </w:r>
          </w:p>
        </w:tc>
        <w:tc>
          <w:tcPr>
            <w:tcW w:w="1134" w:type="dxa"/>
            <w:shd w:val="clear" w:color="auto" w:fill="FFFFFF" w:themeFill="background1"/>
            <w:vAlign w:val="center"/>
          </w:tcPr>
          <w:p w14:paraId="4D83613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-93,196.27</w:t>
            </w:r>
          </w:p>
        </w:tc>
      </w:tr>
      <w:tr w:rsidR="00632E5B" w14:paraId="38C3905C" w14:textId="77777777" w:rsidTr="00933E86">
        <w:trPr>
          <w:trHeight w:val="240"/>
          <w:jc w:val="center"/>
        </w:trPr>
        <w:tc>
          <w:tcPr>
            <w:tcW w:w="1023" w:type="dxa"/>
            <w:shd w:val="clear" w:color="auto" w:fill="FFFFFF" w:themeFill="background1"/>
            <w:vAlign w:val="center"/>
          </w:tcPr>
          <w:p w14:paraId="25FC0F8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青海中利</w:t>
            </w:r>
          </w:p>
        </w:tc>
        <w:tc>
          <w:tcPr>
            <w:tcW w:w="993" w:type="dxa"/>
            <w:shd w:val="clear" w:color="auto" w:fill="FFFFFF" w:themeFill="background1"/>
            <w:vAlign w:val="center"/>
          </w:tcPr>
          <w:p w14:paraId="51EB63D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子公司</w:t>
            </w:r>
          </w:p>
        </w:tc>
        <w:tc>
          <w:tcPr>
            <w:tcW w:w="992" w:type="dxa"/>
            <w:shd w:val="clear" w:color="auto" w:fill="FFFFFF" w:themeFill="background1"/>
            <w:vAlign w:val="center"/>
          </w:tcPr>
          <w:p w14:paraId="4E60F2E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光纤光棒</w:t>
            </w:r>
          </w:p>
        </w:tc>
        <w:tc>
          <w:tcPr>
            <w:tcW w:w="1134" w:type="dxa"/>
            <w:shd w:val="clear" w:color="auto" w:fill="FFFFFF" w:themeFill="background1"/>
            <w:vAlign w:val="center"/>
          </w:tcPr>
          <w:p w14:paraId="7852BD8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82,211.25</w:t>
            </w:r>
          </w:p>
        </w:tc>
        <w:tc>
          <w:tcPr>
            <w:tcW w:w="1134" w:type="dxa"/>
            <w:shd w:val="clear" w:color="auto" w:fill="FFFFFF" w:themeFill="background1"/>
            <w:vAlign w:val="center"/>
          </w:tcPr>
          <w:p w14:paraId="193D3CA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49,148.98</w:t>
            </w:r>
          </w:p>
        </w:tc>
        <w:tc>
          <w:tcPr>
            <w:tcW w:w="1276" w:type="dxa"/>
            <w:shd w:val="clear" w:color="auto" w:fill="FFFFFF" w:themeFill="background1"/>
            <w:vAlign w:val="center"/>
          </w:tcPr>
          <w:p w14:paraId="5D4BD80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1,724.05</w:t>
            </w:r>
          </w:p>
        </w:tc>
        <w:tc>
          <w:tcPr>
            <w:tcW w:w="1134" w:type="dxa"/>
            <w:shd w:val="clear" w:color="auto" w:fill="FFFFFF" w:themeFill="background1"/>
            <w:vAlign w:val="center"/>
          </w:tcPr>
          <w:p w14:paraId="41AAB7A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6,288.42</w:t>
            </w:r>
          </w:p>
        </w:tc>
        <w:tc>
          <w:tcPr>
            <w:tcW w:w="1134" w:type="dxa"/>
            <w:shd w:val="clear" w:color="auto" w:fill="FFFFFF" w:themeFill="background1"/>
            <w:vAlign w:val="center"/>
          </w:tcPr>
          <w:p w14:paraId="4D54E70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-46,898.55</w:t>
            </w:r>
          </w:p>
        </w:tc>
        <w:tc>
          <w:tcPr>
            <w:tcW w:w="1134" w:type="dxa"/>
            <w:shd w:val="clear" w:color="auto" w:fill="FFFFFF" w:themeFill="background1"/>
            <w:vAlign w:val="center"/>
          </w:tcPr>
          <w:p w14:paraId="4D2FAB1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-47,010.65</w:t>
            </w:r>
          </w:p>
        </w:tc>
      </w:tr>
    </w:tbl>
    <w:p w14:paraId="4185EEB1"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报告期内取得和处置子公司的情况</w:t>
      </w:r>
    </w:p>
    <w:p w14:paraId="4A22CAE6"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892"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466"/>
        <w:gridCol w:w="3213"/>
        <w:gridCol w:w="3213"/>
      </w:tblGrid>
      <w:tr w:rsidR="00632E5B" w14:paraId="7F2F6CBC" w14:textId="77777777" w:rsidTr="00933E86">
        <w:trPr>
          <w:trHeight w:val="597"/>
        </w:trPr>
        <w:tc>
          <w:tcPr>
            <w:tcW w:w="3466" w:type="dxa"/>
            <w:shd w:val="clear" w:color="auto" w:fill="FFFFFF" w:themeFill="background1"/>
            <w:vAlign w:val="center"/>
          </w:tcPr>
          <w:p w14:paraId="33CEC82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公司名称</w:t>
            </w:r>
          </w:p>
        </w:tc>
        <w:tc>
          <w:tcPr>
            <w:tcW w:w="3213" w:type="dxa"/>
            <w:shd w:val="clear" w:color="auto" w:fill="FFFFFF" w:themeFill="background1"/>
            <w:vAlign w:val="center"/>
          </w:tcPr>
          <w:p w14:paraId="1EE1378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报告期内取得和处置子公司方式</w:t>
            </w:r>
          </w:p>
        </w:tc>
        <w:tc>
          <w:tcPr>
            <w:tcW w:w="3213" w:type="dxa"/>
            <w:shd w:val="clear" w:color="auto" w:fill="FFFFFF" w:themeFill="background1"/>
            <w:vAlign w:val="center"/>
          </w:tcPr>
          <w:p w14:paraId="411C8BE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对整体生产经营和业绩的影响</w:t>
            </w:r>
          </w:p>
        </w:tc>
      </w:tr>
      <w:tr w:rsidR="00632E5B" w14:paraId="7AB72B63" w14:textId="77777777" w:rsidTr="00933E86">
        <w:trPr>
          <w:trHeight w:val="240"/>
        </w:trPr>
        <w:tc>
          <w:tcPr>
            <w:tcW w:w="3466" w:type="dxa"/>
            <w:shd w:val="clear" w:color="auto" w:fill="FFFFFF" w:themeFill="background1"/>
            <w:vAlign w:val="center"/>
          </w:tcPr>
          <w:p w14:paraId="596B705E" w14:textId="77777777" w:rsidR="00632E5B" w:rsidRDefault="00107901">
            <w:pPr>
              <w:spacing w:line="240" w:lineRule="exact"/>
              <w:rPr>
                <w:rFonts w:ascii="宋体" w:eastAsia="宋体" w:hAnsi="宋体" w:cs="宋体" w:hint="eastAsia"/>
                <w:sz w:val="18"/>
                <w:szCs w:val="18"/>
              </w:rPr>
            </w:pPr>
            <w:proofErr w:type="spellStart"/>
            <w:r>
              <w:rPr>
                <w:rFonts w:ascii="宋体" w:eastAsia="宋体" w:hAnsi="宋体" w:cs="宋体"/>
                <w:sz w:val="18"/>
                <w:szCs w:val="18"/>
              </w:rPr>
              <w:t>Fattoria</w:t>
            </w:r>
            <w:proofErr w:type="spellEnd"/>
            <w:r>
              <w:rPr>
                <w:rFonts w:ascii="宋体" w:eastAsia="宋体" w:hAnsi="宋体" w:cs="宋体"/>
                <w:sz w:val="18"/>
                <w:szCs w:val="18"/>
              </w:rPr>
              <w:t xml:space="preserve"> Solare Imola </w:t>
            </w:r>
            <w:proofErr w:type="spellStart"/>
            <w:r>
              <w:rPr>
                <w:rFonts w:ascii="宋体" w:eastAsia="宋体" w:hAnsi="宋体" w:cs="宋体"/>
                <w:sz w:val="18"/>
                <w:szCs w:val="18"/>
              </w:rPr>
              <w:t>S.r.l</w:t>
            </w:r>
            <w:proofErr w:type="spellEnd"/>
          </w:p>
        </w:tc>
        <w:tc>
          <w:tcPr>
            <w:tcW w:w="3213" w:type="dxa"/>
            <w:shd w:val="clear" w:color="auto" w:fill="FFFFFF" w:themeFill="background1"/>
            <w:vAlign w:val="center"/>
          </w:tcPr>
          <w:p w14:paraId="09C29A9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股权转让</w:t>
            </w:r>
          </w:p>
        </w:tc>
        <w:tc>
          <w:tcPr>
            <w:tcW w:w="3213" w:type="dxa"/>
            <w:shd w:val="clear" w:color="auto" w:fill="FFFFFF" w:themeFill="background1"/>
            <w:vAlign w:val="center"/>
          </w:tcPr>
          <w:p w14:paraId="09B187E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5E6D2CD5" w14:textId="77777777" w:rsidTr="00933E86">
        <w:trPr>
          <w:trHeight w:val="240"/>
        </w:trPr>
        <w:tc>
          <w:tcPr>
            <w:tcW w:w="3466" w:type="dxa"/>
            <w:shd w:val="clear" w:color="auto" w:fill="FFFFFF" w:themeFill="background1"/>
            <w:vAlign w:val="center"/>
          </w:tcPr>
          <w:p w14:paraId="600874F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越南利星科技有限公司</w:t>
            </w:r>
          </w:p>
        </w:tc>
        <w:tc>
          <w:tcPr>
            <w:tcW w:w="3213" w:type="dxa"/>
            <w:shd w:val="clear" w:color="auto" w:fill="FFFFFF" w:themeFill="background1"/>
            <w:vAlign w:val="center"/>
          </w:tcPr>
          <w:p w14:paraId="3F7B24A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新设</w:t>
            </w:r>
          </w:p>
        </w:tc>
        <w:tc>
          <w:tcPr>
            <w:tcW w:w="3213" w:type="dxa"/>
            <w:shd w:val="clear" w:color="auto" w:fill="FFFFFF" w:themeFill="background1"/>
            <w:vAlign w:val="center"/>
          </w:tcPr>
          <w:p w14:paraId="723B0CF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7167585D" w14:textId="77777777" w:rsidTr="00933E86">
        <w:trPr>
          <w:trHeight w:val="240"/>
        </w:trPr>
        <w:tc>
          <w:tcPr>
            <w:tcW w:w="3466" w:type="dxa"/>
            <w:shd w:val="clear" w:color="auto" w:fill="FFFFFF" w:themeFill="background1"/>
            <w:vAlign w:val="center"/>
          </w:tcPr>
          <w:p w14:paraId="1D5DBDC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东莞市中利特种电缆材料有限公司</w:t>
            </w:r>
          </w:p>
        </w:tc>
        <w:tc>
          <w:tcPr>
            <w:tcW w:w="3213" w:type="dxa"/>
            <w:shd w:val="clear" w:color="auto" w:fill="FFFFFF" w:themeFill="background1"/>
            <w:vAlign w:val="center"/>
          </w:tcPr>
          <w:p w14:paraId="304618F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注销</w:t>
            </w:r>
          </w:p>
        </w:tc>
        <w:tc>
          <w:tcPr>
            <w:tcW w:w="3213" w:type="dxa"/>
            <w:shd w:val="clear" w:color="auto" w:fill="FFFFFF" w:themeFill="background1"/>
            <w:vAlign w:val="center"/>
          </w:tcPr>
          <w:p w14:paraId="0C3892E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36B6A66E" w14:textId="77777777" w:rsidTr="00933E86">
        <w:trPr>
          <w:trHeight w:val="240"/>
        </w:trPr>
        <w:tc>
          <w:tcPr>
            <w:tcW w:w="3466" w:type="dxa"/>
            <w:shd w:val="clear" w:color="auto" w:fill="FFFFFF" w:themeFill="background1"/>
            <w:vAlign w:val="center"/>
          </w:tcPr>
          <w:p w14:paraId="24B5E27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湖州昊晖生态养殖有限公司</w:t>
            </w:r>
          </w:p>
        </w:tc>
        <w:tc>
          <w:tcPr>
            <w:tcW w:w="3213" w:type="dxa"/>
            <w:shd w:val="clear" w:color="auto" w:fill="FFFFFF" w:themeFill="background1"/>
            <w:vAlign w:val="center"/>
          </w:tcPr>
          <w:p w14:paraId="70BCF03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注销</w:t>
            </w:r>
          </w:p>
        </w:tc>
        <w:tc>
          <w:tcPr>
            <w:tcW w:w="3213" w:type="dxa"/>
            <w:shd w:val="clear" w:color="auto" w:fill="FFFFFF" w:themeFill="background1"/>
            <w:vAlign w:val="center"/>
          </w:tcPr>
          <w:p w14:paraId="1B58BF7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4B800C01" w14:textId="77777777" w:rsidTr="00933E86">
        <w:trPr>
          <w:trHeight w:val="240"/>
        </w:trPr>
        <w:tc>
          <w:tcPr>
            <w:tcW w:w="3466" w:type="dxa"/>
            <w:shd w:val="clear" w:color="auto" w:fill="FFFFFF" w:themeFill="background1"/>
            <w:vAlign w:val="center"/>
          </w:tcPr>
          <w:p w14:paraId="181B8E2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苏州腾晖华晟电力技术有限公司</w:t>
            </w:r>
          </w:p>
        </w:tc>
        <w:tc>
          <w:tcPr>
            <w:tcW w:w="3213" w:type="dxa"/>
            <w:shd w:val="clear" w:color="auto" w:fill="FFFFFF" w:themeFill="background1"/>
            <w:vAlign w:val="center"/>
          </w:tcPr>
          <w:p w14:paraId="7429068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注销</w:t>
            </w:r>
          </w:p>
        </w:tc>
        <w:tc>
          <w:tcPr>
            <w:tcW w:w="3213" w:type="dxa"/>
            <w:shd w:val="clear" w:color="auto" w:fill="FFFFFF" w:themeFill="background1"/>
            <w:vAlign w:val="center"/>
          </w:tcPr>
          <w:p w14:paraId="64EBF76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5A8EA972" w14:textId="77777777" w:rsidTr="00933E86">
        <w:trPr>
          <w:trHeight w:val="240"/>
        </w:trPr>
        <w:tc>
          <w:tcPr>
            <w:tcW w:w="3466" w:type="dxa"/>
            <w:shd w:val="clear" w:color="auto" w:fill="FFFFFF" w:themeFill="background1"/>
            <w:vAlign w:val="center"/>
          </w:tcPr>
          <w:p w14:paraId="0A59626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苏州腾晖通安电力技术有限公司</w:t>
            </w:r>
          </w:p>
        </w:tc>
        <w:tc>
          <w:tcPr>
            <w:tcW w:w="3213" w:type="dxa"/>
            <w:shd w:val="clear" w:color="auto" w:fill="FFFFFF" w:themeFill="background1"/>
            <w:vAlign w:val="center"/>
          </w:tcPr>
          <w:p w14:paraId="22219DD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注销</w:t>
            </w:r>
          </w:p>
        </w:tc>
        <w:tc>
          <w:tcPr>
            <w:tcW w:w="3213" w:type="dxa"/>
            <w:shd w:val="clear" w:color="auto" w:fill="FFFFFF" w:themeFill="background1"/>
            <w:vAlign w:val="center"/>
          </w:tcPr>
          <w:p w14:paraId="7EB0AAA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0E1A2A7F" w14:textId="77777777" w:rsidTr="00933E86">
        <w:trPr>
          <w:trHeight w:val="240"/>
        </w:trPr>
        <w:tc>
          <w:tcPr>
            <w:tcW w:w="3466" w:type="dxa"/>
            <w:shd w:val="clear" w:color="auto" w:fill="FFFFFF" w:themeFill="background1"/>
            <w:vAlign w:val="center"/>
          </w:tcPr>
          <w:p w14:paraId="2E0754D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苏州腾晖华耀电力技术有限公司</w:t>
            </w:r>
          </w:p>
        </w:tc>
        <w:tc>
          <w:tcPr>
            <w:tcW w:w="3213" w:type="dxa"/>
            <w:shd w:val="clear" w:color="auto" w:fill="FFFFFF" w:themeFill="background1"/>
            <w:vAlign w:val="center"/>
          </w:tcPr>
          <w:p w14:paraId="6A4F124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注销</w:t>
            </w:r>
          </w:p>
        </w:tc>
        <w:tc>
          <w:tcPr>
            <w:tcW w:w="3213" w:type="dxa"/>
            <w:shd w:val="clear" w:color="auto" w:fill="FFFFFF" w:themeFill="background1"/>
            <w:vAlign w:val="center"/>
          </w:tcPr>
          <w:p w14:paraId="767C000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45878D1F" w14:textId="77777777" w:rsidTr="00933E86">
        <w:trPr>
          <w:trHeight w:val="240"/>
        </w:trPr>
        <w:tc>
          <w:tcPr>
            <w:tcW w:w="3466" w:type="dxa"/>
            <w:shd w:val="clear" w:color="auto" w:fill="FFFFFF" w:themeFill="background1"/>
            <w:vAlign w:val="center"/>
          </w:tcPr>
          <w:p w14:paraId="1CDCF9B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常熟腾晖能投光伏发电有限公司</w:t>
            </w:r>
          </w:p>
        </w:tc>
        <w:tc>
          <w:tcPr>
            <w:tcW w:w="3213" w:type="dxa"/>
            <w:shd w:val="clear" w:color="auto" w:fill="FFFFFF" w:themeFill="background1"/>
            <w:vAlign w:val="center"/>
          </w:tcPr>
          <w:p w14:paraId="6464C86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注销</w:t>
            </w:r>
          </w:p>
        </w:tc>
        <w:tc>
          <w:tcPr>
            <w:tcW w:w="3213" w:type="dxa"/>
            <w:shd w:val="clear" w:color="auto" w:fill="FFFFFF" w:themeFill="background1"/>
            <w:vAlign w:val="center"/>
          </w:tcPr>
          <w:p w14:paraId="096A13D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1EAB0E07" w14:textId="77777777" w:rsidTr="00933E86">
        <w:trPr>
          <w:trHeight w:val="240"/>
        </w:trPr>
        <w:tc>
          <w:tcPr>
            <w:tcW w:w="3466" w:type="dxa"/>
            <w:shd w:val="clear" w:color="auto" w:fill="FFFFFF" w:themeFill="background1"/>
            <w:vAlign w:val="center"/>
          </w:tcPr>
          <w:p w14:paraId="7C3DC7A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重庆腾晖能投新能源有限公司</w:t>
            </w:r>
          </w:p>
        </w:tc>
        <w:tc>
          <w:tcPr>
            <w:tcW w:w="3213" w:type="dxa"/>
            <w:shd w:val="clear" w:color="auto" w:fill="FFFFFF" w:themeFill="background1"/>
            <w:vAlign w:val="center"/>
          </w:tcPr>
          <w:p w14:paraId="6922743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注销</w:t>
            </w:r>
          </w:p>
        </w:tc>
        <w:tc>
          <w:tcPr>
            <w:tcW w:w="3213" w:type="dxa"/>
            <w:shd w:val="clear" w:color="auto" w:fill="FFFFFF" w:themeFill="background1"/>
            <w:vAlign w:val="center"/>
          </w:tcPr>
          <w:p w14:paraId="69D154B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5B59535B" w14:textId="77777777" w:rsidTr="00933E86">
        <w:trPr>
          <w:trHeight w:val="240"/>
        </w:trPr>
        <w:tc>
          <w:tcPr>
            <w:tcW w:w="3466" w:type="dxa"/>
            <w:shd w:val="clear" w:color="auto" w:fill="FFFFFF" w:themeFill="background1"/>
            <w:vAlign w:val="center"/>
          </w:tcPr>
          <w:p w14:paraId="2345E27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苏州腾晖科能电力技术有限公司</w:t>
            </w:r>
          </w:p>
        </w:tc>
        <w:tc>
          <w:tcPr>
            <w:tcW w:w="3213" w:type="dxa"/>
            <w:shd w:val="clear" w:color="auto" w:fill="FFFFFF" w:themeFill="background1"/>
            <w:vAlign w:val="center"/>
          </w:tcPr>
          <w:p w14:paraId="4B0D7A0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注销</w:t>
            </w:r>
          </w:p>
        </w:tc>
        <w:tc>
          <w:tcPr>
            <w:tcW w:w="3213" w:type="dxa"/>
            <w:shd w:val="clear" w:color="auto" w:fill="FFFFFF" w:themeFill="background1"/>
            <w:vAlign w:val="center"/>
          </w:tcPr>
          <w:p w14:paraId="5F0EF1A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47606820" w14:textId="77777777" w:rsidTr="00933E86">
        <w:trPr>
          <w:trHeight w:val="240"/>
        </w:trPr>
        <w:tc>
          <w:tcPr>
            <w:tcW w:w="3466" w:type="dxa"/>
            <w:shd w:val="clear" w:color="auto" w:fill="FFFFFF" w:themeFill="background1"/>
            <w:vAlign w:val="center"/>
          </w:tcPr>
          <w:p w14:paraId="0CDFB30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常熟创成光伏电站开发有限公司</w:t>
            </w:r>
          </w:p>
        </w:tc>
        <w:tc>
          <w:tcPr>
            <w:tcW w:w="3213" w:type="dxa"/>
            <w:shd w:val="clear" w:color="auto" w:fill="FFFFFF" w:themeFill="background1"/>
            <w:vAlign w:val="center"/>
          </w:tcPr>
          <w:p w14:paraId="7CE4261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注销</w:t>
            </w:r>
          </w:p>
        </w:tc>
        <w:tc>
          <w:tcPr>
            <w:tcW w:w="3213" w:type="dxa"/>
            <w:shd w:val="clear" w:color="auto" w:fill="FFFFFF" w:themeFill="background1"/>
            <w:vAlign w:val="center"/>
          </w:tcPr>
          <w:p w14:paraId="5796985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75DBE31B" w14:textId="77777777" w:rsidTr="00933E86">
        <w:trPr>
          <w:trHeight w:val="240"/>
        </w:trPr>
        <w:tc>
          <w:tcPr>
            <w:tcW w:w="3466" w:type="dxa"/>
            <w:shd w:val="clear" w:color="auto" w:fill="FFFFFF" w:themeFill="background1"/>
            <w:vAlign w:val="center"/>
          </w:tcPr>
          <w:p w14:paraId="588777E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常熟明拓光伏电站开发有限公司</w:t>
            </w:r>
          </w:p>
        </w:tc>
        <w:tc>
          <w:tcPr>
            <w:tcW w:w="3213" w:type="dxa"/>
            <w:shd w:val="clear" w:color="auto" w:fill="FFFFFF" w:themeFill="background1"/>
            <w:vAlign w:val="center"/>
          </w:tcPr>
          <w:p w14:paraId="600ECDE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注销</w:t>
            </w:r>
          </w:p>
        </w:tc>
        <w:tc>
          <w:tcPr>
            <w:tcW w:w="3213" w:type="dxa"/>
            <w:shd w:val="clear" w:color="auto" w:fill="FFFFFF" w:themeFill="background1"/>
            <w:vAlign w:val="center"/>
          </w:tcPr>
          <w:p w14:paraId="32FED91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50639942" w14:textId="77777777" w:rsidTr="00933E86">
        <w:trPr>
          <w:trHeight w:val="240"/>
        </w:trPr>
        <w:tc>
          <w:tcPr>
            <w:tcW w:w="3466" w:type="dxa"/>
            <w:shd w:val="clear" w:color="auto" w:fill="FFFFFF" w:themeFill="background1"/>
            <w:vAlign w:val="center"/>
          </w:tcPr>
          <w:p w14:paraId="0FA47E2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宿迁和曦新能源有限公司</w:t>
            </w:r>
          </w:p>
        </w:tc>
        <w:tc>
          <w:tcPr>
            <w:tcW w:w="3213" w:type="dxa"/>
            <w:shd w:val="clear" w:color="auto" w:fill="FFFFFF" w:themeFill="background1"/>
            <w:vAlign w:val="center"/>
          </w:tcPr>
          <w:p w14:paraId="3488045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注销</w:t>
            </w:r>
          </w:p>
        </w:tc>
        <w:tc>
          <w:tcPr>
            <w:tcW w:w="3213" w:type="dxa"/>
            <w:shd w:val="clear" w:color="auto" w:fill="FFFFFF" w:themeFill="background1"/>
            <w:vAlign w:val="center"/>
          </w:tcPr>
          <w:p w14:paraId="611A7E1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4A8B71F5" w14:textId="77777777" w:rsidTr="00933E86">
        <w:trPr>
          <w:trHeight w:val="240"/>
        </w:trPr>
        <w:tc>
          <w:tcPr>
            <w:tcW w:w="3466" w:type="dxa"/>
            <w:shd w:val="clear" w:color="auto" w:fill="FFFFFF" w:themeFill="background1"/>
            <w:vAlign w:val="center"/>
          </w:tcPr>
          <w:p w14:paraId="17FB6A9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常熟明远光伏电站开发有限公司</w:t>
            </w:r>
          </w:p>
        </w:tc>
        <w:tc>
          <w:tcPr>
            <w:tcW w:w="3213" w:type="dxa"/>
            <w:shd w:val="clear" w:color="auto" w:fill="FFFFFF" w:themeFill="background1"/>
            <w:vAlign w:val="center"/>
          </w:tcPr>
          <w:p w14:paraId="2334249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注销</w:t>
            </w:r>
          </w:p>
        </w:tc>
        <w:tc>
          <w:tcPr>
            <w:tcW w:w="3213" w:type="dxa"/>
            <w:shd w:val="clear" w:color="auto" w:fill="FFFFFF" w:themeFill="background1"/>
            <w:vAlign w:val="center"/>
          </w:tcPr>
          <w:p w14:paraId="226CFF5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3405982D" w14:textId="77777777" w:rsidTr="00933E86">
        <w:trPr>
          <w:trHeight w:val="240"/>
        </w:trPr>
        <w:tc>
          <w:tcPr>
            <w:tcW w:w="3466" w:type="dxa"/>
            <w:shd w:val="clear" w:color="auto" w:fill="FFFFFF" w:themeFill="background1"/>
            <w:vAlign w:val="center"/>
          </w:tcPr>
          <w:p w14:paraId="629FB24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宿迁和晨新能源有限公司</w:t>
            </w:r>
          </w:p>
        </w:tc>
        <w:tc>
          <w:tcPr>
            <w:tcW w:w="3213" w:type="dxa"/>
            <w:shd w:val="clear" w:color="auto" w:fill="FFFFFF" w:themeFill="background1"/>
            <w:vAlign w:val="center"/>
          </w:tcPr>
          <w:p w14:paraId="2387F5D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注销</w:t>
            </w:r>
          </w:p>
        </w:tc>
        <w:tc>
          <w:tcPr>
            <w:tcW w:w="3213" w:type="dxa"/>
            <w:shd w:val="clear" w:color="auto" w:fill="FFFFFF" w:themeFill="background1"/>
            <w:vAlign w:val="center"/>
          </w:tcPr>
          <w:p w14:paraId="31EEDF9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42753022" w14:textId="77777777" w:rsidTr="00933E86">
        <w:trPr>
          <w:trHeight w:val="240"/>
        </w:trPr>
        <w:tc>
          <w:tcPr>
            <w:tcW w:w="3466" w:type="dxa"/>
            <w:shd w:val="clear" w:color="auto" w:fill="FFFFFF" w:themeFill="background1"/>
            <w:vAlign w:val="center"/>
          </w:tcPr>
          <w:p w14:paraId="55ABBFC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常熟拓志光伏电站开发有限公司</w:t>
            </w:r>
          </w:p>
        </w:tc>
        <w:tc>
          <w:tcPr>
            <w:tcW w:w="3213" w:type="dxa"/>
            <w:shd w:val="clear" w:color="auto" w:fill="FFFFFF" w:themeFill="background1"/>
            <w:vAlign w:val="center"/>
          </w:tcPr>
          <w:p w14:paraId="38E90F6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注销</w:t>
            </w:r>
          </w:p>
        </w:tc>
        <w:tc>
          <w:tcPr>
            <w:tcW w:w="3213" w:type="dxa"/>
            <w:shd w:val="clear" w:color="auto" w:fill="FFFFFF" w:themeFill="background1"/>
            <w:vAlign w:val="center"/>
          </w:tcPr>
          <w:p w14:paraId="6001DC8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77DE232E" w14:textId="77777777" w:rsidTr="00933E86">
        <w:trPr>
          <w:trHeight w:val="240"/>
        </w:trPr>
        <w:tc>
          <w:tcPr>
            <w:tcW w:w="3466" w:type="dxa"/>
            <w:shd w:val="clear" w:color="auto" w:fill="FFFFFF" w:themeFill="background1"/>
            <w:vAlign w:val="center"/>
          </w:tcPr>
          <w:p w14:paraId="24C4581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常熟诚明光伏电站开发有限公司</w:t>
            </w:r>
          </w:p>
        </w:tc>
        <w:tc>
          <w:tcPr>
            <w:tcW w:w="3213" w:type="dxa"/>
            <w:shd w:val="clear" w:color="auto" w:fill="FFFFFF" w:themeFill="background1"/>
            <w:vAlign w:val="center"/>
          </w:tcPr>
          <w:p w14:paraId="1B73B4E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注销</w:t>
            </w:r>
          </w:p>
        </w:tc>
        <w:tc>
          <w:tcPr>
            <w:tcW w:w="3213" w:type="dxa"/>
            <w:shd w:val="clear" w:color="auto" w:fill="FFFFFF" w:themeFill="background1"/>
            <w:vAlign w:val="center"/>
          </w:tcPr>
          <w:p w14:paraId="40F0FB1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549529CE" w14:textId="77777777" w:rsidTr="00933E86">
        <w:trPr>
          <w:trHeight w:val="240"/>
        </w:trPr>
        <w:tc>
          <w:tcPr>
            <w:tcW w:w="3466" w:type="dxa"/>
            <w:shd w:val="clear" w:color="auto" w:fill="FFFFFF" w:themeFill="background1"/>
            <w:vAlign w:val="center"/>
          </w:tcPr>
          <w:p w14:paraId="1FF89CE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常熟诚丰光伏电站开发有限公司</w:t>
            </w:r>
          </w:p>
        </w:tc>
        <w:tc>
          <w:tcPr>
            <w:tcW w:w="3213" w:type="dxa"/>
            <w:shd w:val="clear" w:color="auto" w:fill="FFFFFF" w:themeFill="background1"/>
            <w:vAlign w:val="center"/>
          </w:tcPr>
          <w:p w14:paraId="1FA7900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注销</w:t>
            </w:r>
          </w:p>
        </w:tc>
        <w:tc>
          <w:tcPr>
            <w:tcW w:w="3213" w:type="dxa"/>
            <w:shd w:val="clear" w:color="auto" w:fill="FFFFFF" w:themeFill="background1"/>
            <w:vAlign w:val="center"/>
          </w:tcPr>
          <w:p w14:paraId="7A4C1A2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738A45CD" w14:textId="77777777" w:rsidTr="00933E86">
        <w:trPr>
          <w:trHeight w:val="240"/>
        </w:trPr>
        <w:tc>
          <w:tcPr>
            <w:tcW w:w="3466" w:type="dxa"/>
            <w:shd w:val="clear" w:color="auto" w:fill="FFFFFF" w:themeFill="background1"/>
            <w:vAlign w:val="center"/>
          </w:tcPr>
          <w:p w14:paraId="7971AE9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河南腾晖家能新能源有限公司</w:t>
            </w:r>
          </w:p>
        </w:tc>
        <w:tc>
          <w:tcPr>
            <w:tcW w:w="3213" w:type="dxa"/>
            <w:shd w:val="clear" w:color="auto" w:fill="FFFFFF" w:themeFill="background1"/>
            <w:vAlign w:val="center"/>
          </w:tcPr>
          <w:p w14:paraId="19446A4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注销</w:t>
            </w:r>
          </w:p>
        </w:tc>
        <w:tc>
          <w:tcPr>
            <w:tcW w:w="3213" w:type="dxa"/>
            <w:shd w:val="clear" w:color="auto" w:fill="FFFFFF" w:themeFill="background1"/>
            <w:vAlign w:val="center"/>
          </w:tcPr>
          <w:p w14:paraId="70AE8DF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24203284" w14:textId="77777777" w:rsidTr="00933E86">
        <w:trPr>
          <w:trHeight w:val="240"/>
        </w:trPr>
        <w:tc>
          <w:tcPr>
            <w:tcW w:w="3466" w:type="dxa"/>
            <w:shd w:val="clear" w:color="auto" w:fill="FFFFFF" w:themeFill="background1"/>
            <w:vAlign w:val="center"/>
          </w:tcPr>
          <w:p w14:paraId="1AA4C57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TS SOLAR SPAIN A.G.</w:t>
            </w:r>
          </w:p>
        </w:tc>
        <w:tc>
          <w:tcPr>
            <w:tcW w:w="3213" w:type="dxa"/>
            <w:shd w:val="clear" w:color="auto" w:fill="FFFFFF" w:themeFill="background1"/>
            <w:vAlign w:val="center"/>
          </w:tcPr>
          <w:p w14:paraId="3E38CAD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注销</w:t>
            </w:r>
          </w:p>
        </w:tc>
        <w:tc>
          <w:tcPr>
            <w:tcW w:w="3213" w:type="dxa"/>
            <w:shd w:val="clear" w:color="auto" w:fill="FFFFFF" w:themeFill="background1"/>
            <w:vAlign w:val="center"/>
          </w:tcPr>
          <w:p w14:paraId="23CA54B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7ED81F0F" w14:textId="77777777" w:rsidTr="00933E86">
        <w:trPr>
          <w:trHeight w:val="240"/>
        </w:trPr>
        <w:tc>
          <w:tcPr>
            <w:tcW w:w="3466" w:type="dxa"/>
            <w:shd w:val="clear" w:color="auto" w:fill="FFFFFF" w:themeFill="background1"/>
            <w:vAlign w:val="center"/>
          </w:tcPr>
          <w:p w14:paraId="023EC37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TS SOLAR ALFA SRL</w:t>
            </w:r>
          </w:p>
        </w:tc>
        <w:tc>
          <w:tcPr>
            <w:tcW w:w="3213" w:type="dxa"/>
            <w:shd w:val="clear" w:color="auto" w:fill="FFFFFF" w:themeFill="background1"/>
            <w:vAlign w:val="center"/>
          </w:tcPr>
          <w:p w14:paraId="3CDDEAC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注销</w:t>
            </w:r>
          </w:p>
        </w:tc>
        <w:tc>
          <w:tcPr>
            <w:tcW w:w="3213" w:type="dxa"/>
            <w:shd w:val="clear" w:color="auto" w:fill="FFFFFF" w:themeFill="background1"/>
            <w:vAlign w:val="center"/>
          </w:tcPr>
          <w:p w14:paraId="2884846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27D73FEB" w14:textId="77777777" w:rsidTr="00933E86">
        <w:trPr>
          <w:trHeight w:val="240"/>
        </w:trPr>
        <w:tc>
          <w:tcPr>
            <w:tcW w:w="3466" w:type="dxa"/>
            <w:shd w:val="clear" w:color="auto" w:fill="FFFFFF" w:themeFill="background1"/>
            <w:vAlign w:val="center"/>
          </w:tcPr>
          <w:p w14:paraId="442C72C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TS SOLAR BETA SRL</w:t>
            </w:r>
          </w:p>
        </w:tc>
        <w:tc>
          <w:tcPr>
            <w:tcW w:w="3213" w:type="dxa"/>
            <w:shd w:val="clear" w:color="auto" w:fill="FFFFFF" w:themeFill="background1"/>
            <w:vAlign w:val="center"/>
          </w:tcPr>
          <w:p w14:paraId="783BADD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注销</w:t>
            </w:r>
          </w:p>
        </w:tc>
        <w:tc>
          <w:tcPr>
            <w:tcW w:w="3213" w:type="dxa"/>
            <w:shd w:val="clear" w:color="auto" w:fill="FFFFFF" w:themeFill="background1"/>
            <w:vAlign w:val="center"/>
          </w:tcPr>
          <w:p w14:paraId="24889C0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1FC3A94D" w14:textId="77777777" w:rsidTr="00933E86">
        <w:trPr>
          <w:trHeight w:val="240"/>
        </w:trPr>
        <w:tc>
          <w:tcPr>
            <w:tcW w:w="3466" w:type="dxa"/>
            <w:shd w:val="clear" w:color="auto" w:fill="FFFFFF" w:themeFill="background1"/>
            <w:vAlign w:val="center"/>
          </w:tcPr>
          <w:p w14:paraId="07BBDFC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TS SOLAR DELTA SRL</w:t>
            </w:r>
          </w:p>
        </w:tc>
        <w:tc>
          <w:tcPr>
            <w:tcW w:w="3213" w:type="dxa"/>
            <w:shd w:val="clear" w:color="auto" w:fill="FFFFFF" w:themeFill="background1"/>
            <w:vAlign w:val="center"/>
          </w:tcPr>
          <w:p w14:paraId="4D83D09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注销</w:t>
            </w:r>
          </w:p>
        </w:tc>
        <w:tc>
          <w:tcPr>
            <w:tcW w:w="3213" w:type="dxa"/>
            <w:shd w:val="clear" w:color="auto" w:fill="FFFFFF" w:themeFill="background1"/>
            <w:vAlign w:val="center"/>
          </w:tcPr>
          <w:p w14:paraId="54E63D1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320077D4" w14:textId="77777777" w:rsidTr="00933E86">
        <w:trPr>
          <w:trHeight w:val="240"/>
        </w:trPr>
        <w:tc>
          <w:tcPr>
            <w:tcW w:w="3466" w:type="dxa"/>
            <w:shd w:val="clear" w:color="auto" w:fill="FFFFFF" w:themeFill="background1"/>
            <w:vAlign w:val="center"/>
          </w:tcPr>
          <w:p w14:paraId="3042BD0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TS SOLAR EPSILON SRL</w:t>
            </w:r>
          </w:p>
        </w:tc>
        <w:tc>
          <w:tcPr>
            <w:tcW w:w="3213" w:type="dxa"/>
            <w:shd w:val="clear" w:color="auto" w:fill="FFFFFF" w:themeFill="background1"/>
            <w:vAlign w:val="center"/>
          </w:tcPr>
          <w:p w14:paraId="0B5B598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注销</w:t>
            </w:r>
          </w:p>
        </w:tc>
        <w:tc>
          <w:tcPr>
            <w:tcW w:w="3213" w:type="dxa"/>
            <w:shd w:val="clear" w:color="auto" w:fill="FFFFFF" w:themeFill="background1"/>
            <w:vAlign w:val="center"/>
          </w:tcPr>
          <w:p w14:paraId="4A86D75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1AC5C98B" w14:textId="77777777" w:rsidTr="00933E86">
        <w:trPr>
          <w:trHeight w:val="240"/>
        </w:trPr>
        <w:tc>
          <w:tcPr>
            <w:tcW w:w="3466" w:type="dxa"/>
            <w:shd w:val="clear" w:color="auto" w:fill="FFFFFF" w:themeFill="background1"/>
            <w:vAlign w:val="center"/>
          </w:tcPr>
          <w:p w14:paraId="5701DB9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TS SOLAR ETA SRL</w:t>
            </w:r>
          </w:p>
        </w:tc>
        <w:tc>
          <w:tcPr>
            <w:tcW w:w="3213" w:type="dxa"/>
            <w:shd w:val="clear" w:color="auto" w:fill="FFFFFF" w:themeFill="background1"/>
            <w:vAlign w:val="center"/>
          </w:tcPr>
          <w:p w14:paraId="7D51954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注销</w:t>
            </w:r>
          </w:p>
        </w:tc>
        <w:tc>
          <w:tcPr>
            <w:tcW w:w="3213" w:type="dxa"/>
            <w:shd w:val="clear" w:color="auto" w:fill="FFFFFF" w:themeFill="background1"/>
            <w:vAlign w:val="center"/>
          </w:tcPr>
          <w:p w14:paraId="3DD7CC4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4E3A2A9A" w14:textId="77777777" w:rsidTr="00933E86">
        <w:trPr>
          <w:trHeight w:val="240"/>
        </w:trPr>
        <w:tc>
          <w:tcPr>
            <w:tcW w:w="3466" w:type="dxa"/>
            <w:shd w:val="clear" w:color="auto" w:fill="FFFFFF" w:themeFill="background1"/>
            <w:vAlign w:val="center"/>
          </w:tcPr>
          <w:p w14:paraId="30D1A0F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TS SOLAR GAMMA SRL</w:t>
            </w:r>
          </w:p>
        </w:tc>
        <w:tc>
          <w:tcPr>
            <w:tcW w:w="3213" w:type="dxa"/>
            <w:shd w:val="clear" w:color="auto" w:fill="FFFFFF" w:themeFill="background1"/>
            <w:vAlign w:val="center"/>
          </w:tcPr>
          <w:p w14:paraId="75197B9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注销</w:t>
            </w:r>
          </w:p>
        </w:tc>
        <w:tc>
          <w:tcPr>
            <w:tcW w:w="3213" w:type="dxa"/>
            <w:shd w:val="clear" w:color="auto" w:fill="FFFFFF" w:themeFill="background1"/>
            <w:vAlign w:val="center"/>
          </w:tcPr>
          <w:p w14:paraId="6DA7822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2FC73F94" w14:textId="77777777" w:rsidTr="00933E86">
        <w:trPr>
          <w:trHeight w:val="240"/>
        </w:trPr>
        <w:tc>
          <w:tcPr>
            <w:tcW w:w="3466" w:type="dxa"/>
            <w:shd w:val="clear" w:color="auto" w:fill="FFFFFF" w:themeFill="background1"/>
            <w:vAlign w:val="center"/>
          </w:tcPr>
          <w:p w14:paraId="2881349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TS SOLAR THETA SRL</w:t>
            </w:r>
          </w:p>
        </w:tc>
        <w:tc>
          <w:tcPr>
            <w:tcW w:w="3213" w:type="dxa"/>
            <w:shd w:val="clear" w:color="auto" w:fill="FFFFFF" w:themeFill="background1"/>
            <w:vAlign w:val="center"/>
          </w:tcPr>
          <w:p w14:paraId="7FCAFB6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注销</w:t>
            </w:r>
          </w:p>
        </w:tc>
        <w:tc>
          <w:tcPr>
            <w:tcW w:w="3213" w:type="dxa"/>
            <w:shd w:val="clear" w:color="auto" w:fill="FFFFFF" w:themeFill="background1"/>
            <w:vAlign w:val="center"/>
          </w:tcPr>
          <w:p w14:paraId="291BEFB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6A543257" w14:textId="77777777" w:rsidTr="00933E86">
        <w:trPr>
          <w:trHeight w:val="240"/>
        </w:trPr>
        <w:tc>
          <w:tcPr>
            <w:tcW w:w="3466" w:type="dxa"/>
            <w:shd w:val="clear" w:color="auto" w:fill="FFFFFF" w:themeFill="background1"/>
            <w:vAlign w:val="center"/>
          </w:tcPr>
          <w:p w14:paraId="09DEE84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TS SOLAR ZETA SRL</w:t>
            </w:r>
          </w:p>
        </w:tc>
        <w:tc>
          <w:tcPr>
            <w:tcW w:w="3213" w:type="dxa"/>
            <w:shd w:val="clear" w:color="auto" w:fill="FFFFFF" w:themeFill="background1"/>
            <w:vAlign w:val="center"/>
          </w:tcPr>
          <w:p w14:paraId="4781F1F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注销</w:t>
            </w:r>
          </w:p>
        </w:tc>
        <w:tc>
          <w:tcPr>
            <w:tcW w:w="3213" w:type="dxa"/>
            <w:shd w:val="clear" w:color="auto" w:fill="FFFFFF" w:themeFill="background1"/>
            <w:vAlign w:val="center"/>
          </w:tcPr>
          <w:p w14:paraId="5F2D5CF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7D395080" w14:textId="77777777" w:rsidTr="00933E86">
        <w:trPr>
          <w:trHeight w:val="240"/>
        </w:trPr>
        <w:tc>
          <w:tcPr>
            <w:tcW w:w="3466" w:type="dxa"/>
            <w:shd w:val="clear" w:color="auto" w:fill="FFFFFF" w:themeFill="background1"/>
            <w:vAlign w:val="center"/>
          </w:tcPr>
          <w:p w14:paraId="3B1C1FC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lastRenderedPageBreak/>
              <w:t>常熟拓明光伏电站开发有限公司</w:t>
            </w:r>
          </w:p>
        </w:tc>
        <w:tc>
          <w:tcPr>
            <w:tcW w:w="3213" w:type="dxa"/>
            <w:shd w:val="clear" w:color="auto" w:fill="FFFFFF" w:themeFill="background1"/>
            <w:vAlign w:val="center"/>
          </w:tcPr>
          <w:p w14:paraId="40FCE06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40399C9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2C63F3EB" w14:textId="77777777" w:rsidTr="00933E86">
        <w:trPr>
          <w:trHeight w:val="240"/>
        </w:trPr>
        <w:tc>
          <w:tcPr>
            <w:tcW w:w="3466" w:type="dxa"/>
            <w:shd w:val="clear" w:color="auto" w:fill="FFFFFF" w:themeFill="background1"/>
            <w:vAlign w:val="center"/>
          </w:tcPr>
          <w:p w14:paraId="1AD2442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常熟诚元光伏电站开发有限公司</w:t>
            </w:r>
          </w:p>
        </w:tc>
        <w:tc>
          <w:tcPr>
            <w:tcW w:w="3213" w:type="dxa"/>
            <w:shd w:val="clear" w:color="auto" w:fill="FFFFFF" w:themeFill="background1"/>
            <w:vAlign w:val="center"/>
          </w:tcPr>
          <w:p w14:paraId="0F8E27A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5B92DE3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04012D90" w14:textId="77777777" w:rsidTr="00933E86">
        <w:trPr>
          <w:trHeight w:val="240"/>
        </w:trPr>
        <w:tc>
          <w:tcPr>
            <w:tcW w:w="3466" w:type="dxa"/>
            <w:shd w:val="clear" w:color="auto" w:fill="FFFFFF" w:themeFill="background1"/>
            <w:vAlign w:val="center"/>
          </w:tcPr>
          <w:p w14:paraId="1191559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常熟宏发光伏电站开发有限公司</w:t>
            </w:r>
          </w:p>
        </w:tc>
        <w:tc>
          <w:tcPr>
            <w:tcW w:w="3213" w:type="dxa"/>
            <w:shd w:val="clear" w:color="auto" w:fill="FFFFFF" w:themeFill="background1"/>
            <w:vAlign w:val="center"/>
          </w:tcPr>
          <w:p w14:paraId="0F8D45D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39BC331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22F06F87" w14:textId="77777777" w:rsidTr="00933E86">
        <w:trPr>
          <w:trHeight w:val="240"/>
        </w:trPr>
        <w:tc>
          <w:tcPr>
            <w:tcW w:w="3466" w:type="dxa"/>
            <w:shd w:val="clear" w:color="auto" w:fill="FFFFFF" w:themeFill="background1"/>
            <w:vAlign w:val="center"/>
          </w:tcPr>
          <w:p w14:paraId="3C3D9AD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山东腾晖新能源技术有限公司</w:t>
            </w:r>
          </w:p>
        </w:tc>
        <w:tc>
          <w:tcPr>
            <w:tcW w:w="3213" w:type="dxa"/>
            <w:shd w:val="clear" w:color="auto" w:fill="FFFFFF" w:themeFill="background1"/>
            <w:vAlign w:val="center"/>
          </w:tcPr>
          <w:p w14:paraId="226B214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02E8401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233D133A" w14:textId="77777777" w:rsidTr="00933E86">
        <w:trPr>
          <w:trHeight w:val="240"/>
        </w:trPr>
        <w:tc>
          <w:tcPr>
            <w:tcW w:w="3466" w:type="dxa"/>
            <w:shd w:val="clear" w:color="auto" w:fill="FFFFFF" w:themeFill="background1"/>
            <w:vAlign w:val="center"/>
          </w:tcPr>
          <w:p w14:paraId="7CF3637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淄博盛晖光伏技术有限公司</w:t>
            </w:r>
          </w:p>
        </w:tc>
        <w:tc>
          <w:tcPr>
            <w:tcW w:w="3213" w:type="dxa"/>
            <w:shd w:val="clear" w:color="auto" w:fill="FFFFFF" w:themeFill="background1"/>
            <w:vAlign w:val="center"/>
          </w:tcPr>
          <w:p w14:paraId="203B996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2979083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38088BB7" w14:textId="77777777" w:rsidTr="00933E86">
        <w:trPr>
          <w:trHeight w:val="240"/>
        </w:trPr>
        <w:tc>
          <w:tcPr>
            <w:tcW w:w="3466" w:type="dxa"/>
            <w:shd w:val="clear" w:color="auto" w:fill="FFFFFF" w:themeFill="background1"/>
            <w:vAlign w:val="center"/>
          </w:tcPr>
          <w:p w14:paraId="79176B7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淄博新晖光伏发电有限公司</w:t>
            </w:r>
          </w:p>
        </w:tc>
        <w:tc>
          <w:tcPr>
            <w:tcW w:w="3213" w:type="dxa"/>
            <w:shd w:val="clear" w:color="auto" w:fill="FFFFFF" w:themeFill="background1"/>
            <w:vAlign w:val="center"/>
          </w:tcPr>
          <w:p w14:paraId="1282947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36856F3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133F5536" w14:textId="77777777" w:rsidTr="00933E86">
        <w:trPr>
          <w:trHeight w:val="240"/>
        </w:trPr>
        <w:tc>
          <w:tcPr>
            <w:tcW w:w="3466" w:type="dxa"/>
            <w:shd w:val="clear" w:color="auto" w:fill="FFFFFF" w:themeFill="background1"/>
            <w:vAlign w:val="center"/>
          </w:tcPr>
          <w:p w14:paraId="3AE4B33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宿迁腾晖光电有限公司</w:t>
            </w:r>
          </w:p>
        </w:tc>
        <w:tc>
          <w:tcPr>
            <w:tcW w:w="3213" w:type="dxa"/>
            <w:shd w:val="clear" w:color="auto" w:fill="FFFFFF" w:themeFill="background1"/>
            <w:vAlign w:val="center"/>
          </w:tcPr>
          <w:p w14:paraId="72BB0BC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0CBEEAB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246AEAFC" w14:textId="77777777" w:rsidTr="00933E86">
        <w:trPr>
          <w:trHeight w:val="240"/>
        </w:trPr>
        <w:tc>
          <w:tcPr>
            <w:tcW w:w="3466" w:type="dxa"/>
            <w:shd w:val="clear" w:color="auto" w:fill="FFFFFF" w:themeFill="background1"/>
            <w:vAlign w:val="center"/>
          </w:tcPr>
          <w:p w14:paraId="7FB4AD3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宿迁腾晖新能源技术有限公司</w:t>
            </w:r>
          </w:p>
        </w:tc>
        <w:tc>
          <w:tcPr>
            <w:tcW w:w="3213" w:type="dxa"/>
            <w:shd w:val="clear" w:color="auto" w:fill="FFFFFF" w:themeFill="background1"/>
            <w:vAlign w:val="center"/>
          </w:tcPr>
          <w:p w14:paraId="5166047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51C5982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272F1821" w14:textId="77777777" w:rsidTr="00933E86">
        <w:trPr>
          <w:trHeight w:val="240"/>
        </w:trPr>
        <w:tc>
          <w:tcPr>
            <w:tcW w:w="3466" w:type="dxa"/>
            <w:shd w:val="clear" w:color="auto" w:fill="FFFFFF" w:themeFill="background1"/>
            <w:vAlign w:val="center"/>
          </w:tcPr>
          <w:p w14:paraId="34C57EB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泗阳腾晖光电有限公司</w:t>
            </w:r>
          </w:p>
        </w:tc>
        <w:tc>
          <w:tcPr>
            <w:tcW w:w="3213" w:type="dxa"/>
            <w:shd w:val="clear" w:color="auto" w:fill="FFFFFF" w:themeFill="background1"/>
            <w:vAlign w:val="center"/>
          </w:tcPr>
          <w:p w14:paraId="179B230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359B704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60234B0D" w14:textId="77777777" w:rsidTr="00933E86">
        <w:trPr>
          <w:trHeight w:val="240"/>
        </w:trPr>
        <w:tc>
          <w:tcPr>
            <w:tcW w:w="3466" w:type="dxa"/>
            <w:shd w:val="clear" w:color="auto" w:fill="FFFFFF" w:themeFill="background1"/>
            <w:vAlign w:val="center"/>
          </w:tcPr>
          <w:p w14:paraId="54BD76A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泗阳腾晖新能源技术有限公司</w:t>
            </w:r>
          </w:p>
        </w:tc>
        <w:tc>
          <w:tcPr>
            <w:tcW w:w="3213" w:type="dxa"/>
            <w:shd w:val="clear" w:color="auto" w:fill="FFFFFF" w:themeFill="background1"/>
            <w:vAlign w:val="center"/>
          </w:tcPr>
          <w:p w14:paraId="037D447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77B7C59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0C638755" w14:textId="77777777" w:rsidTr="00933E86">
        <w:trPr>
          <w:trHeight w:val="240"/>
        </w:trPr>
        <w:tc>
          <w:tcPr>
            <w:tcW w:w="3466" w:type="dxa"/>
            <w:shd w:val="clear" w:color="auto" w:fill="FFFFFF" w:themeFill="background1"/>
            <w:vAlign w:val="center"/>
          </w:tcPr>
          <w:p w14:paraId="450329D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沛县腾晖新能源技术有限公司</w:t>
            </w:r>
          </w:p>
        </w:tc>
        <w:tc>
          <w:tcPr>
            <w:tcW w:w="3213" w:type="dxa"/>
            <w:shd w:val="clear" w:color="auto" w:fill="FFFFFF" w:themeFill="background1"/>
            <w:vAlign w:val="center"/>
          </w:tcPr>
          <w:p w14:paraId="2568B0B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3C510CC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407E7527" w14:textId="77777777" w:rsidTr="00933E86">
        <w:trPr>
          <w:trHeight w:val="240"/>
        </w:trPr>
        <w:tc>
          <w:tcPr>
            <w:tcW w:w="3466" w:type="dxa"/>
            <w:shd w:val="clear" w:color="auto" w:fill="FFFFFF" w:themeFill="background1"/>
            <w:vAlign w:val="center"/>
          </w:tcPr>
          <w:p w14:paraId="614B905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黄骅市腾晖新能源技术有限公司</w:t>
            </w:r>
          </w:p>
        </w:tc>
        <w:tc>
          <w:tcPr>
            <w:tcW w:w="3213" w:type="dxa"/>
            <w:shd w:val="clear" w:color="auto" w:fill="FFFFFF" w:themeFill="background1"/>
            <w:vAlign w:val="center"/>
          </w:tcPr>
          <w:p w14:paraId="2AECFF8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611367B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79D78356" w14:textId="77777777" w:rsidTr="00933E86">
        <w:trPr>
          <w:trHeight w:val="240"/>
        </w:trPr>
        <w:tc>
          <w:tcPr>
            <w:tcW w:w="3466" w:type="dxa"/>
            <w:shd w:val="clear" w:color="auto" w:fill="FFFFFF" w:themeFill="background1"/>
            <w:vAlign w:val="center"/>
          </w:tcPr>
          <w:p w14:paraId="4E61304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山东腾晖光电有限公司</w:t>
            </w:r>
          </w:p>
        </w:tc>
        <w:tc>
          <w:tcPr>
            <w:tcW w:w="3213" w:type="dxa"/>
            <w:shd w:val="clear" w:color="auto" w:fill="FFFFFF" w:themeFill="background1"/>
            <w:vAlign w:val="center"/>
          </w:tcPr>
          <w:p w14:paraId="01872A0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39652F6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040E985E" w14:textId="77777777" w:rsidTr="00933E86">
        <w:trPr>
          <w:trHeight w:val="240"/>
        </w:trPr>
        <w:tc>
          <w:tcPr>
            <w:tcW w:w="3466" w:type="dxa"/>
            <w:shd w:val="clear" w:color="auto" w:fill="FFFFFF" w:themeFill="background1"/>
            <w:vAlign w:val="center"/>
          </w:tcPr>
          <w:p w14:paraId="5BD6838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中利新能源（香港）投资有限公司</w:t>
            </w:r>
          </w:p>
        </w:tc>
        <w:tc>
          <w:tcPr>
            <w:tcW w:w="3213" w:type="dxa"/>
            <w:shd w:val="clear" w:color="auto" w:fill="FFFFFF" w:themeFill="background1"/>
            <w:vAlign w:val="center"/>
          </w:tcPr>
          <w:p w14:paraId="4F80097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7DF6E72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0B0672A9" w14:textId="77777777" w:rsidTr="00933E86">
        <w:trPr>
          <w:trHeight w:val="240"/>
        </w:trPr>
        <w:tc>
          <w:tcPr>
            <w:tcW w:w="3466" w:type="dxa"/>
            <w:shd w:val="clear" w:color="auto" w:fill="FFFFFF" w:themeFill="background1"/>
            <w:vAlign w:val="center"/>
          </w:tcPr>
          <w:p w14:paraId="3EF7EF7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 xml:space="preserve">TS Energy Global </w:t>
            </w:r>
            <w:proofErr w:type="spellStart"/>
            <w:r>
              <w:rPr>
                <w:rFonts w:ascii="宋体" w:eastAsia="宋体" w:hAnsi="宋体" w:cs="宋体"/>
                <w:sz w:val="18"/>
                <w:szCs w:val="18"/>
              </w:rPr>
              <w:t>S.à</w:t>
            </w:r>
            <w:proofErr w:type="spellEnd"/>
            <w:r>
              <w:rPr>
                <w:rFonts w:ascii="宋体" w:eastAsia="宋体" w:hAnsi="宋体" w:cs="宋体"/>
                <w:sz w:val="18"/>
                <w:szCs w:val="18"/>
              </w:rPr>
              <w:t xml:space="preserve"> </w:t>
            </w:r>
            <w:proofErr w:type="spellStart"/>
            <w:r>
              <w:rPr>
                <w:rFonts w:ascii="宋体" w:eastAsia="宋体" w:hAnsi="宋体" w:cs="宋体"/>
                <w:sz w:val="18"/>
                <w:szCs w:val="18"/>
              </w:rPr>
              <w:t>r.l</w:t>
            </w:r>
            <w:proofErr w:type="spellEnd"/>
            <w:r>
              <w:rPr>
                <w:rFonts w:ascii="宋体" w:eastAsia="宋体" w:hAnsi="宋体" w:cs="宋体"/>
                <w:sz w:val="18"/>
                <w:szCs w:val="18"/>
              </w:rPr>
              <w:t>.</w:t>
            </w:r>
          </w:p>
        </w:tc>
        <w:tc>
          <w:tcPr>
            <w:tcW w:w="3213" w:type="dxa"/>
            <w:shd w:val="clear" w:color="auto" w:fill="FFFFFF" w:themeFill="background1"/>
            <w:vAlign w:val="center"/>
          </w:tcPr>
          <w:p w14:paraId="48AB881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7790D9F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0E8FD88C" w14:textId="77777777" w:rsidTr="00933E86">
        <w:trPr>
          <w:trHeight w:val="240"/>
        </w:trPr>
        <w:tc>
          <w:tcPr>
            <w:tcW w:w="3466" w:type="dxa"/>
            <w:shd w:val="clear" w:color="auto" w:fill="FFFFFF" w:themeFill="background1"/>
            <w:vAlign w:val="center"/>
          </w:tcPr>
          <w:p w14:paraId="11696B2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TALESUN NEW ENERGY VIETNAM COMPANY LIMITED</w:t>
            </w:r>
          </w:p>
        </w:tc>
        <w:tc>
          <w:tcPr>
            <w:tcW w:w="3213" w:type="dxa"/>
            <w:shd w:val="clear" w:color="auto" w:fill="FFFFFF" w:themeFill="background1"/>
            <w:vAlign w:val="center"/>
          </w:tcPr>
          <w:p w14:paraId="1441768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2E6C5F4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2F43EA8B" w14:textId="77777777" w:rsidTr="00933E86">
        <w:trPr>
          <w:trHeight w:val="240"/>
        </w:trPr>
        <w:tc>
          <w:tcPr>
            <w:tcW w:w="3466" w:type="dxa"/>
            <w:shd w:val="clear" w:color="auto" w:fill="FFFFFF" w:themeFill="background1"/>
            <w:vAlign w:val="center"/>
          </w:tcPr>
          <w:p w14:paraId="3F733DB7" w14:textId="77777777" w:rsidR="00632E5B" w:rsidRDefault="00107901">
            <w:pPr>
              <w:spacing w:line="240" w:lineRule="exact"/>
              <w:rPr>
                <w:rFonts w:ascii="宋体" w:eastAsia="宋体" w:hAnsi="宋体" w:cs="宋体" w:hint="eastAsia"/>
                <w:sz w:val="18"/>
                <w:szCs w:val="18"/>
              </w:rPr>
            </w:pPr>
            <w:proofErr w:type="spellStart"/>
            <w:r>
              <w:rPr>
                <w:rFonts w:ascii="宋体" w:eastAsia="宋体" w:hAnsi="宋体" w:cs="宋体"/>
                <w:sz w:val="18"/>
                <w:szCs w:val="18"/>
              </w:rPr>
              <w:t>Talesun</w:t>
            </w:r>
            <w:proofErr w:type="spellEnd"/>
            <w:r>
              <w:rPr>
                <w:rFonts w:ascii="宋体" w:eastAsia="宋体" w:hAnsi="宋体" w:cs="宋体"/>
                <w:sz w:val="18"/>
                <w:szCs w:val="18"/>
              </w:rPr>
              <w:t xml:space="preserve"> Solar Switzerland AG</w:t>
            </w:r>
          </w:p>
        </w:tc>
        <w:tc>
          <w:tcPr>
            <w:tcW w:w="3213" w:type="dxa"/>
            <w:shd w:val="clear" w:color="auto" w:fill="FFFFFF" w:themeFill="background1"/>
            <w:vAlign w:val="center"/>
          </w:tcPr>
          <w:p w14:paraId="43135A9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5886324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03519C79" w14:textId="77777777" w:rsidTr="00933E86">
        <w:trPr>
          <w:trHeight w:val="240"/>
        </w:trPr>
        <w:tc>
          <w:tcPr>
            <w:tcW w:w="3466" w:type="dxa"/>
            <w:shd w:val="clear" w:color="auto" w:fill="FFFFFF" w:themeFill="background1"/>
            <w:vAlign w:val="center"/>
          </w:tcPr>
          <w:p w14:paraId="5B89B009" w14:textId="77777777" w:rsidR="00632E5B" w:rsidRDefault="00107901">
            <w:pPr>
              <w:spacing w:line="240" w:lineRule="exact"/>
              <w:rPr>
                <w:rFonts w:ascii="宋体" w:eastAsia="宋体" w:hAnsi="宋体" w:cs="宋体" w:hint="eastAsia"/>
                <w:sz w:val="18"/>
                <w:szCs w:val="18"/>
              </w:rPr>
            </w:pPr>
            <w:proofErr w:type="spellStart"/>
            <w:r>
              <w:rPr>
                <w:rFonts w:ascii="宋体" w:eastAsia="宋体" w:hAnsi="宋体" w:cs="宋体"/>
                <w:sz w:val="18"/>
                <w:szCs w:val="18"/>
              </w:rPr>
              <w:t>Talesun</w:t>
            </w:r>
            <w:proofErr w:type="spellEnd"/>
            <w:r>
              <w:rPr>
                <w:rFonts w:ascii="宋体" w:eastAsia="宋体" w:hAnsi="宋体" w:cs="宋体"/>
                <w:sz w:val="18"/>
                <w:szCs w:val="18"/>
              </w:rPr>
              <w:t xml:space="preserve"> Energy Argentina S.A.</w:t>
            </w:r>
          </w:p>
        </w:tc>
        <w:tc>
          <w:tcPr>
            <w:tcW w:w="3213" w:type="dxa"/>
            <w:shd w:val="clear" w:color="auto" w:fill="FFFFFF" w:themeFill="background1"/>
            <w:vAlign w:val="center"/>
          </w:tcPr>
          <w:p w14:paraId="4C33256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612FD6D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21DCD2F0" w14:textId="77777777" w:rsidTr="00933E86">
        <w:trPr>
          <w:trHeight w:val="240"/>
        </w:trPr>
        <w:tc>
          <w:tcPr>
            <w:tcW w:w="3466" w:type="dxa"/>
            <w:shd w:val="clear" w:color="auto" w:fill="FFFFFF" w:themeFill="background1"/>
            <w:vAlign w:val="center"/>
          </w:tcPr>
          <w:p w14:paraId="6CEC816E" w14:textId="77777777" w:rsidR="00632E5B" w:rsidRDefault="00107901">
            <w:pPr>
              <w:spacing w:line="240" w:lineRule="exact"/>
              <w:rPr>
                <w:rFonts w:ascii="宋体" w:eastAsia="宋体" w:hAnsi="宋体" w:cs="宋体" w:hint="eastAsia"/>
                <w:sz w:val="18"/>
                <w:szCs w:val="18"/>
              </w:rPr>
            </w:pPr>
            <w:proofErr w:type="spellStart"/>
            <w:r>
              <w:rPr>
                <w:rFonts w:ascii="宋体" w:eastAsia="宋体" w:hAnsi="宋体" w:cs="宋体"/>
                <w:sz w:val="18"/>
                <w:szCs w:val="18"/>
              </w:rPr>
              <w:t>Talesun</w:t>
            </w:r>
            <w:proofErr w:type="spellEnd"/>
            <w:r>
              <w:rPr>
                <w:rFonts w:ascii="宋体" w:eastAsia="宋体" w:hAnsi="宋体" w:cs="宋体"/>
                <w:sz w:val="18"/>
                <w:szCs w:val="18"/>
              </w:rPr>
              <w:t xml:space="preserve"> Energy LATAM S.A.</w:t>
            </w:r>
          </w:p>
        </w:tc>
        <w:tc>
          <w:tcPr>
            <w:tcW w:w="3213" w:type="dxa"/>
            <w:shd w:val="clear" w:color="auto" w:fill="FFFFFF" w:themeFill="background1"/>
            <w:vAlign w:val="center"/>
          </w:tcPr>
          <w:p w14:paraId="482E510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33E6371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5ED08BB2" w14:textId="77777777" w:rsidTr="00933E86">
        <w:trPr>
          <w:trHeight w:val="240"/>
        </w:trPr>
        <w:tc>
          <w:tcPr>
            <w:tcW w:w="3466" w:type="dxa"/>
            <w:shd w:val="clear" w:color="auto" w:fill="FFFFFF" w:themeFill="background1"/>
            <w:vAlign w:val="center"/>
          </w:tcPr>
          <w:p w14:paraId="2F9509A5" w14:textId="77777777" w:rsidR="00632E5B" w:rsidRDefault="00107901">
            <w:pPr>
              <w:spacing w:line="240" w:lineRule="exact"/>
              <w:rPr>
                <w:rFonts w:ascii="宋体" w:eastAsia="宋体" w:hAnsi="宋体" w:cs="宋体" w:hint="eastAsia"/>
                <w:sz w:val="18"/>
                <w:szCs w:val="18"/>
              </w:rPr>
            </w:pPr>
            <w:proofErr w:type="spellStart"/>
            <w:r>
              <w:rPr>
                <w:rFonts w:ascii="宋体" w:eastAsia="宋体" w:hAnsi="宋体" w:cs="宋体"/>
                <w:sz w:val="18"/>
                <w:szCs w:val="18"/>
              </w:rPr>
              <w:t>Talesun</w:t>
            </w:r>
            <w:proofErr w:type="spellEnd"/>
            <w:r>
              <w:rPr>
                <w:rFonts w:ascii="宋体" w:eastAsia="宋体" w:hAnsi="宋体" w:cs="宋体"/>
                <w:sz w:val="18"/>
                <w:szCs w:val="18"/>
              </w:rPr>
              <w:t xml:space="preserve"> Solar Germany GmbH</w:t>
            </w:r>
          </w:p>
        </w:tc>
        <w:tc>
          <w:tcPr>
            <w:tcW w:w="3213" w:type="dxa"/>
            <w:shd w:val="clear" w:color="auto" w:fill="FFFFFF" w:themeFill="background1"/>
            <w:vAlign w:val="center"/>
          </w:tcPr>
          <w:p w14:paraId="039FCB3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2443F9B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60CDE36F" w14:textId="77777777" w:rsidTr="00933E86">
        <w:trPr>
          <w:trHeight w:val="240"/>
        </w:trPr>
        <w:tc>
          <w:tcPr>
            <w:tcW w:w="3466" w:type="dxa"/>
            <w:shd w:val="clear" w:color="auto" w:fill="FFFFFF" w:themeFill="background1"/>
            <w:vAlign w:val="center"/>
          </w:tcPr>
          <w:p w14:paraId="018C02C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 xml:space="preserve">TSI Solar Enerji </w:t>
            </w:r>
            <w:proofErr w:type="spellStart"/>
            <w:r>
              <w:rPr>
                <w:rFonts w:ascii="宋体" w:eastAsia="宋体" w:hAnsi="宋体" w:cs="宋体"/>
                <w:sz w:val="18"/>
                <w:szCs w:val="18"/>
              </w:rPr>
              <w:t>Anonim</w:t>
            </w:r>
            <w:proofErr w:type="spellEnd"/>
            <w:r>
              <w:rPr>
                <w:rFonts w:ascii="宋体" w:eastAsia="宋体" w:hAnsi="宋体" w:cs="宋体"/>
                <w:sz w:val="18"/>
                <w:szCs w:val="18"/>
              </w:rPr>
              <w:t xml:space="preserve"> </w:t>
            </w:r>
            <w:proofErr w:type="spellStart"/>
            <w:r>
              <w:rPr>
                <w:rFonts w:ascii="宋体" w:eastAsia="宋体" w:hAnsi="宋体" w:cs="宋体"/>
                <w:sz w:val="18"/>
                <w:szCs w:val="18"/>
              </w:rPr>
              <w:t>Sirketi</w:t>
            </w:r>
            <w:proofErr w:type="spellEnd"/>
          </w:p>
        </w:tc>
        <w:tc>
          <w:tcPr>
            <w:tcW w:w="3213" w:type="dxa"/>
            <w:shd w:val="clear" w:color="auto" w:fill="FFFFFF" w:themeFill="background1"/>
            <w:vAlign w:val="center"/>
          </w:tcPr>
          <w:p w14:paraId="73547C3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0B2D381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0ECD84F4" w14:textId="77777777" w:rsidTr="00933E86">
        <w:trPr>
          <w:trHeight w:val="240"/>
        </w:trPr>
        <w:tc>
          <w:tcPr>
            <w:tcW w:w="3466" w:type="dxa"/>
            <w:shd w:val="clear" w:color="auto" w:fill="FFFFFF" w:themeFill="background1"/>
            <w:vAlign w:val="center"/>
          </w:tcPr>
          <w:p w14:paraId="559AF6AF" w14:textId="77777777" w:rsidR="00632E5B" w:rsidRDefault="00107901">
            <w:pPr>
              <w:spacing w:line="240" w:lineRule="exact"/>
              <w:rPr>
                <w:rFonts w:ascii="宋体" w:eastAsia="宋体" w:hAnsi="宋体" w:cs="宋体" w:hint="eastAsia"/>
                <w:sz w:val="18"/>
                <w:szCs w:val="18"/>
              </w:rPr>
            </w:pPr>
            <w:proofErr w:type="spellStart"/>
            <w:r>
              <w:rPr>
                <w:rFonts w:ascii="宋体" w:eastAsia="宋体" w:hAnsi="宋体" w:cs="宋体"/>
                <w:sz w:val="18"/>
                <w:szCs w:val="18"/>
              </w:rPr>
              <w:t>Talesun</w:t>
            </w:r>
            <w:proofErr w:type="spellEnd"/>
            <w:r>
              <w:rPr>
                <w:rFonts w:ascii="宋体" w:eastAsia="宋体" w:hAnsi="宋体" w:cs="宋体"/>
                <w:sz w:val="18"/>
                <w:szCs w:val="18"/>
              </w:rPr>
              <w:t xml:space="preserve"> Solar Technologies S.A.G.L</w:t>
            </w:r>
          </w:p>
        </w:tc>
        <w:tc>
          <w:tcPr>
            <w:tcW w:w="3213" w:type="dxa"/>
            <w:shd w:val="clear" w:color="auto" w:fill="FFFFFF" w:themeFill="background1"/>
            <w:vAlign w:val="center"/>
          </w:tcPr>
          <w:p w14:paraId="34F67DD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6F46EBB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4AE2E52E" w14:textId="77777777" w:rsidTr="00933E86">
        <w:trPr>
          <w:trHeight w:val="240"/>
        </w:trPr>
        <w:tc>
          <w:tcPr>
            <w:tcW w:w="3466" w:type="dxa"/>
            <w:shd w:val="clear" w:color="auto" w:fill="FFFFFF" w:themeFill="background1"/>
            <w:vAlign w:val="center"/>
          </w:tcPr>
          <w:p w14:paraId="7D724467" w14:textId="77777777" w:rsidR="00632E5B" w:rsidRDefault="00107901">
            <w:pPr>
              <w:spacing w:line="240" w:lineRule="exact"/>
              <w:rPr>
                <w:rFonts w:ascii="宋体" w:eastAsia="宋体" w:hAnsi="宋体" w:cs="宋体" w:hint="eastAsia"/>
                <w:sz w:val="18"/>
                <w:szCs w:val="18"/>
              </w:rPr>
            </w:pPr>
            <w:proofErr w:type="spellStart"/>
            <w:r>
              <w:rPr>
                <w:rFonts w:ascii="宋体" w:eastAsia="宋体" w:hAnsi="宋体" w:cs="宋体"/>
                <w:sz w:val="18"/>
                <w:szCs w:val="18"/>
              </w:rPr>
              <w:t>Talesun</w:t>
            </w:r>
            <w:proofErr w:type="spellEnd"/>
            <w:r>
              <w:rPr>
                <w:rFonts w:ascii="宋体" w:eastAsia="宋体" w:hAnsi="宋体" w:cs="宋体"/>
                <w:sz w:val="18"/>
                <w:szCs w:val="18"/>
              </w:rPr>
              <w:t xml:space="preserve"> Solar Bucharest S.R.L</w:t>
            </w:r>
          </w:p>
        </w:tc>
        <w:tc>
          <w:tcPr>
            <w:tcW w:w="3213" w:type="dxa"/>
            <w:shd w:val="clear" w:color="auto" w:fill="FFFFFF" w:themeFill="background1"/>
            <w:vAlign w:val="center"/>
          </w:tcPr>
          <w:p w14:paraId="23B7135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416E98A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67775711" w14:textId="77777777" w:rsidTr="00933E86">
        <w:trPr>
          <w:trHeight w:val="240"/>
        </w:trPr>
        <w:tc>
          <w:tcPr>
            <w:tcW w:w="3466" w:type="dxa"/>
            <w:shd w:val="clear" w:color="auto" w:fill="FFFFFF" w:themeFill="background1"/>
            <w:vAlign w:val="center"/>
          </w:tcPr>
          <w:p w14:paraId="7D7EFD7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TS SOLAR ITALY AG</w:t>
            </w:r>
          </w:p>
        </w:tc>
        <w:tc>
          <w:tcPr>
            <w:tcW w:w="3213" w:type="dxa"/>
            <w:shd w:val="clear" w:color="auto" w:fill="FFFFFF" w:themeFill="background1"/>
            <w:vAlign w:val="center"/>
          </w:tcPr>
          <w:p w14:paraId="0BCF6DD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2FB5AB3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3629FABF" w14:textId="77777777" w:rsidTr="00933E86">
        <w:trPr>
          <w:trHeight w:val="240"/>
        </w:trPr>
        <w:tc>
          <w:tcPr>
            <w:tcW w:w="3466" w:type="dxa"/>
            <w:shd w:val="clear" w:color="auto" w:fill="FFFFFF" w:themeFill="background1"/>
            <w:vAlign w:val="center"/>
          </w:tcPr>
          <w:p w14:paraId="68541671" w14:textId="77777777" w:rsidR="00632E5B" w:rsidRDefault="00107901">
            <w:pPr>
              <w:spacing w:line="240" w:lineRule="exact"/>
              <w:rPr>
                <w:rFonts w:ascii="宋体" w:eastAsia="宋体" w:hAnsi="宋体" w:cs="宋体" w:hint="eastAsia"/>
                <w:sz w:val="18"/>
                <w:szCs w:val="18"/>
              </w:rPr>
            </w:pPr>
            <w:proofErr w:type="spellStart"/>
            <w:r>
              <w:rPr>
                <w:rFonts w:ascii="宋体" w:eastAsia="宋体" w:hAnsi="宋体" w:cs="宋体"/>
                <w:sz w:val="18"/>
                <w:szCs w:val="18"/>
              </w:rPr>
              <w:t>Fattoria</w:t>
            </w:r>
            <w:proofErr w:type="spellEnd"/>
            <w:r>
              <w:rPr>
                <w:rFonts w:ascii="宋体" w:eastAsia="宋体" w:hAnsi="宋体" w:cs="宋体"/>
                <w:sz w:val="18"/>
                <w:szCs w:val="18"/>
              </w:rPr>
              <w:t xml:space="preserve"> Solare Alfonsine </w:t>
            </w:r>
            <w:proofErr w:type="spellStart"/>
            <w:r>
              <w:rPr>
                <w:rFonts w:ascii="宋体" w:eastAsia="宋体" w:hAnsi="宋体" w:cs="宋体"/>
                <w:sz w:val="18"/>
                <w:szCs w:val="18"/>
              </w:rPr>
              <w:t>S.r.l</w:t>
            </w:r>
            <w:proofErr w:type="spellEnd"/>
            <w:r>
              <w:rPr>
                <w:rFonts w:ascii="宋体" w:eastAsia="宋体" w:hAnsi="宋体" w:cs="宋体"/>
                <w:sz w:val="18"/>
                <w:szCs w:val="18"/>
              </w:rPr>
              <w:t>.</w:t>
            </w:r>
          </w:p>
        </w:tc>
        <w:tc>
          <w:tcPr>
            <w:tcW w:w="3213" w:type="dxa"/>
            <w:shd w:val="clear" w:color="auto" w:fill="FFFFFF" w:themeFill="background1"/>
            <w:vAlign w:val="center"/>
          </w:tcPr>
          <w:p w14:paraId="7CEDE32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4D2F99B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5D48861C" w14:textId="77777777" w:rsidTr="00933E86">
        <w:trPr>
          <w:trHeight w:val="240"/>
        </w:trPr>
        <w:tc>
          <w:tcPr>
            <w:tcW w:w="3466" w:type="dxa"/>
            <w:shd w:val="clear" w:color="auto" w:fill="FFFFFF" w:themeFill="background1"/>
            <w:vAlign w:val="center"/>
          </w:tcPr>
          <w:p w14:paraId="03853A5F" w14:textId="77777777" w:rsidR="00632E5B" w:rsidRDefault="00107901">
            <w:pPr>
              <w:spacing w:line="240" w:lineRule="exact"/>
              <w:rPr>
                <w:rFonts w:ascii="宋体" w:eastAsia="宋体" w:hAnsi="宋体" w:cs="宋体" w:hint="eastAsia"/>
                <w:sz w:val="18"/>
                <w:szCs w:val="18"/>
              </w:rPr>
            </w:pPr>
            <w:proofErr w:type="spellStart"/>
            <w:r>
              <w:rPr>
                <w:rFonts w:ascii="宋体" w:eastAsia="宋体" w:hAnsi="宋体" w:cs="宋体"/>
                <w:sz w:val="18"/>
                <w:szCs w:val="18"/>
              </w:rPr>
              <w:t>Fattoria</w:t>
            </w:r>
            <w:proofErr w:type="spellEnd"/>
            <w:r>
              <w:rPr>
                <w:rFonts w:ascii="宋体" w:eastAsia="宋体" w:hAnsi="宋体" w:cs="宋体"/>
                <w:sz w:val="18"/>
                <w:szCs w:val="18"/>
              </w:rPr>
              <w:t xml:space="preserve"> Solare Montecchio </w:t>
            </w:r>
            <w:proofErr w:type="spellStart"/>
            <w:r>
              <w:rPr>
                <w:rFonts w:ascii="宋体" w:eastAsia="宋体" w:hAnsi="宋体" w:cs="宋体"/>
                <w:sz w:val="18"/>
                <w:szCs w:val="18"/>
              </w:rPr>
              <w:t>S.r.l</w:t>
            </w:r>
            <w:proofErr w:type="spellEnd"/>
          </w:p>
        </w:tc>
        <w:tc>
          <w:tcPr>
            <w:tcW w:w="3213" w:type="dxa"/>
            <w:shd w:val="clear" w:color="auto" w:fill="FFFFFF" w:themeFill="background1"/>
            <w:vAlign w:val="center"/>
          </w:tcPr>
          <w:p w14:paraId="291CFED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58695E0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344F4377" w14:textId="77777777" w:rsidTr="00933E86">
        <w:trPr>
          <w:trHeight w:val="240"/>
        </w:trPr>
        <w:tc>
          <w:tcPr>
            <w:tcW w:w="3466" w:type="dxa"/>
            <w:shd w:val="clear" w:color="auto" w:fill="FFFFFF" w:themeFill="background1"/>
            <w:vAlign w:val="center"/>
          </w:tcPr>
          <w:p w14:paraId="424DC507" w14:textId="77777777" w:rsidR="00632E5B" w:rsidRDefault="00107901">
            <w:pPr>
              <w:spacing w:line="240" w:lineRule="exact"/>
              <w:rPr>
                <w:rFonts w:ascii="宋体" w:eastAsia="宋体" w:hAnsi="宋体" w:cs="宋体" w:hint="eastAsia"/>
                <w:sz w:val="18"/>
                <w:szCs w:val="18"/>
              </w:rPr>
            </w:pPr>
            <w:proofErr w:type="spellStart"/>
            <w:r>
              <w:rPr>
                <w:rFonts w:ascii="宋体" w:eastAsia="宋体" w:hAnsi="宋体" w:cs="宋体"/>
                <w:sz w:val="18"/>
                <w:szCs w:val="18"/>
              </w:rPr>
              <w:t>Talesun</w:t>
            </w:r>
            <w:proofErr w:type="spellEnd"/>
            <w:r>
              <w:rPr>
                <w:rFonts w:ascii="宋体" w:eastAsia="宋体" w:hAnsi="宋体" w:cs="宋体"/>
                <w:sz w:val="18"/>
                <w:szCs w:val="18"/>
              </w:rPr>
              <w:t xml:space="preserve"> Energy Solutions S.R.L.</w:t>
            </w:r>
          </w:p>
        </w:tc>
        <w:tc>
          <w:tcPr>
            <w:tcW w:w="3213" w:type="dxa"/>
            <w:shd w:val="clear" w:color="auto" w:fill="FFFFFF" w:themeFill="background1"/>
            <w:vAlign w:val="center"/>
          </w:tcPr>
          <w:p w14:paraId="3C8C63C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70DB9E2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6083F88D" w14:textId="77777777" w:rsidTr="00933E86">
        <w:trPr>
          <w:trHeight w:val="649"/>
        </w:trPr>
        <w:tc>
          <w:tcPr>
            <w:tcW w:w="3466" w:type="dxa"/>
            <w:shd w:val="clear" w:color="auto" w:fill="FFFFFF" w:themeFill="background1"/>
            <w:vAlign w:val="center"/>
          </w:tcPr>
          <w:p w14:paraId="5FDC0B7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TS ENERGY ROOFTOPS S.R.L.</w:t>
            </w:r>
          </w:p>
        </w:tc>
        <w:tc>
          <w:tcPr>
            <w:tcW w:w="3213" w:type="dxa"/>
            <w:shd w:val="clear" w:color="auto" w:fill="FFFFFF" w:themeFill="background1"/>
            <w:vAlign w:val="center"/>
          </w:tcPr>
          <w:p w14:paraId="17B0A8E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6F4C632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2444DD59" w14:textId="77777777" w:rsidTr="00933E86">
        <w:trPr>
          <w:trHeight w:val="240"/>
        </w:trPr>
        <w:tc>
          <w:tcPr>
            <w:tcW w:w="3466" w:type="dxa"/>
            <w:shd w:val="clear" w:color="auto" w:fill="FFFFFF" w:themeFill="background1"/>
            <w:vAlign w:val="center"/>
          </w:tcPr>
          <w:p w14:paraId="41E313F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lastRenderedPageBreak/>
              <w:t>AMT 1801 S.R.L.</w:t>
            </w:r>
          </w:p>
        </w:tc>
        <w:tc>
          <w:tcPr>
            <w:tcW w:w="3213" w:type="dxa"/>
            <w:shd w:val="clear" w:color="auto" w:fill="FFFFFF" w:themeFill="background1"/>
            <w:vAlign w:val="center"/>
          </w:tcPr>
          <w:p w14:paraId="3F819CE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6A6E4B1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712ED44B" w14:textId="77777777" w:rsidTr="00933E86">
        <w:trPr>
          <w:trHeight w:val="240"/>
        </w:trPr>
        <w:tc>
          <w:tcPr>
            <w:tcW w:w="3466" w:type="dxa"/>
            <w:shd w:val="clear" w:color="auto" w:fill="FFFFFF" w:themeFill="background1"/>
            <w:vAlign w:val="center"/>
          </w:tcPr>
          <w:p w14:paraId="00EC673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 xml:space="preserve">TS Energy Apulia </w:t>
            </w:r>
            <w:proofErr w:type="spellStart"/>
            <w:r>
              <w:rPr>
                <w:rFonts w:ascii="宋体" w:eastAsia="宋体" w:hAnsi="宋体" w:cs="宋体"/>
                <w:sz w:val="18"/>
                <w:szCs w:val="18"/>
              </w:rPr>
              <w:t>Srl</w:t>
            </w:r>
            <w:proofErr w:type="spellEnd"/>
          </w:p>
        </w:tc>
        <w:tc>
          <w:tcPr>
            <w:tcW w:w="3213" w:type="dxa"/>
            <w:shd w:val="clear" w:color="auto" w:fill="FFFFFF" w:themeFill="background1"/>
            <w:vAlign w:val="center"/>
          </w:tcPr>
          <w:p w14:paraId="083F7DB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06C5E6A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48E35672" w14:textId="77777777" w:rsidTr="00933E86">
        <w:trPr>
          <w:trHeight w:val="240"/>
        </w:trPr>
        <w:tc>
          <w:tcPr>
            <w:tcW w:w="3466" w:type="dxa"/>
            <w:shd w:val="clear" w:color="auto" w:fill="FFFFFF" w:themeFill="background1"/>
            <w:vAlign w:val="center"/>
          </w:tcPr>
          <w:p w14:paraId="2C93433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 xml:space="preserve">Tre </w:t>
            </w:r>
            <w:proofErr w:type="spellStart"/>
            <w:r>
              <w:rPr>
                <w:rFonts w:ascii="宋体" w:eastAsia="宋体" w:hAnsi="宋体" w:cs="宋体"/>
                <w:sz w:val="18"/>
                <w:szCs w:val="18"/>
              </w:rPr>
              <w:t>ConfiniSrl</w:t>
            </w:r>
            <w:proofErr w:type="spellEnd"/>
          </w:p>
        </w:tc>
        <w:tc>
          <w:tcPr>
            <w:tcW w:w="3213" w:type="dxa"/>
            <w:shd w:val="clear" w:color="auto" w:fill="FFFFFF" w:themeFill="background1"/>
            <w:vAlign w:val="center"/>
          </w:tcPr>
          <w:p w14:paraId="2886378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400CDF6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744688C3" w14:textId="77777777" w:rsidTr="00933E86">
        <w:trPr>
          <w:trHeight w:val="240"/>
        </w:trPr>
        <w:tc>
          <w:tcPr>
            <w:tcW w:w="3466" w:type="dxa"/>
            <w:shd w:val="clear" w:color="auto" w:fill="FFFFFF" w:themeFill="background1"/>
            <w:vAlign w:val="center"/>
          </w:tcPr>
          <w:p w14:paraId="5478400F" w14:textId="77777777" w:rsidR="00632E5B" w:rsidRDefault="00107901">
            <w:pPr>
              <w:spacing w:line="240" w:lineRule="exact"/>
              <w:rPr>
                <w:rFonts w:ascii="宋体" w:eastAsia="宋体" w:hAnsi="宋体" w:cs="宋体" w:hint="eastAsia"/>
                <w:sz w:val="18"/>
                <w:szCs w:val="18"/>
              </w:rPr>
            </w:pPr>
            <w:proofErr w:type="spellStart"/>
            <w:r>
              <w:rPr>
                <w:rFonts w:ascii="宋体" w:eastAsia="宋体" w:hAnsi="宋体" w:cs="宋体"/>
                <w:sz w:val="18"/>
                <w:szCs w:val="18"/>
              </w:rPr>
              <w:t>FerrandinaSrl</w:t>
            </w:r>
            <w:proofErr w:type="spellEnd"/>
          </w:p>
        </w:tc>
        <w:tc>
          <w:tcPr>
            <w:tcW w:w="3213" w:type="dxa"/>
            <w:shd w:val="clear" w:color="auto" w:fill="FFFFFF" w:themeFill="background1"/>
            <w:vAlign w:val="center"/>
          </w:tcPr>
          <w:p w14:paraId="243E67D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0921E47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5C2E5237" w14:textId="77777777" w:rsidTr="00933E86">
        <w:trPr>
          <w:trHeight w:val="240"/>
        </w:trPr>
        <w:tc>
          <w:tcPr>
            <w:tcW w:w="3466" w:type="dxa"/>
            <w:shd w:val="clear" w:color="auto" w:fill="FFFFFF" w:themeFill="background1"/>
            <w:vAlign w:val="center"/>
          </w:tcPr>
          <w:p w14:paraId="50F99162" w14:textId="77777777" w:rsidR="00632E5B" w:rsidRDefault="00107901">
            <w:pPr>
              <w:spacing w:line="240" w:lineRule="exact"/>
              <w:rPr>
                <w:rFonts w:ascii="宋体" w:eastAsia="宋体" w:hAnsi="宋体" w:cs="宋体" w:hint="eastAsia"/>
                <w:sz w:val="18"/>
                <w:szCs w:val="18"/>
              </w:rPr>
            </w:pPr>
            <w:proofErr w:type="spellStart"/>
            <w:r>
              <w:rPr>
                <w:rFonts w:ascii="宋体" w:eastAsia="宋体" w:hAnsi="宋体" w:cs="宋体"/>
                <w:sz w:val="18"/>
                <w:szCs w:val="18"/>
              </w:rPr>
              <w:t>Ginosa</w:t>
            </w:r>
            <w:proofErr w:type="spellEnd"/>
            <w:r>
              <w:rPr>
                <w:rFonts w:ascii="宋体" w:eastAsia="宋体" w:hAnsi="宋体" w:cs="宋体"/>
                <w:sz w:val="18"/>
                <w:szCs w:val="18"/>
              </w:rPr>
              <w:t xml:space="preserve"> </w:t>
            </w:r>
            <w:proofErr w:type="spellStart"/>
            <w:r>
              <w:rPr>
                <w:rFonts w:ascii="宋体" w:eastAsia="宋体" w:hAnsi="宋体" w:cs="宋体"/>
                <w:sz w:val="18"/>
                <w:szCs w:val="18"/>
              </w:rPr>
              <w:t>Srl</w:t>
            </w:r>
            <w:proofErr w:type="spellEnd"/>
          </w:p>
        </w:tc>
        <w:tc>
          <w:tcPr>
            <w:tcW w:w="3213" w:type="dxa"/>
            <w:shd w:val="clear" w:color="auto" w:fill="FFFFFF" w:themeFill="background1"/>
            <w:vAlign w:val="center"/>
          </w:tcPr>
          <w:p w14:paraId="114B2FD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0C776A1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7DFCFB8E" w14:textId="77777777" w:rsidTr="00933E86">
        <w:trPr>
          <w:trHeight w:val="240"/>
        </w:trPr>
        <w:tc>
          <w:tcPr>
            <w:tcW w:w="3466" w:type="dxa"/>
            <w:shd w:val="clear" w:color="auto" w:fill="FFFFFF" w:themeFill="background1"/>
            <w:vAlign w:val="center"/>
          </w:tcPr>
          <w:p w14:paraId="781501F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 xml:space="preserve">San Mauro </w:t>
            </w:r>
            <w:proofErr w:type="spellStart"/>
            <w:r>
              <w:rPr>
                <w:rFonts w:ascii="宋体" w:eastAsia="宋体" w:hAnsi="宋体" w:cs="宋体"/>
                <w:sz w:val="18"/>
                <w:szCs w:val="18"/>
              </w:rPr>
              <w:t>Srl</w:t>
            </w:r>
            <w:proofErr w:type="spellEnd"/>
          </w:p>
        </w:tc>
        <w:tc>
          <w:tcPr>
            <w:tcW w:w="3213" w:type="dxa"/>
            <w:shd w:val="clear" w:color="auto" w:fill="FFFFFF" w:themeFill="background1"/>
            <w:vAlign w:val="center"/>
          </w:tcPr>
          <w:p w14:paraId="58F92F7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6A9F57E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304AD650" w14:textId="77777777" w:rsidTr="00933E86">
        <w:trPr>
          <w:trHeight w:val="240"/>
        </w:trPr>
        <w:tc>
          <w:tcPr>
            <w:tcW w:w="3466" w:type="dxa"/>
            <w:shd w:val="clear" w:color="auto" w:fill="FFFFFF" w:themeFill="background1"/>
            <w:vAlign w:val="center"/>
          </w:tcPr>
          <w:p w14:paraId="6D4B7C5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TS ENERGY EUROPE S.A.</w:t>
            </w:r>
          </w:p>
        </w:tc>
        <w:tc>
          <w:tcPr>
            <w:tcW w:w="3213" w:type="dxa"/>
            <w:shd w:val="clear" w:color="auto" w:fill="FFFFFF" w:themeFill="background1"/>
            <w:vAlign w:val="center"/>
          </w:tcPr>
          <w:p w14:paraId="03EDAB9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4FDB6F5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4FCC416C" w14:textId="77777777" w:rsidTr="00933E86">
        <w:trPr>
          <w:trHeight w:val="240"/>
        </w:trPr>
        <w:tc>
          <w:tcPr>
            <w:tcW w:w="3466" w:type="dxa"/>
            <w:shd w:val="clear" w:color="auto" w:fill="FFFFFF" w:themeFill="background1"/>
            <w:vAlign w:val="center"/>
          </w:tcPr>
          <w:p w14:paraId="420C8B0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腾晖电力美国有限公司</w:t>
            </w:r>
          </w:p>
        </w:tc>
        <w:tc>
          <w:tcPr>
            <w:tcW w:w="3213" w:type="dxa"/>
            <w:shd w:val="clear" w:color="auto" w:fill="FFFFFF" w:themeFill="background1"/>
            <w:vAlign w:val="center"/>
          </w:tcPr>
          <w:p w14:paraId="763DC4A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3AAE67A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6BF75ADF" w14:textId="77777777" w:rsidTr="00933E86">
        <w:trPr>
          <w:trHeight w:val="240"/>
        </w:trPr>
        <w:tc>
          <w:tcPr>
            <w:tcW w:w="3466" w:type="dxa"/>
            <w:shd w:val="clear" w:color="auto" w:fill="FFFFFF" w:themeFill="background1"/>
            <w:vAlign w:val="center"/>
          </w:tcPr>
          <w:p w14:paraId="69F6A37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TALESUN DO BRASIL CONSULTORIA LTDA.</w:t>
            </w:r>
          </w:p>
        </w:tc>
        <w:tc>
          <w:tcPr>
            <w:tcW w:w="3213" w:type="dxa"/>
            <w:shd w:val="clear" w:color="auto" w:fill="FFFFFF" w:themeFill="background1"/>
            <w:vAlign w:val="center"/>
          </w:tcPr>
          <w:p w14:paraId="35E95D1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54A57E9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79C705A7" w14:textId="77777777" w:rsidTr="00933E86">
        <w:trPr>
          <w:trHeight w:val="240"/>
        </w:trPr>
        <w:tc>
          <w:tcPr>
            <w:tcW w:w="3466" w:type="dxa"/>
            <w:shd w:val="clear" w:color="auto" w:fill="FFFFFF" w:themeFill="background1"/>
            <w:vAlign w:val="center"/>
          </w:tcPr>
          <w:p w14:paraId="0B66174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Zhongli New Energy USA CO.,LLC</w:t>
            </w:r>
          </w:p>
        </w:tc>
        <w:tc>
          <w:tcPr>
            <w:tcW w:w="3213" w:type="dxa"/>
            <w:shd w:val="clear" w:color="auto" w:fill="FFFFFF" w:themeFill="background1"/>
            <w:vAlign w:val="center"/>
          </w:tcPr>
          <w:p w14:paraId="669882D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03E16AB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0CFE2EFF" w14:textId="77777777" w:rsidTr="00933E86">
        <w:trPr>
          <w:trHeight w:val="240"/>
        </w:trPr>
        <w:tc>
          <w:tcPr>
            <w:tcW w:w="3466" w:type="dxa"/>
            <w:shd w:val="clear" w:color="auto" w:fill="FFFFFF" w:themeFill="background1"/>
            <w:vAlign w:val="center"/>
          </w:tcPr>
          <w:p w14:paraId="6330D37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中利太阳能控股日本有限公司</w:t>
            </w:r>
          </w:p>
        </w:tc>
        <w:tc>
          <w:tcPr>
            <w:tcW w:w="3213" w:type="dxa"/>
            <w:shd w:val="clear" w:color="auto" w:fill="FFFFFF" w:themeFill="background1"/>
            <w:vAlign w:val="center"/>
          </w:tcPr>
          <w:p w14:paraId="632CBF5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46B4466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6972D93C" w14:textId="77777777" w:rsidTr="00933E86">
        <w:trPr>
          <w:trHeight w:val="240"/>
        </w:trPr>
        <w:tc>
          <w:tcPr>
            <w:tcW w:w="3466" w:type="dxa"/>
            <w:shd w:val="clear" w:color="auto" w:fill="FFFFFF" w:themeFill="background1"/>
            <w:vAlign w:val="center"/>
          </w:tcPr>
          <w:p w14:paraId="0E5DA1F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Space Engineer A LLC</w:t>
            </w:r>
          </w:p>
        </w:tc>
        <w:tc>
          <w:tcPr>
            <w:tcW w:w="3213" w:type="dxa"/>
            <w:shd w:val="clear" w:color="auto" w:fill="FFFFFF" w:themeFill="background1"/>
            <w:vAlign w:val="center"/>
          </w:tcPr>
          <w:p w14:paraId="391C26F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081003E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741205BB" w14:textId="77777777" w:rsidTr="00933E86">
        <w:trPr>
          <w:trHeight w:val="240"/>
        </w:trPr>
        <w:tc>
          <w:tcPr>
            <w:tcW w:w="3466" w:type="dxa"/>
            <w:shd w:val="clear" w:color="auto" w:fill="FFFFFF" w:themeFill="background1"/>
            <w:vAlign w:val="center"/>
          </w:tcPr>
          <w:p w14:paraId="7604B99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合同会社井上能源</w:t>
            </w:r>
          </w:p>
        </w:tc>
        <w:tc>
          <w:tcPr>
            <w:tcW w:w="3213" w:type="dxa"/>
            <w:shd w:val="clear" w:color="auto" w:fill="FFFFFF" w:themeFill="background1"/>
            <w:vAlign w:val="center"/>
          </w:tcPr>
          <w:p w14:paraId="2E51048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7526FF0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5CF8AC8C" w14:textId="77777777" w:rsidTr="00933E86">
        <w:trPr>
          <w:trHeight w:val="240"/>
        </w:trPr>
        <w:tc>
          <w:tcPr>
            <w:tcW w:w="3466" w:type="dxa"/>
            <w:shd w:val="clear" w:color="auto" w:fill="FFFFFF" w:themeFill="background1"/>
            <w:vAlign w:val="center"/>
          </w:tcPr>
          <w:p w14:paraId="7272C9A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JAE株式会社</w:t>
            </w:r>
          </w:p>
        </w:tc>
        <w:tc>
          <w:tcPr>
            <w:tcW w:w="3213" w:type="dxa"/>
            <w:shd w:val="clear" w:color="auto" w:fill="FFFFFF" w:themeFill="background1"/>
            <w:vAlign w:val="center"/>
          </w:tcPr>
          <w:p w14:paraId="38AEC2B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2371B9F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56B50D2E" w14:textId="77777777" w:rsidTr="00933E86">
        <w:trPr>
          <w:trHeight w:val="240"/>
        </w:trPr>
        <w:tc>
          <w:tcPr>
            <w:tcW w:w="3466" w:type="dxa"/>
            <w:shd w:val="clear" w:color="auto" w:fill="FFFFFF" w:themeFill="background1"/>
            <w:vAlign w:val="center"/>
          </w:tcPr>
          <w:p w14:paraId="4B0052F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新电力太阳光厚岸发电所合同会社</w:t>
            </w:r>
          </w:p>
        </w:tc>
        <w:tc>
          <w:tcPr>
            <w:tcW w:w="3213" w:type="dxa"/>
            <w:shd w:val="clear" w:color="auto" w:fill="FFFFFF" w:themeFill="background1"/>
            <w:vAlign w:val="center"/>
          </w:tcPr>
          <w:p w14:paraId="667AF0D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1575792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6A344CC8" w14:textId="77777777" w:rsidTr="00933E86">
        <w:trPr>
          <w:trHeight w:val="240"/>
        </w:trPr>
        <w:tc>
          <w:tcPr>
            <w:tcW w:w="3466" w:type="dxa"/>
            <w:shd w:val="clear" w:color="auto" w:fill="FFFFFF" w:themeFill="background1"/>
            <w:vAlign w:val="center"/>
          </w:tcPr>
          <w:p w14:paraId="7AC772E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新电力太阳光御殿场发电所合同会社</w:t>
            </w:r>
          </w:p>
        </w:tc>
        <w:tc>
          <w:tcPr>
            <w:tcW w:w="3213" w:type="dxa"/>
            <w:shd w:val="clear" w:color="auto" w:fill="FFFFFF" w:themeFill="background1"/>
            <w:vAlign w:val="center"/>
          </w:tcPr>
          <w:p w14:paraId="508FF5E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3DD9DE5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27E59DBE" w14:textId="77777777" w:rsidTr="00933E86">
        <w:trPr>
          <w:trHeight w:val="240"/>
        </w:trPr>
        <w:tc>
          <w:tcPr>
            <w:tcW w:w="3466" w:type="dxa"/>
            <w:shd w:val="clear" w:color="auto" w:fill="FFFFFF" w:themeFill="background1"/>
            <w:vAlign w:val="center"/>
          </w:tcPr>
          <w:p w14:paraId="73727AE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新电力御殿场太阳光第1株式会社</w:t>
            </w:r>
          </w:p>
        </w:tc>
        <w:tc>
          <w:tcPr>
            <w:tcW w:w="3213" w:type="dxa"/>
            <w:shd w:val="clear" w:color="auto" w:fill="FFFFFF" w:themeFill="background1"/>
            <w:vAlign w:val="center"/>
          </w:tcPr>
          <w:p w14:paraId="09E2FA5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63AABB7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6516900F" w14:textId="77777777" w:rsidTr="00933E86">
        <w:trPr>
          <w:trHeight w:val="240"/>
        </w:trPr>
        <w:tc>
          <w:tcPr>
            <w:tcW w:w="3466" w:type="dxa"/>
            <w:shd w:val="clear" w:color="auto" w:fill="FFFFFF" w:themeFill="background1"/>
            <w:vAlign w:val="center"/>
          </w:tcPr>
          <w:p w14:paraId="2EE144A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农光振兴株式会社</w:t>
            </w:r>
          </w:p>
        </w:tc>
        <w:tc>
          <w:tcPr>
            <w:tcW w:w="3213" w:type="dxa"/>
            <w:shd w:val="clear" w:color="auto" w:fill="FFFFFF" w:themeFill="background1"/>
            <w:vAlign w:val="center"/>
          </w:tcPr>
          <w:p w14:paraId="1312E70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57369C4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2C4A8360" w14:textId="77777777" w:rsidTr="00933E86">
        <w:trPr>
          <w:trHeight w:val="240"/>
        </w:trPr>
        <w:tc>
          <w:tcPr>
            <w:tcW w:w="3466" w:type="dxa"/>
            <w:shd w:val="clear" w:color="auto" w:fill="FFFFFF" w:themeFill="background1"/>
            <w:vAlign w:val="center"/>
          </w:tcPr>
          <w:p w14:paraId="2DA16CB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新荣商事株式会社</w:t>
            </w:r>
          </w:p>
        </w:tc>
        <w:tc>
          <w:tcPr>
            <w:tcW w:w="3213" w:type="dxa"/>
            <w:shd w:val="clear" w:color="auto" w:fill="FFFFFF" w:themeFill="background1"/>
            <w:vAlign w:val="center"/>
          </w:tcPr>
          <w:p w14:paraId="24D5479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2528E0F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637CB8F0" w14:textId="77777777" w:rsidTr="00933E86">
        <w:trPr>
          <w:trHeight w:val="240"/>
        </w:trPr>
        <w:tc>
          <w:tcPr>
            <w:tcW w:w="3466" w:type="dxa"/>
            <w:shd w:val="clear" w:color="auto" w:fill="FFFFFF" w:themeFill="background1"/>
            <w:vAlign w:val="center"/>
          </w:tcPr>
          <w:p w14:paraId="419EBD1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中利腾晖香港有限公司</w:t>
            </w:r>
          </w:p>
        </w:tc>
        <w:tc>
          <w:tcPr>
            <w:tcW w:w="3213" w:type="dxa"/>
            <w:shd w:val="clear" w:color="auto" w:fill="FFFFFF" w:themeFill="background1"/>
            <w:vAlign w:val="center"/>
          </w:tcPr>
          <w:p w14:paraId="01C8CC3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0F4EF79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51D333E4" w14:textId="77777777" w:rsidTr="00933E86">
        <w:trPr>
          <w:trHeight w:val="240"/>
        </w:trPr>
        <w:tc>
          <w:tcPr>
            <w:tcW w:w="3466" w:type="dxa"/>
            <w:shd w:val="clear" w:color="auto" w:fill="FFFFFF" w:themeFill="background1"/>
            <w:vAlign w:val="center"/>
          </w:tcPr>
          <w:p w14:paraId="42CFCDA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TALESUN SOLAR FRANCE</w:t>
            </w:r>
          </w:p>
        </w:tc>
        <w:tc>
          <w:tcPr>
            <w:tcW w:w="3213" w:type="dxa"/>
            <w:shd w:val="clear" w:color="auto" w:fill="FFFFFF" w:themeFill="background1"/>
            <w:vAlign w:val="center"/>
          </w:tcPr>
          <w:p w14:paraId="3911E3F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7E63B2E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70DFD394" w14:textId="77777777" w:rsidTr="00933E86">
        <w:trPr>
          <w:trHeight w:val="240"/>
        </w:trPr>
        <w:tc>
          <w:tcPr>
            <w:tcW w:w="3466" w:type="dxa"/>
            <w:shd w:val="clear" w:color="auto" w:fill="FFFFFF" w:themeFill="background1"/>
            <w:vAlign w:val="center"/>
          </w:tcPr>
          <w:p w14:paraId="2E7A81E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TALESUN SOLAR TECHNOLOGY(SINGAPORE) PTE.LTD.</w:t>
            </w:r>
          </w:p>
        </w:tc>
        <w:tc>
          <w:tcPr>
            <w:tcW w:w="3213" w:type="dxa"/>
            <w:shd w:val="clear" w:color="auto" w:fill="FFFFFF" w:themeFill="background1"/>
            <w:vAlign w:val="center"/>
          </w:tcPr>
          <w:p w14:paraId="2CD7419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58FCAF5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03E80153" w14:textId="77777777" w:rsidTr="00933E86">
        <w:trPr>
          <w:trHeight w:val="240"/>
        </w:trPr>
        <w:tc>
          <w:tcPr>
            <w:tcW w:w="3466" w:type="dxa"/>
            <w:shd w:val="clear" w:color="auto" w:fill="FFFFFF" w:themeFill="background1"/>
            <w:vAlign w:val="center"/>
          </w:tcPr>
          <w:p w14:paraId="55C4C45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腾晖电力日本有限公司</w:t>
            </w:r>
          </w:p>
        </w:tc>
        <w:tc>
          <w:tcPr>
            <w:tcW w:w="3213" w:type="dxa"/>
            <w:shd w:val="clear" w:color="auto" w:fill="FFFFFF" w:themeFill="background1"/>
            <w:vAlign w:val="center"/>
          </w:tcPr>
          <w:p w14:paraId="78ACDC8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1A95E7B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r w:rsidR="00632E5B" w14:paraId="384DD8D9" w14:textId="77777777" w:rsidTr="00933E86">
        <w:trPr>
          <w:trHeight w:val="240"/>
        </w:trPr>
        <w:tc>
          <w:tcPr>
            <w:tcW w:w="3466" w:type="dxa"/>
            <w:shd w:val="clear" w:color="auto" w:fill="FFFFFF" w:themeFill="background1"/>
            <w:vAlign w:val="center"/>
          </w:tcPr>
          <w:p w14:paraId="76878173" w14:textId="77777777" w:rsidR="00632E5B" w:rsidRDefault="00107901">
            <w:pPr>
              <w:spacing w:line="240" w:lineRule="exact"/>
              <w:rPr>
                <w:rFonts w:ascii="宋体" w:eastAsia="宋体" w:hAnsi="宋体" w:cs="宋体" w:hint="eastAsia"/>
                <w:sz w:val="18"/>
                <w:szCs w:val="18"/>
              </w:rPr>
            </w:pPr>
            <w:proofErr w:type="spellStart"/>
            <w:r>
              <w:rPr>
                <w:rFonts w:ascii="宋体" w:eastAsia="宋体" w:hAnsi="宋体" w:cs="宋体"/>
                <w:sz w:val="18"/>
                <w:szCs w:val="18"/>
              </w:rPr>
              <w:t>Talesun</w:t>
            </w:r>
            <w:proofErr w:type="spellEnd"/>
            <w:r>
              <w:rPr>
                <w:rFonts w:ascii="宋体" w:eastAsia="宋体" w:hAnsi="宋体" w:cs="宋体"/>
                <w:sz w:val="18"/>
                <w:szCs w:val="18"/>
              </w:rPr>
              <w:t xml:space="preserve"> Solar Canada Inc.</w:t>
            </w:r>
          </w:p>
        </w:tc>
        <w:tc>
          <w:tcPr>
            <w:tcW w:w="3213" w:type="dxa"/>
            <w:shd w:val="clear" w:color="auto" w:fill="FFFFFF" w:themeFill="background1"/>
            <w:vAlign w:val="center"/>
          </w:tcPr>
          <w:p w14:paraId="477E10B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本期因执行重整计划纳入信托计划而不再纳入合并范围</w:t>
            </w:r>
          </w:p>
        </w:tc>
        <w:tc>
          <w:tcPr>
            <w:tcW w:w="3213" w:type="dxa"/>
            <w:shd w:val="clear" w:color="auto" w:fill="FFFFFF" w:themeFill="background1"/>
            <w:vAlign w:val="center"/>
          </w:tcPr>
          <w:p w14:paraId="4A54F52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积极</w:t>
            </w:r>
          </w:p>
        </w:tc>
      </w:tr>
    </w:tbl>
    <w:p w14:paraId="1D84C417"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主要控股参股公司情况说明</w:t>
      </w:r>
    </w:p>
    <w:p w14:paraId="0963763C" w14:textId="77777777" w:rsidR="00E72F0C" w:rsidRPr="00EC682D" w:rsidRDefault="00107901" w:rsidP="00EC682D">
      <w:pPr>
        <w:pStyle w:val="a3"/>
        <w:spacing w:before="0" w:beforeAutospacing="0" w:after="0" w:afterAutospacing="0" w:line="360" w:lineRule="auto"/>
        <w:divId w:val="141314191"/>
        <w:rPr>
          <w:rFonts w:hint="eastAsia"/>
          <w:sz w:val="21"/>
          <w:szCs w:val="18"/>
        </w:rPr>
      </w:pPr>
      <w:r w:rsidRPr="00EC682D">
        <w:rPr>
          <w:rFonts w:hint="eastAsia"/>
          <w:sz w:val="21"/>
          <w:szCs w:val="18"/>
        </w:rPr>
        <w:t>无。</w:t>
      </w:r>
    </w:p>
    <w:p w14:paraId="47BB8109" w14:textId="77777777" w:rsidR="00632E5B" w:rsidRDefault="00107901">
      <w:pPr>
        <w:pStyle w:val="2"/>
        <w:spacing w:before="300" w:after="300" w:line="320" w:lineRule="exact"/>
        <w:rPr>
          <w:rFonts w:ascii="宋体" w:eastAsia="宋体" w:hAnsi="宋体" w:cs="宋体" w:hint="eastAsia"/>
          <w:b/>
          <w:bCs/>
          <w:sz w:val="24"/>
          <w:szCs w:val="24"/>
        </w:rPr>
      </w:pPr>
      <w:bookmarkStart w:id="51" w:name="_Toc988940"/>
      <w:r>
        <w:rPr>
          <w:rFonts w:ascii="宋体" w:eastAsia="宋体" w:hAnsi="宋体" w:cs="宋体"/>
          <w:b/>
          <w:bCs/>
          <w:sz w:val="24"/>
          <w:szCs w:val="24"/>
        </w:rPr>
        <w:t>十、公司控制的结构化主体情况</w:t>
      </w:r>
      <w:bookmarkEnd w:id="51"/>
    </w:p>
    <w:p w14:paraId="7F521AAB"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0BD6219D" w14:textId="77777777" w:rsidR="00632E5B" w:rsidRDefault="00107901">
      <w:pPr>
        <w:pStyle w:val="2"/>
        <w:spacing w:before="300" w:after="300" w:line="320" w:lineRule="exact"/>
        <w:rPr>
          <w:rFonts w:ascii="宋体" w:eastAsia="宋体" w:hAnsi="宋体" w:cs="宋体" w:hint="eastAsia"/>
          <w:b/>
          <w:bCs/>
          <w:sz w:val="24"/>
          <w:szCs w:val="24"/>
        </w:rPr>
      </w:pPr>
      <w:bookmarkStart w:id="52" w:name="_Toc988941"/>
      <w:r>
        <w:rPr>
          <w:rFonts w:ascii="宋体" w:eastAsia="宋体" w:hAnsi="宋体" w:cs="宋体"/>
          <w:b/>
          <w:bCs/>
          <w:sz w:val="24"/>
          <w:szCs w:val="24"/>
        </w:rPr>
        <w:lastRenderedPageBreak/>
        <w:t>十一、公司未来发展的展望</w:t>
      </w:r>
      <w:bookmarkEnd w:id="52"/>
    </w:p>
    <w:p w14:paraId="30D43185" w14:textId="77777777" w:rsidR="00E72F0C" w:rsidRDefault="00107901">
      <w:pPr>
        <w:pStyle w:val="a3"/>
        <w:spacing w:before="0" w:beforeAutospacing="0" w:after="0" w:afterAutospacing="0" w:line="360" w:lineRule="auto"/>
        <w:divId w:val="820971179"/>
        <w:rPr>
          <w:rFonts w:hint="eastAsia"/>
        </w:rPr>
      </w:pPr>
      <w:r>
        <w:rPr>
          <w:rFonts w:hint="eastAsia"/>
          <w:sz w:val="21"/>
          <w:szCs w:val="21"/>
        </w:rPr>
        <w:t>（一）发展战略</w:t>
      </w:r>
    </w:p>
    <w:p w14:paraId="577C789B" w14:textId="77777777" w:rsidR="00E72F0C" w:rsidRDefault="00107901">
      <w:pPr>
        <w:pStyle w:val="a3"/>
        <w:spacing w:before="0" w:beforeAutospacing="0" w:after="0" w:afterAutospacing="0" w:line="360" w:lineRule="auto"/>
        <w:ind w:firstLine="420"/>
        <w:jc w:val="both"/>
        <w:divId w:val="820971179"/>
        <w:rPr>
          <w:rFonts w:hint="eastAsia"/>
        </w:rPr>
      </w:pPr>
      <w:r>
        <w:rPr>
          <w:rFonts w:hint="eastAsia"/>
          <w:sz w:val="21"/>
          <w:szCs w:val="21"/>
        </w:rPr>
        <w:t>2025年是公司革故鼎新、扬帆起航的元年，公司将坚持以“光伏+线缆”双核心业务驱动发展，瞄准行业技术前沿，持续加强全球研发以及产、供、销方面的服务能力，以客户需求为中心进行产品和技术的更新迭代，进一步推进业务全球化，全力开创可持续高质量发展的新局面。</w:t>
      </w:r>
    </w:p>
    <w:p w14:paraId="5D2BC27A" w14:textId="77777777" w:rsidR="00E72F0C" w:rsidRDefault="00107901">
      <w:pPr>
        <w:pStyle w:val="a3"/>
        <w:spacing w:before="0" w:beforeAutospacing="0" w:after="0" w:afterAutospacing="0" w:line="360" w:lineRule="auto"/>
        <w:divId w:val="820971179"/>
        <w:rPr>
          <w:rFonts w:hint="eastAsia"/>
        </w:rPr>
      </w:pPr>
      <w:r>
        <w:rPr>
          <w:rFonts w:hint="eastAsia"/>
          <w:color w:val="000000"/>
          <w:sz w:val="21"/>
          <w:szCs w:val="21"/>
        </w:rPr>
        <w:t>（二）经营计划</w:t>
      </w:r>
    </w:p>
    <w:p w14:paraId="72D098EF" w14:textId="77777777" w:rsidR="00E72F0C" w:rsidRDefault="00107901">
      <w:pPr>
        <w:pStyle w:val="a3"/>
        <w:spacing w:before="0" w:beforeAutospacing="0" w:after="0" w:afterAutospacing="0" w:line="360" w:lineRule="auto"/>
        <w:ind w:firstLine="420"/>
        <w:jc w:val="both"/>
        <w:divId w:val="820971179"/>
        <w:rPr>
          <w:rFonts w:hint="eastAsia"/>
        </w:rPr>
      </w:pPr>
      <w:r>
        <w:rPr>
          <w:rFonts w:hint="eastAsia"/>
          <w:sz w:val="21"/>
          <w:szCs w:val="21"/>
        </w:rPr>
        <w:t>1.线缆业务</w:t>
      </w:r>
    </w:p>
    <w:p w14:paraId="47880821" w14:textId="77777777" w:rsidR="00E72F0C" w:rsidRDefault="00107901">
      <w:pPr>
        <w:pStyle w:val="a3"/>
        <w:spacing w:before="0" w:beforeAutospacing="0" w:after="0" w:afterAutospacing="0" w:line="360" w:lineRule="auto"/>
        <w:ind w:firstLine="420"/>
        <w:jc w:val="both"/>
        <w:divId w:val="820971179"/>
        <w:rPr>
          <w:rFonts w:hint="eastAsia"/>
        </w:rPr>
      </w:pPr>
      <w:r>
        <w:rPr>
          <w:rFonts w:hint="eastAsia"/>
          <w:sz w:val="21"/>
          <w:szCs w:val="21"/>
        </w:rPr>
        <w:t>（1）融入国内国际双循环。强化国内市场拓展，加强与现有国内优质客户的业务联系，同时发挥与控股股东的业务协同优势，开发新客户群体，恢复并扩大市场份额；加快海外业务布局，组建国际化人才团队，推进线缆品牌国际化。</w:t>
      </w:r>
    </w:p>
    <w:p w14:paraId="48ACA4D7" w14:textId="77777777" w:rsidR="00E72F0C" w:rsidRDefault="00107901">
      <w:pPr>
        <w:pStyle w:val="a3"/>
        <w:spacing w:before="0" w:beforeAutospacing="0" w:after="0" w:afterAutospacing="0" w:line="360" w:lineRule="auto"/>
        <w:ind w:firstLine="420"/>
        <w:jc w:val="both"/>
        <w:divId w:val="820971179"/>
        <w:rPr>
          <w:rFonts w:hint="eastAsia"/>
        </w:rPr>
      </w:pPr>
      <w:r>
        <w:rPr>
          <w:rFonts w:hint="eastAsia"/>
          <w:sz w:val="21"/>
          <w:szCs w:val="21"/>
        </w:rPr>
        <w:t>（2）提升风控管理，强化合规经营。通过科技赋能整合线缆板块产能，实现对各个生产基地的采、产、销全流程的风险识别，有效防范和降低业务风险；强化合规经营意识，加强采购成本、相关费用的管控力度，努力降低生产成本，提高经营效益。</w:t>
      </w:r>
    </w:p>
    <w:p w14:paraId="223CB78E" w14:textId="77777777" w:rsidR="00E72F0C" w:rsidRDefault="00107901">
      <w:pPr>
        <w:pStyle w:val="a3"/>
        <w:spacing w:before="0" w:beforeAutospacing="0" w:after="0" w:afterAutospacing="0" w:line="360" w:lineRule="auto"/>
        <w:ind w:firstLine="420"/>
        <w:jc w:val="both"/>
        <w:divId w:val="820971179"/>
        <w:rPr>
          <w:rFonts w:hint="eastAsia"/>
        </w:rPr>
      </w:pPr>
      <w:r>
        <w:rPr>
          <w:rFonts w:hint="eastAsia"/>
          <w:sz w:val="21"/>
          <w:szCs w:val="21"/>
        </w:rPr>
        <w:t>（3）加强金融赋能，做好套期保值。建立金融工具管理制度，加强对金融工具的理解与运用，合理使用金融工具对冲原材料、产成品的价格波动风险，做好套期保值工作，稳定盈利水平。</w:t>
      </w:r>
    </w:p>
    <w:p w14:paraId="0E5A8833" w14:textId="77777777" w:rsidR="00E72F0C" w:rsidRDefault="00107901">
      <w:pPr>
        <w:pStyle w:val="a3"/>
        <w:spacing w:before="0" w:beforeAutospacing="0" w:after="0" w:afterAutospacing="0" w:line="360" w:lineRule="auto"/>
        <w:ind w:firstLine="420"/>
        <w:jc w:val="both"/>
        <w:divId w:val="820971179"/>
        <w:rPr>
          <w:rFonts w:hint="eastAsia"/>
        </w:rPr>
      </w:pPr>
      <w:r>
        <w:rPr>
          <w:rFonts w:hint="eastAsia"/>
          <w:sz w:val="21"/>
          <w:szCs w:val="21"/>
        </w:rPr>
        <w:t>2.光伏业务</w:t>
      </w:r>
    </w:p>
    <w:p w14:paraId="4227B630" w14:textId="77777777" w:rsidR="00E72F0C" w:rsidRDefault="00107901">
      <w:pPr>
        <w:pStyle w:val="a3"/>
        <w:spacing w:before="0" w:beforeAutospacing="0" w:after="0" w:afterAutospacing="0" w:line="360" w:lineRule="auto"/>
        <w:ind w:firstLine="420"/>
        <w:jc w:val="both"/>
        <w:divId w:val="820971179"/>
        <w:rPr>
          <w:rFonts w:hint="eastAsia"/>
        </w:rPr>
      </w:pPr>
      <w:r>
        <w:rPr>
          <w:rFonts w:hint="eastAsia"/>
          <w:sz w:val="21"/>
          <w:szCs w:val="21"/>
        </w:rPr>
        <w:t>（1）加强品牌影响力，强化全球布局。以腾晖光伏重回彭博新能源财经Tier1名单为契机，加速品牌出海，增强全球客户对腾晖光伏的认知度与信心。面对复杂多变的海外贸易环境，逐步完善海外配套产业链，强化海外高价值市场供应链稳定性。推动光伏海外制造本土化，响应海外贸易政策，避免贸易壁垒、关税制裁等风险。</w:t>
      </w:r>
    </w:p>
    <w:p w14:paraId="088528FB" w14:textId="77777777" w:rsidR="00E72F0C" w:rsidRDefault="00107901">
      <w:pPr>
        <w:pStyle w:val="a3"/>
        <w:spacing w:before="0" w:beforeAutospacing="0" w:after="0" w:afterAutospacing="0" w:line="360" w:lineRule="auto"/>
        <w:ind w:firstLine="420"/>
        <w:jc w:val="both"/>
        <w:divId w:val="820971179"/>
        <w:rPr>
          <w:rFonts w:hint="eastAsia"/>
        </w:rPr>
      </w:pPr>
      <w:r>
        <w:rPr>
          <w:rFonts w:hint="eastAsia"/>
          <w:sz w:val="21"/>
          <w:szCs w:val="21"/>
        </w:rPr>
        <w:t>（2）坚持技术开发与产品创新。密切关注国内外技术发展的前沿和趋势，在技术开发和产品创新方面保持合理投入，聚焦构建长期可持续发展能力和技术优势。</w:t>
      </w:r>
    </w:p>
    <w:p w14:paraId="7781DAFB" w14:textId="77777777" w:rsidR="00E72F0C" w:rsidRDefault="00107901">
      <w:pPr>
        <w:pStyle w:val="a3"/>
        <w:spacing w:before="0" w:beforeAutospacing="0" w:after="0" w:afterAutospacing="0" w:line="360" w:lineRule="auto"/>
        <w:ind w:firstLine="420"/>
        <w:jc w:val="both"/>
        <w:divId w:val="820971179"/>
        <w:rPr>
          <w:rFonts w:hint="eastAsia"/>
        </w:rPr>
      </w:pPr>
      <w:r>
        <w:rPr>
          <w:rFonts w:hint="eastAsia"/>
          <w:sz w:val="21"/>
          <w:szCs w:val="21"/>
        </w:rPr>
        <w:t>（3）科技赋能业务。推进业财一体化新系统建设，构建统一数字化管理平台，实现流程标准化，强化风险识别、管控能力。推进主数据治理，提高管理精细度，提升业务核心竞争力。</w:t>
      </w:r>
    </w:p>
    <w:p w14:paraId="4BBAB90F" w14:textId="77777777" w:rsidR="00E72F0C" w:rsidRDefault="00107901">
      <w:pPr>
        <w:pStyle w:val="a3"/>
        <w:spacing w:before="0" w:beforeAutospacing="0" w:after="0" w:afterAutospacing="0" w:line="360" w:lineRule="auto"/>
        <w:divId w:val="820971179"/>
        <w:rPr>
          <w:rFonts w:hint="eastAsia"/>
        </w:rPr>
      </w:pPr>
      <w:r>
        <w:rPr>
          <w:rFonts w:hint="eastAsia"/>
          <w:color w:val="000000"/>
          <w:sz w:val="21"/>
          <w:szCs w:val="21"/>
        </w:rPr>
        <w:t>（三）可能面临的主要风险分析及应对措施</w:t>
      </w:r>
    </w:p>
    <w:p w14:paraId="555A4140" w14:textId="77777777" w:rsidR="00E72F0C" w:rsidRDefault="00107901">
      <w:pPr>
        <w:pStyle w:val="a3"/>
        <w:spacing w:before="0" w:beforeAutospacing="0" w:after="0" w:afterAutospacing="0" w:line="360" w:lineRule="auto"/>
        <w:ind w:firstLine="420"/>
        <w:divId w:val="820971179"/>
        <w:rPr>
          <w:rFonts w:hint="eastAsia"/>
        </w:rPr>
      </w:pPr>
      <w:r>
        <w:rPr>
          <w:rFonts w:hint="eastAsia"/>
          <w:color w:val="000000"/>
          <w:sz w:val="21"/>
          <w:szCs w:val="21"/>
        </w:rPr>
        <w:t>1.行业竞争与产能过剩风险</w:t>
      </w:r>
    </w:p>
    <w:p w14:paraId="02861510" w14:textId="77777777" w:rsidR="00E72F0C" w:rsidRDefault="00107901">
      <w:pPr>
        <w:pStyle w:val="a3"/>
        <w:spacing w:before="0" w:beforeAutospacing="0" w:after="0" w:afterAutospacing="0" w:line="360" w:lineRule="auto"/>
        <w:ind w:firstLine="420"/>
        <w:jc w:val="both"/>
        <w:divId w:val="820971179"/>
        <w:rPr>
          <w:rFonts w:hint="eastAsia"/>
        </w:rPr>
      </w:pPr>
      <w:r>
        <w:rPr>
          <w:rFonts w:hint="eastAsia"/>
          <w:color w:val="000000"/>
          <w:sz w:val="21"/>
          <w:szCs w:val="21"/>
        </w:rPr>
        <w:t>近些年，各路资本纷纷加强对光伏的投入，头部企业凭借资金、技术、成本和渠道优势，加快产能扩张步伐。然而，盲目的产能扩张加剧了行业内的无序竞争导致产能过剩、库存积压、价格下降、经营亏损等问题，行业已进入深度调整期。为有效应对这一风险，公司依托自身核心技术、品牌及销售等优</w:t>
      </w:r>
      <w:r>
        <w:rPr>
          <w:rFonts w:hint="eastAsia"/>
          <w:color w:val="000000"/>
          <w:sz w:val="21"/>
          <w:szCs w:val="21"/>
        </w:rPr>
        <w:lastRenderedPageBreak/>
        <w:t>势，不断提升自身竞争力，增强客户粘性，巩固市场份额和市场地位。同时，紧跟行业发展趋势，结合行业和市场情况持续优化经营策略和市场布局，增强公司在面临行业竞争与产能过剩风险时的经营韧性。</w:t>
      </w:r>
    </w:p>
    <w:p w14:paraId="6CE2ADFF" w14:textId="77777777" w:rsidR="00E72F0C" w:rsidRDefault="00107901">
      <w:pPr>
        <w:pStyle w:val="a3"/>
        <w:spacing w:before="0" w:beforeAutospacing="0" w:after="0" w:afterAutospacing="0" w:line="360" w:lineRule="auto"/>
        <w:ind w:firstLine="420"/>
        <w:divId w:val="820971179"/>
        <w:rPr>
          <w:rFonts w:hint="eastAsia"/>
        </w:rPr>
      </w:pPr>
      <w:r>
        <w:rPr>
          <w:rFonts w:hint="eastAsia"/>
          <w:color w:val="000000"/>
          <w:sz w:val="21"/>
          <w:szCs w:val="21"/>
        </w:rPr>
        <w:t>2.产业政策风险</w:t>
      </w:r>
    </w:p>
    <w:p w14:paraId="4F3A0FC4" w14:textId="77777777" w:rsidR="00E72F0C" w:rsidRDefault="00107901">
      <w:pPr>
        <w:pStyle w:val="a3"/>
        <w:spacing w:before="0" w:beforeAutospacing="0" w:after="0" w:afterAutospacing="0" w:line="360" w:lineRule="auto"/>
        <w:ind w:firstLine="420"/>
        <w:jc w:val="both"/>
        <w:divId w:val="820971179"/>
        <w:rPr>
          <w:rFonts w:hint="eastAsia"/>
        </w:rPr>
      </w:pPr>
      <w:r>
        <w:rPr>
          <w:rFonts w:hint="eastAsia"/>
          <w:color w:val="000000"/>
          <w:sz w:val="21"/>
          <w:szCs w:val="21"/>
        </w:rPr>
        <w:t>近年来，欧盟、美国、印度等国家和地区持续出台政策鼓励光伏本土制造，针对我国光伏企业的贸易保护措施和关税壁垒不断出现，海外贸易政策的复杂多变将为公司光伏产品出口及海外产能运营带来较大的不确定性风险。为有效应对这一风险，公司持续关注光伏产业政策动态，跟进海外贸易政策演变，研究制定有效路径，持续优化全球产能布局，提升海外市场出货能力和抗风险能力。</w:t>
      </w:r>
    </w:p>
    <w:p w14:paraId="017BB3FD" w14:textId="77777777" w:rsidR="00E72F0C" w:rsidRDefault="00107901">
      <w:pPr>
        <w:pStyle w:val="a3"/>
        <w:spacing w:before="0" w:beforeAutospacing="0" w:after="0" w:afterAutospacing="0" w:line="360" w:lineRule="auto"/>
        <w:ind w:firstLine="420"/>
        <w:divId w:val="820971179"/>
        <w:rPr>
          <w:rFonts w:hint="eastAsia"/>
        </w:rPr>
      </w:pPr>
      <w:r>
        <w:rPr>
          <w:rFonts w:hint="eastAsia"/>
          <w:color w:val="000000"/>
          <w:sz w:val="21"/>
          <w:szCs w:val="21"/>
        </w:rPr>
        <w:t xml:space="preserve">3.原材料价格波动风险 </w:t>
      </w:r>
    </w:p>
    <w:p w14:paraId="01B4A5F7" w14:textId="77777777" w:rsidR="00E72F0C" w:rsidRDefault="00107901">
      <w:pPr>
        <w:pStyle w:val="a3"/>
        <w:spacing w:before="0" w:beforeAutospacing="0" w:after="0" w:afterAutospacing="0" w:line="360" w:lineRule="auto"/>
        <w:ind w:firstLine="420"/>
        <w:divId w:val="820971179"/>
        <w:rPr>
          <w:rFonts w:hint="eastAsia"/>
        </w:rPr>
      </w:pPr>
      <w:r>
        <w:rPr>
          <w:rFonts w:hint="eastAsia"/>
          <w:color w:val="000000"/>
          <w:sz w:val="21"/>
          <w:szCs w:val="21"/>
        </w:rPr>
        <w:t>线缆主要原材料包括铜材、铝材、塑料等，光伏组件主要原材料包括硅片及各种辅材等，主要原材料价格占产成品总成本比例较大。为有效应对这一风险，公司依据市场订单来确定生产规模，采取以销定产的生产模式。同时，合理使用金融工具对冲原材料的价格波动，做好套期保值工作，确保公司稳健经营。</w:t>
      </w:r>
    </w:p>
    <w:p w14:paraId="0A4F98ED" w14:textId="77777777" w:rsidR="00E72F0C" w:rsidRDefault="00107901">
      <w:pPr>
        <w:pStyle w:val="a3"/>
        <w:spacing w:before="0" w:beforeAutospacing="0" w:after="0" w:afterAutospacing="0" w:line="360" w:lineRule="auto"/>
        <w:ind w:firstLine="420"/>
        <w:divId w:val="820971179"/>
        <w:rPr>
          <w:rFonts w:hint="eastAsia"/>
        </w:rPr>
      </w:pPr>
      <w:r>
        <w:rPr>
          <w:rFonts w:hint="eastAsia"/>
          <w:sz w:val="21"/>
          <w:szCs w:val="21"/>
        </w:rPr>
        <w:t>4.技术迭代风险</w:t>
      </w:r>
    </w:p>
    <w:p w14:paraId="2AAA70CF" w14:textId="4BEFC0F2" w:rsidR="00E72F0C" w:rsidRDefault="002A58FC">
      <w:pPr>
        <w:pStyle w:val="a3"/>
        <w:spacing w:before="0" w:beforeAutospacing="0" w:after="0" w:afterAutospacing="0" w:line="360" w:lineRule="auto"/>
        <w:ind w:firstLine="420"/>
        <w:divId w:val="820971179"/>
        <w:rPr>
          <w:rFonts w:hint="eastAsia"/>
        </w:rPr>
      </w:pPr>
      <w:r>
        <w:rPr>
          <w:rFonts w:hint="eastAsia"/>
          <w:sz w:val="21"/>
          <w:szCs w:val="21"/>
        </w:rPr>
        <w:t>光伏行业正处在技术快速迭代期，以</w:t>
      </w:r>
      <w:proofErr w:type="spellStart"/>
      <w:r>
        <w:rPr>
          <w:rFonts w:hint="eastAsia"/>
          <w:sz w:val="21"/>
          <w:szCs w:val="21"/>
        </w:rPr>
        <w:t>TOPCon</w:t>
      </w:r>
      <w:proofErr w:type="spellEnd"/>
      <w:r>
        <w:rPr>
          <w:rFonts w:hint="eastAsia"/>
          <w:sz w:val="21"/>
          <w:szCs w:val="21"/>
        </w:rPr>
        <w:t>、HJT、BC、钙钛矿等为代表的新一代电池组件技术存在激烈的博弈，各企业纷纷大力推进自身技术研发工作，如公司无法持续跟进前沿技术研发，应对行业变化，可能造成自身核心竞争力的减弱。为有效应对这一风险，公司坚持以技术创新为抓手，全方位保持对新技术路线的研发关注，提前做好技术储备布局规划，保持公司技术及产品的先进性。目前，公司在BC、HJT以及钙钛矿领域均有技术储备。</w:t>
      </w:r>
    </w:p>
    <w:p w14:paraId="67B682F2" w14:textId="77777777" w:rsidR="00632E5B" w:rsidRDefault="00107901">
      <w:pPr>
        <w:pStyle w:val="2"/>
        <w:spacing w:before="300" w:after="300" w:line="320" w:lineRule="exact"/>
        <w:rPr>
          <w:rFonts w:ascii="宋体" w:eastAsia="宋体" w:hAnsi="宋体" w:cs="宋体" w:hint="eastAsia"/>
          <w:b/>
          <w:bCs/>
          <w:sz w:val="24"/>
          <w:szCs w:val="24"/>
        </w:rPr>
      </w:pPr>
      <w:bookmarkStart w:id="53" w:name="_Toc988942"/>
      <w:r>
        <w:rPr>
          <w:rFonts w:ascii="宋体" w:eastAsia="宋体" w:hAnsi="宋体" w:cs="宋体"/>
          <w:b/>
          <w:bCs/>
          <w:sz w:val="24"/>
          <w:szCs w:val="24"/>
        </w:rPr>
        <w:t>十二、报告期内接待调研、沟通、采访等活动</w:t>
      </w:r>
      <w:bookmarkEnd w:id="53"/>
    </w:p>
    <w:p w14:paraId="5FCA652A" w14:textId="77777777" w:rsidR="00632E5B" w:rsidRDefault="00107901" w:rsidP="00373F73">
      <w:pPr>
        <w:spacing w:before="100" w:after="100" w:line="276" w:lineRule="auto"/>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357"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377"/>
        <w:gridCol w:w="922"/>
        <w:gridCol w:w="1377"/>
        <w:gridCol w:w="1003"/>
        <w:gridCol w:w="1377"/>
        <w:gridCol w:w="2309"/>
        <w:gridCol w:w="992"/>
      </w:tblGrid>
      <w:tr w:rsidR="00632E5B" w14:paraId="56FD1B05" w14:textId="77777777" w:rsidTr="007A2A48">
        <w:trPr>
          <w:trHeight w:val="240"/>
        </w:trPr>
        <w:tc>
          <w:tcPr>
            <w:tcW w:w="1377" w:type="dxa"/>
            <w:shd w:val="clear" w:color="auto" w:fill="FFFFFF" w:themeFill="background1"/>
            <w:vAlign w:val="center"/>
          </w:tcPr>
          <w:p w14:paraId="7297E1A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接待时间</w:t>
            </w:r>
          </w:p>
        </w:tc>
        <w:tc>
          <w:tcPr>
            <w:tcW w:w="922" w:type="dxa"/>
            <w:shd w:val="clear" w:color="auto" w:fill="FFFFFF" w:themeFill="background1"/>
            <w:vAlign w:val="center"/>
          </w:tcPr>
          <w:p w14:paraId="47B7FAD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接待地点</w:t>
            </w:r>
          </w:p>
        </w:tc>
        <w:tc>
          <w:tcPr>
            <w:tcW w:w="1377" w:type="dxa"/>
            <w:shd w:val="clear" w:color="auto" w:fill="FFFFFF" w:themeFill="background1"/>
            <w:vAlign w:val="center"/>
          </w:tcPr>
          <w:p w14:paraId="781ECEA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接待方式</w:t>
            </w:r>
          </w:p>
        </w:tc>
        <w:tc>
          <w:tcPr>
            <w:tcW w:w="1003" w:type="dxa"/>
            <w:shd w:val="clear" w:color="auto" w:fill="FFFFFF" w:themeFill="background1"/>
            <w:vAlign w:val="center"/>
          </w:tcPr>
          <w:p w14:paraId="50EB315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接待对象类型</w:t>
            </w:r>
          </w:p>
        </w:tc>
        <w:tc>
          <w:tcPr>
            <w:tcW w:w="1377" w:type="dxa"/>
            <w:shd w:val="clear" w:color="auto" w:fill="FFFFFF" w:themeFill="background1"/>
            <w:vAlign w:val="center"/>
          </w:tcPr>
          <w:p w14:paraId="69CFB71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接待对象</w:t>
            </w:r>
          </w:p>
        </w:tc>
        <w:tc>
          <w:tcPr>
            <w:tcW w:w="2309" w:type="dxa"/>
            <w:shd w:val="clear" w:color="auto" w:fill="FFFFFF" w:themeFill="background1"/>
            <w:vAlign w:val="center"/>
          </w:tcPr>
          <w:p w14:paraId="60AF857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谈论的主要内容及提供的资料</w:t>
            </w:r>
          </w:p>
        </w:tc>
        <w:tc>
          <w:tcPr>
            <w:tcW w:w="992" w:type="dxa"/>
            <w:shd w:val="clear" w:color="auto" w:fill="FFFFFF" w:themeFill="background1"/>
            <w:vAlign w:val="center"/>
          </w:tcPr>
          <w:p w14:paraId="48A0AC4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调研的基本情况索引</w:t>
            </w:r>
          </w:p>
        </w:tc>
      </w:tr>
      <w:tr w:rsidR="00632E5B" w14:paraId="179E49B4" w14:textId="77777777" w:rsidTr="007A2A48">
        <w:trPr>
          <w:trHeight w:val="240"/>
        </w:trPr>
        <w:tc>
          <w:tcPr>
            <w:tcW w:w="1377" w:type="dxa"/>
            <w:shd w:val="clear" w:color="auto" w:fill="FFFFFF" w:themeFill="background1"/>
            <w:vAlign w:val="center"/>
          </w:tcPr>
          <w:p w14:paraId="47026DC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2024年01月05日</w:t>
            </w:r>
          </w:p>
        </w:tc>
        <w:tc>
          <w:tcPr>
            <w:tcW w:w="922" w:type="dxa"/>
            <w:shd w:val="clear" w:color="auto" w:fill="FFFFFF" w:themeFill="background1"/>
            <w:vAlign w:val="center"/>
          </w:tcPr>
          <w:p w14:paraId="43393DE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通讯</w:t>
            </w:r>
          </w:p>
        </w:tc>
        <w:tc>
          <w:tcPr>
            <w:tcW w:w="1377" w:type="dxa"/>
            <w:shd w:val="clear" w:color="auto" w:fill="FFFFFF" w:themeFill="background1"/>
            <w:vAlign w:val="center"/>
          </w:tcPr>
          <w:p w14:paraId="0608E15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电话沟通</w:t>
            </w:r>
          </w:p>
        </w:tc>
        <w:tc>
          <w:tcPr>
            <w:tcW w:w="1003" w:type="dxa"/>
            <w:shd w:val="clear" w:color="auto" w:fill="FFFFFF" w:themeFill="background1"/>
            <w:vAlign w:val="center"/>
          </w:tcPr>
          <w:p w14:paraId="1DB9D4A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个人</w:t>
            </w:r>
          </w:p>
        </w:tc>
        <w:tc>
          <w:tcPr>
            <w:tcW w:w="1377" w:type="dxa"/>
            <w:shd w:val="clear" w:color="auto" w:fill="FFFFFF" w:themeFill="background1"/>
            <w:vAlign w:val="center"/>
          </w:tcPr>
          <w:p w14:paraId="7D208CF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个人</w:t>
            </w:r>
          </w:p>
        </w:tc>
        <w:tc>
          <w:tcPr>
            <w:tcW w:w="2309" w:type="dxa"/>
            <w:shd w:val="clear" w:color="auto" w:fill="FFFFFF" w:themeFill="background1"/>
            <w:vAlign w:val="center"/>
          </w:tcPr>
          <w:p w14:paraId="64CBFE2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重整相关工作进展情况；财务投资人洽谈情况，无资料提供。</w:t>
            </w:r>
          </w:p>
        </w:tc>
        <w:tc>
          <w:tcPr>
            <w:tcW w:w="992" w:type="dxa"/>
            <w:shd w:val="clear" w:color="auto" w:fill="FFFFFF" w:themeFill="background1"/>
            <w:vAlign w:val="center"/>
          </w:tcPr>
          <w:p w14:paraId="00E2CB4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w:t>
            </w:r>
          </w:p>
        </w:tc>
      </w:tr>
      <w:tr w:rsidR="00632E5B" w14:paraId="34C5ADB4" w14:textId="77777777" w:rsidTr="007A2A48">
        <w:trPr>
          <w:trHeight w:val="240"/>
        </w:trPr>
        <w:tc>
          <w:tcPr>
            <w:tcW w:w="1377" w:type="dxa"/>
            <w:shd w:val="clear" w:color="auto" w:fill="FFFFFF" w:themeFill="background1"/>
            <w:vAlign w:val="center"/>
          </w:tcPr>
          <w:p w14:paraId="2E7E341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2024年02月18日</w:t>
            </w:r>
          </w:p>
        </w:tc>
        <w:tc>
          <w:tcPr>
            <w:tcW w:w="922" w:type="dxa"/>
            <w:shd w:val="clear" w:color="auto" w:fill="FFFFFF" w:themeFill="background1"/>
            <w:vAlign w:val="center"/>
          </w:tcPr>
          <w:p w14:paraId="3AA22AF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通讯</w:t>
            </w:r>
          </w:p>
        </w:tc>
        <w:tc>
          <w:tcPr>
            <w:tcW w:w="1377" w:type="dxa"/>
            <w:shd w:val="clear" w:color="auto" w:fill="FFFFFF" w:themeFill="background1"/>
            <w:vAlign w:val="center"/>
          </w:tcPr>
          <w:p w14:paraId="7A563F0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电话沟通</w:t>
            </w:r>
          </w:p>
        </w:tc>
        <w:tc>
          <w:tcPr>
            <w:tcW w:w="1003" w:type="dxa"/>
            <w:shd w:val="clear" w:color="auto" w:fill="FFFFFF" w:themeFill="background1"/>
            <w:vAlign w:val="center"/>
          </w:tcPr>
          <w:p w14:paraId="59BD894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个人</w:t>
            </w:r>
          </w:p>
        </w:tc>
        <w:tc>
          <w:tcPr>
            <w:tcW w:w="1377" w:type="dxa"/>
            <w:shd w:val="clear" w:color="auto" w:fill="FFFFFF" w:themeFill="background1"/>
            <w:vAlign w:val="center"/>
          </w:tcPr>
          <w:p w14:paraId="57481B1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个人</w:t>
            </w:r>
          </w:p>
        </w:tc>
        <w:tc>
          <w:tcPr>
            <w:tcW w:w="2309" w:type="dxa"/>
            <w:shd w:val="clear" w:color="auto" w:fill="FFFFFF" w:themeFill="background1"/>
            <w:vAlign w:val="center"/>
          </w:tcPr>
          <w:p w14:paraId="044356D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重整相关工作进展；证监会立案调查结果，无资料提供。</w:t>
            </w:r>
          </w:p>
        </w:tc>
        <w:tc>
          <w:tcPr>
            <w:tcW w:w="992" w:type="dxa"/>
            <w:shd w:val="clear" w:color="auto" w:fill="FFFFFF" w:themeFill="background1"/>
            <w:vAlign w:val="center"/>
          </w:tcPr>
          <w:p w14:paraId="266611C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w:t>
            </w:r>
          </w:p>
        </w:tc>
      </w:tr>
      <w:tr w:rsidR="00632E5B" w14:paraId="4D5CA33F" w14:textId="77777777" w:rsidTr="007A2A48">
        <w:trPr>
          <w:trHeight w:val="240"/>
        </w:trPr>
        <w:tc>
          <w:tcPr>
            <w:tcW w:w="1377" w:type="dxa"/>
            <w:shd w:val="clear" w:color="auto" w:fill="FFFFFF" w:themeFill="background1"/>
            <w:vAlign w:val="center"/>
          </w:tcPr>
          <w:p w14:paraId="1EA5B02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2024年03月22日</w:t>
            </w:r>
          </w:p>
        </w:tc>
        <w:tc>
          <w:tcPr>
            <w:tcW w:w="922" w:type="dxa"/>
            <w:shd w:val="clear" w:color="auto" w:fill="FFFFFF" w:themeFill="background1"/>
            <w:vAlign w:val="center"/>
          </w:tcPr>
          <w:p w14:paraId="55629E6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通讯</w:t>
            </w:r>
          </w:p>
        </w:tc>
        <w:tc>
          <w:tcPr>
            <w:tcW w:w="1377" w:type="dxa"/>
            <w:shd w:val="clear" w:color="auto" w:fill="FFFFFF" w:themeFill="background1"/>
            <w:vAlign w:val="center"/>
          </w:tcPr>
          <w:p w14:paraId="4362D88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电话沟通</w:t>
            </w:r>
          </w:p>
        </w:tc>
        <w:tc>
          <w:tcPr>
            <w:tcW w:w="1003" w:type="dxa"/>
            <w:shd w:val="clear" w:color="auto" w:fill="FFFFFF" w:themeFill="background1"/>
            <w:vAlign w:val="center"/>
          </w:tcPr>
          <w:p w14:paraId="4218FB4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个人</w:t>
            </w:r>
          </w:p>
        </w:tc>
        <w:tc>
          <w:tcPr>
            <w:tcW w:w="1377" w:type="dxa"/>
            <w:shd w:val="clear" w:color="auto" w:fill="FFFFFF" w:themeFill="background1"/>
            <w:vAlign w:val="center"/>
          </w:tcPr>
          <w:p w14:paraId="536D670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个人</w:t>
            </w:r>
          </w:p>
        </w:tc>
        <w:tc>
          <w:tcPr>
            <w:tcW w:w="2309" w:type="dxa"/>
            <w:shd w:val="clear" w:color="auto" w:fill="FFFFFF" w:themeFill="background1"/>
            <w:vAlign w:val="center"/>
          </w:tcPr>
          <w:p w14:paraId="271752C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证监会立案调查结果；重整相关工作进展；财务投资人洽谈情况，无资料提供。</w:t>
            </w:r>
          </w:p>
        </w:tc>
        <w:tc>
          <w:tcPr>
            <w:tcW w:w="992" w:type="dxa"/>
            <w:shd w:val="clear" w:color="auto" w:fill="FFFFFF" w:themeFill="background1"/>
            <w:vAlign w:val="center"/>
          </w:tcPr>
          <w:p w14:paraId="44CED20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w:t>
            </w:r>
          </w:p>
        </w:tc>
      </w:tr>
      <w:tr w:rsidR="00632E5B" w14:paraId="7786AE56" w14:textId="77777777" w:rsidTr="007A2A48">
        <w:trPr>
          <w:trHeight w:val="240"/>
        </w:trPr>
        <w:tc>
          <w:tcPr>
            <w:tcW w:w="1377" w:type="dxa"/>
            <w:shd w:val="clear" w:color="auto" w:fill="FFFFFF" w:themeFill="background1"/>
            <w:vAlign w:val="center"/>
          </w:tcPr>
          <w:p w14:paraId="75EF8B0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2024年04月10日</w:t>
            </w:r>
          </w:p>
        </w:tc>
        <w:tc>
          <w:tcPr>
            <w:tcW w:w="922" w:type="dxa"/>
            <w:shd w:val="clear" w:color="auto" w:fill="FFFFFF" w:themeFill="background1"/>
            <w:vAlign w:val="center"/>
          </w:tcPr>
          <w:p w14:paraId="01B4FE3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通讯</w:t>
            </w:r>
          </w:p>
        </w:tc>
        <w:tc>
          <w:tcPr>
            <w:tcW w:w="1377" w:type="dxa"/>
            <w:shd w:val="clear" w:color="auto" w:fill="FFFFFF" w:themeFill="background1"/>
            <w:vAlign w:val="center"/>
          </w:tcPr>
          <w:p w14:paraId="1789048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电话沟通</w:t>
            </w:r>
          </w:p>
        </w:tc>
        <w:tc>
          <w:tcPr>
            <w:tcW w:w="1003" w:type="dxa"/>
            <w:shd w:val="clear" w:color="auto" w:fill="FFFFFF" w:themeFill="background1"/>
            <w:vAlign w:val="center"/>
          </w:tcPr>
          <w:p w14:paraId="7E7EAD1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个人</w:t>
            </w:r>
          </w:p>
        </w:tc>
        <w:tc>
          <w:tcPr>
            <w:tcW w:w="1377" w:type="dxa"/>
            <w:shd w:val="clear" w:color="auto" w:fill="FFFFFF" w:themeFill="background1"/>
            <w:vAlign w:val="center"/>
          </w:tcPr>
          <w:p w14:paraId="5CC44A1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个人</w:t>
            </w:r>
          </w:p>
        </w:tc>
        <w:tc>
          <w:tcPr>
            <w:tcW w:w="2309" w:type="dxa"/>
            <w:shd w:val="clear" w:color="auto" w:fill="FFFFFF" w:themeFill="background1"/>
            <w:vAlign w:val="center"/>
          </w:tcPr>
          <w:p w14:paraId="715B274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公司生产经营情况；一季度业绩情况，无资料提供。</w:t>
            </w:r>
          </w:p>
        </w:tc>
        <w:tc>
          <w:tcPr>
            <w:tcW w:w="992" w:type="dxa"/>
            <w:shd w:val="clear" w:color="auto" w:fill="FFFFFF" w:themeFill="background1"/>
            <w:vAlign w:val="center"/>
          </w:tcPr>
          <w:p w14:paraId="50FF91B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w:t>
            </w:r>
          </w:p>
        </w:tc>
      </w:tr>
      <w:tr w:rsidR="00632E5B" w14:paraId="240219AE" w14:textId="77777777" w:rsidTr="007A2A48">
        <w:trPr>
          <w:trHeight w:val="240"/>
        </w:trPr>
        <w:tc>
          <w:tcPr>
            <w:tcW w:w="1377" w:type="dxa"/>
            <w:shd w:val="clear" w:color="auto" w:fill="FFFFFF" w:themeFill="background1"/>
            <w:vAlign w:val="center"/>
          </w:tcPr>
          <w:p w14:paraId="04DB1FA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lastRenderedPageBreak/>
              <w:t>2024年05月06日</w:t>
            </w:r>
          </w:p>
        </w:tc>
        <w:tc>
          <w:tcPr>
            <w:tcW w:w="922" w:type="dxa"/>
            <w:shd w:val="clear" w:color="auto" w:fill="FFFFFF" w:themeFill="background1"/>
            <w:vAlign w:val="center"/>
          </w:tcPr>
          <w:p w14:paraId="655A918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通讯</w:t>
            </w:r>
          </w:p>
        </w:tc>
        <w:tc>
          <w:tcPr>
            <w:tcW w:w="1377" w:type="dxa"/>
            <w:shd w:val="clear" w:color="auto" w:fill="FFFFFF" w:themeFill="background1"/>
            <w:vAlign w:val="center"/>
          </w:tcPr>
          <w:p w14:paraId="5E8CC60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电话沟通</w:t>
            </w:r>
          </w:p>
        </w:tc>
        <w:tc>
          <w:tcPr>
            <w:tcW w:w="1003" w:type="dxa"/>
            <w:shd w:val="clear" w:color="auto" w:fill="FFFFFF" w:themeFill="background1"/>
            <w:vAlign w:val="center"/>
          </w:tcPr>
          <w:p w14:paraId="59969F7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个人</w:t>
            </w:r>
          </w:p>
        </w:tc>
        <w:tc>
          <w:tcPr>
            <w:tcW w:w="1377" w:type="dxa"/>
            <w:shd w:val="clear" w:color="auto" w:fill="FFFFFF" w:themeFill="background1"/>
            <w:vAlign w:val="center"/>
          </w:tcPr>
          <w:p w14:paraId="026F66C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个人</w:t>
            </w:r>
          </w:p>
        </w:tc>
        <w:tc>
          <w:tcPr>
            <w:tcW w:w="2309" w:type="dxa"/>
            <w:shd w:val="clear" w:color="auto" w:fill="FFFFFF" w:themeFill="background1"/>
            <w:vAlign w:val="center"/>
          </w:tcPr>
          <w:p w14:paraId="06C79B8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股价下跌的原因；新规出台对公司的影响，无资料提供。</w:t>
            </w:r>
          </w:p>
        </w:tc>
        <w:tc>
          <w:tcPr>
            <w:tcW w:w="992" w:type="dxa"/>
            <w:shd w:val="clear" w:color="auto" w:fill="FFFFFF" w:themeFill="background1"/>
            <w:vAlign w:val="center"/>
          </w:tcPr>
          <w:p w14:paraId="32A5F70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w:t>
            </w:r>
          </w:p>
        </w:tc>
      </w:tr>
      <w:tr w:rsidR="00632E5B" w14:paraId="2EB10C71" w14:textId="77777777" w:rsidTr="007A2A48">
        <w:trPr>
          <w:trHeight w:val="240"/>
        </w:trPr>
        <w:tc>
          <w:tcPr>
            <w:tcW w:w="1377" w:type="dxa"/>
            <w:shd w:val="clear" w:color="auto" w:fill="FFFFFF" w:themeFill="background1"/>
            <w:vAlign w:val="center"/>
          </w:tcPr>
          <w:p w14:paraId="7F9FEC8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2024年05月09日</w:t>
            </w:r>
          </w:p>
        </w:tc>
        <w:tc>
          <w:tcPr>
            <w:tcW w:w="922" w:type="dxa"/>
            <w:shd w:val="clear" w:color="auto" w:fill="FFFFFF" w:themeFill="background1"/>
            <w:vAlign w:val="center"/>
          </w:tcPr>
          <w:p w14:paraId="3541139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价值在线（https://www.ir-online.cn/）网络互动</w:t>
            </w:r>
          </w:p>
        </w:tc>
        <w:tc>
          <w:tcPr>
            <w:tcW w:w="1377" w:type="dxa"/>
            <w:shd w:val="clear" w:color="auto" w:fill="FFFFFF" w:themeFill="background1"/>
            <w:vAlign w:val="center"/>
          </w:tcPr>
          <w:p w14:paraId="1C98D6A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网络平台线上交流</w:t>
            </w:r>
          </w:p>
        </w:tc>
        <w:tc>
          <w:tcPr>
            <w:tcW w:w="1003" w:type="dxa"/>
            <w:shd w:val="clear" w:color="auto" w:fill="FFFFFF" w:themeFill="background1"/>
            <w:vAlign w:val="center"/>
          </w:tcPr>
          <w:p w14:paraId="2E6EAB5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个人</w:t>
            </w:r>
          </w:p>
        </w:tc>
        <w:tc>
          <w:tcPr>
            <w:tcW w:w="1377" w:type="dxa"/>
            <w:shd w:val="clear" w:color="auto" w:fill="FFFFFF" w:themeFill="background1"/>
            <w:vAlign w:val="center"/>
          </w:tcPr>
          <w:p w14:paraId="66B0F68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线上参与中利集团 2023 年度网上业绩说明会的投资者</w:t>
            </w:r>
          </w:p>
        </w:tc>
        <w:tc>
          <w:tcPr>
            <w:tcW w:w="2309" w:type="dxa"/>
            <w:shd w:val="clear" w:color="auto" w:fill="FFFFFF" w:themeFill="background1"/>
            <w:vAlign w:val="center"/>
          </w:tcPr>
          <w:p w14:paraId="2DEFBBB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详见巨潮资讯网江苏中利集团股份有限公司投资者关系管理信息20240509</w:t>
            </w:r>
          </w:p>
        </w:tc>
        <w:tc>
          <w:tcPr>
            <w:tcW w:w="992" w:type="dxa"/>
            <w:shd w:val="clear" w:color="auto" w:fill="FFFFFF" w:themeFill="background1"/>
            <w:vAlign w:val="center"/>
          </w:tcPr>
          <w:p w14:paraId="6102422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详见巨潮资讯网（www.cninfo.com）</w:t>
            </w:r>
          </w:p>
        </w:tc>
      </w:tr>
      <w:tr w:rsidR="00632E5B" w14:paraId="6201E77D" w14:textId="77777777" w:rsidTr="007A2A48">
        <w:trPr>
          <w:trHeight w:val="240"/>
        </w:trPr>
        <w:tc>
          <w:tcPr>
            <w:tcW w:w="1377" w:type="dxa"/>
            <w:shd w:val="clear" w:color="auto" w:fill="FFFFFF" w:themeFill="background1"/>
            <w:vAlign w:val="center"/>
          </w:tcPr>
          <w:p w14:paraId="593713F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2024年05月30日</w:t>
            </w:r>
          </w:p>
        </w:tc>
        <w:tc>
          <w:tcPr>
            <w:tcW w:w="922" w:type="dxa"/>
            <w:shd w:val="clear" w:color="auto" w:fill="FFFFFF" w:themeFill="background1"/>
            <w:vAlign w:val="center"/>
          </w:tcPr>
          <w:p w14:paraId="31056DB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通讯</w:t>
            </w:r>
          </w:p>
        </w:tc>
        <w:tc>
          <w:tcPr>
            <w:tcW w:w="1377" w:type="dxa"/>
            <w:shd w:val="clear" w:color="auto" w:fill="FFFFFF" w:themeFill="background1"/>
            <w:vAlign w:val="center"/>
          </w:tcPr>
          <w:p w14:paraId="384F5C9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电话沟通</w:t>
            </w:r>
          </w:p>
        </w:tc>
        <w:tc>
          <w:tcPr>
            <w:tcW w:w="1003" w:type="dxa"/>
            <w:shd w:val="clear" w:color="auto" w:fill="FFFFFF" w:themeFill="background1"/>
            <w:vAlign w:val="center"/>
          </w:tcPr>
          <w:p w14:paraId="57A0463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个人</w:t>
            </w:r>
          </w:p>
        </w:tc>
        <w:tc>
          <w:tcPr>
            <w:tcW w:w="1377" w:type="dxa"/>
            <w:shd w:val="clear" w:color="auto" w:fill="FFFFFF" w:themeFill="background1"/>
            <w:vAlign w:val="center"/>
          </w:tcPr>
          <w:p w14:paraId="3AB3077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个人</w:t>
            </w:r>
          </w:p>
        </w:tc>
        <w:tc>
          <w:tcPr>
            <w:tcW w:w="2309" w:type="dxa"/>
            <w:shd w:val="clear" w:color="auto" w:fill="FFFFFF" w:themeFill="background1"/>
            <w:vAlign w:val="center"/>
          </w:tcPr>
          <w:p w14:paraId="01317B3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资金占用解决方式；重整相关工作进展；财务投资人洽谈情况；债权人会议召开时间，无资料提供。</w:t>
            </w:r>
          </w:p>
        </w:tc>
        <w:tc>
          <w:tcPr>
            <w:tcW w:w="992" w:type="dxa"/>
            <w:shd w:val="clear" w:color="auto" w:fill="FFFFFF" w:themeFill="background1"/>
            <w:vAlign w:val="center"/>
          </w:tcPr>
          <w:p w14:paraId="62513F9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w:t>
            </w:r>
          </w:p>
        </w:tc>
      </w:tr>
      <w:tr w:rsidR="00632E5B" w14:paraId="00F80377" w14:textId="77777777" w:rsidTr="007A2A48">
        <w:trPr>
          <w:trHeight w:val="240"/>
        </w:trPr>
        <w:tc>
          <w:tcPr>
            <w:tcW w:w="1377" w:type="dxa"/>
            <w:shd w:val="clear" w:color="auto" w:fill="FFFFFF" w:themeFill="background1"/>
            <w:vAlign w:val="center"/>
          </w:tcPr>
          <w:p w14:paraId="7E1A84F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2024年06月24日</w:t>
            </w:r>
          </w:p>
        </w:tc>
        <w:tc>
          <w:tcPr>
            <w:tcW w:w="922" w:type="dxa"/>
            <w:shd w:val="clear" w:color="auto" w:fill="FFFFFF" w:themeFill="background1"/>
            <w:vAlign w:val="center"/>
          </w:tcPr>
          <w:p w14:paraId="5A6C00C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通讯</w:t>
            </w:r>
          </w:p>
        </w:tc>
        <w:tc>
          <w:tcPr>
            <w:tcW w:w="1377" w:type="dxa"/>
            <w:shd w:val="clear" w:color="auto" w:fill="FFFFFF" w:themeFill="background1"/>
            <w:vAlign w:val="center"/>
          </w:tcPr>
          <w:p w14:paraId="7C668E4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电话沟通</w:t>
            </w:r>
          </w:p>
        </w:tc>
        <w:tc>
          <w:tcPr>
            <w:tcW w:w="1003" w:type="dxa"/>
            <w:shd w:val="clear" w:color="auto" w:fill="FFFFFF" w:themeFill="background1"/>
            <w:vAlign w:val="center"/>
          </w:tcPr>
          <w:p w14:paraId="056E598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个人</w:t>
            </w:r>
          </w:p>
        </w:tc>
        <w:tc>
          <w:tcPr>
            <w:tcW w:w="1377" w:type="dxa"/>
            <w:shd w:val="clear" w:color="auto" w:fill="FFFFFF" w:themeFill="background1"/>
            <w:vAlign w:val="center"/>
          </w:tcPr>
          <w:p w14:paraId="756C2D1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个人</w:t>
            </w:r>
          </w:p>
        </w:tc>
        <w:tc>
          <w:tcPr>
            <w:tcW w:w="2309" w:type="dxa"/>
            <w:shd w:val="clear" w:color="auto" w:fill="FFFFFF" w:themeFill="background1"/>
            <w:vAlign w:val="center"/>
          </w:tcPr>
          <w:p w14:paraId="520A779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重整相关工作进展；光伏基地的生产和技术情况，无资料提供。</w:t>
            </w:r>
          </w:p>
        </w:tc>
        <w:tc>
          <w:tcPr>
            <w:tcW w:w="992" w:type="dxa"/>
            <w:shd w:val="clear" w:color="auto" w:fill="FFFFFF" w:themeFill="background1"/>
            <w:vAlign w:val="center"/>
          </w:tcPr>
          <w:p w14:paraId="7699AFB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w:t>
            </w:r>
          </w:p>
        </w:tc>
      </w:tr>
      <w:tr w:rsidR="00632E5B" w14:paraId="534DB516" w14:textId="77777777" w:rsidTr="007A2A48">
        <w:trPr>
          <w:trHeight w:val="240"/>
        </w:trPr>
        <w:tc>
          <w:tcPr>
            <w:tcW w:w="1377" w:type="dxa"/>
            <w:shd w:val="clear" w:color="auto" w:fill="FFFFFF" w:themeFill="background1"/>
            <w:vAlign w:val="center"/>
          </w:tcPr>
          <w:p w14:paraId="45A98E0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2024年07月15日</w:t>
            </w:r>
          </w:p>
        </w:tc>
        <w:tc>
          <w:tcPr>
            <w:tcW w:w="922" w:type="dxa"/>
            <w:shd w:val="clear" w:color="auto" w:fill="FFFFFF" w:themeFill="background1"/>
            <w:vAlign w:val="center"/>
          </w:tcPr>
          <w:p w14:paraId="14BA52F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通讯</w:t>
            </w:r>
          </w:p>
        </w:tc>
        <w:tc>
          <w:tcPr>
            <w:tcW w:w="1377" w:type="dxa"/>
            <w:shd w:val="clear" w:color="auto" w:fill="FFFFFF" w:themeFill="background1"/>
            <w:vAlign w:val="center"/>
          </w:tcPr>
          <w:p w14:paraId="4B0D004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电话沟通</w:t>
            </w:r>
          </w:p>
        </w:tc>
        <w:tc>
          <w:tcPr>
            <w:tcW w:w="1003" w:type="dxa"/>
            <w:shd w:val="clear" w:color="auto" w:fill="FFFFFF" w:themeFill="background1"/>
            <w:vAlign w:val="center"/>
          </w:tcPr>
          <w:p w14:paraId="4CCF9E7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个人</w:t>
            </w:r>
          </w:p>
        </w:tc>
        <w:tc>
          <w:tcPr>
            <w:tcW w:w="1377" w:type="dxa"/>
            <w:shd w:val="clear" w:color="auto" w:fill="FFFFFF" w:themeFill="background1"/>
            <w:vAlign w:val="center"/>
          </w:tcPr>
          <w:p w14:paraId="540042A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个人</w:t>
            </w:r>
          </w:p>
        </w:tc>
        <w:tc>
          <w:tcPr>
            <w:tcW w:w="2309" w:type="dxa"/>
            <w:shd w:val="clear" w:color="auto" w:fill="FFFFFF" w:themeFill="background1"/>
            <w:vAlign w:val="center"/>
          </w:tcPr>
          <w:p w14:paraId="2909FCA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债务豁免进展情况；重整相关工作进展，无资料提供。</w:t>
            </w:r>
          </w:p>
        </w:tc>
        <w:tc>
          <w:tcPr>
            <w:tcW w:w="992" w:type="dxa"/>
            <w:shd w:val="clear" w:color="auto" w:fill="FFFFFF" w:themeFill="background1"/>
            <w:vAlign w:val="center"/>
          </w:tcPr>
          <w:p w14:paraId="7F2F43E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w:t>
            </w:r>
          </w:p>
        </w:tc>
      </w:tr>
      <w:tr w:rsidR="00632E5B" w14:paraId="0676132E" w14:textId="77777777" w:rsidTr="007A2A48">
        <w:trPr>
          <w:trHeight w:val="240"/>
        </w:trPr>
        <w:tc>
          <w:tcPr>
            <w:tcW w:w="1377" w:type="dxa"/>
            <w:shd w:val="clear" w:color="auto" w:fill="FFFFFF" w:themeFill="background1"/>
            <w:vAlign w:val="center"/>
          </w:tcPr>
          <w:p w14:paraId="6728ECA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2024年08月05日</w:t>
            </w:r>
          </w:p>
        </w:tc>
        <w:tc>
          <w:tcPr>
            <w:tcW w:w="922" w:type="dxa"/>
            <w:shd w:val="clear" w:color="auto" w:fill="FFFFFF" w:themeFill="background1"/>
            <w:vAlign w:val="center"/>
          </w:tcPr>
          <w:p w14:paraId="280C80F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通讯</w:t>
            </w:r>
          </w:p>
        </w:tc>
        <w:tc>
          <w:tcPr>
            <w:tcW w:w="1377" w:type="dxa"/>
            <w:shd w:val="clear" w:color="auto" w:fill="FFFFFF" w:themeFill="background1"/>
            <w:vAlign w:val="center"/>
          </w:tcPr>
          <w:p w14:paraId="02BC4E9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电话沟通</w:t>
            </w:r>
          </w:p>
        </w:tc>
        <w:tc>
          <w:tcPr>
            <w:tcW w:w="1003" w:type="dxa"/>
            <w:shd w:val="clear" w:color="auto" w:fill="FFFFFF" w:themeFill="background1"/>
            <w:vAlign w:val="center"/>
          </w:tcPr>
          <w:p w14:paraId="0D1F959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个人</w:t>
            </w:r>
          </w:p>
        </w:tc>
        <w:tc>
          <w:tcPr>
            <w:tcW w:w="1377" w:type="dxa"/>
            <w:shd w:val="clear" w:color="auto" w:fill="FFFFFF" w:themeFill="background1"/>
            <w:vAlign w:val="center"/>
          </w:tcPr>
          <w:p w14:paraId="0FBA146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个人</w:t>
            </w:r>
          </w:p>
        </w:tc>
        <w:tc>
          <w:tcPr>
            <w:tcW w:w="2309" w:type="dxa"/>
            <w:shd w:val="clear" w:color="auto" w:fill="FFFFFF" w:themeFill="background1"/>
            <w:vAlign w:val="center"/>
          </w:tcPr>
          <w:p w14:paraId="70AC8DE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重整相关工作进展；资金占用解决方式；债务豁免进展情况，无资料提供。</w:t>
            </w:r>
          </w:p>
        </w:tc>
        <w:tc>
          <w:tcPr>
            <w:tcW w:w="992" w:type="dxa"/>
            <w:shd w:val="clear" w:color="auto" w:fill="FFFFFF" w:themeFill="background1"/>
            <w:vAlign w:val="center"/>
          </w:tcPr>
          <w:p w14:paraId="26CC4B6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w:t>
            </w:r>
          </w:p>
        </w:tc>
      </w:tr>
      <w:tr w:rsidR="00632E5B" w14:paraId="3F0DA603" w14:textId="77777777" w:rsidTr="007A2A48">
        <w:trPr>
          <w:trHeight w:val="240"/>
        </w:trPr>
        <w:tc>
          <w:tcPr>
            <w:tcW w:w="1377" w:type="dxa"/>
            <w:shd w:val="clear" w:color="auto" w:fill="FFFFFF" w:themeFill="background1"/>
            <w:vAlign w:val="center"/>
          </w:tcPr>
          <w:p w14:paraId="7ACA6DE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2024年09月27日</w:t>
            </w:r>
          </w:p>
        </w:tc>
        <w:tc>
          <w:tcPr>
            <w:tcW w:w="922" w:type="dxa"/>
            <w:shd w:val="clear" w:color="auto" w:fill="FFFFFF" w:themeFill="background1"/>
            <w:vAlign w:val="center"/>
          </w:tcPr>
          <w:p w14:paraId="42E623F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通讯</w:t>
            </w:r>
          </w:p>
        </w:tc>
        <w:tc>
          <w:tcPr>
            <w:tcW w:w="1377" w:type="dxa"/>
            <w:shd w:val="clear" w:color="auto" w:fill="FFFFFF" w:themeFill="background1"/>
            <w:vAlign w:val="center"/>
          </w:tcPr>
          <w:p w14:paraId="11FF4CE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电话沟通</w:t>
            </w:r>
          </w:p>
        </w:tc>
        <w:tc>
          <w:tcPr>
            <w:tcW w:w="1003" w:type="dxa"/>
            <w:shd w:val="clear" w:color="auto" w:fill="FFFFFF" w:themeFill="background1"/>
            <w:vAlign w:val="center"/>
          </w:tcPr>
          <w:p w14:paraId="0A35B89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个人</w:t>
            </w:r>
          </w:p>
        </w:tc>
        <w:tc>
          <w:tcPr>
            <w:tcW w:w="1377" w:type="dxa"/>
            <w:shd w:val="clear" w:color="auto" w:fill="FFFFFF" w:themeFill="background1"/>
            <w:vAlign w:val="center"/>
          </w:tcPr>
          <w:p w14:paraId="49F6888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个人</w:t>
            </w:r>
          </w:p>
        </w:tc>
        <w:tc>
          <w:tcPr>
            <w:tcW w:w="2309" w:type="dxa"/>
            <w:shd w:val="clear" w:color="auto" w:fill="FFFFFF" w:themeFill="background1"/>
            <w:vAlign w:val="center"/>
          </w:tcPr>
          <w:p w14:paraId="11E0E54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子公司重整相关工作进展；建议加快重整进程，无资料提供。</w:t>
            </w:r>
          </w:p>
        </w:tc>
        <w:tc>
          <w:tcPr>
            <w:tcW w:w="992" w:type="dxa"/>
            <w:shd w:val="clear" w:color="auto" w:fill="FFFFFF" w:themeFill="background1"/>
            <w:vAlign w:val="center"/>
          </w:tcPr>
          <w:p w14:paraId="7BC7E79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w:t>
            </w:r>
          </w:p>
        </w:tc>
      </w:tr>
      <w:tr w:rsidR="00632E5B" w14:paraId="60F7B4EF" w14:textId="77777777" w:rsidTr="007A2A48">
        <w:trPr>
          <w:trHeight w:val="240"/>
        </w:trPr>
        <w:tc>
          <w:tcPr>
            <w:tcW w:w="1377" w:type="dxa"/>
            <w:shd w:val="clear" w:color="auto" w:fill="FFFFFF" w:themeFill="background1"/>
            <w:vAlign w:val="center"/>
          </w:tcPr>
          <w:p w14:paraId="09A6A69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2024年10月31日</w:t>
            </w:r>
          </w:p>
        </w:tc>
        <w:tc>
          <w:tcPr>
            <w:tcW w:w="922" w:type="dxa"/>
            <w:shd w:val="clear" w:color="auto" w:fill="FFFFFF" w:themeFill="background1"/>
            <w:vAlign w:val="center"/>
          </w:tcPr>
          <w:p w14:paraId="5952D9F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通讯</w:t>
            </w:r>
          </w:p>
        </w:tc>
        <w:tc>
          <w:tcPr>
            <w:tcW w:w="1377" w:type="dxa"/>
            <w:shd w:val="clear" w:color="auto" w:fill="FFFFFF" w:themeFill="background1"/>
            <w:vAlign w:val="center"/>
          </w:tcPr>
          <w:p w14:paraId="5A806EA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电话沟通</w:t>
            </w:r>
          </w:p>
        </w:tc>
        <w:tc>
          <w:tcPr>
            <w:tcW w:w="1003" w:type="dxa"/>
            <w:shd w:val="clear" w:color="auto" w:fill="FFFFFF" w:themeFill="background1"/>
            <w:vAlign w:val="center"/>
          </w:tcPr>
          <w:p w14:paraId="0C2311E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个人</w:t>
            </w:r>
          </w:p>
        </w:tc>
        <w:tc>
          <w:tcPr>
            <w:tcW w:w="1377" w:type="dxa"/>
            <w:shd w:val="clear" w:color="auto" w:fill="FFFFFF" w:themeFill="background1"/>
            <w:vAlign w:val="center"/>
          </w:tcPr>
          <w:p w14:paraId="3871CA9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个人</w:t>
            </w:r>
          </w:p>
        </w:tc>
        <w:tc>
          <w:tcPr>
            <w:tcW w:w="2309" w:type="dxa"/>
            <w:shd w:val="clear" w:color="auto" w:fill="FFFFFF" w:themeFill="background1"/>
            <w:vAlign w:val="center"/>
          </w:tcPr>
          <w:p w14:paraId="0074F0C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重整相关工作进展；是否会触及停牌，无资料提供。</w:t>
            </w:r>
          </w:p>
        </w:tc>
        <w:tc>
          <w:tcPr>
            <w:tcW w:w="992" w:type="dxa"/>
            <w:shd w:val="clear" w:color="auto" w:fill="FFFFFF" w:themeFill="background1"/>
            <w:vAlign w:val="center"/>
          </w:tcPr>
          <w:p w14:paraId="2144A19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w:t>
            </w:r>
          </w:p>
        </w:tc>
      </w:tr>
      <w:tr w:rsidR="00632E5B" w14:paraId="7040E72A" w14:textId="77777777" w:rsidTr="007A2A48">
        <w:trPr>
          <w:trHeight w:val="240"/>
        </w:trPr>
        <w:tc>
          <w:tcPr>
            <w:tcW w:w="1377" w:type="dxa"/>
            <w:shd w:val="clear" w:color="auto" w:fill="FFFFFF" w:themeFill="background1"/>
            <w:vAlign w:val="center"/>
          </w:tcPr>
          <w:p w14:paraId="19E5181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2024年11月06日</w:t>
            </w:r>
          </w:p>
        </w:tc>
        <w:tc>
          <w:tcPr>
            <w:tcW w:w="922" w:type="dxa"/>
            <w:shd w:val="clear" w:color="auto" w:fill="FFFFFF" w:themeFill="background1"/>
            <w:vAlign w:val="center"/>
          </w:tcPr>
          <w:p w14:paraId="04D9213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通讯</w:t>
            </w:r>
          </w:p>
        </w:tc>
        <w:tc>
          <w:tcPr>
            <w:tcW w:w="1377" w:type="dxa"/>
            <w:shd w:val="clear" w:color="auto" w:fill="FFFFFF" w:themeFill="background1"/>
            <w:vAlign w:val="center"/>
          </w:tcPr>
          <w:p w14:paraId="18DCEB9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电话沟通</w:t>
            </w:r>
          </w:p>
        </w:tc>
        <w:tc>
          <w:tcPr>
            <w:tcW w:w="1003" w:type="dxa"/>
            <w:shd w:val="clear" w:color="auto" w:fill="FFFFFF" w:themeFill="background1"/>
            <w:vAlign w:val="center"/>
          </w:tcPr>
          <w:p w14:paraId="6E45DB4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个人</w:t>
            </w:r>
          </w:p>
        </w:tc>
        <w:tc>
          <w:tcPr>
            <w:tcW w:w="1377" w:type="dxa"/>
            <w:shd w:val="clear" w:color="auto" w:fill="FFFFFF" w:themeFill="background1"/>
            <w:vAlign w:val="center"/>
          </w:tcPr>
          <w:p w14:paraId="08FB6A6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个人</w:t>
            </w:r>
          </w:p>
        </w:tc>
        <w:tc>
          <w:tcPr>
            <w:tcW w:w="2309" w:type="dxa"/>
            <w:shd w:val="clear" w:color="auto" w:fill="FFFFFF" w:themeFill="background1"/>
            <w:vAlign w:val="center"/>
          </w:tcPr>
          <w:p w14:paraId="302D98E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重整相关工作进展；预计停牌时间；债务代偿情况；三季报业绩情况，无资料提供。</w:t>
            </w:r>
          </w:p>
        </w:tc>
        <w:tc>
          <w:tcPr>
            <w:tcW w:w="992" w:type="dxa"/>
            <w:shd w:val="clear" w:color="auto" w:fill="FFFFFF" w:themeFill="background1"/>
            <w:vAlign w:val="center"/>
          </w:tcPr>
          <w:p w14:paraId="604FCB8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w:t>
            </w:r>
          </w:p>
        </w:tc>
      </w:tr>
      <w:tr w:rsidR="00632E5B" w14:paraId="110DFAFC" w14:textId="77777777" w:rsidTr="007A2A48">
        <w:trPr>
          <w:trHeight w:val="240"/>
        </w:trPr>
        <w:tc>
          <w:tcPr>
            <w:tcW w:w="1377" w:type="dxa"/>
            <w:shd w:val="clear" w:color="auto" w:fill="FFFFFF" w:themeFill="background1"/>
            <w:vAlign w:val="center"/>
          </w:tcPr>
          <w:p w14:paraId="04F13BA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2024年12月30日</w:t>
            </w:r>
          </w:p>
        </w:tc>
        <w:tc>
          <w:tcPr>
            <w:tcW w:w="922" w:type="dxa"/>
            <w:shd w:val="clear" w:color="auto" w:fill="FFFFFF" w:themeFill="background1"/>
            <w:vAlign w:val="center"/>
          </w:tcPr>
          <w:p w14:paraId="3589759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通讯</w:t>
            </w:r>
          </w:p>
        </w:tc>
        <w:tc>
          <w:tcPr>
            <w:tcW w:w="1377" w:type="dxa"/>
            <w:shd w:val="clear" w:color="auto" w:fill="FFFFFF" w:themeFill="background1"/>
            <w:vAlign w:val="center"/>
          </w:tcPr>
          <w:p w14:paraId="7571F7F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电话沟通</w:t>
            </w:r>
          </w:p>
        </w:tc>
        <w:tc>
          <w:tcPr>
            <w:tcW w:w="1003" w:type="dxa"/>
            <w:shd w:val="clear" w:color="auto" w:fill="FFFFFF" w:themeFill="background1"/>
            <w:vAlign w:val="center"/>
          </w:tcPr>
          <w:p w14:paraId="304319E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个人</w:t>
            </w:r>
          </w:p>
        </w:tc>
        <w:tc>
          <w:tcPr>
            <w:tcW w:w="1377" w:type="dxa"/>
            <w:shd w:val="clear" w:color="auto" w:fill="FFFFFF" w:themeFill="background1"/>
            <w:vAlign w:val="center"/>
          </w:tcPr>
          <w:p w14:paraId="19454B9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个人</w:t>
            </w:r>
          </w:p>
        </w:tc>
        <w:tc>
          <w:tcPr>
            <w:tcW w:w="2309" w:type="dxa"/>
            <w:shd w:val="clear" w:color="auto" w:fill="FFFFFF" w:themeFill="background1"/>
            <w:vAlign w:val="center"/>
          </w:tcPr>
          <w:p w14:paraId="1270F0A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预计复牌时间，无资料提供。</w:t>
            </w:r>
          </w:p>
        </w:tc>
        <w:tc>
          <w:tcPr>
            <w:tcW w:w="992" w:type="dxa"/>
            <w:shd w:val="clear" w:color="auto" w:fill="FFFFFF" w:themeFill="background1"/>
            <w:vAlign w:val="center"/>
          </w:tcPr>
          <w:p w14:paraId="11CD6E5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w:t>
            </w:r>
          </w:p>
        </w:tc>
      </w:tr>
    </w:tbl>
    <w:p w14:paraId="60625C0E" w14:textId="77777777" w:rsidR="00632E5B" w:rsidRDefault="00107901">
      <w:pPr>
        <w:pStyle w:val="2"/>
        <w:spacing w:before="300" w:after="300" w:line="320" w:lineRule="exact"/>
        <w:rPr>
          <w:rFonts w:ascii="宋体" w:eastAsia="宋体" w:hAnsi="宋体" w:cs="宋体" w:hint="eastAsia"/>
          <w:b/>
          <w:bCs/>
          <w:sz w:val="24"/>
          <w:szCs w:val="24"/>
        </w:rPr>
      </w:pPr>
      <w:bookmarkStart w:id="54" w:name="_Toc988943"/>
      <w:r>
        <w:rPr>
          <w:rFonts w:ascii="宋体" w:eastAsia="宋体" w:hAnsi="宋体" w:cs="宋体"/>
          <w:b/>
          <w:bCs/>
          <w:sz w:val="24"/>
          <w:szCs w:val="24"/>
        </w:rPr>
        <w:t>十三、市值管理制度和估值提升计划的制定落实情况</w:t>
      </w:r>
      <w:bookmarkEnd w:id="54"/>
    </w:p>
    <w:p w14:paraId="38725C01"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公司是否制定了市值管理制度。</w:t>
      </w:r>
    </w:p>
    <w:p w14:paraId="164060D1"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14:paraId="3ECEEC38"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公司是否披露了估值提升计划。</w:t>
      </w:r>
    </w:p>
    <w:p w14:paraId="23490653"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438459CC" w14:textId="77777777" w:rsidR="00E72F0C" w:rsidRDefault="00107901" w:rsidP="00EC682D">
      <w:pPr>
        <w:pStyle w:val="a3"/>
        <w:spacing w:before="0" w:beforeAutospacing="0" w:after="0" w:afterAutospacing="0" w:line="360" w:lineRule="auto"/>
        <w:jc w:val="both"/>
        <w:divId w:val="1300770094"/>
        <w:rPr>
          <w:rFonts w:hint="eastAsia"/>
          <w:sz w:val="18"/>
          <w:szCs w:val="18"/>
        </w:rPr>
      </w:pPr>
      <w:r>
        <w:rPr>
          <w:rFonts w:hint="eastAsia"/>
          <w:sz w:val="18"/>
          <w:szCs w:val="18"/>
        </w:rPr>
        <w:t>   </w:t>
      </w:r>
      <w:r>
        <w:rPr>
          <w:rFonts w:hint="eastAsia"/>
          <w:sz w:val="21"/>
          <w:szCs w:val="21"/>
        </w:rPr>
        <w:t>公司已按《上市公司监管指引第10号--市值管理》等相关规定，建立市值管理制度，明确管理目标、职责分工和流程，加强信息披露，重视管理风险、使用合规方式维护股价、优化投资者关系等措施，积极落实市值管理，旨在提升公司价值和股东回报。</w:t>
      </w:r>
    </w:p>
    <w:p w14:paraId="42B9C1D9" w14:textId="3330EE5E" w:rsidR="00632E5B" w:rsidRDefault="00107901" w:rsidP="00EC682D">
      <w:pPr>
        <w:pStyle w:val="a3"/>
        <w:rPr>
          <w:rFonts w:hint="eastAsia"/>
          <w:b/>
          <w:bCs/>
        </w:rPr>
      </w:pPr>
      <w:r>
        <w:rPr>
          <w:rFonts w:hint="eastAsia"/>
          <w:sz w:val="18"/>
          <w:szCs w:val="18"/>
        </w:rPr>
        <w:t> </w:t>
      </w:r>
      <w:bookmarkStart w:id="55" w:name="_Toc988944"/>
      <w:r>
        <w:rPr>
          <w:b/>
          <w:bCs/>
        </w:rPr>
        <w:t>十四、“质量回报双提升”行动方案贯彻落实情况</w:t>
      </w:r>
      <w:bookmarkEnd w:id="55"/>
    </w:p>
    <w:p w14:paraId="6B4E6D5C"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公司是否披露了“质量回报双提升”行动方案公告。</w:t>
      </w:r>
    </w:p>
    <w:p w14:paraId="628CA1E1" w14:textId="244BC67D" w:rsidR="00632E5B" w:rsidRPr="00800AFC" w:rsidRDefault="00107901" w:rsidP="00800AFC">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482B0F1A" w14:textId="693AA4F7" w:rsidR="00632E5B" w:rsidRDefault="00107901">
      <w:pPr>
        <w:pStyle w:val="headingh1"/>
        <w:spacing w:before="340" w:after="330" w:line="773" w:lineRule="exact"/>
        <w:jc w:val="center"/>
        <w:rPr>
          <w:rFonts w:ascii="宋体" w:eastAsia="宋体" w:hAnsi="宋体" w:cs="宋体" w:hint="eastAsia"/>
          <w:b/>
          <w:bCs/>
          <w:sz w:val="32"/>
          <w:szCs w:val="32"/>
        </w:rPr>
      </w:pPr>
      <w:bookmarkStart w:id="56" w:name="_Toc988945"/>
      <w:r>
        <w:rPr>
          <w:rFonts w:ascii="宋体" w:eastAsia="宋体" w:hAnsi="宋体" w:cs="宋体"/>
          <w:b/>
          <w:bCs/>
          <w:sz w:val="32"/>
          <w:szCs w:val="32"/>
        </w:rPr>
        <w:lastRenderedPageBreak/>
        <w:t>第四节 公司治理</w:t>
      </w:r>
      <w:bookmarkEnd w:id="56"/>
    </w:p>
    <w:p w14:paraId="36EF3488" w14:textId="77777777" w:rsidR="00632E5B" w:rsidRDefault="00107901">
      <w:pPr>
        <w:pStyle w:val="2"/>
        <w:spacing w:before="300" w:after="300" w:line="320" w:lineRule="exact"/>
        <w:rPr>
          <w:rFonts w:ascii="宋体" w:eastAsia="宋体" w:hAnsi="宋体" w:cs="宋体" w:hint="eastAsia"/>
          <w:b/>
          <w:bCs/>
          <w:sz w:val="24"/>
          <w:szCs w:val="24"/>
        </w:rPr>
      </w:pPr>
      <w:bookmarkStart w:id="57" w:name="_Toc988946"/>
      <w:r>
        <w:rPr>
          <w:rFonts w:ascii="宋体" w:eastAsia="宋体" w:hAnsi="宋体" w:cs="宋体"/>
          <w:b/>
          <w:bCs/>
          <w:sz w:val="24"/>
          <w:szCs w:val="24"/>
        </w:rPr>
        <w:t>一、公司治理的基本状况</w:t>
      </w:r>
      <w:bookmarkEnd w:id="57"/>
    </w:p>
    <w:p w14:paraId="11BF2851" w14:textId="77777777" w:rsidR="00E72F0C" w:rsidRDefault="00107901">
      <w:pPr>
        <w:pStyle w:val="a3"/>
        <w:spacing w:before="0" w:beforeAutospacing="0" w:after="0" w:afterAutospacing="0" w:line="360" w:lineRule="auto"/>
        <w:ind w:firstLine="480"/>
        <w:jc w:val="both"/>
        <w:divId w:val="1649168806"/>
        <w:rPr>
          <w:rFonts w:ascii="Calibri" w:hAnsi="Calibri" w:cs="Calibri"/>
          <w:sz w:val="21"/>
          <w:szCs w:val="21"/>
        </w:rPr>
      </w:pPr>
      <w:r>
        <w:rPr>
          <w:rFonts w:cs="Calibri" w:hint="eastAsia"/>
          <w:sz w:val="21"/>
          <w:szCs w:val="21"/>
        </w:rPr>
        <w:t>报告期内，公司被法院裁定受理重整并执行完毕。公司严格按照《公司法》《证券法》《上市公司治理准则》《深圳证券交易所股票上市规则》《深圳证券交易所上市公司自律监管指引第1号——主板上市公司规范运作》及中国证监会有关法律、行政法规等要求，结合公司实际情况，不断完善公司内部法人治理结构，建立健全内部控制制度，进一步规范公司行为，注重与投资者的沟通交流，充分维护广大投资者的利益，持续提升公司治理水平。</w:t>
      </w:r>
    </w:p>
    <w:p w14:paraId="6D7A55E8" w14:textId="3C8178C4" w:rsidR="00E72F0C" w:rsidRDefault="00107901">
      <w:pPr>
        <w:pStyle w:val="a3"/>
        <w:spacing w:before="0" w:beforeAutospacing="0" w:after="0" w:afterAutospacing="0" w:line="360" w:lineRule="auto"/>
        <w:ind w:firstLine="480"/>
        <w:jc w:val="both"/>
        <w:divId w:val="1649168806"/>
        <w:rPr>
          <w:rFonts w:ascii="Calibri" w:hAnsi="Calibri" w:cs="Calibri"/>
          <w:sz w:val="21"/>
          <w:szCs w:val="21"/>
        </w:rPr>
      </w:pPr>
      <w:r>
        <w:rPr>
          <w:rFonts w:cs="Calibri" w:hint="eastAsia"/>
          <w:sz w:val="21"/>
          <w:szCs w:val="21"/>
        </w:rPr>
        <w:t>1</w:t>
      </w:r>
      <w:r w:rsidR="00EC682D">
        <w:rPr>
          <w:rFonts w:cs="Calibri" w:hint="eastAsia"/>
          <w:sz w:val="21"/>
          <w:szCs w:val="21"/>
        </w:rPr>
        <w:t>.</w:t>
      </w:r>
      <w:r>
        <w:rPr>
          <w:rFonts w:cs="Calibri" w:hint="eastAsia"/>
          <w:sz w:val="21"/>
          <w:szCs w:val="21"/>
        </w:rPr>
        <w:t>股东与股东大会</w:t>
      </w:r>
    </w:p>
    <w:p w14:paraId="093EA51D" w14:textId="77777777" w:rsidR="00E72F0C" w:rsidRDefault="00107901">
      <w:pPr>
        <w:pStyle w:val="a3"/>
        <w:spacing w:before="0" w:beforeAutospacing="0" w:after="0" w:afterAutospacing="0" w:line="360" w:lineRule="auto"/>
        <w:ind w:firstLine="480"/>
        <w:jc w:val="both"/>
        <w:divId w:val="1649168806"/>
        <w:rPr>
          <w:rFonts w:ascii="Calibri" w:hAnsi="Calibri" w:cs="Calibri"/>
          <w:sz w:val="21"/>
          <w:szCs w:val="21"/>
        </w:rPr>
      </w:pPr>
      <w:r>
        <w:rPr>
          <w:rFonts w:cs="Calibri" w:hint="eastAsia"/>
          <w:sz w:val="21"/>
          <w:szCs w:val="21"/>
        </w:rPr>
        <w:t>公司股东大会严格遵守《公司章程》《股东大会议事规则》等规定和要求，规范执行股东大会的召集、召开及表决程序，能够平等对待所有股东，保证中小股东享有平等地位，并尽可能为股东参加股东大会提供便利，使其充分行使自己的权利。</w:t>
      </w:r>
    </w:p>
    <w:p w14:paraId="4350F884" w14:textId="77777777" w:rsidR="00E72F0C" w:rsidRDefault="00107901">
      <w:pPr>
        <w:pStyle w:val="a3"/>
        <w:spacing w:before="0" w:beforeAutospacing="0" w:after="0" w:afterAutospacing="0" w:line="360" w:lineRule="auto"/>
        <w:ind w:firstLine="480"/>
        <w:jc w:val="both"/>
        <w:divId w:val="1649168806"/>
        <w:rPr>
          <w:rFonts w:ascii="Calibri" w:hAnsi="Calibri" w:cs="Calibri"/>
          <w:sz w:val="21"/>
          <w:szCs w:val="21"/>
        </w:rPr>
      </w:pPr>
      <w:r>
        <w:rPr>
          <w:rFonts w:cs="Calibri" w:hint="eastAsia"/>
          <w:sz w:val="21"/>
          <w:szCs w:val="21"/>
        </w:rPr>
        <w:t>报告期内公司共召开了3次股东大会，会议的召集、召开及表决程序均符合相关法律、法规及规定，见证律师均进行了现场见证并出具法律意见书。公司召开的股东大会均采取现场表决与网络投票相结合的方式进行表决，提高了中小股东参与股东大会的便利性，同时对中小股东进行单独计票，在审议关联交易事项时相关股东均严格按照规定进行回避表决，确保了全体股东享有平等地位，充分行使股东权利。</w:t>
      </w:r>
    </w:p>
    <w:p w14:paraId="145AB586" w14:textId="16E556AA" w:rsidR="00E72F0C" w:rsidRDefault="00107901">
      <w:pPr>
        <w:pStyle w:val="a3"/>
        <w:spacing w:before="0" w:beforeAutospacing="0" w:after="0" w:afterAutospacing="0" w:line="360" w:lineRule="auto"/>
        <w:ind w:firstLine="480"/>
        <w:jc w:val="both"/>
        <w:divId w:val="1649168806"/>
        <w:rPr>
          <w:rFonts w:ascii="Calibri" w:hAnsi="Calibri" w:cs="Calibri"/>
          <w:sz w:val="21"/>
          <w:szCs w:val="21"/>
        </w:rPr>
      </w:pPr>
      <w:r>
        <w:rPr>
          <w:rFonts w:cs="Calibri" w:hint="eastAsia"/>
          <w:sz w:val="21"/>
          <w:szCs w:val="21"/>
        </w:rPr>
        <w:t>2</w:t>
      </w:r>
      <w:r w:rsidR="00EC682D">
        <w:rPr>
          <w:rFonts w:cs="Calibri" w:hint="eastAsia"/>
          <w:sz w:val="21"/>
          <w:szCs w:val="21"/>
        </w:rPr>
        <w:t>.</w:t>
      </w:r>
      <w:r>
        <w:rPr>
          <w:rFonts w:cs="Calibri" w:hint="eastAsia"/>
          <w:sz w:val="21"/>
          <w:szCs w:val="21"/>
        </w:rPr>
        <w:t>关于董事和董事会</w:t>
      </w:r>
    </w:p>
    <w:p w14:paraId="76F299C9" w14:textId="77777777" w:rsidR="00E72F0C" w:rsidRDefault="00107901">
      <w:pPr>
        <w:pStyle w:val="a3"/>
        <w:spacing w:before="0" w:beforeAutospacing="0" w:after="0" w:afterAutospacing="0" w:line="360" w:lineRule="auto"/>
        <w:ind w:firstLine="480"/>
        <w:jc w:val="both"/>
        <w:divId w:val="1649168806"/>
        <w:rPr>
          <w:rFonts w:ascii="Calibri" w:hAnsi="Calibri" w:cs="Calibri"/>
          <w:sz w:val="21"/>
          <w:szCs w:val="21"/>
        </w:rPr>
      </w:pPr>
      <w:r>
        <w:rPr>
          <w:rFonts w:cs="Calibri" w:hint="eastAsia"/>
          <w:sz w:val="21"/>
          <w:szCs w:val="21"/>
        </w:rPr>
        <w:t>根据《公司章程》《董事会议事规则》的规定，公司董事会的人数和成员构成均符合法律、法规的要求，共有9名董事组成（截至本报告期末，因有董事辞职，董事会空缺1人），其中独立董事3名。公司董事积极参加相关培训，熟悉并掌握有关法律法规，认真履行董事诚实守信、勤勉尽责。</w:t>
      </w:r>
    </w:p>
    <w:p w14:paraId="5402B87E" w14:textId="77777777" w:rsidR="00E72F0C" w:rsidRDefault="00107901">
      <w:pPr>
        <w:pStyle w:val="a3"/>
        <w:spacing w:before="0" w:beforeAutospacing="0" w:after="0" w:afterAutospacing="0" w:line="360" w:lineRule="auto"/>
        <w:ind w:firstLine="480"/>
        <w:jc w:val="both"/>
        <w:divId w:val="1649168806"/>
        <w:rPr>
          <w:rFonts w:ascii="Calibri" w:hAnsi="Calibri" w:cs="Calibri"/>
          <w:sz w:val="21"/>
          <w:szCs w:val="21"/>
        </w:rPr>
      </w:pPr>
      <w:r>
        <w:rPr>
          <w:rFonts w:cs="Calibri" w:hint="eastAsia"/>
          <w:sz w:val="21"/>
          <w:szCs w:val="21"/>
        </w:rPr>
        <w:t>报告期内，公司董事会下设的战略委员会、审计委员会、薪酬与考核委员会、提名委员会四个专门委员会根据相关规定和要求开展工作，就各专业性事项进行讨论，独立履职，为董事会决策提供专业科学和专业的意见和参考，在促进公司规范运作、持续健康发展等方面发挥了重要的作用。</w:t>
      </w:r>
    </w:p>
    <w:p w14:paraId="076C9903" w14:textId="1BCBEA25" w:rsidR="00E72F0C" w:rsidRDefault="00107901">
      <w:pPr>
        <w:pStyle w:val="a3"/>
        <w:spacing w:before="0" w:beforeAutospacing="0" w:after="0" w:afterAutospacing="0" w:line="360" w:lineRule="auto"/>
        <w:ind w:firstLine="480"/>
        <w:jc w:val="both"/>
        <w:divId w:val="1649168806"/>
        <w:rPr>
          <w:rFonts w:ascii="Calibri" w:hAnsi="Calibri" w:cs="Calibri"/>
          <w:sz w:val="21"/>
          <w:szCs w:val="21"/>
        </w:rPr>
      </w:pPr>
      <w:r>
        <w:rPr>
          <w:rFonts w:cs="Calibri" w:hint="eastAsia"/>
          <w:sz w:val="21"/>
          <w:szCs w:val="21"/>
        </w:rPr>
        <w:t>3</w:t>
      </w:r>
      <w:r w:rsidR="00EC682D">
        <w:rPr>
          <w:rFonts w:cs="Calibri" w:hint="eastAsia"/>
          <w:sz w:val="21"/>
          <w:szCs w:val="21"/>
        </w:rPr>
        <w:t>.</w:t>
      </w:r>
      <w:r>
        <w:rPr>
          <w:rFonts w:cs="Calibri" w:hint="eastAsia"/>
          <w:sz w:val="21"/>
          <w:szCs w:val="21"/>
        </w:rPr>
        <w:t>关于监事与监事会</w:t>
      </w:r>
    </w:p>
    <w:p w14:paraId="6C36B665" w14:textId="77777777" w:rsidR="00E72F0C" w:rsidRDefault="00107901">
      <w:pPr>
        <w:pStyle w:val="a3"/>
        <w:spacing w:before="0" w:beforeAutospacing="0" w:after="0" w:afterAutospacing="0" w:line="360" w:lineRule="auto"/>
        <w:ind w:firstLine="480"/>
        <w:jc w:val="both"/>
        <w:divId w:val="1649168806"/>
        <w:rPr>
          <w:rFonts w:ascii="Calibri" w:hAnsi="Calibri" w:cs="Calibri"/>
          <w:sz w:val="21"/>
          <w:szCs w:val="21"/>
        </w:rPr>
      </w:pPr>
      <w:r>
        <w:rPr>
          <w:rFonts w:cs="Calibri" w:hint="eastAsia"/>
          <w:sz w:val="21"/>
          <w:szCs w:val="21"/>
        </w:rPr>
        <w:t>根据《公司章程》《监事会议事规则》的规定，报告期内公司设立监事会，由3名监事组成，其中职工监事1名，设监事会主席1名。公司监事任职符合《公司法》的相关规定。</w:t>
      </w:r>
    </w:p>
    <w:p w14:paraId="0A002446" w14:textId="77777777" w:rsidR="00E72F0C" w:rsidRDefault="00107901">
      <w:pPr>
        <w:pStyle w:val="a3"/>
        <w:spacing w:before="0" w:beforeAutospacing="0" w:after="0" w:afterAutospacing="0" w:line="360" w:lineRule="auto"/>
        <w:ind w:firstLine="480"/>
        <w:jc w:val="both"/>
        <w:divId w:val="1649168806"/>
        <w:rPr>
          <w:rFonts w:ascii="Calibri" w:hAnsi="Calibri" w:cs="Calibri"/>
          <w:sz w:val="21"/>
          <w:szCs w:val="21"/>
        </w:rPr>
      </w:pPr>
      <w:r>
        <w:rPr>
          <w:rFonts w:cs="Calibri" w:hint="eastAsia"/>
          <w:sz w:val="21"/>
          <w:szCs w:val="21"/>
        </w:rPr>
        <w:t>报告期内，公司监事会能够按照《监事会议事规则》等相关要求，认真履职，本着为股东负责的态度，依法检查和监督公司财务，对董事、高级管理人员履行职责的合法合规性进行监督。</w:t>
      </w:r>
    </w:p>
    <w:p w14:paraId="427C5457" w14:textId="5F84A188" w:rsidR="00E72F0C" w:rsidRDefault="00107901">
      <w:pPr>
        <w:pStyle w:val="a3"/>
        <w:spacing w:before="0" w:beforeAutospacing="0" w:after="0" w:afterAutospacing="0" w:line="360" w:lineRule="auto"/>
        <w:ind w:firstLine="480"/>
        <w:jc w:val="both"/>
        <w:divId w:val="1649168806"/>
        <w:rPr>
          <w:rFonts w:ascii="Calibri" w:hAnsi="Calibri" w:cs="Calibri"/>
          <w:sz w:val="21"/>
          <w:szCs w:val="21"/>
        </w:rPr>
      </w:pPr>
      <w:r>
        <w:rPr>
          <w:rFonts w:cs="Calibri" w:hint="eastAsia"/>
          <w:sz w:val="21"/>
          <w:szCs w:val="21"/>
        </w:rPr>
        <w:t>4</w:t>
      </w:r>
      <w:r w:rsidR="00EC682D">
        <w:rPr>
          <w:rFonts w:cs="Calibri" w:hint="eastAsia"/>
          <w:sz w:val="21"/>
          <w:szCs w:val="21"/>
        </w:rPr>
        <w:t>.</w:t>
      </w:r>
      <w:r>
        <w:rPr>
          <w:rFonts w:cs="Calibri" w:hint="eastAsia"/>
          <w:sz w:val="21"/>
          <w:szCs w:val="21"/>
        </w:rPr>
        <w:t>关于信息披露与透明度</w:t>
      </w:r>
    </w:p>
    <w:p w14:paraId="36BC6F50" w14:textId="77777777" w:rsidR="00E72F0C" w:rsidRDefault="00107901">
      <w:pPr>
        <w:pStyle w:val="a3"/>
        <w:spacing w:before="0" w:beforeAutospacing="0" w:after="0" w:afterAutospacing="0" w:line="360" w:lineRule="auto"/>
        <w:ind w:firstLine="480"/>
        <w:jc w:val="both"/>
        <w:divId w:val="1649168806"/>
        <w:rPr>
          <w:rFonts w:ascii="Calibri" w:hAnsi="Calibri" w:cs="Calibri"/>
          <w:sz w:val="21"/>
          <w:szCs w:val="21"/>
        </w:rPr>
      </w:pPr>
      <w:r>
        <w:rPr>
          <w:rFonts w:cs="Calibri" w:hint="eastAsia"/>
          <w:sz w:val="21"/>
          <w:szCs w:val="21"/>
        </w:rPr>
        <w:lastRenderedPageBreak/>
        <w:t>报告期内，公司严格遵守《公司法》《公司章程》《信息披露事务管理制度》等要求，认真履行信息披露义务。公司指定董事会秘书负责组织和协调公司信息披露事务，对公司重整期间事项、经营管理情况和对公司会产生重大影响的事项进行真实、完整、及时、准确、通俗易懂的披露，确保所有股东平等地获得信息；同时，公司通过投资者互动易平台、网上业绩说明会、投资者电话热线、董秘邮箱等多种渠道保持与投资者的沟通联系，妥善安排投资者关系活动并认真做好投资者关系活动记录的披露工作，确保信息披露的公平性。</w:t>
      </w:r>
    </w:p>
    <w:p w14:paraId="76072481" w14:textId="0E7ED713" w:rsidR="00E72F0C" w:rsidRDefault="00107901">
      <w:pPr>
        <w:pStyle w:val="a3"/>
        <w:spacing w:before="0" w:beforeAutospacing="0" w:after="0" w:afterAutospacing="0" w:line="360" w:lineRule="auto"/>
        <w:ind w:firstLine="480"/>
        <w:jc w:val="both"/>
        <w:divId w:val="1649168806"/>
        <w:rPr>
          <w:rFonts w:ascii="Calibri" w:hAnsi="Calibri" w:cs="Calibri"/>
          <w:sz w:val="21"/>
          <w:szCs w:val="21"/>
        </w:rPr>
      </w:pPr>
      <w:r>
        <w:rPr>
          <w:rFonts w:cs="Calibri" w:hint="eastAsia"/>
          <w:sz w:val="21"/>
          <w:szCs w:val="21"/>
        </w:rPr>
        <w:t>5</w:t>
      </w:r>
      <w:r w:rsidR="00291252">
        <w:rPr>
          <w:rFonts w:cs="Calibri" w:hint="eastAsia"/>
          <w:sz w:val="21"/>
          <w:szCs w:val="21"/>
        </w:rPr>
        <w:t>.</w:t>
      </w:r>
      <w:r>
        <w:rPr>
          <w:rFonts w:cs="Calibri" w:hint="eastAsia"/>
          <w:sz w:val="21"/>
          <w:szCs w:val="21"/>
        </w:rPr>
        <w:t>内幕信息知情人登记管理</w:t>
      </w:r>
    </w:p>
    <w:p w14:paraId="0B105DE8" w14:textId="77777777" w:rsidR="00E72F0C" w:rsidRDefault="00107901">
      <w:pPr>
        <w:pStyle w:val="a3"/>
        <w:spacing w:before="0" w:beforeAutospacing="0" w:after="0" w:afterAutospacing="0" w:line="360" w:lineRule="auto"/>
        <w:ind w:firstLine="480"/>
        <w:jc w:val="both"/>
        <w:divId w:val="1649168806"/>
        <w:rPr>
          <w:rFonts w:ascii="Calibri" w:hAnsi="Calibri" w:cs="Calibri"/>
          <w:sz w:val="21"/>
          <w:szCs w:val="21"/>
        </w:rPr>
      </w:pPr>
      <w:r>
        <w:rPr>
          <w:rFonts w:cs="Calibri" w:hint="eastAsia"/>
          <w:sz w:val="21"/>
          <w:szCs w:val="21"/>
        </w:rPr>
        <w:t>公司严格依照《证券法》《深圳证券交易所股票上市规则》《深圳证券交易所上市公司自律监管指引第1号——主板上市公司规范运作》及公司《内幕信息知情人登记管理办法》等相关规定执行，并坚持“一事一记”原则。报告期内，及时做好每次定期报告、重整关键节点事项以及其他重大事项保密义务通知，建立内幕信息知情人档案并报送深交所，同时完整保存记录于公司董事会办公室。公司没有发生内幕信息知情人违规买卖公司股票的情形，也没有因《内幕信息知情人管理制度》执行偏差或涉嫌内幕交易被监管部门采取监管措施及行政处罚的情形。</w:t>
      </w:r>
    </w:p>
    <w:p w14:paraId="0DEF3645"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公司治理的实际状况与法律、行政法规和中国证监会发布的关于上市公司治理的规定是否存在重大差异</w:t>
      </w:r>
    </w:p>
    <w:p w14:paraId="2D01B641"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35B9B681"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公司治理的实际状况与法律、行政法规和中国证监会发布的关于上市公司治理的规定不存在重大差异。</w:t>
      </w:r>
    </w:p>
    <w:p w14:paraId="309B3301" w14:textId="77777777" w:rsidR="00632E5B" w:rsidRDefault="00107901">
      <w:pPr>
        <w:pStyle w:val="2"/>
        <w:spacing w:before="300" w:after="300" w:line="320" w:lineRule="exact"/>
        <w:rPr>
          <w:rFonts w:ascii="宋体" w:eastAsia="宋体" w:hAnsi="宋体" w:cs="宋体" w:hint="eastAsia"/>
          <w:b/>
          <w:bCs/>
          <w:sz w:val="24"/>
          <w:szCs w:val="24"/>
        </w:rPr>
      </w:pPr>
      <w:bookmarkStart w:id="58" w:name="_Toc988947"/>
      <w:r>
        <w:rPr>
          <w:rFonts w:ascii="宋体" w:eastAsia="宋体" w:hAnsi="宋体" w:cs="宋体"/>
          <w:b/>
          <w:bCs/>
          <w:sz w:val="24"/>
          <w:szCs w:val="24"/>
        </w:rPr>
        <w:t>二、公司相对于控股股东、实际控制人在保证公司资产、人员、财务、机构、业务等方面的独立情况</w:t>
      </w:r>
      <w:bookmarkEnd w:id="58"/>
    </w:p>
    <w:p w14:paraId="4D00736C" w14:textId="3CE13B65" w:rsidR="00E72F0C" w:rsidRDefault="00107901" w:rsidP="00291252">
      <w:pPr>
        <w:pStyle w:val="a3"/>
        <w:spacing w:before="0" w:beforeAutospacing="0" w:after="0" w:afterAutospacing="0" w:line="360" w:lineRule="auto"/>
        <w:ind w:firstLineChars="200" w:firstLine="420"/>
        <w:divId w:val="1521892269"/>
        <w:rPr>
          <w:rFonts w:hint="eastAsia"/>
        </w:rPr>
      </w:pPr>
      <w:r>
        <w:rPr>
          <w:rFonts w:hint="eastAsia"/>
          <w:color w:val="000000"/>
          <w:sz w:val="21"/>
          <w:szCs w:val="21"/>
        </w:rPr>
        <w:t>报告期内，公司在业务、人员、资产、机构、财务方面与控股股东实行“三分开、两独立”，公司拥有完全独立的业务体系，具有自主经营的能力。</w:t>
      </w:r>
    </w:p>
    <w:p w14:paraId="2558C9B5" w14:textId="281DF574" w:rsidR="00E72F0C" w:rsidRDefault="00107901" w:rsidP="00291252">
      <w:pPr>
        <w:pStyle w:val="a3"/>
        <w:spacing w:before="0" w:beforeAutospacing="0" w:after="0" w:afterAutospacing="0" w:line="360" w:lineRule="auto"/>
        <w:ind w:firstLineChars="200" w:firstLine="420"/>
        <w:divId w:val="1521892269"/>
        <w:rPr>
          <w:rFonts w:hint="eastAsia"/>
        </w:rPr>
      </w:pPr>
      <w:r>
        <w:rPr>
          <w:rFonts w:hint="eastAsia"/>
          <w:color w:val="000000"/>
          <w:sz w:val="21"/>
          <w:szCs w:val="21"/>
        </w:rPr>
        <w:t>1</w:t>
      </w:r>
      <w:r w:rsidR="00291252">
        <w:rPr>
          <w:rFonts w:hint="eastAsia"/>
          <w:color w:val="000000"/>
          <w:sz w:val="21"/>
          <w:szCs w:val="21"/>
        </w:rPr>
        <w:t>.</w:t>
      </w:r>
      <w:r>
        <w:rPr>
          <w:rFonts w:hint="eastAsia"/>
          <w:color w:val="000000"/>
          <w:sz w:val="21"/>
          <w:szCs w:val="21"/>
        </w:rPr>
        <w:t>业务方面：公司具有独立的业务和自主经营能力，独立决策，自主经营，自负盈亏，并独立承担相应的责任和风险。</w:t>
      </w:r>
    </w:p>
    <w:p w14:paraId="5A3EE591" w14:textId="1BCFAE81" w:rsidR="00E72F0C" w:rsidRDefault="00107901" w:rsidP="00291252">
      <w:pPr>
        <w:pStyle w:val="a3"/>
        <w:spacing w:before="0" w:beforeAutospacing="0" w:after="0" w:afterAutospacing="0" w:line="360" w:lineRule="auto"/>
        <w:ind w:firstLineChars="200" w:firstLine="420"/>
        <w:divId w:val="1521892269"/>
        <w:rPr>
          <w:rFonts w:hint="eastAsia"/>
        </w:rPr>
      </w:pPr>
      <w:r>
        <w:rPr>
          <w:rFonts w:hint="eastAsia"/>
          <w:color w:val="000000"/>
          <w:sz w:val="21"/>
          <w:szCs w:val="21"/>
        </w:rPr>
        <w:t>2</w:t>
      </w:r>
      <w:r w:rsidR="00291252">
        <w:rPr>
          <w:color w:val="000000"/>
          <w:sz w:val="21"/>
          <w:szCs w:val="21"/>
        </w:rPr>
        <w:t>.</w:t>
      </w:r>
      <w:r>
        <w:rPr>
          <w:rFonts w:hint="eastAsia"/>
          <w:color w:val="000000"/>
          <w:sz w:val="21"/>
          <w:szCs w:val="21"/>
        </w:rPr>
        <w:t>人员方面：公司人员独立于控股股东，具有独立的劳动人事管理部门，制定有独立的劳动人事管理、员工绩效考核及薪酬管理等制度，公司高级管理人员均在本公司工作并领取报酬。</w:t>
      </w:r>
    </w:p>
    <w:p w14:paraId="39F9CA16" w14:textId="42615F41" w:rsidR="00E72F0C" w:rsidRDefault="00107901" w:rsidP="00291252">
      <w:pPr>
        <w:pStyle w:val="a3"/>
        <w:spacing w:before="0" w:beforeAutospacing="0" w:after="0" w:afterAutospacing="0" w:line="360" w:lineRule="auto"/>
        <w:ind w:firstLineChars="200" w:firstLine="420"/>
        <w:divId w:val="1521892269"/>
        <w:rPr>
          <w:rFonts w:hint="eastAsia"/>
        </w:rPr>
      </w:pPr>
      <w:r>
        <w:rPr>
          <w:rFonts w:hint="eastAsia"/>
          <w:color w:val="000000"/>
          <w:sz w:val="21"/>
          <w:szCs w:val="21"/>
        </w:rPr>
        <w:t>3</w:t>
      </w:r>
      <w:r w:rsidR="00291252">
        <w:rPr>
          <w:rFonts w:hint="eastAsia"/>
          <w:color w:val="000000"/>
          <w:sz w:val="21"/>
          <w:szCs w:val="21"/>
        </w:rPr>
        <w:t>.</w:t>
      </w:r>
      <w:r>
        <w:rPr>
          <w:rFonts w:hint="eastAsia"/>
          <w:color w:val="000000"/>
          <w:sz w:val="21"/>
          <w:szCs w:val="21"/>
        </w:rPr>
        <w:t>资产方面：公司资产独立完整，产权清晰，拥有独立的供、产、销系统，拥有专利技术、专有技术。</w:t>
      </w:r>
    </w:p>
    <w:p w14:paraId="3ECA82BD" w14:textId="5E21C118" w:rsidR="00E72F0C" w:rsidRDefault="00107901" w:rsidP="00291252">
      <w:pPr>
        <w:pStyle w:val="a3"/>
        <w:spacing w:before="0" w:beforeAutospacing="0" w:after="0" w:afterAutospacing="0" w:line="360" w:lineRule="auto"/>
        <w:ind w:firstLineChars="200" w:firstLine="420"/>
        <w:divId w:val="1521892269"/>
        <w:rPr>
          <w:rFonts w:hint="eastAsia"/>
        </w:rPr>
      </w:pPr>
      <w:r>
        <w:rPr>
          <w:rFonts w:hint="eastAsia"/>
          <w:color w:val="000000"/>
          <w:sz w:val="21"/>
          <w:szCs w:val="21"/>
        </w:rPr>
        <w:t>4</w:t>
      </w:r>
      <w:r w:rsidR="00291252">
        <w:rPr>
          <w:rFonts w:hint="eastAsia"/>
          <w:color w:val="000000"/>
          <w:sz w:val="21"/>
          <w:szCs w:val="21"/>
        </w:rPr>
        <w:t>.</w:t>
      </w:r>
      <w:r>
        <w:rPr>
          <w:rFonts w:hint="eastAsia"/>
          <w:color w:val="000000"/>
          <w:sz w:val="21"/>
          <w:szCs w:val="21"/>
        </w:rPr>
        <w:t>机构方面：公司机构完整，各机构均独立于公司控股股东及其控制的其他企业；公司董事会、监事会及其他内部机构完全独立运作。</w:t>
      </w:r>
    </w:p>
    <w:p w14:paraId="7A0650D7" w14:textId="7AA70F11" w:rsidR="00E72F0C" w:rsidRDefault="00107901" w:rsidP="00291252">
      <w:pPr>
        <w:pStyle w:val="a3"/>
        <w:spacing w:before="0" w:beforeAutospacing="0" w:after="0" w:afterAutospacing="0" w:line="360" w:lineRule="auto"/>
        <w:ind w:firstLineChars="200" w:firstLine="420"/>
        <w:divId w:val="1521892269"/>
        <w:rPr>
          <w:rFonts w:hint="eastAsia"/>
          <w:sz w:val="18"/>
          <w:szCs w:val="18"/>
        </w:rPr>
      </w:pPr>
      <w:r>
        <w:rPr>
          <w:rFonts w:hint="eastAsia"/>
          <w:color w:val="000000"/>
          <w:sz w:val="21"/>
          <w:szCs w:val="21"/>
        </w:rPr>
        <w:t>5</w:t>
      </w:r>
      <w:r w:rsidR="00291252">
        <w:rPr>
          <w:color w:val="000000"/>
          <w:sz w:val="21"/>
          <w:szCs w:val="21"/>
        </w:rPr>
        <w:t>.</w:t>
      </w:r>
      <w:r>
        <w:rPr>
          <w:rFonts w:hint="eastAsia"/>
          <w:color w:val="000000"/>
          <w:sz w:val="21"/>
          <w:szCs w:val="21"/>
        </w:rPr>
        <w:t>财务方面：公司设立独立的财务管理部门，建立了独立的会计核算体系和较为完善的财务、会计管理制度，形成了完全独立的内部控制机制，独立核算，独立在银行开户，独立纳税。</w:t>
      </w:r>
      <w:r>
        <w:rPr>
          <w:rFonts w:hint="eastAsia"/>
          <w:color w:val="000000"/>
          <w:sz w:val="18"/>
          <w:szCs w:val="18"/>
        </w:rPr>
        <w:t xml:space="preserve"> </w:t>
      </w:r>
    </w:p>
    <w:p w14:paraId="5F58538C" w14:textId="77777777" w:rsidR="00632E5B" w:rsidRDefault="00107901">
      <w:pPr>
        <w:pStyle w:val="2"/>
        <w:spacing w:before="300" w:after="300" w:line="320" w:lineRule="exact"/>
        <w:rPr>
          <w:rFonts w:ascii="宋体" w:eastAsia="宋体" w:hAnsi="宋体" w:cs="宋体" w:hint="eastAsia"/>
          <w:b/>
          <w:bCs/>
          <w:sz w:val="24"/>
          <w:szCs w:val="24"/>
        </w:rPr>
      </w:pPr>
      <w:bookmarkStart w:id="59" w:name="_Toc988948"/>
      <w:r>
        <w:rPr>
          <w:rFonts w:ascii="宋体" w:eastAsia="宋体" w:hAnsi="宋体" w:cs="宋体"/>
          <w:b/>
          <w:bCs/>
          <w:sz w:val="24"/>
          <w:szCs w:val="24"/>
        </w:rPr>
        <w:lastRenderedPageBreak/>
        <w:t>三、同业竞争情况</w:t>
      </w:r>
      <w:bookmarkEnd w:id="59"/>
    </w:p>
    <w:p w14:paraId="5A89FD0C"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ABD915E" w14:textId="77777777" w:rsidR="00632E5B" w:rsidRDefault="00107901">
      <w:pPr>
        <w:pStyle w:val="2"/>
        <w:spacing w:before="300" w:after="300" w:line="320" w:lineRule="exact"/>
        <w:rPr>
          <w:rFonts w:ascii="宋体" w:eastAsia="宋体" w:hAnsi="宋体" w:cs="宋体" w:hint="eastAsia"/>
          <w:b/>
          <w:bCs/>
          <w:sz w:val="24"/>
          <w:szCs w:val="24"/>
        </w:rPr>
      </w:pPr>
      <w:bookmarkStart w:id="60" w:name="_Toc988949"/>
      <w:r>
        <w:rPr>
          <w:rFonts w:ascii="宋体" w:eastAsia="宋体" w:hAnsi="宋体" w:cs="宋体"/>
          <w:b/>
          <w:bCs/>
          <w:sz w:val="24"/>
          <w:szCs w:val="24"/>
        </w:rPr>
        <w:t>四、报告期内召开的年度股东大会和临时股东大会的有关情况</w:t>
      </w:r>
      <w:bookmarkEnd w:id="60"/>
    </w:p>
    <w:p w14:paraId="557EC573" w14:textId="77777777" w:rsidR="00632E5B" w:rsidRDefault="00107901">
      <w:pPr>
        <w:pStyle w:val="3"/>
        <w:spacing w:line="280" w:lineRule="exact"/>
        <w:jc w:val="left"/>
        <w:rPr>
          <w:rFonts w:ascii="宋体" w:hAnsi="宋体" w:cs="宋体" w:hint="eastAsia"/>
          <w:b/>
          <w:bCs/>
        </w:rPr>
      </w:pPr>
      <w:bookmarkStart w:id="61" w:name="_Toc988950"/>
      <w:r>
        <w:rPr>
          <w:rFonts w:ascii="宋体" w:hAnsi="宋体" w:cs="宋体"/>
          <w:b/>
          <w:bCs/>
        </w:rPr>
        <w:t>1、本报告期股东大会情况</w:t>
      </w:r>
      <w:bookmarkEnd w:id="61"/>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606"/>
        <w:gridCol w:w="1402"/>
        <w:gridCol w:w="1559"/>
        <w:gridCol w:w="1701"/>
        <w:gridCol w:w="1764"/>
        <w:gridCol w:w="1607"/>
      </w:tblGrid>
      <w:tr w:rsidR="00632E5B" w14:paraId="50AC5287" w14:textId="77777777" w:rsidTr="00373F73">
        <w:trPr>
          <w:trHeight w:val="240"/>
        </w:trPr>
        <w:tc>
          <w:tcPr>
            <w:tcW w:w="1606" w:type="dxa"/>
            <w:shd w:val="clear" w:color="auto" w:fill="FFFFFF" w:themeFill="background1"/>
            <w:vAlign w:val="center"/>
          </w:tcPr>
          <w:p w14:paraId="7B69A1D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会议届次</w:t>
            </w:r>
          </w:p>
        </w:tc>
        <w:tc>
          <w:tcPr>
            <w:tcW w:w="1402" w:type="dxa"/>
            <w:shd w:val="clear" w:color="auto" w:fill="FFFFFF" w:themeFill="background1"/>
            <w:vAlign w:val="center"/>
          </w:tcPr>
          <w:p w14:paraId="1E71D55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会议类型</w:t>
            </w:r>
          </w:p>
        </w:tc>
        <w:tc>
          <w:tcPr>
            <w:tcW w:w="1559" w:type="dxa"/>
            <w:shd w:val="clear" w:color="auto" w:fill="FFFFFF" w:themeFill="background1"/>
            <w:vAlign w:val="center"/>
          </w:tcPr>
          <w:p w14:paraId="10128C1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投资者参与比例</w:t>
            </w:r>
          </w:p>
        </w:tc>
        <w:tc>
          <w:tcPr>
            <w:tcW w:w="1701" w:type="dxa"/>
            <w:shd w:val="clear" w:color="auto" w:fill="FFFFFF" w:themeFill="background1"/>
            <w:vAlign w:val="center"/>
          </w:tcPr>
          <w:p w14:paraId="32949F7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召开日期</w:t>
            </w:r>
          </w:p>
        </w:tc>
        <w:tc>
          <w:tcPr>
            <w:tcW w:w="1764" w:type="dxa"/>
            <w:shd w:val="clear" w:color="auto" w:fill="FFFFFF" w:themeFill="background1"/>
            <w:vAlign w:val="center"/>
          </w:tcPr>
          <w:p w14:paraId="0AB5E3D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披露日期</w:t>
            </w:r>
          </w:p>
        </w:tc>
        <w:tc>
          <w:tcPr>
            <w:tcW w:w="1607" w:type="dxa"/>
            <w:shd w:val="clear" w:color="auto" w:fill="FFFFFF" w:themeFill="background1"/>
            <w:vAlign w:val="center"/>
          </w:tcPr>
          <w:p w14:paraId="7EF323A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会议决议</w:t>
            </w:r>
          </w:p>
        </w:tc>
      </w:tr>
      <w:tr w:rsidR="00632E5B" w14:paraId="5FF12807" w14:textId="77777777" w:rsidTr="00373F73">
        <w:trPr>
          <w:trHeight w:val="240"/>
        </w:trPr>
        <w:tc>
          <w:tcPr>
            <w:tcW w:w="1606" w:type="dxa"/>
            <w:shd w:val="clear" w:color="auto" w:fill="FFFFFF" w:themeFill="background1"/>
            <w:vAlign w:val="center"/>
          </w:tcPr>
          <w:p w14:paraId="7DE6E52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2024年第一次临时股东大会</w:t>
            </w:r>
          </w:p>
        </w:tc>
        <w:tc>
          <w:tcPr>
            <w:tcW w:w="1402" w:type="dxa"/>
            <w:shd w:val="clear" w:color="auto" w:fill="FFFFFF" w:themeFill="background1"/>
            <w:vAlign w:val="center"/>
          </w:tcPr>
          <w:p w14:paraId="1DF2CAE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临时股东大会</w:t>
            </w:r>
          </w:p>
        </w:tc>
        <w:tc>
          <w:tcPr>
            <w:tcW w:w="1559" w:type="dxa"/>
            <w:shd w:val="clear" w:color="auto" w:fill="FFFFFF" w:themeFill="background1"/>
            <w:vAlign w:val="center"/>
          </w:tcPr>
          <w:p w14:paraId="065F254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13.63%</w:t>
            </w:r>
          </w:p>
        </w:tc>
        <w:tc>
          <w:tcPr>
            <w:tcW w:w="1701" w:type="dxa"/>
            <w:shd w:val="clear" w:color="auto" w:fill="FFFFFF" w:themeFill="background1"/>
            <w:vAlign w:val="center"/>
          </w:tcPr>
          <w:p w14:paraId="0B2636C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2024年03月19日</w:t>
            </w:r>
          </w:p>
        </w:tc>
        <w:tc>
          <w:tcPr>
            <w:tcW w:w="1764" w:type="dxa"/>
            <w:shd w:val="clear" w:color="auto" w:fill="FFFFFF" w:themeFill="background1"/>
            <w:vAlign w:val="center"/>
          </w:tcPr>
          <w:p w14:paraId="5410B1F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2024年03月20日</w:t>
            </w:r>
          </w:p>
        </w:tc>
        <w:tc>
          <w:tcPr>
            <w:tcW w:w="1607" w:type="dxa"/>
            <w:shd w:val="clear" w:color="auto" w:fill="FFFFFF" w:themeFill="background1"/>
            <w:vAlign w:val="center"/>
          </w:tcPr>
          <w:p w14:paraId="1F88D8C8" w14:textId="77777777" w:rsidR="00632E5B" w:rsidRDefault="00107901" w:rsidP="001C6B38">
            <w:pPr>
              <w:spacing w:line="240" w:lineRule="exact"/>
              <w:rPr>
                <w:rFonts w:ascii="宋体" w:eastAsia="宋体" w:hAnsi="宋体" w:cs="宋体" w:hint="eastAsia"/>
                <w:sz w:val="18"/>
                <w:szCs w:val="18"/>
              </w:rPr>
            </w:pPr>
            <w:r>
              <w:rPr>
                <w:rFonts w:ascii="宋体" w:eastAsia="宋体" w:hAnsi="宋体" w:cs="宋体"/>
                <w:sz w:val="18"/>
                <w:szCs w:val="18"/>
              </w:rPr>
              <w:t>《2024年第一次临时股东大会决议公告》（公告编号：2024-020）刊登于巨潮资讯网（www.cninfo.com.cn）</w:t>
            </w:r>
          </w:p>
        </w:tc>
      </w:tr>
      <w:tr w:rsidR="00632E5B" w14:paraId="650DC232" w14:textId="77777777" w:rsidTr="00373F73">
        <w:trPr>
          <w:trHeight w:val="240"/>
        </w:trPr>
        <w:tc>
          <w:tcPr>
            <w:tcW w:w="1606" w:type="dxa"/>
            <w:shd w:val="clear" w:color="auto" w:fill="FFFFFF" w:themeFill="background1"/>
            <w:vAlign w:val="center"/>
          </w:tcPr>
          <w:p w14:paraId="4199774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2023年度股东大会</w:t>
            </w:r>
          </w:p>
        </w:tc>
        <w:tc>
          <w:tcPr>
            <w:tcW w:w="1402" w:type="dxa"/>
            <w:shd w:val="clear" w:color="auto" w:fill="FFFFFF" w:themeFill="background1"/>
            <w:vAlign w:val="center"/>
          </w:tcPr>
          <w:p w14:paraId="378287E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年度股东大会</w:t>
            </w:r>
          </w:p>
        </w:tc>
        <w:tc>
          <w:tcPr>
            <w:tcW w:w="1559" w:type="dxa"/>
            <w:shd w:val="clear" w:color="auto" w:fill="FFFFFF" w:themeFill="background1"/>
            <w:vAlign w:val="center"/>
          </w:tcPr>
          <w:p w14:paraId="25A3CAC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18.27%</w:t>
            </w:r>
          </w:p>
        </w:tc>
        <w:tc>
          <w:tcPr>
            <w:tcW w:w="1701" w:type="dxa"/>
            <w:shd w:val="clear" w:color="auto" w:fill="FFFFFF" w:themeFill="background1"/>
            <w:vAlign w:val="center"/>
          </w:tcPr>
          <w:p w14:paraId="17A83BA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2024年05月14日</w:t>
            </w:r>
          </w:p>
        </w:tc>
        <w:tc>
          <w:tcPr>
            <w:tcW w:w="1764" w:type="dxa"/>
            <w:shd w:val="clear" w:color="auto" w:fill="FFFFFF" w:themeFill="background1"/>
            <w:vAlign w:val="center"/>
          </w:tcPr>
          <w:p w14:paraId="2C04F79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2024年05月15日</w:t>
            </w:r>
          </w:p>
        </w:tc>
        <w:tc>
          <w:tcPr>
            <w:tcW w:w="1607" w:type="dxa"/>
            <w:shd w:val="clear" w:color="auto" w:fill="FFFFFF" w:themeFill="background1"/>
            <w:vAlign w:val="center"/>
          </w:tcPr>
          <w:p w14:paraId="559C379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《2023年度股东大会决议公告》（公告编号：2024-052）刊登于巨潮资讯网（www.cninfo.com.cn）</w:t>
            </w:r>
          </w:p>
        </w:tc>
      </w:tr>
      <w:tr w:rsidR="00632E5B" w14:paraId="03E16D80" w14:textId="77777777" w:rsidTr="00373F73">
        <w:trPr>
          <w:trHeight w:val="240"/>
        </w:trPr>
        <w:tc>
          <w:tcPr>
            <w:tcW w:w="1606" w:type="dxa"/>
            <w:shd w:val="clear" w:color="auto" w:fill="FFFFFF" w:themeFill="background1"/>
            <w:vAlign w:val="center"/>
          </w:tcPr>
          <w:p w14:paraId="5BDFDB4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出资人组会议及2024年第二次临时股东大会</w:t>
            </w:r>
          </w:p>
        </w:tc>
        <w:tc>
          <w:tcPr>
            <w:tcW w:w="1402" w:type="dxa"/>
            <w:shd w:val="clear" w:color="auto" w:fill="FFFFFF" w:themeFill="background1"/>
            <w:vAlign w:val="center"/>
          </w:tcPr>
          <w:p w14:paraId="35ECB20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临时股东大会</w:t>
            </w:r>
          </w:p>
        </w:tc>
        <w:tc>
          <w:tcPr>
            <w:tcW w:w="1559" w:type="dxa"/>
            <w:shd w:val="clear" w:color="auto" w:fill="FFFFFF" w:themeFill="background1"/>
            <w:vAlign w:val="center"/>
          </w:tcPr>
          <w:p w14:paraId="5475771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46.93%</w:t>
            </w:r>
          </w:p>
        </w:tc>
        <w:tc>
          <w:tcPr>
            <w:tcW w:w="1701" w:type="dxa"/>
            <w:shd w:val="clear" w:color="auto" w:fill="FFFFFF" w:themeFill="background1"/>
            <w:vAlign w:val="center"/>
          </w:tcPr>
          <w:p w14:paraId="3966F6C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2024年12月04日</w:t>
            </w:r>
          </w:p>
        </w:tc>
        <w:tc>
          <w:tcPr>
            <w:tcW w:w="1764" w:type="dxa"/>
            <w:shd w:val="clear" w:color="auto" w:fill="FFFFFF" w:themeFill="background1"/>
            <w:vAlign w:val="center"/>
          </w:tcPr>
          <w:p w14:paraId="3E157A4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2024年12月05日</w:t>
            </w:r>
          </w:p>
        </w:tc>
        <w:tc>
          <w:tcPr>
            <w:tcW w:w="1607" w:type="dxa"/>
            <w:shd w:val="clear" w:color="auto" w:fill="FFFFFF" w:themeFill="background1"/>
            <w:vAlign w:val="center"/>
          </w:tcPr>
          <w:p w14:paraId="5900845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《出资人组会议及2024年第二次临时股东大会决议公告》（公告编号：2024-127）刊登于巨潮资讯网（www.cninfo.com.cn）</w:t>
            </w:r>
          </w:p>
        </w:tc>
      </w:tr>
    </w:tbl>
    <w:p w14:paraId="7A3278F3" w14:textId="77777777" w:rsidR="00632E5B" w:rsidRDefault="00107901">
      <w:pPr>
        <w:pStyle w:val="3"/>
        <w:spacing w:line="280" w:lineRule="exact"/>
        <w:jc w:val="left"/>
        <w:rPr>
          <w:rFonts w:ascii="宋体" w:hAnsi="宋体" w:cs="宋体" w:hint="eastAsia"/>
          <w:b/>
          <w:bCs/>
        </w:rPr>
      </w:pPr>
      <w:bookmarkStart w:id="62" w:name="_Toc988951"/>
      <w:r>
        <w:rPr>
          <w:rFonts w:ascii="宋体" w:hAnsi="宋体" w:cs="宋体"/>
          <w:b/>
          <w:bCs/>
        </w:rPr>
        <w:t>2、表决权恢复的优先股股东请求召开临时股东大会</w:t>
      </w:r>
      <w:bookmarkEnd w:id="62"/>
    </w:p>
    <w:p w14:paraId="7D56FDFB"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2E0FE7B2" w14:textId="77777777" w:rsidR="00035A7B" w:rsidRDefault="00035A7B">
      <w:pPr>
        <w:pStyle w:val="2"/>
        <w:spacing w:before="300" w:after="300" w:line="320" w:lineRule="exact"/>
        <w:rPr>
          <w:rFonts w:ascii="宋体" w:eastAsia="宋体" w:hAnsi="宋体" w:cs="宋体" w:hint="eastAsia"/>
          <w:b/>
          <w:bCs/>
          <w:sz w:val="24"/>
          <w:szCs w:val="24"/>
        </w:rPr>
        <w:sectPr w:rsidR="00035A7B" w:rsidSect="00E90C20">
          <w:pgSz w:w="11905" w:h="16840"/>
          <w:pgMar w:top="1440" w:right="1134" w:bottom="1440" w:left="1134" w:header="850" w:footer="992" w:gutter="0"/>
          <w:cols w:space="720"/>
          <w:docGrid w:type="linesAndChars" w:linePitch="312"/>
        </w:sectPr>
      </w:pPr>
      <w:bookmarkStart w:id="63" w:name="_Toc988952"/>
    </w:p>
    <w:p w14:paraId="0D5A8231" w14:textId="606216C2" w:rsidR="00632E5B" w:rsidRDefault="00107901">
      <w:pPr>
        <w:pStyle w:val="2"/>
        <w:spacing w:before="300" w:after="300" w:line="320" w:lineRule="exact"/>
        <w:rPr>
          <w:rFonts w:ascii="宋体" w:eastAsia="宋体" w:hAnsi="宋体" w:cs="宋体" w:hint="eastAsia"/>
          <w:b/>
          <w:bCs/>
          <w:sz w:val="24"/>
          <w:szCs w:val="24"/>
        </w:rPr>
      </w:pPr>
      <w:r>
        <w:rPr>
          <w:rFonts w:ascii="宋体" w:eastAsia="宋体" w:hAnsi="宋体" w:cs="宋体"/>
          <w:b/>
          <w:bCs/>
          <w:sz w:val="24"/>
          <w:szCs w:val="24"/>
        </w:rPr>
        <w:lastRenderedPageBreak/>
        <w:t>五、董事、监事和高级管理人员情况</w:t>
      </w:r>
      <w:bookmarkEnd w:id="63"/>
    </w:p>
    <w:p w14:paraId="64415CF4" w14:textId="77777777" w:rsidR="00632E5B" w:rsidRDefault="00107901" w:rsidP="00A31A34">
      <w:pPr>
        <w:pStyle w:val="3"/>
        <w:spacing w:line="360" w:lineRule="auto"/>
        <w:jc w:val="left"/>
        <w:rPr>
          <w:rFonts w:ascii="宋体" w:hAnsi="宋体" w:cs="宋体" w:hint="eastAsia"/>
          <w:b/>
          <w:bCs/>
        </w:rPr>
      </w:pPr>
      <w:bookmarkStart w:id="64" w:name="_Toc988953"/>
      <w:r>
        <w:rPr>
          <w:rFonts w:ascii="宋体" w:hAnsi="宋体" w:cs="宋体"/>
          <w:b/>
          <w:bCs/>
        </w:rPr>
        <w:t>1、基本情况</w:t>
      </w:r>
      <w:bookmarkEnd w:id="64"/>
    </w:p>
    <w:tbl>
      <w:tblPr>
        <w:tblW w:w="1401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882"/>
        <w:gridCol w:w="708"/>
        <w:gridCol w:w="636"/>
        <w:gridCol w:w="1491"/>
        <w:gridCol w:w="742"/>
        <w:gridCol w:w="1849"/>
        <w:gridCol w:w="1985"/>
        <w:gridCol w:w="1235"/>
        <w:gridCol w:w="741"/>
        <w:gridCol w:w="741"/>
        <w:gridCol w:w="741"/>
        <w:gridCol w:w="1038"/>
        <w:gridCol w:w="1221"/>
      </w:tblGrid>
      <w:tr w:rsidR="00632E5B" w14:paraId="69F83027" w14:textId="77777777" w:rsidTr="00373F73">
        <w:trPr>
          <w:trHeight w:val="240"/>
          <w:jc w:val="center"/>
        </w:trPr>
        <w:tc>
          <w:tcPr>
            <w:tcW w:w="882" w:type="dxa"/>
            <w:shd w:val="clear" w:color="auto" w:fill="FFFFFF" w:themeFill="background1"/>
            <w:vAlign w:val="center"/>
          </w:tcPr>
          <w:p w14:paraId="3A97DD9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姓名</w:t>
            </w:r>
          </w:p>
        </w:tc>
        <w:tc>
          <w:tcPr>
            <w:tcW w:w="708" w:type="dxa"/>
            <w:shd w:val="clear" w:color="auto" w:fill="FFFFFF" w:themeFill="background1"/>
            <w:vAlign w:val="center"/>
          </w:tcPr>
          <w:p w14:paraId="6F1D121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性别</w:t>
            </w:r>
          </w:p>
        </w:tc>
        <w:tc>
          <w:tcPr>
            <w:tcW w:w="636" w:type="dxa"/>
            <w:shd w:val="clear" w:color="auto" w:fill="FFFFFF" w:themeFill="background1"/>
            <w:vAlign w:val="center"/>
          </w:tcPr>
          <w:p w14:paraId="494B0E1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年龄</w:t>
            </w:r>
          </w:p>
        </w:tc>
        <w:tc>
          <w:tcPr>
            <w:tcW w:w="1491" w:type="dxa"/>
            <w:shd w:val="clear" w:color="auto" w:fill="FFFFFF" w:themeFill="background1"/>
            <w:vAlign w:val="center"/>
          </w:tcPr>
          <w:p w14:paraId="5F67474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职务</w:t>
            </w:r>
          </w:p>
        </w:tc>
        <w:tc>
          <w:tcPr>
            <w:tcW w:w="742" w:type="dxa"/>
            <w:shd w:val="clear" w:color="auto" w:fill="FFFFFF" w:themeFill="background1"/>
            <w:vAlign w:val="center"/>
          </w:tcPr>
          <w:p w14:paraId="1825D22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任职状态</w:t>
            </w:r>
          </w:p>
        </w:tc>
        <w:tc>
          <w:tcPr>
            <w:tcW w:w="1849" w:type="dxa"/>
            <w:shd w:val="clear" w:color="auto" w:fill="FFFFFF" w:themeFill="background1"/>
            <w:vAlign w:val="center"/>
          </w:tcPr>
          <w:p w14:paraId="7DFCACF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任期起始日期</w:t>
            </w:r>
          </w:p>
        </w:tc>
        <w:tc>
          <w:tcPr>
            <w:tcW w:w="1985" w:type="dxa"/>
            <w:shd w:val="clear" w:color="auto" w:fill="FFFFFF" w:themeFill="background1"/>
            <w:vAlign w:val="center"/>
          </w:tcPr>
          <w:p w14:paraId="618538E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任期终止日期</w:t>
            </w:r>
          </w:p>
        </w:tc>
        <w:tc>
          <w:tcPr>
            <w:tcW w:w="1235" w:type="dxa"/>
            <w:shd w:val="clear" w:color="auto" w:fill="FFFFFF" w:themeFill="background1"/>
            <w:vAlign w:val="center"/>
          </w:tcPr>
          <w:p w14:paraId="4EE5E63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期初持股数（股）</w:t>
            </w:r>
          </w:p>
        </w:tc>
        <w:tc>
          <w:tcPr>
            <w:tcW w:w="741" w:type="dxa"/>
            <w:shd w:val="clear" w:color="auto" w:fill="FFFFFF" w:themeFill="background1"/>
            <w:vAlign w:val="center"/>
          </w:tcPr>
          <w:p w14:paraId="64BCB69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本期增持股份数量（股）</w:t>
            </w:r>
          </w:p>
        </w:tc>
        <w:tc>
          <w:tcPr>
            <w:tcW w:w="741" w:type="dxa"/>
            <w:shd w:val="clear" w:color="auto" w:fill="FFFFFF" w:themeFill="background1"/>
            <w:vAlign w:val="center"/>
          </w:tcPr>
          <w:p w14:paraId="36B4F7E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本期减持股份数量（股）</w:t>
            </w:r>
          </w:p>
        </w:tc>
        <w:tc>
          <w:tcPr>
            <w:tcW w:w="741" w:type="dxa"/>
            <w:shd w:val="clear" w:color="auto" w:fill="FFFFFF" w:themeFill="background1"/>
            <w:vAlign w:val="center"/>
          </w:tcPr>
          <w:p w14:paraId="57970BD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其他增减变动（股）</w:t>
            </w:r>
          </w:p>
        </w:tc>
        <w:tc>
          <w:tcPr>
            <w:tcW w:w="1038" w:type="dxa"/>
            <w:shd w:val="clear" w:color="auto" w:fill="FFFFFF" w:themeFill="background1"/>
            <w:vAlign w:val="center"/>
          </w:tcPr>
          <w:p w14:paraId="58AF314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期末持股数（股）</w:t>
            </w:r>
          </w:p>
        </w:tc>
        <w:tc>
          <w:tcPr>
            <w:tcW w:w="1221" w:type="dxa"/>
            <w:shd w:val="clear" w:color="auto" w:fill="FFFFFF" w:themeFill="background1"/>
            <w:vAlign w:val="center"/>
          </w:tcPr>
          <w:p w14:paraId="5401F3F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股份增减变动的原因</w:t>
            </w:r>
          </w:p>
        </w:tc>
      </w:tr>
      <w:tr w:rsidR="00632E5B" w14:paraId="34344A52" w14:textId="77777777" w:rsidTr="00373F73">
        <w:trPr>
          <w:trHeight w:val="240"/>
          <w:jc w:val="center"/>
        </w:trPr>
        <w:tc>
          <w:tcPr>
            <w:tcW w:w="882" w:type="dxa"/>
            <w:shd w:val="clear" w:color="auto" w:fill="FFFFFF" w:themeFill="background1"/>
            <w:vAlign w:val="center"/>
          </w:tcPr>
          <w:p w14:paraId="715C2C9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许加纳</w:t>
            </w:r>
          </w:p>
        </w:tc>
        <w:tc>
          <w:tcPr>
            <w:tcW w:w="708" w:type="dxa"/>
            <w:shd w:val="clear" w:color="auto" w:fill="FFFFFF" w:themeFill="background1"/>
            <w:vAlign w:val="center"/>
          </w:tcPr>
          <w:p w14:paraId="7826C62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636" w:type="dxa"/>
            <w:shd w:val="clear" w:color="auto" w:fill="FFFFFF" w:themeFill="background1"/>
            <w:vAlign w:val="center"/>
          </w:tcPr>
          <w:p w14:paraId="028D0D1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46</w:t>
            </w:r>
          </w:p>
        </w:tc>
        <w:tc>
          <w:tcPr>
            <w:tcW w:w="1491" w:type="dxa"/>
            <w:shd w:val="clear" w:color="auto" w:fill="FFFFFF" w:themeFill="background1"/>
            <w:vAlign w:val="center"/>
          </w:tcPr>
          <w:p w14:paraId="783C822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董事长</w:t>
            </w:r>
          </w:p>
        </w:tc>
        <w:tc>
          <w:tcPr>
            <w:tcW w:w="742" w:type="dxa"/>
            <w:shd w:val="clear" w:color="auto" w:fill="FFFFFF" w:themeFill="background1"/>
            <w:vAlign w:val="center"/>
          </w:tcPr>
          <w:p w14:paraId="445AC91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849" w:type="dxa"/>
            <w:shd w:val="clear" w:color="auto" w:fill="FFFFFF" w:themeFill="background1"/>
            <w:vAlign w:val="center"/>
          </w:tcPr>
          <w:p w14:paraId="69E293D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985" w:type="dxa"/>
            <w:shd w:val="clear" w:color="auto" w:fill="FFFFFF" w:themeFill="background1"/>
            <w:vAlign w:val="center"/>
          </w:tcPr>
          <w:p w14:paraId="344E4FF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2028年02月05日</w:t>
            </w:r>
          </w:p>
        </w:tc>
        <w:tc>
          <w:tcPr>
            <w:tcW w:w="1235" w:type="dxa"/>
            <w:shd w:val="clear" w:color="auto" w:fill="FFFFFF" w:themeFill="background1"/>
            <w:vAlign w:val="center"/>
          </w:tcPr>
          <w:p w14:paraId="3B5E545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2CD5EAB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2599496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04A23B6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38" w:type="dxa"/>
            <w:shd w:val="clear" w:color="auto" w:fill="FFFFFF" w:themeFill="background1"/>
            <w:vAlign w:val="center"/>
          </w:tcPr>
          <w:p w14:paraId="5ECEAF3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21" w:type="dxa"/>
            <w:shd w:val="clear" w:color="auto" w:fill="FFFFFF" w:themeFill="background1"/>
            <w:vAlign w:val="center"/>
          </w:tcPr>
          <w:p w14:paraId="3A24E36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32E5B" w14:paraId="4C5C0996" w14:textId="77777777" w:rsidTr="00373F73">
        <w:trPr>
          <w:trHeight w:val="240"/>
          <w:jc w:val="center"/>
        </w:trPr>
        <w:tc>
          <w:tcPr>
            <w:tcW w:w="882" w:type="dxa"/>
            <w:shd w:val="clear" w:color="auto" w:fill="FFFFFF" w:themeFill="background1"/>
            <w:vAlign w:val="center"/>
          </w:tcPr>
          <w:p w14:paraId="5514013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黄昶</w:t>
            </w:r>
          </w:p>
        </w:tc>
        <w:tc>
          <w:tcPr>
            <w:tcW w:w="708" w:type="dxa"/>
            <w:shd w:val="clear" w:color="auto" w:fill="FFFFFF" w:themeFill="background1"/>
            <w:vAlign w:val="center"/>
          </w:tcPr>
          <w:p w14:paraId="7B7F2AC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636" w:type="dxa"/>
            <w:shd w:val="clear" w:color="auto" w:fill="FFFFFF" w:themeFill="background1"/>
            <w:vAlign w:val="center"/>
          </w:tcPr>
          <w:p w14:paraId="58996DB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49</w:t>
            </w:r>
          </w:p>
        </w:tc>
        <w:tc>
          <w:tcPr>
            <w:tcW w:w="1491" w:type="dxa"/>
            <w:shd w:val="clear" w:color="auto" w:fill="FFFFFF" w:themeFill="background1"/>
            <w:vAlign w:val="center"/>
          </w:tcPr>
          <w:p w14:paraId="1113A3E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副董事长</w:t>
            </w:r>
          </w:p>
        </w:tc>
        <w:tc>
          <w:tcPr>
            <w:tcW w:w="742" w:type="dxa"/>
            <w:shd w:val="clear" w:color="auto" w:fill="FFFFFF" w:themeFill="background1"/>
            <w:vAlign w:val="center"/>
          </w:tcPr>
          <w:p w14:paraId="3984CB1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849" w:type="dxa"/>
            <w:shd w:val="clear" w:color="auto" w:fill="FFFFFF" w:themeFill="background1"/>
            <w:vAlign w:val="center"/>
          </w:tcPr>
          <w:p w14:paraId="3670CF5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985" w:type="dxa"/>
            <w:shd w:val="clear" w:color="auto" w:fill="FFFFFF" w:themeFill="background1"/>
            <w:vAlign w:val="center"/>
          </w:tcPr>
          <w:p w14:paraId="20CFBC4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2028年02月05日</w:t>
            </w:r>
          </w:p>
        </w:tc>
        <w:tc>
          <w:tcPr>
            <w:tcW w:w="1235" w:type="dxa"/>
            <w:shd w:val="clear" w:color="auto" w:fill="FFFFFF" w:themeFill="background1"/>
            <w:vAlign w:val="center"/>
          </w:tcPr>
          <w:p w14:paraId="5C7626E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3BBEB66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1E690C8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3F13435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38" w:type="dxa"/>
            <w:shd w:val="clear" w:color="auto" w:fill="FFFFFF" w:themeFill="background1"/>
            <w:vAlign w:val="center"/>
          </w:tcPr>
          <w:p w14:paraId="610BD47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21" w:type="dxa"/>
            <w:shd w:val="clear" w:color="auto" w:fill="FFFFFF" w:themeFill="background1"/>
            <w:vAlign w:val="center"/>
          </w:tcPr>
          <w:p w14:paraId="1DE3EF3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32E5B" w14:paraId="2BFA277C" w14:textId="77777777" w:rsidTr="00373F73">
        <w:trPr>
          <w:trHeight w:val="240"/>
          <w:jc w:val="center"/>
        </w:trPr>
        <w:tc>
          <w:tcPr>
            <w:tcW w:w="882" w:type="dxa"/>
            <w:shd w:val="clear" w:color="auto" w:fill="FFFFFF" w:themeFill="background1"/>
            <w:vAlign w:val="center"/>
          </w:tcPr>
          <w:p w14:paraId="01E890B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708" w:type="dxa"/>
            <w:shd w:val="clear" w:color="auto" w:fill="FFFFFF" w:themeFill="background1"/>
            <w:vAlign w:val="center"/>
          </w:tcPr>
          <w:p w14:paraId="5204926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636" w:type="dxa"/>
            <w:shd w:val="clear" w:color="auto" w:fill="FFFFFF" w:themeFill="background1"/>
            <w:vAlign w:val="center"/>
          </w:tcPr>
          <w:p w14:paraId="1472203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56</w:t>
            </w:r>
          </w:p>
        </w:tc>
        <w:tc>
          <w:tcPr>
            <w:tcW w:w="1491" w:type="dxa"/>
            <w:shd w:val="clear" w:color="auto" w:fill="FFFFFF" w:themeFill="background1"/>
            <w:vAlign w:val="center"/>
          </w:tcPr>
          <w:p w14:paraId="7949B1F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742" w:type="dxa"/>
            <w:shd w:val="clear" w:color="auto" w:fill="FFFFFF" w:themeFill="background1"/>
            <w:vAlign w:val="center"/>
          </w:tcPr>
          <w:p w14:paraId="1B3C68F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849" w:type="dxa"/>
            <w:shd w:val="clear" w:color="auto" w:fill="FFFFFF" w:themeFill="background1"/>
            <w:vAlign w:val="center"/>
          </w:tcPr>
          <w:p w14:paraId="779342F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985" w:type="dxa"/>
            <w:shd w:val="clear" w:color="auto" w:fill="FFFFFF" w:themeFill="background1"/>
            <w:vAlign w:val="center"/>
          </w:tcPr>
          <w:p w14:paraId="677CCDE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2028年02月05日</w:t>
            </w:r>
          </w:p>
        </w:tc>
        <w:tc>
          <w:tcPr>
            <w:tcW w:w="1235" w:type="dxa"/>
            <w:shd w:val="clear" w:color="auto" w:fill="FFFFFF" w:themeFill="background1"/>
            <w:vAlign w:val="center"/>
          </w:tcPr>
          <w:p w14:paraId="39F3FE8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6078FC5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1C75EB1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72C824B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38" w:type="dxa"/>
            <w:shd w:val="clear" w:color="auto" w:fill="FFFFFF" w:themeFill="background1"/>
            <w:vAlign w:val="center"/>
          </w:tcPr>
          <w:p w14:paraId="0334B6F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21" w:type="dxa"/>
            <w:shd w:val="clear" w:color="auto" w:fill="FFFFFF" w:themeFill="background1"/>
            <w:vAlign w:val="center"/>
          </w:tcPr>
          <w:p w14:paraId="185C677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32E5B" w14:paraId="7DB8BEA6" w14:textId="77777777" w:rsidTr="00373F73">
        <w:trPr>
          <w:trHeight w:val="240"/>
          <w:jc w:val="center"/>
        </w:trPr>
        <w:tc>
          <w:tcPr>
            <w:tcW w:w="882" w:type="dxa"/>
            <w:shd w:val="clear" w:color="auto" w:fill="FFFFFF" w:themeFill="background1"/>
            <w:vAlign w:val="center"/>
          </w:tcPr>
          <w:p w14:paraId="36C9961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阎杰</w:t>
            </w:r>
          </w:p>
        </w:tc>
        <w:tc>
          <w:tcPr>
            <w:tcW w:w="708" w:type="dxa"/>
            <w:shd w:val="clear" w:color="auto" w:fill="FFFFFF" w:themeFill="background1"/>
            <w:vAlign w:val="center"/>
          </w:tcPr>
          <w:p w14:paraId="6E8ED1B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636" w:type="dxa"/>
            <w:shd w:val="clear" w:color="auto" w:fill="FFFFFF" w:themeFill="background1"/>
            <w:vAlign w:val="center"/>
          </w:tcPr>
          <w:p w14:paraId="7810DEA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45</w:t>
            </w:r>
          </w:p>
        </w:tc>
        <w:tc>
          <w:tcPr>
            <w:tcW w:w="1491" w:type="dxa"/>
            <w:shd w:val="clear" w:color="auto" w:fill="FFFFFF" w:themeFill="background1"/>
            <w:vAlign w:val="center"/>
          </w:tcPr>
          <w:p w14:paraId="3A3B9AD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742" w:type="dxa"/>
            <w:shd w:val="clear" w:color="auto" w:fill="FFFFFF" w:themeFill="background1"/>
            <w:vAlign w:val="center"/>
          </w:tcPr>
          <w:p w14:paraId="1BB01E0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849" w:type="dxa"/>
            <w:shd w:val="clear" w:color="auto" w:fill="FFFFFF" w:themeFill="background1"/>
            <w:vAlign w:val="center"/>
          </w:tcPr>
          <w:p w14:paraId="4E7C7F9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985" w:type="dxa"/>
            <w:shd w:val="clear" w:color="auto" w:fill="FFFFFF" w:themeFill="background1"/>
            <w:vAlign w:val="center"/>
          </w:tcPr>
          <w:p w14:paraId="193741D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2028年02月05日</w:t>
            </w:r>
          </w:p>
        </w:tc>
        <w:tc>
          <w:tcPr>
            <w:tcW w:w="1235" w:type="dxa"/>
            <w:shd w:val="clear" w:color="auto" w:fill="FFFFFF" w:themeFill="background1"/>
            <w:vAlign w:val="center"/>
          </w:tcPr>
          <w:p w14:paraId="77E565E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3682A9A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4DB4478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182A208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38" w:type="dxa"/>
            <w:shd w:val="clear" w:color="auto" w:fill="FFFFFF" w:themeFill="background1"/>
            <w:vAlign w:val="center"/>
          </w:tcPr>
          <w:p w14:paraId="232DA96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21" w:type="dxa"/>
            <w:shd w:val="clear" w:color="auto" w:fill="FFFFFF" w:themeFill="background1"/>
            <w:vAlign w:val="center"/>
          </w:tcPr>
          <w:p w14:paraId="29C8217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32E5B" w14:paraId="6061BDEE" w14:textId="77777777" w:rsidTr="00373F73">
        <w:trPr>
          <w:trHeight w:val="240"/>
          <w:jc w:val="center"/>
        </w:trPr>
        <w:tc>
          <w:tcPr>
            <w:tcW w:w="882" w:type="dxa"/>
            <w:shd w:val="clear" w:color="auto" w:fill="FFFFFF" w:themeFill="background1"/>
            <w:vAlign w:val="center"/>
          </w:tcPr>
          <w:p w14:paraId="3376E02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郑晓洁</w:t>
            </w:r>
          </w:p>
        </w:tc>
        <w:tc>
          <w:tcPr>
            <w:tcW w:w="708" w:type="dxa"/>
            <w:shd w:val="clear" w:color="auto" w:fill="FFFFFF" w:themeFill="background1"/>
            <w:vAlign w:val="center"/>
          </w:tcPr>
          <w:p w14:paraId="7281860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女</w:t>
            </w:r>
          </w:p>
        </w:tc>
        <w:tc>
          <w:tcPr>
            <w:tcW w:w="636" w:type="dxa"/>
            <w:shd w:val="clear" w:color="auto" w:fill="FFFFFF" w:themeFill="background1"/>
            <w:vAlign w:val="center"/>
          </w:tcPr>
          <w:p w14:paraId="6E0019F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39</w:t>
            </w:r>
          </w:p>
        </w:tc>
        <w:tc>
          <w:tcPr>
            <w:tcW w:w="1491" w:type="dxa"/>
            <w:shd w:val="clear" w:color="auto" w:fill="FFFFFF" w:themeFill="background1"/>
            <w:vAlign w:val="center"/>
          </w:tcPr>
          <w:p w14:paraId="14F17ED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董事、总经理</w:t>
            </w:r>
          </w:p>
        </w:tc>
        <w:tc>
          <w:tcPr>
            <w:tcW w:w="742" w:type="dxa"/>
            <w:shd w:val="clear" w:color="auto" w:fill="FFFFFF" w:themeFill="background1"/>
            <w:vAlign w:val="center"/>
          </w:tcPr>
          <w:p w14:paraId="0F9BAAB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849" w:type="dxa"/>
            <w:shd w:val="clear" w:color="auto" w:fill="FFFFFF" w:themeFill="background1"/>
            <w:vAlign w:val="center"/>
          </w:tcPr>
          <w:p w14:paraId="61EFFEB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985" w:type="dxa"/>
            <w:shd w:val="clear" w:color="auto" w:fill="FFFFFF" w:themeFill="background1"/>
            <w:vAlign w:val="center"/>
          </w:tcPr>
          <w:p w14:paraId="4F0AEDE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2028年02月05日</w:t>
            </w:r>
          </w:p>
        </w:tc>
        <w:tc>
          <w:tcPr>
            <w:tcW w:w="1235" w:type="dxa"/>
            <w:shd w:val="clear" w:color="auto" w:fill="FFFFFF" w:themeFill="background1"/>
            <w:vAlign w:val="center"/>
          </w:tcPr>
          <w:p w14:paraId="715648D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1635D66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2A6EBCA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7547417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38" w:type="dxa"/>
            <w:shd w:val="clear" w:color="auto" w:fill="FFFFFF" w:themeFill="background1"/>
            <w:vAlign w:val="center"/>
          </w:tcPr>
          <w:p w14:paraId="49A6FE9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21" w:type="dxa"/>
            <w:shd w:val="clear" w:color="auto" w:fill="FFFFFF" w:themeFill="background1"/>
            <w:vAlign w:val="center"/>
          </w:tcPr>
          <w:p w14:paraId="2681E60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32E5B" w14:paraId="2EED736F" w14:textId="77777777" w:rsidTr="00373F73">
        <w:trPr>
          <w:trHeight w:val="240"/>
          <w:jc w:val="center"/>
        </w:trPr>
        <w:tc>
          <w:tcPr>
            <w:tcW w:w="882" w:type="dxa"/>
            <w:shd w:val="clear" w:color="auto" w:fill="FFFFFF" w:themeFill="background1"/>
            <w:vAlign w:val="center"/>
          </w:tcPr>
          <w:p w14:paraId="20C0402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李梦璐（待生效）</w:t>
            </w:r>
          </w:p>
        </w:tc>
        <w:tc>
          <w:tcPr>
            <w:tcW w:w="708" w:type="dxa"/>
            <w:shd w:val="clear" w:color="auto" w:fill="FFFFFF" w:themeFill="background1"/>
            <w:vAlign w:val="center"/>
          </w:tcPr>
          <w:p w14:paraId="0A6B140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女</w:t>
            </w:r>
          </w:p>
        </w:tc>
        <w:tc>
          <w:tcPr>
            <w:tcW w:w="636" w:type="dxa"/>
            <w:shd w:val="clear" w:color="auto" w:fill="FFFFFF" w:themeFill="background1"/>
            <w:vAlign w:val="center"/>
          </w:tcPr>
          <w:p w14:paraId="48ED33C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36</w:t>
            </w:r>
          </w:p>
        </w:tc>
        <w:tc>
          <w:tcPr>
            <w:tcW w:w="1491" w:type="dxa"/>
            <w:shd w:val="clear" w:color="auto" w:fill="FFFFFF" w:themeFill="background1"/>
            <w:vAlign w:val="center"/>
          </w:tcPr>
          <w:p w14:paraId="4EE8393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职工董事</w:t>
            </w:r>
          </w:p>
        </w:tc>
        <w:tc>
          <w:tcPr>
            <w:tcW w:w="742" w:type="dxa"/>
            <w:shd w:val="clear" w:color="auto" w:fill="FFFFFF" w:themeFill="background1"/>
            <w:vAlign w:val="center"/>
          </w:tcPr>
          <w:p w14:paraId="3DE7468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849" w:type="dxa"/>
            <w:shd w:val="clear" w:color="auto" w:fill="FFFFFF" w:themeFill="background1"/>
            <w:vAlign w:val="center"/>
          </w:tcPr>
          <w:p w14:paraId="6C8A4DB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985" w:type="dxa"/>
            <w:shd w:val="clear" w:color="auto" w:fill="FFFFFF" w:themeFill="background1"/>
            <w:vAlign w:val="center"/>
          </w:tcPr>
          <w:p w14:paraId="10D42BB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2028年02月05日</w:t>
            </w:r>
          </w:p>
        </w:tc>
        <w:tc>
          <w:tcPr>
            <w:tcW w:w="1235" w:type="dxa"/>
            <w:shd w:val="clear" w:color="auto" w:fill="FFFFFF" w:themeFill="background1"/>
            <w:vAlign w:val="center"/>
          </w:tcPr>
          <w:p w14:paraId="369CE06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3B5A4EC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128CDCF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4105E42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38" w:type="dxa"/>
            <w:shd w:val="clear" w:color="auto" w:fill="FFFFFF" w:themeFill="background1"/>
            <w:vAlign w:val="center"/>
          </w:tcPr>
          <w:p w14:paraId="1A0F29C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21" w:type="dxa"/>
            <w:shd w:val="clear" w:color="auto" w:fill="FFFFFF" w:themeFill="background1"/>
            <w:vAlign w:val="center"/>
          </w:tcPr>
          <w:p w14:paraId="52C371B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32E5B" w14:paraId="1F15820A" w14:textId="77777777" w:rsidTr="00373F73">
        <w:trPr>
          <w:trHeight w:val="240"/>
          <w:jc w:val="center"/>
        </w:trPr>
        <w:tc>
          <w:tcPr>
            <w:tcW w:w="882" w:type="dxa"/>
            <w:shd w:val="clear" w:color="auto" w:fill="FFFFFF" w:themeFill="background1"/>
            <w:vAlign w:val="center"/>
          </w:tcPr>
          <w:p w14:paraId="667244E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詹有义</w:t>
            </w:r>
          </w:p>
        </w:tc>
        <w:tc>
          <w:tcPr>
            <w:tcW w:w="708" w:type="dxa"/>
            <w:shd w:val="clear" w:color="auto" w:fill="FFFFFF" w:themeFill="background1"/>
            <w:vAlign w:val="center"/>
          </w:tcPr>
          <w:p w14:paraId="48C990F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636" w:type="dxa"/>
            <w:shd w:val="clear" w:color="auto" w:fill="FFFFFF" w:themeFill="background1"/>
            <w:vAlign w:val="center"/>
          </w:tcPr>
          <w:p w14:paraId="77CACE5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59</w:t>
            </w:r>
          </w:p>
        </w:tc>
        <w:tc>
          <w:tcPr>
            <w:tcW w:w="1491" w:type="dxa"/>
            <w:shd w:val="clear" w:color="auto" w:fill="FFFFFF" w:themeFill="background1"/>
            <w:vAlign w:val="center"/>
          </w:tcPr>
          <w:p w14:paraId="3A5A901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独立董事</w:t>
            </w:r>
          </w:p>
        </w:tc>
        <w:tc>
          <w:tcPr>
            <w:tcW w:w="742" w:type="dxa"/>
            <w:shd w:val="clear" w:color="auto" w:fill="FFFFFF" w:themeFill="background1"/>
            <w:vAlign w:val="center"/>
          </w:tcPr>
          <w:p w14:paraId="3F56638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849" w:type="dxa"/>
            <w:shd w:val="clear" w:color="auto" w:fill="FFFFFF" w:themeFill="background1"/>
            <w:vAlign w:val="center"/>
          </w:tcPr>
          <w:p w14:paraId="7035DD9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985" w:type="dxa"/>
            <w:shd w:val="clear" w:color="auto" w:fill="FFFFFF" w:themeFill="background1"/>
            <w:vAlign w:val="center"/>
          </w:tcPr>
          <w:p w14:paraId="5D8364C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2028年02月05日</w:t>
            </w:r>
          </w:p>
        </w:tc>
        <w:tc>
          <w:tcPr>
            <w:tcW w:w="1235" w:type="dxa"/>
            <w:shd w:val="clear" w:color="auto" w:fill="FFFFFF" w:themeFill="background1"/>
            <w:vAlign w:val="center"/>
          </w:tcPr>
          <w:p w14:paraId="14BE7F5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6B28CE6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17841BE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422FC4A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38" w:type="dxa"/>
            <w:shd w:val="clear" w:color="auto" w:fill="FFFFFF" w:themeFill="background1"/>
            <w:vAlign w:val="center"/>
          </w:tcPr>
          <w:p w14:paraId="3D9778E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21" w:type="dxa"/>
            <w:shd w:val="clear" w:color="auto" w:fill="FFFFFF" w:themeFill="background1"/>
            <w:vAlign w:val="center"/>
          </w:tcPr>
          <w:p w14:paraId="77053D8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32E5B" w14:paraId="5461E070" w14:textId="77777777" w:rsidTr="00373F73">
        <w:trPr>
          <w:trHeight w:val="240"/>
          <w:jc w:val="center"/>
        </w:trPr>
        <w:tc>
          <w:tcPr>
            <w:tcW w:w="882" w:type="dxa"/>
            <w:shd w:val="clear" w:color="auto" w:fill="FFFFFF" w:themeFill="background1"/>
            <w:vAlign w:val="center"/>
          </w:tcPr>
          <w:p w14:paraId="172A7CF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陈朝琳</w:t>
            </w:r>
          </w:p>
        </w:tc>
        <w:tc>
          <w:tcPr>
            <w:tcW w:w="708" w:type="dxa"/>
            <w:shd w:val="clear" w:color="auto" w:fill="FFFFFF" w:themeFill="background1"/>
            <w:vAlign w:val="center"/>
          </w:tcPr>
          <w:p w14:paraId="540A016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636" w:type="dxa"/>
            <w:shd w:val="clear" w:color="auto" w:fill="FFFFFF" w:themeFill="background1"/>
            <w:vAlign w:val="center"/>
          </w:tcPr>
          <w:p w14:paraId="1EE594A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51</w:t>
            </w:r>
          </w:p>
        </w:tc>
        <w:tc>
          <w:tcPr>
            <w:tcW w:w="1491" w:type="dxa"/>
            <w:shd w:val="clear" w:color="auto" w:fill="FFFFFF" w:themeFill="background1"/>
            <w:vAlign w:val="center"/>
          </w:tcPr>
          <w:p w14:paraId="6885A82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独立董事</w:t>
            </w:r>
          </w:p>
        </w:tc>
        <w:tc>
          <w:tcPr>
            <w:tcW w:w="742" w:type="dxa"/>
            <w:shd w:val="clear" w:color="auto" w:fill="FFFFFF" w:themeFill="background1"/>
            <w:vAlign w:val="center"/>
          </w:tcPr>
          <w:p w14:paraId="6A9000C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849" w:type="dxa"/>
            <w:shd w:val="clear" w:color="auto" w:fill="FFFFFF" w:themeFill="background1"/>
            <w:vAlign w:val="center"/>
          </w:tcPr>
          <w:p w14:paraId="317AF01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985" w:type="dxa"/>
            <w:shd w:val="clear" w:color="auto" w:fill="FFFFFF" w:themeFill="background1"/>
            <w:vAlign w:val="center"/>
          </w:tcPr>
          <w:p w14:paraId="545990B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2028年02月05日</w:t>
            </w:r>
          </w:p>
        </w:tc>
        <w:tc>
          <w:tcPr>
            <w:tcW w:w="1235" w:type="dxa"/>
            <w:shd w:val="clear" w:color="auto" w:fill="FFFFFF" w:themeFill="background1"/>
            <w:vAlign w:val="center"/>
          </w:tcPr>
          <w:p w14:paraId="0B11F86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4B73502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21D7902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65C1549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38" w:type="dxa"/>
            <w:shd w:val="clear" w:color="auto" w:fill="FFFFFF" w:themeFill="background1"/>
            <w:vAlign w:val="center"/>
          </w:tcPr>
          <w:p w14:paraId="44D843A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21" w:type="dxa"/>
            <w:shd w:val="clear" w:color="auto" w:fill="FFFFFF" w:themeFill="background1"/>
            <w:vAlign w:val="center"/>
          </w:tcPr>
          <w:p w14:paraId="37A8737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32E5B" w14:paraId="5AA5BFC1" w14:textId="77777777" w:rsidTr="00373F73">
        <w:trPr>
          <w:trHeight w:val="240"/>
          <w:jc w:val="center"/>
        </w:trPr>
        <w:tc>
          <w:tcPr>
            <w:tcW w:w="882" w:type="dxa"/>
            <w:shd w:val="clear" w:color="auto" w:fill="FFFFFF" w:themeFill="background1"/>
            <w:vAlign w:val="center"/>
          </w:tcPr>
          <w:p w14:paraId="49EC047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郑金雄</w:t>
            </w:r>
          </w:p>
        </w:tc>
        <w:tc>
          <w:tcPr>
            <w:tcW w:w="708" w:type="dxa"/>
            <w:shd w:val="clear" w:color="auto" w:fill="FFFFFF" w:themeFill="background1"/>
            <w:vAlign w:val="center"/>
          </w:tcPr>
          <w:p w14:paraId="7E74835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636" w:type="dxa"/>
            <w:shd w:val="clear" w:color="auto" w:fill="FFFFFF" w:themeFill="background1"/>
            <w:vAlign w:val="center"/>
          </w:tcPr>
          <w:p w14:paraId="56DFF50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56</w:t>
            </w:r>
          </w:p>
        </w:tc>
        <w:tc>
          <w:tcPr>
            <w:tcW w:w="1491" w:type="dxa"/>
            <w:shd w:val="clear" w:color="auto" w:fill="FFFFFF" w:themeFill="background1"/>
            <w:vAlign w:val="center"/>
          </w:tcPr>
          <w:p w14:paraId="68C7E59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独立董事</w:t>
            </w:r>
          </w:p>
        </w:tc>
        <w:tc>
          <w:tcPr>
            <w:tcW w:w="742" w:type="dxa"/>
            <w:shd w:val="clear" w:color="auto" w:fill="FFFFFF" w:themeFill="background1"/>
            <w:vAlign w:val="center"/>
          </w:tcPr>
          <w:p w14:paraId="57BF6F6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849" w:type="dxa"/>
            <w:shd w:val="clear" w:color="auto" w:fill="FFFFFF" w:themeFill="background1"/>
            <w:vAlign w:val="center"/>
          </w:tcPr>
          <w:p w14:paraId="6620A57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985" w:type="dxa"/>
            <w:shd w:val="clear" w:color="auto" w:fill="FFFFFF" w:themeFill="background1"/>
            <w:vAlign w:val="center"/>
          </w:tcPr>
          <w:p w14:paraId="0D77CBA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2028年02月05日</w:t>
            </w:r>
          </w:p>
        </w:tc>
        <w:tc>
          <w:tcPr>
            <w:tcW w:w="1235" w:type="dxa"/>
            <w:shd w:val="clear" w:color="auto" w:fill="FFFFFF" w:themeFill="background1"/>
            <w:vAlign w:val="center"/>
          </w:tcPr>
          <w:p w14:paraId="47CC72D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095EDCF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17503D1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7C45304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38" w:type="dxa"/>
            <w:shd w:val="clear" w:color="auto" w:fill="FFFFFF" w:themeFill="background1"/>
            <w:vAlign w:val="center"/>
          </w:tcPr>
          <w:p w14:paraId="055A6DE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21" w:type="dxa"/>
            <w:shd w:val="clear" w:color="auto" w:fill="FFFFFF" w:themeFill="background1"/>
            <w:vAlign w:val="center"/>
          </w:tcPr>
          <w:p w14:paraId="7937543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32E5B" w14:paraId="63A03764" w14:textId="77777777" w:rsidTr="00373F73">
        <w:trPr>
          <w:trHeight w:val="240"/>
          <w:jc w:val="center"/>
        </w:trPr>
        <w:tc>
          <w:tcPr>
            <w:tcW w:w="882" w:type="dxa"/>
            <w:shd w:val="clear" w:color="auto" w:fill="FFFFFF" w:themeFill="background1"/>
            <w:vAlign w:val="center"/>
          </w:tcPr>
          <w:p w14:paraId="23BA34F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陆健豪</w:t>
            </w:r>
          </w:p>
        </w:tc>
        <w:tc>
          <w:tcPr>
            <w:tcW w:w="708" w:type="dxa"/>
            <w:shd w:val="clear" w:color="auto" w:fill="FFFFFF" w:themeFill="background1"/>
            <w:vAlign w:val="center"/>
          </w:tcPr>
          <w:p w14:paraId="398DD59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636" w:type="dxa"/>
            <w:shd w:val="clear" w:color="auto" w:fill="FFFFFF" w:themeFill="background1"/>
            <w:vAlign w:val="center"/>
          </w:tcPr>
          <w:p w14:paraId="114906F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34</w:t>
            </w:r>
          </w:p>
        </w:tc>
        <w:tc>
          <w:tcPr>
            <w:tcW w:w="1491" w:type="dxa"/>
            <w:shd w:val="clear" w:color="auto" w:fill="FFFFFF" w:themeFill="background1"/>
            <w:vAlign w:val="center"/>
          </w:tcPr>
          <w:p w14:paraId="399CC8C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监事会主席</w:t>
            </w:r>
          </w:p>
        </w:tc>
        <w:tc>
          <w:tcPr>
            <w:tcW w:w="742" w:type="dxa"/>
            <w:shd w:val="clear" w:color="auto" w:fill="FFFFFF" w:themeFill="background1"/>
            <w:vAlign w:val="center"/>
          </w:tcPr>
          <w:p w14:paraId="4ED084F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849" w:type="dxa"/>
            <w:shd w:val="clear" w:color="auto" w:fill="FFFFFF" w:themeFill="background1"/>
            <w:vAlign w:val="center"/>
          </w:tcPr>
          <w:p w14:paraId="3088DFE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2022年08月15日</w:t>
            </w:r>
          </w:p>
        </w:tc>
        <w:tc>
          <w:tcPr>
            <w:tcW w:w="1985" w:type="dxa"/>
            <w:shd w:val="clear" w:color="auto" w:fill="FFFFFF" w:themeFill="background1"/>
            <w:vAlign w:val="center"/>
          </w:tcPr>
          <w:p w14:paraId="0E0360C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2028年04月07日</w:t>
            </w:r>
          </w:p>
        </w:tc>
        <w:tc>
          <w:tcPr>
            <w:tcW w:w="1235" w:type="dxa"/>
            <w:shd w:val="clear" w:color="auto" w:fill="FFFFFF" w:themeFill="background1"/>
            <w:vAlign w:val="center"/>
          </w:tcPr>
          <w:p w14:paraId="32A4E91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7B90058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5F30FFE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75D5540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38" w:type="dxa"/>
            <w:shd w:val="clear" w:color="auto" w:fill="FFFFFF" w:themeFill="background1"/>
            <w:vAlign w:val="center"/>
          </w:tcPr>
          <w:p w14:paraId="14062D2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21" w:type="dxa"/>
            <w:shd w:val="clear" w:color="auto" w:fill="FFFFFF" w:themeFill="background1"/>
            <w:vAlign w:val="center"/>
          </w:tcPr>
          <w:p w14:paraId="4BFDD34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32E5B" w14:paraId="7B4F2DF1" w14:textId="77777777" w:rsidTr="00373F73">
        <w:trPr>
          <w:trHeight w:val="240"/>
          <w:jc w:val="center"/>
        </w:trPr>
        <w:tc>
          <w:tcPr>
            <w:tcW w:w="882" w:type="dxa"/>
            <w:shd w:val="clear" w:color="auto" w:fill="FFFFFF" w:themeFill="background1"/>
            <w:vAlign w:val="center"/>
          </w:tcPr>
          <w:p w14:paraId="1479F24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刘雨欢</w:t>
            </w:r>
          </w:p>
        </w:tc>
        <w:tc>
          <w:tcPr>
            <w:tcW w:w="708" w:type="dxa"/>
            <w:shd w:val="clear" w:color="auto" w:fill="FFFFFF" w:themeFill="background1"/>
            <w:vAlign w:val="center"/>
          </w:tcPr>
          <w:p w14:paraId="2550B72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636" w:type="dxa"/>
            <w:shd w:val="clear" w:color="auto" w:fill="FFFFFF" w:themeFill="background1"/>
            <w:vAlign w:val="center"/>
          </w:tcPr>
          <w:p w14:paraId="248E5A5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24</w:t>
            </w:r>
          </w:p>
        </w:tc>
        <w:tc>
          <w:tcPr>
            <w:tcW w:w="1491" w:type="dxa"/>
            <w:shd w:val="clear" w:color="auto" w:fill="FFFFFF" w:themeFill="background1"/>
            <w:vAlign w:val="center"/>
          </w:tcPr>
          <w:p w14:paraId="042B631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监事</w:t>
            </w:r>
          </w:p>
        </w:tc>
        <w:tc>
          <w:tcPr>
            <w:tcW w:w="742" w:type="dxa"/>
            <w:shd w:val="clear" w:color="auto" w:fill="FFFFFF" w:themeFill="background1"/>
            <w:vAlign w:val="center"/>
          </w:tcPr>
          <w:p w14:paraId="0F8438E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849" w:type="dxa"/>
            <w:shd w:val="clear" w:color="auto" w:fill="FFFFFF" w:themeFill="background1"/>
            <w:vAlign w:val="center"/>
          </w:tcPr>
          <w:p w14:paraId="5E87B27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2025年04月08日</w:t>
            </w:r>
          </w:p>
        </w:tc>
        <w:tc>
          <w:tcPr>
            <w:tcW w:w="1985" w:type="dxa"/>
            <w:shd w:val="clear" w:color="auto" w:fill="FFFFFF" w:themeFill="background1"/>
            <w:vAlign w:val="center"/>
          </w:tcPr>
          <w:p w14:paraId="16D629B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2028年04月07日</w:t>
            </w:r>
          </w:p>
        </w:tc>
        <w:tc>
          <w:tcPr>
            <w:tcW w:w="1235" w:type="dxa"/>
            <w:shd w:val="clear" w:color="auto" w:fill="FFFFFF" w:themeFill="background1"/>
            <w:vAlign w:val="center"/>
          </w:tcPr>
          <w:p w14:paraId="310B2AF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147B5B1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5B6308C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0155933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38" w:type="dxa"/>
            <w:shd w:val="clear" w:color="auto" w:fill="FFFFFF" w:themeFill="background1"/>
            <w:vAlign w:val="center"/>
          </w:tcPr>
          <w:p w14:paraId="4AFC75C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21" w:type="dxa"/>
            <w:shd w:val="clear" w:color="auto" w:fill="FFFFFF" w:themeFill="background1"/>
            <w:vAlign w:val="center"/>
          </w:tcPr>
          <w:p w14:paraId="523FF96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32E5B" w14:paraId="650AD2F5" w14:textId="77777777" w:rsidTr="00373F73">
        <w:trPr>
          <w:trHeight w:val="240"/>
          <w:jc w:val="center"/>
        </w:trPr>
        <w:tc>
          <w:tcPr>
            <w:tcW w:w="882" w:type="dxa"/>
            <w:shd w:val="clear" w:color="auto" w:fill="FFFFFF" w:themeFill="background1"/>
            <w:vAlign w:val="center"/>
          </w:tcPr>
          <w:p w14:paraId="27A274B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黄雪萍</w:t>
            </w:r>
          </w:p>
        </w:tc>
        <w:tc>
          <w:tcPr>
            <w:tcW w:w="708" w:type="dxa"/>
            <w:shd w:val="clear" w:color="auto" w:fill="FFFFFF" w:themeFill="background1"/>
            <w:vAlign w:val="center"/>
          </w:tcPr>
          <w:p w14:paraId="1E64FF4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女</w:t>
            </w:r>
          </w:p>
        </w:tc>
        <w:tc>
          <w:tcPr>
            <w:tcW w:w="636" w:type="dxa"/>
            <w:shd w:val="clear" w:color="auto" w:fill="FFFFFF" w:themeFill="background1"/>
            <w:vAlign w:val="center"/>
          </w:tcPr>
          <w:p w14:paraId="23A21C5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38</w:t>
            </w:r>
          </w:p>
        </w:tc>
        <w:tc>
          <w:tcPr>
            <w:tcW w:w="1491" w:type="dxa"/>
            <w:shd w:val="clear" w:color="auto" w:fill="FFFFFF" w:themeFill="background1"/>
            <w:vAlign w:val="center"/>
          </w:tcPr>
          <w:p w14:paraId="1D26DFE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职工监事</w:t>
            </w:r>
          </w:p>
        </w:tc>
        <w:tc>
          <w:tcPr>
            <w:tcW w:w="742" w:type="dxa"/>
            <w:shd w:val="clear" w:color="auto" w:fill="FFFFFF" w:themeFill="background1"/>
            <w:vAlign w:val="center"/>
          </w:tcPr>
          <w:p w14:paraId="7768324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849" w:type="dxa"/>
            <w:shd w:val="clear" w:color="auto" w:fill="FFFFFF" w:themeFill="background1"/>
            <w:vAlign w:val="center"/>
          </w:tcPr>
          <w:p w14:paraId="735E933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2025年04月08日</w:t>
            </w:r>
          </w:p>
        </w:tc>
        <w:tc>
          <w:tcPr>
            <w:tcW w:w="1985" w:type="dxa"/>
            <w:shd w:val="clear" w:color="auto" w:fill="FFFFFF" w:themeFill="background1"/>
            <w:vAlign w:val="center"/>
          </w:tcPr>
          <w:p w14:paraId="0E422D0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2028年04月07日</w:t>
            </w:r>
          </w:p>
        </w:tc>
        <w:tc>
          <w:tcPr>
            <w:tcW w:w="1235" w:type="dxa"/>
            <w:shd w:val="clear" w:color="auto" w:fill="FFFFFF" w:themeFill="background1"/>
            <w:vAlign w:val="center"/>
          </w:tcPr>
          <w:p w14:paraId="1BC51D4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7400590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4C64122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3619F77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38" w:type="dxa"/>
            <w:shd w:val="clear" w:color="auto" w:fill="FFFFFF" w:themeFill="background1"/>
            <w:vAlign w:val="center"/>
          </w:tcPr>
          <w:p w14:paraId="1D37E6D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21" w:type="dxa"/>
            <w:shd w:val="clear" w:color="auto" w:fill="FFFFFF" w:themeFill="background1"/>
            <w:vAlign w:val="center"/>
          </w:tcPr>
          <w:p w14:paraId="049F0EE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32E5B" w14:paraId="3DBDD0E2" w14:textId="77777777" w:rsidTr="00373F73">
        <w:trPr>
          <w:trHeight w:val="467"/>
          <w:jc w:val="center"/>
        </w:trPr>
        <w:tc>
          <w:tcPr>
            <w:tcW w:w="882" w:type="dxa"/>
            <w:shd w:val="clear" w:color="auto" w:fill="FFFFFF" w:themeFill="background1"/>
            <w:vAlign w:val="center"/>
          </w:tcPr>
          <w:p w14:paraId="6B4BFF8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陈庆辉</w:t>
            </w:r>
          </w:p>
        </w:tc>
        <w:tc>
          <w:tcPr>
            <w:tcW w:w="708" w:type="dxa"/>
            <w:shd w:val="clear" w:color="auto" w:fill="FFFFFF" w:themeFill="background1"/>
            <w:vAlign w:val="center"/>
          </w:tcPr>
          <w:p w14:paraId="5D97E2C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636" w:type="dxa"/>
            <w:shd w:val="clear" w:color="auto" w:fill="FFFFFF" w:themeFill="background1"/>
            <w:vAlign w:val="center"/>
          </w:tcPr>
          <w:p w14:paraId="26E386E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38</w:t>
            </w:r>
          </w:p>
        </w:tc>
        <w:tc>
          <w:tcPr>
            <w:tcW w:w="1491" w:type="dxa"/>
            <w:shd w:val="clear" w:color="auto" w:fill="FFFFFF" w:themeFill="background1"/>
            <w:vAlign w:val="center"/>
          </w:tcPr>
          <w:p w14:paraId="01BAC52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副总经理、人力总监</w:t>
            </w:r>
          </w:p>
        </w:tc>
        <w:tc>
          <w:tcPr>
            <w:tcW w:w="742" w:type="dxa"/>
            <w:shd w:val="clear" w:color="auto" w:fill="FFFFFF" w:themeFill="background1"/>
            <w:vAlign w:val="center"/>
          </w:tcPr>
          <w:p w14:paraId="752B1BD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849" w:type="dxa"/>
            <w:shd w:val="clear" w:color="auto" w:fill="FFFFFF" w:themeFill="background1"/>
            <w:vAlign w:val="center"/>
          </w:tcPr>
          <w:p w14:paraId="11D83F2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985" w:type="dxa"/>
            <w:shd w:val="clear" w:color="auto" w:fill="FFFFFF" w:themeFill="background1"/>
            <w:vAlign w:val="center"/>
          </w:tcPr>
          <w:p w14:paraId="2FFACA1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2028年02月05日</w:t>
            </w:r>
          </w:p>
        </w:tc>
        <w:tc>
          <w:tcPr>
            <w:tcW w:w="1235" w:type="dxa"/>
            <w:shd w:val="clear" w:color="auto" w:fill="FFFFFF" w:themeFill="background1"/>
            <w:vAlign w:val="center"/>
          </w:tcPr>
          <w:p w14:paraId="43281D9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7504E58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57E64F8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3986901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38" w:type="dxa"/>
            <w:shd w:val="clear" w:color="auto" w:fill="FFFFFF" w:themeFill="background1"/>
            <w:vAlign w:val="center"/>
          </w:tcPr>
          <w:p w14:paraId="7A52A13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21" w:type="dxa"/>
            <w:shd w:val="clear" w:color="auto" w:fill="FFFFFF" w:themeFill="background1"/>
            <w:vAlign w:val="center"/>
          </w:tcPr>
          <w:p w14:paraId="4EFF932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32E5B" w14:paraId="571FDC8B" w14:textId="77777777" w:rsidTr="00373F73">
        <w:trPr>
          <w:trHeight w:val="403"/>
          <w:jc w:val="center"/>
        </w:trPr>
        <w:tc>
          <w:tcPr>
            <w:tcW w:w="882" w:type="dxa"/>
            <w:shd w:val="clear" w:color="auto" w:fill="FFFFFF" w:themeFill="background1"/>
            <w:vAlign w:val="center"/>
          </w:tcPr>
          <w:p w14:paraId="3603360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廖嘉琦</w:t>
            </w:r>
          </w:p>
        </w:tc>
        <w:tc>
          <w:tcPr>
            <w:tcW w:w="708" w:type="dxa"/>
            <w:shd w:val="clear" w:color="auto" w:fill="FFFFFF" w:themeFill="background1"/>
            <w:vAlign w:val="center"/>
          </w:tcPr>
          <w:p w14:paraId="343CB92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636" w:type="dxa"/>
            <w:shd w:val="clear" w:color="auto" w:fill="FFFFFF" w:themeFill="background1"/>
            <w:vAlign w:val="center"/>
          </w:tcPr>
          <w:p w14:paraId="18971A3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32</w:t>
            </w:r>
          </w:p>
        </w:tc>
        <w:tc>
          <w:tcPr>
            <w:tcW w:w="1491" w:type="dxa"/>
            <w:shd w:val="clear" w:color="auto" w:fill="FFFFFF" w:themeFill="background1"/>
            <w:vAlign w:val="center"/>
          </w:tcPr>
          <w:p w14:paraId="77D60AD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财务总监、董事会秘书</w:t>
            </w:r>
          </w:p>
        </w:tc>
        <w:tc>
          <w:tcPr>
            <w:tcW w:w="742" w:type="dxa"/>
            <w:shd w:val="clear" w:color="auto" w:fill="FFFFFF" w:themeFill="background1"/>
            <w:vAlign w:val="center"/>
          </w:tcPr>
          <w:p w14:paraId="696AF04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849" w:type="dxa"/>
            <w:shd w:val="clear" w:color="auto" w:fill="FFFFFF" w:themeFill="background1"/>
            <w:vAlign w:val="center"/>
          </w:tcPr>
          <w:p w14:paraId="4690147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985" w:type="dxa"/>
            <w:shd w:val="clear" w:color="auto" w:fill="FFFFFF" w:themeFill="background1"/>
            <w:vAlign w:val="center"/>
          </w:tcPr>
          <w:p w14:paraId="206E79D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2028年02月05日</w:t>
            </w:r>
          </w:p>
        </w:tc>
        <w:tc>
          <w:tcPr>
            <w:tcW w:w="1235" w:type="dxa"/>
            <w:shd w:val="clear" w:color="auto" w:fill="FFFFFF" w:themeFill="background1"/>
            <w:vAlign w:val="center"/>
          </w:tcPr>
          <w:p w14:paraId="4946028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1DDCD15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3B56A7B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066D773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38" w:type="dxa"/>
            <w:shd w:val="clear" w:color="auto" w:fill="FFFFFF" w:themeFill="background1"/>
            <w:vAlign w:val="center"/>
          </w:tcPr>
          <w:p w14:paraId="3083615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21" w:type="dxa"/>
            <w:shd w:val="clear" w:color="auto" w:fill="FFFFFF" w:themeFill="background1"/>
            <w:vAlign w:val="center"/>
          </w:tcPr>
          <w:p w14:paraId="3B3ABAD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32E5B" w14:paraId="4485564A" w14:textId="77777777" w:rsidTr="00373F73">
        <w:trPr>
          <w:trHeight w:val="240"/>
          <w:jc w:val="center"/>
        </w:trPr>
        <w:tc>
          <w:tcPr>
            <w:tcW w:w="882" w:type="dxa"/>
            <w:shd w:val="clear" w:color="auto" w:fill="FFFFFF" w:themeFill="background1"/>
            <w:vAlign w:val="center"/>
          </w:tcPr>
          <w:p w14:paraId="7C5CB10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陈新祥</w:t>
            </w:r>
          </w:p>
        </w:tc>
        <w:tc>
          <w:tcPr>
            <w:tcW w:w="708" w:type="dxa"/>
            <w:shd w:val="clear" w:color="auto" w:fill="FFFFFF" w:themeFill="background1"/>
            <w:vAlign w:val="center"/>
          </w:tcPr>
          <w:p w14:paraId="0B009FB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636" w:type="dxa"/>
            <w:shd w:val="clear" w:color="auto" w:fill="FFFFFF" w:themeFill="background1"/>
            <w:vAlign w:val="center"/>
          </w:tcPr>
          <w:p w14:paraId="31FC8D5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56</w:t>
            </w:r>
          </w:p>
        </w:tc>
        <w:tc>
          <w:tcPr>
            <w:tcW w:w="1491" w:type="dxa"/>
            <w:shd w:val="clear" w:color="auto" w:fill="FFFFFF" w:themeFill="background1"/>
            <w:vAlign w:val="center"/>
          </w:tcPr>
          <w:p w14:paraId="40C73C9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副总经理</w:t>
            </w:r>
          </w:p>
        </w:tc>
        <w:tc>
          <w:tcPr>
            <w:tcW w:w="742" w:type="dxa"/>
            <w:shd w:val="clear" w:color="auto" w:fill="FFFFFF" w:themeFill="background1"/>
            <w:vAlign w:val="center"/>
          </w:tcPr>
          <w:p w14:paraId="366C3B9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849" w:type="dxa"/>
            <w:shd w:val="clear" w:color="auto" w:fill="FFFFFF" w:themeFill="background1"/>
            <w:vAlign w:val="center"/>
          </w:tcPr>
          <w:p w14:paraId="71377F7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2022年08月15日</w:t>
            </w:r>
          </w:p>
        </w:tc>
        <w:tc>
          <w:tcPr>
            <w:tcW w:w="1985" w:type="dxa"/>
            <w:shd w:val="clear" w:color="auto" w:fill="FFFFFF" w:themeFill="background1"/>
            <w:vAlign w:val="center"/>
          </w:tcPr>
          <w:p w14:paraId="792240C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2028年02月05日</w:t>
            </w:r>
          </w:p>
        </w:tc>
        <w:tc>
          <w:tcPr>
            <w:tcW w:w="1235" w:type="dxa"/>
            <w:shd w:val="clear" w:color="auto" w:fill="FFFFFF" w:themeFill="background1"/>
            <w:vAlign w:val="center"/>
          </w:tcPr>
          <w:p w14:paraId="321D4F2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2972015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15AABB6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51E432D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38" w:type="dxa"/>
            <w:shd w:val="clear" w:color="auto" w:fill="FFFFFF" w:themeFill="background1"/>
            <w:vAlign w:val="center"/>
          </w:tcPr>
          <w:p w14:paraId="3A8016F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21" w:type="dxa"/>
            <w:shd w:val="clear" w:color="auto" w:fill="FFFFFF" w:themeFill="background1"/>
            <w:vAlign w:val="center"/>
          </w:tcPr>
          <w:p w14:paraId="5EFDAA9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32E5B" w14:paraId="52E313D5" w14:textId="77777777" w:rsidTr="00373F73">
        <w:trPr>
          <w:trHeight w:val="240"/>
          <w:jc w:val="center"/>
        </w:trPr>
        <w:tc>
          <w:tcPr>
            <w:tcW w:w="882" w:type="dxa"/>
            <w:shd w:val="clear" w:color="auto" w:fill="FFFFFF" w:themeFill="background1"/>
            <w:vAlign w:val="center"/>
          </w:tcPr>
          <w:p w14:paraId="4A4C380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孙建宇</w:t>
            </w:r>
          </w:p>
        </w:tc>
        <w:tc>
          <w:tcPr>
            <w:tcW w:w="708" w:type="dxa"/>
            <w:shd w:val="clear" w:color="auto" w:fill="FFFFFF" w:themeFill="background1"/>
            <w:vAlign w:val="center"/>
          </w:tcPr>
          <w:p w14:paraId="690DB0D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636" w:type="dxa"/>
            <w:shd w:val="clear" w:color="auto" w:fill="FFFFFF" w:themeFill="background1"/>
            <w:vAlign w:val="center"/>
          </w:tcPr>
          <w:p w14:paraId="4D461B9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46</w:t>
            </w:r>
          </w:p>
        </w:tc>
        <w:tc>
          <w:tcPr>
            <w:tcW w:w="1491" w:type="dxa"/>
            <w:shd w:val="clear" w:color="auto" w:fill="FFFFFF" w:themeFill="background1"/>
            <w:vAlign w:val="center"/>
          </w:tcPr>
          <w:p w14:paraId="159C865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副总经理</w:t>
            </w:r>
          </w:p>
        </w:tc>
        <w:tc>
          <w:tcPr>
            <w:tcW w:w="742" w:type="dxa"/>
            <w:shd w:val="clear" w:color="auto" w:fill="FFFFFF" w:themeFill="background1"/>
            <w:vAlign w:val="center"/>
          </w:tcPr>
          <w:p w14:paraId="30DB347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现任</w:t>
            </w:r>
          </w:p>
        </w:tc>
        <w:tc>
          <w:tcPr>
            <w:tcW w:w="1849" w:type="dxa"/>
            <w:shd w:val="clear" w:color="auto" w:fill="FFFFFF" w:themeFill="background1"/>
            <w:vAlign w:val="center"/>
          </w:tcPr>
          <w:p w14:paraId="64797AA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2019年07月26日</w:t>
            </w:r>
          </w:p>
        </w:tc>
        <w:tc>
          <w:tcPr>
            <w:tcW w:w="1985" w:type="dxa"/>
            <w:shd w:val="clear" w:color="auto" w:fill="FFFFFF" w:themeFill="background1"/>
            <w:vAlign w:val="center"/>
          </w:tcPr>
          <w:p w14:paraId="2363FB7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2028年02月05日</w:t>
            </w:r>
          </w:p>
        </w:tc>
        <w:tc>
          <w:tcPr>
            <w:tcW w:w="1235" w:type="dxa"/>
            <w:shd w:val="clear" w:color="auto" w:fill="FFFFFF" w:themeFill="background1"/>
            <w:vAlign w:val="center"/>
          </w:tcPr>
          <w:p w14:paraId="4DB2DC0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61B08DB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4D3907F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1FF32C7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38" w:type="dxa"/>
            <w:shd w:val="clear" w:color="auto" w:fill="FFFFFF" w:themeFill="background1"/>
            <w:vAlign w:val="center"/>
          </w:tcPr>
          <w:p w14:paraId="4EFE226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21" w:type="dxa"/>
            <w:shd w:val="clear" w:color="auto" w:fill="FFFFFF" w:themeFill="background1"/>
            <w:vAlign w:val="center"/>
          </w:tcPr>
          <w:p w14:paraId="067BB53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32E5B" w14:paraId="4E084B8E" w14:textId="77777777" w:rsidTr="00373F73">
        <w:trPr>
          <w:trHeight w:val="240"/>
          <w:jc w:val="center"/>
        </w:trPr>
        <w:tc>
          <w:tcPr>
            <w:tcW w:w="882" w:type="dxa"/>
            <w:shd w:val="clear" w:color="auto" w:fill="FFFFFF" w:themeFill="background1"/>
            <w:vAlign w:val="center"/>
          </w:tcPr>
          <w:p w14:paraId="6C7CB5F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王伟峰</w:t>
            </w:r>
          </w:p>
        </w:tc>
        <w:tc>
          <w:tcPr>
            <w:tcW w:w="708" w:type="dxa"/>
            <w:shd w:val="clear" w:color="auto" w:fill="FFFFFF" w:themeFill="background1"/>
            <w:vAlign w:val="center"/>
          </w:tcPr>
          <w:p w14:paraId="075D613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636" w:type="dxa"/>
            <w:shd w:val="clear" w:color="auto" w:fill="FFFFFF" w:themeFill="background1"/>
            <w:vAlign w:val="center"/>
          </w:tcPr>
          <w:p w14:paraId="2466E2A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45</w:t>
            </w:r>
          </w:p>
        </w:tc>
        <w:tc>
          <w:tcPr>
            <w:tcW w:w="1491" w:type="dxa"/>
            <w:shd w:val="clear" w:color="auto" w:fill="FFFFFF" w:themeFill="background1"/>
            <w:vAlign w:val="center"/>
          </w:tcPr>
          <w:p w14:paraId="1A11130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时任董事长、总经理</w:t>
            </w:r>
          </w:p>
        </w:tc>
        <w:tc>
          <w:tcPr>
            <w:tcW w:w="742" w:type="dxa"/>
            <w:shd w:val="clear" w:color="auto" w:fill="FFFFFF" w:themeFill="background1"/>
            <w:vAlign w:val="center"/>
          </w:tcPr>
          <w:p w14:paraId="1C14CE6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离任</w:t>
            </w:r>
          </w:p>
        </w:tc>
        <w:tc>
          <w:tcPr>
            <w:tcW w:w="1849" w:type="dxa"/>
            <w:shd w:val="clear" w:color="auto" w:fill="FFFFFF" w:themeFill="background1"/>
            <w:vAlign w:val="center"/>
          </w:tcPr>
          <w:p w14:paraId="653E7EA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2022年08月15日</w:t>
            </w:r>
          </w:p>
        </w:tc>
        <w:tc>
          <w:tcPr>
            <w:tcW w:w="1985" w:type="dxa"/>
            <w:shd w:val="clear" w:color="auto" w:fill="FFFFFF" w:themeFill="background1"/>
            <w:vAlign w:val="center"/>
          </w:tcPr>
          <w:p w14:paraId="298EEDC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235" w:type="dxa"/>
            <w:shd w:val="clear" w:color="auto" w:fill="FFFFFF" w:themeFill="background1"/>
            <w:vAlign w:val="center"/>
          </w:tcPr>
          <w:p w14:paraId="6B45660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5,198,025</w:t>
            </w:r>
          </w:p>
        </w:tc>
        <w:tc>
          <w:tcPr>
            <w:tcW w:w="741" w:type="dxa"/>
            <w:shd w:val="clear" w:color="auto" w:fill="FFFFFF" w:themeFill="background1"/>
            <w:vAlign w:val="center"/>
          </w:tcPr>
          <w:p w14:paraId="6067055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6B4581E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6495287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38" w:type="dxa"/>
            <w:shd w:val="clear" w:color="auto" w:fill="FFFFFF" w:themeFill="background1"/>
            <w:vAlign w:val="center"/>
          </w:tcPr>
          <w:p w14:paraId="493E949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5,198,025</w:t>
            </w:r>
          </w:p>
        </w:tc>
        <w:tc>
          <w:tcPr>
            <w:tcW w:w="1221" w:type="dxa"/>
            <w:shd w:val="clear" w:color="auto" w:fill="FFFFFF" w:themeFill="background1"/>
            <w:vAlign w:val="center"/>
          </w:tcPr>
          <w:p w14:paraId="00D6DDD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32E5B" w14:paraId="095FC084" w14:textId="77777777" w:rsidTr="00373F73">
        <w:trPr>
          <w:trHeight w:val="240"/>
          <w:jc w:val="center"/>
        </w:trPr>
        <w:tc>
          <w:tcPr>
            <w:tcW w:w="882" w:type="dxa"/>
            <w:shd w:val="clear" w:color="auto" w:fill="FFFFFF" w:themeFill="background1"/>
            <w:vAlign w:val="center"/>
          </w:tcPr>
          <w:p w14:paraId="2F475C0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陈辉</w:t>
            </w:r>
          </w:p>
        </w:tc>
        <w:tc>
          <w:tcPr>
            <w:tcW w:w="708" w:type="dxa"/>
            <w:shd w:val="clear" w:color="auto" w:fill="FFFFFF" w:themeFill="background1"/>
            <w:vAlign w:val="center"/>
          </w:tcPr>
          <w:p w14:paraId="5FA17A5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636" w:type="dxa"/>
            <w:shd w:val="clear" w:color="auto" w:fill="FFFFFF" w:themeFill="background1"/>
            <w:vAlign w:val="center"/>
          </w:tcPr>
          <w:p w14:paraId="50E0201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54</w:t>
            </w:r>
          </w:p>
        </w:tc>
        <w:tc>
          <w:tcPr>
            <w:tcW w:w="1491" w:type="dxa"/>
            <w:shd w:val="clear" w:color="auto" w:fill="FFFFFF" w:themeFill="background1"/>
            <w:vAlign w:val="center"/>
          </w:tcPr>
          <w:p w14:paraId="413D130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时任董事</w:t>
            </w:r>
          </w:p>
        </w:tc>
        <w:tc>
          <w:tcPr>
            <w:tcW w:w="742" w:type="dxa"/>
            <w:shd w:val="clear" w:color="auto" w:fill="FFFFFF" w:themeFill="background1"/>
            <w:vAlign w:val="center"/>
          </w:tcPr>
          <w:p w14:paraId="5F102EF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离任</w:t>
            </w:r>
          </w:p>
        </w:tc>
        <w:tc>
          <w:tcPr>
            <w:tcW w:w="1849" w:type="dxa"/>
            <w:shd w:val="clear" w:color="auto" w:fill="FFFFFF" w:themeFill="background1"/>
            <w:vAlign w:val="center"/>
          </w:tcPr>
          <w:p w14:paraId="0AE591E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2022年08月15日</w:t>
            </w:r>
          </w:p>
        </w:tc>
        <w:tc>
          <w:tcPr>
            <w:tcW w:w="1985" w:type="dxa"/>
            <w:shd w:val="clear" w:color="auto" w:fill="FFFFFF" w:themeFill="background1"/>
            <w:vAlign w:val="center"/>
          </w:tcPr>
          <w:p w14:paraId="241AB67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235" w:type="dxa"/>
            <w:shd w:val="clear" w:color="auto" w:fill="FFFFFF" w:themeFill="background1"/>
            <w:vAlign w:val="center"/>
          </w:tcPr>
          <w:p w14:paraId="2FD6B68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5B24C42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2C8558E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12B0FFE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38" w:type="dxa"/>
            <w:shd w:val="clear" w:color="auto" w:fill="FFFFFF" w:themeFill="background1"/>
            <w:vAlign w:val="center"/>
          </w:tcPr>
          <w:p w14:paraId="2B56BE5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21" w:type="dxa"/>
            <w:shd w:val="clear" w:color="auto" w:fill="FFFFFF" w:themeFill="background1"/>
            <w:vAlign w:val="center"/>
          </w:tcPr>
          <w:p w14:paraId="39D05BD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32E5B" w14:paraId="04758F83" w14:textId="77777777" w:rsidTr="00373F73">
        <w:trPr>
          <w:trHeight w:val="240"/>
          <w:jc w:val="center"/>
        </w:trPr>
        <w:tc>
          <w:tcPr>
            <w:tcW w:w="882" w:type="dxa"/>
            <w:shd w:val="clear" w:color="auto" w:fill="FFFFFF" w:themeFill="background1"/>
            <w:vAlign w:val="center"/>
          </w:tcPr>
          <w:p w14:paraId="39693C0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陈波瀚</w:t>
            </w:r>
          </w:p>
        </w:tc>
        <w:tc>
          <w:tcPr>
            <w:tcW w:w="708" w:type="dxa"/>
            <w:shd w:val="clear" w:color="auto" w:fill="FFFFFF" w:themeFill="background1"/>
            <w:vAlign w:val="center"/>
          </w:tcPr>
          <w:p w14:paraId="1530BB9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636" w:type="dxa"/>
            <w:shd w:val="clear" w:color="auto" w:fill="FFFFFF" w:themeFill="background1"/>
            <w:vAlign w:val="center"/>
          </w:tcPr>
          <w:p w14:paraId="0999BB5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61</w:t>
            </w:r>
          </w:p>
        </w:tc>
        <w:tc>
          <w:tcPr>
            <w:tcW w:w="1491" w:type="dxa"/>
            <w:shd w:val="clear" w:color="auto" w:fill="FFFFFF" w:themeFill="background1"/>
            <w:vAlign w:val="center"/>
          </w:tcPr>
          <w:p w14:paraId="69B5D65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时任董事</w:t>
            </w:r>
          </w:p>
        </w:tc>
        <w:tc>
          <w:tcPr>
            <w:tcW w:w="742" w:type="dxa"/>
            <w:shd w:val="clear" w:color="auto" w:fill="FFFFFF" w:themeFill="background1"/>
            <w:vAlign w:val="center"/>
          </w:tcPr>
          <w:p w14:paraId="7FEDD07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离任</w:t>
            </w:r>
          </w:p>
        </w:tc>
        <w:tc>
          <w:tcPr>
            <w:tcW w:w="1849" w:type="dxa"/>
            <w:shd w:val="clear" w:color="auto" w:fill="FFFFFF" w:themeFill="background1"/>
            <w:vAlign w:val="center"/>
          </w:tcPr>
          <w:p w14:paraId="6162D91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2014年04月18日</w:t>
            </w:r>
          </w:p>
        </w:tc>
        <w:tc>
          <w:tcPr>
            <w:tcW w:w="1985" w:type="dxa"/>
            <w:shd w:val="clear" w:color="auto" w:fill="FFFFFF" w:themeFill="background1"/>
            <w:vAlign w:val="center"/>
          </w:tcPr>
          <w:p w14:paraId="282F376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235" w:type="dxa"/>
            <w:shd w:val="clear" w:color="auto" w:fill="FFFFFF" w:themeFill="background1"/>
            <w:vAlign w:val="center"/>
          </w:tcPr>
          <w:p w14:paraId="366C268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175,000</w:t>
            </w:r>
          </w:p>
        </w:tc>
        <w:tc>
          <w:tcPr>
            <w:tcW w:w="741" w:type="dxa"/>
            <w:shd w:val="clear" w:color="auto" w:fill="FFFFFF" w:themeFill="background1"/>
            <w:vAlign w:val="center"/>
          </w:tcPr>
          <w:p w14:paraId="6E0FF6C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757AAD9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7E628BB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38" w:type="dxa"/>
            <w:shd w:val="clear" w:color="auto" w:fill="FFFFFF" w:themeFill="background1"/>
            <w:vAlign w:val="center"/>
          </w:tcPr>
          <w:p w14:paraId="2597C4A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175,000</w:t>
            </w:r>
          </w:p>
        </w:tc>
        <w:tc>
          <w:tcPr>
            <w:tcW w:w="1221" w:type="dxa"/>
            <w:shd w:val="clear" w:color="auto" w:fill="FFFFFF" w:themeFill="background1"/>
            <w:vAlign w:val="center"/>
          </w:tcPr>
          <w:p w14:paraId="4A60F3C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32E5B" w14:paraId="037E17EB" w14:textId="77777777" w:rsidTr="00373F73">
        <w:trPr>
          <w:trHeight w:val="240"/>
          <w:jc w:val="center"/>
        </w:trPr>
        <w:tc>
          <w:tcPr>
            <w:tcW w:w="882" w:type="dxa"/>
            <w:shd w:val="clear" w:color="auto" w:fill="FFFFFF" w:themeFill="background1"/>
            <w:vAlign w:val="center"/>
          </w:tcPr>
          <w:p w14:paraId="2D0F431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陈昆</w:t>
            </w:r>
          </w:p>
        </w:tc>
        <w:tc>
          <w:tcPr>
            <w:tcW w:w="708" w:type="dxa"/>
            <w:shd w:val="clear" w:color="auto" w:fill="FFFFFF" w:themeFill="background1"/>
            <w:vAlign w:val="center"/>
          </w:tcPr>
          <w:p w14:paraId="3D8ECE6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636" w:type="dxa"/>
            <w:shd w:val="clear" w:color="auto" w:fill="FFFFFF" w:themeFill="background1"/>
            <w:vAlign w:val="center"/>
          </w:tcPr>
          <w:p w14:paraId="2A90627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78</w:t>
            </w:r>
          </w:p>
        </w:tc>
        <w:tc>
          <w:tcPr>
            <w:tcW w:w="1491" w:type="dxa"/>
            <w:shd w:val="clear" w:color="auto" w:fill="FFFFFF" w:themeFill="background1"/>
            <w:vAlign w:val="center"/>
          </w:tcPr>
          <w:p w14:paraId="001D3E8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时任董事</w:t>
            </w:r>
          </w:p>
        </w:tc>
        <w:tc>
          <w:tcPr>
            <w:tcW w:w="742" w:type="dxa"/>
            <w:shd w:val="clear" w:color="auto" w:fill="FFFFFF" w:themeFill="background1"/>
            <w:vAlign w:val="center"/>
          </w:tcPr>
          <w:p w14:paraId="7CF5753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离任</w:t>
            </w:r>
          </w:p>
        </w:tc>
        <w:tc>
          <w:tcPr>
            <w:tcW w:w="1849" w:type="dxa"/>
            <w:shd w:val="clear" w:color="auto" w:fill="FFFFFF" w:themeFill="background1"/>
            <w:vAlign w:val="center"/>
          </w:tcPr>
          <w:p w14:paraId="6F9EE8E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2013年09月13日</w:t>
            </w:r>
          </w:p>
        </w:tc>
        <w:tc>
          <w:tcPr>
            <w:tcW w:w="1985" w:type="dxa"/>
            <w:shd w:val="clear" w:color="auto" w:fill="FFFFFF" w:themeFill="background1"/>
            <w:vAlign w:val="center"/>
          </w:tcPr>
          <w:p w14:paraId="3E5A661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235" w:type="dxa"/>
            <w:shd w:val="clear" w:color="auto" w:fill="FFFFFF" w:themeFill="background1"/>
            <w:vAlign w:val="center"/>
          </w:tcPr>
          <w:p w14:paraId="2D0BA81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333D7B5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58B1766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2B18E17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38" w:type="dxa"/>
            <w:shd w:val="clear" w:color="auto" w:fill="FFFFFF" w:themeFill="background1"/>
            <w:vAlign w:val="center"/>
          </w:tcPr>
          <w:p w14:paraId="748DFF4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21" w:type="dxa"/>
            <w:shd w:val="clear" w:color="auto" w:fill="FFFFFF" w:themeFill="background1"/>
            <w:vAlign w:val="center"/>
          </w:tcPr>
          <w:p w14:paraId="0686FBF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32E5B" w14:paraId="31792474" w14:textId="77777777" w:rsidTr="00373F73">
        <w:trPr>
          <w:trHeight w:val="240"/>
          <w:jc w:val="center"/>
        </w:trPr>
        <w:tc>
          <w:tcPr>
            <w:tcW w:w="882" w:type="dxa"/>
            <w:shd w:val="clear" w:color="auto" w:fill="FFFFFF" w:themeFill="background1"/>
            <w:vAlign w:val="center"/>
          </w:tcPr>
          <w:p w14:paraId="1768414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程娴</w:t>
            </w:r>
          </w:p>
        </w:tc>
        <w:tc>
          <w:tcPr>
            <w:tcW w:w="708" w:type="dxa"/>
            <w:shd w:val="clear" w:color="auto" w:fill="FFFFFF" w:themeFill="background1"/>
            <w:vAlign w:val="center"/>
          </w:tcPr>
          <w:p w14:paraId="159D0F6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女</w:t>
            </w:r>
          </w:p>
        </w:tc>
        <w:tc>
          <w:tcPr>
            <w:tcW w:w="636" w:type="dxa"/>
            <w:shd w:val="clear" w:color="auto" w:fill="FFFFFF" w:themeFill="background1"/>
            <w:vAlign w:val="center"/>
          </w:tcPr>
          <w:p w14:paraId="45645DE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49</w:t>
            </w:r>
          </w:p>
        </w:tc>
        <w:tc>
          <w:tcPr>
            <w:tcW w:w="1491" w:type="dxa"/>
            <w:shd w:val="clear" w:color="auto" w:fill="FFFFFF" w:themeFill="background1"/>
            <w:vAlign w:val="center"/>
          </w:tcPr>
          <w:p w14:paraId="36740478" w14:textId="0C1350FE" w:rsidR="00632E5B" w:rsidRDefault="00107901" w:rsidP="00035A7B">
            <w:pPr>
              <w:spacing w:line="240" w:lineRule="exact"/>
              <w:rPr>
                <w:rFonts w:ascii="宋体" w:eastAsia="宋体" w:hAnsi="宋体" w:cs="宋体" w:hint="eastAsia"/>
                <w:sz w:val="18"/>
                <w:szCs w:val="18"/>
              </w:rPr>
            </w:pPr>
            <w:r>
              <w:rPr>
                <w:rFonts w:ascii="宋体" w:eastAsia="宋体" w:hAnsi="宋体" w:cs="宋体"/>
                <w:sz w:val="18"/>
                <w:szCs w:val="18"/>
              </w:rPr>
              <w:t>时任董事、董</w:t>
            </w:r>
            <w:r w:rsidR="00035A7B">
              <w:rPr>
                <w:rFonts w:ascii="宋体" w:eastAsia="宋体" w:hAnsi="宋体" w:cs="宋体"/>
                <w:sz w:val="18"/>
                <w:szCs w:val="18"/>
              </w:rPr>
              <w:t>秘</w:t>
            </w:r>
            <w:r>
              <w:rPr>
                <w:rFonts w:ascii="宋体" w:eastAsia="宋体" w:hAnsi="宋体" w:cs="宋体"/>
                <w:sz w:val="18"/>
                <w:szCs w:val="18"/>
              </w:rPr>
              <w:t>、副总经理</w:t>
            </w:r>
          </w:p>
        </w:tc>
        <w:tc>
          <w:tcPr>
            <w:tcW w:w="742" w:type="dxa"/>
            <w:shd w:val="clear" w:color="auto" w:fill="FFFFFF" w:themeFill="background1"/>
            <w:vAlign w:val="center"/>
          </w:tcPr>
          <w:p w14:paraId="1BDC525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离任</w:t>
            </w:r>
          </w:p>
        </w:tc>
        <w:tc>
          <w:tcPr>
            <w:tcW w:w="1849" w:type="dxa"/>
            <w:shd w:val="clear" w:color="auto" w:fill="FFFFFF" w:themeFill="background1"/>
            <w:vAlign w:val="center"/>
          </w:tcPr>
          <w:p w14:paraId="6E50099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2021年12月28日</w:t>
            </w:r>
          </w:p>
        </w:tc>
        <w:tc>
          <w:tcPr>
            <w:tcW w:w="1985" w:type="dxa"/>
            <w:shd w:val="clear" w:color="auto" w:fill="FFFFFF" w:themeFill="background1"/>
            <w:vAlign w:val="center"/>
          </w:tcPr>
          <w:p w14:paraId="0F8D610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235" w:type="dxa"/>
            <w:shd w:val="clear" w:color="auto" w:fill="FFFFFF" w:themeFill="background1"/>
            <w:vAlign w:val="center"/>
          </w:tcPr>
          <w:p w14:paraId="3DCFAAE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62DC083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2E348EA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3150B67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38" w:type="dxa"/>
            <w:shd w:val="clear" w:color="auto" w:fill="FFFFFF" w:themeFill="background1"/>
            <w:vAlign w:val="center"/>
          </w:tcPr>
          <w:p w14:paraId="0074D65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21" w:type="dxa"/>
            <w:shd w:val="clear" w:color="auto" w:fill="FFFFFF" w:themeFill="background1"/>
            <w:vAlign w:val="center"/>
          </w:tcPr>
          <w:p w14:paraId="1D506D2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32E5B" w14:paraId="012EE981" w14:textId="77777777" w:rsidTr="00373F73">
        <w:trPr>
          <w:trHeight w:val="240"/>
          <w:jc w:val="center"/>
        </w:trPr>
        <w:tc>
          <w:tcPr>
            <w:tcW w:w="882" w:type="dxa"/>
            <w:shd w:val="clear" w:color="auto" w:fill="FFFFFF" w:themeFill="background1"/>
            <w:vAlign w:val="center"/>
          </w:tcPr>
          <w:p w14:paraId="0F78319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lastRenderedPageBreak/>
              <w:t>蒋悟真</w:t>
            </w:r>
          </w:p>
        </w:tc>
        <w:tc>
          <w:tcPr>
            <w:tcW w:w="708" w:type="dxa"/>
            <w:shd w:val="clear" w:color="auto" w:fill="FFFFFF" w:themeFill="background1"/>
            <w:vAlign w:val="center"/>
          </w:tcPr>
          <w:p w14:paraId="1113864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636" w:type="dxa"/>
            <w:shd w:val="clear" w:color="auto" w:fill="FFFFFF" w:themeFill="background1"/>
            <w:vAlign w:val="center"/>
          </w:tcPr>
          <w:p w14:paraId="3513ED4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53</w:t>
            </w:r>
          </w:p>
        </w:tc>
        <w:tc>
          <w:tcPr>
            <w:tcW w:w="1491" w:type="dxa"/>
            <w:shd w:val="clear" w:color="auto" w:fill="FFFFFF" w:themeFill="background1"/>
            <w:vAlign w:val="center"/>
          </w:tcPr>
          <w:p w14:paraId="5882D94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时任独立董事</w:t>
            </w:r>
          </w:p>
        </w:tc>
        <w:tc>
          <w:tcPr>
            <w:tcW w:w="742" w:type="dxa"/>
            <w:shd w:val="clear" w:color="auto" w:fill="FFFFFF" w:themeFill="background1"/>
            <w:vAlign w:val="center"/>
          </w:tcPr>
          <w:p w14:paraId="2ED6737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离任</w:t>
            </w:r>
          </w:p>
        </w:tc>
        <w:tc>
          <w:tcPr>
            <w:tcW w:w="1849" w:type="dxa"/>
            <w:shd w:val="clear" w:color="auto" w:fill="FFFFFF" w:themeFill="background1"/>
            <w:vAlign w:val="center"/>
          </w:tcPr>
          <w:p w14:paraId="741959C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2021年02月25日</w:t>
            </w:r>
          </w:p>
        </w:tc>
        <w:tc>
          <w:tcPr>
            <w:tcW w:w="1985" w:type="dxa"/>
            <w:shd w:val="clear" w:color="auto" w:fill="FFFFFF" w:themeFill="background1"/>
            <w:vAlign w:val="center"/>
          </w:tcPr>
          <w:p w14:paraId="0B95F93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235" w:type="dxa"/>
            <w:shd w:val="clear" w:color="auto" w:fill="FFFFFF" w:themeFill="background1"/>
            <w:vAlign w:val="center"/>
          </w:tcPr>
          <w:p w14:paraId="138594C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06AA920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58B105A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1A330C8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38" w:type="dxa"/>
            <w:shd w:val="clear" w:color="auto" w:fill="FFFFFF" w:themeFill="background1"/>
            <w:vAlign w:val="center"/>
          </w:tcPr>
          <w:p w14:paraId="33751CC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21" w:type="dxa"/>
            <w:shd w:val="clear" w:color="auto" w:fill="FFFFFF" w:themeFill="background1"/>
            <w:vAlign w:val="center"/>
          </w:tcPr>
          <w:p w14:paraId="2EDD771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32E5B" w14:paraId="047A4404" w14:textId="77777777" w:rsidTr="00373F73">
        <w:trPr>
          <w:trHeight w:val="240"/>
          <w:jc w:val="center"/>
        </w:trPr>
        <w:tc>
          <w:tcPr>
            <w:tcW w:w="882" w:type="dxa"/>
            <w:shd w:val="clear" w:color="auto" w:fill="FFFFFF" w:themeFill="background1"/>
            <w:vAlign w:val="center"/>
          </w:tcPr>
          <w:p w14:paraId="7FC0B12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李兴尧</w:t>
            </w:r>
          </w:p>
        </w:tc>
        <w:tc>
          <w:tcPr>
            <w:tcW w:w="708" w:type="dxa"/>
            <w:shd w:val="clear" w:color="auto" w:fill="FFFFFF" w:themeFill="background1"/>
            <w:vAlign w:val="center"/>
          </w:tcPr>
          <w:p w14:paraId="1E594DA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636" w:type="dxa"/>
            <w:shd w:val="clear" w:color="auto" w:fill="FFFFFF" w:themeFill="background1"/>
            <w:vAlign w:val="center"/>
          </w:tcPr>
          <w:p w14:paraId="6306053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53</w:t>
            </w:r>
          </w:p>
        </w:tc>
        <w:tc>
          <w:tcPr>
            <w:tcW w:w="1491" w:type="dxa"/>
            <w:shd w:val="clear" w:color="auto" w:fill="FFFFFF" w:themeFill="background1"/>
            <w:vAlign w:val="center"/>
          </w:tcPr>
          <w:p w14:paraId="79031C9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时任独立董事</w:t>
            </w:r>
          </w:p>
        </w:tc>
        <w:tc>
          <w:tcPr>
            <w:tcW w:w="742" w:type="dxa"/>
            <w:shd w:val="clear" w:color="auto" w:fill="FFFFFF" w:themeFill="background1"/>
            <w:vAlign w:val="center"/>
          </w:tcPr>
          <w:p w14:paraId="076CD89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离任</w:t>
            </w:r>
          </w:p>
        </w:tc>
        <w:tc>
          <w:tcPr>
            <w:tcW w:w="1849" w:type="dxa"/>
            <w:shd w:val="clear" w:color="auto" w:fill="FFFFFF" w:themeFill="background1"/>
            <w:vAlign w:val="center"/>
          </w:tcPr>
          <w:p w14:paraId="75BE364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2022年03月23日</w:t>
            </w:r>
          </w:p>
        </w:tc>
        <w:tc>
          <w:tcPr>
            <w:tcW w:w="1985" w:type="dxa"/>
            <w:shd w:val="clear" w:color="auto" w:fill="FFFFFF" w:themeFill="background1"/>
            <w:vAlign w:val="center"/>
          </w:tcPr>
          <w:p w14:paraId="1D3533B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235" w:type="dxa"/>
            <w:shd w:val="clear" w:color="auto" w:fill="FFFFFF" w:themeFill="background1"/>
            <w:vAlign w:val="center"/>
          </w:tcPr>
          <w:p w14:paraId="1D0C9E0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08169FF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6703E6D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1BBC196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38" w:type="dxa"/>
            <w:shd w:val="clear" w:color="auto" w:fill="FFFFFF" w:themeFill="background1"/>
            <w:vAlign w:val="center"/>
          </w:tcPr>
          <w:p w14:paraId="1A2766F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21" w:type="dxa"/>
            <w:shd w:val="clear" w:color="auto" w:fill="FFFFFF" w:themeFill="background1"/>
            <w:vAlign w:val="center"/>
          </w:tcPr>
          <w:p w14:paraId="74A54CA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32E5B" w14:paraId="64E0F403" w14:textId="77777777" w:rsidTr="00373F73">
        <w:trPr>
          <w:trHeight w:val="240"/>
          <w:jc w:val="center"/>
        </w:trPr>
        <w:tc>
          <w:tcPr>
            <w:tcW w:w="882" w:type="dxa"/>
            <w:shd w:val="clear" w:color="auto" w:fill="FFFFFF" w:themeFill="background1"/>
            <w:vAlign w:val="center"/>
          </w:tcPr>
          <w:p w14:paraId="618FFA7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迟梁</w:t>
            </w:r>
          </w:p>
        </w:tc>
        <w:tc>
          <w:tcPr>
            <w:tcW w:w="708" w:type="dxa"/>
            <w:shd w:val="clear" w:color="auto" w:fill="FFFFFF" w:themeFill="background1"/>
            <w:vAlign w:val="center"/>
          </w:tcPr>
          <w:p w14:paraId="6B89474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636" w:type="dxa"/>
            <w:shd w:val="clear" w:color="auto" w:fill="FFFFFF" w:themeFill="background1"/>
            <w:vAlign w:val="center"/>
          </w:tcPr>
          <w:p w14:paraId="0C7F6B2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41</w:t>
            </w:r>
          </w:p>
        </w:tc>
        <w:tc>
          <w:tcPr>
            <w:tcW w:w="1491" w:type="dxa"/>
            <w:shd w:val="clear" w:color="auto" w:fill="FFFFFF" w:themeFill="background1"/>
            <w:vAlign w:val="center"/>
          </w:tcPr>
          <w:p w14:paraId="0F3E3EE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时任独立董事</w:t>
            </w:r>
          </w:p>
        </w:tc>
        <w:tc>
          <w:tcPr>
            <w:tcW w:w="742" w:type="dxa"/>
            <w:shd w:val="clear" w:color="auto" w:fill="FFFFFF" w:themeFill="background1"/>
            <w:vAlign w:val="center"/>
          </w:tcPr>
          <w:p w14:paraId="61FF592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离任</w:t>
            </w:r>
          </w:p>
        </w:tc>
        <w:tc>
          <w:tcPr>
            <w:tcW w:w="1849" w:type="dxa"/>
            <w:shd w:val="clear" w:color="auto" w:fill="FFFFFF" w:themeFill="background1"/>
            <w:vAlign w:val="center"/>
          </w:tcPr>
          <w:p w14:paraId="1C0B894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2019年08月12日</w:t>
            </w:r>
          </w:p>
        </w:tc>
        <w:tc>
          <w:tcPr>
            <w:tcW w:w="1985" w:type="dxa"/>
            <w:shd w:val="clear" w:color="auto" w:fill="FFFFFF" w:themeFill="background1"/>
            <w:vAlign w:val="center"/>
          </w:tcPr>
          <w:p w14:paraId="019E426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235" w:type="dxa"/>
            <w:shd w:val="clear" w:color="auto" w:fill="FFFFFF" w:themeFill="background1"/>
            <w:vAlign w:val="center"/>
          </w:tcPr>
          <w:p w14:paraId="2F6672E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08533A6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7BF433A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626E98F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38" w:type="dxa"/>
            <w:shd w:val="clear" w:color="auto" w:fill="FFFFFF" w:themeFill="background1"/>
            <w:vAlign w:val="center"/>
          </w:tcPr>
          <w:p w14:paraId="47F0528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21" w:type="dxa"/>
            <w:shd w:val="clear" w:color="auto" w:fill="FFFFFF" w:themeFill="background1"/>
            <w:vAlign w:val="center"/>
          </w:tcPr>
          <w:p w14:paraId="699A70A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32E5B" w14:paraId="702F274B" w14:textId="77777777" w:rsidTr="00373F73">
        <w:trPr>
          <w:trHeight w:val="240"/>
          <w:jc w:val="center"/>
        </w:trPr>
        <w:tc>
          <w:tcPr>
            <w:tcW w:w="882" w:type="dxa"/>
            <w:shd w:val="clear" w:color="auto" w:fill="FFFFFF" w:themeFill="background1"/>
            <w:vAlign w:val="center"/>
          </w:tcPr>
          <w:p w14:paraId="24FDF12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钱文庆</w:t>
            </w:r>
          </w:p>
        </w:tc>
        <w:tc>
          <w:tcPr>
            <w:tcW w:w="708" w:type="dxa"/>
            <w:shd w:val="clear" w:color="auto" w:fill="FFFFFF" w:themeFill="background1"/>
            <w:vAlign w:val="center"/>
          </w:tcPr>
          <w:p w14:paraId="3D194BB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636" w:type="dxa"/>
            <w:shd w:val="clear" w:color="auto" w:fill="FFFFFF" w:themeFill="background1"/>
            <w:vAlign w:val="center"/>
          </w:tcPr>
          <w:p w14:paraId="0E7BAB6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48</w:t>
            </w:r>
          </w:p>
        </w:tc>
        <w:tc>
          <w:tcPr>
            <w:tcW w:w="1491" w:type="dxa"/>
            <w:shd w:val="clear" w:color="auto" w:fill="FFFFFF" w:themeFill="background1"/>
            <w:vAlign w:val="center"/>
          </w:tcPr>
          <w:p w14:paraId="396BD0D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时任监事会主席</w:t>
            </w:r>
          </w:p>
        </w:tc>
        <w:tc>
          <w:tcPr>
            <w:tcW w:w="742" w:type="dxa"/>
            <w:shd w:val="clear" w:color="auto" w:fill="FFFFFF" w:themeFill="background1"/>
            <w:vAlign w:val="center"/>
          </w:tcPr>
          <w:p w14:paraId="7838491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离任</w:t>
            </w:r>
          </w:p>
        </w:tc>
        <w:tc>
          <w:tcPr>
            <w:tcW w:w="1849" w:type="dxa"/>
            <w:shd w:val="clear" w:color="auto" w:fill="FFFFFF" w:themeFill="background1"/>
            <w:vAlign w:val="center"/>
          </w:tcPr>
          <w:p w14:paraId="2259921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2022年03月23日</w:t>
            </w:r>
          </w:p>
        </w:tc>
        <w:tc>
          <w:tcPr>
            <w:tcW w:w="1985" w:type="dxa"/>
            <w:shd w:val="clear" w:color="auto" w:fill="FFFFFF" w:themeFill="background1"/>
            <w:vAlign w:val="center"/>
          </w:tcPr>
          <w:p w14:paraId="6145300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2025年04月08日</w:t>
            </w:r>
          </w:p>
        </w:tc>
        <w:tc>
          <w:tcPr>
            <w:tcW w:w="1235" w:type="dxa"/>
            <w:shd w:val="clear" w:color="auto" w:fill="FFFFFF" w:themeFill="background1"/>
            <w:vAlign w:val="center"/>
          </w:tcPr>
          <w:p w14:paraId="3650499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4123356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7EC3FE8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4007E8D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38" w:type="dxa"/>
            <w:shd w:val="clear" w:color="auto" w:fill="FFFFFF" w:themeFill="background1"/>
            <w:vAlign w:val="center"/>
          </w:tcPr>
          <w:p w14:paraId="0A7C66B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21" w:type="dxa"/>
            <w:shd w:val="clear" w:color="auto" w:fill="FFFFFF" w:themeFill="background1"/>
            <w:vAlign w:val="center"/>
          </w:tcPr>
          <w:p w14:paraId="617C149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32E5B" w14:paraId="5AFDD242" w14:textId="77777777" w:rsidTr="00373F73">
        <w:trPr>
          <w:trHeight w:val="240"/>
          <w:jc w:val="center"/>
        </w:trPr>
        <w:tc>
          <w:tcPr>
            <w:tcW w:w="882" w:type="dxa"/>
            <w:shd w:val="clear" w:color="auto" w:fill="FFFFFF" w:themeFill="background1"/>
            <w:vAlign w:val="center"/>
          </w:tcPr>
          <w:p w14:paraId="5C034FC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彭慧娥</w:t>
            </w:r>
          </w:p>
        </w:tc>
        <w:tc>
          <w:tcPr>
            <w:tcW w:w="708" w:type="dxa"/>
            <w:shd w:val="clear" w:color="auto" w:fill="FFFFFF" w:themeFill="background1"/>
            <w:vAlign w:val="center"/>
          </w:tcPr>
          <w:p w14:paraId="0619202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女</w:t>
            </w:r>
          </w:p>
        </w:tc>
        <w:tc>
          <w:tcPr>
            <w:tcW w:w="636" w:type="dxa"/>
            <w:shd w:val="clear" w:color="auto" w:fill="FFFFFF" w:themeFill="background1"/>
            <w:vAlign w:val="center"/>
          </w:tcPr>
          <w:p w14:paraId="0CF31FE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43</w:t>
            </w:r>
          </w:p>
        </w:tc>
        <w:tc>
          <w:tcPr>
            <w:tcW w:w="1491" w:type="dxa"/>
            <w:shd w:val="clear" w:color="auto" w:fill="FFFFFF" w:themeFill="background1"/>
            <w:vAlign w:val="center"/>
          </w:tcPr>
          <w:p w14:paraId="661ADEE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时任职工监事</w:t>
            </w:r>
          </w:p>
        </w:tc>
        <w:tc>
          <w:tcPr>
            <w:tcW w:w="742" w:type="dxa"/>
            <w:shd w:val="clear" w:color="auto" w:fill="FFFFFF" w:themeFill="background1"/>
            <w:vAlign w:val="center"/>
          </w:tcPr>
          <w:p w14:paraId="2FE6B19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离任</w:t>
            </w:r>
          </w:p>
        </w:tc>
        <w:tc>
          <w:tcPr>
            <w:tcW w:w="1849" w:type="dxa"/>
            <w:shd w:val="clear" w:color="auto" w:fill="FFFFFF" w:themeFill="background1"/>
            <w:vAlign w:val="center"/>
          </w:tcPr>
          <w:p w14:paraId="4037CDF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2019年08月12日</w:t>
            </w:r>
          </w:p>
        </w:tc>
        <w:tc>
          <w:tcPr>
            <w:tcW w:w="1985" w:type="dxa"/>
            <w:shd w:val="clear" w:color="auto" w:fill="FFFFFF" w:themeFill="background1"/>
            <w:vAlign w:val="center"/>
          </w:tcPr>
          <w:p w14:paraId="37E63E7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2025年04月08日</w:t>
            </w:r>
          </w:p>
        </w:tc>
        <w:tc>
          <w:tcPr>
            <w:tcW w:w="1235" w:type="dxa"/>
            <w:shd w:val="clear" w:color="auto" w:fill="FFFFFF" w:themeFill="background1"/>
            <w:vAlign w:val="center"/>
          </w:tcPr>
          <w:p w14:paraId="16F7807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3007831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2B3DA00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763080E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38" w:type="dxa"/>
            <w:shd w:val="clear" w:color="auto" w:fill="FFFFFF" w:themeFill="background1"/>
            <w:vAlign w:val="center"/>
          </w:tcPr>
          <w:p w14:paraId="3DCF359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21" w:type="dxa"/>
            <w:shd w:val="clear" w:color="auto" w:fill="FFFFFF" w:themeFill="background1"/>
            <w:vAlign w:val="center"/>
          </w:tcPr>
          <w:p w14:paraId="51483A9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32E5B" w14:paraId="65BA07ED" w14:textId="77777777" w:rsidTr="00373F73">
        <w:trPr>
          <w:trHeight w:val="240"/>
          <w:jc w:val="center"/>
        </w:trPr>
        <w:tc>
          <w:tcPr>
            <w:tcW w:w="882" w:type="dxa"/>
            <w:shd w:val="clear" w:color="auto" w:fill="FFFFFF" w:themeFill="background1"/>
            <w:vAlign w:val="center"/>
          </w:tcPr>
          <w:p w14:paraId="5678086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钱宏燚</w:t>
            </w:r>
          </w:p>
        </w:tc>
        <w:tc>
          <w:tcPr>
            <w:tcW w:w="708" w:type="dxa"/>
            <w:shd w:val="clear" w:color="auto" w:fill="FFFFFF" w:themeFill="background1"/>
            <w:vAlign w:val="center"/>
          </w:tcPr>
          <w:p w14:paraId="55E7AD9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636" w:type="dxa"/>
            <w:shd w:val="clear" w:color="auto" w:fill="FFFFFF" w:themeFill="background1"/>
            <w:vAlign w:val="center"/>
          </w:tcPr>
          <w:p w14:paraId="33FA4C1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40</w:t>
            </w:r>
          </w:p>
        </w:tc>
        <w:tc>
          <w:tcPr>
            <w:tcW w:w="1491" w:type="dxa"/>
            <w:shd w:val="clear" w:color="auto" w:fill="FFFFFF" w:themeFill="background1"/>
            <w:vAlign w:val="center"/>
          </w:tcPr>
          <w:p w14:paraId="24462C4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时任副总经理</w:t>
            </w:r>
          </w:p>
        </w:tc>
        <w:tc>
          <w:tcPr>
            <w:tcW w:w="742" w:type="dxa"/>
            <w:shd w:val="clear" w:color="auto" w:fill="FFFFFF" w:themeFill="background1"/>
            <w:vAlign w:val="center"/>
          </w:tcPr>
          <w:p w14:paraId="331E824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离任</w:t>
            </w:r>
          </w:p>
        </w:tc>
        <w:tc>
          <w:tcPr>
            <w:tcW w:w="1849" w:type="dxa"/>
            <w:shd w:val="clear" w:color="auto" w:fill="FFFFFF" w:themeFill="background1"/>
            <w:vAlign w:val="center"/>
          </w:tcPr>
          <w:p w14:paraId="3478C4B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2022年08月15日</w:t>
            </w:r>
          </w:p>
        </w:tc>
        <w:tc>
          <w:tcPr>
            <w:tcW w:w="1985" w:type="dxa"/>
            <w:shd w:val="clear" w:color="auto" w:fill="FFFFFF" w:themeFill="background1"/>
            <w:vAlign w:val="center"/>
          </w:tcPr>
          <w:p w14:paraId="18209CE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2024年08月12日</w:t>
            </w:r>
          </w:p>
        </w:tc>
        <w:tc>
          <w:tcPr>
            <w:tcW w:w="1235" w:type="dxa"/>
            <w:shd w:val="clear" w:color="auto" w:fill="FFFFFF" w:themeFill="background1"/>
            <w:vAlign w:val="center"/>
          </w:tcPr>
          <w:p w14:paraId="362FB7F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5FB0353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05F7A18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07FCAA9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38" w:type="dxa"/>
            <w:shd w:val="clear" w:color="auto" w:fill="FFFFFF" w:themeFill="background1"/>
            <w:vAlign w:val="center"/>
          </w:tcPr>
          <w:p w14:paraId="0329F21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21" w:type="dxa"/>
            <w:shd w:val="clear" w:color="auto" w:fill="FFFFFF" w:themeFill="background1"/>
            <w:vAlign w:val="center"/>
          </w:tcPr>
          <w:p w14:paraId="7B39713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32E5B" w14:paraId="4F949BD6" w14:textId="77777777" w:rsidTr="00373F73">
        <w:trPr>
          <w:trHeight w:val="240"/>
          <w:jc w:val="center"/>
        </w:trPr>
        <w:tc>
          <w:tcPr>
            <w:tcW w:w="882" w:type="dxa"/>
            <w:shd w:val="clear" w:color="auto" w:fill="FFFFFF" w:themeFill="background1"/>
            <w:vAlign w:val="center"/>
          </w:tcPr>
          <w:p w14:paraId="2CCF0D0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张曾琪</w:t>
            </w:r>
          </w:p>
        </w:tc>
        <w:tc>
          <w:tcPr>
            <w:tcW w:w="708" w:type="dxa"/>
            <w:shd w:val="clear" w:color="auto" w:fill="FFFFFF" w:themeFill="background1"/>
            <w:vAlign w:val="center"/>
          </w:tcPr>
          <w:p w14:paraId="1E34928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636" w:type="dxa"/>
            <w:shd w:val="clear" w:color="auto" w:fill="FFFFFF" w:themeFill="background1"/>
            <w:vAlign w:val="center"/>
          </w:tcPr>
          <w:p w14:paraId="61E6009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51</w:t>
            </w:r>
          </w:p>
        </w:tc>
        <w:tc>
          <w:tcPr>
            <w:tcW w:w="1491" w:type="dxa"/>
            <w:shd w:val="clear" w:color="auto" w:fill="FFFFFF" w:themeFill="background1"/>
            <w:vAlign w:val="center"/>
          </w:tcPr>
          <w:p w14:paraId="4FB24A0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时任副总经理</w:t>
            </w:r>
          </w:p>
        </w:tc>
        <w:tc>
          <w:tcPr>
            <w:tcW w:w="742" w:type="dxa"/>
            <w:shd w:val="clear" w:color="auto" w:fill="FFFFFF" w:themeFill="background1"/>
            <w:vAlign w:val="center"/>
          </w:tcPr>
          <w:p w14:paraId="05CE8A7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离任</w:t>
            </w:r>
          </w:p>
        </w:tc>
        <w:tc>
          <w:tcPr>
            <w:tcW w:w="1849" w:type="dxa"/>
            <w:shd w:val="clear" w:color="auto" w:fill="FFFFFF" w:themeFill="background1"/>
            <w:vAlign w:val="center"/>
          </w:tcPr>
          <w:p w14:paraId="5FA3D41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2024年08月20日</w:t>
            </w:r>
          </w:p>
        </w:tc>
        <w:tc>
          <w:tcPr>
            <w:tcW w:w="1985" w:type="dxa"/>
            <w:shd w:val="clear" w:color="auto" w:fill="FFFFFF" w:themeFill="background1"/>
            <w:vAlign w:val="center"/>
          </w:tcPr>
          <w:p w14:paraId="2B0C922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235" w:type="dxa"/>
            <w:shd w:val="clear" w:color="auto" w:fill="FFFFFF" w:themeFill="background1"/>
            <w:vAlign w:val="center"/>
          </w:tcPr>
          <w:p w14:paraId="1C4EEE0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1B0E6DE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139B8F0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51CA3A3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38" w:type="dxa"/>
            <w:shd w:val="clear" w:color="auto" w:fill="FFFFFF" w:themeFill="background1"/>
            <w:vAlign w:val="center"/>
          </w:tcPr>
          <w:p w14:paraId="5628E8F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21" w:type="dxa"/>
            <w:shd w:val="clear" w:color="auto" w:fill="FFFFFF" w:themeFill="background1"/>
            <w:vAlign w:val="center"/>
          </w:tcPr>
          <w:p w14:paraId="7A7E050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32E5B" w14:paraId="1BD023F9" w14:textId="77777777" w:rsidTr="00373F73">
        <w:trPr>
          <w:trHeight w:val="240"/>
          <w:jc w:val="center"/>
        </w:trPr>
        <w:tc>
          <w:tcPr>
            <w:tcW w:w="882" w:type="dxa"/>
            <w:shd w:val="clear" w:color="auto" w:fill="FFFFFF" w:themeFill="background1"/>
            <w:vAlign w:val="center"/>
          </w:tcPr>
          <w:p w14:paraId="132B51F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徐军成</w:t>
            </w:r>
          </w:p>
        </w:tc>
        <w:tc>
          <w:tcPr>
            <w:tcW w:w="708" w:type="dxa"/>
            <w:shd w:val="clear" w:color="auto" w:fill="FFFFFF" w:themeFill="background1"/>
            <w:vAlign w:val="center"/>
          </w:tcPr>
          <w:p w14:paraId="7FF40F7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男</w:t>
            </w:r>
          </w:p>
        </w:tc>
        <w:tc>
          <w:tcPr>
            <w:tcW w:w="636" w:type="dxa"/>
            <w:shd w:val="clear" w:color="auto" w:fill="FFFFFF" w:themeFill="background1"/>
            <w:vAlign w:val="center"/>
          </w:tcPr>
          <w:p w14:paraId="51019AC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43</w:t>
            </w:r>
          </w:p>
        </w:tc>
        <w:tc>
          <w:tcPr>
            <w:tcW w:w="1491" w:type="dxa"/>
            <w:shd w:val="clear" w:color="auto" w:fill="FFFFFF" w:themeFill="background1"/>
            <w:vAlign w:val="center"/>
          </w:tcPr>
          <w:p w14:paraId="459A87D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时任财务总监</w:t>
            </w:r>
          </w:p>
        </w:tc>
        <w:tc>
          <w:tcPr>
            <w:tcW w:w="742" w:type="dxa"/>
            <w:shd w:val="clear" w:color="auto" w:fill="FFFFFF" w:themeFill="background1"/>
            <w:vAlign w:val="center"/>
          </w:tcPr>
          <w:p w14:paraId="545A705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离任</w:t>
            </w:r>
          </w:p>
        </w:tc>
        <w:tc>
          <w:tcPr>
            <w:tcW w:w="1849" w:type="dxa"/>
            <w:shd w:val="clear" w:color="auto" w:fill="FFFFFF" w:themeFill="background1"/>
            <w:vAlign w:val="center"/>
          </w:tcPr>
          <w:p w14:paraId="2C9491A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2023年11月14日</w:t>
            </w:r>
          </w:p>
        </w:tc>
        <w:tc>
          <w:tcPr>
            <w:tcW w:w="1985" w:type="dxa"/>
            <w:shd w:val="clear" w:color="auto" w:fill="FFFFFF" w:themeFill="background1"/>
            <w:vAlign w:val="center"/>
          </w:tcPr>
          <w:p w14:paraId="5AA4513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2025年02月06日</w:t>
            </w:r>
          </w:p>
        </w:tc>
        <w:tc>
          <w:tcPr>
            <w:tcW w:w="1235" w:type="dxa"/>
            <w:shd w:val="clear" w:color="auto" w:fill="FFFFFF" w:themeFill="background1"/>
            <w:vAlign w:val="center"/>
          </w:tcPr>
          <w:p w14:paraId="6CCB8E0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5813A7F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051F5BE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1F15E7C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38" w:type="dxa"/>
            <w:shd w:val="clear" w:color="auto" w:fill="FFFFFF" w:themeFill="background1"/>
            <w:vAlign w:val="center"/>
          </w:tcPr>
          <w:p w14:paraId="266A0AA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21" w:type="dxa"/>
            <w:shd w:val="clear" w:color="auto" w:fill="FFFFFF" w:themeFill="background1"/>
            <w:vAlign w:val="center"/>
          </w:tcPr>
          <w:p w14:paraId="4D283D9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32E5B" w14:paraId="40B761CD" w14:textId="77777777" w:rsidTr="00373F73">
        <w:trPr>
          <w:trHeight w:val="240"/>
          <w:jc w:val="center"/>
        </w:trPr>
        <w:tc>
          <w:tcPr>
            <w:tcW w:w="882" w:type="dxa"/>
            <w:shd w:val="clear" w:color="auto" w:fill="FFFFFF" w:themeFill="background1"/>
            <w:vAlign w:val="center"/>
          </w:tcPr>
          <w:p w14:paraId="1B00D7EF"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708" w:type="dxa"/>
            <w:shd w:val="clear" w:color="auto" w:fill="FFFFFF" w:themeFill="background1"/>
            <w:vAlign w:val="center"/>
          </w:tcPr>
          <w:p w14:paraId="0A68A27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636" w:type="dxa"/>
            <w:shd w:val="clear" w:color="auto" w:fill="FFFFFF" w:themeFill="background1"/>
            <w:vAlign w:val="center"/>
          </w:tcPr>
          <w:p w14:paraId="6B2CD93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1491" w:type="dxa"/>
            <w:shd w:val="clear" w:color="auto" w:fill="FFFFFF" w:themeFill="background1"/>
            <w:vAlign w:val="center"/>
          </w:tcPr>
          <w:p w14:paraId="3295D8B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742" w:type="dxa"/>
            <w:shd w:val="clear" w:color="auto" w:fill="FFFFFF" w:themeFill="background1"/>
            <w:vAlign w:val="center"/>
          </w:tcPr>
          <w:p w14:paraId="39A8A8B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1849" w:type="dxa"/>
            <w:shd w:val="clear" w:color="auto" w:fill="FFFFFF" w:themeFill="background1"/>
            <w:vAlign w:val="center"/>
          </w:tcPr>
          <w:p w14:paraId="165C8CE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1985" w:type="dxa"/>
            <w:shd w:val="clear" w:color="auto" w:fill="FFFFFF" w:themeFill="background1"/>
            <w:vAlign w:val="center"/>
          </w:tcPr>
          <w:p w14:paraId="77975F3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1235" w:type="dxa"/>
            <w:shd w:val="clear" w:color="auto" w:fill="FFFFFF" w:themeFill="background1"/>
            <w:vAlign w:val="center"/>
          </w:tcPr>
          <w:p w14:paraId="052DFD7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5,373,025</w:t>
            </w:r>
          </w:p>
        </w:tc>
        <w:tc>
          <w:tcPr>
            <w:tcW w:w="741" w:type="dxa"/>
            <w:shd w:val="clear" w:color="auto" w:fill="FFFFFF" w:themeFill="background1"/>
            <w:vAlign w:val="center"/>
          </w:tcPr>
          <w:p w14:paraId="506137D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3CA8E24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shd w:val="clear" w:color="auto" w:fill="FFFFFF" w:themeFill="background1"/>
            <w:vAlign w:val="center"/>
          </w:tcPr>
          <w:p w14:paraId="35FD216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038" w:type="dxa"/>
            <w:shd w:val="clear" w:color="auto" w:fill="FFFFFF" w:themeFill="background1"/>
            <w:vAlign w:val="center"/>
          </w:tcPr>
          <w:p w14:paraId="4AF6FF9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5,373,025</w:t>
            </w:r>
          </w:p>
        </w:tc>
        <w:tc>
          <w:tcPr>
            <w:tcW w:w="1221" w:type="dxa"/>
            <w:shd w:val="clear" w:color="auto" w:fill="FFFFFF" w:themeFill="background1"/>
            <w:vAlign w:val="center"/>
          </w:tcPr>
          <w:p w14:paraId="00B87D9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r>
    </w:tbl>
    <w:p w14:paraId="141FD94D" w14:textId="77777777" w:rsidR="00035A7B" w:rsidRDefault="00035A7B">
      <w:pPr>
        <w:spacing w:before="100" w:after="100" w:line="240" w:lineRule="exact"/>
        <w:rPr>
          <w:rFonts w:ascii="宋体" w:eastAsia="宋体" w:hAnsi="宋体" w:cs="宋体" w:hint="eastAsia"/>
          <w:sz w:val="18"/>
          <w:szCs w:val="18"/>
        </w:rPr>
        <w:sectPr w:rsidR="00035A7B" w:rsidSect="00E90C20">
          <w:pgSz w:w="16840" w:h="11905" w:orient="landscape"/>
          <w:pgMar w:top="1134" w:right="1440" w:bottom="1134" w:left="1440" w:header="851" w:footer="992" w:gutter="0"/>
          <w:cols w:space="720"/>
          <w:docGrid w:type="lines" w:linePitch="312"/>
        </w:sectPr>
      </w:pPr>
    </w:p>
    <w:p w14:paraId="562FBBAE" w14:textId="33385BA0"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lastRenderedPageBreak/>
        <w:t>报告期是否存在任期内董事、监事离任和高级管理人员解聘的情况</w:t>
      </w:r>
    </w:p>
    <w:p w14:paraId="003FEF16"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14:paraId="2FC3CF8C" w14:textId="77777777" w:rsidR="00E72F0C" w:rsidRDefault="00107901" w:rsidP="00B444E7">
      <w:pPr>
        <w:pStyle w:val="a3"/>
        <w:spacing w:before="0" w:beforeAutospacing="0" w:after="0" w:afterAutospacing="0" w:line="360" w:lineRule="auto"/>
        <w:divId w:val="2118257517"/>
        <w:rPr>
          <w:rFonts w:hint="eastAsia"/>
          <w:sz w:val="18"/>
          <w:szCs w:val="18"/>
        </w:rPr>
      </w:pPr>
      <w:r>
        <w:rPr>
          <w:rFonts w:hint="eastAsia"/>
          <w:sz w:val="21"/>
          <w:szCs w:val="21"/>
        </w:rPr>
        <w:t>报告期内，公司时任副总经理钱宏燚先生因个人原因辞去副总经理职务。</w:t>
      </w:r>
    </w:p>
    <w:p w14:paraId="05FDFC51"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公司董事、监事、高级管理人员变动情况</w:t>
      </w:r>
    </w:p>
    <w:p w14:paraId="7BC551BD"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927"/>
        <w:gridCol w:w="1928"/>
        <w:gridCol w:w="1928"/>
        <w:gridCol w:w="1928"/>
        <w:gridCol w:w="1928"/>
      </w:tblGrid>
      <w:tr w:rsidR="00632E5B" w14:paraId="058954CE" w14:textId="77777777" w:rsidTr="00373F73">
        <w:trPr>
          <w:trHeight w:val="240"/>
        </w:trPr>
        <w:tc>
          <w:tcPr>
            <w:tcW w:w="1927" w:type="dxa"/>
            <w:shd w:val="clear" w:color="auto" w:fill="FFFFFF" w:themeFill="background1"/>
            <w:vAlign w:val="center"/>
          </w:tcPr>
          <w:p w14:paraId="5BDDC73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姓名</w:t>
            </w:r>
          </w:p>
        </w:tc>
        <w:tc>
          <w:tcPr>
            <w:tcW w:w="1928" w:type="dxa"/>
            <w:shd w:val="clear" w:color="auto" w:fill="FFFFFF" w:themeFill="background1"/>
            <w:vAlign w:val="center"/>
          </w:tcPr>
          <w:p w14:paraId="6630065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担任的职务</w:t>
            </w:r>
          </w:p>
        </w:tc>
        <w:tc>
          <w:tcPr>
            <w:tcW w:w="1928" w:type="dxa"/>
            <w:shd w:val="clear" w:color="auto" w:fill="FFFFFF" w:themeFill="background1"/>
            <w:vAlign w:val="center"/>
          </w:tcPr>
          <w:p w14:paraId="5B70C38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类型</w:t>
            </w:r>
          </w:p>
        </w:tc>
        <w:tc>
          <w:tcPr>
            <w:tcW w:w="1928" w:type="dxa"/>
            <w:shd w:val="clear" w:color="auto" w:fill="FFFFFF" w:themeFill="background1"/>
            <w:vAlign w:val="center"/>
          </w:tcPr>
          <w:p w14:paraId="100AC0A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日期</w:t>
            </w:r>
          </w:p>
        </w:tc>
        <w:tc>
          <w:tcPr>
            <w:tcW w:w="1928" w:type="dxa"/>
            <w:shd w:val="clear" w:color="auto" w:fill="FFFFFF" w:themeFill="background1"/>
            <w:vAlign w:val="center"/>
          </w:tcPr>
          <w:p w14:paraId="078E9F7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原因</w:t>
            </w:r>
          </w:p>
        </w:tc>
      </w:tr>
      <w:tr w:rsidR="00632E5B" w14:paraId="718B68A9" w14:textId="77777777" w:rsidTr="00373F73">
        <w:trPr>
          <w:trHeight w:val="240"/>
        </w:trPr>
        <w:tc>
          <w:tcPr>
            <w:tcW w:w="1927" w:type="dxa"/>
            <w:shd w:val="clear" w:color="auto" w:fill="FFFFFF" w:themeFill="background1"/>
            <w:vAlign w:val="center"/>
          </w:tcPr>
          <w:p w14:paraId="008726E0"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许加纳</w:t>
            </w:r>
          </w:p>
        </w:tc>
        <w:tc>
          <w:tcPr>
            <w:tcW w:w="1928" w:type="dxa"/>
            <w:shd w:val="clear" w:color="auto" w:fill="FFFFFF" w:themeFill="background1"/>
            <w:vAlign w:val="center"/>
          </w:tcPr>
          <w:p w14:paraId="5BEB1027"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董事长</w:t>
            </w:r>
          </w:p>
        </w:tc>
        <w:tc>
          <w:tcPr>
            <w:tcW w:w="1928" w:type="dxa"/>
            <w:shd w:val="clear" w:color="auto" w:fill="FFFFFF" w:themeFill="background1"/>
            <w:vAlign w:val="center"/>
          </w:tcPr>
          <w:p w14:paraId="63D78B86"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被选举</w:t>
            </w:r>
          </w:p>
        </w:tc>
        <w:tc>
          <w:tcPr>
            <w:tcW w:w="1928" w:type="dxa"/>
            <w:shd w:val="clear" w:color="auto" w:fill="FFFFFF" w:themeFill="background1"/>
            <w:vAlign w:val="center"/>
          </w:tcPr>
          <w:p w14:paraId="5F107370"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auto" w:fill="FFFFFF" w:themeFill="background1"/>
            <w:vAlign w:val="center"/>
          </w:tcPr>
          <w:p w14:paraId="15296EC6"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换届</w:t>
            </w:r>
          </w:p>
        </w:tc>
      </w:tr>
      <w:tr w:rsidR="00632E5B" w14:paraId="4D537E56" w14:textId="77777777" w:rsidTr="00373F73">
        <w:trPr>
          <w:trHeight w:val="240"/>
        </w:trPr>
        <w:tc>
          <w:tcPr>
            <w:tcW w:w="1927" w:type="dxa"/>
            <w:shd w:val="clear" w:color="auto" w:fill="FFFFFF" w:themeFill="background1"/>
            <w:vAlign w:val="center"/>
          </w:tcPr>
          <w:p w14:paraId="0C3B0738"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黄昶</w:t>
            </w:r>
          </w:p>
        </w:tc>
        <w:tc>
          <w:tcPr>
            <w:tcW w:w="1928" w:type="dxa"/>
            <w:shd w:val="clear" w:color="auto" w:fill="FFFFFF" w:themeFill="background1"/>
            <w:vAlign w:val="center"/>
          </w:tcPr>
          <w:p w14:paraId="4F90B181"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副董事长</w:t>
            </w:r>
          </w:p>
        </w:tc>
        <w:tc>
          <w:tcPr>
            <w:tcW w:w="1928" w:type="dxa"/>
            <w:shd w:val="clear" w:color="auto" w:fill="FFFFFF" w:themeFill="background1"/>
            <w:vAlign w:val="center"/>
          </w:tcPr>
          <w:p w14:paraId="7CF68A9C"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被选举</w:t>
            </w:r>
          </w:p>
        </w:tc>
        <w:tc>
          <w:tcPr>
            <w:tcW w:w="1928" w:type="dxa"/>
            <w:shd w:val="clear" w:color="auto" w:fill="FFFFFF" w:themeFill="background1"/>
            <w:vAlign w:val="center"/>
          </w:tcPr>
          <w:p w14:paraId="19308054"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auto" w:fill="FFFFFF" w:themeFill="background1"/>
            <w:vAlign w:val="center"/>
          </w:tcPr>
          <w:p w14:paraId="74B7E184"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换届</w:t>
            </w:r>
          </w:p>
        </w:tc>
      </w:tr>
      <w:tr w:rsidR="00632E5B" w14:paraId="62933B2B" w14:textId="77777777" w:rsidTr="00373F73">
        <w:trPr>
          <w:trHeight w:val="240"/>
        </w:trPr>
        <w:tc>
          <w:tcPr>
            <w:tcW w:w="1927" w:type="dxa"/>
            <w:shd w:val="clear" w:color="auto" w:fill="FFFFFF" w:themeFill="background1"/>
            <w:vAlign w:val="center"/>
          </w:tcPr>
          <w:p w14:paraId="17228CF9"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林茂</w:t>
            </w:r>
          </w:p>
        </w:tc>
        <w:tc>
          <w:tcPr>
            <w:tcW w:w="1928" w:type="dxa"/>
            <w:shd w:val="clear" w:color="auto" w:fill="FFFFFF" w:themeFill="background1"/>
            <w:vAlign w:val="center"/>
          </w:tcPr>
          <w:p w14:paraId="2386FD3B"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董事</w:t>
            </w:r>
          </w:p>
        </w:tc>
        <w:tc>
          <w:tcPr>
            <w:tcW w:w="1928" w:type="dxa"/>
            <w:shd w:val="clear" w:color="auto" w:fill="FFFFFF" w:themeFill="background1"/>
            <w:vAlign w:val="center"/>
          </w:tcPr>
          <w:p w14:paraId="0CAD92EF"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被选举</w:t>
            </w:r>
          </w:p>
        </w:tc>
        <w:tc>
          <w:tcPr>
            <w:tcW w:w="1928" w:type="dxa"/>
            <w:shd w:val="clear" w:color="auto" w:fill="FFFFFF" w:themeFill="background1"/>
            <w:vAlign w:val="center"/>
          </w:tcPr>
          <w:p w14:paraId="79EA8DC6"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auto" w:fill="FFFFFF" w:themeFill="background1"/>
            <w:vAlign w:val="center"/>
          </w:tcPr>
          <w:p w14:paraId="364DD28D"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换届</w:t>
            </w:r>
          </w:p>
        </w:tc>
      </w:tr>
      <w:tr w:rsidR="00632E5B" w14:paraId="1EEEB26C" w14:textId="77777777" w:rsidTr="00373F73">
        <w:trPr>
          <w:trHeight w:val="240"/>
        </w:trPr>
        <w:tc>
          <w:tcPr>
            <w:tcW w:w="1927" w:type="dxa"/>
            <w:shd w:val="clear" w:color="auto" w:fill="FFFFFF" w:themeFill="background1"/>
            <w:vAlign w:val="center"/>
          </w:tcPr>
          <w:p w14:paraId="4551D98E"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郑晓洁</w:t>
            </w:r>
          </w:p>
        </w:tc>
        <w:tc>
          <w:tcPr>
            <w:tcW w:w="1928" w:type="dxa"/>
            <w:shd w:val="clear" w:color="auto" w:fill="FFFFFF" w:themeFill="background1"/>
            <w:vAlign w:val="center"/>
          </w:tcPr>
          <w:p w14:paraId="7013FCDE"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董事、总经理</w:t>
            </w:r>
          </w:p>
        </w:tc>
        <w:tc>
          <w:tcPr>
            <w:tcW w:w="1928" w:type="dxa"/>
            <w:shd w:val="clear" w:color="auto" w:fill="FFFFFF" w:themeFill="background1"/>
            <w:vAlign w:val="center"/>
          </w:tcPr>
          <w:p w14:paraId="49D8BA26"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被选举</w:t>
            </w:r>
          </w:p>
        </w:tc>
        <w:tc>
          <w:tcPr>
            <w:tcW w:w="1928" w:type="dxa"/>
            <w:shd w:val="clear" w:color="auto" w:fill="FFFFFF" w:themeFill="background1"/>
            <w:vAlign w:val="center"/>
          </w:tcPr>
          <w:p w14:paraId="1A6A140E"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auto" w:fill="FFFFFF" w:themeFill="background1"/>
            <w:vAlign w:val="center"/>
          </w:tcPr>
          <w:p w14:paraId="7290252A"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换届</w:t>
            </w:r>
          </w:p>
        </w:tc>
      </w:tr>
      <w:tr w:rsidR="00632E5B" w14:paraId="771AFDFA" w14:textId="77777777" w:rsidTr="00373F73">
        <w:trPr>
          <w:trHeight w:val="240"/>
        </w:trPr>
        <w:tc>
          <w:tcPr>
            <w:tcW w:w="1927" w:type="dxa"/>
            <w:shd w:val="clear" w:color="auto" w:fill="FFFFFF" w:themeFill="background1"/>
            <w:vAlign w:val="center"/>
          </w:tcPr>
          <w:p w14:paraId="463F9DF2"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阎杰</w:t>
            </w:r>
          </w:p>
        </w:tc>
        <w:tc>
          <w:tcPr>
            <w:tcW w:w="1928" w:type="dxa"/>
            <w:shd w:val="clear" w:color="auto" w:fill="FFFFFF" w:themeFill="background1"/>
            <w:vAlign w:val="center"/>
          </w:tcPr>
          <w:p w14:paraId="119B160C"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董事</w:t>
            </w:r>
          </w:p>
        </w:tc>
        <w:tc>
          <w:tcPr>
            <w:tcW w:w="1928" w:type="dxa"/>
            <w:shd w:val="clear" w:color="auto" w:fill="FFFFFF" w:themeFill="background1"/>
            <w:vAlign w:val="center"/>
          </w:tcPr>
          <w:p w14:paraId="05A988A1"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被选举</w:t>
            </w:r>
          </w:p>
        </w:tc>
        <w:tc>
          <w:tcPr>
            <w:tcW w:w="1928" w:type="dxa"/>
            <w:shd w:val="clear" w:color="auto" w:fill="FFFFFF" w:themeFill="background1"/>
            <w:vAlign w:val="center"/>
          </w:tcPr>
          <w:p w14:paraId="53EB39CA"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auto" w:fill="FFFFFF" w:themeFill="background1"/>
            <w:vAlign w:val="center"/>
          </w:tcPr>
          <w:p w14:paraId="0214E828"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换届</w:t>
            </w:r>
          </w:p>
        </w:tc>
      </w:tr>
      <w:tr w:rsidR="00632E5B" w14:paraId="21CF20E9" w14:textId="77777777" w:rsidTr="00373F73">
        <w:trPr>
          <w:trHeight w:val="240"/>
        </w:trPr>
        <w:tc>
          <w:tcPr>
            <w:tcW w:w="1927" w:type="dxa"/>
            <w:shd w:val="clear" w:color="auto" w:fill="FFFFFF" w:themeFill="background1"/>
            <w:vAlign w:val="center"/>
          </w:tcPr>
          <w:p w14:paraId="618E498B"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李梦璐（待生效）</w:t>
            </w:r>
          </w:p>
        </w:tc>
        <w:tc>
          <w:tcPr>
            <w:tcW w:w="1928" w:type="dxa"/>
            <w:shd w:val="clear" w:color="auto" w:fill="FFFFFF" w:themeFill="background1"/>
            <w:vAlign w:val="center"/>
          </w:tcPr>
          <w:p w14:paraId="2AA855A7"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职工董事</w:t>
            </w:r>
          </w:p>
        </w:tc>
        <w:tc>
          <w:tcPr>
            <w:tcW w:w="1928" w:type="dxa"/>
            <w:shd w:val="clear" w:color="auto" w:fill="FFFFFF" w:themeFill="background1"/>
            <w:vAlign w:val="center"/>
          </w:tcPr>
          <w:p w14:paraId="16EAC0B0"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被选举</w:t>
            </w:r>
          </w:p>
        </w:tc>
        <w:tc>
          <w:tcPr>
            <w:tcW w:w="1928" w:type="dxa"/>
            <w:shd w:val="clear" w:color="auto" w:fill="FFFFFF" w:themeFill="background1"/>
            <w:vAlign w:val="center"/>
          </w:tcPr>
          <w:p w14:paraId="46EECB52"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auto" w:fill="FFFFFF" w:themeFill="background1"/>
            <w:vAlign w:val="center"/>
          </w:tcPr>
          <w:p w14:paraId="51FAE925"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换届</w:t>
            </w:r>
          </w:p>
        </w:tc>
      </w:tr>
      <w:tr w:rsidR="00632E5B" w14:paraId="1B4B17CC" w14:textId="77777777" w:rsidTr="00373F73">
        <w:trPr>
          <w:trHeight w:val="240"/>
        </w:trPr>
        <w:tc>
          <w:tcPr>
            <w:tcW w:w="1927" w:type="dxa"/>
            <w:shd w:val="clear" w:color="auto" w:fill="FFFFFF" w:themeFill="background1"/>
            <w:vAlign w:val="center"/>
          </w:tcPr>
          <w:p w14:paraId="222E56C6"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詹有义</w:t>
            </w:r>
          </w:p>
        </w:tc>
        <w:tc>
          <w:tcPr>
            <w:tcW w:w="1928" w:type="dxa"/>
            <w:shd w:val="clear" w:color="auto" w:fill="FFFFFF" w:themeFill="background1"/>
            <w:vAlign w:val="center"/>
          </w:tcPr>
          <w:p w14:paraId="66C3B262"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独立董事</w:t>
            </w:r>
          </w:p>
        </w:tc>
        <w:tc>
          <w:tcPr>
            <w:tcW w:w="1928" w:type="dxa"/>
            <w:shd w:val="clear" w:color="auto" w:fill="FFFFFF" w:themeFill="background1"/>
            <w:vAlign w:val="center"/>
          </w:tcPr>
          <w:p w14:paraId="7C9F4C3D"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被选举</w:t>
            </w:r>
          </w:p>
        </w:tc>
        <w:tc>
          <w:tcPr>
            <w:tcW w:w="1928" w:type="dxa"/>
            <w:shd w:val="clear" w:color="auto" w:fill="FFFFFF" w:themeFill="background1"/>
            <w:vAlign w:val="center"/>
          </w:tcPr>
          <w:p w14:paraId="063CBCEB"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auto" w:fill="FFFFFF" w:themeFill="background1"/>
            <w:vAlign w:val="center"/>
          </w:tcPr>
          <w:p w14:paraId="6328477B"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换届</w:t>
            </w:r>
          </w:p>
        </w:tc>
      </w:tr>
      <w:tr w:rsidR="00632E5B" w14:paraId="18880307" w14:textId="77777777" w:rsidTr="00373F73">
        <w:trPr>
          <w:trHeight w:val="240"/>
        </w:trPr>
        <w:tc>
          <w:tcPr>
            <w:tcW w:w="1927" w:type="dxa"/>
            <w:shd w:val="clear" w:color="auto" w:fill="FFFFFF" w:themeFill="background1"/>
            <w:vAlign w:val="center"/>
          </w:tcPr>
          <w:p w14:paraId="2ADCA5FB"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陈朝琳</w:t>
            </w:r>
          </w:p>
        </w:tc>
        <w:tc>
          <w:tcPr>
            <w:tcW w:w="1928" w:type="dxa"/>
            <w:shd w:val="clear" w:color="auto" w:fill="FFFFFF" w:themeFill="background1"/>
            <w:vAlign w:val="center"/>
          </w:tcPr>
          <w:p w14:paraId="6DD862DA"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独立董事</w:t>
            </w:r>
          </w:p>
        </w:tc>
        <w:tc>
          <w:tcPr>
            <w:tcW w:w="1928" w:type="dxa"/>
            <w:shd w:val="clear" w:color="auto" w:fill="FFFFFF" w:themeFill="background1"/>
            <w:vAlign w:val="center"/>
          </w:tcPr>
          <w:p w14:paraId="215528C7"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被选举</w:t>
            </w:r>
          </w:p>
        </w:tc>
        <w:tc>
          <w:tcPr>
            <w:tcW w:w="1928" w:type="dxa"/>
            <w:shd w:val="clear" w:color="auto" w:fill="FFFFFF" w:themeFill="background1"/>
            <w:vAlign w:val="center"/>
          </w:tcPr>
          <w:p w14:paraId="5B0A1D34"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auto" w:fill="FFFFFF" w:themeFill="background1"/>
            <w:vAlign w:val="center"/>
          </w:tcPr>
          <w:p w14:paraId="2E0F3599"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换届</w:t>
            </w:r>
          </w:p>
        </w:tc>
      </w:tr>
      <w:tr w:rsidR="00632E5B" w14:paraId="6A398FAB" w14:textId="77777777" w:rsidTr="00373F73">
        <w:trPr>
          <w:trHeight w:val="240"/>
        </w:trPr>
        <w:tc>
          <w:tcPr>
            <w:tcW w:w="1927" w:type="dxa"/>
            <w:shd w:val="clear" w:color="auto" w:fill="FFFFFF" w:themeFill="background1"/>
            <w:vAlign w:val="center"/>
          </w:tcPr>
          <w:p w14:paraId="34E8F238"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郑金雄</w:t>
            </w:r>
          </w:p>
        </w:tc>
        <w:tc>
          <w:tcPr>
            <w:tcW w:w="1928" w:type="dxa"/>
            <w:shd w:val="clear" w:color="auto" w:fill="FFFFFF" w:themeFill="background1"/>
            <w:vAlign w:val="center"/>
          </w:tcPr>
          <w:p w14:paraId="67A11D8A"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独立董事</w:t>
            </w:r>
          </w:p>
        </w:tc>
        <w:tc>
          <w:tcPr>
            <w:tcW w:w="1928" w:type="dxa"/>
            <w:shd w:val="clear" w:color="auto" w:fill="FFFFFF" w:themeFill="background1"/>
            <w:vAlign w:val="center"/>
          </w:tcPr>
          <w:p w14:paraId="2AF7371D"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被选举</w:t>
            </w:r>
          </w:p>
        </w:tc>
        <w:tc>
          <w:tcPr>
            <w:tcW w:w="1928" w:type="dxa"/>
            <w:shd w:val="clear" w:color="auto" w:fill="FFFFFF" w:themeFill="background1"/>
            <w:vAlign w:val="center"/>
          </w:tcPr>
          <w:p w14:paraId="690A104D"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auto" w:fill="FFFFFF" w:themeFill="background1"/>
            <w:vAlign w:val="center"/>
          </w:tcPr>
          <w:p w14:paraId="42203FBA"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换届</w:t>
            </w:r>
          </w:p>
        </w:tc>
      </w:tr>
      <w:tr w:rsidR="00632E5B" w14:paraId="0D4E043F" w14:textId="77777777" w:rsidTr="00373F73">
        <w:trPr>
          <w:trHeight w:val="240"/>
        </w:trPr>
        <w:tc>
          <w:tcPr>
            <w:tcW w:w="1927" w:type="dxa"/>
            <w:shd w:val="clear" w:color="auto" w:fill="FFFFFF" w:themeFill="background1"/>
            <w:vAlign w:val="center"/>
          </w:tcPr>
          <w:p w14:paraId="3D498FCD"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陆健豪</w:t>
            </w:r>
          </w:p>
        </w:tc>
        <w:tc>
          <w:tcPr>
            <w:tcW w:w="1928" w:type="dxa"/>
            <w:shd w:val="clear" w:color="auto" w:fill="FFFFFF" w:themeFill="background1"/>
            <w:vAlign w:val="center"/>
          </w:tcPr>
          <w:p w14:paraId="4A1E8EE7"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监事会主席</w:t>
            </w:r>
          </w:p>
        </w:tc>
        <w:tc>
          <w:tcPr>
            <w:tcW w:w="1928" w:type="dxa"/>
            <w:shd w:val="clear" w:color="auto" w:fill="FFFFFF" w:themeFill="background1"/>
            <w:vAlign w:val="center"/>
          </w:tcPr>
          <w:p w14:paraId="115D0F2F"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被选举</w:t>
            </w:r>
          </w:p>
        </w:tc>
        <w:tc>
          <w:tcPr>
            <w:tcW w:w="1928" w:type="dxa"/>
            <w:shd w:val="clear" w:color="auto" w:fill="FFFFFF" w:themeFill="background1"/>
            <w:vAlign w:val="center"/>
          </w:tcPr>
          <w:p w14:paraId="3A1C3AB1"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2025年04月08日</w:t>
            </w:r>
          </w:p>
        </w:tc>
        <w:tc>
          <w:tcPr>
            <w:tcW w:w="1928" w:type="dxa"/>
            <w:shd w:val="clear" w:color="auto" w:fill="FFFFFF" w:themeFill="background1"/>
            <w:vAlign w:val="center"/>
          </w:tcPr>
          <w:p w14:paraId="6804701D"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换届</w:t>
            </w:r>
          </w:p>
        </w:tc>
      </w:tr>
      <w:tr w:rsidR="00632E5B" w14:paraId="2CDF6970" w14:textId="77777777" w:rsidTr="00373F73">
        <w:trPr>
          <w:trHeight w:val="240"/>
        </w:trPr>
        <w:tc>
          <w:tcPr>
            <w:tcW w:w="1927" w:type="dxa"/>
            <w:shd w:val="clear" w:color="auto" w:fill="FFFFFF" w:themeFill="background1"/>
            <w:vAlign w:val="center"/>
          </w:tcPr>
          <w:p w14:paraId="05059418"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刘雨欢</w:t>
            </w:r>
          </w:p>
        </w:tc>
        <w:tc>
          <w:tcPr>
            <w:tcW w:w="1928" w:type="dxa"/>
            <w:shd w:val="clear" w:color="auto" w:fill="FFFFFF" w:themeFill="background1"/>
            <w:vAlign w:val="center"/>
          </w:tcPr>
          <w:p w14:paraId="420F20D4"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监事</w:t>
            </w:r>
          </w:p>
        </w:tc>
        <w:tc>
          <w:tcPr>
            <w:tcW w:w="1928" w:type="dxa"/>
            <w:shd w:val="clear" w:color="auto" w:fill="FFFFFF" w:themeFill="background1"/>
            <w:vAlign w:val="center"/>
          </w:tcPr>
          <w:p w14:paraId="596B4320"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被选举</w:t>
            </w:r>
          </w:p>
        </w:tc>
        <w:tc>
          <w:tcPr>
            <w:tcW w:w="1928" w:type="dxa"/>
            <w:shd w:val="clear" w:color="auto" w:fill="FFFFFF" w:themeFill="background1"/>
            <w:vAlign w:val="center"/>
          </w:tcPr>
          <w:p w14:paraId="02FB01DD"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2025年04月08日</w:t>
            </w:r>
          </w:p>
        </w:tc>
        <w:tc>
          <w:tcPr>
            <w:tcW w:w="1928" w:type="dxa"/>
            <w:shd w:val="clear" w:color="auto" w:fill="FFFFFF" w:themeFill="background1"/>
            <w:vAlign w:val="center"/>
          </w:tcPr>
          <w:p w14:paraId="72832997"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换届</w:t>
            </w:r>
          </w:p>
        </w:tc>
      </w:tr>
      <w:tr w:rsidR="00632E5B" w14:paraId="6E09D10F" w14:textId="77777777" w:rsidTr="00373F73">
        <w:trPr>
          <w:trHeight w:val="240"/>
        </w:trPr>
        <w:tc>
          <w:tcPr>
            <w:tcW w:w="1927" w:type="dxa"/>
            <w:shd w:val="clear" w:color="auto" w:fill="FFFFFF" w:themeFill="background1"/>
            <w:vAlign w:val="center"/>
          </w:tcPr>
          <w:p w14:paraId="11DCC788"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黄雪萍</w:t>
            </w:r>
          </w:p>
        </w:tc>
        <w:tc>
          <w:tcPr>
            <w:tcW w:w="1928" w:type="dxa"/>
            <w:shd w:val="clear" w:color="auto" w:fill="FFFFFF" w:themeFill="background1"/>
            <w:vAlign w:val="center"/>
          </w:tcPr>
          <w:p w14:paraId="5DDF57B7"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职工监事</w:t>
            </w:r>
          </w:p>
        </w:tc>
        <w:tc>
          <w:tcPr>
            <w:tcW w:w="1928" w:type="dxa"/>
            <w:shd w:val="clear" w:color="auto" w:fill="FFFFFF" w:themeFill="background1"/>
            <w:vAlign w:val="center"/>
          </w:tcPr>
          <w:p w14:paraId="5C34E0DE"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被选举</w:t>
            </w:r>
          </w:p>
        </w:tc>
        <w:tc>
          <w:tcPr>
            <w:tcW w:w="1928" w:type="dxa"/>
            <w:shd w:val="clear" w:color="auto" w:fill="FFFFFF" w:themeFill="background1"/>
            <w:vAlign w:val="center"/>
          </w:tcPr>
          <w:p w14:paraId="73A3993C"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2025年04月08日</w:t>
            </w:r>
          </w:p>
        </w:tc>
        <w:tc>
          <w:tcPr>
            <w:tcW w:w="1928" w:type="dxa"/>
            <w:shd w:val="clear" w:color="auto" w:fill="FFFFFF" w:themeFill="background1"/>
            <w:vAlign w:val="center"/>
          </w:tcPr>
          <w:p w14:paraId="663A84E9"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换届</w:t>
            </w:r>
          </w:p>
        </w:tc>
      </w:tr>
      <w:tr w:rsidR="00632E5B" w14:paraId="38EEADC1" w14:textId="77777777" w:rsidTr="00373F73">
        <w:trPr>
          <w:trHeight w:val="240"/>
        </w:trPr>
        <w:tc>
          <w:tcPr>
            <w:tcW w:w="1927" w:type="dxa"/>
            <w:shd w:val="clear" w:color="auto" w:fill="FFFFFF" w:themeFill="background1"/>
            <w:vAlign w:val="center"/>
          </w:tcPr>
          <w:p w14:paraId="09A6144E"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陈庆辉</w:t>
            </w:r>
          </w:p>
        </w:tc>
        <w:tc>
          <w:tcPr>
            <w:tcW w:w="1928" w:type="dxa"/>
            <w:shd w:val="clear" w:color="auto" w:fill="FFFFFF" w:themeFill="background1"/>
            <w:vAlign w:val="center"/>
          </w:tcPr>
          <w:p w14:paraId="43659E85"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副总经理、人力资源总监</w:t>
            </w:r>
          </w:p>
        </w:tc>
        <w:tc>
          <w:tcPr>
            <w:tcW w:w="1928" w:type="dxa"/>
            <w:shd w:val="clear" w:color="auto" w:fill="FFFFFF" w:themeFill="background1"/>
            <w:vAlign w:val="center"/>
          </w:tcPr>
          <w:p w14:paraId="2C7F3846"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聘任</w:t>
            </w:r>
          </w:p>
        </w:tc>
        <w:tc>
          <w:tcPr>
            <w:tcW w:w="1928" w:type="dxa"/>
            <w:shd w:val="clear" w:color="auto" w:fill="FFFFFF" w:themeFill="background1"/>
            <w:vAlign w:val="center"/>
          </w:tcPr>
          <w:p w14:paraId="279E94BF"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auto" w:fill="FFFFFF" w:themeFill="background1"/>
            <w:vAlign w:val="center"/>
          </w:tcPr>
          <w:p w14:paraId="09BD2986"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换届</w:t>
            </w:r>
          </w:p>
        </w:tc>
      </w:tr>
      <w:tr w:rsidR="00632E5B" w14:paraId="56407263" w14:textId="77777777" w:rsidTr="00373F73">
        <w:trPr>
          <w:trHeight w:val="240"/>
        </w:trPr>
        <w:tc>
          <w:tcPr>
            <w:tcW w:w="1927" w:type="dxa"/>
            <w:shd w:val="clear" w:color="auto" w:fill="FFFFFF" w:themeFill="background1"/>
            <w:vAlign w:val="center"/>
          </w:tcPr>
          <w:p w14:paraId="378CA82B"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廖嘉琦</w:t>
            </w:r>
          </w:p>
        </w:tc>
        <w:tc>
          <w:tcPr>
            <w:tcW w:w="1928" w:type="dxa"/>
            <w:shd w:val="clear" w:color="auto" w:fill="FFFFFF" w:themeFill="background1"/>
            <w:vAlign w:val="center"/>
          </w:tcPr>
          <w:p w14:paraId="2A1C5868"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财务总监、董事会秘书</w:t>
            </w:r>
          </w:p>
        </w:tc>
        <w:tc>
          <w:tcPr>
            <w:tcW w:w="1928" w:type="dxa"/>
            <w:shd w:val="clear" w:color="auto" w:fill="FFFFFF" w:themeFill="background1"/>
            <w:vAlign w:val="center"/>
          </w:tcPr>
          <w:p w14:paraId="1C785F02"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聘任</w:t>
            </w:r>
          </w:p>
        </w:tc>
        <w:tc>
          <w:tcPr>
            <w:tcW w:w="1928" w:type="dxa"/>
            <w:shd w:val="clear" w:color="auto" w:fill="FFFFFF" w:themeFill="background1"/>
            <w:vAlign w:val="center"/>
          </w:tcPr>
          <w:p w14:paraId="50E17F4E"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auto" w:fill="FFFFFF" w:themeFill="background1"/>
            <w:vAlign w:val="center"/>
          </w:tcPr>
          <w:p w14:paraId="75DDBA49"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换届</w:t>
            </w:r>
          </w:p>
        </w:tc>
      </w:tr>
      <w:tr w:rsidR="00632E5B" w14:paraId="15D2BA79" w14:textId="77777777" w:rsidTr="00373F73">
        <w:trPr>
          <w:trHeight w:val="240"/>
        </w:trPr>
        <w:tc>
          <w:tcPr>
            <w:tcW w:w="1927" w:type="dxa"/>
            <w:shd w:val="clear" w:color="auto" w:fill="FFFFFF" w:themeFill="background1"/>
            <w:vAlign w:val="center"/>
          </w:tcPr>
          <w:p w14:paraId="01712127"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王伟峰</w:t>
            </w:r>
          </w:p>
        </w:tc>
        <w:tc>
          <w:tcPr>
            <w:tcW w:w="1928" w:type="dxa"/>
            <w:shd w:val="clear" w:color="auto" w:fill="FFFFFF" w:themeFill="background1"/>
            <w:vAlign w:val="center"/>
          </w:tcPr>
          <w:p w14:paraId="6C1178D5"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时任董事长、总经理</w:t>
            </w:r>
          </w:p>
        </w:tc>
        <w:tc>
          <w:tcPr>
            <w:tcW w:w="1928" w:type="dxa"/>
            <w:shd w:val="clear" w:color="auto" w:fill="FFFFFF" w:themeFill="background1"/>
            <w:vAlign w:val="center"/>
          </w:tcPr>
          <w:p w14:paraId="75556EE6"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离任</w:t>
            </w:r>
          </w:p>
        </w:tc>
        <w:tc>
          <w:tcPr>
            <w:tcW w:w="1928" w:type="dxa"/>
            <w:shd w:val="clear" w:color="auto" w:fill="FFFFFF" w:themeFill="background1"/>
            <w:vAlign w:val="center"/>
          </w:tcPr>
          <w:p w14:paraId="698C6C1B"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auto" w:fill="FFFFFF" w:themeFill="background1"/>
            <w:vAlign w:val="center"/>
          </w:tcPr>
          <w:p w14:paraId="4B1C4011"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换届</w:t>
            </w:r>
          </w:p>
        </w:tc>
      </w:tr>
      <w:tr w:rsidR="00632E5B" w14:paraId="257D68CE" w14:textId="77777777" w:rsidTr="00373F73">
        <w:trPr>
          <w:trHeight w:val="240"/>
        </w:trPr>
        <w:tc>
          <w:tcPr>
            <w:tcW w:w="1927" w:type="dxa"/>
            <w:shd w:val="clear" w:color="auto" w:fill="FFFFFF" w:themeFill="background1"/>
            <w:vAlign w:val="center"/>
          </w:tcPr>
          <w:p w14:paraId="504875D1"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陈辉</w:t>
            </w:r>
          </w:p>
        </w:tc>
        <w:tc>
          <w:tcPr>
            <w:tcW w:w="1928" w:type="dxa"/>
            <w:shd w:val="clear" w:color="auto" w:fill="FFFFFF" w:themeFill="background1"/>
            <w:vAlign w:val="center"/>
          </w:tcPr>
          <w:p w14:paraId="06DCC62B"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时任董事</w:t>
            </w:r>
          </w:p>
        </w:tc>
        <w:tc>
          <w:tcPr>
            <w:tcW w:w="1928" w:type="dxa"/>
            <w:shd w:val="clear" w:color="auto" w:fill="FFFFFF" w:themeFill="background1"/>
            <w:vAlign w:val="center"/>
          </w:tcPr>
          <w:p w14:paraId="5EAB2108"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离任</w:t>
            </w:r>
          </w:p>
        </w:tc>
        <w:tc>
          <w:tcPr>
            <w:tcW w:w="1928" w:type="dxa"/>
            <w:shd w:val="clear" w:color="auto" w:fill="FFFFFF" w:themeFill="background1"/>
            <w:vAlign w:val="center"/>
          </w:tcPr>
          <w:p w14:paraId="661F1FB2"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auto" w:fill="FFFFFF" w:themeFill="background1"/>
            <w:vAlign w:val="center"/>
          </w:tcPr>
          <w:p w14:paraId="530FF02A"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换届</w:t>
            </w:r>
          </w:p>
        </w:tc>
      </w:tr>
      <w:tr w:rsidR="00632E5B" w14:paraId="3E831062" w14:textId="77777777" w:rsidTr="00373F73">
        <w:trPr>
          <w:trHeight w:val="240"/>
        </w:trPr>
        <w:tc>
          <w:tcPr>
            <w:tcW w:w="1927" w:type="dxa"/>
            <w:shd w:val="clear" w:color="auto" w:fill="FFFFFF" w:themeFill="background1"/>
            <w:vAlign w:val="center"/>
          </w:tcPr>
          <w:p w14:paraId="572A6FBD"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陈波瀚</w:t>
            </w:r>
          </w:p>
        </w:tc>
        <w:tc>
          <w:tcPr>
            <w:tcW w:w="1928" w:type="dxa"/>
            <w:shd w:val="clear" w:color="auto" w:fill="FFFFFF" w:themeFill="background1"/>
            <w:vAlign w:val="center"/>
          </w:tcPr>
          <w:p w14:paraId="120D9BC0"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时任董事</w:t>
            </w:r>
          </w:p>
        </w:tc>
        <w:tc>
          <w:tcPr>
            <w:tcW w:w="1928" w:type="dxa"/>
            <w:shd w:val="clear" w:color="auto" w:fill="FFFFFF" w:themeFill="background1"/>
            <w:vAlign w:val="center"/>
          </w:tcPr>
          <w:p w14:paraId="2F1CD26B"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离任</w:t>
            </w:r>
          </w:p>
        </w:tc>
        <w:tc>
          <w:tcPr>
            <w:tcW w:w="1928" w:type="dxa"/>
            <w:shd w:val="clear" w:color="auto" w:fill="FFFFFF" w:themeFill="background1"/>
            <w:vAlign w:val="center"/>
          </w:tcPr>
          <w:p w14:paraId="7FC11926"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auto" w:fill="FFFFFF" w:themeFill="background1"/>
            <w:vAlign w:val="center"/>
          </w:tcPr>
          <w:p w14:paraId="2DEED58B"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换届</w:t>
            </w:r>
          </w:p>
        </w:tc>
      </w:tr>
      <w:tr w:rsidR="00632E5B" w14:paraId="7DE5E9CE" w14:textId="77777777" w:rsidTr="00373F73">
        <w:trPr>
          <w:trHeight w:val="240"/>
        </w:trPr>
        <w:tc>
          <w:tcPr>
            <w:tcW w:w="1927" w:type="dxa"/>
            <w:shd w:val="clear" w:color="auto" w:fill="FFFFFF" w:themeFill="background1"/>
            <w:vAlign w:val="center"/>
          </w:tcPr>
          <w:p w14:paraId="4518661A"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陈昆</w:t>
            </w:r>
          </w:p>
        </w:tc>
        <w:tc>
          <w:tcPr>
            <w:tcW w:w="1928" w:type="dxa"/>
            <w:shd w:val="clear" w:color="auto" w:fill="FFFFFF" w:themeFill="background1"/>
            <w:vAlign w:val="center"/>
          </w:tcPr>
          <w:p w14:paraId="5411DFDE"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时任董事</w:t>
            </w:r>
          </w:p>
        </w:tc>
        <w:tc>
          <w:tcPr>
            <w:tcW w:w="1928" w:type="dxa"/>
            <w:shd w:val="clear" w:color="auto" w:fill="FFFFFF" w:themeFill="background1"/>
            <w:vAlign w:val="center"/>
          </w:tcPr>
          <w:p w14:paraId="4CC61B1E"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离任</w:t>
            </w:r>
          </w:p>
        </w:tc>
        <w:tc>
          <w:tcPr>
            <w:tcW w:w="1928" w:type="dxa"/>
            <w:shd w:val="clear" w:color="auto" w:fill="FFFFFF" w:themeFill="background1"/>
            <w:vAlign w:val="center"/>
          </w:tcPr>
          <w:p w14:paraId="670B3513"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auto" w:fill="FFFFFF" w:themeFill="background1"/>
            <w:vAlign w:val="center"/>
          </w:tcPr>
          <w:p w14:paraId="33FFF850"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换届</w:t>
            </w:r>
          </w:p>
        </w:tc>
      </w:tr>
      <w:tr w:rsidR="00632E5B" w14:paraId="5A710151" w14:textId="77777777" w:rsidTr="00373F73">
        <w:trPr>
          <w:trHeight w:val="240"/>
        </w:trPr>
        <w:tc>
          <w:tcPr>
            <w:tcW w:w="1927" w:type="dxa"/>
            <w:shd w:val="clear" w:color="auto" w:fill="FFFFFF" w:themeFill="background1"/>
            <w:vAlign w:val="center"/>
          </w:tcPr>
          <w:p w14:paraId="78476E62"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程娴</w:t>
            </w:r>
          </w:p>
        </w:tc>
        <w:tc>
          <w:tcPr>
            <w:tcW w:w="1928" w:type="dxa"/>
            <w:shd w:val="clear" w:color="auto" w:fill="FFFFFF" w:themeFill="background1"/>
            <w:vAlign w:val="center"/>
          </w:tcPr>
          <w:p w14:paraId="67628AD4"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时任董事、董事会秘书、副总经理</w:t>
            </w:r>
          </w:p>
        </w:tc>
        <w:tc>
          <w:tcPr>
            <w:tcW w:w="1928" w:type="dxa"/>
            <w:shd w:val="clear" w:color="auto" w:fill="FFFFFF" w:themeFill="background1"/>
            <w:vAlign w:val="center"/>
          </w:tcPr>
          <w:p w14:paraId="4A74D024"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离任</w:t>
            </w:r>
          </w:p>
        </w:tc>
        <w:tc>
          <w:tcPr>
            <w:tcW w:w="1928" w:type="dxa"/>
            <w:shd w:val="clear" w:color="auto" w:fill="FFFFFF" w:themeFill="background1"/>
            <w:vAlign w:val="center"/>
          </w:tcPr>
          <w:p w14:paraId="7E61C8D8"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auto" w:fill="FFFFFF" w:themeFill="background1"/>
            <w:vAlign w:val="center"/>
          </w:tcPr>
          <w:p w14:paraId="08630986"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换届</w:t>
            </w:r>
          </w:p>
        </w:tc>
      </w:tr>
      <w:tr w:rsidR="00632E5B" w14:paraId="1A8738C0" w14:textId="77777777" w:rsidTr="00373F73">
        <w:trPr>
          <w:trHeight w:val="240"/>
        </w:trPr>
        <w:tc>
          <w:tcPr>
            <w:tcW w:w="1927" w:type="dxa"/>
            <w:shd w:val="clear" w:color="auto" w:fill="FFFFFF" w:themeFill="background1"/>
            <w:vAlign w:val="center"/>
          </w:tcPr>
          <w:p w14:paraId="3C4C5DA3"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蒋悟真</w:t>
            </w:r>
          </w:p>
        </w:tc>
        <w:tc>
          <w:tcPr>
            <w:tcW w:w="1928" w:type="dxa"/>
            <w:shd w:val="clear" w:color="auto" w:fill="FFFFFF" w:themeFill="background1"/>
            <w:vAlign w:val="center"/>
          </w:tcPr>
          <w:p w14:paraId="58B10E8E"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时任独立董事</w:t>
            </w:r>
          </w:p>
        </w:tc>
        <w:tc>
          <w:tcPr>
            <w:tcW w:w="1928" w:type="dxa"/>
            <w:shd w:val="clear" w:color="auto" w:fill="FFFFFF" w:themeFill="background1"/>
            <w:vAlign w:val="center"/>
          </w:tcPr>
          <w:p w14:paraId="1B883D59"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离任</w:t>
            </w:r>
          </w:p>
        </w:tc>
        <w:tc>
          <w:tcPr>
            <w:tcW w:w="1928" w:type="dxa"/>
            <w:shd w:val="clear" w:color="auto" w:fill="FFFFFF" w:themeFill="background1"/>
            <w:vAlign w:val="center"/>
          </w:tcPr>
          <w:p w14:paraId="54A6380D"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auto" w:fill="FFFFFF" w:themeFill="background1"/>
            <w:vAlign w:val="center"/>
          </w:tcPr>
          <w:p w14:paraId="07C137D2"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换届</w:t>
            </w:r>
          </w:p>
        </w:tc>
      </w:tr>
      <w:tr w:rsidR="00632E5B" w14:paraId="49CD369B" w14:textId="77777777" w:rsidTr="00373F73">
        <w:trPr>
          <w:trHeight w:val="240"/>
        </w:trPr>
        <w:tc>
          <w:tcPr>
            <w:tcW w:w="1927" w:type="dxa"/>
            <w:shd w:val="clear" w:color="auto" w:fill="FFFFFF" w:themeFill="background1"/>
            <w:vAlign w:val="center"/>
          </w:tcPr>
          <w:p w14:paraId="5098DFD6"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李兴尧</w:t>
            </w:r>
          </w:p>
        </w:tc>
        <w:tc>
          <w:tcPr>
            <w:tcW w:w="1928" w:type="dxa"/>
            <w:shd w:val="clear" w:color="auto" w:fill="FFFFFF" w:themeFill="background1"/>
            <w:vAlign w:val="center"/>
          </w:tcPr>
          <w:p w14:paraId="13CFF687"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时任独立董事</w:t>
            </w:r>
          </w:p>
        </w:tc>
        <w:tc>
          <w:tcPr>
            <w:tcW w:w="1928" w:type="dxa"/>
            <w:shd w:val="clear" w:color="auto" w:fill="FFFFFF" w:themeFill="background1"/>
            <w:vAlign w:val="center"/>
          </w:tcPr>
          <w:p w14:paraId="2C314E18"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离任</w:t>
            </w:r>
          </w:p>
        </w:tc>
        <w:tc>
          <w:tcPr>
            <w:tcW w:w="1928" w:type="dxa"/>
            <w:shd w:val="clear" w:color="auto" w:fill="FFFFFF" w:themeFill="background1"/>
            <w:vAlign w:val="center"/>
          </w:tcPr>
          <w:p w14:paraId="7A8DB945"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auto" w:fill="FFFFFF" w:themeFill="background1"/>
            <w:vAlign w:val="center"/>
          </w:tcPr>
          <w:p w14:paraId="2A098201"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换届</w:t>
            </w:r>
          </w:p>
        </w:tc>
      </w:tr>
      <w:tr w:rsidR="00632E5B" w14:paraId="3947F00F" w14:textId="77777777" w:rsidTr="00373F73">
        <w:trPr>
          <w:trHeight w:val="240"/>
        </w:trPr>
        <w:tc>
          <w:tcPr>
            <w:tcW w:w="1927" w:type="dxa"/>
            <w:shd w:val="clear" w:color="auto" w:fill="FFFFFF" w:themeFill="background1"/>
            <w:vAlign w:val="center"/>
          </w:tcPr>
          <w:p w14:paraId="60B4B4C5"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迟梁</w:t>
            </w:r>
          </w:p>
        </w:tc>
        <w:tc>
          <w:tcPr>
            <w:tcW w:w="1928" w:type="dxa"/>
            <w:shd w:val="clear" w:color="auto" w:fill="FFFFFF" w:themeFill="background1"/>
            <w:vAlign w:val="center"/>
          </w:tcPr>
          <w:p w14:paraId="0F87C8F4"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时任独立董事</w:t>
            </w:r>
          </w:p>
        </w:tc>
        <w:tc>
          <w:tcPr>
            <w:tcW w:w="1928" w:type="dxa"/>
            <w:shd w:val="clear" w:color="auto" w:fill="FFFFFF" w:themeFill="background1"/>
            <w:vAlign w:val="center"/>
          </w:tcPr>
          <w:p w14:paraId="6734F4E2"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离任</w:t>
            </w:r>
          </w:p>
        </w:tc>
        <w:tc>
          <w:tcPr>
            <w:tcW w:w="1928" w:type="dxa"/>
            <w:shd w:val="clear" w:color="auto" w:fill="FFFFFF" w:themeFill="background1"/>
            <w:vAlign w:val="center"/>
          </w:tcPr>
          <w:p w14:paraId="75A35D70"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auto" w:fill="FFFFFF" w:themeFill="background1"/>
            <w:vAlign w:val="center"/>
          </w:tcPr>
          <w:p w14:paraId="17447BA4"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换届</w:t>
            </w:r>
          </w:p>
        </w:tc>
      </w:tr>
      <w:tr w:rsidR="00632E5B" w14:paraId="428F6342" w14:textId="77777777" w:rsidTr="00373F73">
        <w:trPr>
          <w:trHeight w:val="240"/>
        </w:trPr>
        <w:tc>
          <w:tcPr>
            <w:tcW w:w="1927" w:type="dxa"/>
            <w:shd w:val="clear" w:color="auto" w:fill="FFFFFF" w:themeFill="background1"/>
            <w:vAlign w:val="center"/>
          </w:tcPr>
          <w:p w14:paraId="17D1531B"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钱文庆</w:t>
            </w:r>
          </w:p>
        </w:tc>
        <w:tc>
          <w:tcPr>
            <w:tcW w:w="1928" w:type="dxa"/>
            <w:shd w:val="clear" w:color="auto" w:fill="FFFFFF" w:themeFill="background1"/>
            <w:vAlign w:val="center"/>
          </w:tcPr>
          <w:p w14:paraId="546DFC9D"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时任监事会主席</w:t>
            </w:r>
          </w:p>
        </w:tc>
        <w:tc>
          <w:tcPr>
            <w:tcW w:w="1928" w:type="dxa"/>
            <w:shd w:val="clear" w:color="auto" w:fill="FFFFFF" w:themeFill="background1"/>
            <w:vAlign w:val="center"/>
          </w:tcPr>
          <w:p w14:paraId="1A80E9A8"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离任</w:t>
            </w:r>
          </w:p>
        </w:tc>
        <w:tc>
          <w:tcPr>
            <w:tcW w:w="1928" w:type="dxa"/>
            <w:shd w:val="clear" w:color="auto" w:fill="FFFFFF" w:themeFill="background1"/>
            <w:vAlign w:val="center"/>
          </w:tcPr>
          <w:p w14:paraId="5E90849B"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2025年04月08日</w:t>
            </w:r>
          </w:p>
        </w:tc>
        <w:tc>
          <w:tcPr>
            <w:tcW w:w="1928" w:type="dxa"/>
            <w:shd w:val="clear" w:color="auto" w:fill="FFFFFF" w:themeFill="background1"/>
            <w:vAlign w:val="center"/>
          </w:tcPr>
          <w:p w14:paraId="693C1F73"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换届</w:t>
            </w:r>
          </w:p>
        </w:tc>
      </w:tr>
      <w:tr w:rsidR="00632E5B" w14:paraId="5B6BA59B" w14:textId="77777777" w:rsidTr="00373F73">
        <w:trPr>
          <w:trHeight w:val="240"/>
        </w:trPr>
        <w:tc>
          <w:tcPr>
            <w:tcW w:w="1927" w:type="dxa"/>
            <w:shd w:val="clear" w:color="auto" w:fill="FFFFFF" w:themeFill="background1"/>
            <w:vAlign w:val="center"/>
          </w:tcPr>
          <w:p w14:paraId="11DFA4B6"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彭慧娥</w:t>
            </w:r>
          </w:p>
        </w:tc>
        <w:tc>
          <w:tcPr>
            <w:tcW w:w="1928" w:type="dxa"/>
            <w:shd w:val="clear" w:color="auto" w:fill="FFFFFF" w:themeFill="background1"/>
            <w:vAlign w:val="center"/>
          </w:tcPr>
          <w:p w14:paraId="4BBE8367"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时任职工监事</w:t>
            </w:r>
          </w:p>
        </w:tc>
        <w:tc>
          <w:tcPr>
            <w:tcW w:w="1928" w:type="dxa"/>
            <w:shd w:val="clear" w:color="auto" w:fill="FFFFFF" w:themeFill="background1"/>
            <w:vAlign w:val="center"/>
          </w:tcPr>
          <w:p w14:paraId="66C3E37A"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离任</w:t>
            </w:r>
          </w:p>
        </w:tc>
        <w:tc>
          <w:tcPr>
            <w:tcW w:w="1928" w:type="dxa"/>
            <w:shd w:val="clear" w:color="auto" w:fill="FFFFFF" w:themeFill="background1"/>
            <w:vAlign w:val="center"/>
          </w:tcPr>
          <w:p w14:paraId="03FAB017"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2025年04月08日</w:t>
            </w:r>
          </w:p>
        </w:tc>
        <w:tc>
          <w:tcPr>
            <w:tcW w:w="1928" w:type="dxa"/>
            <w:shd w:val="clear" w:color="auto" w:fill="FFFFFF" w:themeFill="background1"/>
            <w:vAlign w:val="center"/>
          </w:tcPr>
          <w:p w14:paraId="434223FE"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换届</w:t>
            </w:r>
          </w:p>
        </w:tc>
      </w:tr>
      <w:tr w:rsidR="00632E5B" w14:paraId="352B5D59" w14:textId="77777777" w:rsidTr="00373F73">
        <w:trPr>
          <w:trHeight w:val="240"/>
        </w:trPr>
        <w:tc>
          <w:tcPr>
            <w:tcW w:w="1927" w:type="dxa"/>
            <w:shd w:val="clear" w:color="auto" w:fill="FFFFFF" w:themeFill="background1"/>
            <w:vAlign w:val="center"/>
          </w:tcPr>
          <w:p w14:paraId="4BBD1F72"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钱宏燚</w:t>
            </w:r>
          </w:p>
        </w:tc>
        <w:tc>
          <w:tcPr>
            <w:tcW w:w="1928" w:type="dxa"/>
            <w:shd w:val="clear" w:color="auto" w:fill="FFFFFF" w:themeFill="background1"/>
            <w:vAlign w:val="center"/>
          </w:tcPr>
          <w:p w14:paraId="316C4716"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时任副总经理</w:t>
            </w:r>
          </w:p>
        </w:tc>
        <w:tc>
          <w:tcPr>
            <w:tcW w:w="1928" w:type="dxa"/>
            <w:shd w:val="clear" w:color="auto" w:fill="FFFFFF" w:themeFill="background1"/>
            <w:vAlign w:val="center"/>
          </w:tcPr>
          <w:p w14:paraId="21EFD556"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解聘</w:t>
            </w:r>
          </w:p>
        </w:tc>
        <w:tc>
          <w:tcPr>
            <w:tcW w:w="1928" w:type="dxa"/>
            <w:shd w:val="clear" w:color="auto" w:fill="FFFFFF" w:themeFill="background1"/>
            <w:vAlign w:val="center"/>
          </w:tcPr>
          <w:p w14:paraId="08D7FC84"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2024年08月12日</w:t>
            </w:r>
          </w:p>
        </w:tc>
        <w:tc>
          <w:tcPr>
            <w:tcW w:w="1928" w:type="dxa"/>
            <w:shd w:val="clear" w:color="auto" w:fill="FFFFFF" w:themeFill="background1"/>
            <w:vAlign w:val="center"/>
          </w:tcPr>
          <w:p w14:paraId="60FF173D"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个人原因</w:t>
            </w:r>
          </w:p>
        </w:tc>
      </w:tr>
      <w:tr w:rsidR="00632E5B" w14:paraId="119F15FD" w14:textId="77777777" w:rsidTr="00373F73">
        <w:trPr>
          <w:trHeight w:val="240"/>
        </w:trPr>
        <w:tc>
          <w:tcPr>
            <w:tcW w:w="1927" w:type="dxa"/>
            <w:shd w:val="clear" w:color="auto" w:fill="FFFFFF" w:themeFill="background1"/>
            <w:vAlign w:val="center"/>
          </w:tcPr>
          <w:p w14:paraId="5BA8DF2B"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张曾琪</w:t>
            </w:r>
          </w:p>
        </w:tc>
        <w:tc>
          <w:tcPr>
            <w:tcW w:w="1928" w:type="dxa"/>
            <w:shd w:val="clear" w:color="auto" w:fill="FFFFFF" w:themeFill="background1"/>
            <w:vAlign w:val="center"/>
          </w:tcPr>
          <w:p w14:paraId="78866B87"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时任副总经理</w:t>
            </w:r>
          </w:p>
        </w:tc>
        <w:tc>
          <w:tcPr>
            <w:tcW w:w="1928" w:type="dxa"/>
            <w:shd w:val="clear" w:color="auto" w:fill="FFFFFF" w:themeFill="background1"/>
            <w:vAlign w:val="center"/>
          </w:tcPr>
          <w:p w14:paraId="57D8245C"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离任</w:t>
            </w:r>
          </w:p>
        </w:tc>
        <w:tc>
          <w:tcPr>
            <w:tcW w:w="1928" w:type="dxa"/>
            <w:shd w:val="clear" w:color="auto" w:fill="FFFFFF" w:themeFill="background1"/>
            <w:vAlign w:val="center"/>
          </w:tcPr>
          <w:p w14:paraId="19F7C341"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auto" w:fill="FFFFFF" w:themeFill="background1"/>
            <w:vAlign w:val="center"/>
          </w:tcPr>
          <w:p w14:paraId="510A4252"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换届</w:t>
            </w:r>
          </w:p>
        </w:tc>
      </w:tr>
      <w:tr w:rsidR="00632E5B" w14:paraId="2F5D00FF" w14:textId="77777777" w:rsidTr="00373F73">
        <w:trPr>
          <w:trHeight w:val="240"/>
        </w:trPr>
        <w:tc>
          <w:tcPr>
            <w:tcW w:w="1927" w:type="dxa"/>
            <w:shd w:val="clear" w:color="auto" w:fill="FFFFFF" w:themeFill="background1"/>
            <w:vAlign w:val="center"/>
          </w:tcPr>
          <w:p w14:paraId="1F1B485B"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徐军成</w:t>
            </w:r>
          </w:p>
        </w:tc>
        <w:tc>
          <w:tcPr>
            <w:tcW w:w="1928" w:type="dxa"/>
            <w:shd w:val="clear" w:color="auto" w:fill="FFFFFF" w:themeFill="background1"/>
            <w:vAlign w:val="center"/>
          </w:tcPr>
          <w:p w14:paraId="74B37C6F"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时任财务总监</w:t>
            </w:r>
          </w:p>
        </w:tc>
        <w:tc>
          <w:tcPr>
            <w:tcW w:w="1928" w:type="dxa"/>
            <w:shd w:val="clear" w:color="auto" w:fill="FFFFFF" w:themeFill="background1"/>
            <w:vAlign w:val="center"/>
          </w:tcPr>
          <w:p w14:paraId="24B9A311"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离任</w:t>
            </w:r>
          </w:p>
        </w:tc>
        <w:tc>
          <w:tcPr>
            <w:tcW w:w="1928" w:type="dxa"/>
            <w:shd w:val="clear" w:color="auto" w:fill="FFFFFF" w:themeFill="background1"/>
            <w:vAlign w:val="center"/>
          </w:tcPr>
          <w:p w14:paraId="00B176A8"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2025年02月06日</w:t>
            </w:r>
          </w:p>
        </w:tc>
        <w:tc>
          <w:tcPr>
            <w:tcW w:w="1928" w:type="dxa"/>
            <w:shd w:val="clear" w:color="auto" w:fill="FFFFFF" w:themeFill="background1"/>
            <w:vAlign w:val="center"/>
          </w:tcPr>
          <w:p w14:paraId="3321B657" w14:textId="77777777" w:rsidR="00632E5B" w:rsidRDefault="00107901" w:rsidP="00373F73">
            <w:pPr>
              <w:spacing w:line="240" w:lineRule="exact"/>
              <w:jc w:val="center"/>
              <w:rPr>
                <w:rFonts w:ascii="宋体" w:eastAsia="宋体" w:hAnsi="宋体" w:cs="宋体" w:hint="eastAsia"/>
                <w:sz w:val="18"/>
                <w:szCs w:val="18"/>
              </w:rPr>
            </w:pPr>
            <w:r>
              <w:rPr>
                <w:rFonts w:ascii="宋体" w:eastAsia="宋体" w:hAnsi="宋体" w:cs="宋体"/>
                <w:sz w:val="18"/>
                <w:szCs w:val="18"/>
              </w:rPr>
              <w:t>换届</w:t>
            </w:r>
          </w:p>
        </w:tc>
      </w:tr>
    </w:tbl>
    <w:p w14:paraId="72603A77" w14:textId="77777777" w:rsidR="00E34341" w:rsidRPr="00E34341" w:rsidRDefault="00E34341" w:rsidP="00E34341">
      <w:pPr>
        <w:jc w:val="both"/>
        <w:rPr>
          <w:rFonts w:ascii="宋体" w:eastAsia="宋体" w:hAnsi="宋体" w:cs="宋体" w:hint="eastAsia"/>
          <w:sz w:val="18"/>
          <w:szCs w:val="18"/>
        </w:rPr>
      </w:pPr>
      <w:bookmarkStart w:id="65" w:name="_Toc988954"/>
      <w:r w:rsidRPr="00E34341">
        <w:rPr>
          <w:rFonts w:ascii="宋体" w:eastAsia="宋体" w:hAnsi="宋体" w:cs="宋体" w:hint="eastAsia"/>
          <w:sz w:val="18"/>
          <w:szCs w:val="18"/>
        </w:rPr>
        <w:t>注：1</w:t>
      </w:r>
      <w:r>
        <w:rPr>
          <w:rFonts w:ascii="宋体" w:eastAsia="宋体" w:hAnsi="宋体" w:cs="宋体"/>
          <w:sz w:val="18"/>
          <w:szCs w:val="18"/>
        </w:rPr>
        <w:t>.</w:t>
      </w:r>
      <w:r w:rsidRPr="00E34341">
        <w:rPr>
          <w:rFonts w:ascii="宋体" w:eastAsia="宋体" w:hAnsi="宋体" w:cs="宋体" w:hint="eastAsia"/>
          <w:sz w:val="18"/>
          <w:szCs w:val="18"/>
        </w:rPr>
        <w:t>2024年12月30日，公司收到中国证券登记结算有限责任公司出具的《证券过户登记确认书》，管理人已将 1,638,229,203股转增股票（占公司总股本的 54.47%）由管理人证券账户（江苏中利集团股份有限公司破产企业财产处置专用账户）过户至全体重整投资人指定证券账户。本次股份协议转让过户后，常熟光晟持有公司20.00%的股份，成为公司第一大股东暨控股股东。</w:t>
      </w:r>
    </w:p>
    <w:p w14:paraId="70AFD84B" w14:textId="77777777" w:rsidR="00E34341" w:rsidRPr="00E34341" w:rsidRDefault="00E34341" w:rsidP="00E34341">
      <w:pPr>
        <w:ind w:firstLineChars="200" w:firstLine="360"/>
        <w:jc w:val="both"/>
        <w:rPr>
          <w:rFonts w:ascii="宋体" w:eastAsia="宋体" w:hAnsi="宋体" w:cs="宋体" w:hint="eastAsia"/>
          <w:sz w:val="18"/>
          <w:szCs w:val="18"/>
        </w:rPr>
      </w:pPr>
      <w:r w:rsidRPr="00E34341">
        <w:rPr>
          <w:rFonts w:ascii="宋体" w:eastAsia="宋体" w:hAnsi="宋体" w:cs="宋体" w:hint="eastAsia"/>
          <w:sz w:val="18"/>
          <w:szCs w:val="18"/>
        </w:rPr>
        <w:t>2</w:t>
      </w:r>
      <w:r>
        <w:rPr>
          <w:rFonts w:ascii="宋体" w:eastAsia="宋体" w:hAnsi="宋体" w:cs="宋体" w:hint="eastAsia"/>
          <w:sz w:val="18"/>
          <w:szCs w:val="18"/>
        </w:rPr>
        <w:t>.</w:t>
      </w:r>
      <w:r w:rsidRPr="00E34341">
        <w:rPr>
          <w:rFonts w:ascii="宋体" w:eastAsia="宋体" w:hAnsi="宋体" w:cs="宋体" w:hint="eastAsia"/>
          <w:sz w:val="18"/>
          <w:szCs w:val="18"/>
        </w:rPr>
        <w:t>2025年1月24日，公司召开第六届董事会2025年第三次临时会议审议通过了《关于董事会换届选举非独立董事的议案》《关于董事会换届选举独立董事的议案》，选举许加纳先生、黄昶先生、林茂先生、阎杰先生、郑晓洁女士为公司第七届董事会非独立董事候选人；选举詹有义先生、陈朝琳先生、郑金雄先生为公司第七届董事会独立董事候选人，上述议案获得2025年第一次临时股东大会审议通过。</w:t>
      </w:r>
    </w:p>
    <w:p w14:paraId="2509B932" w14:textId="77777777" w:rsidR="00E34341" w:rsidRPr="00E34341" w:rsidRDefault="00E34341" w:rsidP="00E34341">
      <w:pPr>
        <w:ind w:firstLineChars="200" w:firstLine="360"/>
        <w:jc w:val="both"/>
        <w:rPr>
          <w:rFonts w:ascii="宋体" w:eastAsia="宋体" w:hAnsi="宋体" w:cs="宋体" w:hint="eastAsia"/>
          <w:sz w:val="18"/>
          <w:szCs w:val="18"/>
        </w:rPr>
      </w:pPr>
      <w:r w:rsidRPr="00E34341">
        <w:rPr>
          <w:rFonts w:ascii="宋体" w:eastAsia="宋体" w:hAnsi="宋体" w:cs="宋体" w:hint="eastAsia"/>
          <w:sz w:val="18"/>
          <w:szCs w:val="18"/>
        </w:rPr>
        <w:t>3</w:t>
      </w:r>
      <w:r>
        <w:rPr>
          <w:rFonts w:ascii="宋体" w:eastAsia="宋体" w:hAnsi="宋体" w:cs="宋体" w:hint="eastAsia"/>
          <w:sz w:val="18"/>
          <w:szCs w:val="18"/>
        </w:rPr>
        <w:t>.</w:t>
      </w:r>
      <w:r w:rsidRPr="00E34341">
        <w:rPr>
          <w:rFonts w:ascii="宋体" w:eastAsia="宋体" w:hAnsi="宋体" w:cs="宋体" w:hint="eastAsia"/>
          <w:sz w:val="18"/>
          <w:szCs w:val="18"/>
        </w:rPr>
        <w:t>2025年2月6日，公司召开第七届董事会2025年第一次临时会议审议通过了《关于选举公司第七届董事会董事长、副董事长的议案》《关于聘任公司高级管理人员的议案》，选举许加纳先生为董事长，选举黄昶先生为副董事长；聘任郑晓洁女士为公司总经理，聘任陈庆辉先生为公司副总经理兼任人力总监，聘任孙建宇先生、陈新祥先生为公司副总经理；董事会秘书、副总经理程娴女士向董事会提交辞职报告，公司聘任廖嘉琦先生为公司财务总监并代行董事会秘书职责。</w:t>
      </w:r>
    </w:p>
    <w:p w14:paraId="01128810" w14:textId="77777777" w:rsidR="00E34341" w:rsidRDefault="00E34341" w:rsidP="00E34341">
      <w:pPr>
        <w:ind w:firstLineChars="200" w:firstLine="360"/>
        <w:jc w:val="both"/>
        <w:rPr>
          <w:rFonts w:ascii="宋体" w:eastAsia="宋体" w:hAnsi="宋体" w:cs="宋体" w:hint="eastAsia"/>
          <w:sz w:val="18"/>
          <w:szCs w:val="18"/>
        </w:rPr>
      </w:pPr>
      <w:r w:rsidRPr="00E34341">
        <w:rPr>
          <w:rFonts w:ascii="宋体" w:eastAsia="宋体" w:hAnsi="宋体" w:cs="宋体" w:hint="eastAsia"/>
          <w:sz w:val="18"/>
          <w:szCs w:val="18"/>
        </w:rPr>
        <w:t>4</w:t>
      </w:r>
      <w:r>
        <w:rPr>
          <w:rFonts w:ascii="宋体" w:eastAsia="宋体" w:hAnsi="宋体" w:cs="宋体" w:hint="eastAsia"/>
          <w:sz w:val="18"/>
          <w:szCs w:val="18"/>
        </w:rPr>
        <w:t>.</w:t>
      </w:r>
      <w:r w:rsidRPr="00E34341">
        <w:rPr>
          <w:rFonts w:ascii="宋体" w:eastAsia="宋体" w:hAnsi="宋体" w:cs="宋体" w:hint="eastAsia"/>
          <w:sz w:val="18"/>
          <w:szCs w:val="18"/>
        </w:rPr>
        <w:t>2025年3月20日，公司召开第七届董事会2025年第三次临时会议审议通过了《关于聘任公司董事会秘书的议案》，公司聘任廖嘉琦先生担任公司董事会秘书。同日，公司召开第六届监事会2025年第一次临时会议审议通过了《关于选举第</w:t>
      </w:r>
      <w:r w:rsidRPr="00E34341">
        <w:rPr>
          <w:rFonts w:ascii="宋体" w:eastAsia="宋体" w:hAnsi="宋体" w:cs="宋体" w:hint="eastAsia"/>
          <w:sz w:val="18"/>
          <w:szCs w:val="18"/>
        </w:rPr>
        <w:lastRenderedPageBreak/>
        <w:t>七届监事会股东代表监事的议案》，选举陆健豪先生、刘雨欢先生为第七届监事会股东代表监事候选人，该议案获得2025年第二次临时股东大会审议通过。2025年4月8日，公司召开第五届职工代表大会第三次会议，选举黄雪萍女士为公司职工代表监事。</w:t>
      </w:r>
    </w:p>
    <w:p w14:paraId="1DFC105E" w14:textId="0D500D05" w:rsidR="00632E5B" w:rsidRDefault="00107901">
      <w:pPr>
        <w:pStyle w:val="3"/>
        <w:spacing w:line="280" w:lineRule="exact"/>
        <w:jc w:val="left"/>
        <w:rPr>
          <w:rFonts w:ascii="宋体" w:hAnsi="宋体" w:cs="宋体" w:hint="eastAsia"/>
          <w:b/>
          <w:bCs/>
        </w:rPr>
      </w:pPr>
      <w:r>
        <w:rPr>
          <w:rFonts w:ascii="宋体" w:hAnsi="宋体" w:cs="宋体"/>
          <w:b/>
          <w:bCs/>
        </w:rPr>
        <w:t>2、任职情况</w:t>
      </w:r>
      <w:bookmarkEnd w:id="65"/>
    </w:p>
    <w:p w14:paraId="6A0C9A2F"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公司现任董事、监事、高级管理人员专业背景、主要工作经历以及目前在公司的主要职责</w:t>
      </w:r>
    </w:p>
    <w:p w14:paraId="0083EFD5" w14:textId="77777777" w:rsidR="00E72F0C" w:rsidRDefault="00107901">
      <w:pPr>
        <w:pStyle w:val="a3"/>
        <w:spacing w:before="0" w:beforeAutospacing="0" w:after="0" w:afterAutospacing="0" w:line="360" w:lineRule="auto"/>
        <w:ind w:firstLine="482"/>
        <w:jc w:val="both"/>
        <w:divId w:val="1821850257"/>
        <w:rPr>
          <w:rFonts w:ascii="Times New Roman" w:hAnsi="Times New Roman" w:cs="Times New Roman"/>
          <w:sz w:val="21"/>
          <w:szCs w:val="21"/>
        </w:rPr>
      </w:pPr>
      <w:r>
        <w:rPr>
          <w:rStyle w:val="a4"/>
          <w:rFonts w:cs="Times New Roman" w:hint="eastAsia"/>
          <w:color w:val="000000"/>
          <w:sz w:val="21"/>
          <w:szCs w:val="21"/>
        </w:rPr>
        <w:t>许加纳</w:t>
      </w:r>
      <w:r>
        <w:rPr>
          <w:rFonts w:cs="Times New Roman" w:hint="eastAsia"/>
          <w:color w:val="000000"/>
          <w:sz w:val="21"/>
          <w:szCs w:val="21"/>
        </w:rPr>
        <w:t>，男，1978年出生，中共党员，本科学历，硕士学位，高级会计师。现任江苏中利集团股份有限公司董事长、厦门建发股份有限公司党委委员、副总经理，厦门建发新兴能源有限公司董事长，常熟光晟新能源有限公司总经理等职，历任厦门建发股份有限公司财务部副总经理、财务部总经理、财务总监等职。</w:t>
      </w:r>
    </w:p>
    <w:p w14:paraId="609465A4" w14:textId="77777777" w:rsidR="00E72F0C" w:rsidRDefault="00107901">
      <w:pPr>
        <w:pStyle w:val="a3"/>
        <w:spacing w:before="0" w:beforeAutospacing="0" w:after="0" w:afterAutospacing="0" w:line="360" w:lineRule="auto"/>
        <w:ind w:firstLine="482"/>
        <w:jc w:val="both"/>
        <w:divId w:val="1821850257"/>
        <w:rPr>
          <w:rFonts w:ascii="Times New Roman" w:hAnsi="Times New Roman" w:cs="Times New Roman"/>
          <w:sz w:val="21"/>
          <w:szCs w:val="21"/>
        </w:rPr>
      </w:pPr>
      <w:r>
        <w:rPr>
          <w:rStyle w:val="a4"/>
          <w:rFonts w:cs="Times New Roman" w:hint="eastAsia"/>
          <w:color w:val="000000"/>
          <w:sz w:val="21"/>
          <w:szCs w:val="21"/>
        </w:rPr>
        <w:t>黄昶</w:t>
      </w:r>
      <w:r>
        <w:rPr>
          <w:rFonts w:cs="Times New Roman" w:hint="eastAsia"/>
          <w:color w:val="000000"/>
          <w:sz w:val="21"/>
          <w:szCs w:val="21"/>
        </w:rPr>
        <w:t>，男，1975年出生，中共党员，本科学历。现任江苏中利集团股份有限公司副董事长，厦门建益达有限公司总经理、厦门建发新兴能源有限公司总经理。历任厦门建益达有限公司总经理助理，副总经理。</w:t>
      </w:r>
    </w:p>
    <w:p w14:paraId="380C2550" w14:textId="77777777" w:rsidR="00E72F0C" w:rsidRDefault="00107901">
      <w:pPr>
        <w:pStyle w:val="a3"/>
        <w:spacing w:before="0" w:beforeAutospacing="0" w:after="0" w:afterAutospacing="0" w:line="360" w:lineRule="auto"/>
        <w:ind w:firstLine="482"/>
        <w:jc w:val="both"/>
        <w:divId w:val="1821850257"/>
        <w:rPr>
          <w:rFonts w:ascii="Times New Roman" w:hAnsi="Times New Roman" w:cs="Times New Roman"/>
          <w:sz w:val="21"/>
          <w:szCs w:val="21"/>
        </w:rPr>
      </w:pPr>
      <w:r>
        <w:rPr>
          <w:rStyle w:val="a4"/>
          <w:rFonts w:cs="Times New Roman" w:hint="eastAsia"/>
          <w:color w:val="000000"/>
          <w:sz w:val="21"/>
          <w:szCs w:val="21"/>
        </w:rPr>
        <w:t>林茂</w:t>
      </w:r>
      <w:r>
        <w:rPr>
          <w:rFonts w:cs="Times New Roman" w:hint="eastAsia"/>
          <w:color w:val="000000"/>
          <w:sz w:val="21"/>
          <w:szCs w:val="21"/>
        </w:rPr>
        <w:t>，男，1968年出生，中共党员，本科学历，硕士学位，高级会计师。现任江苏中利集团股份有限公司董事、厦门建发股份有限公司党委副书记、董事长等职。历任厦门建发集团有限公司财务部副经理，厦门建发股份有限公司证券部经理、董事会秘书、副总经理、总经理等职。</w:t>
      </w:r>
    </w:p>
    <w:p w14:paraId="4500401C" w14:textId="77777777" w:rsidR="00E72F0C" w:rsidRDefault="00107901">
      <w:pPr>
        <w:pStyle w:val="a3"/>
        <w:spacing w:before="0" w:beforeAutospacing="0" w:after="0" w:afterAutospacing="0" w:line="360" w:lineRule="auto"/>
        <w:ind w:firstLine="482"/>
        <w:jc w:val="both"/>
        <w:divId w:val="1821850257"/>
        <w:rPr>
          <w:rFonts w:ascii="Times New Roman" w:hAnsi="Times New Roman" w:cs="Times New Roman"/>
          <w:sz w:val="21"/>
          <w:szCs w:val="21"/>
        </w:rPr>
      </w:pPr>
      <w:r>
        <w:rPr>
          <w:rStyle w:val="a4"/>
          <w:rFonts w:cs="Times New Roman" w:hint="eastAsia"/>
          <w:color w:val="000000"/>
          <w:sz w:val="21"/>
          <w:szCs w:val="21"/>
        </w:rPr>
        <w:t>阎杰</w:t>
      </w:r>
      <w:r>
        <w:rPr>
          <w:rFonts w:cs="Times New Roman" w:hint="eastAsia"/>
          <w:color w:val="000000"/>
          <w:sz w:val="21"/>
          <w:szCs w:val="21"/>
        </w:rPr>
        <w:t>，男，1979年出生，本科学历，学士学位。现任江苏中利集团股份有限公司董事，厦门建益达有限公司副总经理，厦门建发新兴能源有限公司副总经理。历任厦门建益达有限公司总经理助理。</w:t>
      </w:r>
    </w:p>
    <w:p w14:paraId="35A8480A" w14:textId="77777777" w:rsidR="00E72F0C" w:rsidRDefault="00107901">
      <w:pPr>
        <w:pStyle w:val="a3"/>
        <w:spacing w:before="0" w:beforeAutospacing="0" w:after="0" w:afterAutospacing="0" w:line="360" w:lineRule="auto"/>
        <w:ind w:firstLine="482"/>
        <w:jc w:val="both"/>
        <w:divId w:val="1821850257"/>
        <w:rPr>
          <w:rFonts w:ascii="Times New Roman" w:hAnsi="Times New Roman" w:cs="Times New Roman"/>
          <w:sz w:val="21"/>
          <w:szCs w:val="21"/>
        </w:rPr>
      </w:pPr>
      <w:r>
        <w:rPr>
          <w:rStyle w:val="a4"/>
          <w:rFonts w:cs="Times New Roman" w:hint="eastAsia"/>
          <w:color w:val="000000"/>
          <w:sz w:val="21"/>
          <w:szCs w:val="21"/>
        </w:rPr>
        <w:t>郑晓洁</w:t>
      </w:r>
      <w:r>
        <w:rPr>
          <w:rFonts w:cs="Times New Roman" w:hint="eastAsia"/>
          <w:color w:val="000000"/>
          <w:sz w:val="21"/>
          <w:szCs w:val="21"/>
        </w:rPr>
        <w:t>，女，1985年出生，本科学历，学士学位。现任江苏中利集团股份有限公司董事、总经理；历任厦门建发股份有限公司企业发展部副总经理，建发（深圳）供应链服务有限公司总经理，上海建发睿投咨询管理有限公司总经理，厦门建发股份有限公司法律部专业经理、高级专业经理、副总经理，厦门汉发供应链管理有限公司总经理。</w:t>
      </w:r>
    </w:p>
    <w:p w14:paraId="13E0879E" w14:textId="77777777" w:rsidR="00E72F0C" w:rsidRDefault="00107901">
      <w:pPr>
        <w:pStyle w:val="a3"/>
        <w:spacing w:before="0" w:beforeAutospacing="0" w:after="0" w:afterAutospacing="0" w:line="360" w:lineRule="auto"/>
        <w:ind w:firstLine="482"/>
        <w:jc w:val="both"/>
        <w:divId w:val="1821850257"/>
        <w:rPr>
          <w:rFonts w:ascii="Times New Roman" w:hAnsi="Times New Roman" w:cs="Times New Roman"/>
          <w:sz w:val="21"/>
          <w:szCs w:val="21"/>
        </w:rPr>
      </w:pPr>
      <w:r>
        <w:rPr>
          <w:rStyle w:val="a4"/>
          <w:rFonts w:cs="Times New Roman" w:hint="eastAsia"/>
          <w:color w:val="000000"/>
          <w:sz w:val="21"/>
          <w:szCs w:val="21"/>
        </w:rPr>
        <w:t>李梦璐（待生效）</w:t>
      </w:r>
      <w:r>
        <w:rPr>
          <w:rFonts w:cs="Times New Roman" w:hint="eastAsia"/>
          <w:color w:val="000000"/>
          <w:sz w:val="21"/>
          <w:szCs w:val="21"/>
        </w:rPr>
        <w:t>，女，1989年出生，</w:t>
      </w:r>
      <w:r>
        <w:rPr>
          <w:rFonts w:cs="Times New Roman" w:hint="eastAsia"/>
          <w:sz w:val="21"/>
          <w:szCs w:val="21"/>
        </w:rPr>
        <w:t>硕士研究生学历，硕士学位。现任公司运营管理部总经理。曾任职于江苏省港口集团、苏州安晟遮阳科技有限公司、国药苏州市医疗器械有限公司、建发（苏州）新能源有限公司。</w:t>
      </w:r>
    </w:p>
    <w:p w14:paraId="27BF8607" w14:textId="77777777" w:rsidR="00E72F0C" w:rsidRDefault="00107901">
      <w:pPr>
        <w:pStyle w:val="a3"/>
        <w:spacing w:before="0" w:beforeAutospacing="0" w:after="0" w:afterAutospacing="0" w:line="360" w:lineRule="auto"/>
        <w:ind w:firstLine="482"/>
        <w:jc w:val="both"/>
        <w:divId w:val="1821850257"/>
        <w:rPr>
          <w:rFonts w:ascii="Times New Roman" w:hAnsi="Times New Roman" w:cs="Times New Roman"/>
          <w:sz w:val="21"/>
          <w:szCs w:val="21"/>
        </w:rPr>
      </w:pPr>
      <w:r>
        <w:rPr>
          <w:rStyle w:val="a4"/>
          <w:rFonts w:cs="Times New Roman" w:hint="eastAsia"/>
          <w:color w:val="000000"/>
          <w:sz w:val="21"/>
          <w:szCs w:val="21"/>
        </w:rPr>
        <w:t>詹有义</w:t>
      </w:r>
      <w:r>
        <w:rPr>
          <w:rFonts w:cs="Times New Roman" w:hint="eastAsia"/>
          <w:color w:val="000000"/>
          <w:sz w:val="21"/>
          <w:szCs w:val="21"/>
        </w:rPr>
        <w:t>，男，1965年出生，本科学历，硕士学位，注册会计师。现任江苏中利集团股份有限公司独立董事，立信中联会计师事务所（特殊普通合伙）任合伙人、厦门分所主任会计师，苏州兆和空气系统股份有限公司独立董事（拟上市），历任三明会计师事务所任职涉外部经理，厦门敬贤联合会计师事务所任职联合创始人、副主任会计师，厦门义华信会计师事务所（普通合伙）任职首席合伙人、主任会计师。</w:t>
      </w:r>
    </w:p>
    <w:p w14:paraId="798574E9" w14:textId="77777777" w:rsidR="00E72F0C" w:rsidRDefault="00107901">
      <w:pPr>
        <w:pStyle w:val="a3"/>
        <w:spacing w:before="0" w:beforeAutospacing="0" w:after="0" w:afterAutospacing="0" w:line="360" w:lineRule="auto"/>
        <w:ind w:firstLine="482"/>
        <w:jc w:val="both"/>
        <w:divId w:val="1821850257"/>
        <w:rPr>
          <w:rFonts w:ascii="Times New Roman" w:hAnsi="Times New Roman" w:cs="Times New Roman"/>
          <w:sz w:val="21"/>
          <w:szCs w:val="21"/>
        </w:rPr>
      </w:pPr>
      <w:r>
        <w:rPr>
          <w:rStyle w:val="a4"/>
          <w:rFonts w:cs="Times New Roman" w:hint="eastAsia"/>
          <w:color w:val="000000"/>
          <w:sz w:val="21"/>
          <w:szCs w:val="21"/>
        </w:rPr>
        <w:lastRenderedPageBreak/>
        <w:t>陈朝琳</w:t>
      </w:r>
      <w:r>
        <w:rPr>
          <w:rFonts w:cs="Times New Roman" w:hint="eastAsia"/>
          <w:color w:val="000000"/>
          <w:sz w:val="21"/>
          <w:szCs w:val="21"/>
        </w:rPr>
        <w:t>，男，1973年出生，中共党员，博士研究生学历，博士学位。现任江苏中利集团股份有限公司独立董事，厦门国家会计学院教研中心副教授，兼任中国会计学会企业会计准则专业委员会委员，福建省会计专家，厦门市中直会计学会专家委员会委员，江阴电工合金股份有限公司独立董事，百应控股集团有限公司独立非执行董事，力品药业（厦门）股份有限公司独立董事（拟上市），历任福建省饲料工业公司，连江瑞邦金属制品有限公司，厦门高能投资咨询有限公司，厦门市企业经营管理人才评价推荐中心。</w:t>
      </w:r>
    </w:p>
    <w:p w14:paraId="0FE2FB98" w14:textId="77777777" w:rsidR="00E72F0C" w:rsidRDefault="00107901">
      <w:pPr>
        <w:pStyle w:val="a3"/>
        <w:spacing w:before="0" w:beforeAutospacing="0" w:after="0" w:afterAutospacing="0" w:line="360" w:lineRule="auto"/>
        <w:ind w:firstLine="482"/>
        <w:jc w:val="both"/>
        <w:divId w:val="1821850257"/>
        <w:rPr>
          <w:rFonts w:ascii="Times New Roman" w:hAnsi="Times New Roman" w:cs="Times New Roman"/>
          <w:sz w:val="21"/>
          <w:szCs w:val="21"/>
        </w:rPr>
      </w:pPr>
      <w:r>
        <w:rPr>
          <w:rStyle w:val="a4"/>
          <w:rFonts w:cs="Times New Roman" w:hint="eastAsia"/>
          <w:color w:val="000000"/>
          <w:sz w:val="21"/>
          <w:szCs w:val="21"/>
        </w:rPr>
        <w:t>郑金雄</w:t>
      </w:r>
      <w:r>
        <w:rPr>
          <w:rFonts w:cs="Times New Roman" w:hint="eastAsia"/>
          <w:color w:val="000000"/>
          <w:sz w:val="21"/>
          <w:szCs w:val="21"/>
        </w:rPr>
        <w:t>，男，1968年出生，中共党员，博士研究生学历，博士学位。现任江苏中利集团股份有限公司独立董事，厦门大学法学院、新闻学院双聘教授、博士生导师、法律传播研究中心主任、中国立法学研究会常务理事，兼任智业软件股份有限公司独立董事（拟上市）。历任厦门市中级法院处长、厦门市湖里区法院副院长。</w:t>
      </w:r>
    </w:p>
    <w:p w14:paraId="11DAADE5" w14:textId="77777777" w:rsidR="00E72F0C" w:rsidRDefault="00107901">
      <w:pPr>
        <w:pStyle w:val="a3"/>
        <w:spacing w:before="0" w:beforeAutospacing="0" w:after="0" w:afterAutospacing="0" w:line="360" w:lineRule="auto"/>
        <w:ind w:firstLine="482"/>
        <w:jc w:val="both"/>
        <w:divId w:val="1821850257"/>
        <w:rPr>
          <w:rFonts w:ascii="Times New Roman" w:hAnsi="Times New Roman" w:cs="Times New Roman"/>
          <w:sz w:val="21"/>
          <w:szCs w:val="21"/>
        </w:rPr>
      </w:pPr>
      <w:r>
        <w:rPr>
          <w:rStyle w:val="a4"/>
          <w:rFonts w:cs="Times New Roman" w:hint="eastAsia"/>
          <w:color w:val="000000"/>
          <w:sz w:val="21"/>
          <w:szCs w:val="21"/>
        </w:rPr>
        <w:t>陆健豪</w:t>
      </w:r>
      <w:r>
        <w:rPr>
          <w:rFonts w:cs="Times New Roman" w:hint="eastAsia"/>
          <w:color w:val="000000"/>
          <w:sz w:val="21"/>
          <w:szCs w:val="21"/>
        </w:rPr>
        <w:t>，男，1991年出生，中共党员，本科学历，学士学位。现任公司监事会主席、办公室主任、常熟市协友企业服务有限公司执行董事、总经理。</w:t>
      </w:r>
    </w:p>
    <w:p w14:paraId="0D4DDC19" w14:textId="77777777" w:rsidR="00E72F0C" w:rsidRDefault="00107901">
      <w:pPr>
        <w:pStyle w:val="a3"/>
        <w:spacing w:before="0" w:beforeAutospacing="0" w:after="0" w:afterAutospacing="0" w:line="360" w:lineRule="auto"/>
        <w:ind w:firstLine="482"/>
        <w:jc w:val="both"/>
        <w:divId w:val="1821850257"/>
        <w:rPr>
          <w:rFonts w:ascii="Times New Roman" w:hAnsi="Times New Roman" w:cs="Times New Roman"/>
          <w:sz w:val="21"/>
          <w:szCs w:val="21"/>
        </w:rPr>
      </w:pPr>
      <w:r>
        <w:rPr>
          <w:rStyle w:val="a4"/>
          <w:rFonts w:cs="Times New Roman" w:hint="eastAsia"/>
          <w:color w:val="000000"/>
          <w:sz w:val="21"/>
          <w:szCs w:val="21"/>
        </w:rPr>
        <w:t>刘雨欢</w:t>
      </w:r>
      <w:r>
        <w:rPr>
          <w:rFonts w:cs="Times New Roman" w:hint="eastAsia"/>
          <w:color w:val="000000"/>
          <w:sz w:val="21"/>
          <w:szCs w:val="21"/>
        </w:rPr>
        <w:t>，男，2001年出生，本科学历，学士学位。现任公司监事，任职于公司财务部，曾任职于厦门建益达有限公司财务部。</w:t>
      </w:r>
    </w:p>
    <w:p w14:paraId="7F015D81" w14:textId="77777777" w:rsidR="00E72F0C" w:rsidRDefault="00107901">
      <w:pPr>
        <w:pStyle w:val="a3"/>
        <w:spacing w:before="0" w:beforeAutospacing="0" w:after="0" w:afterAutospacing="0" w:line="360" w:lineRule="auto"/>
        <w:ind w:firstLine="482"/>
        <w:jc w:val="both"/>
        <w:divId w:val="1821850257"/>
        <w:rPr>
          <w:rFonts w:ascii="Times New Roman" w:hAnsi="Times New Roman" w:cs="Times New Roman"/>
          <w:sz w:val="21"/>
          <w:szCs w:val="21"/>
        </w:rPr>
      </w:pPr>
      <w:r>
        <w:rPr>
          <w:rStyle w:val="a4"/>
          <w:rFonts w:cs="Times New Roman" w:hint="eastAsia"/>
          <w:color w:val="000000"/>
          <w:sz w:val="21"/>
          <w:szCs w:val="21"/>
        </w:rPr>
        <w:t>黄雪萍</w:t>
      </w:r>
      <w:r>
        <w:rPr>
          <w:rFonts w:cs="Times New Roman" w:hint="eastAsia"/>
          <w:color w:val="000000"/>
          <w:sz w:val="21"/>
          <w:szCs w:val="21"/>
        </w:rPr>
        <w:t>，女，1987年出生，本科学历。现任公司职工监事，财务部主管。 </w:t>
      </w:r>
    </w:p>
    <w:p w14:paraId="726D276E" w14:textId="77777777" w:rsidR="00E72F0C" w:rsidRDefault="00107901">
      <w:pPr>
        <w:pStyle w:val="a3"/>
        <w:spacing w:before="0" w:beforeAutospacing="0" w:after="0" w:afterAutospacing="0" w:line="360" w:lineRule="auto"/>
        <w:ind w:firstLine="482"/>
        <w:jc w:val="both"/>
        <w:divId w:val="1821850257"/>
        <w:rPr>
          <w:rFonts w:ascii="Times New Roman" w:hAnsi="Times New Roman" w:cs="Times New Roman"/>
          <w:sz w:val="21"/>
          <w:szCs w:val="21"/>
        </w:rPr>
      </w:pPr>
      <w:r>
        <w:rPr>
          <w:rStyle w:val="a4"/>
          <w:rFonts w:cs="Times New Roman" w:hint="eastAsia"/>
          <w:color w:val="000000"/>
          <w:sz w:val="21"/>
          <w:szCs w:val="21"/>
        </w:rPr>
        <w:t>陈庆辉</w:t>
      </w:r>
      <w:r>
        <w:rPr>
          <w:rFonts w:cs="Times New Roman" w:hint="eastAsia"/>
          <w:color w:val="000000"/>
          <w:sz w:val="21"/>
          <w:szCs w:val="21"/>
        </w:rPr>
        <w:t>，男，</w:t>
      </w:r>
      <w:r>
        <w:rPr>
          <w:rFonts w:cs="Times New Roman" w:hint="eastAsia"/>
          <w:sz w:val="21"/>
          <w:szCs w:val="21"/>
        </w:rPr>
        <w:t>1986年出生，预备党员，本科学历，学士学位。现任公司副总经理兼人力总监，历任厦门建发股份有限公司人力资源部副总经理。</w:t>
      </w:r>
    </w:p>
    <w:p w14:paraId="608E93AE" w14:textId="77777777" w:rsidR="00E72F0C" w:rsidRDefault="00107901">
      <w:pPr>
        <w:pStyle w:val="a3"/>
        <w:spacing w:before="0" w:beforeAutospacing="0" w:after="0" w:afterAutospacing="0" w:line="360" w:lineRule="auto"/>
        <w:ind w:firstLine="482"/>
        <w:jc w:val="both"/>
        <w:divId w:val="1821850257"/>
        <w:rPr>
          <w:rFonts w:ascii="Times New Roman" w:hAnsi="Times New Roman" w:cs="Times New Roman"/>
          <w:sz w:val="21"/>
          <w:szCs w:val="21"/>
        </w:rPr>
      </w:pPr>
      <w:r>
        <w:rPr>
          <w:rStyle w:val="a4"/>
          <w:rFonts w:cs="Times New Roman" w:hint="eastAsia"/>
          <w:color w:val="000000"/>
          <w:sz w:val="21"/>
          <w:szCs w:val="21"/>
        </w:rPr>
        <w:t>廖嘉琦</w:t>
      </w:r>
      <w:r>
        <w:rPr>
          <w:rFonts w:cs="Times New Roman" w:hint="eastAsia"/>
          <w:color w:val="000000"/>
          <w:sz w:val="21"/>
          <w:szCs w:val="21"/>
        </w:rPr>
        <w:t>，男，</w:t>
      </w:r>
      <w:r>
        <w:rPr>
          <w:rFonts w:cs="Times New Roman" w:hint="eastAsia"/>
          <w:sz w:val="21"/>
          <w:szCs w:val="21"/>
        </w:rPr>
        <w:t>1992年出生，本科学历，学士学位。现任公司财务总监、董事会秘书，历任厦门建发股份有限公司财务部专业经理、高级专业经理，红星美凯龙家居集团股份有限公司助理总裁</w:t>
      </w:r>
      <w:r>
        <w:rPr>
          <w:rFonts w:cs="Times New Roman" w:hint="eastAsia"/>
        </w:rPr>
        <w:t>。</w:t>
      </w:r>
    </w:p>
    <w:p w14:paraId="58C469A1" w14:textId="77777777" w:rsidR="00E72F0C" w:rsidRDefault="00107901">
      <w:pPr>
        <w:pStyle w:val="a3"/>
        <w:spacing w:before="0" w:beforeAutospacing="0" w:after="0" w:afterAutospacing="0" w:line="360" w:lineRule="auto"/>
        <w:ind w:firstLine="482"/>
        <w:jc w:val="both"/>
        <w:divId w:val="1821850257"/>
        <w:rPr>
          <w:rFonts w:ascii="Times New Roman" w:hAnsi="Times New Roman" w:cs="Times New Roman"/>
          <w:sz w:val="21"/>
          <w:szCs w:val="21"/>
        </w:rPr>
      </w:pPr>
      <w:r>
        <w:rPr>
          <w:rStyle w:val="a4"/>
          <w:rFonts w:cs="Times New Roman" w:hint="eastAsia"/>
          <w:color w:val="000000"/>
          <w:sz w:val="21"/>
          <w:szCs w:val="21"/>
        </w:rPr>
        <w:t>陈新祥</w:t>
      </w:r>
      <w:r>
        <w:rPr>
          <w:rFonts w:cs="Times New Roman" w:hint="eastAsia"/>
          <w:color w:val="000000"/>
          <w:sz w:val="21"/>
          <w:szCs w:val="21"/>
        </w:rPr>
        <w:t>，男，1969年出生，中共党员，硕士研究生学历，硕士学</w:t>
      </w:r>
      <w:r w:rsidR="00FC59A3">
        <w:rPr>
          <w:rFonts w:cs="Times New Roman" w:hint="eastAsia"/>
          <w:color w:val="000000"/>
          <w:sz w:val="21"/>
          <w:szCs w:val="21"/>
        </w:rPr>
        <w:t>位，高级工程师。现任公司副总经理，兼任</w:t>
      </w:r>
      <w:r>
        <w:rPr>
          <w:rFonts w:cs="Times New Roman" w:hint="eastAsia"/>
          <w:color w:val="000000"/>
          <w:sz w:val="21"/>
          <w:szCs w:val="21"/>
        </w:rPr>
        <w:t>山东腾晖新能源技术有限公司、常州船用电缆有限责任公司、辽宁中德电缆有限公司、常熟市中联光电新材料有限责任公司、宁夏中盛电缆技术有限公司、山东中利能源技术有限公司、常熟市中联金属材料有限公司、苏州中利能源科技有限公司、常熟利星光电科技有限公司、上海康速金属科技有限公司董事。历任常熟市科技情报研究所副所长、常熟市科技局副局长、常熟市知识产权局局长、广东中德电缆有限公司董事、中利环保股份有限公司董事。</w:t>
      </w:r>
    </w:p>
    <w:p w14:paraId="02152327" w14:textId="77777777" w:rsidR="00E72F0C" w:rsidRDefault="00107901">
      <w:pPr>
        <w:pStyle w:val="a3"/>
        <w:spacing w:before="0" w:beforeAutospacing="0" w:after="0" w:afterAutospacing="0" w:line="360" w:lineRule="auto"/>
        <w:ind w:firstLine="482"/>
        <w:jc w:val="both"/>
        <w:divId w:val="1821850257"/>
        <w:rPr>
          <w:rFonts w:ascii="Times New Roman" w:hAnsi="Times New Roman" w:cs="Times New Roman"/>
          <w:sz w:val="21"/>
          <w:szCs w:val="21"/>
        </w:rPr>
      </w:pPr>
      <w:r>
        <w:rPr>
          <w:rStyle w:val="a4"/>
          <w:rFonts w:cs="Times New Roman" w:hint="eastAsia"/>
          <w:color w:val="000000"/>
          <w:sz w:val="21"/>
          <w:szCs w:val="21"/>
        </w:rPr>
        <w:t>孙建宇</w:t>
      </w:r>
      <w:r>
        <w:rPr>
          <w:rFonts w:cs="Times New Roman" w:hint="eastAsia"/>
          <w:color w:val="000000"/>
          <w:sz w:val="21"/>
          <w:szCs w:val="21"/>
        </w:rPr>
        <w:t>，男，1979年出生，中共党员，博士研究生学历，博士学位，正高级工程师。现任公司副总经理、常熟市中联光电新材料有限责任公司总经理、常州船用电缆有限责任公司董事、常熟讯立通技术有限公司执行董事。历任新亚电子有限公司技术经理、年锋电缆（苏州）有限公司技术部部长、天海科宝（鹤壁）汽车电线有限公司副总经理、总经理，苏州科宝光电科技有限公司总经理助理、副总经理，常州船用电缆有限公司总经理、江苏中利电子信息科技有限公司总经理。</w:t>
      </w:r>
    </w:p>
    <w:p w14:paraId="7FF24497"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lastRenderedPageBreak/>
        <w:t>在股东单位任职情况</w:t>
      </w:r>
    </w:p>
    <w:p w14:paraId="0C3E4242"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307"/>
        <w:gridCol w:w="2126"/>
        <w:gridCol w:w="1385"/>
        <w:gridCol w:w="1607"/>
        <w:gridCol w:w="1607"/>
        <w:gridCol w:w="1607"/>
      </w:tblGrid>
      <w:tr w:rsidR="00632E5B" w14:paraId="02656C84" w14:textId="77777777" w:rsidTr="00CB6FD6">
        <w:trPr>
          <w:trHeight w:val="240"/>
        </w:trPr>
        <w:tc>
          <w:tcPr>
            <w:tcW w:w="1307" w:type="dxa"/>
            <w:shd w:val="clear" w:color="auto" w:fill="FFFFFF" w:themeFill="background1"/>
            <w:vAlign w:val="center"/>
          </w:tcPr>
          <w:p w14:paraId="4B8089A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任职人员姓名</w:t>
            </w:r>
          </w:p>
        </w:tc>
        <w:tc>
          <w:tcPr>
            <w:tcW w:w="2126" w:type="dxa"/>
            <w:shd w:val="clear" w:color="auto" w:fill="FFFFFF" w:themeFill="background1"/>
            <w:vAlign w:val="center"/>
          </w:tcPr>
          <w:p w14:paraId="1D2DEE4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股东单位名称</w:t>
            </w:r>
          </w:p>
        </w:tc>
        <w:tc>
          <w:tcPr>
            <w:tcW w:w="1385" w:type="dxa"/>
            <w:shd w:val="clear" w:color="auto" w:fill="FFFFFF" w:themeFill="background1"/>
            <w:vAlign w:val="center"/>
          </w:tcPr>
          <w:p w14:paraId="061A605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在股东单位担任的职务</w:t>
            </w:r>
          </w:p>
        </w:tc>
        <w:tc>
          <w:tcPr>
            <w:tcW w:w="1607" w:type="dxa"/>
            <w:shd w:val="clear" w:color="auto" w:fill="FFFFFF" w:themeFill="background1"/>
            <w:vAlign w:val="center"/>
          </w:tcPr>
          <w:p w14:paraId="3CEE1DC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任期起始日期</w:t>
            </w:r>
          </w:p>
        </w:tc>
        <w:tc>
          <w:tcPr>
            <w:tcW w:w="1607" w:type="dxa"/>
            <w:shd w:val="clear" w:color="auto" w:fill="FFFFFF" w:themeFill="background1"/>
            <w:vAlign w:val="center"/>
          </w:tcPr>
          <w:p w14:paraId="15F93C0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任期终止日期</w:t>
            </w:r>
          </w:p>
        </w:tc>
        <w:tc>
          <w:tcPr>
            <w:tcW w:w="1607" w:type="dxa"/>
            <w:shd w:val="clear" w:color="auto" w:fill="FFFFFF" w:themeFill="background1"/>
            <w:vAlign w:val="center"/>
          </w:tcPr>
          <w:p w14:paraId="15809F2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在股东单位是否领取报酬津贴</w:t>
            </w:r>
          </w:p>
        </w:tc>
      </w:tr>
      <w:tr w:rsidR="00632E5B" w14:paraId="7F2E463C" w14:textId="77777777" w:rsidTr="00CB6FD6">
        <w:trPr>
          <w:trHeight w:val="240"/>
        </w:trPr>
        <w:tc>
          <w:tcPr>
            <w:tcW w:w="1307" w:type="dxa"/>
            <w:shd w:val="clear" w:color="auto" w:fill="FFFFFF" w:themeFill="background1"/>
            <w:vAlign w:val="center"/>
          </w:tcPr>
          <w:p w14:paraId="0800A7E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许加纳</w:t>
            </w:r>
          </w:p>
        </w:tc>
        <w:tc>
          <w:tcPr>
            <w:tcW w:w="2126" w:type="dxa"/>
            <w:shd w:val="clear" w:color="auto" w:fill="FFFFFF" w:themeFill="background1"/>
            <w:vAlign w:val="center"/>
          </w:tcPr>
          <w:p w14:paraId="1C36C36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常熟光晟新能源有限公司</w:t>
            </w:r>
          </w:p>
        </w:tc>
        <w:tc>
          <w:tcPr>
            <w:tcW w:w="1385" w:type="dxa"/>
            <w:shd w:val="clear" w:color="auto" w:fill="FFFFFF" w:themeFill="background1"/>
            <w:vAlign w:val="center"/>
          </w:tcPr>
          <w:p w14:paraId="7BF33FD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董事、总经理</w:t>
            </w:r>
          </w:p>
        </w:tc>
        <w:tc>
          <w:tcPr>
            <w:tcW w:w="1607" w:type="dxa"/>
            <w:shd w:val="clear" w:color="auto" w:fill="FFFFFF" w:themeFill="background1"/>
            <w:vAlign w:val="center"/>
          </w:tcPr>
          <w:p w14:paraId="3DE6031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2023年08月18日</w:t>
            </w:r>
          </w:p>
        </w:tc>
        <w:tc>
          <w:tcPr>
            <w:tcW w:w="1607" w:type="dxa"/>
            <w:shd w:val="clear" w:color="auto" w:fill="FFFFFF" w:themeFill="background1"/>
            <w:vAlign w:val="center"/>
          </w:tcPr>
          <w:p w14:paraId="3C11B76A" w14:textId="77777777" w:rsidR="00632E5B" w:rsidRDefault="00632E5B">
            <w:pPr>
              <w:spacing w:line="240" w:lineRule="exact"/>
              <w:rPr>
                <w:rFonts w:ascii="宋体" w:eastAsia="宋体" w:hAnsi="宋体" w:cs="宋体" w:hint="eastAsia"/>
                <w:sz w:val="18"/>
                <w:szCs w:val="18"/>
              </w:rPr>
            </w:pPr>
          </w:p>
        </w:tc>
        <w:tc>
          <w:tcPr>
            <w:tcW w:w="1607" w:type="dxa"/>
            <w:shd w:val="clear" w:color="auto" w:fill="FFFFFF" w:themeFill="background1"/>
            <w:vAlign w:val="center"/>
          </w:tcPr>
          <w:p w14:paraId="0EB6357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bl>
    <w:p w14:paraId="2D495F7D"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在其他单位任职情况</w:t>
      </w:r>
    </w:p>
    <w:p w14:paraId="72E10344"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53"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307"/>
        <w:gridCol w:w="2126"/>
        <w:gridCol w:w="1386"/>
        <w:gridCol w:w="1733"/>
        <w:gridCol w:w="1479"/>
        <w:gridCol w:w="1608"/>
        <w:gridCol w:w="14"/>
      </w:tblGrid>
      <w:tr w:rsidR="00632E5B" w14:paraId="1B22EE68" w14:textId="77777777" w:rsidTr="00CB6FD6">
        <w:trPr>
          <w:gridAfter w:val="1"/>
          <w:wAfter w:w="14" w:type="dxa"/>
          <w:trHeight w:val="240"/>
        </w:trPr>
        <w:tc>
          <w:tcPr>
            <w:tcW w:w="1307" w:type="dxa"/>
            <w:shd w:val="clear" w:color="auto" w:fill="FFFFFF" w:themeFill="background1"/>
            <w:vAlign w:val="center"/>
          </w:tcPr>
          <w:p w14:paraId="3D47452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任职人员姓名</w:t>
            </w:r>
          </w:p>
        </w:tc>
        <w:tc>
          <w:tcPr>
            <w:tcW w:w="2126" w:type="dxa"/>
            <w:shd w:val="clear" w:color="auto" w:fill="FFFFFF" w:themeFill="background1"/>
            <w:vAlign w:val="center"/>
          </w:tcPr>
          <w:p w14:paraId="723405E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其他单位名称</w:t>
            </w:r>
          </w:p>
        </w:tc>
        <w:tc>
          <w:tcPr>
            <w:tcW w:w="1386" w:type="dxa"/>
            <w:shd w:val="clear" w:color="auto" w:fill="FFFFFF" w:themeFill="background1"/>
            <w:vAlign w:val="center"/>
          </w:tcPr>
          <w:p w14:paraId="50D2BBD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在其他单位担任的职务</w:t>
            </w:r>
          </w:p>
        </w:tc>
        <w:tc>
          <w:tcPr>
            <w:tcW w:w="1733" w:type="dxa"/>
            <w:shd w:val="clear" w:color="auto" w:fill="FFFFFF" w:themeFill="background1"/>
            <w:vAlign w:val="center"/>
          </w:tcPr>
          <w:p w14:paraId="3F7C1F9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任期起始日期</w:t>
            </w:r>
          </w:p>
        </w:tc>
        <w:tc>
          <w:tcPr>
            <w:tcW w:w="1479" w:type="dxa"/>
            <w:shd w:val="clear" w:color="auto" w:fill="FFFFFF" w:themeFill="background1"/>
            <w:vAlign w:val="center"/>
          </w:tcPr>
          <w:p w14:paraId="17D39A9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任期终止日期</w:t>
            </w:r>
          </w:p>
        </w:tc>
        <w:tc>
          <w:tcPr>
            <w:tcW w:w="1608" w:type="dxa"/>
            <w:shd w:val="clear" w:color="auto" w:fill="FFFFFF" w:themeFill="background1"/>
            <w:vAlign w:val="center"/>
          </w:tcPr>
          <w:p w14:paraId="2BDEBDC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在其他单位是否领取报酬津贴</w:t>
            </w:r>
          </w:p>
        </w:tc>
      </w:tr>
      <w:tr w:rsidR="00632E5B" w14:paraId="012891A0" w14:textId="77777777" w:rsidTr="00CB6FD6">
        <w:trPr>
          <w:gridAfter w:val="1"/>
          <w:wAfter w:w="14" w:type="dxa"/>
          <w:trHeight w:val="240"/>
        </w:trPr>
        <w:tc>
          <w:tcPr>
            <w:tcW w:w="1307" w:type="dxa"/>
            <w:shd w:val="clear" w:color="auto" w:fill="FFFFFF" w:themeFill="background1"/>
            <w:vAlign w:val="center"/>
          </w:tcPr>
          <w:p w14:paraId="2620DC5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许加纳</w:t>
            </w:r>
          </w:p>
        </w:tc>
        <w:tc>
          <w:tcPr>
            <w:tcW w:w="2126" w:type="dxa"/>
            <w:shd w:val="clear" w:color="auto" w:fill="FFFFFF" w:themeFill="background1"/>
            <w:vAlign w:val="center"/>
          </w:tcPr>
          <w:p w14:paraId="55B1667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厦门建发股份有限公司</w:t>
            </w:r>
          </w:p>
        </w:tc>
        <w:tc>
          <w:tcPr>
            <w:tcW w:w="1386" w:type="dxa"/>
            <w:shd w:val="clear" w:color="auto" w:fill="FFFFFF" w:themeFill="background1"/>
            <w:vAlign w:val="center"/>
          </w:tcPr>
          <w:p w14:paraId="11B4EF4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副总经理</w:t>
            </w:r>
          </w:p>
        </w:tc>
        <w:tc>
          <w:tcPr>
            <w:tcW w:w="1733" w:type="dxa"/>
            <w:shd w:val="clear" w:color="auto" w:fill="FFFFFF" w:themeFill="background1"/>
            <w:vAlign w:val="center"/>
          </w:tcPr>
          <w:p w14:paraId="654C169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2022年01月13日</w:t>
            </w:r>
          </w:p>
        </w:tc>
        <w:tc>
          <w:tcPr>
            <w:tcW w:w="1479" w:type="dxa"/>
            <w:shd w:val="clear" w:color="auto" w:fill="FFFFFF" w:themeFill="background1"/>
            <w:vAlign w:val="center"/>
          </w:tcPr>
          <w:p w14:paraId="330A6CC1"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31FAE4C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是</w:t>
            </w:r>
          </w:p>
        </w:tc>
      </w:tr>
      <w:tr w:rsidR="00632E5B" w14:paraId="049564A9" w14:textId="77777777" w:rsidTr="00CB6FD6">
        <w:trPr>
          <w:gridAfter w:val="1"/>
          <w:wAfter w:w="14" w:type="dxa"/>
          <w:trHeight w:val="240"/>
        </w:trPr>
        <w:tc>
          <w:tcPr>
            <w:tcW w:w="1307" w:type="dxa"/>
            <w:shd w:val="clear" w:color="auto" w:fill="FFFFFF" w:themeFill="background1"/>
            <w:vAlign w:val="center"/>
          </w:tcPr>
          <w:p w14:paraId="0C6751F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许加纳</w:t>
            </w:r>
          </w:p>
        </w:tc>
        <w:tc>
          <w:tcPr>
            <w:tcW w:w="2126" w:type="dxa"/>
            <w:shd w:val="clear" w:color="auto" w:fill="FFFFFF" w:themeFill="background1"/>
            <w:vAlign w:val="center"/>
          </w:tcPr>
          <w:p w14:paraId="72C1067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商舟航空物流有限公司</w:t>
            </w:r>
          </w:p>
        </w:tc>
        <w:tc>
          <w:tcPr>
            <w:tcW w:w="1386" w:type="dxa"/>
            <w:shd w:val="clear" w:color="auto" w:fill="FFFFFF" w:themeFill="background1"/>
            <w:vAlign w:val="center"/>
          </w:tcPr>
          <w:p w14:paraId="7222DBD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3E59857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2021年09月08日</w:t>
            </w:r>
          </w:p>
        </w:tc>
        <w:tc>
          <w:tcPr>
            <w:tcW w:w="1479" w:type="dxa"/>
            <w:shd w:val="clear" w:color="auto" w:fill="FFFFFF" w:themeFill="background1"/>
            <w:vAlign w:val="center"/>
          </w:tcPr>
          <w:p w14:paraId="0B626B38"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59B80B4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51B214AC" w14:textId="77777777" w:rsidTr="00CB6FD6">
        <w:trPr>
          <w:gridAfter w:val="1"/>
          <w:wAfter w:w="14" w:type="dxa"/>
          <w:trHeight w:val="240"/>
        </w:trPr>
        <w:tc>
          <w:tcPr>
            <w:tcW w:w="1307" w:type="dxa"/>
            <w:shd w:val="clear" w:color="auto" w:fill="FFFFFF" w:themeFill="background1"/>
            <w:vAlign w:val="center"/>
          </w:tcPr>
          <w:p w14:paraId="72434DE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许加纳</w:t>
            </w:r>
          </w:p>
        </w:tc>
        <w:tc>
          <w:tcPr>
            <w:tcW w:w="2126" w:type="dxa"/>
            <w:shd w:val="clear" w:color="auto" w:fill="FFFFFF" w:themeFill="background1"/>
            <w:vAlign w:val="center"/>
          </w:tcPr>
          <w:p w14:paraId="1B10A50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厦门建发新兴能源有限公司</w:t>
            </w:r>
          </w:p>
        </w:tc>
        <w:tc>
          <w:tcPr>
            <w:tcW w:w="1386" w:type="dxa"/>
            <w:shd w:val="clear" w:color="auto" w:fill="FFFFFF" w:themeFill="background1"/>
            <w:vAlign w:val="center"/>
          </w:tcPr>
          <w:p w14:paraId="6898F9F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董事长</w:t>
            </w:r>
          </w:p>
        </w:tc>
        <w:tc>
          <w:tcPr>
            <w:tcW w:w="1733" w:type="dxa"/>
            <w:shd w:val="clear" w:color="auto" w:fill="FFFFFF" w:themeFill="background1"/>
            <w:vAlign w:val="center"/>
          </w:tcPr>
          <w:p w14:paraId="4FB9E6B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2023年05月15日</w:t>
            </w:r>
          </w:p>
        </w:tc>
        <w:tc>
          <w:tcPr>
            <w:tcW w:w="1479" w:type="dxa"/>
            <w:shd w:val="clear" w:color="auto" w:fill="FFFFFF" w:themeFill="background1"/>
            <w:vAlign w:val="center"/>
          </w:tcPr>
          <w:p w14:paraId="29D616D0"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1535F2D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777E6EE1" w14:textId="77777777" w:rsidTr="00CB6FD6">
        <w:trPr>
          <w:gridAfter w:val="1"/>
          <w:wAfter w:w="14" w:type="dxa"/>
          <w:trHeight w:val="240"/>
        </w:trPr>
        <w:tc>
          <w:tcPr>
            <w:tcW w:w="1307" w:type="dxa"/>
            <w:shd w:val="clear" w:color="auto" w:fill="FFFFFF" w:themeFill="background1"/>
            <w:vAlign w:val="center"/>
          </w:tcPr>
          <w:p w14:paraId="37CFD9E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许加纳</w:t>
            </w:r>
          </w:p>
        </w:tc>
        <w:tc>
          <w:tcPr>
            <w:tcW w:w="2126" w:type="dxa"/>
            <w:shd w:val="clear" w:color="auto" w:fill="FFFFFF" w:themeFill="background1"/>
            <w:vAlign w:val="center"/>
          </w:tcPr>
          <w:p w14:paraId="3BE787C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厦门建益达有限公司</w:t>
            </w:r>
          </w:p>
        </w:tc>
        <w:tc>
          <w:tcPr>
            <w:tcW w:w="1386" w:type="dxa"/>
            <w:shd w:val="clear" w:color="auto" w:fill="FFFFFF" w:themeFill="background1"/>
            <w:vAlign w:val="center"/>
          </w:tcPr>
          <w:p w14:paraId="3C519A3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董事长</w:t>
            </w:r>
          </w:p>
        </w:tc>
        <w:tc>
          <w:tcPr>
            <w:tcW w:w="1733" w:type="dxa"/>
            <w:shd w:val="clear" w:color="auto" w:fill="FFFFFF" w:themeFill="background1"/>
            <w:vAlign w:val="center"/>
          </w:tcPr>
          <w:p w14:paraId="2196FD0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2023年05月15日</w:t>
            </w:r>
          </w:p>
        </w:tc>
        <w:tc>
          <w:tcPr>
            <w:tcW w:w="1479" w:type="dxa"/>
            <w:shd w:val="clear" w:color="auto" w:fill="FFFFFF" w:themeFill="background1"/>
            <w:vAlign w:val="center"/>
          </w:tcPr>
          <w:p w14:paraId="38762B2C"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2862F5D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44EEE6DA" w14:textId="77777777" w:rsidTr="00CB6FD6">
        <w:trPr>
          <w:gridAfter w:val="1"/>
          <w:wAfter w:w="14" w:type="dxa"/>
          <w:trHeight w:val="240"/>
        </w:trPr>
        <w:tc>
          <w:tcPr>
            <w:tcW w:w="1307" w:type="dxa"/>
            <w:shd w:val="clear" w:color="auto" w:fill="FFFFFF" w:themeFill="background1"/>
            <w:vAlign w:val="center"/>
          </w:tcPr>
          <w:p w14:paraId="4870A0E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许加纳</w:t>
            </w:r>
          </w:p>
        </w:tc>
        <w:tc>
          <w:tcPr>
            <w:tcW w:w="2126" w:type="dxa"/>
            <w:shd w:val="clear" w:color="auto" w:fill="FFFFFF" w:themeFill="background1"/>
            <w:vAlign w:val="center"/>
          </w:tcPr>
          <w:p w14:paraId="23D99EC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厦门建发供应链物流科技有限公司</w:t>
            </w:r>
          </w:p>
        </w:tc>
        <w:tc>
          <w:tcPr>
            <w:tcW w:w="1386" w:type="dxa"/>
            <w:shd w:val="clear" w:color="auto" w:fill="FFFFFF" w:themeFill="background1"/>
            <w:vAlign w:val="center"/>
          </w:tcPr>
          <w:p w14:paraId="6EADF2F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224FCFE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2023年02月13日</w:t>
            </w:r>
          </w:p>
        </w:tc>
        <w:tc>
          <w:tcPr>
            <w:tcW w:w="1479" w:type="dxa"/>
            <w:shd w:val="clear" w:color="auto" w:fill="FFFFFF" w:themeFill="background1"/>
            <w:vAlign w:val="center"/>
          </w:tcPr>
          <w:p w14:paraId="6AE83586"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695A36A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08B07FB6" w14:textId="77777777" w:rsidTr="00CB6FD6">
        <w:trPr>
          <w:gridAfter w:val="1"/>
          <w:wAfter w:w="14" w:type="dxa"/>
          <w:trHeight w:val="240"/>
        </w:trPr>
        <w:tc>
          <w:tcPr>
            <w:tcW w:w="1307" w:type="dxa"/>
            <w:shd w:val="clear" w:color="auto" w:fill="FFFFFF" w:themeFill="background1"/>
            <w:vAlign w:val="center"/>
          </w:tcPr>
          <w:p w14:paraId="1C1B18A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许加纳</w:t>
            </w:r>
          </w:p>
        </w:tc>
        <w:tc>
          <w:tcPr>
            <w:tcW w:w="2126" w:type="dxa"/>
            <w:shd w:val="clear" w:color="auto" w:fill="FFFFFF" w:themeFill="background1"/>
            <w:vAlign w:val="center"/>
          </w:tcPr>
          <w:p w14:paraId="568DA83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厦门建发原材料贸易有限公司</w:t>
            </w:r>
          </w:p>
        </w:tc>
        <w:tc>
          <w:tcPr>
            <w:tcW w:w="1386" w:type="dxa"/>
            <w:shd w:val="clear" w:color="auto" w:fill="FFFFFF" w:themeFill="background1"/>
            <w:vAlign w:val="center"/>
          </w:tcPr>
          <w:p w14:paraId="137C29B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1D5A21F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2023年04月26日</w:t>
            </w:r>
          </w:p>
        </w:tc>
        <w:tc>
          <w:tcPr>
            <w:tcW w:w="1479" w:type="dxa"/>
            <w:shd w:val="clear" w:color="auto" w:fill="FFFFFF" w:themeFill="background1"/>
            <w:vAlign w:val="center"/>
          </w:tcPr>
          <w:p w14:paraId="25D690B9"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337ACA5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0693246E" w14:textId="77777777" w:rsidTr="00CB6FD6">
        <w:trPr>
          <w:gridAfter w:val="1"/>
          <w:wAfter w:w="14" w:type="dxa"/>
          <w:trHeight w:val="240"/>
        </w:trPr>
        <w:tc>
          <w:tcPr>
            <w:tcW w:w="1307" w:type="dxa"/>
            <w:shd w:val="clear" w:color="auto" w:fill="FFFFFF" w:themeFill="background1"/>
            <w:vAlign w:val="center"/>
          </w:tcPr>
          <w:p w14:paraId="76202D6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许加纳</w:t>
            </w:r>
          </w:p>
        </w:tc>
        <w:tc>
          <w:tcPr>
            <w:tcW w:w="2126" w:type="dxa"/>
            <w:shd w:val="clear" w:color="auto" w:fill="FFFFFF" w:themeFill="background1"/>
            <w:vAlign w:val="center"/>
          </w:tcPr>
          <w:p w14:paraId="4B79A7E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厦门建发信息技术有限公司</w:t>
            </w:r>
          </w:p>
        </w:tc>
        <w:tc>
          <w:tcPr>
            <w:tcW w:w="1386" w:type="dxa"/>
            <w:shd w:val="clear" w:color="auto" w:fill="FFFFFF" w:themeFill="background1"/>
            <w:vAlign w:val="center"/>
          </w:tcPr>
          <w:p w14:paraId="152BDFE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董事长</w:t>
            </w:r>
          </w:p>
        </w:tc>
        <w:tc>
          <w:tcPr>
            <w:tcW w:w="1733" w:type="dxa"/>
            <w:shd w:val="clear" w:color="auto" w:fill="FFFFFF" w:themeFill="background1"/>
            <w:vAlign w:val="center"/>
          </w:tcPr>
          <w:p w14:paraId="4F3877B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2020年05月14日</w:t>
            </w:r>
          </w:p>
        </w:tc>
        <w:tc>
          <w:tcPr>
            <w:tcW w:w="1479" w:type="dxa"/>
            <w:shd w:val="clear" w:color="auto" w:fill="FFFFFF" w:themeFill="background1"/>
            <w:vAlign w:val="center"/>
          </w:tcPr>
          <w:p w14:paraId="4456153A"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3579392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1F8D9BFE" w14:textId="77777777" w:rsidTr="00CB6FD6">
        <w:trPr>
          <w:gridAfter w:val="1"/>
          <w:wAfter w:w="14" w:type="dxa"/>
          <w:trHeight w:val="240"/>
        </w:trPr>
        <w:tc>
          <w:tcPr>
            <w:tcW w:w="1307" w:type="dxa"/>
            <w:shd w:val="clear" w:color="auto" w:fill="FFFFFF" w:themeFill="background1"/>
            <w:vAlign w:val="center"/>
          </w:tcPr>
          <w:p w14:paraId="55E9427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许加纳</w:t>
            </w:r>
          </w:p>
        </w:tc>
        <w:tc>
          <w:tcPr>
            <w:tcW w:w="2126" w:type="dxa"/>
            <w:shd w:val="clear" w:color="auto" w:fill="FFFFFF" w:themeFill="background1"/>
            <w:vAlign w:val="center"/>
          </w:tcPr>
          <w:p w14:paraId="70A7930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厦门建发高科有限公司</w:t>
            </w:r>
          </w:p>
        </w:tc>
        <w:tc>
          <w:tcPr>
            <w:tcW w:w="1386" w:type="dxa"/>
            <w:shd w:val="clear" w:color="auto" w:fill="FFFFFF" w:themeFill="background1"/>
            <w:vAlign w:val="center"/>
          </w:tcPr>
          <w:p w14:paraId="67C0CF3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董事长</w:t>
            </w:r>
          </w:p>
        </w:tc>
        <w:tc>
          <w:tcPr>
            <w:tcW w:w="1733" w:type="dxa"/>
            <w:shd w:val="clear" w:color="auto" w:fill="FFFFFF" w:themeFill="background1"/>
            <w:vAlign w:val="center"/>
          </w:tcPr>
          <w:p w14:paraId="6ADAFA2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2023年06月05日</w:t>
            </w:r>
          </w:p>
        </w:tc>
        <w:tc>
          <w:tcPr>
            <w:tcW w:w="1479" w:type="dxa"/>
            <w:shd w:val="clear" w:color="auto" w:fill="FFFFFF" w:themeFill="background1"/>
            <w:vAlign w:val="center"/>
          </w:tcPr>
          <w:p w14:paraId="6DBB7D56"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4CC43E0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2519A522" w14:textId="77777777" w:rsidTr="00CB6FD6">
        <w:trPr>
          <w:gridAfter w:val="1"/>
          <w:wAfter w:w="14" w:type="dxa"/>
          <w:trHeight w:val="240"/>
        </w:trPr>
        <w:tc>
          <w:tcPr>
            <w:tcW w:w="1307" w:type="dxa"/>
            <w:shd w:val="clear" w:color="auto" w:fill="FFFFFF" w:themeFill="background1"/>
            <w:vAlign w:val="center"/>
          </w:tcPr>
          <w:p w14:paraId="16A6313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许加纳</w:t>
            </w:r>
          </w:p>
        </w:tc>
        <w:tc>
          <w:tcPr>
            <w:tcW w:w="2126" w:type="dxa"/>
            <w:shd w:val="clear" w:color="auto" w:fill="FFFFFF" w:themeFill="background1"/>
            <w:vAlign w:val="center"/>
          </w:tcPr>
          <w:p w14:paraId="00BC0CC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厦门建发机电设备供应链服务有限公司</w:t>
            </w:r>
          </w:p>
        </w:tc>
        <w:tc>
          <w:tcPr>
            <w:tcW w:w="1386" w:type="dxa"/>
            <w:shd w:val="clear" w:color="auto" w:fill="FFFFFF" w:themeFill="background1"/>
            <w:vAlign w:val="center"/>
          </w:tcPr>
          <w:p w14:paraId="49435F2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董事长</w:t>
            </w:r>
          </w:p>
        </w:tc>
        <w:tc>
          <w:tcPr>
            <w:tcW w:w="1733" w:type="dxa"/>
            <w:shd w:val="clear" w:color="auto" w:fill="FFFFFF" w:themeFill="background1"/>
            <w:vAlign w:val="center"/>
          </w:tcPr>
          <w:p w14:paraId="38A51BE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2023年05月31日</w:t>
            </w:r>
          </w:p>
        </w:tc>
        <w:tc>
          <w:tcPr>
            <w:tcW w:w="1479" w:type="dxa"/>
            <w:shd w:val="clear" w:color="auto" w:fill="FFFFFF" w:themeFill="background1"/>
            <w:vAlign w:val="center"/>
          </w:tcPr>
          <w:p w14:paraId="312B5018"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65AC7BE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2A1CA45A" w14:textId="77777777" w:rsidTr="00CB6FD6">
        <w:trPr>
          <w:gridAfter w:val="1"/>
          <w:wAfter w:w="14" w:type="dxa"/>
          <w:trHeight w:val="240"/>
        </w:trPr>
        <w:tc>
          <w:tcPr>
            <w:tcW w:w="1307" w:type="dxa"/>
            <w:shd w:val="clear" w:color="auto" w:fill="FFFFFF" w:themeFill="background1"/>
            <w:vAlign w:val="center"/>
          </w:tcPr>
          <w:p w14:paraId="63E0D1E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许加纳</w:t>
            </w:r>
          </w:p>
        </w:tc>
        <w:tc>
          <w:tcPr>
            <w:tcW w:w="2126" w:type="dxa"/>
            <w:shd w:val="clear" w:color="auto" w:fill="FFFFFF" w:themeFill="background1"/>
            <w:vAlign w:val="center"/>
          </w:tcPr>
          <w:p w14:paraId="42E09E5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厦门建发能源有限公司</w:t>
            </w:r>
          </w:p>
        </w:tc>
        <w:tc>
          <w:tcPr>
            <w:tcW w:w="1386" w:type="dxa"/>
            <w:shd w:val="clear" w:color="auto" w:fill="FFFFFF" w:themeFill="background1"/>
            <w:vAlign w:val="center"/>
          </w:tcPr>
          <w:p w14:paraId="3E278E9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董事长</w:t>
            </w:r>
          </w:p>
        </w:tc>
        <w:tc>
          <w:tcPr>
            <w:tcW w:w="1733" w:type="dxa"/>
            <w:shd w:val="clear" w:color="auto" w:fill="FFFFFF" w:themeFill="background1"/>
            <w:vAlign w:val="center"/>
          </w:tcPr>
          <w:p w14:paraId="0E9694B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2023年05月12日</w:t>
            </w:r>
          </w:p>
        </w:tc>
        <w:tc>
          <w:tcPr>
            <w:tcW w:w="1479" w:type="dxa"/>
            <w:shd w:val="clear" w:color="auto" w:fill="FFFFFF" w:themeFill="background1"/>
            <w:vAlign w:val="center"/>
          </w:tcPr>
          <w:p w14:paraId="41D42A77"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036DE5F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447006DE" w14:textId="77777777" w:rsidTr="00CB6FD6">
        <w:trPr>
          <w:gridAfter w:val="1"/>
          <w:wAfter w:w="14" w:type="dxa"/>
          <w:trHeight w:val="240"/>
        </w:trPr>
        <w:tc>
          <w:tcPr>
            <w:tcW w:w="1307" w:type="dxa"/>
            <w:shd w:val="clear" w:color="auto" w:fill="FFFFFF" w:themeFill="background1"/>
            <w:vAlign w:val="center"/>
          </w:tcPr>
          <w:p w14:paraId="27D9E63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许加纳</w:t>
            </w:r>
          </w:p>
        </w:tc>
        <w:tc>
          <w:tcPr>
            <w:tcW w:w="2126" w:type="dxa"/>
            <w:shd w:val="clear" w:color="auto" w:fill="FFFFFF" w:themeFill="background1"/>
            <w:vAlign w:val="center"/>
          </w:tcPr>
          <w:p w14:paraId="6D60A2F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厦门建发能化有限公司</w:t>
            </w:r>
          </w:p>
        </w:tc>
        <w:tc>
          <w:tcPr>
            <w:tcW w:w="1386" w:type="dxa"/>
            <w:shd w:val="clear" w:color="auto" w:fill="FFFFFF" w:themeFill="background1"/>
            <w:vAlign w:val="center"/>
          </w:tcPr>
          <w:p w14:paraId="2F57D9C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总经理，董事</w:t>
            </w:r>
          </w:p>
        </w:tc>
        <w:tc>
          <w:tcPr>
            <w:tcW w:w="1733" w:type="dxa"/>
            <w:shd w:val="clear" w:color="auto" w:fill="FFFFFF" w:themeFill="background1"/>
            <w:vAlign w:val="center"/>
          </w:tcPr>
          <w:p w14:paraId="584AAC9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2024年03月22日</w:t>
            </w:r>
          </w:p>
        </w:tc>
        <w:tc>
          <w:tcPr>
            <w:tcW w:w="1479" w:type="dxa"/>
            <w:shd w:val="clear" w:color="auto" w:fill="FFFFFF" w:themeFill="background1"/>
            <w:vAlign w:val="center"/>
          </w:tcPr>
          <w:p w14:paraId="43CBFC04"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038FF32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164B2F59" w14:textId="77777777" w:rsidTr="00CB6FD6">
        <w:trPr>
          <w:gridAfter w:val="1"/>
          <w:wAfter w:w="14" w:type="dxa"/>
          <w:trHeight w:val="240"/>
        </w:trPr>
        <w:tc>
          <w:tcPr>
            <w:tcW w:w="1307" w:type="dxa"/>
            <w:shd w:val="clear" w:color="auto" w:fill="FFFFFF" w:themeFill="background1"/>
            <w:vAlign w:val="center"/>
          </w:tcPr>
          <w:p w14:paraId="18C45B7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许加纳</w:t>
            </w:r>
          </w:p>
        </w:tc>
        <w:tc>
          <w:tcPr>
            <w:tcW w:w="2126" w:type="dxa"/>
            <w:shd w:val="clear" w:color="auto" w:fill="FFFFFF" w:themeFill="background1"/>
            <w:vAlign w:val="center"/>
          </w:tcPr>
          <w:p w14:paraId="3FF60F3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天津建发美锦能源有限公司</w:t>
            </w:r>
          </w:p>
        </w:tc>
        <w:tc>
          <w:tcPr>
            <w:tcW w:w="1386" w:type="dxa"/>
            <w:shd w:val="clear" w:color="auto" w:fill="FFFFFF" w:themeFill="background1"/>
            <w:vAlign w:val="center"/>
          </w:tcPr>
          <w:p w14:paraId="5DB29E2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286A0A9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2024年09月04日</w:t>
            </w:r>
          </w:p>
        </w:tc>
        <w:tc>
          <w:tcPr>
            <w:tcW w:w="1479" w:type="dxa"/>
            <w:shd w:val="clear" w:color="auto" w:fill="FFFFFF" w:themeFill="background1"/>
            <w:vAlign w:val="center"/>
          </w:tcPr>
          <w:p w14:paraId="07254D8D"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3D1CD60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6B39CD8E" w14:textId="77777777" w:rsidTr="00CB6FD6">
        <w:trPr>
          <w:gridAfter w:val="1"/>
          <w:wAfter w:w="14" w:type="dxa"/>
          <w:trHeight w:val="240"/>
        </w:trPr>
        <w:tc>
          <w:tcPr>
            <w:tcW w:w="1307" w:type="dxa"/>
            <w:shd w:val="clear" w:color="auto" w:fill="FFFFFF" w:themeFill="background1"/>
            <w:vAlign w:val="center"/>
          </w:tcPr>
          <w:p w14:paraId="5D641F4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许加纳</w:t>
            </w:r>
          </w:p>
        </w:tc>
        <w:tc>
          <w:tcPr>
            <w:tcW w:w="2126" w:type="dxa"/>
            <w:shd w:val="clear" w:color="auto" w:fill="FFFFFF" w:themeFill="background1"/>
            <w:vAlign w:val="center"/>
          </w:tcPr>
          <w:p w14:paraId="6510DE9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厦门建发化工有限公司</w:t>
            </w:r>
          </w:p>
        </w:tc>
        <w:tc>
          <w:tcPr>
            <w:tcW w:w="1386" w:type="dxa"/>
            <w:shd w:val="clear" w:color="auto" w:fill="FFFFFF" w:themeFill="background1"/>
            <w:vAlign w:val="center"/>
          </w:tcPr>
          <w:p w14:paraId="5338A4C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董事长</w:t>
            </w:r>
          </w:p>
        </w:tc>
        <w:tc>
          <w:tcPr>
            <w:tcW w:w="1733" w:type="dxa"/>
            <w:shd w:val="clear" w:color="auto" w:fill="FFFFFF" w:themeFill="background1"/>
            <w:vAlign w:val="center"/>
          </w:tcPr>
          <w:p w14:paraId="3F16DA5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2023年05月18日</w:t>
            </w:r>
          </w:p>
        </w:tc>
        <w:tc>
          <w:tcPr>
            <w:tcW w:w="1479" w:type="dxa"/>
            <w:shd w:val="clear" w:color="auto" w:fill="FFFFFF" w:themeFill="background1"/>
            <w:vAlign w:val="center"/>
          </w:tcPr>
          <w:p w14:paraId="6AC2DFDE"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5113448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2903A854" w14:textId="77777777" w:rsidTr="00CB6FD6">
        <w:trPr>
          <w:gridAfter w:val="1"/>
          <w:wAfter w:w="14" w:type="dxa"/>
          <w:trHeight w:val="240"/>
        </w:trPr>
        <w:tc>
          <w:tcPr>
            <w:tcW w:w="1307" w:type="dxa"/>
            <w:shd w:val="clear" w:color="auto" w:fill="FFFFFF" w:themeFill="background1"/>
            <w:vAlign w:val="center"/>
          </w:tcPr>
          <w:p w14:paraId="238FB5D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许加纳</w:t>
            </w:r>
          </w:p>
        </w:tc>
        <w:tc>
          <w:tcPr>
            <w:tcW w:w="2126" w:type="dxa"/>
            <w:shd w:val="clear" w:color="auto" w:fill="FFFFFF" w:themeFill="background1"/>
            <w:vAlign w:val="center"/>
          </w:tcPr>
          <w:p w14:paraId="5B402A0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天津建发能源发展有限公司</w:t>
            </w:r>
          </w:p>
        </w:tc>
        <w:tc>
          <w:tcPr>
            <w:tcW w:w="1386" w:type="dxa"/>
            <w:shd w:val="clear" w:color="auto" w:fill="FFFFFF" w:themeFill="background1"/>
            <w:vAlign w:val="center"/>
          </w:tcPr>
          <w:p w14:paraId="4798894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董事长</w:t>
            </w:r>
          </w:p>
        </w:tc>
        <w:tc>
          <w:tcPr>
            <w:tcW w:w="1733" w:type="dxa"/>
            <w:shd w:val="clear" w:color="auto" w:fill="FFFFFF" w:themeFill="background1"/>
            <w:vAlign w:val="center"/>
          </w:tcPr>
          <w:p w14:paraId="41D87BD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2024年01月30日</w:t>
            </w:r>
          </w:p>
        </w:tc>
        <w:tc>
          <w:tcPr>
            <w:tcW w:w="1479" w:type="dxa"/>
            <w:shd w:val="clear" w:color="auto" w:fill="FFFFFF" w:themeFill="background1"/>
            <w:vAlign w:val="center"/>
          </w:tcPr>
          <w:p w14:paraId="291375F1"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6AA0770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26130329" w14:textId="77777777" w:rsidTr="00CB6FD6">
        <w:trPr>
          <w:gridAfter w:val="1"/>
          <w:wAfter w:w="14" w:type="dxa"/>
          <w:trHeight w:val="240"/>
        </w:trPr>
        <w:tc>
          <w:tcPr>
            <w:tcW w:w="1307" w:type="dxa"/>
            <w:shd w:val="clear" w:color="auto" w:fill="FFFFFF" w:themeFill="background1"/>
            <w:vAlign w:val="center"/>
          </w:tcPr>
          <w:p w14:paraId="0C5D755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许加纳</w:t>
            </w:r>
          </w:p>
        </w:tc>
        <w:tc>
          <w:tcPr>
            <w:tcW w:w="2126" w:type="dxa"/>
            <w:shd w:val="clear" w:color="auto" w:fill="FFFFFF" w:themeFill="background1"/>
            <w:vAlign w:val="center"/>
          </w:tcPr>
          <w:p w14:paraId="786C11E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建发（杭州）实业有限公司</w:t>
            </w:r>
          </w:p>
        </w:tc>
        <w:tc>
          <w:tcPr>
            <w:tcW w:w="1386" w:type="dxa"/>
            <w:shd w:val="clear" w:color="auto" w:fill="FFFFFF" w:themeFill="background1"/>
            <w:vAlign w:val="center"/>
          </w:tcPr>
          <w:p w14:paraId="64F7AFB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董事长</w:t>
            </w:r>
          </w:p>
        </w:tc>
        <w:tc>
          <w:tcPr>
            <w:tcW w:w="1733" w:type="dxa"/>
            <w:shd w:val="clear" w:color="auto" w:fill="FFFFFF" w:themeFill="background1"/>
            <w:vAlign w:val="center"/>
          </w:tcPr>
          <w:p w14:paraId="0D1C255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2023年05月26日</w:t>
            </w:r>
          </w:p>
        </w:tc>
        <w:tc>
          <w:tcPr>
            <w:tcW w:w="1479" w:type="dxa"/>
            <w:shd w:val="clear" w:color="auto" w:fill="FFFFFF" w:themeFill="background1"/>
            <w:vAlign w:val="center"/>
          </w:tcPr>
          <w:p w14:paraId="0BD1671B"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7B6D2AE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6CD1A32C" w14:textId="77777777" w:rsidTr="00CB6FD6">
        <w:trPr>
          <w:gridAfter w:val="1"/>
          <w:wAfter w:w="14" w:type="dxa"/>
          <w:trHeight w:val="240"/>
        </w:trPr>
        <w:tc>
          <w:tcPr>
            <w:tcW w:w="1307" w:type="dxa"/>
            <w:shd w:val="clear" w:color="auto" w:fill="FFFFFF" w:themeFill="background1"/>
            <w:vAlign w:val="center"/>
          </w:tcPr>
          <w:p w14:paraId="426CF47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许加纳</w:t>
            </w:r>
          </w:p>
        </w:tc>
        <w:tc>
          <w:tcPr>
            <w:tcW w:w="2126" w:type="dxa"/>
            <w:shd w:val="clear" w:color="auto" w:fill="FFFFFF" w:themeFill="background1"/>
            <w:vAlign w:val="center"/>
          </w:tcPr>
          <w:p w14:paraId="68EB586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南京建发清洁能源有限公司</w:t>
            </w:r>
          </w:p>
        </w:tc>
        <w:tc>
          <w:tcPr>
            <w:tcW w:w="1386" w:type="dxa"/>
            <w:shd w:val="clear" w:color="auto" w:fill="FFFFFF" w:themeFill="background1"/>
            <w:vAlign w:val="center"/>
          </w:tcPr>
          <w:p w14:paraId="27AAC20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董事长</w:t>
            </w:r>
          </w:p>
        </w:tc>
        <w:tc>
          <w:tcPr>
            <w:tcW w:w="1733" w:type="dxa"/>
            <w:shd w:val="clear" w:color="auto" w:fill="FFFFFF" w:themeFill="background1"/>
            <w:vAlign w:val="center"/>
          </w:tcPr>
          <w:p w14:paraId="5CE26E3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2023年06月21日</w:t>
            </w:r>
          </w:p>
        </w:tc>
        <w:tc>
          <w:tcPr>
            <w:tcW w:w="1479" w:type="dxa"/>
            <w:shd w:val="clear" w:color="auto" w:fill="FFFFFF" w:themeFill="background1"/>
            <w:vAlign w:val="center"/>
          </w:tcPr>
          <w:p w14:paraId="75AC2958"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68BB199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1A310AE8" w14:textId="77777777" w:rsidTr="00CB6FD6">
        <w:trPr>
          <w:gridAfter w:val="1"/>
          <w:wAfter w:w="14" w:type="dxa"/>
          <w:trHeight w:val="240"/>
        </w:trPr>
        <w:tc>
          <w:tcPr>
            <w:tcW w:w="1307" w:type="dxa"/>
            <w:shd w:val="clear" w:color="auto" w:fill="FFFFFF" w:themeFill="background1"/>
            <w:vAlign w:val="center"/>
          </w:tcPr>
          <w:p w14:paraId="416DCFB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许加纳</w:t>
            </w:r>
          </w:p>
        </w:tc>
        <w:tc>
          <w:tcPr>
            <w:tcW w:w="2126" w:type="dxa"/>
            <w:shd w:val="clear" w:color="auto" w:fill="FFFFFF" w:themeFill="background1"/>
            <w:vAlign w:val="center"/>
          </w:tcPr>
          <w:p w14:paraId="2CC6555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常熟光晟新能源有限公司</w:t>
            </w:r>
          </w:p>
        </w:tc>
        <w:tc>
          <w:tcPr>
            <w:tcW w:w="1386" w:type="dxa"/>
            <w:shd w:val="clear" w:color="auto" w:fill="FFFFFF" w:themeFill="background1"/>
            <w:vAlign w:val="center"/>
          </w:tcPr>
          <w:p w14:paraId="4FC54E8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执行董事，总经理</w:t>
            </w:r>
          </w:p>
        </w:tc>
        <w:tc>
          <w:tcPr>
            <w:tcW w:w="1733" w:type="dxa"/>
            <w:shd w:val="clear" w:color="auto" w:fill="FFFFFF" w:themeFill="background1"/>
            <w:vAlign w:val="center"/>
          </w:tcPr>
          <w:p w14:paraId="5F62CCB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2023年08月18日</w:t>
            </w:r>
          </w:p>
        </w:tc>
        <w:tc>
          <w:tcPr>
            <w:tcW w:w="1479" w:type="dxa"/>
            <w:shd w:val="clear" w:color="auto" w:fill="FFFFFF" w:themeFill="background1"/>
            <w:vAlign w:val="center"/>
          </w:tcPr>
          <w:p w14:paraId="6C5548DF"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1ED9878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20EFD05E" w14:textId="77777777" w:rsidTr="00CB6FD6">
        <w:trPr>
          <w:gridAfter w:val="1"/>
          <w:wAfter w:w="14" w:type="dxa"/>
          <w:trHeight w:val="240"/>
        </w:trPr>
        <w:tc>
          <w:tcPr>
            <w:tcW w:w="1307" w:type="dxa"/>
            <w:shd w:val="clear" w:color="auto" w:fill="FFFFFF" w:themeFill="background1"/>
            <w:vAlign w:val="center"/>
          </w:tcPr>
          <w:p w14:paraId="667C16F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许加纳</w:t>
            </w:r>
          </w:p>
        </w:tc>
        <w:tc>
          <w:tcPr>
            <w:tcW w:w="2126" w:type="dxa"/>
            <w:shd w:val="clear" w:color="auto" w:fill="FFFFFF" w:themeFill="background1"/>
            <w:vAlign w:val="center"/>
          </w:tcPr>
          <w:p w14:paraId="418A9DE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GETOP(THAILAND) CO.,LTD.</w:t>
            </w:r>
          </w:p>
        </w:tc>
        <w:tc>
          <w:tcPr>
            <w:tcW w:w="1386" w:type="dxa"/>
            <w:shd w:val="clear" w:color="auto" w:fill="FFFFFF" w:themeFill="background1"/>
            <w:vAlign w:val="center"/>
          </w:tcPr>
          <w:p w14:paraId="7DD9B23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2397B4E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2024年02月16日</w:t>
            </w:r>
          </w:p>
        </w:tc>
        <w:tc>
          <w:tcPr>
            <w:tcW w:w="1479" w:type="dxa"/>
            <w:shd w:val="clear" w:color="auto" w:fill="FFFFFF" w:themeFill="background1"/>
            <w:vAlign w:val="center"/>
          </w:tcPr>
          <w:p w14:paraId="0E034382"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2E4179F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24AACC5F" w14:textId="77777777" w:rsidTr="00CB6FD6">
        <w:trPr>
          <w:gridAfter w:val="1"/>
          <w:wAfter w:w="14" w:type="dxa"/>
          <w:trHeight w:val="240"/>
        </w:trPr>
        <w:tc>
          <w:tcPr>
            <w:tcW w:w="1307" w:type="dxa"/>
            <w:shd w:val="clear" w:color="auto" w:fill="FFFFFF" w:themeFill="background1"/>
            <w:vAlign w:val="center"/>
          </w:tcPr>
          <w:p w14:paraId="2B197A5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黄昶</w:t>
            </w:r>
          </w:p>
        </w:tc>
        <w:tc>
          <w:tcPr>
            <w:tcW w:w="2126" w:type="dxa"/>
            <w:shd w:val="clear" w:color="auto" w:fill="FFFFFF" w:themeFill="background1"/>
            <w:vAlign w:val="center"/>
          </w:tcPr>
          <w:p w14:paraId="0B78484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湖南建泓新能源有限公司</w:t>
            </w:r>
          </w:p>
        </w:tc>
        <w:tc>
          <w:tcPr>
            <w:tcW w:w="1386" w:type="dxa"/>
            <w:shd w:val="clear" w:color="auto" w:fill="FFFFFF" w:themeFill="background1"/>
            <w:vAlign w:val="center"/>
          </w:tcPr>
          <w:p w14:paraId="2079CDB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董事长</w:t>
            </w:r>
          </w:p>
        </w:tc>
        <w:tc>
          <w:tcPr>
            <w:tcW w:w="1733" w:type="dxa"/>
            <w:shd w:val="clear" w:color="auto" w:fill="FFFFFF" w:themeFill="background1"/>
            <w:vAlign w:val="center"/>
          </w:tcPr>
          <w:p w14:paraId="7BD5E45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2023年04月03日</w:t>
            </w:r>
          </w:p>
        </w:tc>
        <w:tc>
          <w:tcPr>
            <w:tcW w:w="1479" w:type="dxa"/>
            <w:shd w:val="clear" w:color="auto" w:fill="FFFFFF" w:themeFill="background1"/>
            <w:vAlign w:val="center"/>
          </w:tcPr>
          <w:p w14:paraId="57A57E93"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02F5A44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3A5196C8" w14:textId="77777777" w:rsidTr="00CB6FD6">
        <w:trPr>
          <w:gridAfter w:val="1"/>
          <w:wAfter w:w="14" w:type="dxa"/>
          <w:trHeight w:val="240"/>
        </w:trPr>
        <w:tc>
          <w:tcPr>
            <w:tcW w:w="1307" w:type="dxa"/>
            <w:shd w:val="clear" w:color="auto" w:fill="FFFFFF" w:themeFill="background1"/>
            <w:vAlign w:val="center"/>
          </w:tcPr>
          <w:p w14:paraId="476F16E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黄昶</w:t>
            </w:r>
          </w:p>
        </w:tc>
        <w:tc>
          <w:tcPr>
            <w:tcW w:w="2126" w:type="dxa"/>
            <w:shd w:val="clear" w:color="auto" w:fill="FFFFFF" w:themeFill="background1"/>
            <w:vAlign w:val="center"/>
          </w:tcPr>
          <w:p w14:paraId="0BCF7EB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建发（常州）新能源有限公司</w:t>
            </w:r>
          </w:p>
        </w:tc>
        <w:tc>
          <w:tcPr>
            <w:tcW w:w="1386" w:type="dxa"/>
            <w:shd w:val="clear" w:color="auto" w:fill="FFFFFF" w:themeFill="background1"/>
            <w:vAlign w:val="center"/>
          </w:tcPr>
          <w:p w14:paraId="323C9BD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执行公司事务的董事，总经理</w:t>
            </w:r>
          </w:p>
        </w:tc>
        <w:tc>
          <w:tcPr>
            <w:tcW w:w="1733" w:type="dxa"/>
            <w:shd w:val="clear" w:color="auto" w:fill="FFFFFF" w:themeFill="background1"/>
            <w:vAlign w:val="center"/>
          </w:tcPr>
          <w:p w14:paraId="5A33D99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2024年08月19日</w:t>
            </w:r>
          </w:p>
        </w:tc>
        <w:tc>
          <w:tcPr>
            <w:tcW w:w="1479" w:type="dxa"/>
            <w:shd w:val="clear" w:color="auto" w:fill="FFFFFF" w:themeFill="background1"/>
            <w:vAlign w:val="center"/>
          </w:tcPr>
          <w:p w14:paraId="122EE560"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2C2248D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13E65BC4" w14:textId="77777777" w:rsidTr="00CB6FD6">
        <w:trPr>
          <w:gridAfter w:val="1"/>
          <w:wAfter w:w="14" w:type="dxa"/>
          <w:trHeight w:val="240"/>
        </w:trPr>
        <w:tc>
          <w:tcPr>
            <w:tcW w:w="1307" w:type="dxa"/>
            <w:shd w:val="clear" w:color="auto" w:fill="FFFFFF" w:themeFill="background1"/>
            <w:vAlign w:val="center"/>
          </w:tcPr>
          <w:p w14:paraId="67124A5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黄昶</w:t>
            </w:r>
          </w:p>
        </w:tc>
        <w:tc>
          <w:tcPr>
            <w:tcW w:w="2126" w:type="dxa"/>
            <w:shd w:val="clear" w:color="auto" w:fill="FFFFFF" w:themeFill="background1"/>
            <w:vAlign w:val="center"/>
          </w:tcPr>
          <w:p w14:paraId="43BB346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建发（苏州）新能源有限公司</w:t>
            </w:r>
          </w:p>
        </w:tc>
        <w:tc>
          <w:tcPr>
            <w:tcW w:w="1386" w:type="dxa"/>
            <w:shd w:val="clear" w:color="auto" w:fill="FFFFFF" w:themeFill="background1"/>
            <w:vAlign w:val="center"/>
          </w:tcPr>
          <w:p w14:paraId="7FD6988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执行董事</w:t>
            </w:r>
          </w:p>
        </w:tc>
        <w:tc>
          <w:tcPr>
            <w:tcW w:w="1733" w:type="dxa"/>
            <w:shd w:val="clear" w:color="auto" w:fill="FFFFFF" w:themeFill="background1"/>
            <w:vAlign w:val="center"/>
          </w:tcPr>
          <w:p w14:paraId="66A7557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2022年01月17日</w:t>
            </w:r>
          </w:p>
        </w:tc>
        <w:tc>
          <w:tcPr>
            <w:tcW w:w="1479" w:type="dxa"/>
            <w:shd w:val="clear" w:color="auto" w:fill="FFFFFF" w:themeFill="background1"/>
            <w:vAlign w:val="center"/>
          </w:tcPr>
          <w:p w14:paraId="3C862346"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01040FF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26A29135" w14:textId="77777777" w:rsidTr="00CB6FD6">
        <w:trPr>
          <w:gridAfter w:val="1"/>
          <w:wAfter w:w="14" w:type="dxa"/>
          <w:trHeight w:val="240"/>
        </w:trPr>
        <w:tc>
          <w:tcPr>
            <w:tcW w:w="1307" w:type="dxa"/>
            <w:shd w:val="clear" w:color="auto" w:fill="FFFFFF" w:themeFill="background1"/>
            <w:vAlign w:val="center"/>
          </w:tcPr>
          <w:p w14:paraId="075B358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黄昶</w:t>
            </w:r>
          </w:p>
        </w:tc>
        <w:tc>
          <w:tcPr>
            <w:tcW w:w="2126" w:type="dxa"/>
            <w:shd w:val="clear" w:color="auto" w:fill="FFFFFF" w:themeFill="background1"/>
            <w:vAlign w:val="center"/>
          </w:tcPr>
          <w:p w14:paraId="5121AB1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福建力弗特机电工程有限公司</w:t>
            </w:r>
          </w:p>
        </w:tc>
        <w:tc>
          <w:tcPr>
            <w:tcW w:w="1386" w:type="dxa"/>
            <w:shd w:val="clear" w:color="auto" w:fill="FFFFFF" w:themeFill="background1"/>
            <w:vAlign w:val="center"/>
          </w:tcPr>
          <w:p w14:paraId="13AE4DA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执行董事</w:t>
            </w:r>
          </w:p>
        </w:tc>
        <w:tc>
          <w:tcPr>
            <w:tcW w:w="1733" w:type="dxa"/>
            <w:shd w:val="clear" w:color="auto" w:fill="FFFFFF" w:themeFill="background1"/>
            <w:vAlign w:val="center"/>
          </w:tcPr>
          <w:p w14:paraId="20E657E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2020年11月12日</w:t>
            </w:r>
          </w:p>
        </w:tc>
        <w:tc>
          <w:tcPr>
            <w:tcW w:w="1479" w:type="dxa"/>
            <w:shd w:val="clear" w:color="auto" w:fill="FFFFFF" w:themeFill="background1"/>
            <w:vAlign w:val="center"/>
          </w:tcPr>
          <w:p w14:paraId="3FC767BA"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5FE31B7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6EEF7097" w14:textId="77777777" w:rsidTr="00CB6FD6">
        <w:trPr>
          <w:gridAfter w:val="1"/>
          <w:wAfter w:w="14" w:type="dxa"/>
          <w:trHeight w:val="240"/>
        </w:trPr>
        <w:tc>
          <w:tcPr>
            <w:tcW w:w="1307" w:type="dxa"/>
            <w:shd w:val="clear" w:color="auto" w:fill="FFFFFF" w:themeFill="background1"/>
            <w:vAlign w:val="center"/>
          </w:tcPr>
          <w:p w14:paraId="45A96F5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黄昶</w:t>
            </w:r>
          </w:p>
        </w:tc>
        <w:tc>
          <w:tcPr>
            <w:tcW w:w="2126" w:type="dxa"/>
            <w:shd w:val="clear" w:color="auto" w:fill="FFFFFF" w:themeFill="background1"/>
            <w:vAlign w:val="center"/>
          </w:tcPr>
          <w:p w14:paraId="1020B18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浙江力弗特机电工程有限公司</w:t>
            </w:r>
          </w:p>
        </w:tc>
        <w:tc>
          <w:tcPr>
            <w:tcW w:w="1386" w:type="dxa"/>
            <w:shd w:val="clear" w:color="auto" w:fill="FFFFFF" w:themeFill="background1"/>
            <w:vAlign w:val="center"/>
          </w:tcPr>
          <w:p w14:paraId="51472A8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执行董事</w:t>
            </w:r>
          </w:p>
        </w:tc>
        <w:tc>
          <w:tcPr>
            <w:tcW w:w="1733" w:type="dxa"/>
            <w:shd w:val="clear" w:color="auto" w:fill="FFFFFF" w:themeFill="background1"/>
            <w:vAlign w:val="center"/>
          </w:tcPr>
          <w:p w14:paraId="3236AC5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2020年09月04日</w:t>
            </w:r>
          </w:p>
        </w:tc>
        <w:tc>
          <w:tcPr>
            <w:tcW w:w="1479" w:type="dxa"/>
            <w:shd w:val="clear" w:color="auto" w:fill="FFFFFF" w:themeFill="background1"/>
            <w:vAlign w:val="center"/>
          </w:tcPr>
          <w:p w14:paraId="767E941E"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71052F2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31A6A90F" w14:textId="77777777" w:rsidTr="00CB6FD6">
        <w:trPr>
          <w:gridAfter w:val="1"/>
          <w:wAfter w:w="14" w:type="dxa"/>
          <w:trHeight w:val="240"/>
        </w:trPr>
        <w:tc>
          <w:tcPr>
            <w:tcW w:w="1307" w:type="dxa"/>
            <w:shd w:val="clear" w:color="auto" w:fill="FFFFFF" w:themeFill="background1"/>
            <w:vAlign w:val="center"/>
          </w:tcPr>
          <w:p w14:paraId="72BF475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黄昶</w:t>
            </w:r>
          </w:p>
        </w:tc>
        <w:tc>
          <w:tcPr>
            <w:tcW w:w="2126" w:type="dxa"/>
            <w:shd w:val="clear" w:color="auto" w:fill="FFFFFF" w:themeFill="background1"/>
            <w:vAlign w:val="center"/>
          </w:tcPr>
          <w:p w14:paraId="2F1FCF0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南宁建益达供应链管理有限公司</w:t>
            </w:r>
          </w:p>
        </w:tc>
        <w:tc>
          <w:tcPr>
            <w:tcW w:w="1386" w:type="dxa"/>
            <w:shd w:val="clear" w:color="auto" w:fill="FFFFFF" w:themeFill="background1"/>
            <w:vAlign w:val="center"/>
          </w:tcPr>
          <w:p w14:paraId="72555EC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执行董事</w:t>
            </w:r>
          </w:p>
        </w:tc>
        <w:tc>
          <w:tcPr>
            <w:tcW w:w="1733" w:type="dxa"/>
            <w:shd w:val="clear" w:color="auto" w:fill="FFFFFF" w:themeFill="background1"/>
            <w:vAlign w:val="center"/>
          </w:tcPr>
          <w:p w14:paraId="5023184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2021年06月28日</w:t>
            </w:r>
          </w:p>
        </w:tc>
        <w:tc>
          <w:tcPr>
            <w:tcW w:w="1479" w:type="dxa"/>
            <w:shd w:val="clear" w:color="auto" w:fill="FFFFFF" w:themeFill="background1"/>
            <w:vAlign w:val="center"/>
          </w:tcPr>
          <w:p w14:paraId="6D67E111"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453231A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0D648E5E" w14:textId="77777777" w:rsidTr="00CB6FD6">
        <w:trPr>
          <w:gridAfter w:val="1"/>
          <w:wAfter w:w="14" w:type="dxa"/>
          <w:trHeight w:val="240"/>
        </w:trPr>
        <w:tc>
          <w:tcPr>
            <w:tcW w:w="1307" w:type="dxa"/>
            <w:shd w:val="clear" w:color="auto" w:fill="FFFFFF" w:themeFill="background1"/>
            <w:vAlign w:val="center"/>
          </w:tcPr>
          <w:p w14:paraId="61B0676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黄昶</w:t>
            </w:r>
          </w:p>
        </w:tc>
        <w:tc>
          <w:tcPr>
            <w:tcW w:w="2126" w:type="dxa"/>
            <w:shd w:val="clear" w:color="auto" w:fill="FFFFFF" w:themeFill="background1"/>
            <w:vAlign w:val="center"/>
          </w:tcPr>
          <w:p w14:paraId="477CF60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深圳瑞益成科技有限公司</w:t>
            </w:r>
          </w:p>
        </w:tc>
        <w:tc>
          <w:tcPr>
            <w:tcW w:w="1386" w:type="dxa"/>
            <w:shd w:val="clear" w:color="auto" w:fill="FFFFFF" w:themeFill="background1"/>
            <w:vAlign w:val="center"/>
          </w:tcPr>
          <w:p w14:paraId="1FF62E5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执行董事</w:t>
            </w:r>
          </w:p>
        </w:tc>
        <w:tc>
          <w:tcPr>
            <w:tcW w:w="1733" w:type="dxa"/>
            <w:shd w:val="clear" w:color="auto" w:fill="FFFFFF" w:themeFill="background1"/>
            <w:vAlign w:val="center"/>
          </w:tcPr>
          <w:p w14:paraId="425BF53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2016年09月29日</w:t>
            </w:r>
          </w:p>
        </w:tc>
        <w:tc>
          <w:tcPr>
            <w:tcW w:w="1479" w:type="dxa"/>
            <w:shd w:val="clear" w:color="auto" w:fill="FFFFFF" w:themeFill="background1"/>
            <w:vAlign w:val="center"/>
          </w:tcPr>
          <w:p w14:paraId="5CDA9791"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48F5810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6C4B5321" w14:textId="77777777" w:rsidTr="00CB6FD6">
        <w:trPr>
          <w:gridAfter w:val="1"/>
          <w:wAfter w:w="14" w:type="dxa"/>
          <w:trHeight w:val="240"/>
        </w:trPr>
        <w:tc>
          <w:tcPr>
            <w:tcW w:w="1307" w:type="dxa"/>
            <w:shd w:val="clear" w:color="auto" w:fill="FFFFFF" w:themeFill="background1"/>
            <w:vAlign w:val="center"/>
          </w:tcPr>
          <w:p w14:paraId="65B659E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lastRenderedPageBreak/>
              <w:t>黄昶</w:t>
            </w:r>
          </w:p>
        </w:tc>
        <w:tc>
          <w:tcPr>
            <w:tcW w:w="2126" w:type="dxa"/>
            <w:shd w:val="clear" w:color="auto" w:fill="FFFFFF" w:themeFill="background1"/>
            <w:vAlign w:val="center"/>
          </w:tcPr>
          <w:p w14:paraId="1FA4D8A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厦门建益达有限公司</w:t>
            </w:r>
          </w:p>
        </w:tc>
        <w:tc>
          <w:tcPr>
            <w:tcW w:w="1386" w:type="dxa"/>
            <w:shd w:val="clear" w:color="auto" w:fill="FFFFFF" w:themeFill="background1"/>
            <w:vAlign w:val="center"/>
          </w:tcPr>
          <w:p w14:paraId="121751D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总经理,董事</w:t>
            </w:r>
          </w:p>
        </w:tc>
        <w:tc>
          <w:tcPr>
            <w:tcW w:w="1733" w:type="dxa"/>
            <w:shd w:val="clear" w:color="auto" w:fill="FFFFFF" w:themeFill="background1"/>
            <w:vAlign w:val="center"/>
          </w:tcPr>
          <w:p w14:paraId="23AA4A5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2018年03月21日</w:t>
            </w:r>
          </w:p>
        </w:tc>
        <w:tc>
          <w:tcPr>
            <w:tcW w:w="1479" w:type="dxa"/>
            <w:shd w:val="clear" w:color="auto" w:fill="FFFFFF" w:themeFill="background1"/>
            <w:vAlign w:val="center"/>
          </w:tcPr>
          <w:p w14:paraId="56F1D047"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15D01F3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是</w:t>
            </w:r>
          </w:p>
        </w:tc>
      </w:tr>
      <w:tr w:rsidR="00632E5B" w14:paraId="584363B0" w14:textId="77777777" w:rsidTr="00CB6FD6">
        <w:trPr>
          <w:gridAfter w:val="1"/>
          <w:wAfter w:w="14" w:type="dxa"/>
          <w:trHeight w:val="240"/>
        </w:trPr>
        <w:tc>
          <w:tcPr>
            <w:tcW w:w="1307" w:type="dxa"/>
            <w:shd w:val="clear" w:color="auto" w:fill="FFFFFF" w:themeFill="background1"/>
            <w:vAlign w:val="center"/>
          </w:tcPr>
          <w:p w14:paraId="20C10F6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黄昶</w:t>
            </w:r>
          </w:p>
        </w:tc>
        <w:tc>
          <w:tcPr>
            <w:tcW w:w="2126" w:type="dxa"/>
            <w:shd w:val="clear" w:color="auto" w:fill="FFFFFF" w:themeFill="background1"/>
            <w:vAlign w:val="center"/>
          </w:tcPr>
          <w:p w14:paraId="2977AF6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厦门建发新兴能源有限公司</w:t>
            </w:r>
          </w:p>
        </w:tc>
        <w:tc>
          <w:tcPr>
            <w:tcW w:w="1386" w:type="dxa"/>
            <w:shd w:val="clear" w:color="auto" w:fill="FFFFFF" w:themeFill="background1"/>
            <w:vAlign w:val="center"/>
          </w:tcPr>
          <w:p w14:paraId="6F9151A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经理，董事</w:t>
            </w:r>
          </w:p>
        </w:tc>
        <w:tc>
          <w:tcPr>
            <w:tcW w:w="1733" w:type="dxa"/>
            <w:shd w:val="clear" w:color="auto" w:fill="FFFFFF" w:themeFill="background1"/>
            <w:vAlign w:val="center"/>
          </w:tcPr>
          <w:p w14:paraId="34F6F6F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2023年01月04日</w:t>
            </w:r>
          </w:p>
        </w:tc>
        <w:tc>
          <w:tcPr>
            <w:tcW w:w="1479" w:type="dxa"/>
            <w:shd w:val="clear" w:color="auto" w:fill="FFFFFF" w:themeFill="background1"/>
            <w:vAlign w:val="center"/>
          </w:tcPr>
          <w:p w14:paraId="016E6171"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029CE68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767DD868" w14:textId="77777777" w:rsidTr="00CB6FD6">
        <w:trPr>
          <w:gridAfter w:val="1"/>
          <w:wAfter w:w="14" w:type="dxa"/>
          <w:trHeight w:val="240"/>
        </w:trPr>
        <w:tc>
          <w:tcPr>
            <w:tcW w:w="1307" w:type="dxa"/>
            <w:shd w:val="clear" w:color="auto" w:fill="FFFFFF" w:themeFill="background1"/>
            <w:vAlign w:val="center"/>
          </w:tcPr>
          <w:p w14:paraId="2C543C3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黄昶</w:t>
            </w:r>
          </w:p>
        </w:tc>
        <w:tc>
          <w:tcPr>
            <w:tcW w:w="2126" w:type="dxa"/>
            <w:shd w:val="clear" w:color="auto" w:fill="FFFFFF" w:themeFill="background1"/>
            <w:vAlign w:val="center"/>
          </w:tcPr>
          <w:p w14:paraId="3696594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宿州顺风光电科技有限公司</w:t>
            </w:r>
          </w:p>
        </w:tc>
        <w:tc>
          <w:tcPr>
            <w:tcW w:w="1386" w:type="dxa"/>
            <w:shd w:val="clear" w:color="auto" w:fill="FFFFFF" w:themeFill="background1"/>
            <w:vAlign w:val="center"/>
          </w:tcPr>
          <w:p w14:paraId="40EBD01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319AA6E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2023年07月13日</w:t>
            </w:r>
          </w:p>
        </w:tc>
        <w:tc>
          <w:tcPr>
            <w:tcW w:w="1479" w:type="dxa"/>
            <w:shd w:val="clear" w:color="auto" w:fill="FFFFFF" w:themeFill="background1"/>
            <w:vAlign w:val="center"/>
          </w:tcPr>
          <w:p w14:paraId="150277CA"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1ABA41D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503EDDFA" w14:textId="77777777" w:rsidTr="00CB6FD6">
        <w:trPr>
          <w:gridAfter w:val="1"/>
          <w:wAfter w:w="14" w:type="dxa"/>
          <w:trHeight w:val="240"/>
        </w:trPr>
        <w:tc>
          <w:tcPr>
            <w:tcW w:w="1307" w:type="dxa"/>
            <w:shd w:val="clear" w:color="auto" w:fill="FFFFFF" w:themeFill="background1"/>
            <w:vAlign w:val="center"/>
          </w:tcPr>
          <w:p w14:paraId="54E40A2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黄昶</w:t>
            </w:r>
          </w:p>
        </w:tc>
        <w:tc>
          <w:tcPr>
            <w:tcW w:w="2126" w:type="dxa"/>
            <w:shd w:val="clear" w:color="auto" w:fill="FFFFFF" w:themeFill="background1"/>
            <w:vAlign w:val="center"/>
          </w:tcPr>
          <w:p w14:paraId="4B66B4D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建联集成（厦门）科技有限公司</w:t>
            </w:r>
          </w:p>
        </w:tc>
        <w:tc>
          <w:tcPr>
            <w:tcW w:w="1386" w:type="dxa"/>
            <w:shd w:val="clear" w:color="auto" w:fill="FFFFFF" w:themeFill="background1"/>
            <w:vAlign w:val="center"/>
          </w:tcPr>
          <w:p w14:paraId="3E337B4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580E672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2018年06月19日</w:t>
            </w:r>
          </w:p>
        </w:tc>
        <w:tc>
          <w:tcPr>
            <w:tcW w:w="1479" w:type="dxa"/>
            <w:shd w:val="clear" w:color="auto" w:fill="FFFFFF" w:themeFill="background1"/>
            <w:vAlign w:val="center"/>
          </w:tcPr>
          <w:p w14:paraId="3B99359D"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7FAAA31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13C76F60" w14:textId="77777777" w:rsidTr="00CB6FD6">
        <w:trPr>
          <w:gridAfter w:val="1"/>
          <w:wAfter w:w="14" w:type="dxa"/>
          <w:trHeight w:val="240"/>
        </w:trPr>
        <w:tc>
          <w:tcPr>
            <w:tcW w:w="1307" w:type="dxa"/>
            <w:shd w:val="clear" w:color="auto" w:fill="FFFFFF" w:themeFill="background1"/>
            <w:vAlign w:val="center"/>
          </w:tcPr>
          <w:p w14:paraId="16D6A42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黄昶</w:t>
            </w:r>
          </w:p>
        </w:tc>
        <w:tc>
          <w:tcPr>
            <w:tcW w:w="2126" w:type="dxa"/>
            <w:shd w:val="clear" w:color="auto" w:fill="FFFFFF" w:themeFill="background1"/>
            <w:vAlign w:val="center"/>
          </w:tcPr>
          <w:p w14:paraId="436427F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华邮数字文化技术研究院（厦门）有限公司</w:t>
            </w:r>
          </w:p>
        </w:tc>
        <w:tc>
          <w:tcPr>
            <w:tcW w:w="1386" w:type="dxa"/>
            <w:shd w:val="clear" w:color="auto" w:fill="FFFFFF" w:themeFill="background1"/>
            <w:vAlign w:val="center"/>
          </w:tcPr>
          <w:p w14:paraId="745DE04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5071204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2020年04月10日</w:t>
            </w:r>
          </w:p>
        </w:tc>
        <w:tc>
          <w:tcPr>
            <w:tcW w:w="1479" w:type="dxa"/>
            <w:shd w:val="clear" w:color="auto" w:fill="FFFFFF" w:themeFill="background1"/>
            <w:vAlign w:val="center"/>
          </w:tcPr>
          <w:p w14:paraId="1EF08855"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0CAAE95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630C61C3" w14:textId="77777777" w:rsidTr="00CB6FD6">
        <w:trPr>
          <w:gridAfter w:val="1"/>
          <w:wAfter w:w="14" w:type="dxa"/>
          <w:trHeight w:val="240"/>
        </w:trPr>
        <w:tc>
          <w:tcPr>
            <w:tcW w:w="1307" w:type="dxa"/>
            <w:shd w:val="clear" w:color="auto" w:fill="FFFFFF" w:themeFill="background1"/>
            <w:vAlign w:val="center"/>
          </w:tcPr>
          <w:p w14:paraId="6508808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黄昶</w:t>
            </w:r>
          </w:p>
        </w:tc>
        <w:tc>
          <w:tcPr>
            <w:tcW w:w="2126" w:type="dxa"/>
            <w:shd w:val="clear" w:color="auto" w:fill="FFFFFF" w:themeFill="background1"/>
            <w:vAlign w:val="center"/>
          </w:tcPr>
          <w:p w14:paraId="1236AB6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鼎昊国际先进材料技术（泰国）有限公司</w:t>
            </w:r>
          </w:p>
        </w:tc>
        <w:tc>
          <w:tcPr>
            <w:tcW w:w="1386" w:type="dxa"/>
            <w:shd w:val="clear" w:color="auto" w:fill="FFFFFF" w:themeFill="background1"/>
            <w:vAlign w:val="center"/>
          </w:tcPr>
          <w:p w14:paraId="565A86C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69F0690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2024年04月25日</w:t>
            </w:r>
          </w:p>
        </w:tc>
        <w:tc>
          <w:tcPr>
            <w:tcW w:w="1479" w:type="dxa"/>
            <w:shd w:val="clear" w:color="auto" w:fill="FFFFFF" w:themeFill="background1"/>
            <w:vAlign w:val="center"/>
          </w:tcPr>
          <w:p w14:paraId="46F97C32"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6C1E576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7EA23244" w14:textId="77777777" w:rsidTr="00CB6FD6">
        <w:trPr>
          <w:gridAfter w:val="1"/>
          <w:wAfter w:w="14" w:type="dxa"/>
          <w:trHeight w:val="240"/>
        </w:trPr>
        <w:tc>
          <w:tcPr>
            <w:tcW w:w="1307" w:type="dxa"/>
            <w:shd w:val="clear" w:color="auto" w:fill="FFFFFF" w:themeFill="background1"/>
            <w:vAlign w:val="center"/>
          </w:tcPr>
          <w:p w14:paraId="6D0F512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7FAA154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厦门建发股份有限公司</w:t>
            </w:r>
          </w:p>
        </w:tc>
        <w:tc>
          <w:tcPr>
            <w:tcW w:w="1386" w:type="dxa"/>
            <w:shd w:val="clear" w:color="auto" w:fill="FFFFFF" w:themeFill="background1"/>
            <w:vAlign w:val="center"/>
          </w:tcPr>
          <w:p w14:paraId="3AFFD87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党委副书记，董事长</w:t>
            </w:r>
          </w:p>
        </w:tc>
        <w:tc>
          <w:tcPr>
            <w:tcW w:w="1733" w:type="dxa"/>
            <w:shd w:val="clear" w:color="auto" w:fill="FFFFFF" w:themeFill="background1"/>
            <w:vAlign w:val="center"/>
          </w:tcPr>
          <w:p w14:paraId="041FBDE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2016年05月24日</w:t>
            </w:r>
          </w:p>
        </w:tc>
        <w:tc>
          <w:tcPr>
            <w:tcW w:w="1479" w:type="dxa"/>
            <w:shd w:val="clear" w:color="auto" w:fill="FFFFFF" w:themeFill="background1"/>
            <w:vAlign w:val="center"/>
          </w:tcPr>
          <w:p w14:paraId="50C3E4C9"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062CC58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是</w:t>
            </w:r>
          </w:p>
        </w:tc>
      </w:tr>
      <w:tr w:rsidR="00632E5B" w14:paraId="6E638580" w14:textId="77777777" w:rsidTr="00CB6FD6">
        <w:trPr>
          <w:gridAfter w:val="1"/>
          <w:wAfter w:w="14" w:type="dxa"/>
          <w:trHeight w:val="240"/>
        </w:trPr>
        <w:tc>
          <w:tcPr>
            <w:tcW w:w="1307" w:type="dxa"/>
            <w:shd w:val="clear" w:color="auto" w:fill="FFFFFF" w:themeFill="background1"/>
            <w:vAlign w:val="center"/>
          </w:tcPr>
          <w:p w14:paraId="2F6F485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5B36681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厦门现代码头有限公司</w:t>
            </w:r>
          </w:p>
        </w:tc>
        <w:tc>
          <w:tcPr>
            <w:tcW w:w="1386" w:type="dxa"/>
            <w:shd w:val="clear" w:color="auto" w:fill="FFFFFF" w:themeFill="background1"/>
            <w:vAlign w:val="center"/>
          </w:tcPr>
          <w:p w14:paraId="5144800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4BEFF9B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2020年08月03日</w:t>
            </w:r>
          </w:p>
        </w:tc>
        <w:tc>
          <w:tcPr>
            <w:tcW w:w="1479" w:type="dxa"/>
            <w:shd w:val="clear" w:color="auto" w:fill="FFFFFF" w:themeFill="background1"/>
            <w:vAlign w:val="center"/>
          </w:tcPr>
          <w:p w14:paraId="504C8ACC"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2375845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51D02659" w14:textId="77777777" w:rsidTr="00CB6FD6">
        <w:trPr>
          <w:gridAfter w:val="1"/>
          <w:wAfter w:w="14" w:type="dxa"/>
          <w:trHeight w:val="240"/>
        </w:trPr>
        <w:tc>
          <w:tcPr>
            <w:tcW w:w="1307" w:type="dxa"/>
            <w:shd w:val="clear" w:color="auto" w:fill="FFFFFF" w:themeFill="background1"/>
            <w:vAlign w:val="center"/>
          </w:tcPr>
          <w:p w14:paraId="7B0575A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1B7FBF7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四川永丰浆纸股份有限公司</w:t>
            </w:r>
          </w:p>
        </w:tc>
        <w:tc>
          <w:tcPr>
            <w:tcW w:w="1386" w:type="dxa"/>
            <w:shd w:val="clear" w:color="auto" w:fill="FFFFFF" w:themeFill="background1"/>
            <w:vAlign w:val="center"/>
          </w:tcPr>
          <w:p w14:paraId="0EE127C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6EC0A8B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2016年05月17日</w:t>
            </w:r>
          </w:p>
        </w:tc>
        <w:tc>
          <w:tcPr>
            <w:tcW w:w="1479" w:type="dxa"/>
            <w:shd w:val="clear" w:color="auto" w:fill="FFFFFF" w:themeFill="background1"/>
            <w:vAlign w:val="center"/>
          </w:tcPr>
          <w:p w14:paraId="7014FB4C"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6FF980D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173C96D7" w14:textId="77777777" w:rsidTr="00CB6FD6">
        <w:trPr>
          <w:gridAfter w:val="1"/>
          <w:wAfter w:w="14" w:type="dxa"/>
          <w:trHeight w:val="240"/>
        </w:trPr>
        <w:tc>
          <w:tcPr>
            <w:tcW w:w="1307" w:type="dxa"/>
            <w:shd w:val="clear" w:color="auto" w:fill="FFFFFF" w:themeFill="background1"/>
            <w:vAlign w:val="center"/>
          </w:tcPr>
          <w:p w14:paraId="395BFC6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18EDB2C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厦门上市公司协会</w:t>
            </w:r>
          </w:p>
        </w:tc>
        <w:tc>
          <w:tcPr>
            <w:tcW w:w="1386" w:type="dxa"/>
            <w:shd w:val="clear" w:color="auto" w:fill="FFFFFF" w:themeFill="background1"/>
            <w:vAlign w:val="center"/>
          </w:tcPr>
          <w:p w14:paraId="71EFAC0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副会长</w:t>
            </w:r>
          </w:p>
        </w:tc>
        <w:tc>
          <w:tcPr>
            <w:tcW w:w="1733" w:type="dxa"/>
            <w:shd w:val="clear" w:color="auto" w:fill="FFFFFF" w:themeFill="background1"/>
            <w:vAlign w:val="center"/>
          </w:tcPr>
          <w:p w14:paraId="12A80D9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2023年03月17日</w:t>
            </w:r>
          </w:p>
        </w:tc>
        <w:tc>
          <w:tcPr>
            <w:tcW w:w="1479" w:type="dxa"/>
            <w:shd w:val="clear" w:color="auto" w:fill="FFFFFF" w:themeFill="background1"/>
            <w:vAlign w:val="center"/>
          </w:tcPr>
          <w:p w14:paraId="541E53C3"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2A804DF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432F1E24" w14:textId="77777777" w:rsidTr="00CB6FD6">
        <w:trPr>
          <w:gridAfter w:val="1"/>
          <w:wAfter w:w="14" w:type="dxa"/>
          <w:trHeight w:val="240"/>
        </w:trPr>
        <w:tc>
          <w:tcPr>
            <w:tcW w:w="1307" w:type="dxa"/>
            <w:shd w:val="clear" w:color="auto" w:fill="FFFFFF" w:themeFill="background1"/>
            <w:vAlign w:val="center"/>
          </w:tcPr>
          <w:p w14:paraId="0A7364D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07F132F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厦门建发钢铁集团有限公司</w:t>
            </w:r>
          </w:p>
        </w:tc>
        <w:tc>
          <w:tcPr>
            <w:tcW w:w="1386" w:type="dxa"/>
            <w:shd w:val="clear" w:color="auto" w:fill="FFFFFF" w:themeFill="background1"/>
            <w:vAlign w:val="center"/>
          </w:tcPr>
          <w:p w14:paraId="4B3C64C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66F1F6B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2023年04月04日</w:t>
            </w:r>
          </w:p>
        </w:tc>
        <w:tc>
          <w:tcPr>
            <w:tcW w:w="1479" w:type="dxa"/>
            <w:shd w:val="clear" w:color="auto" w:fill="FFFFFF" w:themeFill="background1"/>
            <w:vAlign w:val="center"/>
          </w:tcPr>
          <w:p w14:paraId="6B937418"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12D9A8D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7DA21C05" w14:textId="77777777" w:rsidTr="00CB6FD6">
        <w:trPr>
          <w:gridAfter w:val="1"/>
          <w:wAfter w:w="14" w:type="dxa"/>
          <w:trHeight w:val="240"/>
        </w:trPr>
        <w:tc>
          <w:tcPr>
            <w:tcW w:w="1307" w:type="dxa"/>
            <w:shd w:val="clear" w:color="auto" w:fill="FFFFFF" w:themeFill="background1"/>
            <w:vAlign w:val="center"/>
          </w:tcPr>
          <w:p w14:paraId="01A4235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10ECBFC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厦门建发融资租赁有限公司</w:t>
            </w:r>
          </w:p>
        </w:tc>
        <w:tc>
          <w:tcPr>
            <w:tcW w:w="1386" w:type="dxa"/>
            <w:shd w:val="clear" w:color="auto" w:fill="FFFFFF" w:themeFill="background1"/>
            <w:vAlign w:val="center"/>
          </w:tcPr>
          <w:p w14:paraId="658558A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47A8036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2006年03月13日</w:t>
            </w:r>
          </w:p>
        </w:tc>
        <w:tc>
          <w:tcPr>
            <w:tcW w:w="1479" w:type="dxa"/>
            <w:shd w:val="clear" w:color="auto" w:fill="FFFFFF" w:themeFill="background1"/>
            <w:vAlign w:val="center"/>
          </w:tcPr>
          <w:p w14:paraId="139890FE"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5EFF27A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1BCD394E" w14:textId="77777777" w:rsidTr="00CB6FD6">
        <w:trPr>
          <w:gridAfter w:val="1"/>
          <w:wAfter w:w="14" w:type="dxa"/>
          <w:trHeight w:val="240"/>
        </w:trPr>
        <w:tc>
          <w:tcPr>
            <w:tcW w:w="1307" w:type="dxa"/>
            <w:shd w:val="clear" w:color="auto" w:fill="FFFFFF" w:themeFill="background1"/>
            <w:vAlign w:val="center"/>
          </w:tcPr>
          <w:p w14:paraId="4F19D58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2D21F45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厦门建发金属有限公司</w:t>
            </w:r>
          </w:p>
        </w:tc>
        <w:tc>
          <w:tcPr>
            <w:tcW w:w="1386" w:type="dxa"/>
            <w:shd w:val="clear" w:color="auto" w:fill="FFFFFF" w:themeFill="background1"/>
            <w:vAlign w:val="center"/>
          </w:tcPr>
          <w:p w14:paraId="0AA8567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770A2CC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2023年04月21日</w:t>
            </w:r>
          </w:p>
        </w:tc>
        <w:tc>
          <w:tcPr>
            <w:tcW w:w="1479" w:type="dxa"/>
            <w:shd w:val="clear" w:color="auto" w:fill="FFFFFF" w:themeFill="background1"/>
            <w:vAlign w:val="center"/>
          </w:tcPr>
          <w:p w14:paraId="5C63EF48"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00DF911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132EBAE3" w14:textId="77777777" w:rsidTr="00CB6FD6">
        <w:trPr>
          <w:gridAfter w:val="1"/>
          <w:wAfter w:w="14" w:type="dxa"/>
          <w:trHeight w:val="240"/>
        </w:trPr>
        <w:tc>
          <w:tcPr>
            <w:tcW w:w="1307" w:type="dxa"/>
            <w:shd w:val="clear" w:color="auto" w:fill="FFFFFF" w:themeFill="background1"/>
            <w:vAlign w:val="center"/>
          </w:tcPr>
          <w:p w14:paraId="2B1C300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736BD8A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厦门建发物产有限公司</w:t>
            </w:r>
          </w:p>
        </w:tc>
        <w:tc>
          <w:tcPr>
            <w:tcW w:w="1386" w:type="dxa"/>
            <w:shd w:val="clear" w:color="auto" w:fill="FFFFFF" w:themeFill="background1"/>
            <w:vAlign w:val="center"/>
          </w:tcPr>
          <w:p w14:paraId="0B630E7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722DD4D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2018年04月04日</w:t>
            </w:r>
          </w:p>
        </w:tc>
        <w:tc>
          <w:tcPr>
            <w:tcW w:w="1479" w:type="dxa"/>
            <w:shd w:val="clear" w:color="auto" w:fill="FFFFFF" w:themeFill="background1"/>
            <w:vAlign w:val="center"/>
          </w:tcPr>
          <w:p w14:paraId="634B73D4"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60A7748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7F09B9C6" w14:textId="77777777" w:rsidTr="00CB6FD6">
        <w:trPr>
          <w:gridAfter w:val="1"/>
          <w:wAfter w:w="14" w:type="dxa"/>
          <w:trHeight w:val="240"/>
        </w:trPr>
        <w:tc>
          <w:tcPr>
            <w:tcW w:w="1307" w:type="dxa"/>
            <w:shd w:val="clear" w:color="auto" w:fill="FFFFFF" w:themeFill="background1"/>
            <w:vAlign w:val="center"/>
          </w:tcPr>
          <w:p w14:paraId="02C4476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3EF3B89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厦门建发供应链物流科技有限公司</w:t>
            </w:r>
          </w:p>
        </w:tc>
        <w:tc>
          <w:tcPr>
            <w:tcW w:w="1386" w:type="dxa"/>
            <w:shd w:val="clear" w:color="auto" w:fill="FFFFFF" w:themeFill="background1"/>
            <w:vAlign w:val="center"/>
          </w:tcPr>
          <w:p w14:paraId="26FE77D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董事长</w:t>
            </w:r>
          </w:p>
        </w:tc>
        <w:tc>
          <w:tcPr>
            <w:tcW w:w="1733" w:type="dxa"/>
            <w:shd w:val="clear" w:color="auto" w:fill="FFFFFF" w:themeFill="background1"/>
            <w:vAlign w:val="center"/>
          </w:tcPr>
          <w:p w14:paraId="0B47656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2023年02月13日</w:t>
            </w:r>
          </w:p>
        </w:tc>
        <w:tc>
          <w:tcPr>
            <w:tcW w:w="1479" w:type="dxa"/>
            <w:shd w:val="clear" w:color="auto" w:fill="FFFFFF" w:themeFill="background1"/>
            <w:vAlign w:val="center"/>
          </w:tcPr>
          <w:p w14:paraId="4D0A8134"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270B7EB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6AA27E05" w14:textId="77777777" w:rsidTr="00CB6FD6">
        <w:trPr>
          <w:gridAfter w:val="1"/>
          <w:wAfter w:w="14" w:type="dxa"/>
          <w:trHeight w:val="240"/>
        </w:trPr>
        <w:tc>
          <w:tcPr>
            <w:tcW w:w="1307" w:type="dxa"/>
            <w:shd w:val="clear" w:color="auto" w:fill="FFFFFF" w:themeFill="background1"/>
            <w:vAlign w:val="center"/>
          </w:tcPr>
          <w:p w14:paraId="3328EC1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43F5543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上海建发物资有限公司</w:t>
            </w:r>
          </w:p>
        </w:tc>
        <w:tc>
          <w:tcPr>
            <w:tcW w:w="1386" w:type="dxa"/>
            <w:shd w:val="clear" w:color="auto" w:fill="FFFFFF" w:themeFill="background1"/>
            <w:vAlign w:val="center"/>
          </w:tcPr>
          <w:p w14:paraId="35ACAE7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3CAE58C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2023年05月10日</w:t>
            </w:r>
          </w:p>
        </w:tc>
        <w:tc>
          <w:tcPr>
            <w:tcW w:w="1479" w:type="dxa"/>
            <w:shd w:val="clear" w:color="auto" w:fill="FFFFFF" w:themeFill="background1"/>
            <w:vAlign w:val="center"/>
          </w:tcPr>
          <w:p w14:paraId="078FED89"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3798593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2C08D571" w14:textId="77777777" w:rsidTr="00CB6FD6">
        <w:trPr>
          <w:gridAfter w:val="1"/>
          <w:wAfter w:w="14" w:type="dxa"/>
          <w:trHeight w:val="240"/>
        </w:trPr>
        <w:tc>
          <w:tcPr>
            <w:tcW w:w="1307" w:type="dxa"/>
            <w:shd w:val="clear" w:color="auto" w:fill="FFFFFF" w:themeFill="background1"/>
            <w:vAlign w:val="center"/>
          </w:tcPr>
          <w:p w14:paraId="76C9821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2B91C63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厦门建发浆纸集团有限公司</w:t>
            </w:r>
          </w:p>
        </w:tc>
        <w:tc>
          <w:tcPr>
            <w:tcW w:w="1386" w:type="dxa"/>
            <w:shd w:val="clear" w:color="auto" w:fill="FFFFFF" w:themeFill="background1"/>
            <w:vAlign w:val="center"/>
          </w:tcPr>
          <w:p w14:paraId="126DF5A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董事长</w:t>
            </w:r>
          </w:p>
        </w:tc>
        <w:tc>
          <w:tcPr>
            <w:tcW w:w="1733" w:type="dxa"/>
            <w:shd w:val="clear" w:color="auto" w:fill="FFFFFF" w:themeFill="background1"/>
            <w:vAlign w:val="center"/>
          </w:tcPr>
          <w:p w14:paraId="1F7536E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2015年03月05日</w:t>
            </w:r>
          </w:p>
        </w:tc>
        <w:tc>
          <w:tcPr>
            <w:tcW w:w="1479" w:type="dxa"/>
            <w:shd w:val="clear" w:color="auto" w:fill="FFFFFF" w:themeFill="background1"/>
            <w:vAlign w:val="center"/>
          </w:tcPr>
          <w:p w14:paraId="6EC7D05F"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0291BCE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2329A053" w14:textId="77777777" w:rsidTr="00CB6FD6">
        <w:trPr>
          <w:gridAfter w:val="1"/>
          <w:wAfter w:w="14" w:type="dxa"/>
          <w:trHeight w:val="240"/>
        </w:trPr>
        <w:tc>
          <w:tcPr>
            <w:tcW w:w="1307" w:type="dxa"/>
            <w:shd w:val="clear" w:color="auto" w:fill="FFFFFF" w:themeFill="background1"/>
            <w:vAlign w:val="center"/>
          </w:tcPr>
          <w:p w14:paraId="69F11CA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61E42F6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建发物流集团有限公司</w:t>
            </w:r>
          </w:p>
        </w:tc>
        <w:tc>
          <w:tcPr>
            <w:tcW w:w="1386" w:type="dxa"/>
            <w:shd w:val="clear" w:color="auto" w:fill="FFFFFF" w:themeFill="background1"/>
            <w:vAlign w:val="center"/>
          </w:tcPr>
          <w:p w14:paraId="09FB068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7E36B59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2023年05月08日</w:t>
            </w:r>
          </w:p>
        </w:tc>
        <w:tc>
          <w:tcPr>
            <w:tcW w:w="1479" w:type="dxa"/>
            <w:shd w:val="clear" w:color="auto" w:fill="FFFFFF" w:themeFill="background1"/>
            <w:vAlign w:val="center"/>
          </w:tcPr>
          <w:p w14:paraId="13E183C7"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4D89310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6F0371BB" w14:textId="77777777" w:rsidTr="00CB6FD6">
        <w:trPr>
          <w:gridAfter w:val="1"/>
          <w:wAfter w:w="14" w:type="dxa"/>
          <w:trHeight w:val="240"/>
        </w:trPr>
        <w:tc>
          <w:tcPr>
            <w:tcW w:w="1307" w:type="dxa"/>
            <w:shd w:val="clear" w:color="auto" w:fill="FFFFFF" w:themeFill="background1"/>
            <w:vAlign w:val="center"/>
          </w:tcPr>
          <w:p w14:paraId="0EF8430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65304A3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厦门建发新兴能源有限公司</w:t>
            </w:r>
          </w:p>
        </w:tc>
        <w:tc>
          <w:tcPr>
            <w:tcW w:w="1386" w:type="dxa"/>
            <w:shd w:val="clear" w:color="auto" w:fill="FFFFFF" w:themeFill="background1"/>
            <w:vAlign w:val="center"/>
          </w:tcPr>
          <w:p w14:paraId="089B342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452CD41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2023年01月04日</w:t>
            </w:r>
          </w:p>
        </w:tc>
        <w:tc>
          <w:tcPr>
            <w:tcW w:w="1479" w:type="dxa"/>
            <w:shd w:val="clear" w:color="auto" w:fill="FFFFFF" w:themeFill="background1"/>
            <w:vAlign w:val="center"/>
          </w:tcPr>
          <w:p w14:paraId="63D2912F"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2018B5C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0568C91F" w14:textId="77777777" w:rsidTr="00CB6FD6">
        <w:trPr>
          <w:gridAfter w:val="1"/>
          <w:wAfter w:w="14" w:type="dxa"/>
          <w:trHeight w:val="240"/>
        </w:trPr>
        <w:tc>
          <w:tcPr>
            <w:tcW w:w="1307" w:type="dxa"/>
            <w:shd w:val="clear" w:color="auto" w:fill="FFFFFF" w:themeFill="background1"/>
            <w:vAlign w:val="center"/>
          </w:tcPr>
          <w:p w14:paraId="722F013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104EF64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厦门建发物资有限公司</w:t>
            </w:r>
          </w:p>
        </w:tc>
        <w:tc>
          <w:tcPr>
            <w:tcW w:w="1386" w:type="dxa"/>
            <w:shd w:val="clear" w:color="auto" w:fill="FFFFFF" w:themeFill="background1"/>
            <w:vAlign w:val="center"/>
          </w:tcPr>
          <w:p w14:paraId="404B8E9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2DA8F2B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2023年04月18日</w:t>
            </w:r>
          </w:p>
        </w:tc>
        <w:tc>
          <w:tcPr>
            <w:tcW w:w="1479" w:type="dxa"/>
            <w:shd w:val="clear" w:color="auto" w:fill="FFFFFF" w:themeFill="background1"/>
            <w:vAlign w:val="center"/>
          </w:tcPr>
          <w:p w14:paraId="45735BF9"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759C39F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2B67C18F" w14:textId="77777777" w:rsidTr="00CB6FD6">
        <w:trPr>
          <w:gridAfter w:val="1"/>
          <w:wAfter w:w="14" w:type="dxa"/>
          <w:trHeight w:val="240"/>
        </w:trPr>
        <w:tc>
          <w:tcPr>
            <w:tcW w:w="1307" w:type="dxa"/>
            <w:shd w:val="clear" w:color="auto" w:fill="FFFFFF" w:themeFill="background1"/>
            <w:vAlign w:val="center"/>
          </w:tcPr>
          <w:p w14:paraId="1FF85EA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16536BC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昌富利（厦门）有限公司</w:t>
            </w:r>
          </w:p>
        </w:tc>
        <w:tc>
          <w:tcPr>
            <w:tcW w:w="1386" w:type="dxa"/>
            <w:shd w:val="clear" w:color="auto" w:fill="FFFFFF" w:themeFill="background1"/>
            <w:vAlign w:val="center"/>
          </w:tcPr>
          <w:p w14:paraId="195AA5F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459D7AB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2021年07月01日</w:t>
            </w:r>
          </w:p>
        </w:tc>
        <w:tc>
          <w:tcPr>
            <w:tcW w:w="1479" w:type="dxa"/>
            <w:shd w:val="clear" w:color="auto" w:fill="FFFFFF" w:themeFill="background1"/>
            <w:vAlign w:val="center"/>
          </w:tcPr>
          <w:p w14:paraId="4579F96D"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7362ABD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5BC44D00" w14:textId="77777777" w:rsidTr="00CB6FD6">
        <w:trPr>
          <w:gridAfter w:val="1"/>
          <w:wAfter w:w="14" w:type="dxa"/>
          <w:trHeight w:val="240"/>
        </w:trPr>
        <w:tc>
          <w:tcPr>
            <w:tcW w:w="1307" w:type="dxa"/>
            <w:shd w:val="clear" w:color="auto" w:fill="FFFFFF" w:themeFill="background1"/>
            <w:vAlign w:val="center"/>
          </w:tcPr>
          <w:p w14:paraId="46794C1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3667D5B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厦门建发汽车有限公司</w:t>
            </w:r>
          </w:p>
        </w:tc>
        <w:tc>
          <w:tcPr>
            <w:tcW w:w="1386" w:type="dxa"/>
            <w:shd w:val="clear" w:color="auto" w:fill="FFFFFF" w:themeFill="background1"/>
            <w:vAlign w:val="center"/>
          </w:tcPr>
          <w:p w14:paraId="487F518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董事长，董事</w:t>
            </w:r>
          </w:p>
        </w:tc>
        <w:tc>
          <w:tcPr>
            <w:tcW w:w="1733" w:type="dxa"/>
            <w:shd w:val="clear" w:color="auto" w:fill="FFFFFF" w:themeFill="background1"/>
            <w:vAlign w:val="center"/>
          </w:tcPr>
          <w:p w14:paraId="5768A0A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2021年03月03日</w:t>
            </w:r>
          </w:p>
        </w:tc>
        <w:tc>
          <w:tcPr>
            <w:tcW w:w="1479" w:type="dxa"/>
            <w:shd w:val="clear" w:color="auto" w:fill="FFFFFF" w:themeFill="background1"/>
            <w:vAlign w:val="center"/>
          </w:tcPr>
          <w:p w14:paraId="63E73DD7"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393C5CE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272CA91D" w14:textId="77777777" w:rsidTr="00CB6FD6">
        <w:trPr>
          <w:gridAfter w:val="1"/>
          <w:wAfter w:w="14" w:type="dxa"/>
          <w:trHeight w:val="240"/>
        </w:trPr>
        <w:tc>
          <w:tcPr>
            <w:tcW w:w="1307" w:type="dxa"/>
            <w:shd w:val="clear" w:color="auto" w:fill="FFFFFF" w:themeFill="background1"/>
            <w:vAlign w:val="center"/>
          </w:tcPr>
          <w:p w14:paraId="14CADF5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45E75E2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厦门建发国际酒业集团有限公司</w:t>
            </w:r>
          </w:p>
        </w:tc>
        <w:tc>
          <w:tcPr>
            <w:tcW w:w="1386" w:type="dxa"/>
            <w:shd w:val="clear" w:color="auto" w:fill="FFFFFF" w:themeFill="background1"/>
            <w:vAlign w:val="center"/>
          </w:tcPr>
          <w:p w14:paraId="5814E66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34D8A3A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2023年05月10日</w:t>
            </w:r>
          </w:p>
        </w:tc>
        <w:tc>
          <w:tcPr>
            <w:tcW w:w="1479" w:type="dxa"/>
            <w:shd w:val="clear" w:color="auto" w:fill="FFFFFF" w:themeFill="background1"/>
            <w:vAlign w:val="center"/>
          </w:tcPr>
          <w:p w14:paraId="760B6FD8"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2FCEAF6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748B37F3" w14:textId="77777777" w:rsidTr="00CB6FD6">
        <w:trPr>
          <w:gridAfter w:val="1"/>
          <w:wAfter w:w="14" w:type="dxa"/>
          <w:trHeight w:val="240"/>
        </w:trPr>
        <w:tc>
          <w:tcPr>
            <w:tcW w:w="1307" w:type="dxa"/>
            <w:shd w:val="clear" w:color="auto" w:fill="FFFFFF" w:themeFill="background1"/>
            <w:vAlign w:val="center"/>
          </w:tcPr>
          <w:p w14:paraId="7760801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4C1E17C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厦门建发融资担保有限公司</w:t>
            </w:r>
          </w:p>
        </w:tc>
        <w:tc>
          <w:tcPr>
            <w:tcW w:w="1386" w:type="dxa"/>
            <w:shd w:val="clear" w:color="auto" w:fill="FFFFFF" w:themeFill="background1"/>
            <w:vAlign w:val="center"/>
          </w:tcPr>
          <w:p w14:paraId="3982A35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63C0A14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2021年11月02日</w:t>
            </w:r>
          </w:p>
        </w:tc>
        <w:tc>
          <w:tcPr>
            <w:tcW w:w="1479" w:type="dxa"/>
            <w:shd w:val="clear" w:color="auto" w:fill="FFFFFF" w:themeFill="background1"/>
            <w:vAlign w:val="center"/>
          </w:tcPr>
          <w:p w14:paraId="6FF84A34"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2343A12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285F165E" w14:textId="77777777" w:rsidTr="00CB6FD6">
        <w:trPr>
          <w:gridAfter w:val="1"/>
          <w:wAfter w:w="14" w:type="dxa"/>
          <w:trHeight w:val="240"/>
        </w:trPr>
        <w:tc>
          <w:tcPr>
            <w:tcW w:w="1307" w:type="dxa"/>
            <w:shd w:val="clear" w:color="auto" w:fill="FFFFFF" w:themeFill="background1"/>
            <w:vAlign w:val="center"/>
          </w:tcPr>
          <w:p w14:paraId="1BEE681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241C8CF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建发（上海）有限公司</w:t>
            </w:r>
          </w:p>
        </w:tc>
        <w:tc>
          <w:tcPr>
            <w:tcW w:w="1386" w:type="dxa"/>
            <w:shd w:val="clear" w:color="auto" w:fill="FFFFFF" w:themeFill="background1"/>
            <w:vAlign w:val="center"/>
          </w:tcPr>
          <w:p w14:paraId="7659435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董事长</w:t>
            </w:r>
          </w:p>
        </w:tc>
        <w:tc>
          <w:tcPr>
            <w:tcW w:w="1733" w:type="dxa"/>
            <w:shd w:val="clear" w:color="auto" w:fill="FFFFFF" w:themeFill="background1"/>
            <w:vAlign w:val="center"/>
          </w:tcPr>
          <w:p w14:paraId="597A19E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2021年03月04日</w:t>
            </w:r>
          </w:p>
        </w:tc>
        <w:tc>
          <w:tcPr>
            <w:tcW w:w="1479" w:type="dxa"/>
            <w:shd w:val="clear" w:color="auto" w:fill="FFFFFF" w:themeFill="background1"/>
            <w:vAlign w:val="center"/>
          </w:tcPr>
          <w:p w14:paraId="3C3FB783"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736FF03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1298AE6A" w14:textId="77777777" w:rsidTr="00CB6FD6">
        <w:trPr>
          <w:gridAfter w:val="1"/>
          <w:wAfter w:w="14" w:type="dxa"/>
          <w:trHeight w:val="240"/>
        </w:trPr>
        <w:tc>
          <w:tcPr>
            <w:tcW w:w="1307" w:type="dxa"/>
            <w:shd w:val="clear" w:color="auto" w:fill="FFFFFF" w:themeFill="background1"/>
            <w:vAlign w:val="center"/>
          </w:tcPr>
          <w:p w14:paraId="62E9EA6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42D1DAC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厦门建发生活资材有限责任公司</w:t>
            </w:r>
          </w:p>
        </w:tc>
        <w:tc>
          <w:tcPr>
            <w:tcW w:w="1386" w:type="dxa"/>
            <w:shd w:val="clear" w:color="auto" w:fill="FFFFFF" w:themeFill="background1"/>
            <w:vAlign w:val="center"/>
          </w:tcPr>
          <w:p w14:paraId="07C356C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6BE47FC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2021年01月19日</w:t>
            </w:r>
          </w:p>
        </w:tc>
        <w:tc>
          <w:tcPr>
            <w:tcW w:w="1479" w:type="dxa"/>
            <w:shd w:val="clear" w:color="auto" w:fill="FFFFFF" w:themeFill="background1"/>
            <w:vAlign w:val="center"/>
          </w:tcPr>
          <w:p w14:paraId="3808038A"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267C88C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08B422DE" w14:textId="77777777" w:rsidTr="00CB6FD6">
        <w:trPr>
          <w:gridAfter w:val="1"/>
          <w:wAfter w:w="14" w:type="dxa"/>
          <w:trHeight w:val="240"/>
        </w:trPr>
        <w:tc>
          <w:tcPr>
            <w:tcW w:w="1307" w:type="dxa"/>
            <w:shd w:val="clear" w:color="auto" w:fill="FFFFFF" w:themeFill="background1"/>
            <w:vAlign w:val="center"/>
          </w:tcPr>
          <w:p w14:paraId="0667C3B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55CD227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厦门星原投资有限公司</w:t>
            </w:r>
          </w:p>
        </w:tc>
        <w:tc>
          <w:tcPr>
            <w:tcW w:w="1386" w:type="dxa"/>
            <w:shd w:val="clear" w:color="auto" w:fill="FFFFFF" w:themeFill="background1"/>
            <w:vAlign w:val="center"/>
          </w:tcPr>
          <w:p w14:paraId="39AF41C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经理，董事</w:t>
            </w:r>
          </w:p>
        </w:tc>
        <w:tc>
          <w:tcPr>
            <w:tcW w:w="1733" w:type="dxa"/>
            <w:shd w:val="clear" w:color="auto" w:fill="FFFFFF" w:themeFill="background1"/>
            <w:vAlign w:val="center"/>
          </w:tcPr>
          <w:p w14:paraId="137AA13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2024年12月18日</w:t>
            </w:r>
          </w:p>
        </w:tc>
        <w:tc>
          <w:tcPr>
            <w:tcW w:w="1479" w:type="dxa"/>
            <w:shd w:val="clear" w:color="auto" w:fill="FFFFFF" w:themeFill="background1"/>
            <w:vAlign w:val="center"/>
          </w:tcPr>
          <w:p w14:paraId="6287B0D7"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0A981D9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60520D0C" w14:textId="77777777" w:rsidTr="00CB6FD6">
        <w:trPr>
          <w:gridAfter w:val="1"/>
          <w:wAfter w:w="14" w:type="dxa"/>
          <w:trHeight w:val="240"/>
        </w:trPr>
        <w:tc>
          <w:tcPr>
            <w:tcW w:w="1307" w:type="dxa"/>
            <w:shd w:val="clear" w:color="auto" w:fill="FFFFFF" w:themeFill="background1"/>
            <w:vAlign w:val="center"/>
          </w:tcPr>
          <w:p w14:paraId="01AA5F8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001FF02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厦门建发消费品有限公司</w:t>
            </w:r>
          </w:p>
        </w:tc>
        <w:tc>
          <w:tcPr>
            <w:tcW w:w="1386" w:type="dxa"/>
            <w:shd w:val="clear" w:color="auto" w:fill="FFFFFF" w:themeFill="background1"/>
            <w:vAlign w:val="center"/>
          </w:tcPr>
          <w:p w14:paraId="644CB26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董事长</w:t>
            </w:r>
          </w:p>
        </w:tc>
        <w:tc>
          <w:tcPr>
            <w:tcW w:w="1733" w:type="dxa"/>
            <w:shd w:val="clear" w:color="auto" w:fill="FFFFFF" w:themeFill="background1"/>
            <w:vAlign w:val="center"/>
          </w:tcPr>
          <w:p w14:paraId="6D66018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2024年06月13日</w:t>
            </w:r>
          </w:p>
        </w:tc>
        <w:tc>
          <w:tcPr>
            <w:tcW w:w="1479" w:type="dxa"/>
            <w:shd w:val="clear" w:color="auto" w:fill="FFFFFF" w:themeFill="background1"/>
            <w:vAlign w:val="center"/>
          </w:tcPr>
          <w:p w14:paraId="7D55138B"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43DBBF9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2DC43269" w14:textId="77777777" w:rsidTr="00CB6FD6">
        <w:trPr>
          <w:gridAfter w:val="1"/>
          <w:wAfter w:w="14" w:type="dxa"/>
          <w:trHeight w:val="240"/>
        </w:trPr>
        <w:tc>
          <w:tcPr>
            <w:tcW w:w="1307" w:type="dxa"/>
            <w:shd w:val="clear" w:color="auto" w:fill="FFFFFF" w:themeFill="background1"/>
            <w:vAlign w:val="center"/>
          </w:tcPr>
          <w:p w14:paraId="46CB759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066B728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建发（广州）有限公司</w:t>
            </w:r>
          </w:p>
        </w:tc>
        <w:tc>
          <w:tcPr>
            <w:tcW w:w="1386" w:type="dxa"/>
            <w:shd w:val="clear" w:color="auto" w:fill="FFFFFF" w:themeFill="background1"/>
            <w:vAlign w:val="center"/>
          </w:tcPr>
          <w:p w14:paraId="6315A03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董事长</w:t>
            </w:r>
          </w:p>
        </w:tc>
        <w:tc>
          <w:tcPr>
            <w:tcW w:w="1733" w:type="dxa"/>
            <w:shd w:val="clear" w:color="auto" w:fill="FFFFFF" w:themeFill="background1"/>
            <w:vAlign w:val="center"/>
          </w:tcPr>
          <w:p w14:paraId="4FB09C3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2021年03月11日</w:t>
            </w:r>
          </w:p>
        </w:tc>
        <w:tc>
          <w:tcPr>
            <w:tcW w:w="1479" w:type="dxa"/>
            <w:shd w:val="clear" w:color="auto" w:fill="FFFFFF" w:themeFill="background1"/>
            <w:vAlign w:val="center"/>
          </w:tcPr>
          <w:p w14:paraId="456617AA"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78A6B03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445C6A33" w14:textId="77777777" w:rsidTr="00CB6FD6">
        <w:trPr>
          <w:gridAfter w:val="1"/>
          <w:wAfter w:w="14" w:type="dxa"/>
          <w:trHeight w:val="240"/>
        </w:trPr>
        <w:tc>
          <w:tcPr>
            <w:tcW w:w="1307" w:type="dxa"/>
            <w:shd w:val="clear" w:color="auto" w:fill="FFFFFF" w:themeFill="background1"/>
            <w:vAlign w:val="center"/>
          </w:tcPr>
          <w:p w14:paraId="5ACEB19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4680110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建发（北京）有限公司</w:t>
            </w:r>
          </w:p>
        </w:tc>
        <w:tc>
          <w:tcPr>
            <w:tcW w:w="1386" w:type="dxa"/>
            <w:shd w:val="clear" w:color="auto" w:fill="FFFFFF" w:themeFill="background1"/>
            <w:vAlign w:val="center"/>
          </w:tcPr>
          <w:p w14:paraId="3A1AEAB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董事长</w:t>
            </w:r>
          </w:p>
        </w:tc>
        <w:tc>
          <w:tcPr>
            <w:tcW w:w="1733" w:type="dxa"/>
            <w:shd w:val="clear" w:color="auto" w:fill="FFFFFF" w:themeFill="background1"/>
            <w:vAlign w:val="center"/>
          </w:tcPr>
          <w:p w14:paraId="35ABB49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2021年03月08日</w:t>
            </w:r>
          </w:p>
        </w:tc>
        <w:tc>
          <w:tcPr>
            <w:tcW w:w="1479" w:type="dxa"/>
            <w:shd w:val="clear" w:color="auto" w:fill="FFFFFF" w:themeFill="background1"/>
            <w:vAlign w:val="center"/>
          </w:tcPr>
          <w:p w14:paraId="173BE896"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7056934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477040B3" w14:textId="77777777" w:rsidTr="00CB6FD6">
        <w:trPr>
          <w:gridAfter w:val="1"/>
          <w:wAfter w:w="14" w:type="dxa"/>
          <w:trHeight w:val="240"/>
        </w:trPr>
        <w:tc>
          <w:tcPr>
            <w:tcW w:w="1307" w:type="dxa"/>
            <w:shd w:val="clear" w:color="auto" w:fill="FFFFFF" w:themeFill="background1"/>
            <w:vAlign w:val="center"/>
          </w:tcPr>
          <w:p w14:paraId="2862FFE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7900A89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建发（海南）有限公司</w:t>
            </w:r>
          </w:p>
        </w:tc>
        <w:tc>
          <w:tcPr>
            <w:tcW w:w="1386" w:type="dxa"/>
            <w:shd w:val="clear" w:color="auto" w:fill="FFFFFF" w:themeFill="background1"/>
            <w:vAlign w:val="center"/>
          </w:tcPr>
          <w:p w14:paraId="2950C15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董事长</w:t>
            </w:r>
          </w:p>
        </w:tc>
        <w:tc>
          <w:tcPr>
            <w:tcW w:w="1733" w:type="dxa"/>
            <w:shd w:val="clear" w:color="auto" w:fill="FFFFFF" w:themeFill="background1"/>
            <w:vAlign w:val="center"/>
          </w:tcPr>
          <w:p w14:paraId="1A15CC4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2020年11月19日</w:t>
            </w:r>
          </w:p>
        </w:tc>
        <w:tc>
          <w:tcPr>
            <w:tcW w:w="1479" w:type="dxa"/>
            <w:shd w:val="clear" w:color="auto" w:fill="FFFFFF" w:themeFill="background1"/>
            <w:vAlign w:val="center"/>
          </w:tcPr>
          <w:p w14:paraId="514B4119"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4F0D2C7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202BB352" w14:textId="77777777" w:rsidTr="00CB6FD6">
        <w:trPr>
          <w:gridAfter w:val="1"/>
          <w:wAfter w:w="14" w:type="dxa"/>
          <w:trHeight w:val="240"/>
        </w:trPr>
        <w:tc>
          <w:tcPr>
            <w:tcW w:w="1307" w:type="dxa"/>
            <w:shd w:val="clear" w:color="auto" w:fill="FFFFFF" w:themeFill="background1"/>
            <w:vAlign w:val="center"/>
          </w:tcPr>
          <w:p w14:paraId="386F00F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15842FA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建发（天津）有限公司</w:t>
            </w:r>
          </w:p>
        </w:tc>
        <w:tc>
          <w:tcPr>
            <w:tcW w:w="1386" w:type="dxa"/>
            <w:shd w:val="clear" w:color="auto" w:fill="FFFFFF" w:themeFill="background1"/>
            <w:vAlign w:val="center"/>
          </w:tcPr>
          <w:p w14:paraId="0B2547E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董事长</w:t>
            </w:r>
          </w:p>
        </w:tc>
        <w:tc>
          <w:tcPr>
            <w:tcW w:w="1733" w:type="dxa"/>
            <w:shd w:val="clear" w:color="auto" w:fill="FFFFFF" w:themeFill="background1"/>
            <w:vAlign w:val="center"/>
          </w:tcPr>
          <w:p w14:paraId="3043424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2021年03月01日</w:t>
            </w:r>
          </w:p>
        </w:tc>
        <w:tc>
          <w:tcPr>
            <w:tcW w:w="1479" w:type="dxa"/>
            <w:shd w:val="clear" w:color="auto" w:fill="FFFFFF" w:themeFill="background1"/>
            <w:vAlign w:val="center"/>
          </w:tcPr>
          <w:p w14:paraId="1F5278D5"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39F2517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1D9DB663" w14:textId="77777777" w:rsidTr="00CB6FD6">
        <w:trPr>
          <w:gridAfter w:val="1"/>
          <w:wAfter w:w="14" w:type="dxa"/>
          <w:trHeight w:val="240"/>
        </w:trPr>
        <w:tc>
          <w:tcPr>
            <w:tcW w:w="1307" w:type="dxa"/>
            <w:shd w:val="clear" w:color="auto" w:fill="FFFFFF" w:themeFill="background1"/>
            <w:vAlign w:val="center"/>
          </w:tcPr>
          <w:p w14:paraId="478B250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40179DD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厦门建发矿业资源有限公司</w:t>
            </w:r>
          </w:p>
        </w:tc>
        <w:tc>
          <w:tcPr>
            <w:tcW w:w="1386" w:type="dxa"/>
            <w:shd w:val="clear" w:color="auto" w:fill="FFFFFF" w:themeFill="background1"/>
            <w:vAlign w:val="center"/>
          </w:tcPr>
          <w:p w14:paraId="650FDC7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2C8A598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2023年04月14日</w:t>
            </w:r>
          </w:p>
        </w:tc>
        <w:tc>
          <w:tcPr>
            <w:tcW w:w="1479" w:type="dxa"/>
            <w:shd w:val="clear" w:color="auto" w:fill="FFFFFF" w:themeFill="background1"/>
            <w:vAlign w:val="center"/>
          </w:tcPr>
          <w:p w14:paraId="5299CA77"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70F90E1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65FD4923" w14:textId="77777777" w:rsidTr="00CB6FD6">
        <w:trPr>
          <w:gridAfter w:val="1"/>
          <w:wAfter w:w="14" w:type="dxa"/>
          <w:trHeight w:val="240"/>
        </w:trPr>
        <w:tc>
          <w:tcPr>
            <w:tcW w:w="1307" w:type="dxa"/>
            <w:shd w:val="clear" w:color="auto" w:fill="FFFFFF" w:themeFill="background1"/>
            <w:vAlign w:val="center"/>
          </w:tcPr>
          <w:p w14:paraId="466AB28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064FD89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厦门建益达有限公司</w:t>
            </w:r>
          </w:p>
        </w:tc>
        <w:tc>
          <w:tcPr>
            <w:tcW w:w="1386" w:type="dxa"/>
            <w:shd w:val="clear" w:color="auto" w:fill="FFFFFF" w:themeFill="background1"/>
            <w:vAlign w:val="center"/>
          </w:tcPr>
          <w:p w14:paraId="4034A96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3F5426D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2023年05月15日</w:t>
            </w:r>
          </w:p>
        </w:tc>
        <w:tc>
          <w:tcPr>
            <w:tcW w:w="1479" w:type="dxa"/>
            <w:shd w:val="clear" w:color="auto" w:fill="FFFFFF" w:themeFill="background1"/>
            <w:vAlign w:val="center"/>
          </w:tcPr>
          <w:p w14:paraId="1A61FB91"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3BFCA2C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4B48D4CA" w14:textId="77777777" w:rsidTr="00CB6FD6">
        <w:trPr>
          <w:gridAfter w:val="1"/>
          <w:wAfter w:w="14" w:type="dxa"/>
          <w:trHeight w:val="240"/>
        </w:trPr>
        <w:tc>
          <w:tcPr>
            <w:tcW w:w="1307" w:type="dxa"/>
            <w:shd w:val="clear" w:color="auto" w:fill="FFFFFF" w:themeFill="background1"/>
            <w:vAlign w:val="center"/>
          </w:tcPr>
          <w:p w14:paraId="40EBC14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2F63449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建发（昆明）有限公司</w:t>
            </w:r>
          </w:p>
        </w:tc>
        <w:tc>
          <w:tcPr>
            <w:tcW w:w="1386" w:type="dxa"/>
            <w:shd w:val="clear" w:color="auto" w:fill="FFFFFF" w:themeFill="background1"/>
            <w:vAlign w:val="center"/>
          </w:tcPr>
          <w:p w14:paraId="0E4A653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董事长</w:t>
            </w:r>
          </w:p>
        </w:tc>
        <w:tc>
          <w:tcPr>
            <w:tcW w:w="1733" w:type="dxa"/>
            <w:shd w:val="clear" w:color="auto" w:fill="FFFFFF" w:themeFill="background1"/>
            <w:vAlign w:val="center"/>
          </w:tcPr>
          <w:p w14:paraId="5719B01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2023年05月18日</w:t>
            </w:r>
          </w:p>
        </w:tc>
        <w:tc>
          <w:tcPr>
            <w:tcW w:w="1479" w:type="dxa"/>
            <w:shd w:val="clear" w:color="auto" w:fill="FFFFFF" w:themeFill="background1"/>
            <w:vAlign w:val="center"/>
          </w:tcPr>
          <w:p w14:paraId="0F855CA4"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0A3FC3D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65A19325" w14:textId="77777777" w:rsidTr="00CB6FD6">
        <w:trPr>
          <w:gridAfter w:val="1"/>
          <w:wAfter w:w="14" w:type="dxa"/>
          <w:trHeight w:val="240"/>
        </w:trPr>
        <w:tc>
          <w:tcPr>
            <w:tcW w:w="1307" w:type="dxa"/>
            <w:shd w:val="clear" w:color="auto" w:fill="FFFFFF" w:themeFill="background1"/>
            <w:vAlign w:val="center"/>
          </w:tcPr>
          <w:p w14:paraId="4418206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6C9ED84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建发（青岛）有限公司</w:t>
            </w:r>
          </w:p>
        </w:tc>
        <w:tc>
          <w:tcPr>
            <w:tcW w:w="1386" w:type="dxa"/>
            <w:shd w:val="clear" w:color="auto" w:fill="FFFFFF" w:themeFill="background1"/>
            <w:vAlign w:val="center"/>
          </w:tcPr>
          <w:p w14:paraId="24DC91C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董事长</w:t>
            </w:r>
          </w:p>
        </w:tc>
        <w:tc>
          <w:tcPr>
            <w:tcW w:w="1733" w:type="dxa"/>
            <w:shd w:val="clear" w:color="auto" w:fill="FFFFFF" w:themeFill="background1"/>
            <w:vAlign w:val="center"/>
          </w:tcPr>
          <w:p w14:paraId="3CD18C1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2021年03月02日</w:t>
            </w:r>
          </w:p>
        </w:tc>
        <w:tc>
          <w:tcPr>
            <w:tcW w:w="1479" w:type="dxa"/>
            <w:shd w:val="clear" w:color="auto" w:fill="FFFFFF" w:themeFill="background1"/>
            <w:vAlign w:val="center"/>
          </w:tcPr>
          <w:p w14:paraId="4DF7E715"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3A68E83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5534BA35" w14:textId="77777777" w:rsidTr="00CB6FD6">
        <w:trPr>
          <w:gridAfter w:val="1"/>
          <w:wAfter w:w="14" w:type="dxa"/>
          <w:trHeight w:val="240"/>
        </w:trPr>
        <w:tc>
          <w:tcPr>
            <w:tcW w:w="1307" w:type="dxa"/>
            <w:shd w:val="clear" w:color="auto" w:fill="FFFFFF" w:themeFill="background1"/>
            <w:vAlign w:val="center"/>
          </w:tcPr>
          <w:p w14:paraId="0296D46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6F5E29D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建发（武汉）有限公司</w:t>
            </w:r>
          </w:p>
        </w:tc>
        <w:tc>
          <w:tcPr>
            <w:tcW w:w="1386" w:type="dxa"/>
            <w:shd w:val="clear" w:color="auto" w:fill="FFFFFF" w:themeFill="background1"/>
            <w:vAlign w:val="center"/>
          </w:tcPr>
          <w:p w14:paraId="0A78C59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董事长，经理</w:t>
            </w:r>
          </w:p>
        </w:tc>
        <w:tc>
          <w:tcPr>
            <w:tcW w:w="1733" w:type="dxa"/>
            <w:shd w:val="clear" w:color="auto" w:fill="FFFFFF" w:themeFill="background1"/>
            <w:vAlign w:val="center"/>
          </w:tcPr>
          <w:p w14:paraId="564165E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2021年04月26日</w:t>
            </w:r>
          </w:p>
        </w:tc>
        <w:tc>
          <w:tcPr>
            <w:tcW w:w="1479" w:type="dxa"/>
            <w:shd w:val="clear" w:color="auto" w:fill="FFFFFF" w:themeFill="background1"/>
            <w:vAlign w:val="center"/>
          </w:tcPr>
          <w:p w14:paraId="25EF61A1"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6B8129F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0899A83E" w14:textId="77777777" w:rsidTr="00CB6FD6">
        <w:trPr>
          <w:gridAfter w:val="1"/>
          <w:wAfter w:w="14" w:type="dxa"/>
          <w:trHeight w:val="240"/>
        </w:trPr>
        <w:tc>
          <w:tcPr>
            <w:tcW w:w="1307" w:type="dxa"/>
            <w:shd w:val="clear" w:color="auto" w:fill="FFFFFF" w:themeFill="background1"/>
            <w:vAlign w:val="center"/>
          </w:tcPr>
          <w:p w14:paraId="62D8614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22192C2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建发（成都）有限公司</w:t>
            </w:r>
          </w:p>
        </w:tc>
        <w:tc>
          <w:tcPr>
            <w:tcW w:w="1386" w:type="dxa"/>
            <w:shd w:val="clear" w:color="auto" w:fill="FFFFFF" w:themeFill="background1"/>
            <w:vAlign w:val="center"/>
          </w:tcPr>
          <w:p w14:paraId="3ABF869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董事长</w:t>
            </w:r>
          </w:p>
        </w:tc>
        <w:tc>
          <w:tcPr>
            <w:tcW w:w="1733" w:type="dxa"/>
            <w:shd w:val="clear" w:color="auto" w:fill="FFFFFF" w:themeFill="background1"/>
            <w:vAlign w:val="center"/>
          </w:tcPr>
          <w:p w14:paraId="609B586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2021年03月09日</w:t>
            </w:r>
          </w:p>
        </w:tc>
        <w:tc>
          <w:tcPr>
            <w:tcW w:w="1479" w:type="dxa"/>
            <w:shd w:val="clear" w:color="auto" w:fill="FFFFFF" w:themeFill="background1"/>
            <w:vAlign w:val="center"/>
          </w:tcPr>
          <w:p w14:paraId="429C13F5"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78B666F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31712AEA" w14:textId="77777777" w:rsidTr="00CB6FD6">
        <w:trPr>
          <w:gridAfter w:val="1"/>
          <w:wAfter w:w="14" w:type="dxa"/>
          <w:trHeight w:val="240"/>
        </w:trPr>
        <w:tc>
          <w:tcPr>
            <w:tcW w:w="1307" w:type="dxa"/>
            <w:shd w:val="clear" w:color="auto" w:fill="FFFFFF" w:themeFill="background1"/>
            <w:vAlign w:val="center"/>
          </w:tcPr>
          <w:p w14:paraId="09D80C2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4056B51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建发（重庆）有限公司</w:t>
            </w:r>
          </w:p>
        </w:tc>
        <w:tc>
          <w:tcPr>
            <w:tcW w:w="1386" w:type="dxa"/>
            <w:shd w:val="clear" w:color="auto" w:fill="FFFFFF" w:themeFill="background1"/>
            <w:vAlign w:val="center"/>
          </w:tcPr>
          <w:p w14:paraId="596D2DE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董事长</w:t>
            </w:r>
          </w:p>
        </w:tc>
        <w:tc>
          <w:tcPr>
            <w:tcW w:w="1733" w:type="dxa"/>
            <w:shd w:val="clear" w:color="auto" w:fill="FFFFFF" w:themeFill="background1"/>
            <w:vAlign w:val="center"/>
          </w:tcPr>
          <w:p w14:paraId="4C870A3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2021年09月26日</w:t>
            </w:r>
          </w:p>
        </w:tc>
        <w:tc>
          <w:tcPr>
            <w:tcW w:w="1479" w:type="dxa"/>
            <w:shd w:val="clear" w:color="auto" w:fill="FFFFFF" w:themeFill="background1"/>
            <w:vAlign w:val="center"/>
          </w:tcPr>
          <w:p w14:paraId="73A030F4"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6382F15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3A652602" w14:textId="77777777" w:rsidTr="00CB6FD6">
        <w:trPr>
          <w:gridAfter w:val="1"/>
          <w:wAfter w:w="14" w:type="dxa"/>
          <w:trHeight w:val="240"/>
        </w:trPr>
        <w:tc>
          <w:tcPr>
            <w:tcW w:w="1307" w:type="dxa"/>
            <w:shd w:val="clear" w:color="auto" w:fill="FFFFFF" w:themeFill="background1"/>
            <w:vAlign w:val="center"/>
          </w:tcPr>
          <w:p w14:paraId="5D880F1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lastRenderedPageBreak/>
              <w:t>林茂</w:t>
            </w:r>
          </w:p>
        </w:tc>
        <w:tc>
          <w:tcPr>
            <w:tcW w:w="2126" w:type="dxa"/>
            <w:shd w:val="clear" w:color="auto" w:fill="FFFFFF" w:themeFill="background1"/>
            <w:vAlign w:val="center"/>
          </w:tcPr>
          <w:p w14:paraId="47B825D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厦门建发能化有限公司</w:t>
            </w:r>
          </w:p>
        </w:tc>
        <w:tc>
          <w:tcPr>
            <w:tcW w:w="1386" w:type="dxa"/>
            <w:shd w:val="clear" w:color="auto" w:fill="FFFFFF" w:themeFill="background1"/>
            <w:vAlign w:val="center"/>
          </w:tcPr>
          <w:p w14:paraId="7E90C1A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董事长</w:t>
            </w:r>
          </w:p>
        </w:tc>
        <w:tc>
          <w:tcPr>
            <w:tcW w:w="1733" w:type="dxa"/>
            <w:shd w:val="clear" w:color="auto" w:fill="FFFFFF" w:themeFill="background1"/>
            <w:vAlign w:val="center"/>
          </w:tcPr>
          <w:p w14:paraId="1262435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2024年03月22日</w:t>
            </w:r>
          </w:p>
        </w:tc>
        <w:tc>
          <w:tcPr>
            <w:tcW w:w="1479" w:type="dxa"/>
            <w:shd w:val="clear" w:color="auto" w:fill="FFFFFF" w:themeFill="background1"/>
            <w:vAlign w:val="center"/>
          </w:tcPr>
          <w:p w14:paraId="5EBE3D71"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4347F3E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3872815B" w14:textId="77777777" w:rsidTr="00CB6FD6">
        <w:trPr>
          <w:gridAfter w:val="1"/>
          <w:wAfter w:w="14" w:type="dxa"/>
          <w:trHeight w:val="240"/>
        </w:trPr>
        <w:tc>
          <w:tcPr>
            <w:tcW w:w="1307" w:type="dxa"/>
            <w:shd w:val="clear" w:color="auto" w:fill="FFFFFF" w:themeFill="background1"/>
            <w:vAlign w:val="center"/>
          </w:tcPr>
          <w:p w14:paraId="556FF7F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43878A8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建发（深圳）供应链服务有限公司</w:t>
            </w:r>
          </w:p>
        </w:tc>
        <w:tc>
          <w:tcPr>
            <w:tcW w:w="1386" w:type="dxa"/>
            <w:shd w:val="clear" w:color="auto" w:fill="FFFFFF" w:themeFill="background1"/>
            <w:vAlign w:val="center"/>
          </w:tcPr>
          <w:p w14:paraId="41DA3CC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董事长</w:t>
            </w:r>
          </w:p>
        </w:tc>
        <w:tc>
          <w:tcPr>
            <w:tcW w:w="1733" w:type="dxa"/>
            <w:shd w:val="clear" w:color="auto" w:fill="FFFFFF" w:themeFill="background1"/>
            <w:vAlign w:val="center"/>
          </w:tcPr>
          <w:p w14:paraId="6C5B638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2024年06月28日</w:t>
            </w:r>
          </w:p>
        </w:tc>
        <w:tc>
          <w:tcPr>
            <w:tcW w:w="1479" w:type="dxa"/>
            <w:shd w:val="clear" w:color="auto" w:fill="FFFFFF" w:themeFill="background1"/>
            <w:vAlign w:val="center"/>
          </w:tcPr>
          <w:p w14:paraId="09072BAF"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73239E0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69A31097" w14:textId="77777777" w:rsidTr="00CB6FD6">
        <w:trPr>
          <w:gridAfter w:val="1"/>
          <w:wAfter w:w="14" w:type="dxa"/>
          <w:trHeight w:val="240"/>
        </w:trPr>
        <w:tc>
          <w:tcPr>
            <w:tcW w:w="1307" w:type="dxa"/>
            <w:shd w:val="clear" w:color="auto" w:fill="FFFFFF" w:themeFill="background1"/>
            <w:vAlign w:val="center"/>
          </w:tcPr>
          <w:p w14:paraId="1BD961F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7D91104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建发（西安）有限公司</w:t>
            </w:r>
          </w:p>
        </w:tc>
        <w:tc>
          <w:tcPr>
            <w:tcW w:w="1386" w:type="dxa"/>
            <w:shd w:val="clear" w:color="auto" w:fill="FFFFFF" w:themeFill="background1"/>
            <w:vAlign w:val="center"/>
          </w:tcPr>
          <w:p w14:paraId="41299CA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董事长</w:t>
            </w:r>
          </w:p>
        </w:tc>
        <w:tc>
          <w:tcPr>
            <w:tcW w:w="1733" w:type="dxa"/>
            <w:shd w:val="clear" w:color="auto" w:fill="FFFFFF" w:themeFill="background1"/>
            <w:vAlign w:val="center"/>
          </w:tcPr>
          <w:p w14:paraId="746B831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2021年03月08日</w:t>
            </w:r>
          </w:p>
        </w:tc>
        <w:tc>
          <w:tcPr>
            <w:tcW w:w="1479" w:type="dxa"/>
            <w:shd w:val="clear" w:color="auto" w:fill="FFFFFF" w:themeFill="background1"/>
            <w:vAlign w:val="center"/>
          </w:tcPr>
          <w:p w14:paraId="5B8FF931"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3D57BAB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77D8EE63" w14:textId="77777777" w:rsidTr="00CB6FD6">
        <w:trPr>
          <w:gridAfter w:val="1"/>
          <w:wAfter w:w="14" w:type="dxa"/>
          <w:trHeight w:val="240"/>
        </w:trPr>
        <w:tc>
          <w:tcPr>
            <w:tcW w:w="1307" w:type="dxa"/>
            <w:shd w:val="clear" w:color="auto" w:fill="FFFFFF" w:themeFill="background1"/>
            <w:vAlign w:val="center"/>
          </w:tcPr>
          <w:p w14:paraId="2FC0525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0023932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青岛建瑞国际供应链服务有限公司</w:t>
            </w:r>
          </w:p>
        </w:tc>
        <w:tc>
          <w:tcPr>
            <w:tcW w:w="1386" w:type="dxa"/>
            <w:shd w:val="clear" w:color="auto" w:fill="FFFFFF" w:themeFill="background1"/>
            <w:vAlign w:val="center"/>
          </w:tcPr>
          <w:p w14:paraId="6FD0CD7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执行董事</w:t>
            </w:r>
          </w:p>
        </w:tc>
        <w:tc>
          <w:tcPr>
            <w:tcW w:w="1733" w:type="dxa"/>
            <w:shd w:val="clear" w:color="auto" w:fill="FFFFFF" w:themeFill="background1"/>
            <w:vAlign w:val="center"/>
          </w:tcPr>
          <w:p w14:paraId="3867B5C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2024年04月30日</w:t>
            </w:r>
          </w:p>
        </w:tc>
        <w:tc>
          <w:tcPr>
            <w:tcW w:w="1479" w:type="dxa"/>
            <w:shd w:val="clear" w:color="auto" w:fill="FFFFFF" w:themeFill="background1"/>
            <w:vAlign w:val="center"/>
          </w:tcPr>
          <w:p w14:paraId="7DB4C60A"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1B1E636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189C27ED" w14:textId="77777777" w:rsidTr="00CB6FD6">
        <w:trPr>
          <w:gridAfter w:val="1"/>
          <w:wAfter w:w="14" w:type="dxa"/>
          <w:trHeight w:val="240"/>
        </w:trPr>
        <w:tc>
          <w:tcPr>
            <w:tcW w:w="1307" w:type="dxa"/>
            <w:shd w:val="clear" w:color="auto" w:fill="FFFFFF" w:themeFill="background1"/>
            <w:vAlign w:val="center"/>
          </w:tcPr>
          <w:p w14:paraId="583E491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688704B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厦门建宇实业有限公司</w:t>
            </w:r>
          </w:p>
        </w:tc>
        <w:tc>
          <w:tcPr>
            <w:tcW w:w="1386" w:type="dxa"/>
            <w:shd w:val="clear" w:color="auto" w:fill="FFFFFF" w:themeFill="background1"/>
            <w:vAlign w:val="center"/>
          </w:tcPr>
          <w:p w14:paraId="1ECDE3D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5BAB4BE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2023年05月12日</w:t>
            </w:r>
          </w:p>
        </w:tc>
        <w:tc>
          <w:tcPr>
            <w:tcW w:w="1479" w:type="dxa"/>
            <w:shd w:val="clear" w:color="auto" w:fill="FFFFFF" w:themeFill="background1"/>
            <w:vAlign w:val="center"/>
          </w:tcPr>
          <w:p w14:paraId="558BED14"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7413046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09535663" w14:textId="77777777" w:rsidTr="00CB6FD6">
        <w:trPr>
          <w:gridAfter w:val="1"/>
          <w:wAfter w:w="14" w:type="dxa"/>
          <w:trHeight w:val="240"/>
        </w:trPr>
        <w:tc>
          <w:tcPr>
            <w:tcW w:w="1307" w:type="dxa"/>
            <w:shd w:val="clear" w:color="auto" w:fill="FFFFFF" w:themeFill="background1"/>
            <w:vAlign w:val="center"/>
          </w:tcPr>
          <w:p w14:paraId="39B4808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5CB43F5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厦门建发有色资源有限公司</w:t>
            </w:r>
          </w:p>
        </w:tc>
        <w:tc>
          <w:tcPr>
            <w:tcW w:w="1386" w:type="dxa"/>
            <w:shd w:val="clear" w:color="auto" w:fill="FFFFFF" w:themeFill="background1"/>
            <w:vAlign w:val="center"/>
          </w:tcPr>
          <w:p w14:paraId="09EEED9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2E1C519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2023年05月12日</w:t>
            </w:r>
          </w:p>
        </w:tc>
        <w:tc>
          <w:tcPr>
            <w:tcW w:w="1479" w:type="dxa"/>
            <w:shd w:val="clear" w:color="auto" w:fill="FFFFFF" w:themeFill="background1"/>
            <w:vAlign w:val="center"/>
          </w:tcPr>
          <w:p w14:paraId="0F727150"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3471B5A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7E5F2770" w14:textId="77777777" w:rsidTr="00CB6FD6">
        <w:trPr>
          <w:gridAfter w:val="1"/>
          <w:wAfter w:w="14" w:type="dxa"/>
          <w:trHeight w:val="240"/>
        </w:trPr>
        <w:tc>
          <w:tcPr>
            <w:tcW w:w="1307" w:type="dxa"/>
            <w:shd w:val="clear" w:color="auto" w:fill="FFFFFF" w:themeFill="background1"/>
            <w:vAlign w:val="center"/>
          </w:tcPr>
          <w:p w14:paraId="5D25D1B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0EEADA0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厦门建发轻工有限公司</w:t>
            </w:r>
          </w:p>
        </w:tc>
        <w:tc>
          <w:tcPr>
            <w:tcW w:w="1386" w:type="dxa"/>
            <w:shd w:val="clear" w:color="auto" w:fill="FFFFFF" w:themeFill="background1"/>
            <w:vAlign w:val="center"/>
          </w:tcPr>
          <w:p w14:paraId="62BA3C9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1DB4549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2023年05月16日</w:t>
            </w:r>
          </w:p>
        </w:tc>
        <w:tc>
          <w:tcPr>
            <w:tcW w:w="1479" w:type="dxa"/>
            <w:shd w:val="clear" w:color="auto" w:fill="FFFFFF" w:themeFill="background1"/>
            <w:vAlign w:val="center"/>
          </w:tcPr>
          <w:p w14:paraId="2A1DDA81"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565462C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47D6DADF" w14:textId="77777777" w:rsidTr="00CB6FD6">
        <w:trPr>
          <w:gridAfter w:val="1"/>
          <w:wAfter w:w="14" w:type="dxa"/>
          <w:trHeight w:val="240"/>
        </w:trPr>
        <w:tc>
          <w:tcPr>
            <w:tcW w:w="1307" w:type="dxa"/>
            <w:shd w:val="clear" w:color="auto" w:fill="FFFFFF" w:themeFill="background1"/>
            <w:vAlign w:val="center"/>
          </w:tcPr>
          <w:p w14:paraId="2378F32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721484D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厦门建发高科有限公司</w:t>
            </w:r>
          </w:p>
        </w:tc>
        <w:tc>
          <w:tcPr>
            <w:tcW w:w="1386" w:type="dxa"/>
            <w:shd w:val="clear" w:color="auto" w:fill="FFFFFF" w:themeFill="background1"/>
            <w:vAlign w:val="center"/>
          </w:tcPr>
          <w:p w14:paraId="183A1BD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084B66E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2023年06月05日</w:t>
            </w:r>
          </w:p>
        </w:tc>
        <w:tc>
          <w:tcPr>
            <w:tcW w:w="1479" w:type="dxa"/>
            <w:shd w:val="clear" w:color="auto" w:fill="FFFFFF" w:themeFill="background1"/>
            <w:vAlign w:val="center"/>
          </w:tcPr>
          <w:p w14:paraId="4FB80E5A"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630B696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2F30EB3A" w14:textId="77777777" w:rsidTr="00CB6FD6">
        <w:trPr>
          <w:gridAfter w:val="1"/>
          <w:wAfter w:w="14" w:type="dxa"/>
          <w:trHeight w:val="240"/>
        </w:trPr>
        <w:tc>
          <w:tcPr>
            <w:tcW w:w="1307" w:type="dxa"/>
            <w:shd w:val="clear" w:color="auto" w:fill="FFFFFF" w:themeFill="background1"/>
            <w:vAlign w:val="center"/>
          </w:tcPr>
          <w:p w14:paraId="18978A0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089739C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厦门建发机电设备供应链服务有限公司</w:t>
            </w:r>
          </w:p>
        </w:tc>
        <w:tc>
          <w:tcPr>
            <w:tcW w:w="1386" w:type="dxa"/>
            <w:shd w:val="clear" w:color="auto" w:fill="FFFFFF" w:themeFill="background1"/>
            <w:vAlign w:val="center"/>
          </w:tcPr>
          <w:p w14:paraId="2C8FB40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1FFB11C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2023年05月31日</w:t>
            </w:r>
          </w:p>
        </w:tc>
        <w:tc>
          <w:tcPr>
            <w:tcW w:w="1479" w:type="dxa"/>
            <w:shd w:val="clear" w:color="auto" w:fill="FFFFFF" w:themeFill="background1"/>
            <w:vAlign w:val="center"/>
          </w:tcPr>
          <w:p w14:paraId="7DE56B22"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654BFCD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4A768878" w14:textId="77777777" w:rsidTr="00CB6FD6">
        <w:trPr>
          <w:gridAfter w:val="1"/>
          <w:wAfter w:w="14" w:type="dxa"/>
          <w:trHeight w:val="240"/>
        </w:trPr>
        <w:tc>
          <w:tcPr>
            <w:tcW w:w="1307" w:type="dxa"/>
            <w:shd w:val="clear" w:color="auto" w:fill="FFFFFF" w:themeFill="background1"/>
            <w:vAlign w:val="center"/>
          </w:tcPr>
          <w:p w14:paraId="02BCDF5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22D1138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厦门建发能源有限公司</w:t>
            </w:r>
          </w:p>
        </w:tc>
        <w:tc>
          <w:tcPr>
            <w:tcW w:w="1386" w:type="dxa"/>
            <w:shd w:val="clear" w:color="auto" w:fill="FFFFFF" w:themeFill="background1"/>
            <w:vAlign w:val="center"/>
          </w:tcPr>
          <w:p w14:paraId="49E7E73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609EBF9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2023年05月12日</w:t>
            </w:r>
          </w:p>
        </w:tc>
        <w:tc>
          <w:tcPr>
            <w:tcW w:w="1479" w:type="dxa"/>
            <w:shd w:val="clear" w:color="auto" w:fill="FFFFFF" w:themeFill="background1"/>
            <w:vAlign w:val="center"/>
          </w:tcPr>
          <w:p w14:paraId="4527DE30"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2583C05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7F109770" w14:textId="77777777" w:rsidTr="00CB6FD6">
        <w:trPr>
          <w:gridAfter w:val="1"/>
          <w:wAfter w:w="14" w:type="dxa"/>
          <w:trHeight w:val="240"/>
        </w:trPr>
        <w:tc>
          <w:tcPr>
            <w:tcW w:w="1307" w:type="dxa"/>
            <w:shd w:val="clear" w:color="auto" w:fill="FFFFFF" w:themeFill="background1"/>
            <w:vAlign w:val="center"/>
          </w:tcPr>
          <w:p w14:paraId="405E4CA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7CAF22B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北京建发国际供应链管理服务有限公司</w:t>
            </w:r>
          </w:p>
        </w:tc>
        <w:tc>
          <w:tcPr>
            <w:tcW w:w="1386" w:type="dxa"/>
            <w:shd w:val="clear" w:color="auto" w:fill="FFFFFF" w:themeFill="background1"/>
            <w:vAlign w:val="center"/>
          </w:tcPr>
          <w:p w14:paraId="65D4B3D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经理</w:t>
            </w:r>
          </w:p>
        </w:tc>
        <w:tc>
          <w:tcPr>
            <w:tcW w:w="1733" w:type="dxa"/>
            <w:shd w:val="clear" w:color="auto" w:fill="FFFFFF" w:themeFill="background1"/>
            <w:vAlign w:val="center"/>
          </w:tcPr>
          <w:p w14:paraId="2C03BFE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2023年12月29日</w:t>
            </w:r>
          </w:p>
        </w:tc>
        <w:tc>
          <w:tcPr>
            <w:tcW w:w="1479" w:type="dxa"/>
            <w:shd w:val="clear" w:color="auto" w:fill="FFFFFF" w:themeFill="background1"/>
            <w:vAlign w:val="center"/>
          </w:tcPr>
          <w:p w14:paraId="26E6E73A"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034166C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724ED71D" w14:textId="77777777" w:rsidTr="00CB6FD6">
        <w:trPr>
          <w:gridAfter w:val="1"/>
          <w:wAfter w:w="14" w:type="dxa"/>
          <w:trHeight w:val="240"/>
        </w:trPr>
        <w:tc>
          <w:tcPr>
            <w:tcW w:w="1307" w:type="dxa"/>
            <w:shd w:val="clear" w:color="auto" w:fill="FFFFFF" w:themeFill="background1"/>
            <w:vAlign w:val="center"/>
          </w:tcPr>
          <w:p w14:paraId="3A8E97E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0B665F3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厦门建发化工有限公司</w:t>
            </w:r>
          </w:p>
        </w:tc>
        <w:tc>
          <w:tcPr>
            <w:tcW w:w="1386" w:type="dxa"/>
            <w:shd w:val="clear" w:color="auto" w:fill="FFFFFF" w:themeFill="background1"/>
            <w:vAlign w:val="center"/>
          </w:tcPr>
          <w:p w14:paraId="715ED8A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5EAB6B0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2017年09月28日</w:t>
            </w:r>
          </w:p>
        </w:tc>
        <w:tc>
          <w:tcPr>
            <w:tcW w:w="1479" w:type="dxa"/>
            <w:shd w:val="clear" w:color="auto" w:fill="FFFFFF" w:themeFill="background1"/>
            <w:vAlign w:val="center"/>
          </w:tcPr>
          <w:p w14:paraId="71366B1F"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4FB8743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376690CC" w14:textId="77777777" w:rsidTr="00CB6FD6">
        <w:trPr>
          <w:gridAfter w:val="1"/>
          <w:wAfter w:w="14" w:type="dxa"/>
          <w:trHeight w:val="240"/>
        </w:trPr>
        <w:tc>
          <w:tcPr>
            <w:tcW w:w="1307" w:type="dxa"/>
            <w:shd w:val="clear" w:color="auto" w:fill="FFFFFF" w:themeFill="background1"/>
            <w:vAlign w:val="center"/>
          </w:tcPr>
          <w:p w14:paraId="559F66C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5F36A1D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建发（哈尔滨）供应链服务有限公司</w:t>
            </w:r>
          </w:p>
        </w:tc>
        <w:tc>
          <w:tcPr>
            <w:tcW w:w="1386" w:type="dxa"/>
            <w:shd w:val="clear" w:color="auto" w:fill="FFFFFF" w:themeFill="background1"/>
            <w:vAlign w:val="center"/>
          </w:tcPr>
          <w:p w14:paraId="4DEC25E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董事长</w:t>
            </w:r>
          </w:p>
        </w:tc>
        <w:tc>
          <w:tcPr>
            <w:tcW w:w="1733" w:type="dxa"/>
            <w:shd w:val="clear" w:color="auto" w:fill="FFFFFF" w:themeFill="background1"/>
            <w:vAlign w:val="center"/>
          </w:tcPr>
          <w:p w14:paraId="7777C6F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2022年04月11日</w:t>
            </w:r>
          </w:p>
        </w:tc>
        <w:tc>
          <w:tcPr>
            <w:tcW w:w="1479" w:type="dxa"/>
            <w:shd w:val="clear" w:color="auto" w:fill="FFFFFF" w:themeFill="background1"/>
            <w:vAlign w:val="center"/>
          </w:tcPr>
          <w:p w14:paraId="4919EC91"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02955EE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7F420832" w14:textId="77777777" w:rsidTr="00CB6FD6">
        <w:trPr>
          <w:gridAfter w:val="1"/>
          <w:wAfter w:w="14" w:type="dxa"/>
          <w:trHeight w:val="240"/>
        </w:trPr>
        <w:tc>
          <w:tcPr>
            <w:tcW w:w="1307" w:type="dxa"/>
            <w:shd w:val="clear" w:color="auto" w:fill="FFFFFF" w:themeFill="background1"/>
            <w:vAlign w:val="center"/>
          </w:tcPr>
          <w:p w14:paraId="74CDA38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10072C1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建发（南宁）供应链服务有限公司</w:t>
            </w:r>
          </w:p>
        </w:tc>
        <w:tc>
          <w:tcPr>
            <w:tcW w:w="1386" w:type="dxa"/>
            <w:shd w:val="clear" w:color="auto" w:fill="FFFFFF" w:themeFill="background1"/>
            <w:vAlign w:val="center"/>
          </w:tcPr>
          <w:p w14:paraId="7E3425A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董事长，董事</w:t>
            </w:r>
          </w:p>
        </w:tc>
        <w:tc>
          <w:tcPr>
            <w:tcW w:w="1733" w:type="dxa"/>
            <w:shd w:val="clear" w:color="auto" w:fill="FFFFFF" w:themeFill="background1"/>
            <w:vAlign w:val="center"/>
          </w:tcPr>
          <w:p w14:paraId="3196798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2021年07月26日</w:t>
            </w:r>
          </w:p>
        </w:tc>
        <w:tc>
          <w:tcPr>
            <w:tcW w:w="1479" w:type="dxa"/>
            <w:shd w:val="clear" w:color="auto" w:fill="FFFFFF" w:themeFill="background1"/>
            <w:vAlign w:val="center"/>
          </w:tcPr>
          <w:p w14:paraId="74C1DB14"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4BFE8BB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20D4B0ED" w14:textId="77777777" w:rsidTr="00CB6FD6">
        <w:trPr>
          <w:gridAfter w:val="1"/>
          <w:wAfter w:w="14" w:type="dxa"/>
          <w:trHeight w:val="240"/>
        </w:trPr>
        <w:tc>
          <w:tcPr>
            <w:tcW w:w="1307" w:type="dxa"/>
            <w:shd w:val="clear" w:color="auto" w:fill="FFFFFF" w:themeFill="background1"/>
            <w:vAlign w:val="center"/>
          </w:tcPr>
          <w:p w14:paraId="234172E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20E1006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天津建发能源发展有限公司</w:t>
            </w:r>
          </w:p>
        </w:tc>
        <w:tc>
          <w:tcPr>
            <w:tcW w:w="1386" w:type="dxa"/>
            <w:shd w:val="clear" w:color="auto" w:fill="FFFFFF" w:themeFill="background1"/>
            <w:vAlign w:val="center"/>
          </w:tcPr>
          <w:p w14:paraId="72D8262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693CD11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2024年01月30日</w:t>
            </w:r>
          </w:p>
        </w:tc>
        <w:tc>
          <w:tcPr>
            <w:tcW w:w="1479" w:type="dxa"/>
            <w:shd w:val="clear" w:color="auto" w:fill="FFFFFF" w:themeFill="background1"/>
            <w:vAlign w:val="center"/>
          </w:tcPr>
          <w:p w14:paraId="5D2DD28B"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41F2F60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3607AEC7" w14:textId="77777777" w:rsidTr="00CB6FD6">
        <w:trPr>
          <w:gridAfter w:val="1"/>
          <w:wAfter w:w="14" w:type="dxa"/>
          <w:trHeight w:val="240"/>
        </w:trPr>
        <w:tc>
          <w:tcPr>
            <w:tcW w:w="1307" w:type="dxa"/>
            <w:shd w:val="clear" w:color="auto" w:fill="FFFFFF" w:themeFill="background1"/>
            <w:vAlign w:val="center"/>
          </w:tcPr>
          <w:p w14:paraId="1A9433C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42938EF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厦门建发恒融供应链有限公司</w:t>
            </w:r>
          </w:p>
        </w:tc>
        <w:tc>
          <w:tcPr>
            <w:tcW w:w="1386" w:type="dxa"/>
            <w:shd w:val="clear" w:color="auto" w:fill="FFFFFF" w:themeFill="background1"/>
            <w:vAlign w:val="center"/>
          </w:tcPr>
          <w:p w14:paraId="31E1927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35BCEA8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2023年07月24日</w:t>
            </w:r>
          </w:p>
        </w:tc>
        <w:tc>
          <w:tcPr>
            <w:tcW w:w="1479" w:type="dxa"/>
            <w:shd w:val="clear" w:color="auto" w:fill="FFFFFF" w:themeFill="background1"/>
            <w:vAlign w:val="center"/>
          </w:tcPr>
          <w:p w14:paraId="2B7DE3DB"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179B25D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5BCBA124" w14:textId="77777777" w:rsidTr="00CB6FD6">
        <w:trPr>
          <w:gridAfter w:val="1"/>
          <w:wAfter w:w="14" w:type="dxa"/>
          <w:trHeight w:val="240"/>
        </w:trPr>
        <w:tc>
          <w:tcPr>
            <w:tcW w:w="1307" w:type="dxa"/>
            <w:shd w:val="clear" w:color="auto" w:fill="FFFFFF" w:themeFill="background1"/>
            <w:vAlign w:val="center"/>
          </w:tcPr>
          <w:p w14:paraId="5FC8E3E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38DD00E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厦门建发兆金供应链管理有限公司</w:t>
            </w:r>
          </w:p>
        </w:tc>
        <w:tc>
          <w:tcPr>
            <w:tcW w:w="1386" w:type="dxa"/>
            <w:shd w:val="clear" w:color="auto" w:fill="FFFFFF" w:themeFill="background1"/>
            <w:vAlign w:val="center"/>
          </w:tcPr>
          <w:p w14:paraId="117920F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6EF1BB2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2024年02月07日</w:t>
            </w:r>
          </w:p>
        </w:tc>
        <w:tc>
          <w:tcPr>
            <w:tcW w:w="1479" w:type="dxa"/>
            <w:shd w:val="clear" w:color="auto" w:fill="FFFFFF" w:themeFill="background1"/>
            <w:vAlign w:val="center"/>
          </w:tcPr>
          <w:p w14:paraId="4AA4CB50"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2F188C5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0F64E05D" w14:textId="77777777" w:rsidTr="00CB6FD6">
        <w:trPr>
          <w:gridAfter w:val="1"/>
          <w:wAfter w:w="14" w:type="dxa"/>
          <w:trHeight w:val="240"/>
        </w:trPr>
        <w:tc>
          <w:tcPr>
            <w:tcW w:w="1307" w:type="dxa"/>
            <w:shd w:val="clear" w:color="auto" w:fill="FFFFFF" w:themeFill="background1"/>
            <w:vAlign w:val="center"/>
          </w:tcPr>
          <w:p w14:paraId="2DF1D83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3201872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厦门建发美酒汇酒业有限公司</w:t>
            </w:r>
          </w:p>
        </w:tc>
        <w:tc>
          <w:tcPr>
            <w:tcW w:w="1386" w:type="dxa"/>
            <w:shd w:val="clear" w:color="auto" w:fill="FFFFFF" w:themeFill="background1"/>
            <w:vAlign w:val="center"/>
          </w:tcPr>
          <w:p w14:paraId="7FAAF20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5C14EBD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2023年07月24日</w:t>
            </w:r>
          </w:p>
        </w:tc>
        <w:tc>
          <w:tcPr>
            <w:tcW w:w="1479" w:type="dxa"/>
            <w:shd w:val="clear" w:color="auto" w:fill="FFFFFF" w:themeFill="background1"/>
            <w:vAlign w:val="center"/>
          </w:tcPr>
          <w:p w14:paraId="29A8482F"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37E60BF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3587121C" w14:textId="77777777" w:rsidTr="00CB6FD6">
        <w:trPr>
          <w:gridAfter w:val="1"/>
          <w:wAfter w:w="14" w:type="dxa"/>
          <w:trHeight w:val="240"/>
        </w:trPr>
        <w:tc>
          <w:tcPr>
            <w:tcW w:w="1307" w:type="dxa"/>
            <w:shd w:val="clear" w:color="auto" w:fill="FFFFFF" w:themeFill="background1"/>
            <w:vAlign w:val="center"/>
          </w:tcPr>
          <w:p w14:paraId="2C00120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19C0398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厦门建发船舶贸易有限公司</w:t>
            </w:r>
          </w:p>
        </w:tc>
        <w:tc>
          <w:tcPr>
            <w:tcW w:w="1386" w:type="dxa"/>
            <w:shd w:val="clear" w:color="auto" w:fill="FFFFFF" w:themeFill="background1"/>
            <w:vAlign w:val="center"/>
          </w:tcPr>
          <w:p w14:paraId="7E6C0FF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12AC5BD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2023年05月05日</w:t>
            </w:r>
          </w:p>
        </w:tc>
        <w:tc>
          <w:tcPr>
            <w:tcW w:w="1479" w:type="dxa"/>
            <w:shd w:val="clear" w:color="auto" w:fill="FFFFFF" w:themeFill="background1"/>
            <w:vAlign w:val="center"/>
          </w:tcPr>
          <w:p w14:paraId="794CA929"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0D028A7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44AA3323" w14:textId="77777777" w:rsidTr="00CB6FD6">
        <w:trPr>
          <w:gridAfter w:val="1"/>
          <w:wAfter w:w="14" w:type="dxa"/>
          <w:trHeight w:val="240"/>
        </w:trPr>
        <w:tc>
          <w:tcPr>
            <w:tcW w:w="1307" w:type="dxa"/>
            <w:shd w:val="clear" w:color="auto" w:fill="FFFFFF" w:themeFill="background1"/>
            <w:vAlign w:val="center"/>
          </w:tcPr>
          <w:p w14:paraId="19CE80F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2236071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建发（杭州）实业有限公司</w:t>
            </w:r>
          </w:p>
        </w:tc>
        <w:tc>
          <w:tcPr>
            <w:tcW w:w="1386" w:type="dxa"/>
            <w:shd w:val="clear" w:color="auto" w:fill="FFFFFF" w:themeFill="background1"/>
            <w:vAlign w:val="center"/>
          </w:tcPr>
          <w:p w14:paraId="0DBB50F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661D78A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2020年11月27日</w:t>
            </w:r>
          </w:p>
        </w:tc>
        <w:tc>
          <w:tcPr>
            <w:tcW w:w="1479" w:type="dxa"/>
            <w:shd w:val="clear" w:color="auto" w:fill="FFFFFF" w:themeFill="background1"/>
            <w:vAlign w:val="center"/>
          </w:tcPr>
          <w:p w14:paraId="13AB9576"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3891991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3334F024" w14:textId="77777777" w:rsidTr="00CB6FD6">
        <w:trPr>
          <w:gridAfter w:val="1"/>
          <w:wAfter w:w="14" w:type="dxa"/>
          <w:trHeight w:val="240"/>
        </w:trPr>
        <w:tc>
          <w:tcPr>
            <w:tcW w:w="1307" w:type="dxa"/>
            <w:shd w:val="clear" w:color="auto" w:fill="FFFFFF" w:themeFill="background1"/>
            <w:vAlign w:val="center"/>
          </w:tcPr>
          <w:p w14:paraId="5078994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3D9C671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厦门建发通商有限公司</w:t>
            </w:r>
          </w:p>
        </w:tc>
        <w:tc>
          <w:tcPr>
            <w:tcW w:w="1386" w:type="dxa"/>
            <w:shd w:val="clear" w:color="auto" w:fill="FFFFFF" w:themeFill="background1"/>
            <w:vAlign w:val="center"/>
          </w:tcPr>
          <w:p w14:paraId="342CEA8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3A2EF85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2023年05月31日</w:t>
            </w:r>
          </w:p>
        </w:tc>
        <w:tc>
          <w:tcPr>
            <w:tcW w:w="1479" w:type="dxa"/>
            <w:shd w:val="clear" w:color="auto" w:fill="FFFFFF" w:themeFill="background1"/>
            <w:vAlign w:val="center"/>
          </w:tcPr>
          <w:p w14:paraId="36FA08A2"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3129FF5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54DB694F" w14:textId="77777777" w:rsidTr="00CB6FD6">
        <w:trPr>
          <w:gridAfter w:val="1"/>
          <w:wAfter w:w="14" w:type="dxa"/>
          <w:trHeight w:val="240"/>
        </w:trPr>
        <w:tc>
          <w:tcPr>
            <w:tcW w:w="1307" w:type="dxa"/>
            <w:shd w:val="clear" w:color="auto" w:fill="FFFFFF" w:themeFill="background1"/>
            <w:vAlign w:val="center"/>
          </w:tcPr>
          <w:p w14:paraId="10ED588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7C6985B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南京建发清洁能源有限公司</w:t>
            </w:r>
          </w:p>
        </w:tc>
        <w:tc>
          <w:tcPr>
            <w:tcW w:w="1386" w:type="dxa"/>
            <w:shd w:val="clear" w:color="auto" w:fill="FFFFFF" w:themeFill="background1"/>
            <w:vAlign w:val="center"/>
          </w:tcPr>
          <w:p w14:paraId="773B751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3F0751B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2021年12月28日</w:t>
            </w:r>
          </w:p>
        </w:tc>
        <w:tc>
          <w:tcPr>
            <w:tcW w:w="1479" w:type="dxa"/>
            <w:shd w:val="clear" w:color="auto" w:fill="FFFFFF" w:themeFill="background1"/>
            <w:vAlign w:val="center"/>
          </w:tcPr>
          <w:p w14:paraId="16D69E0B"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4279C73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5405878C" w14:textId="77777777" w:rsidTr="00CB6FD6">
        <w:trPr>
          <w:gridAfter w:val="1"/>
          <w:wAfter w:w="14" w:type="dxa"/>
          <w:trHeight w:val="240"/>
        </w:trPr>
        <w:tc>
          <w:tcPr>
            <w:tcW w:w="1307" w:type="dxa"/>
            <w:shd w:val="clear" w:color="auto" w:fill="FFFFFF" w:themeFill="background1"/>
            <w:vAlign w:val="center"/>
          </w:tcPr>
          <w:p w14:paraId="0063D29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1093C5D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厦门建发铝业有限公司</w:t>
            </w:r>
          </w:p>
        </w:tc>
        <w:tc>
          <w:tcPr>
            <w:tcW w:w="1386" w:type="dxa"/>
            <w:shd w:val="clear" w:color="auto" w:fill="FFFFFF" w:themeFill="background1"/>
            <w:vAlign w:val="center"/>
          </w:tcPr>
          <w:p w14:paraId="1019F67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4F120DC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2023年05月06日</w:t>
            </w:r>
          </w:p>
        </w:tc>
        <w:tc>
          <w:tcPr>
            <w:tcW w:w="1479" w:type="dxa"/>
            <w:shd w:val="clear" w:color="auto" w:fill="FFFFFF" w:themeFill="background1"/>
            <w:vAlign w:val="center"/>
          </w:tcPr>
          <w:p w14:paraId="02A68A2D"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4A0F9CF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54B48E3F" w14:textId="77777777" w:rsidTr="00CB6FD6">
        <w:trPr>
          <w:gridAfter w:val="1"/>
          <w:wAfter w:w="14" w:type="dxa"/>
          <w:trHeight w:val="240"/>
        </w:trPr>
        <w:tc>
          <w:tcPr>
            <w:tcW w:w="1307" w:type="dxa"/>
            <w:shd w:val="clear" w:color="auto" w:fill="FFFFFF" w:themeFill="background1"/>
            <w:vAlign w:val="center"/>
          </w:tcPr>
          <w:p w14:paraId="732DF23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44B1A7C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香港纸源有限公司</w:t>
            </w:r>
          </w:p>
        </w:tc>
        <w:tc>
          <w:tcPr>
            <w:tcW w:w="1386" w:type="dxa"/>
            <w:shd w:val="clear" w:color="auto" w:fill="FFFFFF" w:themeFill="background1"/>
            <w:vAlign w:val="center"/>
          </w:tcPr>
          <w:p w14:paraId="6E7D827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6003B40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2015年03月27日</w:t>
            </w:r>
          </w:p>
        </w:tc>
        <w:tc>
          <w:tcPr>
            <w:tcW w:w="1479" w:type="dxa"/>
            <w:shd w:val="clear" w:color="auto" w:fill="FFFFFF" w:themeFill="background1"/>
            <w:vAlign w:val="center"/>
          </w:tcPr>
          <w:p w14:paraId="091F2ADF"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0BBC5FD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7C332020" w14:textId="77777777" w:rsidTr="00CB6FD6">
        <w:trPr>
          <w:gridAfter w:val="1"/>
          <w:wAfter w:w="14" w:type="dxa"/>
          <w:trHeight w:val="240"/>
        </w:trPr>
        <w:tc>
          <w:tcPr>
            <w:tcW w:w="1307" w:type="dxa"/>
            <w:shd w:val="clear" w:color="auto" w:fill="FFFFFF" w:themeFill="background1"/>
            <w:vAlign w:val="center"/>
          </w:tcPr>
          <w:p w14:paraId="2DC1DF0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2126" w:type="dxa"/>
            <w:shd w:val="clear" w:color="auto" w:fill="FFFFFF" w:themeFill="background1"/>
            <w:vAlign w:val="center"/>
          </w:tcPr>
          <w:p w14:paraId="0194F43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昌富利（香港）贸易有限公司</w:t>
            </w:r>
          </w:p>
        </w:tc>
        <w:tc>
          <w:tcPr>
            <w:tcW w:w="1386" w:type="dxa"/>
            <w:shd w:val="clear" w:color="auto" w:fill="FFFFFF" w:themeFill="background1"/>
            <w:vAlign w:val="center"/>
          </w:tcPr>
          <w:p w14:paraId="4A69CD6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57FABA9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2021年01月22日</w:t>
            </w:r>
          </w:p>
        </w:tc>
        <w:tc>
          <w:tcPr>
            <w:tcW w:w="1479" w:type="dxa"/>
            <w:shd w:val="clear" w:color="auto" w:fill="FFFFFF" w:themeFill="background1"/>
            <w:vAlign w:val="center"/>
          </w:tcPr>
          <w:p w14:paraId="48D44E87"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13D5629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00888ED1" w14:textId="77777777" w:rsidTr="00CB6FD6">
        <w:trPr>
          <w:gridAfter w:val="1"/>
          <w:wAfter w:w="14" w:type="dxa"/>
          <w:trHeight w:val="240"/>
        </w:trPr>
        <w:tc>
          <w:tcPr>
            <w:tcW w:w="1307" w:type="dxa"/>
            <w:shd w:val="clear" w:color="auto" w:fill="FFFFFF" w:themeFill="background1"/>
            <w:vAlign w:val="center"/>
          </w:tcPr>
          <w:p w14:paraId="5064687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阎杰</w:t>
            </w:r>
          </w:p>
        </w:tc>
        <w:tc>
          <w:tcPr>
            <w:tcW w:w="2126" w:type="dxa"/>
            <w:shd w:val="clear" w:color="auto" w:fill="FFFFFF" w:themeFill="background1"/>
            <w:vAlign w:val="center"/>
          </w:tcPr>
          <w:p w14:paraId="37081BA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厦门建益达有限公司</w:t>
            </w:r>
          </w:p>
        </w:tc>
        <w:tc>
          <w:tcPr>
            <w:tcW w:w="1386" w:type="dxa"/>
            <w:shd w:val="clear" w:color="auto" w:fill="FFFFFF" w:themeFill="background1"/>
            <w:vAlign w:val="center"/>
          </w:tcPr>
          <w:p w14:paraId="4D19DCF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副总经理</w:t>
            </w:r>
          </w:p>
        </w:tc>
        <w:tc>
          <w:tcPr>
            <w:tcW w:w="1733" w:type="dxa"/>
            <w:shd w:val="clear" w:color="auto" w:fill="FFFFFF" w:themeFill="background1"/>
            <w:vAlign w:val="center"/>
          </w:tcPr>
          <w:p w14:paraId="743FB16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2018年02月08日</w:t>
            </w:r>
          </w:p>
        </w:tc>
        <w:tc>
          <w:tcPr>
            <w:tcW w:w="1479" w:type="dxa"/>
            <w:shd w:val="clear" w:color="auto" w:fill="FFFFFF" w:themeFill="background1"/>
            <w:vAlign w:val="center"/>
          </w:tcPr>
          <w:p w14:paraId="4A856794"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7AE3643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是</w:t>
            </w:r>
          </w:p>
        </w:tc>
      </w:tr>
      <w:tr w:rsidR="00632E5B" w14:paraId="6699EA22" w14:textId="77777777" w:rsidTr="00CB6FD6">
        <w:trPr>
          <w:gridAfter w:val="1"/>
          <w:wAfter w:w="14" w:type="dxa"/>
          <w:trHeight w:val="240"/>
        </w:trPr>
        <w:tc>
          <w:tcPr>
            <w:tcW w:w="1307" w:type="dxa"/>
            <w:shd w:val="clear" w:color="auto" w:fill="FFFFFF" w:themeFill="background1"/>
            <w:vAlign w:val="center"/>
          </w:tcPr>
          <w:p w14:paraId="11DB8CB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阎杰</w:t>
            </w:r>
          </w:p>
        </w:tc>
        <w:tc>
          <w:tcPr>
            <w:tcW w:w="2126" w:type="dxa"/>
            <w:shd w:val="clear" w:color="auto" w:fill="FFFFFF" w:themeFill="background1"/>
            <w:vAlign w:val="center"/>
          </w:tcPr>
          <w:p w14:paraId="2EB2297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厦门建发新兴能源有限公司</w:t>
            </w:r>
          </w:p>
        </w:tc>
        <w:tc>
          <w:tcPr>
            <w:tcW w:w="1386" w:type="dxa"/>
            <w:shd w:val="clear" w:color="auto" w:fill="FFFFFF" w:themeFill="background1"/>
            <w:vAlign w:val="center"/>
          </w:tcPr>
          <w:p w14:paraId="03EC94A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副总经理</w:t>
            </w:r>
          </w:p>
        </w:tc>
        <w:tc>
          <w:tcPr>
            <w:tcW w:w="1733" w:type="dxa"/>
            <w:shd w:val="clear" w:color="auto" w:fill="FFFFFF" w:themeFill="background1"/>
            <w:vAlign w:val="center"/>
          </w:tcPr>
          <w:p w14:paraId="2610910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2023年01月04日</w:t>
            </w:r>
          </w:p>
        </w:tc>
        <w:tc>
          <w:tcPr>
            <w:tcW w:w="1479" w:type="dxa"/>
            <w:shd w:val="clear" w:color="auto" w:fill="FFFFFF" w:themeFill="background1"/>
            <w:vAlign w:val="center"/>
          </w:tcPr>
          <w:p w14:paraId="649838AE"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3EC354D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62A42EC0" w14:textId="77777777" w:rsidTr="00CB6FD6">
        <w:trPr>
          <w:gridAfter w:val="1"/>
          <w:wAfter w:w="14" w:type="dxa"/>
          <w:trHeight w:val="240"/>
        </w:trPr>
        <w:tc>
          <w:tcPr>
            <w:tcW w:w="1307" w:type="dxa"/>
            <w:shd w:val="clear" w:color="auto" w:fill="FFFFFF" w:themeFill="background1"/>
            <w:vAlign w:val="center"/>
          </w:tcPr>
          <w:p w14:paraId="39B7FF2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阎杰</w:t>
            </w:r>
          </w:p>
        </w:tc>
        <w:tc>
          <w:tcPr>
            <w:tcW w:w="2126" w:type="dxa"/>
            <w:shd w:val="clear" w:color="auto" w:fill="FFFFFF" w:themeFill="background1"/>
            <w:vAlign w:val="center"/>
          </w:tcPr>
          <w:p w14:paraId="62C37A9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LIFT SOLAR GmbH</w:t>
            </w:r>
          </w:p>
        </w:tc>
        <w:tc>
          <w:tcPr>
            <w:tcW w:w="1386" w:type="dxa"/>
            <w:shd w:val="clear" w:color="auto" w:fill="FFFFFF" w:themeFill="background1"/>
            <w:vAlign w:val="center"/>
          </w:tcPr>
          <w:p w14:paraId="0042D86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董事，总经理</w:t>
            </w:r>
          </w:p>
        </w:tc>
        <w:tc>
          <w:tcPr>
            <w:tcW w:w="1733" w:type="dxa"/>
            <w:shd w:val="clear" w:color="auto" w:fill="FFFFFF" w:themeFill="background1"/>
            <w:vAlign w:val="center"/>
          </w:tcPr>
          <w:p w14:paraId="1F74062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2022年10月28日</w:t>
            </w:r>
          </w:p>
        </w:tc>
        <w:tc>
          <w:tcPr>
            <w:tcW w:w="1479" w:type="dxa"/>
            <w:shd w:val="clear" w:color="auto" w:fill="FFFFFF" w:themeFill="background1"/>
            <w:vAlign w:val="center"/>
          </w:tcPr>
          <w:p w14:paraId="411D3594"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189D391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6DFD65C0" w14:textId="77777777" w:rsidTr="00CB6FD6">
        <w:trPr>
          <w:gridAfter w:val="1"/>
          <w:wAfter w:w="14" w:type="dxa"/>
          <w:trHeight w:val="240"/>
        </w:trPr>
        <w:tc>
          <w:tcPr>
            <w:tcW w:w="1307" w:type="dxa"/>
            <w:shd w:val="clear" w:color="auto" w:fill="FFFFFF" w:themeFill="background1"/>
            <w:vAlign w:val="center"/>
          </w:tcPr>
          <w:p w14:paraId="4FA25E3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阎杰</w:t>
            </w:r>
          </w:p>
        </w:tc>
        <w:tc>
          <w:tcPr>
            <w:tcW w:w="2126" w:type="dxa"/>
            <w:shd w:val="clear" w:color="auto" w:fill="FFFFFF" w:themeFill="background1"/>
            <w:vAlign w:val="center"/>
          </w:tcPr>
          <w:p w14:paraId="2304E4A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鼎昊国际先进材料技术（泰国）有限公司</w:t>
            </w:r>
          </w:p>
        </w:tc>
        <w:tc>
          <w:tcPr>
            <w:tcW w:w="1386" w:type="dxa"/>
            <w:shd w:val="clear" w:color="auto" w:fill="FFFFFF" w:themeFill="background1"/>
            <w:vAlign w:val="center"/>
          </w:tcPr>
          <w:p w14:paraId="0DC4CCD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733" w:type="dxa"/>
            <w:shd w:val="clear" w:color="auto" w:fill="FFFFFF" w:themeFill="background1"/>
            <w:vAlign w:val="center"/>
          </w:tcPr>
          <w:p w14:paraId="51F3E6D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2024年04月25日</w:t>
            </w:r>
          </w:p>
        </w:tc>
        <w:tc>
          <w:tcPr>
            <w:tcW w:w="1479" w:type="dxa"/>
            <w:shd w:val="clear" w:color="auto" w:fill="FFFFFF" w:themeFill="background1"/>
            <w:vAlign w:val="center"/>
          </w:tcPr>
          <w:p w14:paraId="14ECAF6A"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5712240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4DB2CF90" w14:textId="77777777" w:rsidTr="00CB6FD6">
        <w:trPr>
          <w:gridAfter w:val="1"/>
          <w:wAfter w:w="14" w:type="dxa"/>
          <w:trHeight w:val="240"/>
        </w:trPr>
        <w:tc>
          <w:tcPr>
            <w:tcW w:w="1307" w:type="dxa"/>
            <w:shd w:val="clear" w:color="auto" w:fill="FFFFFF" w:themeFill="background1"/>
            <w:vAlign w:val="center"/>
          </w:tcPr>
          <w:p w14:paraId="2D3579F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阎杰</w:t>
            </w:r>
          </w:p>
        </w:tc>
        <w:tc>
          <w:tcPr>
            <w:tcW w:w="2126" w:type="dxa"/>
            <w:shd w:val="clear" w:color="auto" w:fill="FFFFFF" w:themeFill="background1"/>
            <w:vAlign w:val="center"/>
          </w:tcPr>
          <w:p w14:paraId="77943B3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宿州顺风光电科技有限公司</w:t>
            </w:r>
          </w:p>
        </w:tc>
        <w:tc>
          <w:tcPr>
            <w:tcW w:w="1386" w:type="dxa"/>
            <w:shd w:val="clear" w:color="auto" w:fill="FFFFFF" w:themeFill="background1"/>
            <w:vAlign w:val="center"/>
          </w:tcPr>
          <w:p w14:paraId="0CB081F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监事</w:t>
            </w:r>
          </w:p>
        </w:tc>
        <w:tc>
          <w:tcPr>
            <w:tcW w:w="1733" w:type="dxa"/>
            <w:shd w:val="clear" w:color="auto" w:fill="FFFFFF" w:themeFill="background1"/>
            <w:vAlign w:val="center"/>
          </w:tcPr>
          <w:p w14:paraId="6A76208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2023年07月13日</w:t>
            </w:r>
          </w:p>
        </w:tc>
        <w:tc>
          <w:tcPr>
            <w:tcW w:w="1479" w:type="dxa"/>
            <w:shd w:val="clear" w:color="auto" w:fill="FFFFFF" w:themeFill="background1"/>
            <w:vAlign w:val="center"/>
          </w:tcPr>
          <w:p w14:paraId="50CA4E9B"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7C36644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0ABB923F" w14:textId="77777777" w:rsidTr="00CB6FD6">
        <w:trPr>
          <w:gridAfter w:val="1"/>
          <w:wAfter w:w="14" w:type="dxa"/>
          <w:trHeight w:val="240"/>
        </w:trPr>
        <w:tc>
          <w:tcPr>
            <w:tcW w:w="1307" w:type="dxa"/>
            <w:shd w:val="clear" w:color="auto" w:fill="FFFFFF" w:themeFill="background1"/>
            <w:vAlign w:val="center"/>
          </w:tcPr>
          <w:p w14:paraId="5FD1AF3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阎杰</w:t>
            </w:r>
          </w:p>
        </w:tc>
        <w:tc>
          <w:tcPr>
            <w:tcW w:w="2126" w:type="dxa"/>
            <w:shd w:val="clear" w:color="auto" w:fill="FFFFFF" w:themeFill="background1"/>
            <w:vAlign w:val="center"/>
          </w:tcPr>
          <w:p w14:paraId="0A3C8E8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福建力弗特机电工程有限公司</w:t>
            </w:r>
          </w:p>
        </w:tc>
        <w:tc>
          <w:tcPr>
            <w:tcW w:w="1386" w:type="dxa"/>
            <w:shd w:val="clear" w:color="auto" w:fill="FFFFFF" w:themeFill="background1"/>
            <w:vAlign w:val="center"/>
          </w:tcPr>
          <w:p w14:paraId="5034A2F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经理</w:t>
            </w:r>
          </w:p>
        </w:tc>
        <w:tc>
          <w:tcPr>
            <w:tcW w:w="1733" w:type="dxa"/>
            <w:shd w:val="clear" w:color="auto" w:fill="FFFFFF" w:themeFill="background1"/>
            <w:vAlign w:val="center"/>
          </w:tcPr>
          <w:p w14:paraId="0E5BBF7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2020年11月12日</w:t>
            </w:r>
          </w:p>
        </w:tc>
        <w:tc>
          <w:tcPr>
            <w:tcW w:w="1479" w:type="dxa"/>
            <w:shd w:val="clear" w:color="auto" w:fill="FFFFFF" w:themeFill="background1"/>
            <w:vAlign w:val="center"/>
          </w:tcPr>
          <w:p w14:paraId="70CDB9E8"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1F61EC8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349D5A3B" w14:textId="77777777" w:rsidTr="00CB6FD6">
        <w:trPr>
          <w:gridAfter w:val="1"/>
          <w:wAfter w:w="14" w:type="dxa"/>
          <w:trHeight w:val="240"/>
        </w:trPr>
        <w:tc>
          <w:tcPr>
            <w:tcW w:w="1307" w:type="dxa"/>
            <w:shd w:val="clear" w:color="auto" w:fill="FFFFFF" w:themeFill="background1"/>
            <w:vAlign w:val="center"/>
          </w:tcPr>
          <w:p w14:paraId="58E62BE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阎杰</w:t>
            </w:r>
          </w:p>
        </w:tc>
        <w:tc>
          <w:tcPr>
            <w:tcW w:w="2126" w:type="dxa"/>
            <w:shd w:val="clear" w:color="auto" w:fill="FFFFFF" w:themeFill="background1"/>
            <w:vAlign w:val="center"/>
          </w:tcPr>
          <w:p w14:paraId="112E9BB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浙江力弗特机电工程有限公司</w:t>
            </w:r>
          </w:p>
        </w:tc>
        <w:tc>
          <w:tcPr>
            <w:tcW w:w="1386" w:type="dxa"/>
            <w:shd w:val="clear" w:color="auto" w:fill="FFFFFF" w:themeFill="background1"/>
            <w:vAlign w:val="center"/>
          </w:tcPr>
          <w:p w14:paraId="4418F68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经理</w:t>
            </w:r>
          </w:p>
        </w:tc>
        <w:tc>
          <w:tcPr>
            <w:tcW w:w="1733" w:type="dxa"/>
            <w:shd w:val="clear" w:color="auto" w:fill="FFFFFF" w:themeFill="background1"/>
            <w:vAlign w:val="center"/>
          </w:tcPr>
          <w:p w14:paraId="0CB574B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2020年09月04日</w:t>
            </w:r>
          </w:p>
        </w:tc>
        <w:tc>
          <w:tcPr>
            <w:tcW w:w="1479" w:type="dxa"/>
            <w:shd w:val="clear" w:color="auto" w:fill="FFFFFF" w:themeFill="background1"/>
            <w:vAlign w:val="center"/>
          </w:tcPr>
          <w:p w14:paraId="284BD073"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7F888D3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1E599AB4" w14:textId="77777777" w:rsidTr="00CB6FD6">
        <w:trPr>
          <w:gridAfter w:val="1"/>
          <w:wAfter w:w="14" w:type="dxa"/>
          <w:trHeight w:val="240"/>
        </w:trPr>
        <w:tc>
          <w:tcPr>
            <w:tcW w:w="1307" w:type="dxa"/>
            <w:shd w:val="clear" w:color="auto" w:fill="FFFFFF" w:themeFill="background1"/>
            <w:vAlign w:val="center"/>
          </w:tcPr>
          <w:p w14:paraId="139B639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阎杰</w:t>
            </w:r>
          </w:p>
        </w:tc>
        <w:tc>
          <w:tcPr>
            <w:tcW w:w="2126" w:type="dxa"/>
            <w:shd w:val="clear" w:color="auto" w:fill="FFFFFF" w:themeFill="background1"/>
            <w:vAlign w:val="center"/>
          </w:tcPr>
          <w:p w14:paraId="4B47C59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建联集成（厦门）科技有限公司</w:t>
            </w:r>
          </w:p>
        </w:tc>
        <w:tc>
          <w:tcPr>
            <w:tcW w:w="1386" w:type="dxa"/>
            <w:shd w:val="clear" w:color="auto" w:fill="FFFFFF" w:themeFill="background1"/>
            <w:vAlign w:val="center"/>
          </w:tcPr>
          <w:p w14:paraId="1B73D46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经理</w:t>
            </w:r>
          </w:p>
        </w:tc>
        <w:tc>
          <w:tcPr>
            <w:tcW w:w="1733" w:type="dxa"/>
            <w:shd w:val="clear" w:color="auto" w:fill="FFFFFF" w:themeFill="background1"/>
            <w:vAlign w:val="center"/>
          </w:tcPr>
          <w:p w14:paraId="45A81CC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2018年06月19日</w:t>
            </w:r>
          </w:p>
        </w:tc>
        <w:tc>
          <w:tcPr>
            <w:tcW w:w="1479" w:type="dxa"/>
            <w:shd w:val="clear" w:color="auto" w:fill="FFFFFF" w:themeFill="background1"/>
            <w:vAlign w:val="center"/>
          </w:tcPr>
          <w:p w14:paraId="5D64E252"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024B507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0A4E98F4" w14:textId="77777777" w:rsidTr="00CB6FD6">
        <w:trPr>
          <w:gridAfter w:val="1"/>
          <w:wAfter w:w="14" w:type="dxa"/>
          <w:trHeight w:val="240"/>
        </w:trPr>
        <w:tc>
          <w:tcPr>
            <w:tcW w:w="1307" w:type="dxa"/>
            <w:shd w:val="clear" w:color="auto" w:fill="FFFFFF" w:themeFill="background1"/>
            <w:vAlign w:val="center"/>
          </w:tcPr>
          <w:p w14:paraId="6E909FD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阎杰</w:t>
            </w:r>
          </w:p>
        </w:tc>
        <w:tc>
          <w:tcPr>
            <w:tcW w:w="2126" w:type="dxa"/>
            <w:shd w:val="clear" w:color="auto" w:fill="FFFFFF" w:themeFill="background1"/>
            <w:vAlign w:val="center"/>
          </w:tcPr>
          <w:p w14:paraId="3D50F1A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厦门益光兴能智慧能源有限公司</w:t>
            </w:r>
          </w:p>
        </w:tc>
        <w:tc>
          <w:tcPr>
            <w:tcW w:w="1386" w:type="dxa"/>
            <w:shd w:val="clear" w:color="auto" w:fill="FFFFFF" w:themeFill="background1"/>
            <w:vAlign w:val="center"/>
          </w:tcPr>
          <w:p w14:paraId="6553083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经理，执行董事</w:t>
            </w:r>
          </w:p>
        </w:tc>
        <w:tc>
          <w:tcPr>
            <w:tcW w:w="1733" w:type="dxa"/>
            <w:shd w:val="clear" w:color="auto" w:fill="FFFFFF" w:themeFill="background1"/>
            <w:vAlign w:val="center"/>
          </w:tcPr>
          <w:p w14:paraId="3D6E94B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2023年08月18日</w:t>
            </w:r>
          </w:p>
        </w:tc>
        <w:tc>
          <w:tcPr>
            <w:tcW w:w="1479" w:type="dxa"/>
            <w:shd w:val="clear" w:color="auto" w:fill="FFFFFF" w:themeFill="background1"/>
            <w:vAlign w:val="center"/>
          </w:tcPr>
          <w:p w14:paraId="564D45C4"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6D7A5CF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1823785A" w14:textId="77777777" w:rsidTr="00CB6FD6">
        <w:trPr>
          <w:gridAfter w:val="1"/>
          <w:wAfter w:w="14" w:type="dxa"/>
          <w:trHeight w:val="240"/>
        </w:trPr>
        <w:tc>
          <w:tcPr>
            <w:tcW w:w="1307" w:type="dxa"/>
            <w:shd w:val="clear" w:color="auto" w:fill="FFFFFF" w:themeFill="background1"/>
            <w:vAlign w:val="center"/>
          </w:tcPr>
          <w:p w14:paraId="044E74E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詹有义</w:t>
            </w:r>
          </w:p>
        </w:tc>
        <w:tc>
          <w:tcPr>
            <w:tcW w:w="2126" w:type="dxa"/>
            <w:shd w:val="clear" w:color="auto" w:fill="FFFFFF" w:themeFill="background1"/>
            <w:vAlign w:val="center"/>
          </w:tcPr>
          <w:p w14:paraId="50E868F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立信中联会计师事务所</w:t>
            </w:r>
            <w:r>
              <w:rPr>
                <w:rFonts w:ascii="宋体" w:eastAsia="宋体" w:hAnsi="宋体" w:cs="宋体"/>
                <w:sz w:val="18"/>
                <w:szCs w:val="18"/>
              </w:rPr>
              <w:lastRenderedPageBreak/>
              <w:t>（特殊普通合伙）</w:t>
            </w:r>
          </w:p>
        </w:tc>
        <w:tc>
          <w:tcPr>
            <w:tcW w:w="1386" w:type="dxa"/>
            <w:shd w:val="clear" w:color="auto" w:fill="FFFFFF" w:themeFill="background1"/>
            <w:vAlign w:val="center"/>
          </w:tcPr>
          <w:p w14:paraId="7F1070E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lastRenderedPageBreak/>
              <w:t>合伙人、厦门</w:t>
            </w:r>
            <w:r>
              <w:rPr>
                <w:rFonts w:ascii="宋体" w:eastAsia="宋体" w:hAnsi="宋体" w:cs="宋体"/>
                <w:sz w:val="18"/>
                <w:szCs w:val="18"/>
              </w:rPr>
              <w:lastRenderedPageBreak/>
              <w:t>分所主任会计师</w:t>
            </w:r>
          </w:p>
        </w:tc>
        <w:tc>
          <w:tcPr>
            <w:tcW w:w="1733" w:type="dxa"/>
            <w:shd w:val="clear" w:color="auto" w:fill="FFFFFF" w:themeFill="background1"/>
            <w:vAlign w:val="center"/>
          </w:tcPr>
          <w:p w14:paraId="34C904B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lastRenderedPageBreak/>
              <w:t>2017年11月20日</w:t>
            </w:r>
          </w:p>
        </w:tc>
        <w:tc>
          <w:tcPr>
            <w:tcW w:w="1479" w:type="dxa"/>
            <w:shd w:val="clear" w:color="auto" w:fill="FFFFFF" w:themeFill="background1"/>
            <w:vAlign w:val="center"/>
          </w:tcPr>
          <w:p w14:paraId="1EC6F1C5"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5135CDC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是</w:t>
            </w:r>
          </w:p>
        </w:tc>
      </w:tr>
      <w:tr w:rsidR="00632E5B" w14:paraId="0CD199D1" w14:textId="77777777" w:rsidTr="00CB6FD6">
        <w:trPr>
          <w:gridAfter w:val="1"/>
          <w:wAfter w:w="14" w:type="dxa"/>
          <w:trHeight w:val="240"/>
        </w:trPr>
        <w:tc>
          <w:tcPr>
            <w:tcW w:w="1307" w:type="dxa"/>
            <w:shd w:val="clear" w:color="auto" w:fill="FFFFFF" w:themeFill="background1"/>
            <w:vAlign w:val="center"/>
          </w:tcPr>
          <w:p w14:paraId="23CCC54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詹有义</w:t>
            </w:r>
          </w:p>
        </w:tc>
        <w:tc>
          <w:tcPr>
            <w:tcW w:w="2126" w:type="dxa"/>
            <w:shd w:val="clear" w:color="auto" w:fill="FFFFFF" w:themeFill="background1"/>
            <w:vAlign w:val="center"/>
          </w:tcPr>
          <w:p w14:paraId="01B7F6B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苏州兆和空气系统股份有限公司</w:t>
            </w:r>
          </w:p>
        </w:tc>
        <w:tc>
          <w:tcPr>
            <w:tcW w:w="1386" w:type="dxa"/>
            <w:shd w:val="clear" w:color="auto" w:fill="FFFFFF" w:themeFill="background1"/>
            <w:vAlign w:val="center"/>
          </w:tcPr>
          <w:p w14:paraId="098011B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独立董事</w:t>
            </w:r>
          </w:p>
        </w:tc>
        <w:tc>
          <w:tcPr>
            <w:tcW w:w="1733" w:type="dxa"/>
            <w:shd w:val="clear" w:color="auto" w:fill="FFFFFF" w:themeFill="background1"/>
            <w:vAlign w:val="center"/>
          </w:tcPr>
          <w:p w14:paraId="11334C8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2022年08月31日</w:t>
            </w:r>
          </w:p>
        </w:tc>
        <w:tc>
          <w:tcPr>
            <w:tcW w:w="1479" w:type="dxa"/>
            <w:shd w:val="clear" w:color="auto" w:fill="FFFFFF" w:themeFill="background1"/>
            <w:vAlign w:val="center"/>
          </w:tcPr>
          <w:p w14:paraId="780CB638"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1AB780B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是</w:t>
            </w:r>
          </w:p>
        </w:tc>
      </w:tr>
      <w:tr w:rsidR="00632E5B" w14:paraId="4A922437" w14:textId="77777777" w:rsidTr="00CB6FD6">
        <w:trPr>
          <w:gridAfter w:val="1"/>
          <w:wAfter w:w="14" w:type="dxa"/>
          <w:trHeight w:val="240"/>
        </w:trPr>
        <w:tc>
          <w:tcPr>
            <w:tcW w:w="1307" w:type="dxa"/>
            <w:shd w:val="clear" w:color="auto" w:fill="FFFFFF" w:themeFill="background1"/>
            <w:vAlign w:val="center"/>
          </w:tcPr>
          <w:p w14:paraId="6006964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陈朝琳</w:t>
            </w:r>
          </w:p>
        </w:tc>
        <w:tc>
          <w:tcPr>
            <w:tcW w:w="2126" w:type="dxa"/>
            <w:shd w:val="clear" w:color="auto" w:fill="FFFFFF" w:themeFill="background1"/>
            <w:vAlign w:val="center"/>
          </w:tcPr>
          <w:p w14:paraId="77C01A3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厦门国家会计学院教研中心</w:t>
            </w:r>
          </w:p>
        </w:tc>
        <w:tc>
          <w:tcPr>
            <w:tcW w:w="1386" w:type="dxa"/>
            <w:shd w:val="clear" w:color="auto" w:fill="FFFFFF" w:themeFill="background1"/>
            <w:vAlign w:val="center"/>
          </w:tcPr>
          <w:p w14:paraId="1FBA12C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副教授</w:t>
            </w:r>
          </w:p>
        </w:tc>
        <w:tc>
          <w:tcPr>
            <w:tcW w:w="1733" w:type="dxa"/>
            <w:shd w:val="clear" w:color="auto" w:fill="FFFFFF" w:themeFill="background1"/>
            <w:vAlign w:val="center"/>
          </w:tcPr>
          <w:p w14:paraId="406E7C9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2011年07月05日</w:t>
            </w:r>
          </w:p>
        </w:tc>
        <w:tc>
          <w:tcPr>
            <w:tcW w:w="1479" w:type="dxa"/>
            <w:shd w:val="clear" w:color="auto" w:fill="FFFFFF" w:themeFill="background1"/>
            <w:vAlign w:val="center"/>
          </w:tcPr>
          <w:p w14:paraId="69AF483B"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0472FE4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是</w:t>
            </w:r>
          </w:p>
        </w:tc>
      </w:tr>
      <w:tr w:rsidR="00632E5B" w14:paraId="2834C973" w14:textId="77777777" w:rsidTr="00CB6FD6">
        <w:trPr>
          <w:gridAfter w:val="1"/>
          <w:wAfter w:w="14" w:type="dxa"/>
          <w:trHeight w:val="240"/>
        </w:trPr>
        <w:tc>
          <w:tcPr>
            <w:tcW w:w="1307" w:type="dxa"/>
            <w:shd w:val="clear" w:color="auto" w:fill="FFFFFF" w:themeFill="background1"/>
            <w:vAlign w:val="center"/>
          </w:tcPr>
          <w:p w14:paraId="638428D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陈朝琳</w:t>
            </w:r>
          </w:p>
        </w:tc>
        <w:tc>
          <w:tcPr>
            <w:tcW w:w="2126" w:type="dxa"/>
            <w:shd w:val="clear" w:color="auto" w:fill="FFFFFF" w:themeFill="background1"/>
            <w:vAlign w:val="center"/>
          </w:tcPr>
          <w:p w14:paraId="601EEE2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中国会计学会企业会计准则专业委员会</w:t>
            </w:r>
          </w:p>
        </w:tc>
        <w:tc>
          <w:tcPr>
            <w:tcW w:w="1386" w:type="dxa"/>
            <w:shd w:val="clear" w:color="auto" w:fill="FFFFFF" w:themeFill="background1"/>
            <w:vAlign w:val="center"/>
          </w:tcPr>
          <w:p w14:paraId="1DA2732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委员</w:t>
            </w:r>
          </w:p>
        </w:tc>
        <w:tc>
          <w:tcPr>
            <w:tcW w:w="1733" w:type="dxa"/>
            <w:shd w:val="clear" w:color="auto" w:fill="FFFFFF" w:themeFill="background1"/>
            <w:vAlign w:val="center"/>
          </w:tcPr>
          <w:p w14:paraId="7C279E9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2024年07月09日</w:t>
            </w:r>
          </w:p>
        </w:tc>
        <w:tc>
          <w:tcPr>
            <w:tcW w:w="1479" w:type="dxa"/>
            <w:shd w:val="clear" w:color="auto" w:fill="FFFFFF" w:themeFill="background1"/>
            <w:vAlign w:val="center"/>
          </w:tcPr>
          <w:p w14:paraId="16FBEC63"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59A84A3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35FB1B6C" w14:textId="77777777" w:rsidTr="00CB6FD6">
        <w:trPr>
          <w:gridAfter w:val="1"/>
          <w:wAfter w:w="14" w:type="dxa"/>
          <w:trHeight w:val="240"/>
        </w:trPr>
        <w:tc>
          <w:tcPr>
            <w:tcW w:w="1307" w:type="dxa"/>
            <w:shd w:val="clear" w:color="auto" w:fill="FFFFFF" w:themeFill="background1"/>
            <w:vAlign w:val="center"/>
          </w:tcPr>
          <w:p w14:paraId="0C20F89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陈朝琳</w:t>
            </w:r>
          </w:p>
        </w:tc>
        <w:tc>
          <w:tcPr>
            <w:tcW w:w="2126" w:type="dxa"/>
            <w:shd w:val="clear" w:color="auto" w:fill="FFFFFF" w:themeFill="background1"/>
            <w:vAlign w:val="center"/>
          </w:tcPr>
          <w:p w14:paraId="67EDEBC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厦门市中直会计学会专家委员会</w:t>
            </w:r>
          </w:p>
        </w:tc>
        <w:tc>
          <w:tcPr>
            <w:tcW w:w="1386" w:type="dxa"/>
            <w:shd w:val="clear" w:color="auto" w:fill="FFFFFF" w:themeFill="background1"/>
            <w:vAlign w:val="center"/>
          </w:tcPr>
          <w:p w14:paraId="2D7B4E9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委员</w:t>
            </w:r>
          </w:p>
        </w:tc>
        <w:tc>
          <w:tcPr>
            <w:tcW w:w="1733" w:type="dxa"/>
            <w:shd w:val="clear" w:color="auto" w:fill="FFFFFF" w:themeFill="background1"/>
            <w:vAlign w:val="center"/>
          </w:tcPr>
          <w:p w14:paraId="6E81F4A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2023年08月11日</w:t>
            </w:r>
          </w:p>
        </w:tc>
        <w:tc>
          <w:tcPr>
            <w:tcW w:w="1479" w:type="dxa"/>
            <w:shd w:val="clear" w:color="auto" w:fill="FFFFFF" w:themeFill="background1"/>
            <w:vAlign w:val="center"/>
          </w:tcPr>
          <w:p w14:paraId="0A92AA2B"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3796F9D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4A271F20" w14:textId="77777777" w:rsidTr="00CB6FD6">
        <w:trPr>
          <w:gridAfter w:val="1"/>
          <w:wAfter w:w="14" w:type="dxa"/>
          <w:trHeight w:val="240"/>
        </w:trPr>
        <w:tc>
          <w:tcPr>
            <w:tcW w:w="1307" w:type="dxa"/>
            <w:shd w:val="clear" w:color="auto" w:fill="FFFFFF" w:themeFill="background1"/>
            <w:vAlign w:val="center"/>
          </w:tcPr>
          <w:p w14:paraId="7D57DD2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陈朝琳</w:t>
            </w:r>
          </w:p>
        </w:tc>
        <w:tc>
          <w:tcPr>
            <w:tcW w:w="2126" w:type="dxa"/>
            <w:shd w:val="clear" w:color="auto" w:fill="FFFFFF" w:themeFill="background1"/>
            <w:vAlign w:val="center"/>
          </w:tcPr>
          <w:p w14:paraId="2ECC99C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江阴电工合金股份有限公司</w:t>
            </w:r>
          </w:p>
        </w:tc>
        <w:tc>
          <w:tcPr>
            <w:tcW w:w="1386" w:type="dxa"/>
            <w:shd w:val="clear" w:color="auto" w:fill="FFFFFF" w:themeFill="background1"/>
            <w:vAlign w:val="center"/>
          </w:tcPr>
          <w:p w14:paraId="7A345B8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独立董事</w:t>
            </w:r>
          </w:p>
        </w:tc>
        <w:tc>
          <w:tcPr>
            <w:tcW w:w="1733" w:type="dxa"/>
            <w:shd w:val="clear" w:color="auto" w:fill="FFFFFF" w:themeFill="background1"/>
            <w:vAlign w:val="center"/>
          </w:tcPr>
          <w:p w14:paraId="45A7598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2024年09月30日</w:t>
            </w:r>
          </w:p>
        </w:tc>
        <w:tc>
          <w:tcPr>
            <w:tcW w:w="1479" w:type="dxa"/>
            <w:shd w:val="clear" w:color="auto" w:fill="FFFFFF" w:themeFill="background1"/>
            <w:vAlign w:val="center"/>
          </w:tcPr>
          <w:p w14:paraId="4021643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2027年09月30日</w:t>
            </w:r>
          </w:p>
        </w:tc>
        <w:tc>
          <w:tcPr>
            <w:tcW w:w="1608" w:type="dxa"/>
            <w:shd w:val="clear" w:color="auto" w:fill="FFFFFF" w:themeFill="background1"/>
            <w:vAlign w:val="center"/>
          </w:tcPr>
          <w:p w14:paraId="5C0F186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是</w:t>
            </w:r>
          </w:p>
        </w:tc>
      </w:tr>
      <w:tr w:rsidR="00632E5B" w14:paraId="13CF0BF9" w14:textId="77777777" w:rsidTr="00CB6FD6">
        <w:trPr>
          <w:gridAfter w:val="1"/>
          <w:wAfter w:w="14" w:type="dxa"/>
          <w:trHeight w:val="240"/>
        </w:trPr>
        <w:tc>
          <w:tcPr>
            <w:tcW w:w="1307" w:type="dxa"/>
            <w:shd w:val="clear" w:color="auto" w:fill="FFFFFF" w:themeFill="background1"/>
            <w:vAlign w:val="center"/>
          </w:tcPr>
          <w:p w14:paraId="59E1D8F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陈朝琳</w:t>
            </w:r>
          </w:p>
        </w:tc>
        <w:tc>
          <w:tcPr>
            <w:tcW w:w="2126" w:type="dxa"/>
            <w:shd w:val="clear" w:color="auto" w:fill="FFFFFF" w:themeFill="background1"/>
            <w:vAlign w:val="center"/>
          </w:tcPr>
          <w:p w14:paraId="484CE9A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百应控股集团有限公司</w:t>
            </w:r>
          </w:p>
        </w:tc>
        <w:tc>
          <w:tcPr>
            <w:tcW w:w="1386" w:type="dxa"/>
            <w:shd w:val="clear" w:color="auto" w:fill="FFFFFF" w:themeFill="background1"/>
            <w:vAlign w:val="center"/>
          </w:tcPr>
          <w:p w14:paraId="49AD4DF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独立非执行董事</w:t>
            </w:r>
          </w:p>
        </w:tc>
        <w:tc>
          <w:tcPr>
            <w:tcW w:w="1733" w:type="dxa"/>
            <w:shd w:val="clear" w:color="auto" w:fill="FFFFFF" w:themeFill="background1"/>
            <w:vAlign w:val="center"/>
          </w:tcPr>
          <w:p w14:paraId="1893E3F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2018年06月19日</w:t>
            </w:r>
          </w:p>
        </w:tc>
        <w:tc>
          <w:tcPr>
            <w:tcW w:w="1479" w:type="dxa"/>
            <w:shd w:val="clear" w:color="auto" w:fill="FFFFFF" w:themeFill="background1"/>
            <w:vAlign w:val="center"/>
          </w:tcPr>
          <w:p w14:paraId="7C9CD377"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2769758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是</w:t>
            </w:r>
          </w:p>
        </w:tc>
      </w:tr>
      <w:tr w:rsidR="00632E5B" w14:paraId="75A3C5C1" w14:textId="77777777" w:rsidTr="00CB6FD6">
        <w:trPr>
          <w:gridAfter w:val="1"/>
          <w:wAfter w:w="14" w:type="dxa"/>
          <w:trHeight w:val="240"/>
        </w:trPr>
        <w:tc>
          <w:tcPr>
            <w:tcW w:w="1307" w:type="dxa"/>
            <w:shd w:val="clear" w:color="auto" w:fill="FFFFFF" w:themeFill="background1"/>
            <w:vAlign w:val="center"/>
          </w:tcPr>
          <w:p w14:paraId="090B04F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陈朝琳</w:t>
            </w:r>
          </w:p>
        </w:tc>
        <w:tc>
          <w:tcPr>
            <w:tcW w:w="2126" w:type="dxa"/>
            <w:shd w:val="clear" w:color="auto" w:fill="FFFFFF" w:themeFill="background1"/>
            <w:vAlign w:val="center"/>
          </w:tcPr>
          <w:p w14:paraId="06C9F90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力品药业（厦门）股份有限公司</w:t>
            </w:r>
          </w:p>
        </w:tc>
        <w:tc>
          <w:tcPr>
            <w:tcW w:w="1386" w:type="dxa"/>
            <w:shd w:val="clear" w:color="auto" w:fill="FFFFFF" w:themeFill="background1"/>
            <w:vAlign w:val="center"/>
          </w:tcPr>
          <w:p w14:paraId="0D62789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独立董事</w:t>
            </w:r>
          </w:p>
        </w:tc>
        <w:tc>
          <w:tcPr>
            <w:tcW w:w="1733" w:type="dxa"/>
            <w:shd w:val="clear" w:color="auto" w:fill="FFFFFF" w:themeFill="background1"/>
            <w:vAlign w:val="center"/>
          </w:tcPr>
          <w:p w14:paraId="15B877B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2020年11月30日</w:t>
            </w:r>
          </w:p>
        </w:tc>
        <w:tc>
          <w:tcPr>
            <w:tcW w:w="1479" w:type="dxa"/>
            <w:shd w:val="clear" w:color="auto" w:fill="FFFFFF" w:themeFill="background1"/>
            <w:vAlign w:val="center"/>
          </w:tcPr>
          <w:p w14:paraId="60D693C8"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22F03EB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是</w:t>
            </w:r>
          </w:p>
        </w:tc>
      </w:tr>
      <w:tr w:rsidR="00632E5B" w14:paraId="5C753859" w14:textId="77777777" w:rsidTr="00CB6FD6">
        <w:trPr>
          <w:gridAfter w:val="1"/>
          <w:wAfter w:w="14" w:type="dxa"/>
          <w:trHeight w:val="240"/>
        </w:trPr>
        <w:tc>
          <w:tcPr>
            <w:tcW w:w="1307" w:type="dxa"/>
            <w:shd w:val="clear" w:color="auto" w:fill="FFFFFF" w:themeFill="background1"/>
            <w:vAlign w:val="center"/>
          </w:tcPr>
          <w:p w14:paraId="26E668F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郑金雄</w:t>
            </w:r>
          </w:p>
        </w:tc>
        <w:tc>
          <w:tcPr>
            <w:tcW w:w="2126" w:type="dxa"/>
            <w:shd w:val="clear" w:color="auto" w:fill="FFFFFF" w:themeFill="background1"/>
            <w:vAlign w:val="center"/>
          </w:tcPr>
          <w:p w14:paraId="7054815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厦门大学法学院、新闻学院</w:t>
            </w:r>
          </w:p>
        </w:tc>
        <w:tc>
          <w:tcPr>
            <w:tcW w:w="1386" w:type="dxa"/>
            <w:shd w:val="clear" w:color="auto" w:fill="FFFFFF" w:themeFill="background1"/>
            <w:vAlign w:val="center"/>
          </w:tcPr>
          <w:p w14:paraId="74F31C1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教授、博士生导师、法律传播研究中心主任</w:t>
            </w:r>
          </w:p>
        </w:tc>
        <w:tc>
          <w:tcPr>
            <w:tcW w:w="1733" w:type="dxa"/>
            <w:shd w:val="clear" w:color="auto" w:fill="FFFFFF" w:themeFill="background1"/>
            <w:vAlign w:val="center"/>
          </w:tcPr>
          <w:p w14:paraId="2D89291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2019年10月15日</w:t>
            </w:r>
          </w:p>
        </w:tc>
        <w:tc>
          <w:tcPr>
            <w:tcW w:w="1479" w:type="dxa"/>
            <w:shd w:val="clear" w:color="auto" w:fill="FFFFFF" w:themeFill="background1"/>
            <w:vAlign w:val="center"/>
          </w:tcPr>
          <w:p w14:paraId="01F9707C"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595CE97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是</w:t>
            </w:r>
          </w:p>
        </w:tc>
      </w:tr>
      <w:tr w:rsidR="00632E5B" w14:paraId="2CBF02A0" w14:textId="77777777" w:rsidTr="00CB6FD6">
        <w:trPr>
          <w:gridAfter w:val="1"/>
          <w:wAfter w:w="14" w:type="dxa"/>
          <w:trHeight w:val="240"/>
        </w:trPr>
        <w:tc>
          <w:tcPr>
            <w:tcW w:w="1307" w:type="dxa"/>
            <w:shd w:val="clear" w:color="auto" w:fill="FFFFFF" w:themeFill="background1"/>
            <w:vAlign w:val="center"/>
          </w:tcPr>
          <w:p w14:paraId="17FF8F1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郑金雄</w:t>
            </w:r>
          </w:p>
        </w:tc>
        <w:tc>
          <w:tcPr>
            <w:tcW w:w="2126" w:type="dxa"/>
            <w:shd w:val="clear" w:color="auto" w:fill="FFFFFF" w:themeFill="background1"/>
            <w:vAlign w:val="center"/>
          </w:tcPr>
          <w:p w14:paraId="422045C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中国立法学研究会</w:t>
            </w:r>
          </w:p>
        </w:tc>
        <w:tc>
          <w:tcPr>
            <w:tcW w:w="1386" w:type="dxa"/>
            <w:shd w:val="clear" w:color="auto" w:fill="FFFFFF" w:themeFill="background1"/>
            <w:vAlign w:val="center"/>
          </w:tcPr>
          <w:p w14:paraId="6B21015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常务理事</w:t>
            </w:r>
          </w:p>
        </w:tc>
        <w:tc>
          <w:tcPr>
            <w:tcW w:w="1733" w:type="dxa"/>
            <w:shd w:val="clear" w:color="auto" w:fill="FFFFFF" w:themeFill="background1"/>
            <w:vAlign w:val="center"/>
          </w:tcPr>
          <w:p w14:paraId="6C3E171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2021年11月20日</w:t>
            </w:r>
          </w:p>
        </w:tc>
        <w:tc>
          <w:tcPr>
            <w:tcW w:w="1479" w:type="dxa"/>
            <w:shd w:val="clear" w:color="auto" w:fill="FFFFFF" w:themeFill="background1"/>
            <w:vAlign w:val="center"/>
          </w:tcPr>
          <w:p w14:paraId="25099492"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7B95613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6BCF502A" w14:textId="77777777" w:rsidTr="00CB6FD6">
        <w:trPr>
          <w:gridAfter w:val="1"/>
          <w:wAfter w:w="14" w:type="dxa"/>
          <w:trHeight w:val="240"/>
        </w:trPr>
        <w:tc>
          <w:tcPr>
            <w:tcW w:w="1307" w:type="dxa"/>
            <w:shd w:val="clear" w:color="auto" w:fill="FFFFFF" w:themeFill="background1"/>
            <w:vAlign w:val="center"/>
          </w:tcPr>
          <w:p w14:paraId="36D47BF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郑金雄</w:t>
            </w:r>
          </w:p>
        </w:tc>
        <w:tc>
          <w:tcPr>
            <w:tcW w:w="2126" w:type="dxa"/>
            <w:shd w:val="clear" w:color="auto" w:fill="FFFFFF" w:themeFill="background1"/>
            <w:vAlign w:val="center"/>
          </w:tcPr>
          <w:p w14:paraId="10A52D7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智业软件股份有限公司</w:t>
            </w:r>
          </w:p>
        </w:tc>
        <w:tc>
          <w:tcPr>
            <w:tcW w:w="1386" w:type="dxa"/>
            <w:shd w:val="clear" w:color="auto" w:fill="FFFFFF" w:themeFill="background1"/>
            <w:vAlign w:val="center"/>
          </w:tcPr>
          <w:p w14:paraId="2BCD190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独立董事</w:t>
            </w:r>
          </w:p>
        </w:tc>
        <w:tc>
          <w:tcPr>
            <w:tcW w:w="1733" w:type="dxa"/>
            <w:shd w:val="clear" w:color="auto" w:fill="FFFFFF" w:themeFill="background1"/>
            <w:vAlign w:val="center"/>
          </w:tcPr>
          <w:p w14:paraId="7646C8C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2024年09月10日</w:t>
            </w:r>
          </w:p>
        </w:tc>
        <w:tc>
          <w:tcPr>
            <w:tcW w:w="1479" w:type="dxa"/>
            <w:shd w:val="clear" w:color="auto" w:fill="FFFFFF" w:themeFill="background1"/>
            <w:vAlign w:val="center"/>
          </w:tcPr>
          <w:p w14:paraId="1490ADCB" w14:textId="77777777" w:rsidR="00632E5B" w:rsidRDefault="00632E5B">
            <w:pPr>
              <w:spacing w:line="240" w:lineRule="exact"/>
              <w:rPr>
                <w:rFonts w:ascii="宋体" w:eastAsia="宋体" w:hAnsi="宋体" w:cs="宋体" w:hint="eastAsia"/>
                <w:sz w:val="18"/>
                <w:szCs w:val="18"/>
              </w:rPr>
            </w:pPr>
          </w:p>
        </w:tc>
        <w:tc>
          <w:tcPr>
            <w:tcW w:w="1608" w:type="dxa"/>
            <w:shd w:val="clear" w:color="auto" w:fill="FFFFFF" w:themeFill="background1"/>
            <w:vAlign w:val="center"/>
          </w:tcPr>
          <w:p w14:paraId="0D680D3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是</w:t>
            </w:r>
          </w:p>
        </w:tc>
      </w:tr>
      <w:tr w:rsidR="00632E5B" w14:paraId="22A3536D" w14:textId="77777777" w:rsidTr="00CB6FD6">
        <w:trPr>
          <w:trHeight w:val="240"/>
        </w:trPr>
        <w:tc>
          <w:tcPr>
            <w:tcW w:w="1307" w:type="dxa"/>
            <w:shd w:val="clear" w:color="auto" w:fill="FFFFFF" w:themeFill="background1"/>
            <w:vAlign w:val="center"/>
          </w:tcPr>
          <w:p w14:paraId="0B435804"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在其他单位任职情况的说明</w:t>
            </w:r>
          </w:p>
        </w:tc>
        <w:tc>
          <w:tcPr>
            <w:tcW w:w="8346" w:type="dxa"/>
            <w:gridSpan w:val="6"/>
            <w:shd w:val="clear" w:color="auto" w:fill="FFFFFF" w:themeFill="background1"/>
            <w:vAlign w:val="center"/>
          </w:tcPr>
          <w:p w14:paraId="3194559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w:t>
            </w:r>
          </w:p>
        </w:tc>
      </w:tr>
    </w:tbl>
    <w:p w14:paraId="6EC43577"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公司现任及报告期内离任董事、监事和高级管理人员近三年证券监管机构处罚的情况</w:t>
      </w:r>
    </w:p>
    <w:p w14:paraId="78441142"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07BEBA55" w14:textId="0DD38470" w:rsidR="00595371" w:rsidRDefault="00107901" w:rsidP="00595371">
      <w:pPr>
        <w:pStyle w:val="a3"/>
        <w:spacing w:before="0" w:beforeAutospacing="0" w:after="0" w:afterAutospacing="0" w:line="360" w:lineRule="auto"/>
        <w:ind w:firstLineChars="200" w:firstLine="420"/>
        <w:divId w:val="1784030995"/>
        <w:rPr>
          <w:rFonts w:asciiTheme="minorEastAsia" w:eastAsiaTheme="minorEastAsia" w:hAnsiTheme="minorEastAsia" w:cs="Calibri" w:hint="eastAsia"/>
          <w:color w:val="000000"/>
          <w:sz w:val="21"/>
          <w:szCs w:val="21"/>
        </w:rPr>
      </w:pPr>
      <w:r w:rsidRPr="00595371">
        <w:rPr>
          <w:rFonts w:asciiTheme="minorEastAsia" w:eastAsiaTheme="minorEastAsia" w:hAnsiTheme="minorEastAsia" w:cs="Calibri" w:hint="eastAsia"/>
          <w:color w:val="000000"/>
          <w:sz w:val="21"/>
          <w:szCs w:val="21"/>
        </w:rPr>
        <w:t>1</w:t>
      </w:r>
      <w:r w:rsidR="00595371">
        <w:rPr>
          <w:rFonts w:asciiTheme="minorEastAsia" w:eastAsiaTheme="minorEastAsia" w:hAnsiTheme="minorEastAsia" w:cs="Calibri" w:hint="eastAsia"/>
          <w:color w:val="000000"/>
          <w:sz w:val="21"/>
          <w:szCs w:val="21"/>
        </w:rPr>
        <w:t>.</w:t>
      </w:r>
      <w:r w:rsidRPr="00595371">
        <w:rPr>
          <w:rFonts w:asciiTheme="minorEastAsia" w:eastAsiaTheme="minorEastAsia" w:hAnsiTheme="minorEastAsia" w:cs="Calibri" w:hint="eastAsia"/>
          <w:color w:val="000000"/>
          <w:sz w:val="21"/>
          <w:szCs w:val="21"/>
        </w:rPr>
        <w:t>现任副总经理孙建宇先生于</w:t>
      </w:r>
      <w:r w:rsidRPr="00595371">
        <w:rPr>
          <w:rFonts w:asciiTheme="minorEastAsia" w:eastAsiaTheme="minorEastAsia" w:hAnsiTheme="minorEastAsia" w:cs="Calibri"/>
          <w:color w:val="000000"/>
          <w:sz w:val="21"/>
          <w:szCs w:val="21"/>
        </w:rPr>
        <w:t>2024</w:t>
      </w:r>
      <w:r w:rsidRPr="00595371">
        <w:rPr>
          <w:rFonts w:asciiTheme="minorEastAsia" w:eastAsiaTheme="minorEastAsia" w:hAnsiTheme="minorEastAsia" w:cs="Calibri" w:hint="eastAsia"/>
          <w:color w:val="000000"/>
          <w:sz w:val="21"/>
          <w:szCs w:val="21"/>
        </w:rPr>
        <w:t>年</w:t>
      </w:r>
      <w:r w:rsidRPr="00595371">
        <w:rPr>
          <w:rFonts w:asciiTheme="minorEastAsia" w:eastAsiaTheme="minorEastAsia" w:hAnsiTheme="minorEastAsia" w:cs="Calibri"/>
          <w:color w:val="000000"/>
          <w:sz w:val="21"/>
          <w:szCs w:val="21"/>
        </w:rPr>
        <w:t>6</w:t>
      </w:r>
      <w:r w:rsidRPr="00595371">
        <w:rPr>
          <w:rFonts w:asciiTheme="minorEastAsia" w:eastAsiaTheme="minorEastAsia" w:hAnsiTheme="minorEastAsia" w:cs="Calibri" w:hint="eastAsia"/>
          <w:color w:val="000000"/>
          <w:sz w:val="21"/>
          <w:szCs w:val="21"/>
        </w:rPr>
        <w:t>月</w:t>
      </w:r>
      <w:r w:rsidRPr="00595371">
        <w:rPr>
          <w:rFonts w:asciiTheme="minorEastAsia" w:eastAsiaTheme="minorEastAsia" w:hAnsiTheme="minorEastAsia" w:cs="Calibri"/>
          <w:color w:val="000000"/>
          <w:sz w:val="21"/>
          <w:szCs w:val="21"/>
        </w:rPr>
        <w:t>28</w:t>
      </w:r>
      <w:r w:rsidRPr="00595371">
        <w:rPr>
          <w:rFonts w:asciiTheme="minorEastAsia" w:eastAsiaTheme="minorEastAsia" w:hAnsiTheme="minorEastAsia" w:cs="Calibri" w:hint="eastAsia"/>
          <w:color w:val="000000"/>
          <w:sz w:val="21"/>
          <w:szCs w:val="21"/>
        </w:rPr>
        <w:t>日被中国证券监督管理委员会给予警告并处以罚款；于</w:t>
      </w:r>
      <w:r w:rsidRPr="00595371">
        <w:rPr>
          <w:rFonts w:asciiTheme="minorEastAsia" w:eastAsiaTheme="minorEastAsia" w:hAnsiTheme="minorEastAsia" w:cs="Calibri"/>
          <w:color w:val="000000"/>
          <w:sz w:val="21"/>
          <w:szCs w:val="21"/>
        </w:rPr>
        <w:t>2024</w:t>
      </w:r>
      <w:r w:rsidRPr="00595371">
        <w:rPr>
          <w:rFonts w:asciiTheme="minorEastAsia" w:eastAsiaTheme="minorEastAsia" w:hAnsiTheme="minorEastAsia" w:cs="Calibri" w:hint="eastAsia"/>
          <w:color w:val="000000"/>
          <w:sz w:val="21"/>
          <w:szCs w:val="21"/>
        </w:rPr>
        <w:t>年</w:t>
      </w:r>
      <w:r w:rsidRPr="00595371">
        <w:rPr>
          <w:rFonts w:asciiTheme="minorEastAsia" w:eastAsiaTheme="minorEastAsia" w:hAnsiTheme="minorEastAsia" w:cs="Calibri"/>
          <w:color w:val="000000"/>
          <w:sz w:val="21"/>
          <w:szCs w:val="21"/>
        </w:rPr>
        <w:t>8</w:t>
      </w:r>
      <w:r w:rsidRPr="00595371">
        <w:rPr>
          <w:rFonts w:asciiTheme="minorEastAsia" w:eastAsiaTheme="minorEastAsia" w:hAnsiTheme="minorEastAsia" w:cs="Calibri" w:hint="eastAsia"/>
          <w:color w:val="000000"/>
          <w:sz w:val="21"/>
          <w:szCs w:val="21"/>
        </w:rPr>
        <w:t>月</w:t>
      </w:r>
      <w:r w:rsidRPr="00595371">
        <w:rPr>
          <w:rFonts w:asciiTheme="minorEastAsia" w:eastAsiaTheme="minorEastAsia" w:hAnsiTheme="minorEastAsia" w:cs="Calibri"/>
          <w:color w:val="000000"/>
          <w:sz w:val="21"/>
          <w:szCs w:val="21"/>
        </w:rPr>
        <w:t>16</w:t>
      </w:r>
      <w:r w:rsidRPr="00595371">
        <w:rPr>
          <w:rFonts w:asciiTheme="minorEastAsia" w:eastAsiaTheme="minorEastAsia" w:hAnsiTheme="minorEastAsia" w:cs="Calibri" w:hint="eastAsia"/>
          <w:color w:val="000000"/>
          <w:sz w:val="21"/>
          <w:szCs w:val="21"/>
        </w:rPr>
        <w:t>日被深交所公开谴责。</w:t>
      </w:r>
    </w:p>
    <w:p w14:paraId="60AB353E" w14:textId="52E60AE5" w:rsidR="00595371" w:rsidRDefault="00107901" w:rsidP="00595371">
      <w:pPr>
        <w:pStyle w:val="a3"/>
        <w:spacing w:before="0" w:beforeAutospacing="0" w:after="0" w:afterAutospacing="0" w:line="360" w:lineRule="auto"/>
        <w:ind w:firstLineChars="200" w:firstLine="420"/>
        <w:divId w:val="1784030995"/>
        <w:rPr>
          <w:rFonts w:asciiTheme="minorEastAsia" w:eastAsiaTheme="minorEastAsia" w:hAnsiTheme="minorEastAsia" w:cs="Calibri" w:hint="eastAsia"/>
          <w:color w:val="000000"/>
          <w:sz w:val="21"/>
          <w:szCs w:val="21"/>
        </w:rPr>
      </w:pPr>
      <w:r w:rsidRPr="00595371">
        <w:rPr>
          <w:rFonts w:asciiTheme="minorEastAsia" w:eastAsiaTheme="minorEastAsia" w:hAnsiTheme="minorEastAsia" w:cs="Calibri"/>
          <w:color w:val="000000"/>
          <w:sz w:val="21"/>
          <w:szCs w:val="21"/>
        </w:rPr>
        <w:t>2</w:t>
      </w:r>
      <w:r w:rsidR="00595371">
        <w:rPr>
          <w:rFonts w:asciiTheme="minorEastAsia" w:eastAsiaTheme="minorEastAsia" w:hAnsiTheme="minorEastAsia" w:cs="Calibri" w:hint="eastAsia"/>
          <w:color w:val="000000"/>
          <w:sz w:val="21"/>
          <w:szCs w:val="21"/>
        </w:rPr>
        <w:t>.</w:t>
      </w:r>
      <w:r w:rsidRPr="00595371">
        <w:rPr>
          <w:rFonts w:asciiTheme="minorEastAsia" w:eastAsiaTheme="minorEastAsia" w:hAnsiTheme="minorEastAsia" w:cs="Calibri" w:hint="eastAsia"/>
          <w:color w:val="000000"/>
          <w:sz w:val="21"/>
          <w:szCs w:val="21"/>
        </w:rPr>
        <w:t>时任董事长、总经理王伟峰先生于</w:t>
      </w:r>
      <w:r w:rsidRPr="00595371">
        <w:rPr>
          <w:rFonts w:asciiTheme="minorEastAsia" w:eastAsiaTheme="minorEastAsia" w:hAnsiTheme="minorEastAsia" w:cs="Calibri"/>
          <w:color w:val="000000"/>
          <w:sz w:val="21"/>
          <w:szCs w:val="21"/>
        </w:rPr>
        <w:t>2024</w:t>
      </w:r>
      <w:r w:rsidRPr="00595371">
        <w:rPr>
          <w:rFonts w:asciiTheme="minorEastAsia" w:eastAsiaTheme="minorEastAsia" w:hAnsiTheme="minorEastAsia" w:cs="Calibri" w:hint="eastAsia"/>
          <w:color w:val="000000"/>
          <w:sz w:val="21"/>
          <w:szCs w:val="21"/>
        </w:rPr>
        <w:t>年</w:t>
      </w:r>
      <w:r w:rsidRPr="00595371">
        <w:rPr>
          <w:rFonts w:asciiTheme="minorEastAsia" w:eastAsiaTheme="minorEastAsia" w:hAnsiTheme="minorEastAsia" w:cs="Calibri"/>
          <w:color w:val="000000"/>
          <w:sz w:val="21"/>
          <w:szCs w:val="21"/>
        </w:rPr>
        <w:t>6</w:t>
      </w:r>
      <w:r w:rsidRPr="00595371">
        <w:rPr>
          <w:rFonts w:asciiTheme="minorEastAsia" w:eastAsiaTheme="minorEastAsia" w:hAnsiTheme="minorEastAsia" w:cs="Calibri" w:hint="eastAsia"/>
          <w:color w:val="000000"/>
          <w:sz w:val="21"/>
          <w:szCs w:val="21"/>
        </w:rPr>
        <w:t>月</w:t>
      </w:r>
      <w:r w:rsidRPr="00595371">
        <w:rPr>
          <w:rFonts w:asciiTheme="minorEastAsia" w:eastAsiaTheme="minorEastAsia" w:hAnsiTheme="minorEastAsia" w:cs="Calibri"/>
          <w:color w:val="000000"/>
          <w:sz w:val="21"/>
          <w:szCs w:val="21"/>
        </w:rPr>
        <w:t>28</w:t>
      </w:r>
      <w:r w:rsidRPr="00595371">
        <w:rPr>
          <w:rFonts w:asciiTheme="minorEastAsia" w:eastAsiaTheme="minorEastAsia" w:hAnsiTheme="minorEastAsia" w:cs="Calibri" w:hint="eastAsia"/>
          <w:color w:val="000000"/>
          <w:sz w:val="21"/>
          <w:szCs w:val="21"/>
        </w:rPr>
        <w:t>日被中国证券监督管理委员会给予警告并处以罚款；于</w:t>
      </w:r>
      <w:r w:rsidRPr="00595371">
        <w:rPr>
          <w:rFonts w:asciiTheme="minorEastAsia" w:eastAsiaTheme="minorEastAsia" w:hAnsiTheme="minorEastAsia" w:cs="Calibri"/>
          <w:color w:val="000000"/>
          <w:sz w:val="21"/>
          <w:szCs w:val="21"/>
        </w:rPr>
        <w:t>2022</w:t>
      </w:r>
      <w:r w:rsidRPr="00595371">
        <w:rPr>
          <w:rFonts w:asciiTheme="minorEastAsia" w:eastAsiaTheme="minorEastAsia" w:hAnsiTheme="minorEastAsia" w:cs="Calibri" w:hint="eastAsia"/>
          <w:color w:val="000000"/>
          <w:sz w:val="21"/>
          <w:szCs w:val="21"/>
        </w:rPr>
        <w:t>年</w:t>
      </w:r>
      <w:r w:rsidRPr="00595371">
        <w:rPr>
          <w:rFonts w:asciiTheme="minorEastAsia" w:eastAsiaTheme="minorEastAsia" w:hAnsiTheme="minorEastAsia" w:cs="Calibri"/>
          <w:color w:val="000000"/>
          <w:sz w:val="21"/>
          <w:szCs w:val="21"/>
        </w:rPr>
        <w:t>9</w:t>
      </w:r>
      <w:r w:rsidRPr="00595371">
        <w:rPr>
          <w:rFonts w:asciiTheme="minorEastAsia" w:eastAsiaTheme="minorEastAsia" w:hAnsiTheme="minorEastAsia" w:cs="Calibri" w:hint="eastAsia"/>
          <w:color w:val="000000"/>
          <w:sz w:val="21"/>
          <w:szCs w:val="21"/>
        </w:rPr>
        <w:t>月</w:t>
      </w:r>
      <w:r w:rsidRPr="00595371">
        <w:rPr>
          <w:rFonts w:asciiTheme="minorEastAsia" w:eastAsiaTheme="minorEastAsia" w:hAnsiTheme="minorEastAsia" w:cs="Calibri"/>
          <w:color w:val="000000"/>
          <w:sz w:val="21"/>
          <w:szCs w:val="21"/>
        </w:rPr>
        <w:t>6</w:t>
      </w:r>
      <w:r w:rsidRPr="00595371">
        <w:rPr>
          <w:rFonts w:asciiTheme="minorEastAsia" w:eastAsiaTheme="minorEastAsia" w:hAnsiTheme="minorEastAsia" w:cs="Calibri" w:hint="eastAsia"/>
          <w:color w:val="000000"/>
          <w:sz w:val="21"/>
          <w:szCs w:val="21"/>
        </w:rPr>
        <w:t>日、</w:t>
      </w:r>
      <w:r w:rsidRPr="00595371">
        <w:rPr>
          <w:rFonts w:asciiTheme="minorEastAsia" w:eastAsiaTheme="minorEastAsia" w:hAnsiTheme="minorEastAsia" w:cs="Calibri"/>
          <w:color w:val="000000"/>
          <w:sz w:val="21"/>
          <w:szCs w:val="21"/>
        </w:rPr>
        <w:t>2024</w:t>
      </w:r>
      <w:r w:rsidRPr="00595371">
        <w:rPr>
          <w:rFonts w:asciiTheme="minorEastAsia" w:eastAsiaTheme="minorEastAsia" w:hAnsiTheme="minorEastAsia" w:cs="Calibri" w:hint="eastAsia"/>
          <w:color w:val="000000"/>
          <w:sz w:val="21"/>
          <w:szCs w:val="21"/>
        </w:rPr>
        <w:t>年</w:t>
      </w:r>
      <w:r w:rsidRPr="00595371">
        <w:rPr>
          <w:rFonts w:asciiTheme="minorEastAsia" w:eastAsiaTheme="minorEastAsia" w:hAnsiTheme="minorEastAsia" w:cs="Calibri"/>
          <w:color w:val="000000"/>
          <w:sz w:val="21"/>
          <w:szCs w:val="21"/>
        </w:rPr>
        <w:t>8</w:t>
      </w:r>
      <w:r w:rsidRPr="00595371">
        <w:rPr>
          <w:rFonts w:asciiTheme="minorEastAsia" w:eastAsiaTheme="minorEastAsia" w:hAnsiTheme="minorEastAsia" w:cs="Calibri" w:hint="eastAsia"/>
          <w:color w:val="000000"/>
          <w:sz w:val="21"/>
          <w:szCs w:val="21"/>
        </w:rPr>
        <w:t>月</w:t>
      </w:r>
      <w:r w:rsidRPr="00595371">
        <w:rPr>
          <w:rFonts w:asciiTheme="minorEastAsia" w:eastAsiaTheme="minorEastAsia" w:hAnsiTheme="minorEastAsia" w:cs="Calibri"/>
          <w:color w:val="000000"/>
          <w:sz w:val="21"/>
          <w:szCs w:val="21"/>
        </w:rPr>
        <w:t>16</w:t>
      </w:r>
      <w:r w:rsidRPr="00595371">
        <w:rPr>
          <w:rFonts w:asciiTheme="minorEastAsia" w:eastAsiaTheme="minorEastAsia" w:hAnsiTheme="minorEastAsia" w:cs="Calibri" w:hint="eastAsia"/>
          <w:color w:val="000000"/>
          <w:sz w:val="21"/>
          <w:szCs w:val="21"/>
        </w:rPr>
        <w:t>日被深交所公开谴责。</w:t>
      </w:r>
    </w:p>
    <w:p w14:paraId="49ED9A7C" w14:textId="16698441" w:rsidR="00595371" w:rsidRDefault="00107901" w:rsidP="00595371">
      <w:pPr>
        <w:pStyle w:val="a3"/>
        <w:spacing w:before="0" w:beforeAutospacing="0" w:after="0" w:afterAutospacing="0" w:line="360" w:lineRule="auto"/>
        <w:ind w:firstLineChars="200" w:firstLine="420"/>
        <w:divId w:val="1784030995"/>
        <w:rPr>
          <w:rFonts w:asciiTheme="minorEastAsia" w:eastAsiaTheme="minorEastAsia" w:hAnsiTheme="minorEastAsia" w:cs="Calibri" w:hint="eastAsia"/>
          <w:color w:val="000000"/>
          <w:sz w:val="21"/>
          <w:szCs w:val="21"/>
        </w:rPr>
      </w:pPr>
      <w:r w:rsidRPr="00595371">
        <w:rPr>
          <w:rFonts w:asciiTheme="minorEastAsia" w:eastAsiaTheme="minorEastAsia" w:hAnsiTheme="minorEastAsia" w:cs="Calibri"/>
          <w:color w:val="000000"/>
          <w:sz w:val="21"/>
          <w:szCs w:val="21"/>
        </w:rPr>
        <w:t>3</w:t>
      </w:r>
      <w:r w:rsidR="00595371">
        <w:rPr>
          <w:rFonts w:asciiTheme="minorEastAsia" w:eastAsiaTheme="minorEastAsia" w:hAnsiTheme="minorEastAsia" w:cs="Calibri" w:hint="eastAsia"/>
          <w:color w:val="000000"/>
          <w:sz w:val="21"/>
          <w:szCs w:val="21"/>
        </w:rPr>
        <w:t>.</w:t>
      </w:r>
      <w:r w:rsidRPr="00595371">
        <w:rPr>
          <w:rFonts w:asciiTheme="minorEastAsia" w:eastAsiaTheme="minorEastAsia" w:hAnsiTheme="minorEastAsia" w:cs="Calibri" w:hint="eastAsia"/>
          <w:color w:val="000000"/>
          <w:sz w:val="21"/>
          <w:szCs w:val="21"/>
        </w:rPr>
        <w:t>时任董事陈波瀚先生于</w:t>
      </w:r>
      <w:r w:rsidRPr="00595371">
        <w:rPr>
          <w:rFonts w:asciiTheme="minorEastAsia" w:eastAsiaTheme="minorEastAsia" w:hAnsiTheme="minorEastAsia" w:cs="Calibri"/>
          <w:color w:val="000000"/>
          <w:sz w:val="21"/>
          <w:szCs w:val="21"/>
        </w:rPr>
        <w:t>2024</w:t>
      </w:r>
      <w:r w:rsidRPr="00595371">
        <w:rPr>
          <w:rFonts w:asciiTheme="minorEastAsia" w:eastAsiaTheme="minorEastAsia" w:hAnsiTheme="minorEastAsia" w:cs="Calibri" w:hint="eastAsia"/>
          <w:color w:val="000000"/>
          <w:sz w:val="21"/>
          <w:szCs w:val="21"/>
        </w:rPr>
        <w:t>年</w:t>
      </w:r>
      <w:r w:rsidRPr="00595371">
        <w:rPr>
          <w:rFonts w:asciiTheme="minorEastAsia" w:eastAsiaTheme="minorEastAsia" w:hAnsiTheme="minorEastAsia" w:cs="Calibri"/>
          <w:color w:val="000000"/>
          <w:sz w:val="21"/>
          <w:szCs w:val="21"/>
        </w:rPr>
        <w:t>6</w:t>
      </w:r>
      <w:r w:rsidRPr="00595371">
        <w:rPr>
          <w:rFonts w:asciiTheme="minorEastAsia" w:eastAsiaTheme="minorEastAsia" w:hAnsiTheme="minorEastAsia" w:cs="Calibri" w:hint="eastAsia"/>
          <w:color w:val="000000"/>
          <w:sz w:val="21"/>
          <w:szCs w:val="21"/>
        </w:rPr>
        <w:t>月</w:t>
      </w:r>
      <w:r w:rsidRPr="00595371">
        <w:rPr>
          <w:rFonts w:asciiTheme="minorEastAsia" w:eastAsiaTheme="minorEastAsia" w:hAnsiTheme="minorEastAsia" w:cs="Calibri"/>
          <w:color w:val="000000"/>
          <w:sz w:val="21"/>
          <w:szCs w:val="21"/>
        </w:rPr>
        <w:t>28</w:t>
      </w:r>
      <w:r w:rsidRPr="00595371">
        <w:rPr>
          <w:rFonts w:asciiTheme="minorEastAsia" w:eastAsiaTheme="minorEastAsia" w:hAnsiTheme="minorEastAsia" w:cs="Calibri" w:hint="eastAsia"/>
          <w:color w:val="000000"/>
          <w:sz w:val="21"/>
          <w:szCs w:val="21"/>
        </w:rPr>
        <w:t>日被中国证券监督管理委员会给予警告并处以罚款；于</w:t>
      </w:r>
      <w:r w:rsidRPr="00595371">
        <w:rPr>
          <w:rFonts w:asciiTheme="minorEastAsia" w:eastAsiaTheme="minorEastAsia" w:hAnsiTheme="minorEastAsia" w:cs="Calibri"/>
          <w:color w:val="000000"/>
          <w:sz w:val="21"/>
          <w:szCs w:val="21"/>
        </w:rPr>
        <w:t>2024</w:t>
      </w:r>
      <w:r w:rsidRPr="00595371">
        <w:rPr>
          <w:rFonts w:asciiTheme="minorEastAsia" w:eastAsiaTheme="minorEastAsia" w:hAnsiTheme="minorEastAsia" w:cs="Calibri" w:hint="eastAsia"/>
          <w:color w:val="000000"/>
          <w:sz w:val="21"/>
          <w:szCs w:val="21"/>
        </w:rPr>
        <w:t>年</w:t>
      </w:r>
      <w:r w:rsidRPr="00595371">
        <w:rPr>
          <w:rFonts w:asciiTheme="minorEastAsia" w:eastAsiaTheme="minorEastAsia" w:hAnsiTheme="minorEastAsia" w:cs="Calibri"/>
          <w:color w:val="000000"/>
          <w:sz w:val="21"/>
          <w:szCs w:val="21"/>
        </w:rPr>
        <w:t>8</w:t>
      </w:r>
      <w:r w:rsidRPr="00595371">
        <w:rPr>
          <w:rFonts w:asciiTheme="minorEastAsia" w:eastAsiaTheme="minorEastAsia" w:hAnsiTheme="minorEastAsia" w:cs="Calibri" w:hint="eastAsia"/>
          <w:color w:val="000000"/>
          <w:sz w:val="21"/>
          <w:szCs w:val="21"/>
        </w:rPr>
        <w:t>月</w:t>
      </w:r>
      <w:r w:rsidRPr="00595371">
        <w:rPr>
          <w:rFonts w:asciiTheme="minorEastAsia" w:eastAsiaTheme="minorEastAsia" w:hAnsiTheme="minorEastAsia" w:cs="Calibri"/>
          <w:color w:val="000000"/>
          <w:sz w:val="21"/>
          <w:szCs w:val="21"/>
        </w:rPr>
        <w:t>16</w:t>
      </w:r>
      <w:r w:rsidRPr="00595371">
        <w:rPr>
          <w:rFonts w:asciiTheme="minorEastAsia" w:eastAsiaTheme="minorEastAsia" w:hAnsiTheme="minorEastAsia" w:cs="Calibri" w:hint="eastAsia"/>
          <w:color w:val="000000"/>
          <w:sz w:val="21"/>
          <w:szCs w:val="21"/>
        </w:rPr>
        <w:t>日被深交所公开谴责。</w:t>
      </w:r>
    </w:p>
    <w:p w14:paraId="66571B11" w14:textId="0E8DB2E7" w:rsidR="00E72F0C" w:rsidRPr="00595371" w:rsidRDefault="00107901" w:rsidP="00595371">
      <w:pPr>
        <w:pStyle w:val="a3"/>
        <w:spacing w:before="0" w:beforeAutospacing="0" w:after="0" w:afterAutospacing="0" w:line="360" w:lineRule="auto"/>
        <w:ind w:firstLineChars="200" w:firstLine="420"/>
        <w:divId w:val="1784030995"/>
        <w:rPr>
          <w:rFonts w:asciiTheme="minorEastAsia" w:eastAsiaTheme="minorEastAsia" w:hAnsiTheme="minorEastAsia" w:cs="Calibri" w:hint="eastAsia"/>
          <w:sz w:val="21"/>
          <w:szCs w:val="21"/>
        </w:rPr>
      </w:pPr>
      <w:r w:rsidRPr="00595371">
        <w:rPr>
          <w:rFonts w:asciiTheme="minorEastAsia" w:eastAsiaTheme="minorEastAsia" w:hAnsiTheme="minorEastAsia" w:cs="Calibri"/>
          <w:color w:val="000000"/>
          <w:sz w:val="21"/>
          <w:szCs w:val="21"/>
        </w:rPr>
        <w:t>4</w:t>
      </w:r>
      <w:r w:rsidR="00595371">
        <w:rPr>
          <w:rFonts w:asciiTheme="minorEastAsia" w:eastAsiaTheme="minorEastAsia" w:hAnsiTheme="minorEastAsia" w:cs="Calibri"/>
          <w:color w:val="000000"/>
          <w:sz w:val="21"/>
          <w:szCs w:val="21"/>
        </w:rPr>
        <w:t>.</w:t>
      </w:r>
      <w:r w:rsidRPr="00595371">
        <w:rPr>
          <w:rFonts w:asciiTheme="minorEastAsia" w:eastAsiaTheme="minorEastAsia" w:hAnsiTheme="minorEastAsia" w:cs="Calibri" w:hint="eastAsia"/>
          <w:color w:val="000000"/>
          <w:sz w:val="21"/>
          <w:szCs w:val="21"/>
        </w:rPr>
        <w:t>时任副总经理钱宏燚先生于</w:t>
      </w:r>
      <w:r w:rsidRPr="00595371">
        <w:rPr>
          <w:rFonts w:asciiTheme="minorEastAsia" w:eastAsiaTheme="minorEastAsia" w:hAnsiTheme="minorEastAsia" w:cs="Calibri"/>
          <w:color w:val="000000"/>
          <w:sz w:val="21"/>
          <w:szCs w:val="21"/>
        </w:rPr>
        <w:t>2024</w:t>
      </w:r>
      <w:r w:rsidRPr="00595371">
        <w:rPr>
          <w:rFonts w:asciiTheme="minorEastAsia" w:eastAsiaTheme="minorEastAsia" w:hAnsiTheme="minorEastAsia" w:cs="Calibri" w:hint="eastAsia"/>
          <w:color w:val="000000"/>
          <w:sz w:val="21"/>
          <w:szCs w:val="21"/>
        </w:rPr>
        <w:t>年</w:t>
      </w:r>
      <w:r w:rsidRPr="00595371">
        <w:rPr>
          <w:rFonts w:asciiTheme="minorEastAsia" w:eastAsiaTheme="minorEastAsia" w:hAnsiTheme="minorEastAsia" w:cs="Calibri"/>
          <w:color w:val="000000"/>
          <w:sz w:val="21"/>
          <w:szCs w:val="21"/>
        </w:rPr>
        <w:t>6</w:t>
      </w:r>
      <w:r w:rsidRPr="00595371">
        <w:rPr>
          <w:rFonts w:asciiTheme="minorEastAsia" w:eastAsiaTheme="minorEastAsia" w:hAnsiTheme="minorEastAsia" w:cs="Calibri" w:hint="eastAsia"/>
          <w:color w:val="000000"/>
          <w:sz w:val="21"/>
          <w:szCs w:val="21"/>
        </w:rPr>
        <w:t>月</w:t>
      </w:r>
      <w:r w:rsidRPr="00595371">
        <w:rPr>
          <w:rFonts w:asciiTheme="minorEastAsia" w:eastAsiaTheme="minorEastAsia" w:hAnsiTheme="minorEastAsia" w:cs="Calibri"/>
          <w:color w:val="000000"/>
          <w:sz w:val="21"/>
          <w:szCs w:val="21"/>
        </w:rPr>
        <w:t>28</w:t>
      </w:r>
      <w:r w:rsidRPr="00595371">
        <w:rPr>
          <w:rFonts w:asciiTheme="minorEastAsia" w:eastAsiaTheme="minorEastAsia" w:hAnsiTheme="minorEastAsia" w:cs="Calibri" w:hint="eastAsia"/>
          <w:color w:val="000000"/>
          <w:sz w:val="21"/>
          <w:szCs w:val="21"/>
        </w:rPr>
        <w:t>日被中国证券监督管理委员会给予警告并处以罚款，并采取</w:t>
      </w:r>
      <w:r w:rsidRPr="00595371">
        <w:rPr>
          <w:rFonts w:asciiTheme="minorEastAsia" w:eastAsiaTheme="minorEastAsia" w:hAnsiTheme="minorEastAsia" w:cs="Calibri"/>
          <w:color w:val="000000"/>
          <w:sz w:val="21"/>
          <w:szCs w:val="21"/>
        </w:rPr>
        <w:t>3</w:t>
      </w:r>
      <w:r w:rsidRPr="00595371">
        <w:rPr>
          <w:rFonts w:asciiTheme="minorEastAsia" w:eastAsiaTheme="minorEastAsia" w:hAnsiTheme="minorEastAsia" w:cs="Calibri" w:hint="eastAsia"/>
          <w:color w:val="000000"/>
          <w:sz w:val="21"/>
          <w:szCs w:val="21"/>
        </w:rPr>
        <w:t>年市场禁入；于</w:t>
      </w:r>
      <w:r w:rsidRPr="00595371">
        <w:rPr>
          <w:rFonts w:asciiTheme="minorEastAsia" w:eastAsiaTheme="minorEastAsia" w:hAnsiTheme="minorEastAsia" w:cs="Calibri"/>
          <w:color w:val="000000"/>
          <w:sz w:val="21"/>
          <w:szCs w:val="21"/>
        </w:rPr>
        <w:t>2024</w:t>
      </w:r>
      <w:r w:rsidRPr="00595371">
        <w:rPr>
          <w:rFonts w:asciiTheme="minorEastAsia" w:eastAsiaTheme="minorEastAsia" w:hAnsiTheme="minorEastAsia" w:cs="Calibri" w:hint="eastAsia"/>
          <w:color w:val="000000"/>
          <w:sz w:val="21"/>
          <w:szCs w:val="21"/>
        </w:rPr>
        <w:t>年</w:t>
      </w:r>
      <w:r w:rsidRPr="00595371">
        <w:rPr>
          <w:rFonts w:asciiTheme="minorEastAsia" w:eastAsiaTheme="minorEastAsia" w:hAnsiTheme="minorEastAsia" w:cs="Calibri"/>
          <w:color w:val="000000"/>
          <w:sz w:val="21"/>
          <w:szCs w:val="21"/>
        </w:rPr>
        <w:t>8</w:t>
      </w:r>
      <w:r w:rsidRPr="00595371">
        <w:rPr>
          <w:rFonts w:asciiTheme="minorEastAsia" w:eastAsiaTheme="minorEastAsia" w:hAnsiTheme="minorEastAsia" w:cs="Calibri" w:hint="eastAsia"/>
          <w:color w:val="000000"/>
          <w:sz w:val="21"/>
          <w:szCs w:val="21"/>
        </w:rPr>
        <w:t>月</w:t>
      </w:r>
      <w:r w:rsidRPr="00595371">
        <w:rPr>
          <w:rFonts w:asciiTheme="minorEastAsia" w:eastAsiaTheme="minorEastAsia" w:hAnsiTheme="minorEastAsia" w:cs="Calibri"/>
          <w:color w:val="000000"/>
          <w:sz w:val="21"/>
          <w:szCs w:val="21"/>
        </w:rPr>
        <w:t>16</w:t>
      </w:r>
      <w:r w:rsidRPr="00595371">
        <w:rPr>
          <w:rFonts w:asciiTheme="minorEastAsia" w:eastAsiaTheme="minorEastAsia" w:hAnsiTheme="minorEastAsia" w:cs="Calibri" w:hint="eastAsia"/>
          <w:color w:val="000000"/>
          <w:sz w:val="21"/>
          <w:szCs w:val="21"/>
        </w:rPr>
        <w:t>日被深交所公开谴责。</w:t>
      </w:r>
    </w:p>
    <w:p w14:paraId="0B83796F" w14:textId="67D12545" w:rsidR="00632E5B" w:rsidRDefault="00107901" w:rsidP="00595371">
      <w:pPr>
        <w:pStyle w:val="a3"/>
        <w:spacing w:before="0" w:beforeAutospacing="0" w:after="0" w:afterAutospacing="0" w:line="276" w:lineRule="auto"/>
        <w:rPr>
          <w:rFonts w:hint="eastAsia"/>
          <w:b/>
          <w:bCs/>
        </w:rPr>
      </w:pPr>
      <w:r>
        <w:rPr>
          <w:rFonts w:ascii="Calibri" w:hAnsi="Calibri" w:cs="Calibri"/>
          <w:sz w:val="21"/>
          <w:szCs w:val="21"/>
        </w:rPr>
        <w:t> </w:t>
      </w:r>
      <w:bookmarkStart w:id="66" w:name="_Toc988955"/>
      <w:r>
        <w:rPr>
          <w:b/>
          <w:bCs/>
        </w:rPr>
        <w:t>3、董事、监事、高级管理人员报酬情况</w:t>
      </w:r>
      <w:bookmarkEnd w:id="66"/>
    </w:p>
    <w:p w14:paraId="4DD64627"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董事、监事、高级管理人员报酬的决策程序、确定依据、实际支付情况</w:t>
      </w:r>
    </w:p>
    <w:p w14:paraId="6A19BFAE" w14:textId="6098497D" w:rsidR="00595371" w:rsidRDefault="00107901" w:rsidP="00595371">
      <w:pPr>
        <w:pStyle w:val="a3"/>
        <w:spacing w:before="0" w:beforeAutospacing="0" w:after="0" w:afterAutospacing="0" w:line="360" w:lineRule="auto"/>
        <w:divId w:val="135293996"/>
        <w:rPr>
          <w:rFonts w:hint="eastAsia"/>
          <w:sz w:val="18"/>
          <w:szCs w:val="18"/>
        </w:rPr>
      </w:pPr>
      <w:r>
        <w:rPr>
          <w:rFonts w:hint="eastAsia"/>
          <w:sz w:val="21"/>
          <w:szCs w:val="21"/>
        </w:rPr>
        <w:t>1</w:t>
      </w:r>
      <w:r w:rsidR="005D4531">
        <w:rPr>
          <w:rFonts w:hint="eastAsia"/>
          <w:sz w:val="21"/>
          <w:szCs w:val="21"/>
        </w:rPr>
        <w:t>.</w:t>
      </w:r>
      <w:r>
        <w:rPr>
          <w:rFonts w:hint="eastAsia"/>
          <w:sz w:val="21"/>
          <w:szCs w:val="21"/>
        </w:rPr>
        <w:t>董事、监事及高级管理人员报酬的决策程序：</w:t>
      </w:r>
    </w:p>
    <w:p w14:paraId="7789BF20" w14:textId="77777777" w:rsidR="00595371" w:rsidRDefault="00107901" w:rsidP="00595371">
      <w:pPr>
        <w:pStyle w:val="a3"/>
        <w:spacing w:before="0" w:beforeAutospacing="0" w:after="0" w:afterAutospacing="0" w:line="360" w:lineRule="auto"/>
        <w:ind w:firstLineChars="200" w:firstLine="420"/>
        <w:divId w:val="135293996"/>
        <w:rPr>
          <w:rFonts w:hint="eastAsia"/>
          <w:sz w:val="21"/>
          <w:szCs w:val="21"/>
        </w:rPr>
      </w:pPr>
      <w:r>
        <w:rPr>
          <w:rFonts w:hint="eastAsia"/>
          <w:sz w:val="21"/>
          <w:szCs w:val="21"/>
        </w:rPr>
        <w:t>2024年4月23日，公司第六届董事会第七次会议审议《关于2023年度公司董事、监事及高级管理人员薪酬的议案》《关于2024年度公司董事、监事及高级管理人员薪酬方案的议案》。因全体董事为利益相关者，该两项议案全体董事回避表决，并将该两项议案提交公司2023年度股东大会审议并获得通过。</w:t>
      </w:r>
    </w:p>
    <w:p w14:paraId="52167844" w14:textId="77777777" w:rsidR="00595371" w:rsidRDefault="00107901" w:rsidP="00595371">
      <w:pPr>
        <w:pStyle w:val="a3"/>
        <w:spacing w:before="0" w:beforeAutospacing="0" w:after="0" w:afterAutospacing="0" w:line="360" w:lineRule="auto"/>
        <w:ind w:firstLineChars="200" w:firstLine="420"/>
        <w:divId w:val="135293996"/>
        <w:rPr>
          <w:rFonts w:hint="eastAsia"/>
          <w:sz w:val="21"/>
          <w:szCs w:val="21"/>
        </w:rPr>
      </w:pPr>
      <w:r>
        <w:rPr>
          <w:rFonts w:hint="eastAsia"/>
          <w:sz w:val="21"/>
          <w:szCs w:val="21"/>
        </w:rPr>
        <w:lastRenderedPageBreak/>
        <w:t>2025年4月18日，公司第七届董事会第一次会议审议通过了《关于公司董事2024年度及2025年度薪酬的议案》《关于公司高级管理人员2024年度薪酬及2025年度薪酬的议案》；第七届监事会第一次会议审议了《关于公司监事2024年度及2025年度薪酬的议案》，因全体监事为利益相关者，均回避表决。《关于公司董事2024年度及2025年度薪酬的议案》《关于公司监事2024年度及2025年度薪酬的议案》均提交公司2024年度股东大会审议。</w:t>
      </w:r>
    </w:p>
    <w:p w14:paraId="61CC5377" w14:textId="2B0FC452" w:rsidR="00595371" w:rsidRDefault="00107901" w:rsidP="00595371">
      <w:pPr>
        <w:pStyle w:val="a3"/>
        <w:spacing w:before="0" w:beforeAutospacing="0" w:after="0" w:afterAutospacing="0" w:line="360" w:lineRule="auto"/>
        <w:divId w:val="135293996"/>
        <w:rPr>
          <w:rFonts w:hint="eastAsia"/>
          <w:sz w:val="21"/>
          <w:szCs w:val="21"/>
        </w:rPr>
      </w:pPr>
      <w:r>
        <w:rPr>
          <w:rFonts w:hint="eastAsia"/>
          <w:sz w:val="21"/>
          <w:szCs w:val="21"/>
        </w:rPr>
        <w:t>2</w:t>
      </w:r>
      <w:r w:rsidR="005D4531">
        <w:rPr>
          <w:rFonts w:hint="eastAsia"/>
          <w:sz w:val="21"/>
          <w:szCs w:val="21"/>
        </w:rPr>
        <w:t>.</w:t>
      </w:r>
      <w:r>
        <w:rPr>
          <w:rFonts w:hint="eastAsia"/>
          <w:sz w:val="21"/>
          <w:szCs w:val="21"/>
        </w:rPr>
        <w:t>董事、监事、高级管理人员报酬确定依据：</w:t>
      </w:r>
    </w:p>
    <w:p w14:paraId="304E342A" w14:textId="1C32BEBF" w:rsidR="00E72F0C" w:rsidRDefault="00107901" w:rsidP="00595371">
      <w:pPr>
        <w:pStyle w:val="a3"/>
        <w:spacing w:before="0" w:beforeAutospacing="0" w:after="0" w:afterAutospacing="0" w:line="360" w:lineRule="auto"/>
        <w:ind w:firstLineChars="200" w:firstLine="420"/>
        <w:divId w:val="135293996"/>
        <w:rPr>
          <w:rFonts w:hint="eastAsia"/>
          <w:sz w:val="18"/>
          <w:szCs w:val="18"/>
        </w:rPr>
      </w:pPr>
      <w:r>
        <w:rPr>
          <w:rFonts w:hint="eastAsia"/>
          <w:sz w:val="21"/>
          <w:szCs w:val="21"/>
        </w:rPr>
        <w:t>本报告期内，公司历经了重整攻坚阶段，圆满完成重整工作，同时努力稳住生产经营的基本盘，保留核心客户资源，保障管理体系的正常运作。公司根据经营成果，董事、监事及高级管理人员在重整期间的工作成效，同时参照行业、地区薪酬水平，制订了 2024年度董事、监事及高级管理人员的薪酬方案，作为薪酬发放依据。</w:t>
      </w:r>
      <w:r>
        <w:rPr>
          <w:rFonts w:hint="eastAsia"/>
          <w:sz w:val="18"/>
          <w:szCs w:val="18"/>
        </w:rPr>
        <w:br/>
      </w:r>
      <w:r>
        <w:rPr>
          <w:rFonts w:hint="eastAsia"/>
          <w:sz w:val="21"/>
          <w:szCs w:val="21"/>
        </w:rPr>
        <w:t>（1）公司董事薪酬方案</w:t>
      </w:r>
    </w:p>
    <w:p w14:paraId="4333FB9C" w14:textId="77777777" w:rsidR="00E72F0C" w:rsidRDefault="00107901" w:rsidP="00595371">
      <w:pPr>
        <w:pStyle w:val="a3"/>
        <w:spacing w:before="0" w:beforeAutospacing="0" w:after="0" w:afterAutospacing="0" w:line="360" w:lineRule="auto"/>
        <w:ind w:firstLineChars="200" w:firstLine="420"/>
        <w:divId w:val="135293996"/>
        <w:rPr>
          <w:rFonts w:ascii="Calibri" w:hAnsi="Calibri" w:cs="Calibri"/>
          <w:sz w:val="21"/>
          <w:szCs w:val="21"/>
        </w:rPr>
      </w:pPr>
      <w:r>
        <w:rPr>
          <w:rFonts w:cs="Calibri" w:hint="eastAsia"/>
          <w:sz w:val="21"/>
          <w:szCs w:val="21"/>
        </w:rPr>
        <w:t>1）非独立董事在公司担任管理职务者，按照所担任的管理职务领取薪酬，未担任管理职务的非独立董事，不在公司领取薪酬。</w:t>
      </w:r>
    </w:p>
    <w:p w14:paraId="3C486D08" w14:textId="77777777" w:rsidR="00E72F0C" w:rsidRDefault="00107901" w:rsidP="00595371">
      <w:pPr>
        <w:pStyle w:val="a3"/>
        <w:spacing w:before="0" w:beforeAutospacing="0" w:after="0" w:afterAutospacing="0" w:line="360" w:lineRule="auto"/>
        <w:ind w:firstLineChars="200" w:firstLine="420"/>
        <w:divId w:val="135293996"/>
        <w:rPr>
          <w:rFonts w:ascii="Calibri" w:hAnsi="Calibri" w:cs="Calibri"/>
          <w:sz w:val="21"/>
          <w:szCs w:val="21"/>
        </w:rPr>
      </w:pPr>
      <w:r>
        <w:rPr>
          <w:rFonts w:cs="Calibri" w:hint="eastAsia"/>
          <w:sz w:val="21"/>
          <w:szCs w:val="21"/>
        </w:rPr>
        <w:t>2）独立董事津贴为12万元/年（税前）。</w:t>
      </w:r>
    </w:p>
    <w:p w14:paraId="418BB22F" w14:textId="77777777" w:rsidR="00E72F0C" w:rsidRDefault="00107901" w:rsidP="00595371">
      <w:pPr>
        <w:pStyle w:val="a3"/>
        <w:spacing w:before="0" w:beforeAutospacing="0" w:after="0" w:afterAutospacing="0" w:line="360" w:lineRule="auto"/>
        <w:divId w:val="135293996"/>
        <w:rPr>
          <w:rFonts w:ascii="Calibri" w:hAnsi="Calibri" w:cs="Calibri"/>
          <w:sz w:val="21"/>
          <w:szCs w:val="21"/>
        </w:rPr>
      </w:pPr>
      <w:r>
        <w:rPr>
          <w:rFonts w:cs="Calibri" w:hint="eastAsia"/>
          <w:sz w:val="21"/>
          <w:szCs w:val="21"/>
        </w:rPr>
        <w:t>（2）公司监事薪酬方案</w:t>
      </w:r>
    </w:p>
    <w:p w14:paraId="273F8C98" w14:textId="109A2C3E" w:rsidR="00E72F0C" w:rsidRDefault="00107901" w:rsidP="00162B05">
      <w:pPr>
        <w:pStyle w:val="a3"/>
        <w:spacing w:before="0" w:beforeAutospacing="0" w:after="0" w:afterAutospacing="0" w:line="360" w:lineRule="auto"/>
        <w:ind w:firstLineChars="200" w:firstLine="420"/>
        <w:jc w:val="both"/>
        <w:divId w:val="135293996"/>
        <w:rPr>
          <w:rFonts w:ascii="Calibri" w:hAnsi="Calibri" w:cs="Calibri"/>
          <w:sz w:val="21"/>
          <w:szCs w:val="21"/>
        </w:rPr>
      </w:pPr>
      <w:r>
        <w:rPr>
          <w:rFonts w:cs="Calibri" w:hint="eastAsia"/>
          <w:sz w:val="21"/>
          <w:szCs w:val="21"/>
        </w:rPr>
        <w:t>监事在公司按照所担任的实际工作岗位领取薪酬，未担任实际工作的监事，不在公司领取薪酬。</w:t>
      </w:r>
    </w:p>
    <w:p w14:paraId="4B513730" w14:textId="77777777" w:rsidR="00595371" w:rsidRDefault="00107901" w:rsidP="00595371">
      <w:pPr>
        <w:pStyle w:val="a3"/>
        <w:spacing w:before="0" w:beforeAutospacing="0" w:after="0" w:afterAutospacing="0" w:line="360" w:lineRule="auto"/>
        <w:divId w:val="135293996"/>
        <w:rPr>
          <w:rFonts w:ascii="Calibri" w:hAnsi="Calibri" w:cs="Calibri"/>
          <w:sz w:val="21"/>
          <w:szCs w:val="21"/>
        </w:rPr>
      </w:pPr>
      <w:r>
        <w:rPr>
          <w:rFonts w:cs="Calibri" w:hint="eastAsia"/>
          <w:sz w:val="21"/>
          <w:szCs w:val="21"/>
        </w:rPr>
        <w:t>（3）公司高级管理人员薪酬方案</w:t>
      </w:r>
    </w:p>
    <w:p w14:paraId="6B4DB1FD" w14:textId="4D22CE4D" w:rsidR="00E72F0C" w:rsidRDefault="00107901" w:rsidP="00595371">
      <w:pPr>
        <w:pStyle w:val="a3"/>
        <w:spacing w:before="0" w:beforeAutospacing="0" w:after="0" w:afterAutospacing="0" w:line="360" w:lineRule="auto"/>
        <w:ind w:firstLineChars="200" w:firstLine="420"/>
        <w:divId w:val="135293996"/>
        <w:rPr>
          <w:rFonts w:ascii="Calibri" w:hAnsi="Calibri" w:cs="Calibri"/>
          <w:sz w:val="21"/>
          <w:szCs w:val="21"/>
        </w:rPr>
      </w:pPr>
      <w:r>
        <w:rPr>
          <w:rFonts w:cs="Calibri" w:hint="eastAsia"/>
          <w:sz w:val="21"/>
          <w:szCs w:val="21"/>
        </w:rPr>
        <w:t>高级管理人员采用年薪制：年薪=基本年薪+绩效工资。公司高级管理人员根据其在公司担任具体管理职务按公司相关薪酬规定领取基本年薪；根据其年度 KPI 绩效考核结果领取绩效工资，同时兼顾考虑其在重整期间的工作成效。</w:t>
      </w:r>
    </w:p>
    <w:p w14:paraId="1EB21FE3"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公司报告期内董事、监事和高级管理人员报酬情况</w:t>
      </w:r>
    </w:p>
    <w:p w14:paraId="327E0D60" w14:textId="77777777" w:rsidR="00632E5B" w:rsidRDefault="00107901">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单位：万元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732"/>
        <w:gridCol w:w="709"/>
        <w:gridCol w:w="709"/>
        <w:gridCol w:w="2358"/>
        <w:gridCol w:w="1377"/>
        <w:gridCol w:w="1377"/>
        <w:gridCol w:w="1377"/>
      </w:tblGrid>
      <w:tr w:rsidR="00632E5B" w14:paraId="5111A020" w14:textId="77777777" w:rsidTr="00CB6FD6">
        <w:trPr>
          <w:trHeight w:val="240"/>
        </w:trPr>
        <w:tc>
          <w:tcPr>
            <w:tcW w:w="1732" w:type="dxa"/>
            <w:shd w:val="clear" w:color="auto" w:fill="FFFFFF" w:themeFill="background1"/>
            <w:vAlign w:val="center"/>
          </w:tcPr>
          <w:p w14:paraId="28D3E16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姓名</w:t>
            </w:r>
          </w:p>
        </w:tc>
        <w:tc>
          <w:tcPr>
            <w:tcW w:w="709" w:type="dxa"/>
            <w:shd w:val="clear" w:color="auto" w:fill="FFFFFF" w:themeFill="background1"/>
            <w:vAlign w:val="center"/>
          </w:tcPr>
          <w:p w14:paraId="637B423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性别</w:t>
            </w:r>
          </w:p>
        </w:tc>
        <w:tc>
          <w:tcPr>
            <w:tcW w:w="709" w:type="dxa"/>
            <w:shd w:val="clear" w:color="auto" w:fill="FFFFFF" w:themeFill="background1"/>
            <w:vAlign w:val="center"/>
          </w:tcPr>
          <w:p w14:paraId="0AA77C3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年龄</w:t>
            </w:r>
          </w:p>
        </w:tc>
        <w:tc>
          <w:tcPr>
            <w:tcW w:w="2358" w:type="dxa"/>
            <w:shd w:val="clear" w:color="auto" w:fill="FFFFFF" w:themeFill="background1"/>
            <w:vAlign w:val="center"/>
          </w:tcPr>
          <w:p w14:paraId="5654193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职务</w:t>
            </w:r>
          </w:p>
        </w:tc>
        <w:tc>
          <w:tcPr>
            <w:tcW w:w="1377" w:type="dxa"/>
            <w:shd w:val="clear" w:color="auto" w:fill="FFFFFF" w:themeFill="background1"/>
            <w:vAlign w:val="center"/>
          </w:tcPr>
          <w:p w14:paraId="73588D1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任职状态</w:t>
            </w:r>
          </w:p>
        </w:tc>
        <w:tc>
          <w:tcPr>
            <w:tcW w:w="1377" w:type="dxa"/>
            <w:shd w:val="clear" w:color="auto" w:fill="FFFFFF" w:themeFill="background1"/>
            <w:vAlign w:val="center"/>
          </w:tcPr>
          <w:p w14:paraId="2729FFC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从公司获得的税前报酬总额</w:t>
            </w:r>
          </w:p>
        </w:tc>
        <w:tc>
          <w:tcPr>
            <w:tcW w:w="1377" w:type="dxa"/>
            <w:shd w:val="clear" w:color="auto" w:fill="FFFFFF" w:themeFill="background1"/>
            <w:vAlign w:val="center"/>
          </w:tcPr>
          <w:p w14:paraId="11464D5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是否在公司关联方获取报酬</w:t>
            </w:r>
          </w:p>
        </w:tc>
      </w:tr>
      <w:tr w:rsidR="00632E5B" w14:paraId="51C9FCF1" w14:textId="77777777" w:rsidTr="00CB6FD6">
        <w:trPr>
          <w:trHeight w:val="240"/>
        </w:trPr>
        <w:tc>
          <w:tcPr>
            <w:tcW w:w="1732" w:type="dxa"/>
            <w:shd w:val="clear" w:color="auto" w:fill="FFFFFF" w:themeFill="background1"/>
            <w:vAlign w:val="center"/>
          </w:tcPr>
          <w:p w14:paraId="2C38DB3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许加纳</w:t>
            </w:r>
          </w:p>
        </w:tc>
        <w:tc>
          <w:tcPr>
            <w:tcW w:w="709" w:type="dxa"/>
            <w:shd w:val="clear" w:color="auto" w:fill="FFFFFF" w:themeFill="background1"/>
            <w:vAlign w:val="center"/>
          </w:tcPr>
          <w:p w14:paraId="1C3DD266"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男</w:t>
            </w:r>
          </w:p>
        </w:tc>
        <w:tc>
          <w:tcPr>
            <w:tcW w:w="709" w:type="dxa"/>
            <w:shd w:val="clear" w:color="auto" w:fill="FFFFFF" w:themeFill="background1"/>
            <w:vAlign w:val="center"/>
          </w:tcPr>
          <w:p w14:paraId="0ABD669A"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46</w:t>
            </w:r>
          </w:p>
        </w:tc>
        <w:tc>
          <w:tcPr>
            <w:tcW w:w="2358" w:type="dxa"/>
            <w:shd w:val="clear" w:color="auto" w:fill="FFFFFF" w:themeFill="background1"/>
            <w:vAlign w:val="center"/>
          </w:tcPr>
          <w:p w14:paraId="1F15E9B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董事长</w:t>
            </w:r>
          </w:p>
        </w:tc>
        <w:tc>
          <w:tcPr>
            <w:tcW w:w="1377" w:type="dxa"/>
            <w:shd w:val="clear" w:color="auto" w:fill="FFFFFF" w:themeFill="background1"/>
            <w:vAlign w:val="center"/>
          </w:tcPr>
          <w:p w14:paraId="26B45EDC"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现任</w:t>
            </w:r>
          </w:p>
        </w:tc>
        <w:tc>
          <w:tcPr>
            <w:tcW w:w="1377" w:type="dxa"/>
            <w:shd w:val="clear" w:color="auto" w:fill="FFFFFF" w:themeFill="background1"/>
            <w:vAlign w:val="center"/>
          </w:tcPr>
          <w:p w14:paraId="70A7F30A"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0</w:t>
            </w:r>
          </w:p>
        </w:tc>
        <w:tc>
          <w:tcPr>
            <w:tcW w:w="1377" w:type="dxa"/>
            <w:shd w:val="clear" w:color="auto" w:fill="FFFFFF" w:themeFill="background1"/>
            <w:vAlign w:val="center"/>
          </w:tcPr>
          <w:p w14:paraId="7623ADA8"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是</w:t>
            </w:r>
          </w:p>
        </w:tc>
      </w:tr>
      <w:tr w:rsidR="00632E5B" w14:paraId="41FF7A5D" w14:textId="77777777" w:rsidTr="00CB6FD6">
        <w:trPr>
          <w:trHeight w:val="240"/>
        </w:trPr>
        <w:tc>
          <w:tcPr>
            <w:tcW w:w="1732" w:type="dxa"/>
            <w:shd w:val="clear" w:color="auto" w:fill="FFFFFF" w:themeFill="background1"/>
            <w:vAlign w:val="center"/>
          </w:tcPr>
          <w:p w14:paraId="4CF98D9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黄昶</w:t>
            </w:r>
          </w:p>
        </w:tc>
        <w:tc>
          <w:tcPr>
            <w:tcW w:w="709" w:type="dxa"/>
            <w:shd w:val="clear" w:color="auto" w:fill="FFFFFF" w:themeFill="background1"/>
            <w:vAlign w:val="center"/>
          </w:tcPr>
          <w:p w14:paraId="1CB9536A"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男</w:t>
            </w:r>
          </w:p>
        </w:tc>
        <w:tc>
          <w:tcPr>
            <w:tcW w:w="709" w:type="dxa"/>
            <w:shd w:val="clear" w:color="auto" w:fill="FFFFFF" w:themeFill="background1"/>
            <w:vAlign w:val="center"/>
          </w:tcPr>
          <w:p w14:paraId="0CC1CB86"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49</w:t>
            </w:r>
          </w:p>
        </w:tc>
        <w:tc>
          <w:tcPr>
            <w:tcW w:w="2358" w:type="dxa"/>
            <w:shd w:val="clear" w:color="auto" w:fill="FFFFFF" w:themeFill="background1"/>
            <w:vAlign w:val="center"/>
          </w:tcPr>
          <w:p w14:paraId="01A9882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副董事长</w:t>
            </w:r>
          </w:p>
        </w:tc>
        <w:tc>
          <w:tcPr>
            <w:tcW w:w="1377" w:type="dxa"/>
            <w:shd w:val="clear" w:color="auto" w:fill="FFFFFF" w:themeFill="background1"/>
            <w:vAlign w:val="center"/>
          </w:tcPr>
          <w:p w14:paraId="5FD83985"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现任</w:t>
            </w:r>
          </w:p>
        </w:tc>
        <w:tc>
          <w:tcPr>
            <w:tcW w:w="1377" w:type="dxa"/>
            <w:shd w:val="clear" w:color="auto" w:fill="FFFFFF" w:themeFill="background1"/>
            <w:vAlign w:val="center"/>
          </w:tcPr>
          <w:p w14:paraId="052393DD"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0</w:t>
            </w:r>
          </w:p>
        </w:tc>
        <w:tc>
          <w:tcPr>
            <w:tcW w:w="1377" w:type="dxa"/>
            <w:shd w:val="clear" w:color="auto" w:fill="FFFFFF" w:themeFill="background1"/>
            <w:vAlign w:val="center"/>
          </w:tcPr>
          <w:p w14:paraId="40EC3D7B"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是</w:t>
            </w:r>
          </w:p>
        </w:tc>
      </w:tr>
      <w:tr w:rsidR="00632E5B" w14:paraId="5A02DD4C" w14:textId="77777777" w:rsidTr="00CB6FD6">
        <w:trPr>
          <w:trHeight w:val="240"/>
        </w:trPr>
        <w:tc>
          <w:tcPr>
            <w:tcW w:w="1732" w:type="dxa"/>
            <w:shd w:val="clear" w:color="auto" w:fill="FFFFFF" w:themeFill="background1"/>
            <w:vAlign w:val="center"/>
          </w:tcPr>
          <w:p w14:paraId="0106241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林茂</w:t>
            </w:r>
          </w:p>
        </w:tc>
        <w:tc>
          <w:tcPr>
            <w:tcW w:w="709" w:type="dxa"/>
            <w:shd w:val="clear" w:color="auto" w:fill="FFFFFF" w:themeFill="background1"/>
            <w:vAlign w:val="center"/>
          </w:tcPr>
          <w:p w14:paraId="63A36C2E"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男</w:t>
            </w:r>
          </w:p>
        </w:tc>
        <w:tc>
          <w:tcPr>
            <w:tcW w:w="709" w:type="dxa"/>
            <w:shd w:val="clear" w:color="auto" w:fill="FFFFFF" w:themeFill="background1"/>
            <w:vAlign w:val="center"/>
          </w:tcPr>
          <w:p w14:paraId="0F7A1B26"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56</w:t>
            </w:r>
          </w:p>
        </w:tc>
        <w:tc>
          <w:tcPr>
            <w:tcW w:w="2358" w:type="dxa"/>
            <w:shd w:val="clear" w:color="auto" w:fill="FFFFFF" w:themeFill="background1"/>
            <w:vAlign w:val="center"/>
          </w:tcPr>
          <w:p w14:paraId="5A70381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377" w:type="dxa"/>
            <w:shd w:val="clear" w:color="auto" w:fill="FFFFFF" w:themeFill="background1"/>
            <w:vAlign w:val="center"/>
          </w:tcPr>
          <w:p w14:paraId="1E25193C"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现任</w:t>
            </w:r>
          </w:p>
        </w:tc>
        <w:tc>
          <w:tcPr>
            <w:tcW w:w="1377" w:type="dxa"/>
            <w:shd w:val="clear" w:color="auto" w:fill="FFFFFF" w:themeFill="background1"/>
            <w:vAlign w:val="center"/>
          </w:tcPr>
          <w:p w14:paraId="1045D9D5"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0</w:t>
            </w:r>
          </w:p>
        </w:tc>
        <w:tc>
          <w:tcPr>
            <w:tcW w:w="1377" w:type="dxa"/>
            <w:shd w:val="clear" w:color="auto" w:fill="FFFFFF" w:themeFill="background1"/>
            <w:vAlign w:val="center"/>
          </w:tcPr>
          <w:p w14:paraId="62C27B58"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是</w:t>
            </w:r>
          </w:p>
        </w:tc>
      </w:tr>
      <w:tr w:rsidR="00632E5B" w14:paraId="7F5FCE26" w14:textId="77777777" w:rsidTr="00CB6FD6">
        <w:trPr>
          <w:trHeight w:val="240"/>
        </w:trPr>
        <w:tc>
          <w:tcPr>
            <w:tcW w:w="1732" w:type="dxa"/>
            <w:shd w:val="clear" w:color="auto" w:fill="FFFFFF" w:themeFill="background1"/>
            <w:vAlign w:val="center"/>
          </w:tcPr>
          <w:p w14:paraId="3AF08FE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阎杰</w:t>
            </w:r>
          </w:p>
        </w:tc>
        <w:tc>
          <w:tcPr>
            <w:tcW w:w="709" w:type="dxa"/>
            <w:shd w:val="clear" w:color="auto" w:fill="FFFFFF" w:themeFill="background1"/>
            <w:vAlign w:val="center"/>
          </w:tcPr>
          <w:p w14:paraId="39CCEB28"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男</w:t>
            </w:r>
          </w:p>
        </w:tc>
        <w:tc>
          <w:tcPr>
            <w:tcW w:w="709" w:type="dxa"/>
            <w:shd w:val="clear" w:color="auto" w:fill="FFFFFF" w:themeFill="background1"/>
            <w:vAlign w:val="center"/>
          </w:tcPr>
          <w:p w14:paraId="05662265"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45</w:t>
            </w:r>
          </w:p>
        </w:tc>
        <w:tc>
          <w:tcPr>
            <w:tcW w:w="2358" w:type="dxa"/>
            <w:shd w:val="clear" w:color="auto" w:fill="FFFFFF" w:themeFill="background1"/>
            <w:vAlign w:val="center"/>
          </w:tcPr>
          <w:p w14:paraId="3A422D6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w:t>
            </w:r>
          </w:p>
        </w:tc>
        <w:tc>
          <w:tcPr>
            <w:tcW w:w="1377" w:type="dxa"/>
            <w:shd w:val="clear" w:color="auto" w:fill="FFFFFF" w:themeFill="background1"/>
            <w:vAlign w:val="center"/>
          </w:tcPr>
          <w:p w14:paraId="17D45815"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现任</w:t>
            </w:r>
          </w:p>
        </w:tc>
        <w:tc>
          <w:tcPr>
            <w:tcW w:w="1377" w:type="dxa"/>
            <w:shd w:val="clear" w:color="auto" w:fill="FFFFFF" w:themeFill="background1"/>
            <w:vAlign w:val="center"/>
          </w:tcPr>
          <w:p w14:paraId="4843CFAE"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0</w:t>
            </w:r>
          </w:p>
        </w:tc>
        <w:tc>
          <w:tcPr>
            <w:tcW w:w="1377" w:type="dxa"/>
            <w:shd w:val="clear" w:color="auto" w:fill="FFFFFF" w:themeFill="background1"/>
            <w:vAlign w:val="center"/>
          </w:tcPr>
          <w:p w14:paraId="6C832CEF"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是</w:t>
            </w:r>
          </w:p>
        </w:tc>
      </w:tr>
      <w:tr w:rsidR="00632E5B" w14:paraId="7D5D2ECB" w14:textId="77777777" w:rsidTr="00CB6FD6">
        <w:trPr>
          <w:trHeight w:val="240"/>
        </w:trPr>
        <w:tc>
          <w:tcPr>
            <w:tcW w:w="1732" w:type="dxa"/>
            <w:shd w:val="clear" w:color="auto" w:fill="FFFFFF" w:themeFill="background1"/>
            <w:vAlign w:val="center"/>
          </w:tcPr>
          <w:p w14:paraId="1974756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郑晓洁</w:t>
            </w:r>
          </w:p>
        </w:tc>
        <w:tc>
          <w:tcPr>
            <w:tcW w:w="709" w:type="dxa"/>
            <w:shd w:val="clear" w:color="auto" w:fill="FFFFFF" w:themeFill="background1"/>
            <w:vAlign w:val="center"/>
          </w:tcPr>
          <w:p w14:paraId="23C9A68C"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女</w:t>
            </w:r>
          </w:p>
        </w:tc>
        <w:tc>
          <w:tcPr>
            <w:tcW w:w="709" w:type="dxa"/>
            <w:shd w:val="clear" w:color="auto" w:fill="FFFFFF" w:themeFill="background1"/>
            <w:vAlign w:val="center"/>
          </w:tcPr>
          <w:p w14:paraId="0A071B6F"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39</w:t>
            </w:r>
          </w:p>
        </w:tc>
        <w:tc>
          <w:tcPr>
            <w:tcW w:w="2358" w:type="dxa"/>
            <w:shd w:val="clear" w:color="auto" w:fill="FFFFFF" w:themeFill="background1"/>
            <w:vAlign w:val="center"/>
          </w:tcPr>
          <w:p w14:paraId="4DB42B3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董事、总经理</w:t>
            </w:r>
          </w:p>
        </w:tc>
        <w:tc>
          <w:tcPr>
            <w:tcW w:w="1377" w:type="dxa"/>
            <w:shd w:val="clear" w:color="auto" w:fill="FFFFFF" w:themeFill="background1"/>
            <w:vAlign w:val="center"/>
          </w:tcPr>
          <w:p w14:paraId="13EBD307"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现任</w:t>
            </w:r>
          </w:p>
        </w:tc>
        <w:tc>
          <w:tcPr>
            <w:tcW w:w="1377" w:type="dxa"/>
            <w:shd w:val="clear" w:color="auto" w:fill="FFFFFF" w:themeFill="background1"/>
            <w:vAlign w:val="center"/>
          </w:tcPr>
          <w:p w14:paraId="590B5D6D"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0</w:t>
            </w:r>
          </w:p>
        </w:tc>
        <w:tc>
          <w:tcPr>
            <w:tcW w:w="1377" w:type="dxa"/>
            <w:shd w:val="clear" w:color="auto" w:fill="FFFFFF" w:themeFill="background1"/>
            <w:vAlign w:val="center"/>
          </w:tcPr>
          <w:p w14:paraId="240C0D0B"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是</w:t>
            </w:r>
          </w:p>
        </w:tc>
      </w:tr>
      <w:tr w:rsidR="00632E5B" w14:paraId="286CE461" w14:textId="77777777" w:rsidTr="00CB6FD6">
        <w:trPr>
          <w:trHeight w:val="240"/>
        </w:trPr>
        <w:tc>
          <w:tcPr>
            <w:tcW w:w="1732" w:type="dxa"/>
            <w:shd w:val="clear" w:color="auto" w:fill="FFFFFF" w:themeFill="background1"/>
            <w:vAlign w:val="center"/>
          </w:tcPr>
          <w:p w14:paraId="7AD90CB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李梦璐（待生效）</w:t>
            </w:r>
          </w:p>
        </w:tc>
        <w:tc>
          <w:tcPr>
            <w:tcW w:w="709" w:type="dxa"/>
            <w:shd w:val="clear" w:color="auto" w:fill="FFFFFF" w:themeFill="background1"/>
            <w:vAlign w:val="center"/>
          </w:tcPr>
          <w:p w14:paraId="73CABD8C"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女</w:t>
            </w:r>
          </w:p>
        </w:tc>
        <w:tc>
          <w:tcPr>
            <w:tcW w:w="709" w:type="dxa"/>
            <w:shd w:val="clear" w:color="auto" w:fill="FFFFFF" w:themeFill="background1"/>
            <w:vAlign w:val="center"/>
          </w:tcPr>
          <w:p w14:paraId="43D68CAF"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36</w:t>
            </w:r>
          </w:p>
        </w:tc>
        <w:tc>
          <w:tcPr>
            <w:tcW w:w="2358" w:type="dxa"/>
            <w:shd w:val="clear" w:color="auto" w:fill="FFFFFF" w:themeFill="background1"/>
            <w:vAlign w:val="center"/>
          </w:tcPr>
          <w:p w14:paraId="18DFF3E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职工董事</w:t>
            </w:r>
          </w:p>
        </w:tc>
        <w:tc>
          <w:tcPr>
            <w:tcW w:w="1377" w:type="dxa"/>
            <w:shd w:val="clear" w:color="auto" w:fill="FFFFFF" w:themeFill="background1"/>
            <w:vAlign w:val="center"/>
          </w:tcPr>
          <w:p w14:paraId="629CFF6B"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现任</w:t>
            </w:r>
          </w:p>
        </w:tc>
        <w:tc>
          <w:tcPr>
            <w:tcW w:w="1377" w:type="dxa"/>
            <w:shd w:val="clear" w:color="auto" w:fill="FFFFFF" w:themeFill="background1"/>
            <w:vAlign w:val="center"/>
          </w:tcPr>
          <w:p w14:paraId="3BFF9A8A"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0</w:t>
            </w:r>
          </w:p>
        </w:tc>
        <w:tc>
          <w:tcPr>
            <w:tcW w:w="1377" w:type="dxa"/>
            <w:shd w:val="clear" w:color="auto" w:fill="FFFFFF" w:themeFill="background1"/>
            <w:vAlign w:val="center"/>
          </w:tcPr>
          <w:p w14:paraId="57D884D6"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否</w:t>
            </w:r>
          </w:p>
        </w:tc>
      </w:tr>
      <w:tr w:rsidR="00632E5B" w14:paraId="5C95CF19" w14:textId="77777777" w:rsidTr="00CB6FD6">
        <w:trPr>
          <w:trHeight w:val="240"/>
        </w:trPr>
        <w:tc>
          <w:tcPr>
            <w:tcW w:w="1732" w:type="dxa"/>
            <w:shd w:val="clear" w:color="auto" w:fill="FFFFFF" w:themeFill="background1"/>
            <w:vAlign w:val="center"/>
          </w:tcPr>
          <w:p w14:paraId="7482208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詹有义</w:t>
            </w:r>
          </w:p>
        </w:tc>
        <w:tc>
          <w:tcPr>
            <w:tcW w:w="709" w:type="dxa"/>
            <w:shd w:val="clear" w:color="auto" w:fill="FFFFFF" w:themeFill="background1"/>
            <w:vAlign w:val="center"/>
          </w:tcPr>
          <w:p w14:paraId="3F2692DD"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男</w:t>
            </w:r>
          </w:p>
        </w:tc>
        <w:tc>
          <w:tcPr>
            <w:tcW w:w="709" w:type="dxa"/>
            <w:shd w:val="clear" w:color="auto" w:fill="FFFFFF" w:themeFill="background1"/>
            <w:vAlign w:val="center"/>
          </w:tcPr>
          <w:p w14:paraId="45DD0E90"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59</w:t>
            </w:r>
          </w:p>
        </w:tc>
        <w:tc>
          <w:tcPr>
            <w:tcW w:w="2358" w:type="dxa"/>
            <w:shd w:val="clear" w:color="auto" w:fill="FFFFFF" w:themeFill="background1"/>
            <w:vAlign w:val="center"/>
          </w:tcPr>
          <w:p w14:paraId="4C8481D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独立董事</w:t>
            </w:r>
          </w:p>
        </w:tc>
        <w:tc>
          <w:tcPr>
            <w:tcW w:w="1377" w:type="dxa"/>
            <w:shd w:val="clear" w:color="auto" w:fill="FFFFFF" w:themeFill="background1"/>
            <w:vAlign w:val="center"/>
          </w:tcPr>
          <w:p w14:paraId="127581DA"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现任</w:t>
            </w:r>
          </w:p>
        </w:tc>
        <w:tc>
          <w:tcPr>
            <w:tcW w:w="1377" w:type="dxa"/>
            <w:shd w:val="clear" w:color="auto" w:fill="FFFFFF" w:themeFill="background1"/>
            <w:vAlign w:val="center"/>
          </w:tcPr>
          <w:p w14:paraId="410347E2"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0</w:t>
            </w:r>
          </w:p>
        </w:tc>
        <w:tc>
          <w:tcPr>
            <w:tcW w:w="1377" w:type="dxa"/>
            <w:shd w:val="clear" w:color="auto" w:fill="FFFFFF" w:themeFill="background1"/>
            <w:vAlign w:val="center"/>
          </w:tcPr>
          <w:p w14:paraId="35E99214"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否</w:t>
            </w:r>
          </w:p>
        </w:tc>
      </w:tr>
      <w:tr w:rsidR="00632E5B" w14:paraId="01393A34" w14:textId="77777777" w:rsidTr="00CB6FD6">
        <w:trPr>
          <w:trHeight w:val="240"/>
        </w:trPr>
        <w:tc>
          <w:tcPr>
            <w:tcW w:w="1732" w:type="dxa"/>
            <w:shd w:val="clear" w:color="auto" w:fill="FFFFFF" w:themeFill="background1"/>
            <w:vAlign w:val="center"/>
          </w:tcPr>
          <w:p w14:paraId="7A36D70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陈朝琳</w:t>
            </w:r>
          </w:p>
        </w:tc>
        <w:tc>
          <w:tcPr>
            <w:tcW w:w="709" w:type="dxa"/>
            <w:shd w:val="clear" w:color="auto" w:fill="FFFFFF" w:themeFill="background1"/>
            <w:vAlign w:val="center"/>
          </w:tcPr>
          <w:p w14:paraId="24E35B45"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男</w:t>
            </w:r>
          </w:p>
        </w:tc>
        <w:tc>
          <w:tcPr>
            <w:tcW w:w="709" w:type="dxa"/>
            <w:shd w:val="clear" w:color="auto" w:fill="FFFFFF" w:themeFill="background1"/>
            <w:vAlign w:val="center"/>
          </w:tcPr>
          <w:p w14:paraId="41311D24"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51</w:t>
            </w:r>
          </w:p>
        </w:tc>
        <w:tc>
          <w:tcPr>
            <w:tcW w:w="2358" w:type="dxa"/>
            <w:shd w:val="clear" w:color="auto" w:fill="FFFFFF" w:themeFill="background1"/>
            <w:vAlign w:val="center"/>
          </w:tcPr>
          <w:p w14:paraId="1437B4F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独立董事</w:t>
            </w:r>
          </w:p>
        </w:tc>
        <w:tc>
          <w:tcPr>
            <w:tcW w:w="1377" w:type="dxa"/>
            <w:shd w:val="clear" w:color="auto" w:fill="FFFFFF" w:themeFill="background1"/>
            <w:vAlign w:val="center"/>
          </w:tcPr>
          <w:p w14:paraId="382614C3"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现任</w:t>
            </w:r>
          </w:p>
        </w:tc>
        <w:tc>
          <w:tcPr>
            <w:tcW w:w="1377" w:type="dxa"/>
            <w:shd w:val="clear" w:color="auto" w:fill="FFFFFF" w:themeFill="background1"/>
            <w:vAlign w:val="center"/>
          </w:tcPr>
          <w:p w14:paraId="27F75D0D"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0</w:t>
            </w:r>
          </w:p>
        </w:tc>
        <w:tc>
          <w:tcPr>
            <w:tcW w:w="1377" w:type="dxa"/>
            <w:shd w:val="clear" w:color="auto" w:fill="FFFFFF" w:themeFill="background1"/>
            <w:vAlign w:val="center"/>
          </w:tcPr>
          <w:p w14:paraId="57B977E4"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否</w:t>
            </w:r>
          </w:p>
        </w:tc>
      </w:tr>
      <w:tr w:rsidR="00632E5B" w14:paraId="58FBF0EB" w14:textId="77777777" w:rsidTr="00CB6FD6">
        <w:trPr>
          <w:trHeight w:val="240"/>
        </w:trPr>
        <w:tc>
          <w:tcPr>
            <w:tcW w:w="1732" w:type="dxa"/>
            <w:shd w:val="clear" w:color="auto" w:fill="FFFFFF" w:themeFill="background1"/>
            <w:vAlign w:val="center"/>
          </w:tcPr>
          <w:p w14:paraId="0B7A7E3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郑金雄</w:t>
            </w:r>
          </w:p>
        </w:tc>
        <w:tc>
          <w:tcPr>
            <w:tcW w:w="709" w:type="dxa"/>
            <w:shd w:val="clear" w:color="auto" w:fill="FFFFFF" w:themeFill="background1"/>
            <w:vAlign w:val="center"/>
          </w:tcPr>
          <w:p w14:paraId="7549971E"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男</w:t>
            </w:r>
          </w:p>
        </w:tc>
        <w:tc>
          <w:tcPr>
            <w:tcW w:w="709" w:type="dxa"/>
            <w:shd w:val="clear" w:color="auto" w:fill="FFFFFF" w:themeFill="background1"/>
            <w:vAlign w:val="center"/>
          </w:tcPr>
          <w:p w14:paraId="23373EA4"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56</w:t>
            </w:r>
          </w:p>
        </w:tc>
        <w:tc>
          <w:tcPr>
            <w:tcW w:w="2358" w:type="dxa"/>
            <w:shd w:val="clear" w:color="auto" w:fill="FFFFFF" w:themeFill="background1"/>
            <w:vAlign w:val="center"/>
          </w:tcPr>
          <w:p w14:paraId="196AE8A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独立董事</w:t>
            </w:r>
          </w:p>
        </w:tc>
        <w:tc>
          <w:tcPr>
            <w:tcW w:w="1377" w:type="dxa"/>
            <w:shd w:val="clear" w:color="auto" w:fill="FFFFFF" w:themeFill="background1"/>
            <w:vAlign w:val="center"/>
          </w:tcPr>
          <w:p w14:paraId="356B342B"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现任</w:t>
            </w:r>
          </w:p>
        </w:tc>
        <w:tc>
          <w:tcPr>
            <w:tcW w:w="1377" w:type="dxa"/>
            <w:shd w:val="clear" w:color="auto" w:fill="FFFFFF" w:themeFill="background1"/>
            <w:vAlign w:val="center"/>
          </w:tcPr>
          <w:p w14:paraId="6CBD1AA1"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0</w:t>
            </w:r>
          </w:p>
        </w:tc>
        <w:tc>
          <w:tcPr>
            <w:tcW w:w="1377" w:type="dxa"/>
            <w:shd w:val="clear" w:color="auto" w:fill="FFFFFF" w:themeFill="background1"/>
            <w:vAlign w:val="center"/>
          </w:tcPr>
          <w:p w14:paraId="2DB3777E"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否</w:t>
            </w:r>
          </w:p>
        </w:tc>
      </w:tr>
      <w:tr w:rsidR="00632E5B" w14:paraId="00961C88" w14:textId="77777777" w:rsidTr="00CB6FD6">
        <w:trPr>
          <w:trHeight w:val="240"/>
        </w:trPr>
        <w:tc>
          <w:tcPr>
            <w:tcW w:w="1732" w:type="dxa"/>
            <w:shd w:val="clear" w:color="auto" w:fill="FFFFFF" w:themeFill="background1"/>
            <w:vAlign w:val="center"/>
          </w:tcPr>
          <w:p w14:paraId="5456408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陆健豪</w:t>
            </w:r>
          </w:p>
        </w:tc>
        <w:tc>
          <w:tcPr>
            <w:tcW w:w="709" w:type="dxa"/>
            <w:shd w:val="clear" w:color="auto" w:fill="FFFFFF" w:themeFill="background1"/>
            <w:vAlign w:val="center"/>
          </w:tcPr>
          <w:p w14:paraId="0BF6A775"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男</w:t>
            </w:r>
          </w:p>
        </w:tc>
        <w:tc>
          <w:tcPr>
            <w:tcW w:w="709" w:type="dxa"/>
            <w:shd w:val="clear" w:color="auto" w:fill="FFFFFF" w:themeFill="background1"/>
            <w:vAlign w:val="center"/>
          </w:tcPr>
          <w:p w14:paraId="1082E542"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34</w:t>
            </w:r>
          </w:p>
        </w:tc>
        <w:tc>
          <w:tcPr>
            <w:tcW w:w="2358" w:type="dxa"/>
            <w:shd w:val="clear" w:color="auto" w:fill="FFFFFF" w:themeFill="background1"/>
            <w:vAlign w:val="center"/>
          </w:tcPr>
          <w:p w14:paraId="08A1DFD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监事会主席</w:t>
            </w:r>
          </w:p>
        </w:tc>
        <w:tc>
          <w:tcPr>
            <w:tcW w:w="1377" w:type="dxa"/>
            <w:shd w:val="clear" w:color="auto" w:fill="FFFFFF" w:themeFill="background1"/>
            <w:vAlign w:val="center"/>
          </w:tcPr>
          <w:p w14:paraId="4514B376"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现任</w:t>
            </w:r>
          </w:p>
        </w:tc>
        <w:tc>
          <w:tcPr>
            <w:tcW w:w="1377" w:type="dxa"/>
            <w:shd w:val="clear" w:color="auto" w:fill="FFFFFF" w:themeFill="background1"/>
            <w:vAlign w:val="center"/>
          </w:tcPr>
          <w:p w14:paraId="4635A1D7"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39.93</w:t>
            </w:r>
          </w:p>
        </w:tc>
        <w:tc>
          <w:tcPr>
            <w:tcW w:w="1377" w:type="dxa"/>
            <w:shd w:val="clear" w:color="auto" w:fill="FFFFFF" w:themeFill="background1"/>
            <w:vAlign w:val="center"/>
          </w:tcPr>
          <w:p w14:paraId="128E8522"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否</w:t>
            </w:r>
          </w:p>
        </w:tc>
      </w:tr>
      <w:tr w:rsidR="00632E5B" w14:paraId="6FFD74CC" w14:textId="77777777" w:rsidTr="00CB6FD6">
        <w:trPr>
          <w:trHeight w:val="240"/>
        </w:trPr>
        <w:tc>
          <w:tcPr>
            <w:tcW w:w="1732" w:type="dxa"/>
            <w:shd w:val="clear" w:color="auto" w:fill="FFFFFF" w:themeFill="background1"/>
            <w:vAlign w:val="center"/>
          </w:tcPr>
          <w:p w14:paraId="19D1433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刘雨欢</w:t>
            </w:r>
          </w:p>
        </w:tc>
        <w:tc>
          <w:tcPr>
            <w:tcW w:w="709" w:type="dxa"/>
            <w:shd w:val="clear" w:color="auto" w:fill="FFFFFF" w:themeFill="background1"/>
            <w:vAlign w:val="center"/>
          </w:tcPr>
          <w:p w14:paraId="0C0C0BC5"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男</w:t>
            </w:r>
          </w:p>
        </w:tc>
        <w:tc>
          <w:tcPr>
            <w:tcW w:w="709" w:type="dxa"/>
            <w:shd w:val="clear" w:color="auto" w:fill="FFFFFF" w:themeFill="background1"/>
            <w:vAlign w:val="center"/>
          </w:tcPr>
          <w:p w14:paraId="452C366E"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24</w:t>
            </w:r>
          </w:p>
        </w:tc>
        <w:tc>
          <w:tcPr>
            <w:tcW w:w="2358" w:type="dxa"/>
            <w:shd w:val="clear" w:color="auto" w:fill="FFFFFF" w:themeFill="background1"/>
            <w:vAlign w:val="center"/>
          </w:tcPr>
          <w:p w14:paraId="4C31027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监事</w:t>
            </w:r>
          </w:p>
        </w:tc>
        <w:tc>
          <w:tcPr>
            <w:tcW w:w="1377" w:type="dxa"/>
            <w:shd w:val="clear" w:color="auto" w:fill="FFFFFF" w:themeFill="background1"/>
            <w:vAlign w:val="center"/>
          </w:tcPr>
          <w:p w14:paraId="0F37C7E7"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现任</w:t>
            </w:r>
          </w:p>
        </w:tc>
        <w:tc>
          <w:tcPr>
            <w:tcW w:w="1377" w:type="dxa"/>
            <w:shd w:val="clear" w:color="auto" w:fill="FFFFFF" w:themeFill="background1"/>
            <w:vAlign w:val="center"/>
          </w:tcPr>
          <w:p w14:paraId="69FC9F63"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0</w:t>
            </w:r>
          </w:p>
        </w:tc>
        <w:tc>
          <w:tcPr>
            <w:tcW w:w="1377" w:type="dxa"/>
            <w:shd w:val="clear" w:color="auto" w:fill="FFFFFF" w:themeFill="background1"/>
            <w:vAlign w:val="center"/>
          </w:tcPr>
          <w:p w14:paraId="1B7B9B31"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否</w:t>
            </w:r>
          </w:p>
        </w:tc>
      </w:tr>
      <w:tr w:rsidR="00632E5B" w14:paraId="4CB13782" w14:textId="77777777" w:rsidTr="00CB6FD6">
        <w:trPr>
          <w:trHeight w:val="240"/>
        </w:trPr>
        <w:tc>
          <w:tcPr>
            <w:tcW w:w="1732" w:type="dxa"/>
            <w:shd w:val="clear" w:color="auto" w:fill="FFFFFF" w:themeFill="background1"/>
            <w:vAlign w:val="center"/>
          </w:tcPr>
          <w:p w14:paraId="6976B9A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黄雪萍</w:t>
            </w:r>
          </w:p>
        </w:tc>
        <w:tc>
          <w:tcPr>
            <w:tcW w:w="709" w:type="dxa"/>
            <w:shd w:val="clear" w:color="auto" w:fill="FFFFFF" w:themeFill="background1"/>
            <w:vAlign w:val="center"/>
          </w:tcPr>
          <w:p w14:paraId="0ABE46EB"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女</w:t>
            </w:r>
          </w:p>
        </w:tc>
        <w:tc>
          <w:tcPr>
            <w:tcW w:w="709" w:type="dxa"/>
            <w:shd w:val="clear" w:color="auto" w:fill="FFFFFF" w:themeFill="background1"/>
            <w:vAlign w:val="center"/>
          </w:tcPr>
          <w:p w14:paraId="40B35EC4"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38</w:t>
            </w:r>
          </w:p>
        </w:tc>
        <w:tc>
          <w:tcPr>
            <w:tcW w:w="2358" w:type="dxa"/>
            <w:shd w:val="clear" w:color="auto" w:fill="FFFFFF" w:themeFill="background1"/>
            <w:vAlign w:val="center"/>
          </w:tcPr>
          <w:p w14:paraId="3C47644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职工监事</w:t>
            </w:r>
          </w:p>
        </w:tc>
        <w:tc>
          <w:tcPr>
            <w:tcW w:w="1377" w:type="dxa"/>
            <w:shd w:val="clear" w:color="auto" w:fill="FFFFFF" w:themeFill="background1"/>
            <w:vAlign w:val="center"/>
          </w:tcPr>
          <w:p w14:paraId="19DF319E"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现任</w:t>
            </w:r>
          </w:p>
        </w:tc>
        <w:tc>
          <w:tcPr>
            <w:tcW w:w="1377" w:type="dxa"/>
            <w:shd w:val="clear" w:color="auto" w:fill="FFFFFF" w:themeFill="background1"/>
            <w:vAlign w:val="center"/>
          </w:tcPr>
          <w:p w14:paraId="227F3FDC"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0</w:t>
            </w:r>
          </w:p>
        </w:tc>
        <w:tc>
          <w:tcPr>
            <w:tcW w:w="1377" w:type="dxa"/>
            <w:shd w:val="clear" w:color="auto" w:fill="FFFFFF" w:themeFill="background1"/>
            <w:vAlign w:val="center"/>
          </w:tcPr>
          <w:p w14:paraId="06C19D03"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否</w:t>
            </w:r>
          </w:p>
        </w:tc>
      </w:tr>
      <w:tr w:rsidR="00632E5B" w14:paraId="587C2D2F" w14:textId="77777777" w:rsidTr="00CB6FD6">
        <w:trPr>
          <w:trHeight w:val="240"/>
        </w:trPr>
        <w:tc>
          <w:tcPr>
            <w:tcW w:w="1732" w:type="dxa"/>
            <w:shd w:val="clear" w:color="auto" w:fill="FFFFFF" w:themeFill="background1"/>
            <w:vAlign w:val="center"/>
          </w:tcPr>
          <w:p w14:paraId="45AB51A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陈庆辉</w:t>
            </w:r>
          </w:p>
        </w:tc>
        <w:tc>
          <w:tcPr>
            <w:tcW w:w="709" w:type="dxa"/>
            <w:shd w:val="clear" w:color="auto" w:fill="FFFFFF" w:themeFill="background1"/>
            <w:vAlign w:val="center"/>
          </w:tcPr>
          <w:p w14:paraId="5867CB21"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男</w:t>
            </w:r>
          </w:p>
        </w:tc>
        <w:tc>
          <w:tcPr>
            <w:tcW w:w="709" w:type="dxa"/>
            <w:shd w:val="clear" w:color="auto" w:fill="FFFFFF" w:themeFill="background1"/>
            <w:vAlign w:val="center"/>
          </w:tcPr>
          <w:p w14:paraId="20E8A6ED"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38</w:t>
            </w:r>
          </w:p>
        </w:tc>
        <w:tc>
          <w:tcPr>
            <w:tcW w:w="2358" w:type="dxa"/>
            <w:shd w:val="clear" w:color="auto" w:fill="FFFFFF" w:themeFill="background1"/>
            <w:vAlign w:val="center"/>
          </w:tcPr>
          <w:p w14:paraId="1858A83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副总经理、人力总监</w:t>
            </w:r>
          </w:p>
        </w:tc>
        <w:tc>
          <w:tcPr>
            <w:tcW w:w="1377" w:type="dxa"/>
            <w:shd w:val="clear" w:color="auto" w:fill="FFFFFF" w:themeFill="background1"/>
            <w:vAlign w:val="center"/>
          </w:tcPr>
          <w:p w14:paraId="1C392E54"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现任</w:t>
            </w:r>
          </w:p>
        </w:tc>
        <w:tc>
          <w:tcPr>
            <w:tcW w:w="1377" w:type="dxa"/>
            <w:shd w:val="clear" w:color="auto" w:fill="FFFFFF" w:themeFill="background1"/>
            <w:vAlign w:val="center"/>
          </w:tcPr>
          <w:p w14:paraId="58B30DC7"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0</w:t>
            </w:r>
          </w:p>
        </w:tc>
        <w:tc>
          <w:tcPr>
            <w:tcW w:w="1377" w:type="dxa"/>
            <w:shd w:val="clear" w:color="auto" w:fill="FFFFFF" w:themeFill="background1"/>
            <w:vAlign w:val="center"/>
          </w:tcPr>
          <w:p w14:paraId="68246D26"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是</w:t>
            </w:r>
          </w:p>
        </w:tc>
      </w:tr>
      <w:tr w:rsidR="00632E5B" w14:paraId="6810AD59" w14:textId="77777777" w:rsidTr="00CB6FD6">
        <w:trPr>
          <w:trHeight w:val="240"/>
        </w:trPr>
        <w:tc>
          <w:tcPr>
            <w:tcW w:w="1732" w:type="dxa"/>
            <w:shd w:val="clear" w:color="auto" w:fill="FFFFFF" w:themeFill="background1"/>
            <w:vAlign w:val="center"/>
          </w:tcPr>
          <w:p w14:paraId="2EDE50D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lastRenderedPageBreak/>
              <w:t>廖嘉琦</w:t>
            </w:r>
          </w:p>
        </w:tc>
        <w:tc>
          <w:tcPr>
            <w:tcW w:w="709" w:type="dxa"/>
            <w:shd w:val="clear" w:color="auto" w:fill="FFFFFF" w:themeFill="background1"/>
            <w:vAlign w:val="center"/>
          </w:tcPr>
          <w:p w14:paraId="21D14AF6"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男</w:t>
            </w:r>
          </w:p>
        </w:tc>
        <w:tc>
          <w:tcPr>
            <w:tcW w:w="709" w:type="dxa"/>
            <w:shd w:val="clear" w:color="auto" w:fill="FFFFFF" w:themeFill="background1"/>
            <w:vAlign w:val="center"/>
          </w:tcPr>
          <w:p w14:paraId="753591EF"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32</w:t>
            </w:r>
          </w:p>
        </w:tc>
        <w:tc>
          <w:tcPr>
            <w:tcW w:w="2358" w:type="dxa"/>
            <w:shd w:val="clear" w:color="auto" w:fill="FFFFFF" w:themeFill="background1"/>
            <w:vAlign w:val="center"/>
          </w:tcPr>
          <w:p w14:paraId="232C847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财务总监、董事会秘书</w:t>
            </w:r>
          </w:p>
        </w:tc>
        <w:tc>
          <w:tcPr>
            <w:tcW w:w="1377" w:type="dxa"/>
            <w:shd w:val="clear" w:color="auto" w:fill="FFFFFF" w:themeFill="background1"/>
            <w:vAlign w:val="center"/>
          </w:tcPr>
          <w:p w14:paraId="7DE2D92A"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现任</w:t>
            </w:r>
          </w:p>
        </w:tc>
        <w:tc>
          <w:tcPr>
            <w:tcW w:w="1377" w:type="dxa"/>
            <w:shd w:val="clear" w:color="auto" w:fill="FFFFFF" w:themeFill="background1"/>
            <w:vAlign w:val="center"/>
          </w:tcPr>
          <w:p w14:paraId="02B21DD7"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0</w:t>
            </w:r>
          </w:p>
        </w:tc>
        <w:tc>
          <w:tcPr>
            <w:tcW w:w="1377" w:type="dxa"/>
            <w:shd w:val="clear" w:color="auto" w:fill="FFFFFF" w:themeFill="background1"/>
            <w:vAlign w:val="center"/>
          </w:tcPr>
          <w:p w14:paraId="062F8512"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是</w:t>
            </w:r>
          </w:p>
        </w:tc>
      </w:tr>
      <w:tr w:rsidR="00632E5B" w14:paraId="7D5E12AD" w14:textId="77777777" w:rsidTr="00CB6FD6">
        <w:trPr>
          <w:trHeight w:val="240"/>
        </w:trPr>
        <w:tc>
          <w:tcPr>
            <w:tcW w:w="1732" w:type="dxa"/>
            <w:shd w:val="clear" w:color="auto" w:fill="FFFFFF" w:themeFill="background1"/>
            <w:vAlign w:val="center"/>
          </w:tcPr>
          <w:p w14:paraId="62D72DC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陈新祥</w:t>
            </w:r>
          </w:p>
        </w:tc>
        <w:tc>
          <w:tcPr>
            <w:tcW w:w="709" w:type="dxa"/>
            <w:shd w:val="clear" w:color="auto" w:fill="FFFFFF" w:themeFill="background1"/>
            <w:vAlign w:val="center"/>
          </w:tcPr>
          <w:p w14:paraId="7404F367"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男</w:t>
            </w:r>
          </w:p>
        </w:tc>
        <w:tc>
          <w:tcPr>
            <w:tcW w:w="709" w:type="dxa"/>
            <w:shd w:val="clear" w:color="auto" w:fill="FFFFFF" w:themeFill="background1"/>
            <w:vAlign w:val="center"/>
          </w:tcPr>
          <w:p w14:paraId="7CFA9FC4"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56</w:t>
            </w:r>
          </w:p>
        </w:tc>
        <w:tc>
          <w:tcPr>
            <w:tcW w:w="2358" w:type="dxa"/>
            <w:shd w:val="clear" w:color="auto" w:fill="FFFFFF" w:themeFill="background1"/>
            <w:vAlign w:val="center"/>
          </w:tcPr>
          <w:p w14:paraId="35D00B0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副总经理</w:t>
            </w:r>
          </w:p>
        </w:tc>
        <w:tc>
          <w:tcPr>
            <w:tcW w:w="1377" w:type="dxa"/>
            <w:shd w:val="clear" w:color="auto" w:fill="FFFFFF" w:themeFill="background1"/>
            <w:vAlign w:val="center"/>
          </w:tcPr>
          <w:p w14:paraId="0943E9E2"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现任</w:t>
            </w:r>
          </w:p>
        </w:tc>
        <w:tc>
          <w:tcPr>
            <w:tcW w:w="1377" w:type="dxa"/>
            <w:shd w:val="clear" w:color="auto" w:fill="FFFFFF" w:themeFill="background1"/>
            <w:vAlign w:val="center"/>
          </w:tcPr>
          <w:p w14:paraId="0D702A84"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104.33</w:t>
            </w:r>
          </w:p>
        </w:tc>
        <w:tc>
          <w:tcPr>
            <w:tcW w:w="1377" w:type="dxa"/>
            <w:shd w:val="clear" w:color="auto" w:fill="FFFFFF" w:themeFill="background1"/>
            <w:vAlign w:val="center"/>
          </w:tcPr>
          <w:p w14:paraId="231BD243"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否</w:t>
            </w:r>
          </w:p>
        </w:tc>
      </w:tr>
      <w:tr w:rsidR="00632E5B" w14:paraId="6B21EFB4" w14:textId="77777777" w:rsidTr="00CB6FD6">
        <w:trPr>
          <w:trHeight w:val="240"/>
        </w:trPr>
        <w:tc>
          <w:tcPr>
            <w:tcW w:w="1732" w:type="dxa"/>
            <w:shd w:val="clear" w:color="auto" w:fill="FFFFFF" w:themeFill="background1"/>
            <w:vAlign w:val="center"/>
          </w:tcPr>
          <w:p w14:paraId="1CFF7BD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孙建宇</w:t>
            </w:r>
          </w:p>
        </w:tc>
        <w:tc>
          <w:tcPr>
            <w:tcW w:w="709" w:type="dxa"/>
            <w:shd w:val="clear" w:color="auto" w:fill="FFFFFF" w:themeFill="background1"/>
            <w:vAlign w:val="center"/>
          </w:tcPr>
          <w:p w14:paraId="103EF732"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男</w:t>
            </w:r>
          </w:p>
        </w:tc>
        <w:tc>
          <w:tcPr>
            <w:tcW w:w="709" w:type="dxa"/>
            <w:shd w:val="clear" w:color="auto" w:fill="FFFFFF" w:themeFill="background1"/>
            <w:vAlign w:val="center"/>
          </w:tcPr>
          <w:p w14:paraId="5A9DF7F4"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45</w:t>
            </w:r>
          </w:p>
        </w:tc>
        <w:tc>
          <w:tcPr>
            <w:tcW w:w="2358" w:type="dxa"/>
            <w:shd w:val="clear" w:color="auto" w:fill="FFFFFF" w:themeFill="background1"/>
            <w:vAlign w:val="center"/>
          </w:tcPr>
          <w:p w14:paraId="793E2DB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副总经理</w:t>
            </w:r>
          </w:p>
        </w:tc>
        <w:tc>
          <w:tcPr>
            <w:tcW w:w="1377" w:type="dxa"/>
            <w:shd w:val="clear" w:color="auto" w:fill="FFFFFF" w:themeFill="background1"/>
            <w:vAlign w:val="center"/>
          </w:tcPr>
          <w:p w14:paraId="616CE321"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现任</w:t>
            </w:r>
          </w:p>
        </w:tc>
        <w:tc>
          <w:tcPr>
            <w:tcW w:w="1377" w:type="dxa"/>
            <w:shd w:val="clear" w:color="auto" w:fill="FFFFFF" w:themeFill="background1"/>
            <w:vAlign w:val="center"/>
          </w:tcPr>
          <w:p w14:paraId="2952496C"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159.15</w:t>
            </w:r>
          </w:p>
        </w:tc>
        <w:tc>
          <w:tcPr>
            <w:tcW w:w="1377" w:type="dxa"/>
            <w:shd w:val="clear" w:color="auto" w:fill="FFFFFF" w:themeFill="background1"/>
            <w:vAlign w:val="center"/>
          </w:tcPr>
          <w:p w14:paraId="54D7854E"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否</w:t>
            </w:r>
          </w:p>
        </w:tc>
      </w:tr>
      <w:tr w:rsidR="00632E5B" w14:paraId="1BC900A1" w14:textId="77777777" w:rsidTr="00CB6FD6">
        <w:trPr>
          <w:trHeight w:val="240"/>
        </w:trPr>
        <w:tc>
          <w:tcPr>
            <w:tcW w:w="1732" w:type="dxa"/>
            <w:shd w:val="clear" w:color="auto" w:fill="FFFFFF" w:themeFill="background1"/>
            <w:vAlign w:val="center"/>
          </w:tcPr>
          <w:p w14:paraId="0FF5BB9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王伟峰</w:t>
            </w:r>
          </w:p>
        </w:tc>
        <w:tc>
          <w:tcPr>
            <w:tcW w:w="709" w:type="dxa"/>
            <w:shd w:val="clear" w:color="auto" w:fill="FFFFFF" w:themeFill="background1"/>
            <w:vAlign w:val="center"/>
          </w:tcPr>
          <w:p w14:paraId="612A323F"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男</w:t>
            </w:r>
          </w:p>
        </w:tc>
        <w:tc>
          <w:tcPr>
            <w:tcW w:w="709" w:type="dxa"/>
            <w:shd w:val="clear" w:color="auto" w:fill="FFFFFF" w:themeFill="background1"/>
            <w:vAlign w:val="center"/>
          </w:tcPr>
          <w:p w14:paraId="2AD6830A"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45</w:t>
            </w:r>
          </w:p>
        </w:tc>
        <w:tc>
          <w:tcPr>
            <w:tcW w:w="2358" w:type="dxa"/>
            <w:shd w:val="clear" w:color="auto" w:fill="FFFFFF" w:themeFill="background1"/>
            <w:vAlign w:val="center"/>
          </w:tcPr>
          <w:p w14:paraId="026DDC8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时任董事长、总经理</w:t>
            </w:r>
          </w:p>
        </w:tc>
        <w:tc>
          <w:tcPr>
            <w:tcW w:w="1377" w:type="dxa"/>
            <w:shd w:val="clear" w:color="auto" w:fill="FFFFFF" w:themeFill="background1"/>
            <w:vAlign w:val="center"/>
          </w:tcPr>
          <w:p w14:paraId="4BB28607"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离任</w:t>
            </w:r>
          </w:p>
        </w:tc>
        <w:tc>
          <w:tcPr>
            <w:tcW w:w="1377" w:type="dxa"/>
            <w:shd w:val="clear" w:color="auto" w:fill="FFFFFF" w:themeFill="background1"/>
            <w:vAlign w:val="center"/>
          </w:tcPr>
          <w:p w14:paraId="1ACCA9F7"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141.01</w:t>
            </w:r>
          </w:p>
        </w:tc>
        <w:tc>
          <w:tcPr>
            <w:tcW w:w="1377" w:type="dxa"/>
            <w:shd w:val="clear" w:color="auto" w:fill="FFFFFF" w:themeFill="background1"/>
            <w:vAlign w:val="center"/>
          </w:tcPr>
          <w:p w14:paraId="38A13708"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否</w:t>
            </w:r>
          </w:p>
        </w:tc>
      </w:tr>
      <w:tr w:rsidR="00632E5B" w14:paraId="3C35EEA5" w14:textId="77777777" w:rsidTr="00CB6FD6">
        <w:trPr>
          <w:trHeight w:val="240"/>
        </w:trPr>
        <w:tc>
          <w:tcPr>
            <w:tcW w:w="1732" w:type="dxa"/>
            <w:shd w:val="clear" w:color="auto" w:fill="FFFFFF" w:themeFill="background1"/>
            <w:vAlign w:val="center"/>
          </w:tcPr>
          <w:p w14:paraId="0929E85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陈辉</w:t>
            </w:r>
          </w:p>
        </w:tc>
        <w:tc>
          <w:tcPr>
            <w:tcW w:w="709" w:type="dxa"/>
            <w:shd w:val="clear" w:color="auto" w:fill="FFFFFF" w:themeFill="background1"/>
            <w:vAlign w:val="center"/>
          </w:tcPr>
          <w:p w14:paraId="27C3593A"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男</w:t>
            </w:r>
          </w:p>
        </w:tc>
        <w:tc>
          <w:tcPr>
            <w:tcW w:w="709" w:type="dxa"/>
            <w:shd w:val="clear" w:color="auto" w:fill="FFFFFF" w:themeFill="background1"/>
            <w:vAlign w:val="center"/>
          </w:tcPr>
          <w:p w14:paraId="0C42D712"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54</w:t>
            </w:r>
          </w:p>
        </w:tc>
        <w:tc>
          <w:tcPr>
            <w:tcW w:w="2358" w:type="dxa"/>
            <w:shd w:val="clear" w:color="auto" w:fill="FFFFFF" w:themeFill="background1"/>
            <w:vAlign w:val="center"/>
          </w:tcPr>
          <w:p w14:paraId="7B418E9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时任董事</w:t>
            </w:r>
          </w:p>
        </w:tc>
        <w:tc>
          <w:tcPr>
            <w:tcW w:w="1377" w:type="dxa"/>
            <w:shd w:val="clear" w:color="auto" w:fill="FFFFFF" w:themeFill="background1"/>
            <w:vAlign w:val="center"/>
          </w:tcPr>
          <w:p w14:paraId="1D0790B8"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离任</w:t>
            </w:r>
          </w:p>
        </w:tc>
        <w:tc>
          <w:tcPr>
            <w:tcW w:w="1377" w:type="dxa"/>
            <w:shd w:val="clear" w:color="auto" w:fill="FFFFFF" w:themeFill="background1"/>
            <w:vAlign w:val="center"/>
          </w:tcPr>
          <w:p w14:paraId="4647AB4D"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103.7</w:t>
            </w:r>
          </w:p>
        </w:tc>
        <w:tc>
          <w:tcPr>
            <w:tcW w:w="1377" w:type="dxa"/>
            <w:shd w:val="clear" w:color="auto" w:fill="FFFFFF" w:themeFill="background1"/>
            <w:vAlign w:val="center"/>
          </w:tcPr>
          <w:p w14:paraId="46837540"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否</w:t>
            </w:r>
          </w:p>
        </w:tc>
      </w:tr>
      <w:tr w:rsidR="00632E5B" w14:paraId="2AEF6519" w14:textId="77777777" w:rsidTr="00CB6FD6">
        <w:trPr>
          <w:trHeight w:val="240"/>
        </w:trPr>
        <w:tc>
          <w:tcPr>
            <w:tcW w:w="1732" w:type="dxa"/>
            <w:shd w:val="clear" w:color="auto" w:fill="FFFFFF" w:themeFill="background1"/>
            <w:vAlign w:val="center"/>
          </w:tcPr>
          <w:p w14:paraId="7C10F3F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陈波瀚</w:t>
            </w:r>
          </w:p>
        </w:tc>
        <w:tc>
          <w:tcPr>
            <w:tcW w:w="709" w:type="dxa"/>
            <w:shd w:val="clear" w:color="auto" w:fill="FFFFFF" w:themeFill="background1"/>
            <w:vAlign w:val="center"/>
          </w:tcPr>
          <w:p w14:paraId="316C94F7"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男</w:t>
            </w:r>
          </w:p>
        </w:tc>
        <w:tc>
          <w:tcPr>
            <w:tcW w:w="709" w:type="dxa"/>
            <w:shd w:val="clear" w:color="auto" w:fill="FFFFFF" w:themeFill="background1"/>
            <w:vAlign w:val="center"/>
          </w:tcPr>
          <w:p w14:paraId="2D9B84CC"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61</w:t>
            </w:r>
          </w:p>
        </w:tc>
        <w:tc>
          <w:tcPr>
            <w:tcW w:w="2358" w:type="dxa"/>
            <w:shd w:val="clear" w:color="auto" w:fill="FFFFFF" w:themeFill="background1"/>
            <w:vAlign w:val="center"/>
          </w:tcPr>
          <w:p w14:paraId="4242615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时任董事</w:t>
            </w:r>
          </w:p>
        </w:tc>
        <w:tc>
          <w:tcPr>
            <w:tcW w:w="1377" w:type="dxa"/>
            <w:shd w:val="clear" w:color="auto" w:fill="FFFFFF" w:themeFill="background1"/>
            <w:vAlign w:val="center"/>
          </w:tcPr>
          <w:p w14:paraId="079E5C7F"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离任</w:t>
            </w:r>
          </w:p>
        </w:tc>
        <w:tc>
          <w:tcPr>
            <w:tcW w:w="1377" w:type="dxa"/>
            <w:shd w:val="clear" w:color="auto" w:fill="FFFFFF" w:themeFill="background1"/>
            <w:vAlign w:val="center"/>
          </w:tcPr>
          <w:p w14:paraId="614F2596"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81.66</w:t>
            </w:r>
          </w:p>
        </w:tc>
        <w:tc>
          <w:tcPr>
            <w:tcW w:w="1377" w:type="dxa"/>
            <w:shd w:val="clear" w:color="auto" w:fill="FFFFFF" w:themeFill="background1"/>
            <w:vAlign w:val="center"/>
          </w:tcPr>
          <w:p w14:paraId="3461E733"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否</w:t>
            </w:r>
          </w:p>
        </w:tc>
      </w:tr>
      <w:tr w:rsidR="00632E5B" w14:paraId="06822E12" w14:textId="77777777" w:rsidTr="00CB6FD6">
        <w:trPr>
          <w:trHeight w:val="240"/>
        </w:trPr>
        <w:tc>
          <w:tcPr>
            <w:tcW w:w="1732" w:type="dxa"/>
            <w:shd w:val="clear" w:color="auto" w:fill="FFFFFF" w:themeFill="background1"/>
            <w:vAlign w:val="center"/>
          </w:tcPr>
          <w:p w14:paraId="3D06343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陈昆</w:t>
            </w:r>
          </w:p>
        </w:tc>
        <w:tc>
          <w:tcPr>
            <w:tcW w:w="709" w:type="dxa"/>
            <w:shd w:val="clear" w:color="auto" w:fill="FFFFFF" w:themeFill="background1"/>
            <w:vAlign w:val="center"/>
          </w:tcPr>
          <w:p w14:paraId="320D19E9"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男</w:t>
            </w:r>
          </w:p>
        </w:tc>
        <w:tc>
          <w:tcPr>
            <w:tcW w:w="709" w:type="dxa"/>
            <w:shd w:val="clear" w:color="auto" w:fill="FFFFFF" w:themeFill="background1"/>
            <w:vAlign w:val="center"/>
          </w:tcPr>
          <w:p w14:paraId="3BA7DEE1"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78</w:t>
            </w:r>
          </w:p>
        </w:tc>
        <w:tc>
          <w:tcPr>
            <w:tcW w:w="2358" w:type="dxa"/>
            <w:shd w:val="clear" w:color="auto" w:fill="FFFFFF" w:themeFill="background1"/>
            <w:vAlign w:val="center"/>
          </w:tcPr>
          <w:p w14:paraId="321E326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时任董事</w:t>
            </w:r>
          </w:p>
        </w:tc>
        <w:tc>
          <w:tcPr>
            <w:tcW w:w="1377" w:type="dxa"/>
            <w:shd w:val="clear" w:color="auto" w:fill="FFFFFF" w:themeFill="background1"/>
            <w:vAlign w:val="center"/>
          </w:tcPr>
          <w:p w14:paraId="4B80A35C"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离任</w:t>
            </w:r>
          </w:p>
        </w:tc>
        <w:tc>
          <w:tcPr>
            <w:tcW w:w="1377" w:type="dxa"/>
            <w:shd w:val="clear" w:color="auto" w:fill="FFFFFF" w:themeFill="background1"/>
            <w:vAlign w:val="center"/>
          </w:tcPr>
          <w:p w14:paraId="2107E9A0"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0</w:t>
            </w:r>
          </w:p>
        </w:tc>
        <w:tc>
          <w:tcPr>
            <w:tcW w:w="1377" w:type="dxa"/>
            <w:shd w:val="clear" w:color="auto" w:fill="FFFFFF" w:themeFill="background1"/>
            <w:vAlign w:val="center"/>
          </w:tcPr>
          <w:p w14:paraId="479A5380"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否</w:t>
            </w:r>
          </w:p>
        </w:tc>
      </w:tr>
      <w:tr w:rsidR="00632E5B" w14:paraId="3DEFAF94" w14:textId="77777777" w:rsidTr="00CB6FD6">
        <w:trPr>
          <w:trHeight w:val="240"/>
        </w:trPr>
        <w:tc>
          <w:tcPr>
            <w:tcW w:w="1732" w:type="dxa"/>
            <w:shd w:val="clear" w:color="auto" w:fill="FFFFFF" w:themeFill="background1"/>
            <w:vAlign w:val="center"/>
          </w:tcPr>
          <w:p w14:paraId="4B2E107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程娴</w:t>
            </w:r>
          </w:p>
        </w:tc>
        <w:tc>
          <w:tcPr>
            <w:tcW w:w="709" w:type="dxa"/>
            <w:shd w:val="clear" w:color="auto" w:fill="FFFFFF" w:themeFill="background1"/>
            <w:vAlign w:val="center"/>
          </w:tcPr>
          <w:p w14:paraId="413AEB0B"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女</w:t>
            </w:r>
          </w:p>
        </w:tc>
        <w:tc>
          <w:tcPr>
            <w:tcW w:w="709" w:type="dxa"/>
            <w:shd w:val="clear" w:color="auto" w:fill="FFFFFF" w:themeFill="background1"/>
            <w:vAlign w:val="center"/>
          </w:tcPr>
          <w:p w14:paraId="0C57CCDB"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49</w:t>
            </w:r>
          </w:p>
        </w:tc>
        <w:tc>
          <w:tcPr>
            <w:tcW w:w="2358" w:type="dxa"/>
            <w:shd w:val="clear" w:color="auto" w:fill="FFFFFF" w:themeFill="background1"/>
            <w:vAlign w:val="center"/>
          </w:tcPr>
          <w:p w14:paraId="1F5AA87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时任董事、董事会秘书、副总经理</w:t>
            </w:r>
          </w:p>
        </w:tc>
        <w:tc>
          <w:tcPr>
            <w:tcW w:w="1377" w:type="dxa"/>
            <w:shd w:val="clear" w:color="auto" w:fill="FFFFFF" w:themeFill="background1"/>
            <w:vAlign w:val="center"/>
          </w:tcPr>
          <w:p w14:paraId="73FD3B23"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离任</w:t>
            </w:r>
          </w:p>
        </w:tc>
        <w:tc>
          <w:tcPr>
            <w:tcW w:w="1377" w:type="dxa"/>
            <w:shd w:val="clear" w:color="auto" w:fill="FFFFFF" w:themeFill="background1"/>
            <w:vAlign w:val="center"/>
          </w:tcPr>
          <w:p w14:paraId="54D2951D"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91.99</w:t>
            </w:r>
          </w:p>
        </w:tc>
        <w:tc>
          <w:tcPr>
            <w:tcW w:w="1377" w:type="dxa"/>
            <w:shd w:val="clear" w:color="auto" w:fill="FFFFFF" w:themeFill="background1"/>
            <w:vAlign w:val="center"/>
          </w:tcPr>
          <w:p w14:paraId="2DAF6CDA"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否</w:t>
            </w:r>
          </w:p>
        </w:tc>
      </w:tr>
      <w:tr w:rsidR="00632E5B" w14:paraId="33469C44" w14:textId="77777777" w:rsidTr="00CB6FD6">
        <w:trPr>
          <w:trHeight w:val="240"/>
        </w:trPr>
        <w:tc>
          <w:tcPr>
            <w:tcW w:w="1732" w:type="dxa"/>
            <w:shd w:val="clear" w:color="auto" w:fill="FFFFFF" w:themeFill="background1"/>
            <w:vAlign w:val="center"/>
          </w:tcPr>
          <w:p w14:paraId="2F2F861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蒋悟真</w:t>
            </w:r>
          </w:p>
        </w:tc>
        <w:tc>
          <w:tcPr>
            <w:tcW w:w="709" w:type="dxa"/>
            <w:shd w:val="clear" w:color="auto" w:fill="FFFFFF" w:themeFill="background1"/>
            <w:vAlign w:val="center"/>
          </w:tcPr>
          <w:p w14:paraId="4D37616A"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男</w:t>
            </w:r>
          </w:p>
        </w:tc>
        <w:tc>
          <w:tcPr>
            <w:tcW w:w="709" w:type="dxa"/>
            <w:shd w:val="clear" w:color="auto" w:fill="FFFFFF" w:themeFill="background1"/>
            <w:vAlign w:val="center"/>
          </w:tcPr>
          <w:p w14:paraId="60A10988"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53</w:t>
            </w:r>
          </w:p>
        </w:tc>
        <w:tc>
          <w:tcPr>
            <w:tcW w:w="2358" w:type="dxa"/>
            <w:shd w:val="clear" w:color="auto" w:fill="FFFFFF" w:themeFill="background1"/>
            <w:vAlign w:val="center"/>
          </w:tcPr>
          <w:p w14:paraId="1CF7811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时任独立董事</w:t>
            </w:r>
          </w:p>
        </w:tc>
        <w:tc>
          <w:tcPr>
            <w:tcW w:w="1377" w:type="dxa"/>
            <w:shd w:val="clear" w:color="auto" w:fill="FFFFFF" w:themeFill="background1"/>
            <w:vAlign w:val="center"/>
          </w:tcPr>
          <w:p w14:paraId="5E1F6122"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离任</w:t>
            </w:r>
          </w:p>
        </w:tc>
        <w:tc>
          <w:tcPr>
            <w:tcW w:w="1377" w:type="dxa"/>
            <w:shd w:val="clear" w:color="auto" w:fill="FFFFFF" w:themeFill="background1"/>
            <w:vAlign w:val="center"/>
          </w:tcPr>
          <w:p w14:paraId="74DE4E22"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12</w:t>
            </w:r>
          </w:p>
        </w:tc>
        <w:tc>
          <w:tcPr>
            <w:tcW w:w="1377" w:type="dxa"/>
            <w:shd w:val="clear" w:color="auto" w:fill="FFFFFF" w:themeFill="background1"/>
            <w:vAlign w:val="center"/>
          </w:tcPr>
          <w:p w14:paraId="0F686710"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否</w:t>
            </w:r>
          </w:p>
        </w:tc>
      </w:tr>
      <w:tr w:rsidR="00632E5B" w14:paraId="14DBA646" w14:textId="77777777" w:rsidTr="00CB6FD6">
        <w:trPr>
          <w:trHeight w:val="240"/>
        </w:trPr>
        <w:tc>
          <w:tcPr>
            <w:tcW w:w="1732" w:type="dxa"/>
            <w:shd w:val="clear" w:color="auto" w:fill="FFFFFF" w:themeFill="background1"/>
            <w:vAlign w:val="center"/>
          </w:tcPr>
          <w:p w14:paraId="36E5B32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李兴尧</w:t>
            </w:r>
          </w:p>
        </w:tc>
        <w:tc>
          <w:tcPr>
            <w:tcW w:w="709" w:type="dxa"/>
            <w:shd w:val="clear" w:color="auto" w:fill="FFFFFF" w:themeFill="background1"/>
            <w:vAlign w:val="center"/>
          </w:tcPr>
          <w:p w14:paraId="251769FD"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男</w:t>
            </w:r>
          </w:p>
        </w:tc>
        <w:tc>
          <w:tcPr>
            <w:tcW w:w="709" w:type="dxa"/>
            <w:shd w:val="clear" w:color="auto" w:fill="FFFFFF" w:themeFill="background1"/>
            <w:vAlign w:val="center"/>
          </w:tcPr>
          <w:p w14:paraId="0E49E1EF"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53</w:t>
            </w:r>
          </w:p>
        </w:tc>
        <w:tc>
          <w:tcPr>
            <w:tcW w:w="2358" w:type="dxa"/>
            <w:shd w:val="clear" w:color="auto" w:fill="FFFFFF" w:themeFill="background1"/>
            <w:vAlign w:val="center"/>
          </w:tcPr>
          <w:p w14:paraId="436D4B3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时任独立董事</w:t>
            </w:r>
          </w:p>
        </w:tc>
        <w:tc>
          <w:tcPr>
            <w:tcW w:w="1377" w:type="dxa"/>
            <w:shd w:val="clear" w:color="auto" w:fill="FFFFFF" w:themeFill="background1"/>
            <w:vAlign w:val="center"/>
          </w:tcPr>
          <w:p w14:paraId="52EA6793"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离任</w:t>
            </w:r>
          </w:p>
        </w:tc>
        <w:tc>
          <w:tcPr>
            <w:tcW w:w="1377" w:type="dxa"/>
            <w:shd w:val="clear" w:color="auto" w:fill="FFFFFF" w:themeFill="background1"/>
            <w:vAlign w:val="center"/>
          </w:tcPr>
          <w:p w14:paraId="059444E7"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12</w:t>
            </w:r>
          </w:p>
        </w:tc>
        <w:tc>
          <w:tcPr>
            <w:tcW w:w="1377" w:type="dxa"/>
            <w:shd w:val="clear" w:color="auto" w:fill="FFFFFF" w:themeFill="background1"/>
            <w:vAlign w:val="center"/>
          </w:tcPr>
          <w:p w14:paraId="242404DF"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否</w:t>
            </w:r>
          </w:p>
        </w:tc>
      </w:tr>
      <w:tr w:rsidR="00632E5B" w14:paraId="7FFD57A9" w14:textId="77777777" w:rsidTr="00CB6FD6">
        <w:trPr>
          <w:trHeight w:val="240"/>
        </w:trPr>
        <w:tc>
          <w:tcPr>
            <w:tcW w:w="1732" w:type="dxa"/>
            <w:shd w:val="clear" w:color="auto" w:fill="FFFFFF" w:themeFill="background1"/>
            <w:vAlign w:val="center"/>
          </w:tcPr>
          <w:p w14:paraId="498674F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迟梁</w:t>
            </w:r>
          </w:p>
        </w:tc>
        <w:tc>
          <w:tcPr>
            <w:tcW w:w="709" w:type="dxa"/>
            <w:shd w:val="clear" w:color="auto" w:fill="FFFFFF" w:themeFill="background1"/>
            <w:vAlign w:val="center"/>
          </w:tcPr>
          <w:p w14:paraId="46410D27"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男</w:t>
            </w:r>
          </w:p>
        </w:tc>
        <w:tc>
          <w:tcPr>
            <w:tcW w:w="709" w:type="dxa"/>
            <w:shd w:val="clear" w:color="auto" w:fill="FFFFFF" w:themeFill="background1"/>
            <w:vAlign w:val="center"/>
          </w:tcPr>
          <w:p w14:paraId="48A27592"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41</w:t>
            </w:r>
          </w:p>
        </w:tc>
        <w:tc>
          <w:tcPr>
            <w:tcW w:w="2358" w:type="dxa"/>
            <w:shd w:val="clear" w:color="auto" w:fill="FFFFFF" w:themeFill="background1"/>
            <w:vAlign w:val="center"/>
          </w:tcPr>
          <w:p w14:paraId="1B854B2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时任独立董事</w:t>
            </w:r>
          </w:p>
        </w:tc>
        <w:tc>
          <w:tcPr>
            <w:tcW w:w="1377" w:type="dxa"/>
            <w:shd w:val="clear" w:color="auto" w:fill="FFFFFF" w:themeFill="background1"/>
            <w:vAlign w:val="center"/>
          </w:tcPr>
          <w:p w14:paraId="63A15E07"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离任</w:t>
            </w:r>
          </w:p>
        </w:tc>
        <w:tc>
          <w:tcPr>
            <w:tcW w:w="1377" w:type="dxa"/>
            <w:shd w:val="clear" w:color="auto" w:fill="FFFFFF" w:themeFill="background1"/>
            <w:vAlign w:val="center"/>
          </w:tcPr>
          <w:p w14:paraId="40A10F3B"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12</w:t>
            </w:r>
          </w:p>
        </w:tc>
        <w:tc>
          <w:tcPr>
            <w:tcW w:w="1377" w:type="dxa"/>
            <w:shd w:val="clear" w:color="auto" w:fill="FFFFFF" w:themeFill="background1"/>
            <w:vAlign w:val="center"/>
          </w:tcPr>
          <w:p w14:paraId="7DD2185B"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否</w:t>
            </w:r>
          </w:p>
        </w:tc>
      </w:tr>
      <w:tr w:rsidR="00632E5B" w14:paraId="40B2588C" w14:textId="77777777" w:rsidTr="00CB6FD6">
        <w:trPr>
          <w:trHeight w:val="240"/>
        </w:trPr>
        <w:tc>
          <w:tcPr>
            <w:tcW w:w="1732" w:type="dxa"/>
            <w:shd w:val="clear" w:color="auto" w:fill="FFFFFF" w:themeFill="background1"/>
            <w:vAlign w:val="center"/>
          </w:tcPr>
          <w:p w14:paraId="3518F14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钱文庆</w:t>
            </w:r>
          </w:p>
        </w:tc>
        <w:tc>
          <w:tcPr>
            <w:tcW w:w="709" w:type="dxa"/>
            <w:shd w:val="clear" w:color="auto" w:fill="FFFFFF" w:themeFill="background1"/>
            <w:vAlign w:val="center"/>
          </w:tcPr>
          <w:p w14:paraId="18EDB0AD"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男</w:t>
            </w:r>
          </w:p>
        </w:tc>
        <w:tc>
          <w:tcPr>
            <w:tcW w:w="709" w:type="dxa"/>
            <w:shd w:val="clear" w:color="auto" w:fill="FFFFFF" w:themeFill="background1"/>
            <w:vAlign w:val="center"/>
          </w:tcPr>
          <w:p w14:paraId="719F9BEF"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48</w:t>
            </w:r>
          </w:p>
        </w:tc>
        <w:tc>
          <w:tcPr>
            <w:tcW w:w="2358" w:type="dxa"/>
            <w:shd w:val="clear" w:color="auto" w:fill="FFFFFF" w:themeFill="background1"/>
            <w:vAlign w:val="center"/>
          </w:tcPr>
          <w:p w14:paraId="132E1DC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时任监事会主席</w:t>
            </w:r>
          </w:p>
        </w:tc>
        <w:tc>
          <w:tcPr>
            <w:tcW w:w="1377" w:type="dxa"/>
            <w:shd w:val="clear" w:color="auto" w:fill="FFFFFF" w:themeFill="background1"/>
            <w:vAlign w:val="center"/>
          </w:tcPr>
          <w:p w14:paraId="6B39422B"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离任</w:t>
            </w:r>
          </w:p>
        </w:tc>
        <w:tc>
          <w:tcPr>
            <w:tcW w:w="1377" w:type="dxa"/>
            <w:shd w:val="clear" w:color="auto" w:fill="FFFFFF" w:themeFill="background1"/>
            <w:vAlign w:val="center"/>
          </w:tcPr>
          <w:p w14:paraId="0EAC5486"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43.84</w:t>
            </w:r>
          </w:p>
        </w:tc>
        <w:tc>
          <w:tcPr>
            <w:tcW w:w="1377" w:type="dxa"/>
            <w:shd w:val="clear" w:color="auto" w:fill="FFFFFF" w:themeFill="background1"/>
            <w:vAlign w:val="center"/>
          </w:tcPr>
          <w:p w14:paraId="0433578C"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否</w:t>
            </w:r>
          </w:p>
        </w:tc>
      </w:tr>
      <w:tr w:rsidR="00632E5B" w14:paraId="4D344CE0" w14:textId="77777777" w:rsidTr="00CB6FD6">
        <w:trPr>
          <w:trHeight w:val="240"/>
        </w:trPr>
        <w:tc>
          <w:tcPr>
            <w:tcW w:w="1732" w:type="dxa"/>
            <w:shd w:val="clear" w:color="auto" w:fill="FFFFFF" w:themeFill="background1"/>
            <w:vAlign w:val="center"/>
          </w:tcPr>
          <w:p w14:paraId="14FBBFA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彭慧娥</w:t>
            </w:r>
          </w:p>
        </w:tc>
        <w:tc>
          <w:tcPr>
            <w:tcW w:w="709" w:type="dxa"/>
            <w:shd w:val="clear" w:color="auto" w:fill="FFFFFF" w:themeFill="background1"/>
            <w:vAlign w:val="center"/>
          </w:tcPr>
          <w:p w14:paraId="18F49734"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男</w:t>
            </w:r>
          </w:p>
        </w:tc>
        <w:tc>
          <w:tcPr>
            <w:tcW w:w="709" w:type="dxa"/>
            <w:shd w:val="clear" w:color="auto" w:fill="FFFFFF" w:themeFill="background1"/>
            <w:vAlign w:val="center"/>
          </w:tcPr>
          <w:p w14:paraId="7A597370"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43</w:t>
            </w:r>
          </w:p>
        </w:tc>
        <w:tc>
          <w:tcPr>
            <w:tcW w:w="2358" w:type="dxa"/>
            <w:shd w:val="clear" w:color="auto" w:fill="FFFFFF" w:themeFill="background1"/>
            <w:vAlign w:val="center"/>
          </w:tcPr>
          <w:p w14:paraId="54AE8FD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时任职工监事</w:t>
            </w:r>
          </w:p>
        </w:tc>
        <w:tc>
          <w:tcPr>
            <w:tcW w:w="1377" w:type="dxa"/>
            <w:shd w:val="clear" w:color="auto" w:fill="FFFFFF" w:themeFill="background1"/>
            <w:vAlign w:val="center"/>
          </w:tcPr>
          <w:p w14:paraId="47D00FC7"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离任</w:t>
            </w:r>
          </w:p>
        </w:tc>
        <w:tc>
          <w:tcPr>
            <w:tcW w:w="1377" w:type="dxa"/>
            <w:shd w:val="clear" w:color="auto" w:fill="FFFFFF" w:themeFill="background1"/>
            <w:vAlign w:val="center"/>
          </w:tcPr>
          <w:p w14:paraId="13FA30BE"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59.59</w:t>
            </w:r>
          </w:p>
        </w:tc>
        <w:tc>
          <w:tcPr>
            <w:tcW w:w="1377" w:type="dxa"/>
            <w:shd w:val="clear" w:color="auto" w:fill="FFFFFF" w:themeFill="background1"/>
            <w:vAlign w:val="center"/>
          </w:tcPr>
          <w:p w14:paraId="002CAEA3"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否</w:t>
            </w:r>
          </w:p>
        </w:tc>
      </w:tr>
      <w:tr w:rsidR="00632E5B" w14:paraId="0FAA27E2" w14:textId="77777777" w:rsidTr="00CB6FD6">
        <w:trPr>
          <w:trHeight w:val="240"/>
        </w:trPr>
        <w:tc>
          <w:tcPr>
            <w:tcW w:w="1732" w:type="dxa"/>
            <w:shd w:val="clear" w:color="auto" w:fill="FFFFFF" w:themeFill="background1"/>
            <w:vAlign w:val="center"/>
          </w:tcPr>
          <w:p w14:paraId="6A7606E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钱宏燚</w:t>
            </w:r>
          </w:p>
        </w:tc>
        <w:tc>
          <w:tcPr>
            <w:tcW w:w="709" w:type="dxa"/>
            <w:shd w:val="clear" w:color="auto" w:fill="FFFFFF" w:themeFill="background1"/>
            <w:vAlign w:val="center"/>
          </w:tcPr>
          <w:p w14:paraId="4CF4298E"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男</w:t>
            </w:r>
          </w:p>
        </w:tc>
        <w:tc>
          <w:tcPr>
            <w:tcW w:w="709" w:type="dxa"/>
            <w:shd w:val="clear" w:color="auto" w:fill="FFFFFF" w:themeFill="background1"/>
            <w:vAlign w:val="center"/>
          </w:tcPr>
          <w:p w14:paraId="4DEB11AA"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40</w:t>
            </w:r>
          </w:p>
        </w:tc>
        <w:tc>
          <w:tcPr>
            <w:tcW w:w="2358" w:type="dxa"/>
            <w:shd w:val="clear" w:color="auto" w:fill="FFFFFF" w:themeFill="background1"/>
            <w:vAlign w:val="center"/>
          </w:tcPr>
          <w:p w14:paraId="4E1181D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时任副总经理</w:t>
            </w:r>
          </w:p>
        </w:tc>
        <w:tc>
          <w:tcPr>
            <w:tcW w:w="1377" w:type="dxa"/>
            <w:shd w:val="clear" w:color="auto" w:fill="FFFFFF" w:themeFill="background1"/>
            <w:vAlign w:val="center"/>
          </w:tcPr>
          <w:p w14:paraId="10B01D0F"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离任</w:t>
            </w:r>
          </w:p>
        </w:tc>
        <w:tc>
          <w:tcPr>
            <w:tcW w:w="1377" w:type="dxa"/>
            <w:shd w:val="clear" w:color="auto" w:fill="FFFFFF" w:themeFill="background1"/>
            <w:vAlign w:val="center"/>
          </w:tcPr>
          <w:p w14:paraId="4F578225"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45.29</w:t>
            </w:r>
          </w:p>
        </w:tc>
        <w:tc>
          <w:tcPr>
            <w:tcW w:w="1377" w:type="dxa"/>
            <w:shd w:val="clear" w:color="auto" w:fill="FFFFFF" w:themeFill="background1"/>
            <w:vAlign w:val="center"/>
          </w:tcPr>
          <w:p w14:paraId="6B289A08"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否</w:t>
            </w:r>
          </w:p>
        </w:tc>
      </w:tr>
      <w:tr w:rsidR="00632E5B" w14:paraId="31721920" w14:textId="77777777" w:rsidTr="00CB6FD6">
        <w:trPr>
          <w:trHeight w:val="240"/>
        </w:trPr>
        <w:tc>
          <w:tcPr>
            <w:tcW w:w="1732" w:type="dxa"/>
            <w:shd w:val="clear" w:color="auto" w:fill="FFFFFF" w:themeFill="background1"/>
            <w:vAlign w:val="center"/>
          </w:tcPr>
          <w:p w14:paraId="0DC8D01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张曾琪</w:t>
            </w:r>
          </w:p>
        </w:tc>
        <w:tc>
          <w:tcPr>
            <w:tcW w:w="709" w:type="dxa"/>
            <w:shd w:val="clear" w:color="auto" w:fill="FFFFFF" w:themeFill="background1"/>
            <w:vAlign w:val="center"/>
          </w:tcPr>
          <w:p w14:paraId="6BE2A9CF"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男</w:t>
            </w:r>
          </w:p>
        </w:tc>
        <w:tc>
          <w:tcPr>
            <w:tcW w:w="709" w:type="dxa"/>
            <w:shd w:val="clear" w:color="auto" w:fill="FFFFFF" w:themeFill="background1"/>
            <w:vAlign w:val="center"/>
          </w:tcPr>
          <w:p w14:paraId="71996CA6"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51</w:t>
            </w:r>
          </w:p>
        </w:tc>
        <w:tc>
          <w:tcPr>
            <w:tcW w:w="2358" w:type="dxa"/>
            <w:shd w:val="clear" w:color="auto" w:fill="FFFFFF" w:themeFill="background1"/>
            <w:vAlign w:val="center"/>
          </w:tcPr>
          <w:p w14:paraId="25E9FF4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时任副总经理</w:t>
            </w:r>
          </w:p>
        </w:tc>
        <w:tc>
          <w:tcPr>
            <w:tcW w:w="1377" w:type="dxa"/>
            <w:shd w:val="clear" w:color="auto" w:fill="FFFFFF" w:themeFill="background1"/>
            <w:vAlign w:val="center"/>
          </w:tcPr>
          <w:p w14:paraId="1CF36B6A"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离任</w:t>
            </w:r>
          </w:p>
        </w:tc>
        <w:tc>
          <w:tcPr>
            <w:tcW w:w="1377" w:type="dxa"/>
            <w:shd w:val="clear" w:color="auto" w:fill="FFFFFF" w:themeFill="background1"/>
            <w:vAlign w:val="center"/>
          </w:tcPr>
          <w:p w14:paraId="416C7775"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44.73</w:t>
            </w:r>
          </w:p>
        </w:tc>
        <w:tc>
          <w:tcPr>
            <w:tcW w:w="1377" w:type="dxa"/>
            <w:shd w:val="clear" w:color="auto" w:fill="FFFFFF" w:themeFill="background1"/>
            <w:vAlign w:val="center"/>
          </w:tcPr>
          <w:p w14:paraId="792F94F3"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否</w:t>
            </w:r>
          </w:p>
        </w:tc>
      </w:tr>
      <w:tr w:rsidR="00632E5B" w14:paraId="58A904B3" w14:textId="77777777" w:rsidTr="00CB6FD6">
        <w:trPr>
          <w:trHeight w:val="240"/>
        </w:trPr>
        <w:tc>
          <w:tcPr>
            <w:tcW w:w="1732" w:type="dxa"/>
            <w:shd w:val="clear" w:color="auto" w:fill="FFFFFF" w:themeFill="background1"/>
            <w:vAlign w:val="center"/>
          </w:tcPr>
          <w:p w14:paraId="013ABB5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徐军成</w:t>
            </w:r>
          </w:p>
        </w:tc>
        <w:tc>
          <w:tcPr>
            <w:tcW w:w="709" w:type="dxa"/>
            <w:shd w:val="clear" w:color="auto" w:fill="FFFFFF" w:themeFill="background1"/>
            <w:vAlign w:val="center"/>
          </w:tcPr>
          <w:p w14:paraId="4532B75A"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男</w:t>
            </w:r>
          </w:p>
        </w:tc>
        <w:tc>
          <w:tcPr>
            <w:tcW w:w="709" w:type="dxa"/>
            <w:shd w:val="clear" w:color="auto" w:fill="FFFFFF" w:themeFill="background1"/>
            <w:vAlign w:val="center"/>
          </w:tcPr>
          <w:p w14:paraId="45B0C5FF" w14:textId="77777777" w:rsidR="00632E5B" w:rsidRDefault="00107901" w:rsidP="00162B05">
            <w:pPr>
              <w:spacing w:line="240" w:lineRule="exact"/>
              <w:jc w:val="center"/>
              <w:rPr>
                <w:rFonts w:ascii="宋体" w:eastAsia="宋体" w:hAnsi="宋体" w:cs="宋体" w:hint="eastAsia"/>
                <w:sz w:val="18"/>
                <w:szCs w:val="18"/>
              </w:rPr>
            </w:pPr>
            <w:r>
              <w:rPr>
                <w:rFonts w:ascii="宋体" w:eastAsia="宋体" w:hAnsi="宋体" w:cs="宋体"/>
                <w:sz w:val="18"/>
                <w:szCs w:val="18"/>
              </w:rPr>
              <w:t>43</w:t>
            </w:r>
          </w:p>
        </w:tc>
        <w:tc>
          <w:tcPr>
            <w:tcW w:w="2358" w:type="dxa"/>
            <w:shd w:val="clear" w:color="auto" w:fill="FFFFFF" w:themeFill="background1"/>
            <w:vAlign w:val="center"/>
          </w:tcPr>
          <w:p w14:paraId="29A8A5D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时任财务总监</w:t>
            </w:r>
          </w:p>
        </w:tc>
        <w:tc>
          <w:tcPr>
            <w:tcW w:w="1377" w:type="dxa"/>
            <w:shd w:val="clear" w:color="auto" w:fill="FFFFFF" w:themeFill="background1"/>
            <w:vAlign w:val="center"/>
          </w:tcPr>
          <w:p w14:paraId="45EE4F7E"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离任</w:t>
            </w:r>
          </w:p>
        </w:tc>
        <w:tc>
          <w:tcPr>
            <w:tcW w:w="1377" w:type="dxa"/>
            <w:shd w:val="clear" w:color="auto" w:fill="FFFFFF" w:themeFill="background1"/>
            <w:vAlign w:val="center"/>
          </w:tcPr>
          <w:p w14:paraId="626C6552"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58.1</w:t>
            </w:r>
          </w:p>
        </w:tc>
        <w:tc>
          <w:tcPr>
            <w:tcW w:w="1377" w:type="dxa"/>
            <w:shd w:val="clear" w:color="auto" w:fill="FFFFFF" w:themeFill="background1"/>
            <w:vAlign w:val="center"/>
          </w:tcPr>
          <w:p w14:paraId="7377DEBE" w14:textId="77777777" w:rsidR="00632E5B" w:rsidRDefault="00107901" w:rsidP="00EB52C8">
            <w:pPr>
              <w:spacing w:line="240" w:lineRule="exact"/>
              <w:jc w:val="center"/>
              <w:rPr>
                <w:rFonts w:ascii="宋体" w:eastAsia="宋体" w:hAnsi="宋体" w:cs="宋体" w:hint="eastAsia"/>
                <w:sz w:val="18"/>
                <w:szCs w:val="18"/>
              </w:rPr>
            </w:pPr>
            <w:r>
              <w:rPr>
                <w:rFonts w:ascii="宋体" w:eastAsia="宋体" w:hAnsi="宋体" w:cs="宋体"/>
                <w:sz w:val="18"/>
                <w:szCs w:val="18"/>
              </w:rPr>
              <w:t>否</w:t>
            </w:r>
          </w:p>
        </w:tc>
      </w:tr>
      <w:tr w:rsidR="00632E5B" w14:paraId="5E844BDB" w14:textId="77777777" w:rsidTr="00CB6FD6">
        <w:trPr>
          <w:trHeight w:val="240"/>
        </w:trPr>
        <w:tc>
          <w:tcPr>
            <w:tcW w:w="1732" w:type="dxa"/>
            <w:shd w:val="clear" w:color="auto" w:fill="FFFFFF" w:themeFill="background1"/>
            <w:vAlign w:val="center"/>
          </w:tcPr>
          <w:p w14:paraId="67263399"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709" w:type="dxa"/>
            <w:shd w:val="clear" w:color="auto" w:fill="FFFFFF" w:themeFill="background1"/>
            <w:vAlign w:val="center"/>
          </w:tcPr>
          <w:p w14:paraId="3F9655F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709" w:type="dxa"/>
            <w:shd w:val="clear" w:color="auto" w:fill="FFFFFF" w:themeFill="background1"/>
            <w:vAlign w:val="center"/>
          </w:tcPr>
          <w:p w14:paraId="056DA9D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2358" w:type="dxa"/>
            <w:shd w:val="clear" w:color="auto" w:fill="FFFFFF" w:themeFill="background1"/>
            <w:vAlign w:val="center"/>
          </w:tcPr>
          <w:p w14:paraId="5B19A2A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1377" w:type="dxa"/>
            <w:shd w:val="clear" w:color="auto" w:fill="FFFFFF" w:themeFill="background1"/>
            <w:vAlign w:val="center"/>
          </w:tcPr>
          <w:p w14:paraId="0180C83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1377" w:type="dxa"/>
            <w:shd w:val="clear" w:color="auto" w:fill="FFFFFF" w:themeFill="background1"/>
            <w:vAlign w:val="center"/>
          </w:tcPr>
          <w:p w14:paraId="448CC123" w14:textId="77777777" w:rsidR="00632E5B" w:rsidRDefault="00107901" w:rsidP="00F1290F">
            <w:pPr>
              <w:spacing w:line="240" w:lineRule="exact"/>
              <w:jc w:val="center"/>
              <w:rPr>
                <w:rFonts w:ascii="宋体" w:eastAsia="宋体" w:hAnsi="宋体" w:cs="宋体" w:hint="eastAsia"/>
                <w:sz w:val="18"/>
                <w:szCs w:val="18"/>
              </w:rPr>
            </w:pPr>
            <w:r>
              <w:rPr>
                <w:rFonts w:ascii="宋体" w:eastAsia="宋体" w:hAnsi="宋体" w:cs="宋体"/>
                <w:sz w:val="18"/>
                <w:szCs w:val="18"/>
              </w:rPr>
              <w:t>1,009.32</w:t>
            </w:r>
          </w:p>
        </w:tc>
        <w:tc>
          <w:tcPr>
            <w:tcW w:w="1377" w:type="dxa"/>
            <w:shd w:val="clear" w:color="auto" w:fill="FFFFFF" w:themeFill="background1"/>
            <w:vAlign w:val="center"/>
          </w:tcPr>
          <w:p w14:paraId="66DA448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r>
    </w:tbl>
    <w:p w14:paraId="145EF5B7"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其他情况说明</w:t>
      </w:r>
    </w:p>
    <w:p w14:paraId="1A052933"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530A5A73" w14:textId="77777777" w:rsidR="00632E5B" w:rsidRDefault="00107901">
      <w:pPr>
        <w:pStyle w:val="2"/>
        <w:spacing w:before="300" w:after="300" w:line="320" w:lineRule="exact"/>
        <w:rPr>
          <w:rFonts w:ascii="宋体" w:eastAsia="宋体" w:hAnsi="宋体" w:cs="宋体" w:hint="eastAsia"/>
          <w:b/>
          <w:bCs/>
          <w:sz w:val="24"/>
          <w:szCs w:val="24"/>
        </w:rPr>
      </w:pPr>
      <w:bookmarkStart w:id="67" w:name="_Toc988956"/>
      <w:r>
        <w:rPr>
          <w:rFonts w:ascii="宋体" w:eastAsia="宋体" w:hAnsi="宋体" w:cs="宋体"/>
          <w:b/>
          <w:bCs/>
          <w:sz w:val="24"/>
          <w:szCs w:val="24"/>
        </w:rPr>
        <w:t>六、报告期内董事履行职责的情况</w:t>
      </w:r>
      <w:bookmarkEnd w:id="67"/>
    </w:p>
    <w:p w14:paraId="4F3CCE36" w14:textId="77777777" w:rsidR="00632E5B" w:rsidRDefault="00107901">
      <w:pPr>
        <w:pStyle w:val="3"/>
        <w:spacing w:line="280" w:lineRule="exact"/>
        <w:jc w:val="left"/>
        <w:rPr>
          <w:rFonts w:ascii="宋体" w:hAnsi="宋体" w:cs="宋体" w:hint="eastAsia"/>
          <w:b/>
          <w:bCs/>
        </w:rPr>
      </w:pPr>
      <w:bookmarkStart w:id="68" w:name="_Toc988957"/>
      <w:r>
        <w:rPr>
          <w:rFonts w:ascii="宋体" w:hAnsi="宋体" w:cs="宋体"/>
          <w:b/>
          <w:bCs/>
        </w:rPr>
        <w:t>1、本报告期董事会情况</w:t>
      </w:r>
      <w:bookmarkEnd w:id="68"/>
    </w:p>
    <w:tbl>
      <w:tblPr>
        <w:tblW w:w="92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2409"/>
        <w:gridCol w:w="1449"/>
        <w:gridCol w:w="1560"/>
        <w:gridCol w:w="3827"/>
      </w:tblGrid>
      <w:tr w:rsidR="00632E5B" w14:paraId="09C3CA20" w14:textId="77777777" w:rsidTr="00CB6FD6">
        <w:trPr>
          <w:trHeight w:val="240"/>
        </w:trPr>
        <w:tc>
          <w:tcPr>
            <w:tcW w:w="2409" w:type="dxa"/>
            <w:shd w:val="clear" w:color="auto" w:fill="FFFFFF" w:themeFill="background1"/>
            <w:vAlign w:val="center"/>
          </w:tcPr>
          <w:p w14:paraId="6ABFBEB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会议届次</w:t>
            </w:r>
          </w:p>
        </w:tc>
        <w:tc>
          <w:tcPr>
            <w:tcW w:w="1449" w:type="dxa"/>
            <w:shd w:val="clear" w:color="auto" w:fill="FFFFFF" w:themeFill="background1"/>
            <w:vAlign w:val="center"/>
          </w:tcPr>
          <w:p w14:paraId="5903544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召开日期</w:t>
            </w:r>
          </w:p>
        </w:tc>
        <w:tc>
          <w:tcPr>
            <w:tcW w:w="1560" w:type="dxa"/>
            <w:shd w:val="clear" w:color="auto" w:fill="FFFFFF" w:themeFill="background1"/>
            <w:vAlign w:val="center"/>
          </w:tcPr>
          <w:p w14:paraId="6FC6238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披露日期</w:t>
            </w:r>
          </w:p>
        </w:tc>
        <w:tc>
          <w:tcPr>
            <w:tcW w:w="3827" w:type="dxa"/>
            <w:shd w:val="clear" w:color="auto" w:fill="FFFFFF" w:themeFill="background1"/>
            <w:vAlign w:val="center"/>
          </w:tcPr>
          <w:p w14:paraId="1F4DE12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会议决议</w:t>
            </w:r>
          </w:p>
        </w:tc>
      </w:tr>
      <w:tr w:rsidR="00632E5B" w14:paraId="47E9002A" w14:textId="77777777" w:rsidTr="00CB6FD6">
        <w:trPr>
          <w:trHeight w:val="240"/>
        </w:trPr>
        <w:tc>
          <w:tcPr>
            <w:tcW w:w="2409" w:type="dxa"/>
            <w:shd w:val="clear" w:color="auto" w:fill="FFFFFF" w:themeFill="background1"/>
            <w:vAlign w:val="center"/>
          </w:tcPr>
          <w:p w14:paraId="372DD42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第六届董事会2024年第一次临时会议</w:t>
            </w:r>
          </w:p>
        </w:tc>
        <w:tc>
          <w:tcPr>
            <w:tcW w:w="1449" w:type="dxa"/>
            <w:shd w:val="clear" w:color="auto" w:fill="FFFFFF" w:themeFill="background1"/>
            <w:vAlign w:val="center"/>
          </w:tcPr>
          <w:p w14:paraId="74302A7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2024年02月29日</w:t>
            </w:r>
          </w:p>
        </w:tc>
        <w:tc>
          <w:tcPr>
            <w:tcW w:w="1560" w:type="dxa"/>
            <w:shd w:val="clear" w:color="auto" w:fill="FFFFFF" w:themeFill="background1"/>
            <w:vAlign w:val="center"/>
          </w:tcPr>
          <w:p w14:paraId="76DAED3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2024年03月01日</w:t>
            </w:r>
          </w:p>
        </w:tc>
        <w:tc>
          <w:tcPr>
            <w:tcW w:w="3827" w:type="dxa"/>
            <w:shd w:val="clear" w:color="auto" w:fill="FFFFFF" w:themeFill="background1"/>
            <w:vAlign w:val="center"/>
          </w:tcPr>
          <w:p w14:paraId="47CABE0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《第六届董事会2024年第一次临时会议决议公告》（公告编号：2024-011）刊登于巨潮资讯网（www.cninfo.com.cn)</w:t>
            </w:r>
          </w:p>
        </w:tc>
      </w:tr>
      <w:tr w:rsidR="00632E5B" w14:paraId="33A7C308" w14:textId="77777777" w:rsidTr="00CB6FD6">
        <w:trPr>
          <w:trHeight w:val="240"/>
        </w:trPr>
        <w:tc>
          <w:tcPr>
            <w:tcW w:w="2409" w:type="dxa"/>
            <w:shd w:val="clear" w:color="auto" w:fill="FFFFFF" w:themeFill="background1"/>
            <w:vAlign w:val="center"/>
          </w:tcPr>
          <w:p w14:paraId="50B81B2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第六届董事会第七次会议</w:t>
            </w:r>
          </w:p>
        </w:tc>
        <w:tc>
          <w:tcPr>
            <w:tcW w:w="1449" w:type="dxa"/>
            <w:shd w:val="clear" w:color="auto" w:fill="FFFFFF" w:themeFill="background1"/>
            <w:vAlign w:val="center"/>
          </w:tcPr>
          <w:p w14:paraId="41F5B2F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2024年04月23日</w:t>
            </w:r>
          </w:p>
        </w:tc>
        <w:tc>
          <w:tcPr>
            <w:tcW w:w="1560" w:type="dxa"/>
            <w:shd w:val="clear" w:color="auto" w:fill="FFFFFF" w:themeFill="background1"/>
            <w:vAlign w:val="center"/>
          </w:tcPr>
          <w:p w14:paraId="09DF1F0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2024年04月24日</w:t>
            </w:r>
          </w:p>
        </w:tc>
        <w:tc>
          <w:tcPr>
            <w:tcW w:w="3827" w:type="dxa"/>
            <w:shd w:val="clear" w:color="auto" w:fill="FFFFFF" w:themeFill="background1"/>
            <w:vAlign w:val="center"/>
          </w:tcPr>
          <w:p w14:paraId="4FB6D21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《第六届董事会第七次会议决议公告》（公告编号：2024-030）刊登于巨潮资讯网（www.cninfo.com.cn)</w:t>
            </w:r>
          </w:p>
        </w:tc>
      </w:tr>
      <w:tr w:rsidR="00632E5B" w14:paraId="48B3EE86" w14:textId="77777777" w:rsidTr="00CB6FD6">
        <w:trPr>
          <w:trHeight w:val="240"/>
        </w:trPr>
        <w:tc>
          <w:tcPr>
            <w:tcW w:w="2409" w:type="dxa"/>
            <w:shd w:val="clear" w:color="auto" w:fill="FFFFFF" w:themeFill="background1"/>
            <w:vAlign w:val="center"/>
          </w:tcPr>
          <w:p w14:paraId="45F1E69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第六届董事会第八次会议</w:t>
            </w:r>
          </w:p>
        </w:tc>
        <w:tc>
          <w:tcPr>
            <w:tcW w:w="1449" w:type="dxa"/>
            <w:shd w:val="clear" w:color="auto" w:fill="FFFFFF" w:themeFill="background1"/>
            <w:vAlign w:val="center"/>
          </w:tcPr>
          <w:p w14:paraId="6C28232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2024年04月29日</w:t>
            </w:r>
          </w:p>
        </w:tc>
        <w:tc>
          <w:tcPr>
            <w:tcW w:w="1560" w:type="dxa"/>
            <w:shd w:val="clear" w:color="auto" w:fill="FFFFFF" w:themeFill="background1"/>
            <w:vAlign w:val="center"/>
          </w:tcPr>
          <w:p w14:paraId="5AD918A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2024年04月30日</w:t>
            </w:r>
          </w:p>
        </w:tc>
        <w:tc>
          <w:tcPr>
            <w:tcW w:w="3827" w:type="dxa"/>
            <w:shd w:val="clear" w:color="auto" w:fill="FFFFFF" w:themeFill="background1"/>
            <w:vAlign w:val="center"/>
          </w:tcPr>
          <w:p w14:paraId="5594CE1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审议通过了公司《2024年第一季度报告》刊登于巨潮资讯网（www.cninfo.com.cn)</w:t>
            </w:r>
          </w:p>
        </w:tc>
      </w:tr>
      <w:tr w:rsidR="00632E5B" w14:paraId="619E0B28" w14:textId="77777777" w:rsidTr="00CB6FD6">
        <w:trPr>
          <w:trHeight w:val="240"/>
        </w:trPr>
        <w:tc>
          <w:tcPr>
            <w:tcW w:w="2409" w:type="dxa"/>
            <w:shd w:val="clear" w:color="auto" w:fill="FFFFFF" w:themeFill="background1"/>
            <w:vAlign w:val="center"/>
          </w:tcPr>
          <w:p w14:paraId="39D2692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第六届董事会2024年第二次临时会议</w:t>
            </w:r>
          </w:p>
        </w:tc>
        <w:tc>
          <w:tcPr>
            <w:tcW w:w="1449" w:type="dxa"/>
            <w:shd w:val="clear" w:color="auto" w:fill="FFFFFF" w:themeFill="background1"/>
            <w:vAlign w:val="center"/>
          </w:tcPr>
          <w:p w14:paraId="58194BF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2024年06月17日</w:t>
            </w:r>
          </w:p>
        </w:tc>
        <w:tc>
          <w:tcPr>
            <w:tcW w:w="1560" w:type="dxa"/>
            <w:shd w:val="clear" w:color="auto" w:fill="FFFFFF" w:themeFill="background1"/>
            <w:vAlign w:val="center"/>
          </w:tcPr>
          <w:p w14:paraId="5D844F8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2024年06月18日</w:t>
            </w:r>
          </w:p>
        </w:tc>
        <w:tc>
          <w:tcPr>
            <w:tcW w:w="3827" w:type="dxa"/>
            <w:shd w:val="clear" w:color="auto" w:fill="FFFFFF" w:themeFill="background1"/>
            <w:vAlign w:val="center"/>
          </w:tcPr>
          <w:p w14:paraId="37EB86C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《第六届董事会2024年第二次临时会议决议公告》（公告编号：2024-061）刊登于巨潮资讯网（www.cninfo.com.cn)</w:t>
            </w:r>
          </w:p>
        </w:tc>
      </w:tr>
      <w:tr w:rsidR="00632E5B" w14:paraId="573AE717" w14:textId="77777777" w:rsidTr="00CB6FD6">
        <w:trPr>
          <w:trHeight w:val="240"/>
        </w:trPr>
        <w:tc>
          <w:tcPr>
            <w:tcW w:w="2409" w:type="dxa"/>
            <w:shd w:val="clear" w:color="auto" w:fill="FFFFFF" w:themeFill="background1"/>
            <w:vAlign w:val="center"/>
          </w:tcPr>
          <w:p w14:paraId="071EE45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第六届董事会2024年第三次临时会议</w:t>
            </w:r>
          </w:p>
        </w:tc>
        <w:tc>
          <w:tcPr>
            <w:tcW w:w="1449" w:type="dxa"/>
            <w:shd w:val="clear" w:color="auto" w:fill="FFFFFF" w:themeFill="background1"/>
            <w:vAlign w:val="center"/>
          </w:tcPr>
          <w:p w14:paraId="472A72C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2024年08月12日</w:t>
            </w:r>
          </w:p>
        </w:tc>
        <w:tc>
          <w:tcPr>
            <w:tcW w:w="1560" w:type="dxa"/>
            <w:shd w:val="clear" w:color="auto" w:fill="FFFFFF" w:themeFill="background1"/>
            <w:vAlign w:val="center"/>
          </w:tcPr>
          <w:p w14:paraId="4283588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2024年08月13日</w:t>
            </w:r>
          </w:p>
        </w:tc>
        <w:tc>
          <w:tcPr>
            <w:tcW w:w="3827" w:type="dxa"/>
            <w:shd w:val="clear" w:color="auto" w:fill="FFFFFF" w:themeFill="background1"/>
            <w:vAlign w:val="center"/>
          </w:tcPr>
          <w:p w14:paraId="43E8DB8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《第六届董事会2024年第三次临时会议决议公告》（公告编号：2024-075）刊登于巨潮资讯网（www.cninfo.com.cn)</w:t>
            </w:r>
          </w:p>
        </w:tc>
      </w:tr>
      <w:tr w:rsidR="00632E5B" w14:paraId="22EC1450" w14:textId="77777777" w:rsidTr="00CB6FD6">
        <w:trPr>
          <w:trHeight w:val="240"/>
        </w:trPr>
        <w:tc>
          <w:tcPr>
            <w:tcW w:w="2409" w:type="dxa"/>
            <w:shd w:val="clear" w:color="auto" w:fill="FFFFFF" w:themeFill="background1"/>
            <w:vAlign w:val="center"/>
          </w:tcPr>
          <w:p w14:paraId="09C052C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第六届董事会第九次会议</w:t>
            </w:r>
          </w:p>
        </w:tc>
        <w:tc>
          <w:tcPr>
            <w:tcW w:w="1449" w:type="dxa"/>
            <w:shd w:val="clear" w:color="auto" w:fill="FFFFFF" w:themeFill="background1"/>
            <w:vAlign w:val="center"/>
          </w:tcPr>
          <w:p w14:paraId="32341B3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2024年08月20日</w:t>
            </w:r>
          </w:p>
        </w:tc>
        <w:tc>
          <w:tcPr>
            <w:tcW w:w="1560" w:type="dxa"/>
            <w:shd w:val="clear" w:color="auto" w:fill="FFFFFF" w:themeFill="background1"/>
            <w:vAlign w:val="center"/>
          </w:tcPr>
          <w:p w14:paraId="140604E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2024年08月21日</w:t>
            </w:r>
          </w:p>
        </w:tc>
        <w:tc>
          <w:tcPr>
            <w:tcW w:w="3827" w:type="dxa"/>
            <w:shd w:val="clear" w:color="auto" w:fill="FFFFFF" w:themeFill="background1"/>
            <w:vAlign w:val="center"/>
          </w:tcPr>
          <w:p w14:paraId="45F6AA3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《第六届董事会第九次会议决议公告》（公告编号：2024-079）刊登于巨潮资讯网（www.cninfo.com.cn)</w:t>
            </w:r>
          </w:p>
        </w:tc>
      </w:tr>
      <w:tr w:rsidR="00632E5B" w14:paraId="045AE71F" w14:textId="77777777" w:rsidTr="00CB6FD6">
        <w:trPr>
          <w:trHeight w:val="240"/>
        </w:trPr>
        <w:tc>
          <w:tcPr>
            <w:tcW w:w="2409" w:type="dxa"/>
            <w:shd w:val="clear" w:color="auto" w:fill="FFFFFF" w:themeFill="background1"/>
            <w:vAlign w:val="center"/>
          </w:tcPr>
          <w:p w14:paraId="55D3F3D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第六届董事会2024年第四次临时会议</w:t>
            </w:r>
          </w:p>
        </w:tc>
        <w:tc>
          <w:tcPr>
            <w:tcW w:w="1449" w:type="dxa"/>
            <w:shd w:val="clear" w:color="auto" w:fill="FFFFFF" w:themeFill="background1"/>
            <w:vAlign w:val="center"/>
          </w:tcPr>
          <w:p w14:paraId="3F3F44F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2024年09月20日</w:t>
            </w:r>
          </w:p>
        </w:tc>
        <w:tc>
          <w:tcPr>
            <w:tcW w:w="1560" w:type="dxa"/>
            <w:shd w:val="clear" w:color="auto" w:fill="FFFFFF" w:themeFill="background1"/>
            <w:vAlign w:val="center"/>
          </w:tcPr>
          <w:p w14:paraId="7945B63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2024年09月23日</w:t>
            </w:r>
          </w:p>
        </w:tc>
        <w:tc>
          <w:tcPr>
            <w:tcW w:w="3827" w:type="dxa"/>
            <w:shd w:val="clear" w:color="auto" w:fill="FFFFFF" w:themeFill="background1"/>
            <w:vAlign w:val="center"/>
          </w:tcPr>
          <w:p w14:paraId="026C007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《第六届董事会2024年第四次临时会议决议公告》（公告编号：2024-089）刊登于巨潮资讯网（www.cninfo.com.cn)</w:t>
            </w:r>
          </w:p>
        </w:tc>
      </w:tr>
      <w:tr w:rsidR="00632E5B" w14:paraId="4ACAC036" w14:textId="77777777" w:rsidTr="00CB6FD6">
        <w:trPr>
          <w:trHeight w:val="240"/>
        </w:trPr>
        <w:tc>
          <w:tcPr>
            <w:tcW w:w="2409" w:type="dxa"/>
            <w:shd w:val="clear" w:color="auto" w:fill="FFFFFF" w:themeFill="background1"/>
            <w:vAlign w:val="center"/>
          </w:tcPr>
          <w:p w14:paraId="2E61367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第六届董事会第十次会议</w:t>
            </w:r>
          </w:p>
        </w:tc>
        <w:tc>
          <w:tcPr>
            <w:tcW w:w="1449" w:type="dxa"/>
            <w:shd w:val="clear" w:color="auto" w:fill="FFFFFF" w:themeFill="background1"/>
            <w:vAlign w:val="center"/>
          </w:tcPr>
          <w:p w14:paraId="6273C93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2024年10月28日</w:t>
            </w:r>
          </w:p>
        </w:tc>
        <w:tc>
          <w:tcPr>
            <w:tcW w:w="1560" w:type="dxa"/>
            <w:shd w:val="clear" w:color="auto" w:fill="FFFFFF" w:themeFill="background1"/>
            <w:vAlign w:val="center"/>
          </w:tcPr>
          <w:p w14:paraId="0EFB2AF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2024年10月29日</w:t>
            </w:r>
          </w:p>
        </w:tc>
        <w:tc>
          <w:tcPr>
            <w:tcW w:w="3827" w:type="dxa"/>
            <w:shd w:val="clear" w:color="auto" w:fill="FFFFFF" w:themeFill="background1"/>
            <w:vAlign w:val="center"/>
          </w:tcPr>
          <w:p w14:paraId="54AB4D8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《第六届董事会第十次会议决议公告》（公告编号：2024-102）刊登于巨潮资讯网（www.cninfo.com.cn)</w:t>
            </w:r>
          </w:p>
        </w:tc>
      </w:tr>
      <w:tr w:rsidR="00632E5B" w14:paraId="64EECC8F" w14:textId="77777777" w:rsidTr="00CB6FD6">
        <w:trPr>
          <w:trHeight w:val="240"/>
        </w:trPr>
        <w:tc>
          <w:tcPr>
            <w:tcW w:w="2409" w:type="dxa"/>
            <w:shd w:val="clear" w:color="auto" w:fill="FFFFFF" w:themeFill="background1"/>
            <w:vAlign w:val="center"/>
          </w:tcPr>
          <w:p w14:paraId="5F3CB4F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第六届董事会2024年第五次临时会议</w:t>
            </w:r>
          </w:p>
        </w:tc>
        <w:tc>
          <w:tcPr>
            <w:tcW w:w="1449" w:type="dxa"/>
            <w:shd w:val="clear" w:color="auto" w:fill="FFFFFF" w:themeFill="background1"/>
            <w:vAlign w:val="center"/>
          </w:tcPr>
          <w:p w14:paraId="36F7C11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2024年11月18日</w:t>
            </w:r>
          </w:p>
        </w:tc>
        <w:tc>
          <w:tcPr>
            <w:tcW w:w="1560" w:type="dxa"/>
            <w:shd w:val="clear" w:color="auto" w:fill="FFFFFF" w:themeFill="background1"/>
            <w:vAlign w:val="center"/>
          </w:tcPr>
          <w:p w14:paraId="59B7B39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2024年11月19日</w:t>
            </w:r>
          </w:p>
        </w:tc>
        <w:tc>
          <w:tcPr>
            <w:tcW w:w="3827" w:type="dxa"/>
            <w:shd w:val="clear" w:color="auto" w:fill="FFFFFF" w:themeFill="background1"/>
            <w:vAlign w:val="center"/>
          </w:tcPr>
          <w:p w14:paraId="7771D46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《第六届董事会2024年第五次临时会议决议公告》（公告编号：2024-120）刊登于巨潮资讯网（www.cninfo.com.cn)</w:t>
            </w:r>
          </w:p>
        </w:tc>
      </w:tr>
    </w:tbl>
    <w:p w14:paraId="382A7313" w14:textId="77777777" w:rsidR="00632E5B" w:rsidRDefault="00107901">
      <w:pPr>
        <w:pStyle w:val="3"/>
        <w:spacing w:line="280" w:lineRule="exact"/>
        <w:jc w:val="left"/>
        <w:rPr>
          <w:rFonts w:ascii="宋体" w:hAnsi="宋体" w:cs="宋体" w:hint="eastAsia"/>
          <w:b/>
          <w:bCs/>
        </w:rPr>
      </w:pPr>
      <w:bookmarkStart w:id="69" w:name="_Toc988958"/>
      <w:r>
        <w:rPr>
          <w:rFonts w:ascii="宋体" w:hAnsi="宋体" w:cs="宋体"/>
          <w:b/>
          <w:bCs/>
        </w:rPr>
        <w:lastRenderedPageBreak/>
        <w:t>2、董事出席董事会及股东大会的情况</w:t>
      </w:r>
      <w:bookmarkEnd w:id="69"/>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204"/>
        <w:gridCol w:w="1205"/>
        <w:gridCol w:w="1205"/>
        <w:gridCol w:w="1205"/>
        <w:gridCol w:w="1205"/>
        <w:gridCol w:w="1205"/>
        <w:gridCol w:w="1205"/>
        <w:gridCol w:w="1205"/>
      </w:tblGrid>
      <w:tr w:rsidR="00632E5B" w14:paraId="009B6A2D" w14:textId="77777777" w:rsidTr="00CB6FD6">
        <w:trPr>
          <w:trHeight w:val="240"/>
        </w:trPr>
        <w:tc>
          <w:tcPr>
            <w:tcW w:w="9639" w:type="dxa"/>
            <w:gridSpan w:val="8"/>
            <w:shd w:val="clear" w:color="auto" w:fill="FFFFFF" w:themeFill="background1"/>
            <w:vAlign w:val="center"/>
          </w:tcPr>
          <w:p w14:paraId="4F8D73A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董事出席董事会及股东大会的情况</w:t>
            </w:r>
          </w:p>
        </w:tc>
      </w:tr>
      <w:tr w:rsidR="00632E5B" w14:paraId="11F00A67" w14:textId="77777777" w:rsidTr="00CB6FD6">
        <w:trPr>
          <w:trHeight w:val="240"/>
        </w:trPr>
        <w:tc>
          <w:tcPr>
            <w:tcW w:w="1205" w:type="dxa"/>
            <w:shd w:val="clear" w:color="auto" w:fill="FFFFFF" w:themeFill="background1"/>
            <w:vAlign w:val="center"/>
          </w:tcPr>
          <w:p w14:paraId="6544E7E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董事姓名</w:t>
            </w:r>
          </w:p>
        </w:tc>
        <w:tc>
          <w:tcPr>
            <w:tcW w:w="1205" w:type="dxa"/>
            <w:shd w:val="clear" w:color="auto" w:fill="FFFFFF" w:themeFill="background1"/>
            <w:vAlign w:val="center"/>
          </w:tcPr>
          <w:p w14:paraId="1F81ABE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本报告期应参加董事会次数</w:t>
            </w:r>
          </w:p>
        </w:tc>
        <w:tc>
          <w:tcPr>
            <w:tcW w:w="1205" w:type="dxa"/>
            <w:shd w:val="clear" w:color="auto" w:fill="FFFFFF" w:themeFill="background1"/>
            <w:vAlign w:val="center"/>
          </w:tcPr>
          <w:p w14:paraId="4CAC0B6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现场出席董事会次数</w:t>
            </w:r>
          </w:p>
        </w:tc>
        <w:tc>
          <w:tcPr>
            <w:tcW w:w="1205" w:type="dxa"/>
            <w:shd w:val="clear" w:color="auto" w:fill="FFFFFF" w:themeFill="background1"/>
            <w:vAlign w:val="center"/>
          </w:tcPr>
          <w:p w14:paraId="7F3DD2B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以通讯方式参加董事会次数</w:t>
            </w:r>
          </w:p>
        </w:tc>
        <w:tc>
          <w:tcPr>
            <w:tcW w:w="1205" w:type="dxa"/>
            <w:shd w:val="clear" w:color="auto" w:fill="FFFFFF" w:themeFill="background1"/>
            <w:vAlign w:val="center"/>
          </w:tcPr>
          <w:p w14:paraId="01C8C89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委托出席董事会次数</w:t>
            </w:r>
          </w:p>
        </w:tc>
        <w:tc>
          <w:tcPr>
            <w:tcW w:w="1205" w:type="dxa"/>
            <w:shd w:val="clear" w:color="auto" w:fill="FFFFFF" w:themeFill="background1"/>
            <w:vAlign w:val="center"/>
          </w:tcPr>
          <w:p w14:paraId="0EC3045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缺席董事会次数</w:t>
            </w:r>
          </w:p>
        </w:tc>
        <w:tc>
          <w:tcPr>
            <w:tcW w:w="1205" w:type="dxa"/>
            <w:shd w:val="clear" w:color="auto" w:fill="FFFFFF" w:themeFill="background1"/>
            <w:vAlign w:val="center"/>
          </w:tcPr>
          <w:p w14:paraId="6A89869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是否连续两次未亲自参加董事会会议</w:t>
            </w:r>
          </w:p>
        </w:tc>
        <w:tc>
          <w:tcPr>
            <w:tcW w:w="1205" w:type="dxa"/>
            <w:shd w:val="clear" w:color="auto" w:fill="FFFFFF" w:themeFill="background1"/>
            <w:vAlign w:val="center"/>
          </w:tcPr>
          <w:p w14:paraId="38FE618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出席股东大会次数</w:t>
            </w:r>
          </w:p>
        </w:tc>
      </w:tr>
      <w:tr w:rsidR="00632E5B" w14:paraId="4032827C" w14:textId="77777777" w:rsidTr="00CB6FD6">
        <w:trPr>
          <w:trHeight w:val="240"/>
        </w:trPr>
        <w:tc>
          <w:tcPr>
            <w:tcW w:w="1205" w:type="dxa"/>
            <w:shd w:val="clear" w:color="auto" w:fill="FFFFFF" w:themeFill="background1"/>
            <w:vAlign w:val="center"/>
          </w:tcPr>
          <w:p w14:paraId="40CBD82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王伟峰</w:t>
            </w:r>
          </w:p>
        </w:tc>
        <w:tc>
          <w:tcPr>
            <w:tcW w:w="1205" w:type="dxa"/>
            <w:shd w:val="clear" w:color="auto" w:fill="FFFFFF" w:themeFill="background1"/>
            <w:vAlign w:val="center"/>
          </w:tcPr>
          <w:p w14:paraId="673015A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w:t>
            </w:r>
          </w:p>
        </w:tc>
        <w:tc>
          <w:tcPr>
            <w:tcW w:w="1205" w:type="dxa"/>
            <w:shd w:val="clear" w:color="auto" w:fill="FFFFFF" w:themeFill="background1"/>
            <w:vAlign w:val="center"/>
          </w:tcPr>
          <w:p w14:paraId="3ABA839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w:t>
            </w:r>
          </w:p>
        </w:tc>
        <w:tc>
          <w:tcPr>
            <w:tcW w:w="1205" w:type="dxa"/>
            <w:shd w:val="clear" w:color="auto" w:fill="FFFFFF" w:themeFill="background1"/>
            <w:vAlign w:val="center"/>
          </w:tcPr>
          <w:p w14:paraId="2056803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05" w:type="dxa"/>
            <w:shd w:val="clear" w:color="auto" w:fill="FFFFFF" w:themeFill="background1"/>
            <w:vAlign w:val="center"/>
          </w:tcPr>
          <w:p w14:paraId="3180667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05" w:type="dxa"/>
            <w:shd w:val="clear" w:color="auto" w:fill="FFFFFF" w:themeFill="background1"/>
            <w:vAlign w:val="center"/>
          </w:tcPr>
          <w:p w14:paraId="25E893F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05" w:type="dxa"/>
            <w:shd w:val="clear" w:color="auto" w:fill="FFFFFF" w:themeFill="background1"/>
            <w:vAlign w:val="center"/>
          </w:tcPr>
          <w:p w14:paraId="66813A4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205" w:type="dxa"/>
            <w:shd w:val="clear" w:color="auto" w:fill="FFFFFF" w:themeFill="background1"/>
            <w:vAlign w:val="center"/>
          </w:tcPr>
          <w:p w14:paraId="06A6986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w:t>
            </w:r>
          </w:p>
        </w:tc>
      </w:tr>
      <w:tr w:rsidR="00632E5B" w14:paraId="7484A697" w14:textId="77777777" w:rsidTr="00CB6FD6">
        <w:trPr>
          <w:trHeight w:val="240"/>
        </w:trPr>
        <w:tc>
          <w:tcPr>
            <w:tcW w:w="1205" w:type="dxa"/>
            <w:shd w:val="clear" w:color="auto" w:fill="FFFFFF" w:themeFill="background1"/>
            <w:vAlign w:val="center"/>
          </w:tcPr>
          <w:p w14:paraId="6CC4B6A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陈辉</w:t>
            </w:r>
          </w:p>
        </w:tc>
        <w:tc>
          <w:tcPr>
            <w:tcW w:w="1205" w:type="dxa"/>
            <w:shd w:val="clear" w:color="auto" w:fill="FFFFFF" w:themeFill="background1"/>
            <w:vAlign w:val="center"/>
          </w:tcPr>
          <w:p w14:paraId="51A0C65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w:t>
            </w:r>
          </w:p>
        </w:tc>
        <w:tc>
          <w:tcPr>
            <w:tcW w:w="1205" w:type="dxa"/>
            <w:shd w:val="clear" w:color="auto" w:fill="FFFFFF" w:themeFill="background1"/>
            <w:vAlign w:val="center"/>
          </w:tcPr>
          <w:p w14:paraId="1FE5DA2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w:t>
            </w:r>
          </w:p>
        </w:tc>
        <w:tc>
          <w:tcPr>
            <w:tcW w:w="1205" w:type="dxa"/>
            <w:shd w:val="clear" w:color="auto" w:fill="FFFFFF" w:themeFill="background1"/>
            <w:vAlign w:val="center"/>
          </w:tcPr>
          <w:p w14:paraId="4FEE451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05" w:type="dxa"/>
            <w:shd w:val="clear" w:color="auto" w:fill="FFFFFF" w:themeFill="background1"/>
            <w:vAlign w:val="center"/>
          </w:tcPr>
          <w:p w14:paraId="02DD24B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05" w:type="dxa"/>
            <w:shd w:val="clear" w:color="auto" w:fill="FFFFFF" w:themeFill="background1"/>
            <w:vAlign w:val="center"/>
          </w:tcPr>
          <w:p w14:paraId="78D5BA5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05" w:type="dxa"/>
            <w:shd w:val="clear" w:color="auto" w:fill="FFFFFF" w:themeFill="background1"/>
            <w:vAlign w:val="center"/>
          </w:tcPr>
          <w:p w14:paraId="3A5AC19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205" w:type="dxa"/>
            <w:shd w:val="clear" w:color="auto" w:fill="FFFFFF" w:themeFill="background1"/>
            <w:vAlign w:val="center"/>
          </w:tcPr>
          <w:p w14:paraId="46C0FBB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w:t>
            </w:r>
          </w:p>
        </w:tc>
      </w:tr>
      <w:tr w:rsidR="00632E5B" w14:paraId="702E46FA" w14:textId="77777777" w:rsidTr="00CB6FD6">
        <w:trPr>
          <w:trHeight w:val="240"/>
        </w:trPr>
        <w:tc>
          <w:tcPr>
            <w:tcW w:w="1205" w:type="dxa"/>
            <w:shd w:val="clear" w:color="auto" w:fill="FFFFFF" w:themeFill="background1"/>
            <w:vAlign w:val="center"/>
          </w:tcPr>
          <w:p w14:paraId="1FF7E14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陈波瀚</w:t>
            </w:r>
          </w:p>
        </w:tc>
        <w:tc>
          <w:tcPr>
            <w:tcW w:w="1205" w:type="dxa"/>
            <w:shd w:val="clear" w:color="auto" w:fill="FFFFFF" w:themeFill="background1"/>
            <w:vAlign w:val="center"/>
          </w:tcPr>
          <w:p w14:paraId="0389FBF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w:t>
            </w:r>
          </w:p>
        </w:tc>
        <w:tc>
          <w:tcPr>
            <w:tcW w:w="1205" w:type="dxa"/>
            <w:shd w:val="clear" w:color="auto" w:fill="FFFFFF" w:themeFill="background1"/>
            <w:vAlign w:val="center"/>
          </w:tcPr>
          <w:p w14:paraId="5F9516A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w:t>
            </w:r>
          </w:p>
        </w:tc>
        <w:tc>
          <w:tcPr>
            <w:tcW w:w="1205" w:type="dxa"/>
            <w:shd w:val="clear" w:color="auto" w:fill="FFFFFF" w:themeFill="background1"/>
            <w:vAlign w:val="center"/>
          </w:tcPr>
          <w:p w14:paraId="7592637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05" w:type="dxa"/>
            <w:shd w:val="clear" w:color="auto" w:fill="FFFFFF" w:themeFill="background1"/>
            <w:vAlign w:val="center"/>
          </w:tcPr>
          <w:p w14:paraId="0BFF074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05" w:type="dxa"/>
            <w:shd w:val="clear" w:color="auto" w:fill="FFFFFF" w:themeFill="background1"/>
            <w:vAlign w:val="center"/>
          </w:tcPr>
          <w:p w14:paraId="51C60A7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05" w:type="dxa"/>
            <w:shd w:val="clear" w:color="auto" w:fill="FFFFFF" w:themeFill="background1"/>
            <w:vAlign w:val="center"/>
          </w:tcPr>
          <w:p w14:paraId="358CB73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205" w:type="dxa"/>
            <w:shd w:val="clear" w:color="auto" w:fill="FFFFFF" w:themeFill="background1"/>
            <w:vAlign w:val="center"/>
          </w:tcPr>
          <w:p w14:paraId="725CE0F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w:t>
            </w:r>
          </w:p>
        </w:tc>
      </w:tr>
      <w:tr w:rsidR="00632E5B" w14:paraId="37C2A720" w14:textId="77777777" w:rsidTr="00CB6FD6">
        <w:trPr>
          <w:trHeight w:val="240"/>
        </w:trPr>
        <w:tc>
          <w:tcPr>
            <w:tcW w:w="1205" w:type="dxa"/>
            <w:shd w:val="clear" w:color="auto" w:fill="FFFFFF" w:themeFill="background1"/>
            <w:vAlign w:val="center"/>
          </w:tcPr>
          <w:p w14:paraId="3A65E55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陈昆</w:t>
            </w:r>
          </w:p>
        </w:tc>
        <w:tc>
          <w:tcPr>
            <w:tcW w:w="1205" w:type="dxa"/>
            <w:shd w:val="clear" w:color="auto" w:fill="FFFFFF" w:themeFill="background1"/>
            <w:vAlign w:val="center"/>
          </w:tcPr>
          <w:p w14:paraId="721B686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w:t>
            </w:r>
          </w:p>
        </w:tc>
        <w:tc>
          <w:tcPr>
            <w:tcW w:w="1205" w:type="dxa"/>
            <w:shd w:val="clear" w:color="auto" w:fill="FFFFFF" w:themeFill="background1"/>
            <w:vAlign w:val="center"/>
          </w:tcPr>
          <w:p w14:paraId="2081540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w:t>
            </w:r>
          </w:p>
        </w:tc>
        <w:tc>
          <w:tcPr>
            <w:tcW w:w="1205" w:type="dxa"/>
            <w:shd w:val="clear" w:color="auto" w:fill="FFFFFF" w:themeFill="background1"/>
            <w:vAlign w:val="center"/>
          </w:tcPr>
          <w:p w14:paraId="1C810F9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w:t>
            </w:r>
          </w:p>
        </w:tc>
        <w:tc>
          <w:tcPr>
            <w:tcW w:w="1205" w:type="dxa"/>
            <w:shd w:val="clear" w:color="auto" w:fill="FFFFFF" w:themeFill="background1"/>
            <w:vAlign w:val="center"/>
          </w:tcPr>
          <w:p w14:paraId="1E3F200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05" w:type="dxa"/>
            <w:shd w:val="clear" w:color="auto" w:fill="FFFFFF" w:themeFill="background1"/>
            <w:vAlign w:val="center"/>
          </w:tcPr>
          <w:p w14:paraId="76BC1A5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05" w:type="dxa"/>
            <w:shd w:val="clear" w:color="auto" w:fill="FFFFFF" w:themeFill="background1"/>
            <w:vAlign w:val="center"/>
          </w:tcPr>
          <w:p w14:paraId="294B29C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205" w:type="dxa"/>
            <w:shd w:val="clear" w:color="auto" w:fill="FFFFFF" w:themeFill="background1"/>
            <w:vAlign w:val="center"/>
          </w:tcPr>
          <w:p w14:paraId="438DF37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w:t>
            </w:r>
          </w:p>
        </w:tc>
      </w:tr>
      <w:tr w:rsidR="00632E5B" w14:paraId="320F72BB" w14:textId="77777777" w:rsidTr="00CB6FD6">
        <w:trPr>
          <w:trHeight w:val="240"/>
        </w:trPr>
        <w:tc>
          <w:tcPr>
            <w:tcW w:w="1205" w:type="dxa"/>
            <w:shd w:val="clear" w:color="auto" w:fill="FFFFFF" w:themeFill="background1"/>
            <w:vAlign w:val="center"/>
          </w:tcPr>
          <w:p w14:paraId="4192509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程娴</w:t>
            </w:r>
          </w:p>
        </w:tc>
        <w:tc>
          <w:tcPr>
            <w:tcW w:w="1205" w:type="dxa"/>
            <w:shd w:val="clear" w:color="auto" w:fill="FFFFFF" w:themeFill="background1"/>
            <w:vAlign w:val="center"/>
          </w:tcPr>
          <w:p w14:paraId="252B76A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w:t>
            </w:r>
          </w:p>
        </w:tc>
        <w:tc>
          <w:tcPr>
            <w:tcW w:w="1205" w:type="dxa"/>
            <w:shd w:val="clear" w:color="auto" w:fill="FFFFFF" w:themeFill="background1"/>
            <w:vAlign w:val="center"/>
          </w:tcPr>
          <w:p w14:paraId="0F73691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w:t>
            </w:r>
          </w:p>
        </w:tc>
        <w:tc>
          <w:tcPr>
            <w:tcW w:w="1205" w:type="dxa"/>
            <w:shd w:val="clear" w:color="auto" w:fill="FFFFFF" w:themeFill="background1"/>
            <w:vAlign w:val="center"/>
          </w:tcPr>
          <w:p w14:paraId="5993665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05" w:type="dxa"/>
            <w:shd w:val="clear" w:color="auto" w:fill="FFFFFF" w:themeFill="background1"/>
            <w:vAlign w:val="center"/>
          </w:tcPr>
          <w:p w14:paraId="06C98F9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05" w:type="dxa"/>
            <w:shd w:val="clear" w:color="auto" w:fill="FFFFFF" w:themeFill="background1"/>
            <w:vAlign w:val="center"/>
          </w:tcPr>
          <w:p w14:paraId="7D965CF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05" w:type="dxa"/>
            <w:shd w:val="clear" w:color="auto" w:fill="FFFFFF" w:themeFill="background1"/>
            <w:vAlign w:val="center"/>
          </w:tcPr>
          <w:p w14:paraId="0C7A142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205" w:type="dxa"/>
            <w:shd w:val="clear" w:color="auto" w:fill="FFFFFF" w:themeFill="background1"/>
            <w:vAlign w:val="center"/>
          </w:tcPr>
          <w:p w14:paraId="4264DA1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w:t>
            </w:r>
          </w:p>
        </w:tc>
      </w:tr>
      <w:tr w:rsidR="00632E5B" w14:paraId="17E84E4D" w14:textId="77777777" w:rsidTr="00CB6FD6">
        <w:trPr>
          <w:trHeight w:val="240"/>
        </w:trPr>
        <w:tc>
          <w:tcPr>
            <w:tcW w:w="1205" w:type="dxa"/>
            <w:shd w:val="clear" w:color="auto" w:fill="FFFFFF" w:themeFill="background1"/>
            <w:vAlign w:val="center"/>
          </w:tcPr>
          <w:p w14:paraId="15B149A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蒋悟真</w:t>
            </w:r>
          </w:p>
        </w:tc>
        <w:tc>
          <w:tcPr>
            <w:tcW w:w="1205" w:type="dxa"/>
            <w:shd w:val="clear" w:color="auto" w:fill="FFFFFF" w:themeFill="background1"/>
            <w:vAlign w:val="center"/>
          </w:tcPr>
          <w:p w14:paraId="4D6242D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w:t>
            </w:r>
          </w:p>
        </w:tc>
        <w:tc>
          <w:tcPr>
            <w:tcW w:w="1205" w:type="dxa"/>
            <w:shd w:val="clear" w:color="auto" w:fill="FFFFFF" w:themeFill="background1"/>
            <w:vAlign w:val="center"/>
          </w:tcPr>
          <w:p w14:paraId="4DABD38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w:t>
            </w:r>
          </w:p>
        </w:tc>
        <w:tc>
          <w:tcPr>
            <w:tcW w:w="1205" w:type="dxa"/>
            <w:shd w:val="clear" w:color="auto" w:fill="FFFFFF" w:themeFill="background1"/>
            <w:vAlign w:val="center"/>
          </w:tcPr>
          <w:p w14:paraId="53DFBC1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w:t>
            </w:r>
          </w:p>
        </w:tc>
        <w:tc>
          <w:tcPr>
            <w:tcW w:w="1205" w:type="dxa"/>
            <w:shd w:val="clear" w:color="auto" w:fill="FFFFFF" w:themeFill="background1"/>
            <w:vAlign w:val="center"/>
          </w:tcPr>
          <w:p w14:paraId="493E849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05" w:type="dxa"/>
            <w:shd w:val="clear" w:color="auto" w:fill="FFFFFF" w:themeFill="background1"/>
            <w:vAlign w:val="center"/>
          </w:tcPr>
          <w:p w14:paraId="7E72237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05" w:type="dxa"/>
            <w:shd w:val="clear" w:color="auto" w:fill="FFFFFF" w:themeFill="background1"/>
            <w:vAlign w:val="center"/>
          </w:tcPr>
          <w:p w14:paraId="7BC89C4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205" w:type="dxa"/>
            <w:shd w:val="clear" w:color="auto" w:fill="FFFFFF" w:themeFill="background1"/>
            <w:vAlign w:val="center"/>
          </w:tcPr>
          <w:p w14:paraId="5A1FFAE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w:t>
            </w:r>
          </w:p>
        </w:tc>
      </w:tr>
      <w:tr w:rsidR="00632E5B" w14:paraId="783BFCEC" w14:textId="77777777" w:rsidTr="00CB6FD6">
        <w:trPr>
          <w:trHeight w:val="240"/>
        </w:trPr>
        <w:tc>
          <w:tcPr>
            <w:tcW w:w="1205" w:type="dxa"/>
            <w:shd w:val="clear" w:color="auto" w:fill="FFFFFF" w:themeFill="background1"/>
            <w:vAlign w:val="center"/>
          </w:tcPr>
          <w:p w14:paraId="46109B2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李兴尧</w:t>
            </w:r>
          </w:p>
        </w:tc>
        <w:tc>
          <w:tcPr>
            <w:tcW w:w="1205" w:type="dxa"/>
            <w:shd w:val="clear" w:color="auto" w:fill="FFFFFF" w:themeFill="background1"/>
            <w:vAlign w:val="center"/>
          </w:tcPr>
          <w:p w14:paraId="061D872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w:t>
            </w:r>
          </w:p>
        </w:tc>
        <w:tc>
          <w:tcPr>
            <w:tcW w:w="1205" w:type="dxa"/>
            <w:shd w:val="clear" w:color="auto" w:fill="FFFFFF" w:themeFill="background1"/>
            <w:vAlign w:val="center"/>
          </w:tcPr>
          <w:p w14:paraId="35D5D3E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w:t>
            </w:r>
          </w:p>
        </w:tc>
        <w:tc>
          <w:tcPr>
            <w:tcW w:w="1205" w:type="dxa"/>
            <w:shd w:val="clear" w:color="auto" w:fill="FFFFFF" w:themeFill="background1"/>
            <w:vAlign w:val="center"/>
          </w:tcPr>
          <w:p w14:paraId="672F39B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w:t>
            </w:r>
          </w:p>
        </w:tc>
        <w:tc>
          <w:tcPr>
            <w:tcW w:w="1205" w:type="dxa"/>
            <w:shd w:val="clear" w:color="auto" w:fill="FFFFFF" w:themeFill="background1"/>
            <w:vAlign w:val="center"/>
          </w:tcPr>
          <w:p w14:paraId="19C69B9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05" w:type="dxa"/>
            <w:shd w:val="clear" w:color="auto" w:fill="FFFFFF" w:themeFill="background1"/>
            <w:vAlign w:val="center"/>
          </w:tcPr>
          <w:p w14:paraId="734BD5D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05" w:type="dxa"/>
            <w:shd w:val="clear" w:color="auto" w:fill="FFFFFF" w:themeFill="background1"/>
            <w:vAlign w:val="center"/>
          </w:tcPr>
          <w:p w14:paraId="3F572E6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205" w:type="dxa"/>
            <w:shd w:val="clear" w:color="auto" w:fill="FFFFFF" w:themeFill="background1"/>
            <w:vAlign w:val="center"/>
          </w:tcPr>
          <w:p w14:paraId="0E9B55E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w:t>
            </w:r>
          </w:p>
        </w:tc>
      </w:tr>
      <w:tr w:rsidR="00632E5B" w14:paraId="59BB983F" w14:textId="77777777" w:rsidTr="00CB6FD6">
        <w:trPr>
          <w:trHeight w:val="240"/>
        </w:trPr>
        <w:tc>
          <w:tcPr>
            <w:tcW w:w="1205" w:type="dxa"/>
            <w:shd w:val="clear" w:color="auto" w:fill="FFFFFF" w:themeFill="background1"/>
            <w:vAlign w:val="center"/>
          </w:tcPr>
          <w:p w14:paraId="3062E0C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迟梁</w:t>
            </w:r>
          </w:p>
        </w:tc>
        <w:tc>
          <w:tcPr>
            <w:tcW w:w="1205" w:type="dxa"/>
            <w:shd w:val="clear" w:color="auto" w:fill="FFFFFF" w:themeFill="background1"/>
            <w:vAlign w:val="center"/>
          </w:tcPr>
          <w:p w14:paraId="5C56BDB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w:t>
            </w:r>
          </w:p>
        </w:tc>
        <w:tc>
          <w:tcPr>
            <w:tcW w:w="1205" w:type="dxa"/>
            <w:shd w:val="clear" w:color="auto" w:fill="FFFFFF" w:themeFill="background1"/>
            <w:vAlign w:val="center"/>
          </w:tcPr>
          <w:p w14:paraId="06B8D38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w:t>
            </w:r>
          </w:p>
        </w:tc>
        <w:tc>
          <w:tcPr>
            <w:tcW w:w="1205" w:type="dxa"/>
            <w:shd w:val="clear" w:color="auto" w:fill="FFFFFF" w:themeFill="background1"/>
            <w:vAlign w:val="center"/>
          </w:tcPr>
          <w:p w14:paraId="7B977E7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w:t>
            </w:r>
          </w:p>
        </w:tc>
        <w:tc>
          <w:tcPr>
            <w:tcW w:w="1205" w:type="dxa"/>
            <w:shd w:val="clear" w:color="auto" w:fill="FFFFFF" w:themeFill="background1"/>
            <w:vAlign w:val="center"/>
          </w:tcPr>
          <w:p w14:paraId="7DDA88D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05" w:type="dxa"/>
            <w:shd w:val="clear" w:color="auto" w:fill="FFFFFF" w:themeFill="background1"/>
            <w:vAlign w:val="center"/>
          </w:tcPr>
          <w:p w14:paraId="43BFBD2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05" w:type="dxa"/>
            <w:shd w:val="clear" w:color="auto" w:fill="FFFFFF" w:themeFill="background1"/>
            <w:vAlign w:val="center"/>
          </w:tcPr>
          <w:p w14:paraId="2DC7509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205" w:type="dxa"/>
            <w:shd w:val="clear" w:color="auto" w:fill="FFFFFF" w:themeFill="background1"/>
            <w:vAlign w:val="center"/>
          </w:tcPr>
          <w:p w14:paraId="526A794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w:t>
            </w:r>
          </w:p>
        </w:tc>
      </w:tr>
    </w:tbl>
    <w:p w14:paraId="0CCC819B"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连续两次未亲自出席董事会的说明</w:t>
      </w:r>
    </w:p>
    <w:p w14:paraId="1C94CD2F" w14:textId="7E92C5F4" w:rsidR="00E72F0C" w:rsidRDefault="00107901" w:rsidP="005D4531">
      <w:pPr>
        <w:pStyle w:val="a3"/>
        <w:spacing w:before="0" w:beforeAutospacing="0" w:after="0" w:afterAutospacing="0" w:line="360" w:lineRule="auto"/>
        <w:ind w:firstLine="408"/>
        <w:divId w:val="1892767262"/>
        <w:rPr>
          <w:rFonts w:hint="eastAsia"/>
          <w:sz w:val="18"/>
          <w:szCs w:val="18"/>
        </w:rPr>
      </w:pPr>
      <w:r>
        <w:rPr>
          <w:rFonts w:hint="eastAsia"/>
          <w:sz w:val="18"/>
          <w:szCs w:val="18"/>
        </w:rPr>
        <w:t>不适用</w:t>
      </w:r>
      <w:r w:rsidR="005D4531">
        <w:rPr>
          <w:rFonts w:hint="eastAsia"/>
          <w:sz w:val="18"/>
          <w:szCs w:val="18"/>
        </w:rPr>
        <w:t>。</w:t>
      </w:r>
    </w:p>
    <w:p w14:paraId="13904E8E" w14:textId="77777777" w:rsidR="00632E5B" w:rsidRDefault="00107901">
      <w:pPr>
        <w:pStyle w:val="3"/>
        <w:spacing w:line="280" w:lineRule="exact"/>
        <w:jc w:val="left"/>
        <w:rPr>
          <w:rFonts w:ascii="宋体" w:hAnsi="宋体" w:cs="宋体" w:hint="eastAsia"/>
          <w:b/>
          <w:bCs/>
        </w:rPr>
      </w:pPr>
      <w:bookmarkStart w:id="70" w:name="_Toc988959"/>
      <w:r>
        <w:rPr>
          <w:rFonts w:ascii="宋体" w:hAnsi="宋体" w:cs="宋体"/>
          <w:b/>
          <w:bCs/>
        </w:rPr>
        <w:t>3、董事对公司有关事项提出异议的情况</w:t>
      </w:r>
      <w:bookmarkEnd w:id="70"/>
    </w:p>
    <w:p w14:paraId="22226632"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董事对公司有关事项是否提出异议</w:t>
      </w:r>
    </w:p>
    <w:p w14:paraId="1CB74004"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3D1FA79B"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报告期内董事对公司有关事项未提出异议。</w:t>
      </w:r>
    </w:p>
    <w:p w14:paraId="026DAA19" w14:textId="77777777" w:rsidR="00632E5B" w:rsidRDefault="00107901">
      <w:pPr>
        <w:pStyle w:val="3"/>
        <w:spacing w:line="280" w:lineRule="exact"/>
        <w:jc w:val="left"/>
        <w:rPr>
          <w:rFonts w:ascii="宋体" w:hAnsi="宋体" w:cs="宋体" w:hint="eastAsia"/>
          <w:b/>
          <w:bCs/>
        </w:rPr>
      </w:pPr>
      <w:bookmarkStart w:id="71" w:name="_Toc988960"/>
      <w:r>
        <w:rPr>
          <w:rFonts w:ascii="宋体" w:hAnsi="宋体" w:cs="宋体"/>
          <w:b/>
          <w:bCs/>
        </w:rPr>
        <w:t>4、董事履行职责的其他说明</w:t>
      </w:r>
      <w:bookmarkEnd w:id="71"/>
    </w:p>
    <w:p w14:paraId="44232AD1"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董事对公司有关建议是否被采纳</w:t>
      </w:r>
    </w:p>
    <w:p w14:paraId="142E7470"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14:paraId="5535B55E"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董事对公司有关建议被采纳或未被采纳的说明</w:t>
      </w:r>
    </w:p>
    <w:p w14:paraId="087BB856" w14:textId="77777777" w:rsidR="00E72F0C" w:rsidRDefault="00107901" w:rsidP="0017670C">
      <w:pPr>
        <w:pStyle w:val="a3"/>
        <w:spacing w:before="0" w:beforeAutospacing="0" w:after="0" w:afterAutospacing="0" w:line="360" w:lineRule="auto"/>
        <w:divId w:val="1468087237"/>
        <w:rPr>
          <w:rFonts w:hint="eastAsia"/>
          <w:sz w:val="18"/>
          <w:szCs w:val="18"/>
        </w:rPr>
      </w:pPr>
      <w:r>
        <w:rPr>
          <w:rFonts w:hint="eastAsia"/>
          <w:sz w:val="18"/>
          <w:szCs w:val="18"/>
        </w:rPr>
        <w:t xml:space="preserve">  </w:t>
      </w:r>
      <w:r>
        <w:rPr>
          <w:rFonts w:hint="eastAsia"/>
          <w:sz w:val="21"/>
          <w:szCs w:val="21"/>
        </w:rPr>
        <w:t> 报告期内，公司全体董事严格按照《公司法》《深圳证券交易所股票上市规则》《董事会议事规则》等规章制度开展工作，勤勉尽责，积极关注公司重整工作进展、时时督促历史遗留违规问题解决进展、生产经营管理和规范运作情况，与公司内审人员、外部审计会计师保持沟通。对公司经营管理、内部控制、业务发展建言献策，推动公司重整期间尽力保有重整价值，平稳过渡。</w:t>
      </w:r>
    </w:p>
    <w:p w14:paraId="1B2A215D" w14:textId="77777777" w:rsidR="001F489E" w:rsidRDefault="001F489E">
      <w:pPr>
        <w:pStyle w:val="2"/>
        <w:spacing w:before="300" w:after="300" w:line="320" w:lineRule="exact"/>
        <w:rPr>
          <w:rFonts w:ascii="宋体" w:eastAsia="宋体" w:hAnsi="宋体" w:cs="宋体" w:hint="eastAsia"/>
          <w:b/>
          <w:bCs/>
          <w:sz w:val="24"/>
          <w:szCs w:val="24"/>
        </w:rPr>
        <w:sectPr w:rsidR="001F489E" w:rsidSect="00E90C20">
          <w:pgSz w:w="11905" w:h="16840"/>
          <w:pgMar w:top="1440" w:right="1134" w:bottom="1440" w:left="1134" w:header="850" w:footer="992" w:gutter="0"/>
          <w:cols w:space="720"/>
          <w:docGrid w:type="linesAndChars" w:linePitch="312"/>
        </w:sectPr>
      </w:pPr>
      <w:bookmarkStart w:id="72" w:name="_Toc988961"/>
    </w:p>
    <w:p w14:paraId="0D5B5EE9" w14:textId="0215D8C8" w:rsidR="00632E5B" w:rsidRDefault="00107901">
      <w:pPr>
        <w:pStyle w:val="2"/>
        <w:spacing w:before="300" w:after="300" w:line="320" w:lineRule="exact"/>
        <w:rPr>
          <w:rFonts w:ascii="宋体" w:eastAsia="宋体" w:hAnsi="宋体" w:cs="宋体" w:hint="eastAsia"/>
          <w:b/>
          <w:bCs/>
          <w:sz w:val="24"/>
          <w:szCs w:val="24"/>
        </w:rPr>
      </w:pPr>
      <w:r>
        <w:rPr>
          <w:rFonts w:ascii="宋体" w:eastAsia="宋体" w:hAnsi="宋体" w:cs="宋体"/>
          <w:b/>
          <w:bCs/>
          <w:sz w:val="24"/>
          <w:szCs w:val="24"/>
        </w:rPr>
        <w:lastRenderedPageBreak/>
        <w:t>七、董事会下设专门委员会在报告期内的情况</w:t>
      </w:r>
      <w:bookmarkEnd w:id="72"/>
    </w:p>
    <w:tbl>
      <w:tblPr>
        <w:tblW w:w="1392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990"/>
        <w:gridCol w:w="1205"/>
        <w:gridCol w:w="849"/>
        <w:gridCol w:w="1205"/>
        <w:gridCol w:w="1874"/>
        <w:gridCol w:w="4364"/>
        <w:gridCol w:w="2410"/>
        <w:gridCol w:w="1031"/>
      </w:tblGrid>
      <w:tr w:rsidR="00632E5B" w14:paraId="3341FC14" w14:textId="77777777" w:rsidTr="00CB6FD6">
        <w:trPr>
          <w:trHeight w:val="240"/>
          <w:jc w:val="center"/>
        </w:trPr>
        <w:tc>
          <w:tcPr>
            <w:tcW w:w="990" w:type="dxa"/>
            <w:shd w:val="clear" w:color="auto" w:fill="FFFFFF" w:themeFill="background1"/>
            <w:vAlign w:val="center"/>
          </w:tcPr>
          <w:p w14:paraId="0554D5C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委员会名称</w:t>
            </w:r>
          </w:p>
        </w:tc>
        <w:tc>
          <w:tcPr>
            <w:tcW w:w="1205" w:type="dxa"/>
            <w:shd w:val="clear" w:color="auto" w:fill="FFFFFF" w:themeFill="background1"/>
            <w:vAlign w:val="center"/>
          </w:tcPr>
          <w:p w14:paraId="229B0C6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成员情况</w:t>
            </w:r>
          </w:p>
        </w:tc>
        <w:tc>
          <w:tcPr>
            <w:tcW w:w="849" w:type="dxa"/>
            <w:shd w:val="clear" w:color="auto" w:fill="FFFFFF" w:themeFill="background1"/>
            <w:vAlign w:val="center"/>
          </w:tcPr>
          <w:p w14:paraId="31380A6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召开会议次数</w:t>
            </w:r>
          </w:p>
        </w:tc>
        <w:tc>
          <w:tcPr>
            <w:tcW w:w="1205" w:type="dxa"/>
            <w:shd w:val="clear" w:color="auto" w:fill="FFFFFF" w:themeFill="background1"/>
            <w:vAlign w:val="center"/>
          </w:tcPr>
          <w:p w14:paraId="4DF4380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召开日期</w:t>
            </w:r>
          </w:p>
        </w:tc>
        <w:tc>
          <w:tcPr>
            <w:tcW w:w="1874" w:type="dxa"/>
            <w:shd w:val="clear" w:color="auto" w:fill="FFFFFF" w:themeFill="background1"/>
            <w:vAlign w:val="center"/>
          </w:tcPr>
          <w:p w14:paraId="2D17701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会议内容</w:t>
            </w:r>
          </w:p>
        </w:tc>
        <w:tc>
          <w:tcPr>
            <w:tcW w:w="4364" w:type="dxa"/>
            <w:shd w:val="clear" w:color="auto" w:fill="FFFFFF" w:themeFill="background1"/>
            <w:vAlign w:val="center"/>
          </w:tcPr>
          <w:p w14:paraId="7733F79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提出的重要意见和建议</w:t>
            </w:r>
          </w:p>
        </w:tc>
        <w:tc>
          <w:tcPr>
            <w:tcW w:w="2410" w:type="dxa"/>
            <w:shd w:val="clear" w:color="auto" w:fill="FFFFFF" w:themeFill="background1"/>
            <w:vAlign w:val="center"/>
          </w:tcPr>
          <w:p w14:paraId="1FAF83B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其他履行职责的情况</w:t>
            </w:r>
          </w:p>
        </w:tc>
        <w:tc>
          <w:tcPr>
            <w:tcW w:w="1031" w:type="dxa"/>
            <w:shd w:val="clear" w:color="auto" w:fill="FFFFFF" w:themeFill="background1"/>
            <w:vAlign w:val="center"/>
          </w:tcPr>
          <w:p w14:paraId="2B5D3EE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异议事项具体情况（如有）</w:t>
            </w:r>
          </w:p>
        </w:tc>
      </w:tr>
      <w:tr w:rsidR="0016721B" w14:paraId="6993A44D" w14:textId="77777777" w:rsidTr="00CB6FD6">
        <w:trPr>
          <w:trHeight w:val="240"/>
          <w:jc w:val="center"/>
        </w:trPr>
        <w:tc>
          <w:tcPr>
            <w:tcW w:w="990" w:type="dxa"/>
            <w:vMerge w:val="restart"/>
            <w:shd w:val="clear" w:color="auto" w:fill="FFFFFF" w:themeFill="background1"/>
            <w:vAlign w:val="center"/>
          </w:tcPr>
          <w:p w14:paraId="057069E7"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审计委员会</w:t>
            </w:r>
          </w:p>
        </w:tc>
        <w:tc>
          <w:tcPr>
            <w:tcW w:w="1205" w:type="dxa"/>
            <w:vMerge w:val="restart"/>
            <w:shd w:val="clear" w:color="auto" w:fill="FFFFFF" w:themeFill="background1"/>
            <w:vAlign w:val="center"/>
          </w:tcPr>
          <w:p w14:paraId="449B8634"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李兴尧、蒋悟真、陈辉</w:t>
            </w:r>
          </w:p>
        </w:tc>
        <w:tc>
          <w:tcPr>
            <w:tcW w:w="849" w:type="dxa"/>
            <w:vMerge w:val="restart"/>
            <w:shd w:val="clear" w:color="auto" w:fill="FFFFFF" w:themeFill="background1"/>
            <w:vAlign w:val="center"/>
          </w:tcPr>
          <w:p w14:paraId="1D785714" w14:textId="77777777" w:rsidR="0016721B" w:rsidRDefault="0016721B">
            <w:pPr>
              <w:spacing w:line="240" w:lineRule="exact"/>
              <w:jc w:val="right"/>
              <w:rPr>
                <w:rFonts w:ascii="宋体" w:eastAsia="宋体" w:hAnsi="宋体" w:cs="宋体" w:hint="eastAsia"/>
                <w:sz w:val="18"/>
                <w:szCs w:val="18"/>
              </w:rPr>
            </w:pPr>
            <w:r>
              <w:rPr>
                <w:rFonts w:ascii="宋体" w:eastAsia="宋体" w:hAnsi="宋体" w:cs="宋体"/>
                <w:sz w:val="18"/>
                <w:szCs w:val="18"/>
              </w:rPr>
              <w:t>6</w:t>
            </w:r>
          </w:p>
        </w:tc>
        <w:tc>
          <w:tcPr>
            <w:tcW w:w="1205" w:type="dxa"/>
            <w:shd w:val="clear" w:color="auto" w:fill="FFFFFF" w:themeFill="background1"/>
            <w:vAlign w:val="center"/>
          </w:tcPr>
          <w:p w14:paraId="2CB15A1B"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2024年01月30日</w:t>
            </w:r>
          </w:p>
        </w:tc>
        <w:tc>
          <w:tcPr>
            <w:tcW w:w="1874" w:type="dxa"/>
            <w:shd w:val="clear" w:color="auto" w:fill="FFFFFF" w:themeFill="background1"/>
            <w:vAlign w:val="center"/>
          </w:tcPr>
          <w:p w14:paraId="2ADA8E5C"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关于对2023年度业绩预告情况及审计预审情况初步了解沟通。</w:t>
            </w:r>
          </w:p>
        </w:tc>
        <w:tc>
          <w:tcPr>
            <w:tcW w:w="4364" w:type="dxa"/>
            <w:shd w:val="clear" w:color="auto" w:fill="FFFFFF" w:themeFill="background1"/>
            <w:vAlign w:val="center"/>
          </w:tcPr>
          <w:p w14:paraId="1D941D04"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关注并问询公司与会计师关于2023年业绩预告内容的沟通情况。</w:t>
            </w:r>
          </w:p>
          <w:p w14:paraId="5629E1C4"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关注并问询重整工作的推进情况。</w:t>
            </w:r>
          </w:p>
          <w:p w14:paraId="1FC708B4"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关注2023年公司审计计划、审计重点内容及其相关审计报告的意见类型。</w:t>
            </w:r>
          </w:p>
        </w:tc>
        <w:tc>
          <w:tcPr>
            <w:tcW w:w="2410" w:type="dxa"/>
            <w:shd w:val="clear" w:color="auto" w:fill="FFFFFF" w:themeFill="background1"/>
            <w:vAlign w:val="center"/>
          </w:tcPr>
          <w:p w14:paraId="31A59578"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关注并督促王柏兴及其关联方对资金占用归还落实、违规担保的解除。</w:t>
            </w:r>
          </w:p>
        </w:tc>
        <w:tc>
          <w:tcPr>
            <w:tcW w:w="1031" w:type="dxa"/>
            <w:shd w:val="clear" w:color="auto" w:fill="FFFFFF" w:themeFill="background1"/>
            <w:vAlign w:val="center"/>
          </w:tcPr>
          <w:p w14:paraId="3863D949"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无</w:t>
            </w:r>
          </w:p>
        </w:tc>
      </w:tr>
      <w:tr w:rsidR="0016721B" w14:paraId="4D5D4F3D" w14:textId="77777777" w:rsidTr="00CB6FD6">
        <w:trPr>
          <w:trHeight w:val="240"/>
          <w:jc w:val="center"/>
        </w:trPr>
        <w:tc>
          <w:tcPr>
            <w:tcW w:w="990" w:type="dxa"/>
            <w:vMerge/>
            <w:shd w:val="clear" w:color="auto" w:fill="FFFFFF" w:themeFill="background1"/>
            <w:vAlign w:val="center"/>
          </w:tcPr>
          <w:p w14:paraId="6013158E" w14:textId="27947875" w:rsidR="0016721B" w:rsidRDefault="0016721B">
            <w:pPr>
              <w:spacing w:line="240" w:lineRule="exact"/>
              <w:rPr>
                <w:rFonts w:ascii="宋体" w:eastAsia="宋体" w:hAnsi="宋体" w:cs="宋体" w:hint="eastAsia"/>
                <w:sz w:val="18"/>
                <w:szCs w:val="18"/>
              </w:rPr>
            </w:pPr>
          </w:p>
        </w:tc>
        <w:tc>
          <w:tcPr>
            <w:tcW w:w="1205" w:type="dxa"/>
            <w:vMerge/>
            <w:shd w:val="clear" w:color="auto" w:fill="FFFFFF" w:themeFill="background1"/>
            <w:vAlign w:val="center"/>
          </w:tcPr>
          <w:p w14:paraId="572EE4E4" w14:textId="0A603316" w:rsidR="0016721B" w:rsidRDefault="0016721B">
            <w:pPr>
              <w:spacing w:line="240" w:lineRule="exact"/>
              <w:rPr>
                <w:rFonts w:ascii="宋体" w:eastAsia="宋体" w:hAnsi="宋体" w:cs="宋体" w:hint="eastAsia"/>
                <w:sz w:val="18"/>
                <w:szCs w:val="18"/>
              </w:rPr>
            </w:pPr>
          </w:p>
        </w:tc>
        <w:tc>
          <w:tcPr>
            <w:tcW w:w="849" w:type="dxa"/>
            <w:vMerge/>
            <w:shd w:val="clear" w:color="auto" w:fill="FFFFFF" w:themeFill="background1"/>
            <w:vAlign w:val="center"/>
          </w:tcPr>
          <w:p w14:paraId="3D0FE5C8" w14:textId="51858585" w:rsidR="0016721B" w:rsidRDefault="0016721B">
            <w:pPr>
              <w:spacing w:line="240" w:lineRule="exact"/>
              <w:jc w:val="right"/>
              <w:rPr>
                <w:rFonts w:ascii="宋体" w:eastAsia="宋体" w:hAnsi="宋体" w:cs="宋体" w:hint="eastAsia"/>
                <w:sz w:val="18"/>
                <w:szCs w:val="18"/>
              </w:rPr>
            </w:pPr>
          </w:p>
        </w:tc>
        <w:tc>
          <w:tcPr>
            <w:tcW w:w="1205" w:type="dxa"/>
            <w:shd w:val="clear" w:color="auto" w:fill="FFFFFF" w:themeFill="background1"/>
            <w:vAlign w:val="center"/>
          </w:tcPr>
          <w:p w14:paraId="25EEF32A"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2024年03月30日</w:t>
            </w:r>
          </w:p>
        </w:tc>
        <w:tc>
          <w:tcPr>
            <w:tcW w:w="1874" w:type="dxa"/>
            <w:shd w:val="clear" w:color="auto" w:fill="FFFFFF" w:themeFill="background1"/>
            <w:vAlign w:val="center"/>
          </w:tcPr>
          <w:p w14:paraId="5AF34D00"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关于2023年度审计进展情况的沟通。</w:t>
            </w:r>
          </w:p>
        </w:tc>
        <w:tc>
          <w:tcPr>
            <w:tcW w:w="4364" w:type="dxa"/>
            <w:shd w:val="clear" w:color="auto" w:fill="FFFFFF" w:themeFill="background1"/>
            <w:vAlign w:val="center"/>
          </w:tcPr>
          <w:p w14:paraId="42DDE26D"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关注并问询财务报告和内部控制的初步审计意见类型及原因。</w:t>
            </w:r>
          </w:p>
          <w:p w14:paraId="554438E0"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询问初步审计结果与业绩预告是否存在差异。</w:t>
            </w:r>
          </w:p>
          <w:p w14:paraId="3546DBF1"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提请会计师针对深交所提示函中提及的重要事项保持关注，以及提醒是否存在其他异常情况。</w:t>
            </w:r>
          </w:p>
          <w:p w14:paraId="7A707BF9"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关注审计进展并督促会计师在规定时间内出具审计报告。</w:t>
            </w:r>
          </w:p>
        </w:tc>
        <w:tc>
          <w:tcPr>
            <w:tcW w:w="2410" w:type="dxa"/>
            <w:shd w:val="clear" w:color="auto" w:fill="FFFFFF" w:themeFill="background1"/>
            <w:vAlign w:val="center"/>
          </w:tcPr>
          <w:p w14:paraId="4850EDFA"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关注并督促王柏兴及其关联方对资金占用归还落实、违规担保的解除。</w:t>
            </w:r>
          </w:p>
        </w:tc>
        <w:tc>
          <w:tcPr>
            <w:tcW w:w="1031" w:type="dxa"/>
            <w:shd w:val="clear" w:color="auto" w:fill="FFFFFF" w:themeFill="background1"/>
            <w:vAlign w:val="center"/>
          </w:tcPr>
          <w:p w14:paraId="63C666A9"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无</w:t>
            </w:r>
          </w:p>
        </w:tc>
      </w:tr>
      <w:tr w:rsidR="0016721B" w14:paraId="2A0760D4" w14:textId="77777777" w:rsidTr="00CB6FD6">
        <w:trPr>
          <w:trHeight w:val="240"/>
          <w:jc w:val="center"/>
        </w:trPr>
        <w:tc>
          <w:tcPr>
            <w:tcW w:w="990" w:type="dxa"/>
            <w:vMerge/>
            <w:shd w:val="clear" w:color="auto" w:fill="FFFFFF" w:themeFill="background1"/>
            <w:vAlign w:val="center"/>
          </w:tcPr>
          <w:p w14:paraId="0FB5BBF1" w14:textId="314B0607" w:rsidR="0016721B" w:rsidRDefault="0016721B">
            <w:pPr>
              <w:spacing w:line="240" w:lineRule="exact"/>
              <w:rPr>
                <w:rFonts w:ascii="宋体" w:eastAsia="宋体" w:hAnsi="宋体" w:cs="宋体" w:hint="eastAsia"/>
                <w:sz w:val="18"/>
                <w:szCs w:val="18"/>
              </w:rPr>
            </w:pPr>
          </w:p>
        </w:tc>
        <w:tc>
          <w:tcPr>
            <w:tcW w:w="1205" w:type="dxa"/>
            <w:vMerge/>
            <w:shd w:val="clear" w:color="auto" w:fill="FFFFFF" w:themeFill="background1"/>
            <w:vAlign w:val="center"/>
          </w:tcPr>
          <w:p w14:paraId="49F7CBCA" w14:textId="2ED15F8A" w:rsidR="0016721B" w:rsidRDefault="0016721B">
            <w:pPr>
              <w:spacing w:line="240" w:lineRule="exact"/>
              <w:rPr>
                <w:rFonts w:ascii="宋体" w:eastAsia="宋体" w:hAnsi="宋体" w:cs="宋体" w:hint="eastAsia"/>
                <w:sz w:val="18"/>
                <w:szCs w:val="18"/>
              </w:rPr>
            </w:pPr>
          </w:p>
        </w:tc>
        <w:tc>
          <w:tcPr>
            <w:tcW w:w="849" w:type="dxa"/>
            <w:vMerge/>
            <w:shd w:val="clear" w:color="auto" w:fill="FFFFFF" w:themeFill="background1"/>
            <w:vAlign w:val="center"/>
          </w:tcPr>
          <w:p w14:paraId="4251E9E9" w14:textId="05DDF374" w:rsidR="0016721B" w:rsidRDefault="0016721B">
            <w:pPr>
              <w:spacing w:line="240" w:lineRule="exact"/>
              <w:jc w:val="right"/>
              <w:rPr>
                <w:rFonts w:ascii="宋体" w:eastAsia="宋体" w:hAnsi="宋体" w:cs="宋体" w:hint="eastAsia"/>
                <w:sz w:val="18"/>
                <w:szCs w:val="18"/>
              </w:rPr>
            </w:pPr>
          </w:p>
        </w:tc>
        <w:tc>
          <w:tcPr>
            <w:tcW w:w="1205" w:type="dxa"/>
            <w:shd w:val="clear" w:color="auto" w:fill="FFFFFF" w:themeFill="background1"/>
            <w:vAlign w:val="center"/>
          </w:tcPr>
          <w:p w14:paraId="5B876E34"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2024年04月12日</w:t>
            </w:r>
          </w:p>
        </w:tc>
        <w:tc>
          <w:tcPr>
            <w:tcW w:w="1874" w:type="dxa"/>
            <w:shd w:val="clear" w:color="auto" w:fill="FFFFFF" w:themeFill="background1"/>
            <w:vAlign w:val="center"/>
          </w:tcPr>
          <w:p w14:paraId="759BA391"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审议2023年度报告相关事项及2023年四季度内部审计工作报告。</w:t>
            </w:r>
          </w:p>
        </w:tc>
        <w:tc>
          <w:tcPr>
            <w:tcW w:w="4364" w:type="dxa"/>
            <w:shd w:val="clear" w:color="auto" w:fill="FFFFFF" w:themeFill="background1"/>
            <w:vAlign w:val="center"/>
          </w:tcPr>
          <w:p w14:paraId="6EDEFA58"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同意2023年年度报告相关内容。</w:t>
            </w:r>
          </w:p>
          <w:p w14:paraId="7B36E7CB"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同意续聘苏亚金诚会计师事务所（特殊普通合伙）为公司2024年度财务报告审计机构。</w:t>
            </w:r>
          </w:p>
          <w:p w14:paraId="04675142"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关注内部审计工作报告，主要围绕募集资金使用、关联交易、对外担保、对外投资、相关子公司经营审计及问题整改情况。</w:t>
            </w:r>
          </w:p>
        </w:tc>
        <w:tc>
          <w:tcPr>
            <w:tcW w:w="2410" w:type="dxa"/>
            <w:shd w:val="clear" w:color="auto" w:fill="FFFFFF" w:themeFill="background1"/>
            <w:vAlign w:val="center"/>
          </w:tcPr>
          <w:p w14:paraId="0AA503DB"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关注并督促王柏兴及其关联方对资金占用归还落实、违规担保的解除。</w:t>
            </w:r>
          </w:p>
        </w:tc>
        <w:tc>
          <w:tcPr>
            <w:tcW w:w="1031" w:type="dxa"/>
            <w:shd w:val="clear" w:color="auto" w:fill="FFFFFF" w:themeFill="background1"/>
            <w:vAlign w:val="center"/>
          </w:tcPr>
          <w:p w14:paraId="7791A8D8"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无</w:t>
            </w:r>
          </w:p>
        </w:tc>
      </w:tr>
      <w:tr w:rsidR="0016721B" w14:paraId="2ABEC36C" w14:textId="77777777" w:rsidTr="00CB6FD6">
        <w:trPr>
          <w:trHeight w:val="240"/>
          <w:jc w:val="center"/>
        </w:trPr>
        <w:tc>
          <w:tcPr>
            <w:tcW w:w="990" w:type="dxa"/>
            <w:vMerge/>
            <w:shd w:val="clear" w:color="auto" w:fill="FFFFFF" w:themeFill="background1"/>
            <w:vAlign w:val="center"/>
          </w:tcPr>
          <w:p w14:paraId="781A7051" w14:textId="4AC54D15" w:rsidR="0016721B" w:rsidRDefault="0016721B">
            <w:pPr>
              <w:spacing w:line="240" w:lineRule="exact"/>
              <w:rPr>
                <w:rFonts w:ascii="宋体" w:eastAsia="宋体" w:hAnsi="宋体" w:cs="宋体" w:hint="eastAsia"/>
                <w:sz w:val="18"/>
                <w:szCs w:val="18"/>
              </w:rPr>
            </w:pPr>
          </w:p>
        </w:tc>
        <w:tc>
          <w:tcPr>
            <w:tcW w:w="1205" w:type="dxa"/>
            <w:vMerge/>
            <w:shd w:val="clear" w:color="auto" w:fill="FFFFFF" w:themeFill="background1"/>
            <w:vAlign w:val="center"/>
          </w:tcPr>
          <w:p w14:paraId="2953C252" w14:textId="0F79B299" w:rsidR="0016721B" w:rsidRDefault="0016721B">
            <w:pPr>
              <w:spacing w:line="240" w:lineRule="exact"/>
              <w:rPr>
                <w:rFonts w:ascii="宋体" w:eastAsia="宋体" w:hAnsi="宋体" w:cs="宋体" w:hint="eastAsia"/>
                <w:sz w:val="18"/>
                <w:szCs w:val="18"/>
              </w:rPr>
            </w:pPr>
          </w:p>
        </w:tc>
        <w:tc>
          <w:tcPr>
            <w:tcW w:w="849" w:type="dxa"/>
            <w:vMerge/>
            <w:shd w:val="clear" w:color="auto" w:fill="FFFFFF" w:themeFill="background1"/>
            <w:vAlign w:val="center"/>
          </w:tcPr>
          <w:p w14:paraId="0D52970A" w14:textId="26330CAB" w:rsidR="0016721B" w:rsidRDefault="0016721B">
            <w:pPr>
              <w:spacing w:line="240" w:lineRule="exact"/>
              <w:jc w:val="right"/>
              <w:rPr>
                <w:rFonts w:ascii="宋体" w:eastAsia="宋体" w:hAnsi="宋体" w:cs="宋体" w:hint="eastAsia"/>
                <w:sz w:val="18"/>
                <w:szCs w:val="18"/>
              </w:rPr>
            </w:pPr>
          </w:p>
        </w:tc>
        <w:tc>
          <w:tcPr>
            <w:tcW w:w="1205" w:type="dxa"/>
            <w:shd w:val="clear" w:color="auto" w:fill="FFFFFF" w:themeFill="background1"/>
            <w:vAlign w:val="center"/>
          </w:tcPr>
          <w:p w14:paraId="3479068B"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2024年04月27日</w:t>
            </w:r>
          </w:p>
        </w:tc>
        <w:tc>
          <w:tcPr>
            <w:tcW w:w="1874" w:type="dxa"/>
            <w:shd w:val="clear" w:color="auto" w:fill="FFFFFF" w:themeFill="background1"/>
            <w:vAlign w:val="center"/>
          </w:tcPr>
          <w:p w14:paraId="21FCC6E8"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审议2024年第一季度报告及内部审计工作报告。</w:t>
            </w:r>
          </w:p>
        </w:tc>
        <w:tc>
          <w:tcPr>
            <w:tcW w:w="4364" w:type="dxa"/>
            <w:shd w:val="clear" w:color="auto" w:fill="FFFFFF" w:themeFill="background1"/>
            <w:vAlign w:val="center"/>
          </w:tcPr>
          <w:p w14:paraId="796785E6"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同意2024年第一季度报告相关内容。</w:t>
            </w:r>
          </w:p>
          <w:p w14:paraId="1388BDAC"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关注一季度内部审计工作报告，主要围绕募集资金使用、关联交易、对外担保、相关子公司经营审计及问题整改情况。</w:t>
            </w:r>
          </w:p>
        </w:tc>
        <w:tc>
          <w:tcPr>
            <w:tcW w:w="2410" w:type="dxa"/>
            <w:shd w:val="clear" w:color="auto" w:fill="FFFFFF" w:themeFill="background1"/>
            <w:vAlign w:val="center"/>
          </w:tcPr>
          <w:p w14:paraId="7FE11F5C"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关注并督促王柏兴及其关联方对资金占用归还落实、违规担保的解除。</w:t>
            </w:r>
          </w:p>
        </w:tc>
        <w:tc>
          <w:tcPr>
            <w:tcW w:w="1031" w:type="dxa"/>
            <w:shd w:val="clear" w:color="auto" w:fill="FFFFFF" w:themeFill="background1"/>
            <w:vAlign w:val="center"/>
          </w:tcPr>
          <w:p w14:paraId="7A7D0F3E"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无</w:t>
            </w:r>
          </w:p>
        </w:tc>
      </w:tr>
      <w:tr w:rsidR="0016721B" w14:paraId="5D9A0626" w14:textId="77777777" w:rsidTr="00CB6FD6">
        <w:trPr>
          <w:trHeight w:val="240"/>
          <w:jc w:val="center"/>
        </w:trPr>
        <w:tc>
          <w:tcPr>
            <w:tcW w:w="990" w:type="dxa"/>
            <w:vMerge/>
            <w:shd w:val="clear" w:color="auto" w:fill="FFFFFF" w:themeFill="background1"/>
            <w:vAlign w:val="center"/>
          </w:tcPr>
          <w:p w14:paraId="735BD07C" w14:textId="5914E05E" w:rsidR="0016721B" w:rsidRDefault="0016721B">
            <w:pPr>
              <w:spacing w:line="240" w:lineRule="exact"/>
              <w:rPr>
                <w:rFonts w:ascii="宋体" w:eastAsia="宋体" w:hAnsi="宋体" w:cs="宋体" w:hint="eastAsia"/>
                <w:sz w:val="18"/>
                <w:szCs w:val="18"/>
              </w:rPr>
            </w:pPr>
          </w:p>
        </w:tc>
        <w:tc>
          <w:tcPr>
            <w:tcW w:w="1205" w:type="dxa"/>
            <w:vMerge/>
            <w:shd w:val="clear" w:color="auto" w:fill="FFFFFF" w:themeFill="background1"/>
            <w:vAlign w:val="center"/>
          </w:tcPr>
          <w:p w14:paraId="245A257A" w14:textId="1FC4B9B4" w:rsidR="0016721B" w:rsidRDefault="0016721B">
            <w:pPr>
              <w:spacing w:line="240" w:lineRule="exact"/>
              <w:rPr>
                <w:rFonts w:ascii="宋体" w:eastAsia="宋体" w:hAnsi="宋体" w:cs="宋体" w:hint="eastAsia"/>
                <w:sz w:val="18"/>
                <w:szCs w:val="18"/>
              </w:rPr>
            </w:pPr>
          </w:p>
        </w:tc>
        <w:tc>
          <w:tcPr>
            <w:tcW w:w="849" w:type="dxa"/>
            <w:vMerge/>
            <w:shd w:val="clear" w:color="auto" w:fill="FFFFFF" w:themeFill="background1"/>
            <w:vAlign w:val="center"/>
          </w:tcPr>
          <w:p w14:paraId="315C79AF" w14:textId="0E2AECA2" w:rsidR="0016721B" w:rsidRDefault="0016721B">
            <w:pPr>
              <w:spacing w:line="240" w:lineRule="exact"/>
              <w:jc w:val="right"/>
              <w:rPr>
                <w:rFonts w:ascii="宋体" w:eastAsia="宋体" w:hAnsi="宋体" w:cs="宋体" w:hint="eastAsia"/>
                <w:sz w:val="18"/>
                <w:szCs w:val="18"/>
              </w:rPr>
            </w:pPr>
          </w:p>
        </w:tc>
        <w:tc>
          <w:tcPr>
            <w:tcW w:w="1205" w:type="dxa"/>
            <w:shd w:val="clear" w:color="auto" w:fill="FFFFFF" w:themeFill="background1"/>
            <w:vAlign w:val="center"/>
          </w:tcPr>
          <w:p w14:paraId="43B5098A"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2024年08月10日</w:t>
            </w:r>
          </w:p>
        </w:tc>
        <w:tc>
          <w:tcPr>
            <w:tcW w:w="1874" w:type="dxa"/>
            <w:shd w:val="clear" w:color="auto" w:fill="FFFFFF" w:themeFill="background1"/>
            <w:vAlign w:val="center"/>
          </w:tcPr>
          <w:p w14:paraId="133BBA3E"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审议2024年半年度报告及内部审计工作报告。</w:t>
            </w:r>
          </w:p>
        </w:tc>
        <w:tc>
          <w:tcPr>
            <w:tcW w:w="4364" w:type="dxa"/>
            <w:shd w:val="clear" w:color="auto" w:fill="FFFFFF" w:themeFill="background1"/>
            <w:vAlign w:val="center"/>
          </w:tcPr>
          <w:p w14:paraId="75649E75"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同意2024年半年度报告相关内容。</w:t>
            </w:r>
          </w:p>
          <w:p w14:paraId="301FE8B7"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关注内部审计工作报告，主要围绕募集资金使用、关联交易、对外担保、相关子公司经营审计及问题整改情况。</w:t>
            </w:r>
          </w:p>
          <w:p w14:paraId="532F71D9"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建议进一步完善审计工作报告，细化审计流程。</w:t>
            </w:r>
          </w:p>
        </w:tc>
        <w:tc>
          <w:tcPr>
            <w:tcW w:w="2410" w:type="dxa"/>
            <w:shd w:val="clear" w:color="auto" w:fill="FFFFFF" w:themeFill="background1"/>
            <w:vAlign w:val="center"/>
          </w:tcPr>
          <w:p w14:paraId="5E2F629A"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关注并督促王柏兴及其关联方对资金占用归还落实、违规担保的解除。</w:t>
            </w:r>
          </w:p>
        </w:tc>
        <w:tc>
          <w:tcPr>
            <w:tcW w:w="1031" w:type="dxa"/>
            <w:shd w:val="clear" w:color="auto" w:fill="FFFFFF" w:themeFill="background1"/>
            <w:vAlign w:val="center"/>
          </w:tcPr>
          <w:p w14:paraId="5AE6A6CE"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无</w:t>
            </w:r>
          </w:p>
        </w:tc>
      </w:tr>
      <w:tr w:rsidR="0016721B" w14:paraId="1118B3AD" w14:textId="77777777" w:rsidTr="00CB6FD6">
        <w:trPr>
          <w:trHeight w:val="240"/>
          <w:jc w:val="center"/>
        </w:trPr>
        <w:tc>
          <w:tcPr>
            <w:tcW w:w="990" w:type="dxa"/>
            <w:vMerge/>
            <w:shd w:val="clear" w:color="auto" w:fill="FFFFFF" w:themeFill="background1"/>
            <w:vAlign w:val="center"/>
          </w:tcPr>
          <w:p w14:paraId="78EACD6C" w14:textId="340ED0E2" w:rsidR="0016721B" w:rsidRDefault="0016721B">
            <w:pPr>
              <w:spacing w:line="240" w:lineRule="exact"/>
              <w:rPr>
                <w:rFonts w:ascii="宋体" w:eastAsia="宋体" w:hAnsi="宋体" w:cs="宋体" w:hint="eastAsia"/>
                <w:sz w:val="18"/>
                <w:szCs w:val="18"/>
              </w:rPr>
            </w:pPr>
          </w:p>
        </w:tc>
        <w:tc>
          <w:tcPr>
            <w:tcW w:w="1205" w:type="dxa"/>
            <w:vMerge/>
            <w:shd w:val="clear" w:color="auto" w:fill="FFFFFF" w:themeFill="background1"/>
            <w:vAlign w:val="center"/>
          </w:tcPr>
          <w:p w14:paraId="62D79E78" w14:textId="6F1C845D" w:rsidR="0016721B" w:rsidRDefault="0016721B">
            <w:pPr>
              <w:spacing w:line="240" w:lineRule="exact"/>
              <w:rPr>
                <w:rFonts w:ascii="宋体" w:eastAsia="宋体" w:hAnsi="宋体" w:cs="宋体" w:hint="eastAsia"/>
                <w:sz w:val="18"/>
                <w:szCs w:val="18"/>
              </w:rPr>
            </w:pPr>
          </w:p>
        </w:tc>
        <w:tc>
          <w:tcPr>
            <w:tcW w:w="849" w:type="dxa"/>
            <w:vMerge/>
            <w:shd w:val="clear" w:color="auto" w:fill="FFFFFF" w:themeFill="background1"/>
            <w:vAlign w:val="center"/>
          </w:tcPr>
          <w:p w14:paraId="04E753B7" w14:textId="10F055E9" w:rsidR="0016721B" w:rsidRDefault="0016721B">
            <w:pPr>
              <w:spacing w:line="240" w:lineRule="exact"/>
              <w:jc w:val="right"/>
              <w:rPr>
                <w:rFonts w:ascii="宋体" w:eastAsia="宋体" w:hAnsi="宋体" w:cs="宋体" w:hint="eastAsia"/>
                <w:sz w:val="18"/>
                <w:szCs w:val="18"/>
              </w:rPr>
            </w:pPr>
          </w:p>
        </w:tc>
        <w:tc>
          <w:tcPr>
            <w:tcW w:w="1205" w:type="dxa"/>
            <w:shd w:val="clear" w:color="auto" w:fill="FFFFFF" w:themeFill="background1"/>
            <w:vAlign w:val="center"/>
          </w:tcPr>
          <w:p w14:paraId="39833918"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2024年10月26日</w:t>
            </w:r>
          </w:p>
        </w:tc>
        <w:tc>
          <w:tcPr>
            <w:tcW w:w="1874" w:type="dxa"/>
            <w:shd w:val="clear" w:color="auto" w:fill="FFFFFF" w:themeFill="background1"/>
            <w:vAlign w:val="center"/>
          </w:tcPr>
          <w:p w14:paraId="7A322E99"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审议2024年第三季度报告及内部审计工作报告</w:t>
            </w:r>
          </w:p>
        </w:tc>
        <w:tc>
          <w:tcPr>
            <w:tcW w:w="4364" w:type="dxa"/>
            <w:shd w:val="clear" w:color="auto" w:fill="FFFFFF" w:themeFill="background1"/>
            <w:vAlign w:val="center"/>
          </w:tcPr>
          <w:p w14:paraId="72329E76"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同意2024年第三季度报告相关内容。</w:t>
            </w:r>
          </w:p>
          <w:p w14:paraId="1AF610E0"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关注内部审计工作报告，主要围绕关联交易、对外担保、相关子公司经营审计及问题整改情况。</w:t>
            </w:r>
          </w:p>
          <w:p w14:paraId="7AEA6974"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要求本季度审计工作中发现的问题作为下季度的工作重点并予以说明。</w:t>
            </w:r>
          </w:p>
          <w:p w14:paraId="6CF22C87" w14:textId="76A033A6" w:rsidR="0016721B" w:rsidRDefault="0016721B">
            <w:pPr>
              <w:spacing w:line="240" w:lineRule="exact"/>
              <w:rPr>
                <w:rFonts w:ascii="宋体" w:eastAsia="宋体" w:hAnsi="宋体" w:cs="宋体" w:hint="eastAsia"/>
                <w:sz w:val="18"/>
                <w:szCs w:val="18"/>
              </w:rPr>
            </w:pPr>
          </w:p>
        </w:tc>
        <w:tc>
          <w:tcPr>
            <w:tcW w:w="2410" w:type="dxa"/>
            <w:shd w:val="clear" w:color="auto" w:fill="FFFFFF" w:themeFill="background1"/>
            <w:vAlign w:val="center"/>
          </w:tcPr>
          <w:p w14:paraId="21A31801"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关注并督促王柏兴及其关联方对资金占用归还落实、违规担保的解除。</w:t>
            </w:r>
          </w:p>
        </w:tc>
        <w:tc>
          <w:tcPr>
            <w:tcW w:w="1031" w:type="dxa"/>
            <w:shd w:val="clear" w:color="auto" w:fill="FFFFFF" w:themeFill="background1"/>
            <w:vAlign w:val="center"/>
          </w:tcPr>
          <w:p w14:paraId="08DC93A4" w14:textId="77777777" w:rsidR="0016721B" w:rsidRDefault="0016721B">
            <w:pPr>
              <w:spacing w:line="240" w:lineRule="exact"/>
              <w:rPr>
                <w:rFonts w:ascii="宋体" w:eastAsia="宋体" w:hAnsi="宋体" w:cs="宋体" w:hint="eastAsia"/>
                <w:sz w:val="18"/>
                <w:szCs w:val="18"/>
              </w:rPr>
            </w:pPr>
            <w:r>
              <w:rPr>
                <w:rFonts w:ascii="宋体" w:eastAsia="宋体" w:hAnsi="宋体" w:cs="宋体"/>
                <w:sz w:val="18"/>
                <w:szCs w:val="18"/>
              </w:rPr>
              <w:t>无</w:t>
            </w:r>
          </w:p>
        </w:tc>
      </w:tr>
      <w:tr w:rsidR="00632E5B" w14:paraId="1B68CC14" w14:textId="77777777" w:rsidTr="00CB6FD6">
        <w:trPr>
          <w:trHeight w:val="240"/>
          <w:jc w:val="center"/>
        </w:trPr>
        <w:tc>
          <w:tcPr>
            <w:tcW w:w="990" w:type="dxa"/>
            <w:shd w:val="clear" w:color="auto" w:fill="FFFFFF" w:themeFill="background1"/>
            <w:vAlign w:val="center"/>
          </w:tcPr>
          <w:p w14:paraId="7BB1B70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lastRenderedPageBreak/>
              <w:t>薪酬与考核委员会</w:t>
            </w:r>
          </w:p>
        </w:tc>
        <w:tc>
          <w:tcPr>
            <w:tcW w:w="1205" w:type="dxa"/>
            <w:shd w:val="clear" w:color="auto" w:fill="FFFFFF" w:themeFill="background1"/>
            <w:vAlign w:val="center"/>
          </w:tcPr>
          <w:p w14:paraId="6BC891A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李兴尧、迟梁、陈辉</w:t>
            </w:r>
          </w:p>
        </w:tc>
        <w:tc>
          <w:tcPr>
            <w:tcW w:w="849" w:type="dxa"/>
            <w:shd w:val="clear" w:color="auto" w:fill="FFFFFF" w:themeFill="background1"/>
            <w:vAlign w:val="center"/>
          </w:tcPr>
          <w:p w14:paraId="0889111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w:t>
            </w:r>
          </w:p>
        </w:tc>
        <w:tc>
          <w:tcPr>
            <w:tcW w:w="1205" w:type="dxa"/>
            <w:shd w:val="clear" w:color="auto" w:fill="FFFFFF" w:themeFill="background1"/>
            <w:vAlign w:val="center"/>
          </w:tcPr>
          <w:p w14:paraId="0D6122E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2024年04月12日</w:t>
            </w:r>
          </w:p>
        </w:tc>
        <w:tc>
          <w:tcPr>
            <w:tcW w:w="1874" w:type="dxa"/>
            <w:shd w:val="clear" w:color="auto" w:fill="FFFFFF" w:themeFill="background1"/>
            <w:vAlign w:val="center"/>
          </w:tcPr>
          <w:p w14:paraId="6283D9D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审议关于2023年度公司董事、监事及高级管理人员薪酬以及关于2024年度公司董事、监事及高级管理人员薪酬方案。</w:t>
            </w:r>
          </w:p>
        </w:tc>
        <w:tc>
          <w:tcPr>
            <w:tcW w:w="4364" w:type="dxa"/>
            <w:shd w:val="clear" w:color="auto" w:fill="FFFFFF" w:themeFill="background1"/>
            <w:vAlign w:val="center"/>
          </w:tcPr>
          <w:p w14:paraId="77481D1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同意。</w:t>
            </w:r>
          </w:p>
        </w:tc>
        <w:tc>
          <w:tcPr>
            <w:tcW w:w="2410" w:type="dxa"/>
            <w:shd w:val="clear" w:color="auto" w:fill="FFFFFF" w:themeFill="background1"/>
            <w:vAlign w:val="center"/>
          </w:tcPr>
          <w:p w14:paraId="2490BFF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促进公司持续完善考核及激励机制。</w:t>
            </w:r>
          </w:p>
        </w:tc>
        <w:tc>
          <w:tcPr>
            <w:tcW w:w="1031" w:type="dxa"/>
            <w:shd w:val="clear" w:color="auto" w:fill="FFFFFF" w:themeFill="background1"/>
            <w:vAlign w:val="center"/>
          </w:tcPr>
          <w:p w14:paraId="6022356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w:t>
            </w:r>
          </w:p>
        </w:tc>
      </w:tr>
      <w:tr w:rsidR="00632E5B" w14:paraId="7E09E4FD" w14:textId="77777777" w:rsidTr="00CB6FD6">
        <w:trPr>
          <w:trHeight w:val="240"/>
          <w:jc w:val="center"/>
        </w:trPr>
        <w:tc>
          <w:tcPr>
            <w:tcW w:w="990" w:type="dxa"/>
            <w:shd w:val="clear" w:color="auto" w:fill="FFFFFF" w:themeFill="background1"/>
            <w:vAlign w:val="center"/>
          </w:tcPr>
          <w:p w14:paraId="1E69CC3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提名委员会</w:t>
            </w:r>
          </w:p>
        </w:tc>
        <w:tc>
          <w:tcPr>
            <w:tcW w:w="1205" w:type="dxa"/>
            <w:shd w:val="clear" w:color="auto" w:fill="FFFFFF" w:themeFill="background1"/>
            <w:vAlign w:val="center"/>
          </w:tcPr>
          <w:p w14:paraId="5BCB651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李兴尧、蒋悟真、王伟峰</w:t>
            </w:r>
          </w:p>
        </w:tc>
        <w:tc>
          <w:tcPr>
            <w:tcW w:w="849" w:type="dxa"/>
            <w:shd w:val="clear" w:color="auto" w:fill="FFFFFF" w:themeFill="background1"/>
            <w:vAlign w:val="center"/>
          </w:tcPr>
          <w:p w14:paraId="24F215C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w:t>
            </w:r>
          </w:p>
        </w:tc>
        <w:tc>
          <w:tcPr>
            <w:tcW w:w="1205" w:type="dxa"/>
            <w:shd w:val="clear" w:color="auto" w:fill="FFFFFF" w:themeFill="background1"/>
            <w:vAlign w:val="center"/>
          </w:tcPr>
          <w:p w14:paraId="763A0E6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2024年08月17日</w:t>
            </w:r>
          </w:p>
        </w:tc>
        <w:tc>
          <w:tcPr>
            <w:tcW w:w="1874" w:type="dxa"/>
            <w:shd w:val="clear" w:color="auto" w:fill="FFFFFF" w:themeFill="background1"/>
            <w:vAlign w:val="center"/>
          </w:tcPr>
          <w:p w14:paraId="2C47EF4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审议提名聘任公司副总经理的事项</w:t>
            </w:r>
          </w:p>
        </w:tc>
        <w:tc>
          <w:tcPr>
            <w:tcW w:w="4364" w:type="dxa"/>
            <w:shd w:val="clear" w:color="auto" w:fill="FFFFFF" w:themeFill="background1"/>
            <w:vAlign w:val="center"/>
          </w:tcPr>
          <w:p w14:paraId="5EB3002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同意提名张曾琪先生为公司副总经理候选人。</w:t>
            </w:r>
          </w:p>
        </w:tc>
        <w:tc>
          <w:tcPr>
            <w:tcW w:w="2410" w:type="dxa"/>
            <w:shd w:val="clear" w:color="auto" w:fill="FFFFFF" w:themeFill="background1"/>
            <w:vAlign w:val="center"/>
          </w:tcPr>
          <w:p w14:paraId="1419F36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w:t>
            </w:r>
          </w:p>
        </w:tc>
        <w:tc>
          <w:tcPr>
            <w:tcW w:w="1031" w:type="dxa"/>
            <w:shd w:val="clear" w:color="auto" w:fill="FFFFFF" w:themeFill="background1"/>
            <w:vAlign w:val="center"/>
          </w:tcPr>
          <w:p w14:paraId="429C377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w:t>
            </w:r>
          </w:p>
        </w:tc>
      </w:tr>
    </w:tbl>
    <w:p w14:paraId="75C8CE9D" w14:textId="77777777" w:rsidR="001F489E" w:rsidRDefault="001F489E">
      <w:pPr>
        <w:pStyle w:val="2"/>
        <w:spacing w:before="300" w:after="300" w:line="320" w:lineRule="exact"/>
        <w:rPr>
          <w:rFonts w:ascii="宋体" w:eastAsia="宋体" w:hAnsi="宋体" w:cs="宋体" w:hint="eastAsia"/>
          <w:b/>
          <w:bCs/>
          <w:sz w:val="24"/>
          <w:szCs w:val="24"/>
        </w:rPr>
        <w:sectPr w:rsidR="001F489E" w:rsidSect="00E90C20">
          <w:pgSz w:w="16840" w:h="11905" w:orient="landscape"/>
          <w:pgMar w:top="1134" w:right="1440" w:bottom="1134" w:left="1440" w:header="851" w:footer="992" w:gutter="0"/>
          <w:cols w:space="720"/>
          <w:docGrid w:type="lines" w:linePitch="312"/>
        </w:sectPr>
      </w:pPr>
      <w:bookmarkStart w:id="73" w:name="_Toc988962"/>
    </w:p>
    <w:p w14:paraId="5CA2C6A7" w14:textId="3A4EA2D0" w:rsidR="00632E5B" w:rsidRDefault="00107901">
      <w:pPr>
        <w:pStyle w:val="2"/>
        <w:spacing w:before="300" w:after="300" w:line="320" w:lineRule="exact"/>
        <w:rPr>
          <w:rFonts w:ascii="宋体" w:eastAsia="宋体" w:hAnsi="宋体" w:cs="宋体" w:hint="eastAsia"/>
          <w:b/>
          <w:bCs/>
          <w:sz w:val="24"/>
          <w:szCs w:val="24"/>
        </w:rPr>
      </w:pPr>
      <w:r>
        <w:rPr>
          <w:rFonts w:ascii="宋体" w:eastAsia="宋体" w:hAnsi="宋体" w:cs="宋体"/>
          <w:b/>
          <w:bCs/>
          <w:sz w:val="24"/>
          <w:szCs w:val="24"/>
        </w:rPr>
        <w:lastRenderedPageBreak/>
        <w:t>八、监事会工作情况</w:t>
      </w:r>
      <w:bookmarkEnd w:id="73"/>
    </w:p>
    <w:p w14:paraId="6BABE189"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监事会在报告期内的监督活动中发现公司是否存在风险</w:t>
      </w:r>
    </w:p>
    <w:p w14:paraId="3BF8420D"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3E0ABB2C"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监事会对报告期内的监督事项无异议。</w:t>
      </w:r>
    </w:p>
    <w:p w14:paraId="3CBB67A4" w14:textId="77777777" w:rsidR="00632E5B" w:rsidRDefault="00107901">
      <w:pPr>
        <w:pStyle w:val="2"/>
        <w:spacing w:before="300" w:after="300" w:line="320" w:lineRule="exact"/>
        <w:rPr>
          <w:rFonts w:ascii="宋体" w:eastAsia="宋体" w:hAnsi="宋体" w:cs="宋体" w:hint="eastAsia"/>
          <w:b/>
          <w:bCs/>
          <w:sz w:val="24"/>
          <w:szCs w:val="24"/>
        </w:rPr>
      </w:pPr>
      <w:bookmarkStart w:id="74" w:name="_Toc988963"/>
      <w:r>
        <w:rPr>
          <w:rFonts w:ascii="宋体" w:eastAsia="宋体" w:hAnsi="宋体" w:cs="宋体"/>
          <w:b/>
          <w:bCs/>
          <w:sz w:val="24"/>
          <w:szCs w:val="24"/>
        </w:rPr>
        <w:t>九、公司员工情况</w:t>
      </w:r>
      <w:bookmarkEnd w:id="74"/>
    </w:p>
    <w:p w14:paraId="7C83E48D" w14:textId="77777777" w:rsidR="00632E5B" w:rsidRDefault="00107901">
      <w:pPr>
        <w:pStyle w:val="3"/>
        <w:spacing w:line="280" w:lineRule="exact"/>
        <w:jc w:val="left"/>
        <w:rPr>
          <w:rFonts w:ascii="宋体" w:hAnsi="宋体" w:cs="宋体" w:hint="eastAsia"/>
          <w:b/>
          <w:bCs/>
        </w:rPr>
      </w:pPr>
      <w:bookmarkStart w:id="75" w:name="_Toc988964"/>
      <w:r>
        <w:rPr>
          <w:rFonts w:ascii="宋体" w:hAnsi="宋体" w:cs="宋体"/>
          <w:b/>
          <w:bCs/>
        </w:rPr>
        <w:t>1、员工数量、专业构成及教育程度</w:t>
      </w:r>
      <w:bookmarkEnd w:id="75"/>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4820"/>
        <w:gridCol w:w="4819"/>
      </w:tblGrid>
      <w:tr w:rsidR="00632E5B" w14:paraId="404FCE9D" w14:textId="77777777" w:rsidTr="00CB6FD6">
        <w:trPr>
          <w:trHeight w:val="240"/>
        </w:trPr>
        <w:tc>
          <w:tcPr>
            <w:tcW w:w="4820" w:type="dxa"/>
            <w:shd w:val="clear" w:color="auto" w:fill="FFFFFF" w:themeFill="background1"/>
            <w:vAlign w:val="center"/>
          </w:tcPr>
          <w:p w14:paraId="6AE3FD97"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报告期末母公司在职员工的数量（人）</w:t>
            </w:r>
          </w:p>
        </w:tc>
        <w:tc>
          <w:tcPr>
            <w:tcW w:w="4820" w:type="dxa"/>
            <w:shd w:val="clear" w:color="auto" w:fill="FFFFFF" w:themeFill="background1"/>
            <w:vAlign w:val="center"/>
          </w:tcPr>
          <w:p w14:paraId="47847A2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416</w:t>
            </w:r>
          </w:p>
        </w:tc>
      </w:tr>
      <w:tr w:rsidR="00632E5B" w14:paraId="0E8F03EC" w14:textId="77777777" w:rsidTr="00CB6FD6">
        <w:trPr>
          <w:trHeight w:val="240"/>
        </w:trPr>
        <w:tc>
          <w:tcPr>
            <w:tcW w:w="4820" w:type="dxa"/>
            <w:shd w:val="clear" w:color="auto" w:fill="FFFFFF" w:themeFill="background1"/>
            <w:vAlign w:val="center"/>
          </w:tcPr>
          <w:p w14:paraId="50B634B3"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报告期末主要子公司在职员工的数量（人）</w:t>
            </w:r>
          </w:p>
        </w:tc>
        <w:tc>
          <w:tcPr>
            <w:tcW w:w="4820" w:type="dxa"/>
            <w:shd w:val="clear" w:color="auto" w:fill="FFFFFF" w:themeFill="background1"/>
            <w:vAlign w:val="center"/>
          </w:tcPr>
          <w:p w14:paraId="7910A4C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1,881</w:t>
            </w:r>
          </w:p>
        </w:tc>
      </w:tr>
      <w:tr w:rsidR="00632E5B" w14:paraId="5F03AE17" w14:textId="77777777" w:rsidTr="00CB6FD6">
        <w:trPr>
          <w:trHeight w:val="240"/>
        </w:trPr>
        <w:tc>
          <w:tcPr>
            <w:tcW w:w="4820" w:type="dxa"/>
            <w:shd w:val="clear" w:color="auto" w:fill="FFFFFF" w:themeFill="background1"/>
            <w:vAlign w:val="center"/>
          </w:tcPr>
          <w:p w14:paraId="1F963819"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报告期末在职员工的数量合计（人）</w:t>
            </w:r>
          </w:p>
        </w:tc>
        <w:tc>
          <w:tcPr>
            <w:tcW w:w="4820" w:type="dxa"/>
            <w:shd w:val="clear" w:color="auto" w:fill="FFFFFF" w:themeFill="background1"/>
            <w:vAlign w:val="center"/>
          </w:tcPr>
          <w:p w14:paraId="60F2D5D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2,297</w:t>
            </w:r>
          </w:p>
        </w:tc>
      </w:tr>
      <w:tr w:rsidR="00632E5B" w14:paraId="604A3F29" w14:textId="77777777" w:rsidTr="00CB6FD6">
        <w:trPr>
          <w:trHeight w:val="240"/>
        </w:trPr>
        <w:tc>
          <w:tcPr>
            <w:tcW w:w="4820" w:type="dxa"/>
            <w:shd w:val="clear" w:color="auto" w:fill="FFFFFF" w:themeFill="background1"/>
            <w:vAlign w:val="center"/>
          </w:tcPr>
          <w:p w14:paraId="2B3A9FA5"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当期领取薪酬员工总人数（人）</w:t>
            </w:r>
          </w:p>
        </w:tc>
        <w:tc>
          <w:tcPr>
            <w:tcW w:w="4820" w:type="dxa"/>
            <w:shd w:val="clear" w:color="auto" w:fill="FFFFFF" w:themeFill="background1"/>
            <w:vAlign w:val="center"/>
          </w:tcPr>
          <w:p w14:paraId="030B370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2,297</w:t>
            </w:r>
          </w:p>
        </w:tc>
      </w:tr>
      <w:tr w:rsidR="00632E5B" w14:paraId="328E63D3" w14:textId="77777777" w:rsidTr="00CB6FD6">
        <w:trPr>
          <w:trHeight w:val="240"/>
        </w:trPr>
        <w:tc>
          <w:tcPr>
            <w:tcW w:w="4820" w:type="dxa"/>
            <w:shd w:val="clear" w:color="auto" w:fill="FFFFFF" w:themeFill="background1"/>
            <w:vAlign w:val="center"/>
          </w:tcPr>
          <w:p w14:paraId="1B65F645"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母公司及主要子公司需承担费用的离退休职工人数（人）</w:t>
            </w:r>
          </w:p>
        </w:tc>
        <w:tc>
          <w:tcPr>
            <w:tcW w:w="4820" w:type="dxa"/>
            <w:shd w:val="clear" w:color="auto" w:fill="FFFFFF" w:themeFill="background1"/>
            <w:vAlign w:val="center"/>
          </w:tcPr>
          <w:p w14:paraId="31A56E8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632E5B" w14:paraId="3E7EEE89" w14:textId="77777777" w:rsidTr="00CB6FD6">
        <w:trPr>
          <w:trHeight w:val="240"/>
        </w:trPr>
        <w:tc>
          <w:tcPr>
            <w:tcW w:w="9639" w:type="dxa"/>
            <w:gridSpan w:val="2"/>
            <w:shd w:val="clear" w:color="auto" w:fill="FFFFFF" w:themeFill="background1"/>
            <w:vAlign w:val="center"/>
          </w:tcPr>
          <w:p w14:paraId="1B98584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专业构成</w:t>
            </w:r>
          </w:p>
        </w:tc>
      </w:tr>
      <w:tr w:rsidR="00632E5B" w14:paraId="749E3A2C" w14:textId="77777777" w:rsidTr="00CB6FD6">
        <w:trPr>
          <w:trHeight w:val="240"/>
        </w:trPr>
        <w:tc>
          <w:tcPr>
            <w:tcW w:w="4820" w:type="dxa"/>
            <w:shd w:val="clear" w:color="auto" w:fill="FFFFFF" w:themeFill="background1"/>
            <w:vAlign w:val="center"/>
          </w:tcPr>
          <w:p w14:paraId="2691E2B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专业构成类别</w:t>
            </w:r>
          </w:p>
        </w:tc>
        <w:tc>
          <w:tcPr>
            <w:tcW w:w="4820" w:type="dxa"/>
            <w:shd w:val="clear" w:color="auto" w:fill="FFFFFF" w:themeFill="background1"/>
            <w:vAlign w:val="center"/>
          </w:tcPr>
          <w:p w14:paraId="45B2BA3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专业构成人数（人）</w:t>
            </w:r>
          </w:p>
        </w:tc>
      </w:tr>
      <w:tr w:rsidR="00632E5B" w14:paraId="2FDDCEA8" w14:textId="77777777" w:rsidTr="00CB6FD6">
        <w:trPr>
          <w:trHeight w:val="240"/>
        </w:trPr>
        <w:tc>
          <w:tcPr>
            <w:tcW w:w="4820" w:type="dxa"/>
            <w:shd w:val="clear" w:color="auto" w:fill="FFFFFF" w:themeFill="background1"/>
            <w:vAlign w:val="center"/>
          </w:tcPr>
          <w:p w14:paraId="752AAFA7"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生产人员</w:t>
            </w:r>
          </w:p>
        </w:tc>
        <w:tc>
          <w:tcPr>
            <w:tcW w:w="4820" w:type="dxa"/>
            <w:shd w:val="clear" w:color="auto" w:fill="FFFFFF" w:themeFill="background1"/>
            <w:vAlign w:val="center"/>
          </w:tcPr>
          <w:p w14:paraId="01A19BA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1,092</w:t>
            </w:r>
          </w:p>
        </w:tc>
      </w:tr>
      <w:tr w:rsidR="00632E5B" w14:paraId="31A56414" w14:textId="77777777" w:rsidTr="00CB6FD6">
        <w:trPr>
          <w:trHeight w:val="240"/>
        </w:trPr>
        <w:tc>
          <w:tcPr>
            <w:tcW w:w="4820" w:type="dxa"/>
            <w:shd w:val="clear" w:color="auto" w:fill="FFFFFF" w:themeFill="background1"/>
            <w:vAlign w:val="center"/>
          </w:tcPr>
          <w:p w14:paraId="6B4DCD3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销售人员</w:t>
            </w:r>
          </w:p>
        </w:tc>
        <w:tc>
          <w:tcPr>
            <w:tcW w:w="4820" w:type="dxa"/>
            <w:shd w:val="clear" w:color="auto" w:fill="FFFFFF" w:themeFill="background1"/>
            <w:vAlign w:val="center"/>
          </w:tcPr>
          <w:p w14:paraId="22C66F3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214</w:t>
            </w:r>
          </w:p>
        </w:tc>
      </w:tr>
      <w:tr w:rsidR="00632E5B" w14:paraId="441E2F74" w14:textId="77777777" w:rsidTr="00CB6FD6">
        <w:trPr>
          <w:trHeight w:val="240"/>
        </w:trPr>
        <w:tc>
          <w:tcPr>
            <w:tcW w:w="4820" w:type="dxa"/>
            <w:shd w:val="clear" w:color="auto" w:fill="FFFFFF" w:themeFill="background1"/>
            <w:vAlign w:val="center"/>
          </w:tcPr>
          <w:p w14:paraId="30FD179A"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技术人员</w:t>
            </w:r>
          </w:p>
        </w:tc>
        <w:tc>
          <w:tcPr>
            <w:tcW w:w="4820" w:type="dxa"/>
            <w:shd w:val="clear" w:color="auto" w:fill="FFFFFF" w:themeFill="background1"/>
            <w:vAlign w:val="center"/>
          </w:tcPr>
          <w:p w14:paraId="787F3B9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466</w:t>
            </w:r>
          </w:p>
        </w:tc>
      </w:tr>
      <w:tr w:rsidR="00632E5B" w14:paraId="5A205CA2" w14:textId="77777777" w:rsidTr="00CB6FD6">
        <w:trPr>
          <w:trHeight w:val="240"/>
        </w:trPr>
        <w:tc>
          <w:tcPr>
            <w:tcW w:w="4820" w:type="dxa"/>
            <w:shd w:val="clear" w:color="auto" w:fill="FFFFFF" w:themeFill="background1"/>
            <w:vAlign w:val="center"/>
          </w:tcPr>
          <w:p w14:paraId="550F4B15"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财务人员</w:t>
            </w:r>
          </w:p>
        </w:tc>
        <w:tc>
          <w:tcPr>
            <w:tcW w:w="4820" w:type="dxa"/>
            <w:shd w:val="clear" w:color="auto" w:fill="FFFFFF" w:themeFill="background1"/>
            <w:vAlign w:val="center"/>
          </w:tcPr>
          <w:p w14:paraId="46C04B9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98</w:t>
            </w:r>
          </w:p>
        </w:tc>
      </w:tr>
      <w:tr w:rsidR="00632E5B" w14:paraId="0F5CD03E" w14:textId="77777777" w:rsidTr="00CB6FD6">
        <w:trPr>
          <w:trHeight w:val="240"/>
        </w:trPr>
        <w:tc>
          <w:tcPr>
            <w:tcW w:w="4820" w:type="dxa"/>
            <w:shd w:val="clear" w:color="auto" w:fill="FFFFFF" w:themeFill="background1"/>
            <w:vAlign w:val="center"/>
          </w:tcPr>
          <w:p w14:paraId="268E93F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行政人员</w:t>
            </w:r>
          </w:p>
        </w:tc>
        <w:tc>
          <w:tcPr>
            <w:tcW w:w="4820" w:type="dxa"/>
            <w:shd w:val="clear" w:color="auto" w:fill="FFFFFF" w:themeFill="background1"/>
            <w:vAlign w:val="center"/>
          </w:tcPr>
          <w:p w14:paraId="46CF076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427</w:t>
            </w:r>
          </w:p>
        </w:tc>
      </w:tr>
      <w:tr w:rsidR="00632E5B" w14:paraId="3EB38ACB" w14:textId="77777777" w:rsidTr="00CB6FD6">
        <w:trPr>
          <w:trHeight w:val="240"/>
        </w:trPr>
        <w:tc>
          <w:tcPr>
            <w:tcW w:w="4820" w:type="dxa"/>
            <w:shd w:val="clear" w:color="auto" w:fill="FFFFFF" w:themeFill="background1"/>
            <w:vAlign w:val="center"/>
          </w:tcPr>
          <w:p w14:paraId="76ADA6B9"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4820" w:type="dxa"/>
            <w:shd w:val="clear" w:color="auto" w:fill="FFFFFF" w:themeFill="background1"/>
            <w:vAlign w:val="center"/>
          </w:tcPr>
          <w:p w14:paraId="7EE1FCF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2,297</w:t>
            </w:r>
          </w:p>
        </w:tc>
      </w:tr>
      <w:tr w:rsidR="00632E5B" w14:paraId="237FBC57" w14:textId="77777777" w:rsidTr="00CB6FD6">
        <w:trPr>
          <w:trHeight w:val="240"/>
        </w:trPr>
        <w:tc>
          <w:tcPr>
            <w:tcW w:w="9639" w:type="dxa"/>
            <w:gridSpan w:val="2"/>
            <w:shd w:val="clear" w:color="auto" w:fill="FFFFFF" w:themeFill="background1"/>
            <w:vAlign w:val="center"/>
          </w:tcPr>
          <w:p w14:paraId="08E0649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教育程度</w:t>
            </w:r>
          </w:p>
        </w:tc>
      </w:tr>
      <w:tr w:rsidR="00632E5B" w14:paraId="6DD49365" w14:textId="77777777" w:rsidTr="00CB6FD6">
        <w:trPr>
          <w:trHeight w:val="240"/>
        </w:trPr>
        <w:tc>
          <w:tcPr>
            <w:tcW w:w="4820" w:type="dxa"/>
            <w:shd w:val="clear" w:color="auto" w:fill="FFFFFF" w:themeFill="background1"/>
            <w:vAlign w:val="center"/>
          </w:tcPr>
          <w:p w14:paraId="7669140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教育程度类别</w:t>
            </w:r>
          </w:p>
        </w:tc>
        <w:tc>
          <w:tcPr>
            <w:tcW w:w="4820" w:type="dxa"/>
            <w:shd w:val="clear" w:color="auto" w:fill="FFFFFF" w:themeFill="background1"/>
            <w:vAlign w:val="center"/>
          </w:tcPr>
          <w:p w14:paraId="3831E96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数量（人）</w:t>
            </w:r>
          </w:p>
        </w:tc>
      </w:tr>
      <w:tr w:rsidR="00632E5B" w14:paraId="6AE2B187" w14:textId="77777777" w:rsidTr="00CB6FD6">
        <w:trPr>
          <w:trHeight w:val="240"/>
        </w:trPr>
        <w:tc>
          <w:tcPr>
            <w:tcW w:w="4820" w:type="dxa"/>
            <w:shd w:val="clear" w:color="auto" w:fill="FFFFFF" w:themeFill="background1"/>
            <w:vAlign w:val="center"/>
          </w:tcPr>
          <w:p w14:paraId="0F278E9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研究生及以上学历</w:t>
            </w:r>
          </w:p>
        </w:tc>
        <w:tc>
          <w:tcPr>
            <w:tcW w:w="4820" w:type="dxa"/>
            <w:shd w:val="clear" w:color="auto" w:fill="FFFFFF" w:themeFill="background1"/>
            <w:vAlign w:val="center"/>
          </w:tcPr>
          <w:p w14:paraId="7B96FFD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40</w:t>
            </w:r>
          </w:p>
        </w:tc>
      </w:tr>
      <w:tr w:rsidR="00632E5B" w14:paraId="07DCA382" w14:textId="77777777" w:rsidTr="00CB6FD6">
        <w:trPr>
          <w:trHeight w:val="240"/>
        </w:trPr>
        <w:tc>
          <w:tcPr>
            <w:tcW w:w="4820" w:type="dxa"/>
            <w:shd w:val="clear" w:color="auto" w:fill="FFFFFF" w:themeFill="background1"/>
            <w:vAlign w:val="center"/>
          </w:tcPr>
          <w:p w14:paraId="15C165C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本科学历</w:t>
            </w:r>
          </w:p>
        </w:tc>
        <w:tc>
          <w:tcPr>
            <w:tcW w:w="4820" w:type="dxa"/>
            <w:shd w:val="clear" w:color="auto" w:fill="FFFFFF" w:themeFill="background1"/>
            <w:vAlign w:val="center"/>
          </w:tcPr>
          <w:p w14:paraId="376A662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561</w:t>
            </w:r>
          </w:p>
        </w:tc>
      </w:tr>
      <w:tr w:rsidR="00632E5B" w14:paraId="2A47F9BD" w14:textId="77777777" w:rsidTr="00CB6FD6">
        <w:trPr>
          <w:trHeight w:val="240"/>
        </w:trPr>
        <w:tc>
          <w:tcPr>
            <w:tcW w:w="4820" w:type="dxa"/>
            <w:shd w:val="clear" w:color="auto" w:fill="FFFFFF" w:themeFill="background1"/>
            <w:vAlign w:val="center"/>
          </w:tcPr>
          <w:p w14:paraId="3679697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大专学历</w:t>
            </w:r>
          </w:p>
        </w:tc>
        <w:tc>
          <w:tcPr>
            <w:tcW w:w="4820" w:type="dxa"/>
            <w:shd w:val="clear" w:color="auto" w:fill="FFFFFF" w:themeFill="background1"/>
            <w:vAlign w:val="center"/>
          </w:tcPr>
          <w:p w14:paraId="6ACF359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538</w:t>
            </w:r>
          </w:p>
        </w:tc>
      </w:tr>
      <w:tr w:rsidR="00632E5B" w14:paraId="5906C7DB" w14:textId="77777777" w:rsidTr="00CB6FD6">
        <w:trPr>
          <w:trHeight w:val="240"/>
        </w:trPr>
        <w:tc>
          <w:tcPr>
            <w:tcW w:w="4820" w:type="dxa"/>
            <w:shd w:val="clear" w:color="auto" w:fill="FFFFFF" w:themeFill="background1"/>
            <w:vAlign w:val="center"/>
          </w:tcPr>
          <w:p w14:paraId="2644825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高中及以下学历</w:t>
            </w:r>
          </w:p>
        </w:tc>
        <w:tc>
          <w:tcPr>
            <w:tcW w:w="4820" w:type="dxa"/>
            <w:shd w:val="clear" w:color="auto" w:fill="FFFFFF" w:themeFill="background1"/>
            <w:vAlign w:val="center"/>
          </w:tcPr>
          <w:p w14:paraId="2D48B2F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1,158</w:t>
            </w:r>
          </w:p>
        </w:tc>
      </w:tr>
      <w:tr w:rsidR="00632E5B" w14:paraId="5052BF80" w14:textId="77777777" w:rsidTr="00CB6FD6">
        <w:trPr>
          <w:trHeight w:val="240"/>
        </w:trPr>
        <w:tc>
          <w:tcPr>
            <w:tcW w:w="4820" w:type="dxa"/>
            <w:shd w:val="clear" w:color="auto" w:fill="FFFFFF" w:themeFill="background1"/>
            <w:vAlign w:val="center"/>
          </w:tcPr>
          <w:p w14:paraId="742E0EBF"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4820" w:type="dxa"/>
            <w:shd w:val="clear" w:color="auto" w:fill="FFFFFF" w:themeFill="background1"/>
            <w:vAlign w:val="center"/>
          </w:tcPr>
          <w:p w14:paraId="25F8AEB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2,297</w:t>
            </w:r>
          </w:p>
        </w:tc>
      </w:tr>
    </w:tbl>
    <w:p w14:paraId="11896D5E" w14:textId="77777777" w:rsidR="00632E5B" w:rsidRDefault="00107901">
      <w:pPr>
        <w:pStyle w:val="3"/>
        <w:spacing w:line="280" w:lineRule="exact"/>
        <w:jc w:val="left"/>
        <w:rPr>
          <w:rFonts w:ascii="宋体" w:hAnsi="宋体" w:cs="宋体" w:hint="eastAsia"/>
          <w:b/>
          <w:bCs/>
        </w:rPr>
      </w:pPr>
      <w:bookmarkStart w:id="76" w:name="_Toc988965"/>
      <w:r>
        <w:rPr>
          <w:rFonts w:ascii="宋体" w:hAnsi="宋体" w:cs="宋体"/>
          <w:b/>
          <w:bCs/>
        </w:rPr>
        <w:t>2、薪酬政策</w:t>
      </w:r>
      <w:bookmarkEnd w:id="76"/>
    </w:p>
    <w:p w14:paraId="603556C9" w14:textId="0F1E111A" w:rsidR="00E72F0C" w:rsidRDefault="00107901" w:rsidP="0017670C">
      <w:pPr>
        <w:pStyle w:val="a3"/>
        <w:spacing w:before="0" w:beforeAutospacing="0" w:after="0" w:afterAutospacing="0" w:line="360" w:lineRule="auto"/>
        <w:ind w:firstLineChars="200" w:firstLine="420"/>
        <w:jc w:val="both"/>
        <w:divId w:val="376708603"/>
        <w:rPr>
          <w:rFonts w:hint="eastAsia"/>
          <w:sz w:val="18"/>
          <w:szCs w:val="18"/>
        </w:rPr>
      </w:pPr>
      <w:r>
        <w:rPr>
          <w:rFonts w:hint="eastAsia"/>
          <w:sz w:val="21"/>
          <w:szCs w:val="21"/>
        </w:rPr>
        <w:t>公司以市场化为导向，制定兼具保障性和激励性的薪酬体系。高级管理人员实行年薪制，绩效薪酬与公司业绩相关；中基层管理人员薪酬与公司业绩、管理绩效相关；基层生产员工由基本工资、绩效工资、项目奖金、计件工资、加班工资、年终效益奖金等项目构成；业务员工以高绩效激励为原则制定薪酬考核机制。同时，公司按国家政策及法律法规为员工缴纳五险一金，努力提供员工工作安全感，营造以人为本的工作和职业发展环境。</w:t>
      </w:r>
    </w:p>
    <w:p w14:paraId="794F3A3A" w14:textId="77777777" w:rsidR="00632E5B" w:rsidRDefault="00107901">
      <w:pPr>
        <w:pStyle w:val="3"/>
        <w:spacing w:line="280" w:lineRule="exact"/>
        <w:jc w:val="left"/>
        <w:rPr>
          <w:rFonts w:ascii="宋体" w:hAnsi="宋体" w:cs="宋体" w:hint="eastAsia"/>
          <w:b/>
          <w:bCs/>
        </w:rPr>
      </w:pPr>
      <w:bookmarkStart w:id="77" w:name="_Toc988966"/>
      <w:r>
        <w:rPr>
          <w:rFonts w:ascii="宋体" w:hAnsi="宋体" w:cs="宋体"/>
          <w:b/>
          <w:bCs/>
        </w:rPr>
        <w:lastRenderedPageBreak/>
        <w:t>3、培训计划</w:t>
      </w:r>
      <w:bookmarkEnd w:id="77"/>
    </w:p>
    <w:p w14:paraId="6F79C1C6" w14:textId="77777777" w:rsidR="00E72F0C" w:rsidRPr="0017670C" w:rsidRDefault="00107901" w:rsidP="0017670C">
      <w:pPr>
        <w:pStyle w:val="a3"/>
        <w:spacing w:before="0" w:beforeAutospacing="0" w:after="0" w:afterAutospacing="0" w:line="360" w:lineRule="auto"/>
        <w:ind w:firstLineChars="200" w:firstLine="420"/>
        <w:jc w:val="both"/>
        <w:divId w:val="647781326"/>
        <w:rPr>
          <w:rFonts w:hint="eastAsia"/>
          <w:sz w:val="21"/>
          <w:szCs w:val="21"/>
        </w:rPr>
      </w:pPr>
      <w:r w:rsidRPr="0017670C">
        <w:rPr>
          <w:rFonts w:hint="eastAsia"/>
          <w:sz w:val="21"/>
          <w:szCs w:val="21"/>
        </w:rPr>
        <w:t>公司重视各层级员工的能力提升和培养，结合公司发展规划和日常生产经营需要，建立了较为完整的培训体系，包括入职培训、产品培训、技能提升与认定、质量管理、安全生产、管理技能等培训，涵盖高、中、基层管理岗位员工和生产一线员工，并对部分技能、职称、职业资格类专业能力提升实行奖励或补贴政策，鼓励员工不断实现自我提升，从而在工作中提升公司经营管理能力，助力公司降本增效、良性发展。</w:t>
      </w:r>
    </w:p>
    <w:p w14:paraId="2D0BA8C4" w14:textId="77777777" w:rsidR="00632E5B" w:rsidRDefault="00107901">
      <w:pPr>
        <w:pStyle w:val="3"/>
        <w:spacing w:line="280" w:lineRule="exact"/>
        <w:jc w:val="left"/>
        <w:rPr>
          <w:rFonts w:ascii="宋体" w:hAnsi="宋体" w:cs="宋体" w:hint="eastAsia"/>
          <w:b/>
          <w:bCs/>
        </w:rPr>
      </w:pPr>
      <w:bookmarkStart w:id="78" w:name="_Toc988967"/>
      <w:r>
        <w:rPr>
          <w:rFonts w:ascii="宋体" w:hAnsi="宋体" w:cs="宋体"/>
          <w:b/>
          <w:bCs/>
        </w:rPr>
        <w:t>4、劳务外包情况</w:t>
      </w:r>
      <w:bookmarkEnd w:id="78"/>
    </w:p>
    <w:p w14:paraId="335626F8"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4820"/>
        <w:gridCol w:w="4819"/>
      </w:tblGrid>
      <w:tr w:rsidR="00632E5B" w14:paraId="5E011240" w14:textId="77777777" w:rsidTr="00372641">
        <w:trPr>
          <w:trHeight w:val="240"/>
        </w:trPr>
        <w:tc>
          <w:tcPr>
            <w:tcW w:w="4820" w:type="dxa"/>
            <w:shd w:val="clear" w:color="auto" w:fill="FFFFFF" w:themeFill="background1"/>
            <w:vAlign w:val="center"/>
          </w:tcPr>
          <w:p w14:paraId="0B21C1AD"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劳务外包的工时总数（小时）</w:t>
            </w:r>
          </w:p>
        </w:tc>
        <w:tc>
          <w:tcPr>
            <w:tcW w:w="4820" w:type="dxa"/>
            <w:shd w:val="clear" w:color="auto" w:fill="FFFFFF" w:themeFill="background1"/>
            <w:vAlign w:val="center"/>
          </w:tcPr>
          <w:p w14:paraId="290FCB9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300,642.4</w:t>
            </w:r>
          </w:p>
        </w:tc>
      </w:tr>
      <w:tr w:rsidR="00632E5B" w14:paraId="029A1C93" w14:textId="77777777" w:rsidTr="00372641">
        <w:trPr>
          <w:trHeight w:val="240"/>
        </w:trPr>
        <w:tc>
          <w:tcPr>
            <w:tcW w:w="4820" w:type="dxa"/>
            <w:shd w:val="clear" w:color="auto" w:fill="FFFFFF" w:themeFill="background1"/>
            <w:vAlign w:val="center"/>
          </w:tcPr>
          <w:p w14:paraId="6A261144"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劳务外包支付的报酬总额（元）</w:t>
            </w:r>
          </w:p>
        </w:tc>
        <w:tc>
          <w:tcPr>
            <w:tcW w:w="4820" w:type="dxa"/>
            <w:shd w:val="clear" w:color="auto" w:fill="FFFFFF" w:themeFill="background1"/>
            <w:vAlign w:val="center"/>
          </w:tcPr>
          <w:p w14:paraId="51714CB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5,911,953.41</w:t>
            </w:r>
          </w:p>
        </w:tc>
      </w:tr>
    </w:tbl>
    <w:p w14:paraId="6D46D711" w14:textId="77777777" w:rsidR="00632E5B" w:rsidRDefault="00107901">
      <w:pPr>
        <w:pStyle w:val="2"/>
        <w:spacing w:before="300" w:after="300" w:line="320" w:lineRule="exact"/>
        <w:rPr>
          <w:rFonts w:ascii="宋体" w:eastAsia="宋体" w:hAnsi="宋体" w:cs="宋体" w:hint="eastAsia"/>
          <w:b/>
          <w:bCs/>
          <w:sz w:val="24"/>
          <w:szCs w:val="24"/>
        </w:rPr>
      </w:pPr>
      <w:bookmarkStart w:id="79" w:name="_Toc988968"/>
      <w:r>
        <w:rPr>
          <w:rFonts w:ascii="宋体" w:eastAsia="宋体" w:hAnsi="宋体" w:cs="宋体"/>
          <w:b/>
          <w:bCs/>
          <w:sz w:val="24"/>
          <w:szCs w:val="24"/>
        </w:rPr>
        <w:t>十、公司利润分配及资本公积金转增股本情况</w:t>
      </w:r>
      <w:bookmarkEnd w:id="79"/>
    </w:p>
    <w:p w14:paraId="51B592B3"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报告期内利润分配政策，特别是现金分红政策的制定、执行或调整情况</w:t>
      </w:r>
    </w:p>
    <w:p w14:paraId="619C1E32" w14:textId="77777777" w:rsidR="0017670C" w:rsidRDefault="00107901" w:rsidP="0017670C">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7FEEE381" w14:textId="0B81C405" w:rsidR="00E72F0C" w:rsidRPr="00763CE9" w:rsidRDefault="0017670C" w:rsidP="0017670C">
      <w:pPr>
        <w:spacing w:before="100" w:after="100" w:line="240" w:lineRule="exact"/>
        <w:rPr>
          <w:rFonts w:asciiTheme="minorEastAsia" w:hAnsiTheme="minorEastAsia" w:cs="宋体" w:hint="eastAsia"/>
          <w:szCs w:val="21"/>
        </w:rPr>
      </w:pPr>
      <w:r w:rsidRPr="00763CE9">
        <w:rPr>
          <w:rFonts w:asciiTheme="minorEastAsia" w:hAnsiTheme="minorEastAsia" w:cs="宋体"/>
          <w:szCs w:val="21"/>
        </w:rPr>
        <w:t>1.</w:t>
      </w:r>
      <w:r w:rsidR="00107901" w:rsidRPr="00763CE9">
        <w:rPr>
          <w:rFonts w:asciiTheme="minorEastAsia" w:hAnsiTheme="minorEastAsia" w:cs="宋体" w:hint="eastAsia"/>
          <w:szCs w:val="21"/>
        </w:rPr>
        <w:t>利润分配政策制定情况</w:t>
      </w:r>
    </w:p>
    <w:p w14:paraId="0A9ACCF8" w14:textId="3E4163CE" w:rsidR="00E72F0C" w:rsidRPr="00763CE9" w:rsidRDefault="00107901" w:rsidP="0017670C">
      <w:pPr>
        <w:pStyle w:val="a3"/>
        <w:spacing w:before="0" w:beforeAutospacing="0" w:after="0" w:afterAutospacing="0" w:line="360" w:lineRule="auto"/>
        <w:ind w:firstLineChars="200" w:firstLine="420"/>
        <w:jc w:val="both"/>
        <w:divId w:val="588854442"/>
        <w:rPr>
          <w:rFonts w:asciiTheme="minorEastAsia" w:eastAsiaTheme="minorEastAsia" w:hAnsiTheme="minorEastAsia" w:hint="eastAsia"/>
          <w:sz w:val="21"/>
          <w:szCs w:val="21"/>
        </w:rPr>
      </w:pPr>
      <w:r w:rsidRPr="00763CE9">
        <w:rPr>
          <w:rFonts w:asciiTheme="minorEastAsia" w:eastAsiaTheme="minorEastAsia" w:hAnsiTheme="minorEastAsia" w:hint="eastAsia"/>
          <w:sz w:val="21"/>
          <w:szCs w:val="21"/>
        </w:rPr>
        <w:t>2024年4月23日，公司第六届董事会第七次会议审议通过了《公司〈未来三年（2024-2026年）股东回报规划〉的议案》。公司着眼于未来的可持续发展，在综合分析公司经营发展实际情况、股东的要求和意愿、社会资金成本、外部融资环境、公司现金流量状况等因素的基础上，制定了《未来三年（2024-2026年）股东回报规划》，对利润分配做出制度性安排，以保证利润分配政策的连续性和稳定性。该规划重视对投资者的合理投资回报并兼顾公司当年的实际经营情况和可持续发展，在充分考虑股东利益的基础上处理公司的短期利益及长远发展的关系，有利于更好地保护投资者的利益，有利于实现投资者利益和公司利益的共赢。独立董事在上述制度和规划制定过程中积极履行职责，认真与经营管理层讨论了公司发展情况和应达到的目标，切实发挥了应有的作用。上述议案经公司 2023年度股东大会审议通过，公司严格执行上述相关制度和规定。</w:t>
      </w:r>
    </w:p>
    <w:p w14:paraId="6FB5F85E" w14:textId="6DCE86E6" w:rsidR="00E72F0C" w:rsidRPr="00763CE9" w:rsidRDefault="00763CE9" w:rsidP="0017670C">
      <w:pPr>
        <w:pStyle w:val="a3"/>
        <w:spacing w:before="0" w:beforeAutospacing="0" w:after="0" w:afterAutospacing="0" w:line="360" w:lineRule="auto"/>
        <w:jc w:val="both"/>
        <w:divId w:val="588854442"/>
        <w:rPr>
          <w:rFonts w:asciiTheme="minorEastAsia" w:eastAsiaTheme="minorEastAsia" w:hAnsiTheme="minorEastAsia" w:hint="eastAsia"/>
          <w:sz w:val="21"/>
          <w:szCs w:val="21"/>
        </w:rPr>
      </w:pPr>
      <w:r w:rsidRPr="00763CE9">
        <w:rPr>
          <w:rFonts w:asciiTheme="minorEastAsia" w:eastAsiaTheme="minorEastAsia" w:hAnsiTheme="minorEastAsia"/>
          <w:sz w:val="21"/>
          <w:szCs w:val="21"/>
        </w:rPr>
        <w:t>2.</w:t>
      </w:r>
      <w:r w:rsidR="00107901" w:rsidRPr="00763CE9">
        <w:rPr>
          <w:rFonts w:asciiTheme="minorEastAsia" w:eastAsiaTheme="minorEastAsia" w:hAnsiTheme="minorEastAsia" w:hint="eastAsia"/>
          <w:sz w:val="21"/>
          <w:szCs w:val="21"/>
        </w:rPr>
        <w:t>利润分配政策执行情况</w:t>
      </w:r>
    </w:p>
    <w:p w14:paraId="330629C8" w14:textId="13453D79" w:rsidR="00E72F0C" w:rsidRPr="00763CE9" w:rsidRDefault="00107901" w:rsidP="0017670C">
      <w:pPr>
        <w:pStyle w:val="a3"/>
        <w:spacing w:before="0" w:beforeAutospacing="0" w:after="0" w:afterAutospacing="0" w:line="360" w:lineRule="auto"/>
        <w:ind w:firstLineChars="200" w:firstLine="420"/>
        <w:jc w:val="both"/>
        <w:divId w:val="588854442"/>
        <w:rPr>
          <w:rFonts w:hint="eastAsia"/>
          <w:sz w:val="21"/>
          <w:szCs w:val="21"/>
        </w:rPr>
      </w:pPr>
      <w:r w:rsidRPr="00763CE9">
        <w:rPr>
          <w:rFonts w:hint="eastAsia"/>
          <w:sz w:val="21"/>
          <w:szCs w:val="21"/>
        </w:rPr>
        <w:t>报告期内，公司第六届董事会第七次会议审议通过了《关于公司2023年度利润分配预案的议案》，由于公司2023年仍处于亏损状态，按照《未来三年（2021-2023年）股东回报规划》之规定，2023 年度公司计划不派发现金红利，不送红股，不以公积金转增股本。</w:t>
      </w:r>
    </w:p>
    <w:p w14:paraId="0E7DAC69" w14:textId="5F1540D0" w:rsidR="00E72F0C" w:rsidRPr="00763CE9" w:rsidRDefault="00107901" w:rsidP="0017670C">
      <w:pPr>
        <w:pStyle w:val="a3"/>
        <w:spacing w:before="0" w:beforeAutospacing="0" w:after="0" w:afterAutospacing="0" w:line="360" w:lineRule="auto"/>
        <w:ind w:firstLineChars="200" w:firstLine="420"/>
        <w:jc w:val="both"/>
        <w:divId w:val="588854442"/>
        <w:rPr>
          <w:rFonts w:hint="eastAsia"/>
          <w:sz w:val="21"/>
          <w:szCs w:val="21"/>
        </w:rPr>
      </w:pPr>
      <w:r w:rsidRPr="00763CE9">
        <w:rPr>
          <w:rFonts w:hint="eastAsia"/>
          <w:sz w:val="21"/>
          <w:szCs w:val="21"/>
        </w:rPr>
        <w:lastRenderedPageBreak/>
        <w:t>公司第七届董事会第一次会议审议通过了《关于公司2024年度利润分配预案的议案》，公司2024年仍处于大额亏损状态，按照《未来三年（2024-2026年）股东回报规划》之规定，2024 年度公司计划不派发现金红利，不送红股，不以公积金转增股本。</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4820"/>
        <w:gridCol w:w="4819"/>
      </w:tblGrid>
      <w:tr w:rsidR="00632E5B" w14:paraId="290E2AC6" w14:textId="77777777" w:rsidTr="00372641">
        <w:trPr>
          <w:trHeight w:val="240"/>
        </w:trPr>
        <w:tc>
          <w:tcPr>
            <w:tcW w:w="9639" w:type="dxa"/>
            <w:gridSpan w:val="2"/>
            <w:shd w:val="clear" w:color="auto" w:fill="FFFFFF" w:themeFill="background1"/>
            <w:vAlign w:val="center"/>
          </w:tcPr>
          <w:p w14:paraId="064BE7F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现金分红政策的专项说明</w:t>
            </w:r>
          </w:p>
        </w:tc>
      </w:tr>
      <w:tr w:rsidR="00632E5B" w14:paraId="36B36B6D" w14:textId="77777777" w:rsidTr="00372641">
        <w:trPr>
          <w:trHeight w:val="240"/>
        </w:trPr>
        <w:tc>
          <w:tcPr>
            <w:tcW w:w="4820" w:type="dxa"/>
            <w:shd w:val="clear" w:color="auto" w:fill="FFFFFF" w:themeFill="background1"/>
            <w:vAlign w:val="center"/>
          </w:tcPr>
          <w:p w14:paraId="1F8BAB13"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是否符合公司章程的规定或股东大会决议的要求：</w:t>
            </w:r>
          </w:p>
        </w:tc>
        <w:tc>
          <w:tcPr>
            <w:tcW w:w="4820" w:type="dxa"/>
            <w:shd w:val="clear" w:color="auto" w:fill="FFFFFF" w:themeFill="background1"/>
            <w:vAlign w:val="center"/>
          </w:tcPr>
          <w:p w14:paraId="4C2EB3C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是</w:t>
            </w:r>
          </w:p>
        </w:tc>
      </w:tr>
      <w:tr w:rsidR="00632E5B" w14:paraId="34607938" w14:textId="77777777" w:rsidTr="00372641">
        <w:trPr>
          <w:trHeight w:val="240"/>
        </w:trPr>
        <w:tc>
          <w:tcPr>
            <w:tcW w:w="4820" w:type="dxa"/>
            <w:shd w:val="clear" w:color="auto" w:fill="FFFFFF" w:themeFill="background1"/>
            <w:vAlign w:val="center"/>
          </w:tcPr>
          <w:p w14:paraId="1C2D0CCA"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分红标准和比例是否明确和清晰：</w:t>
            </w:r>
          </w:p>
        </w:tc>
        <w:tc>
          <w:tcPr>
            <w:tcW w:w="4820" w:type="dxa"/>
            <w:shd w:val="clear" w:color="auto" w:fill="FFFFFF" w:themeFill="background1"/>
            <w:vAlign w:val="center"/>
          </w:tcPr>
          <w:p w14:paraId="0750733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是</w:t>
            </w:r>
          </w:p>
        </w:tc>
      </w:tr>
      <w:tr w:rsidR="00632E5B" w14:paraId="1102D2D4" w14:textId="77777777" w:rsidTr="00372641">
        <w:trPr>
          <w:trHeight w:val="240"/>
        </w:trPr>
        <w:tc>
          <w:tcPr>
            <w:tcW w:w="4820" w:type="dxa"/>
            <w:shd w:val="clear" w:color="auto" w:fill="FFFFFF" w:themeFill="background1"/>
            <w:vAlign w:val="center"/>
          </w:tcPr>
          <w:p w14:paraId="74171F53"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相关的决策程序和机制是否完备：</w:t>
            </w:r>
          </w:p>
        </w:tc>
        <w:tc>
          <w:tcPr>
            <w:tcW w:w="4820" w:type="dxa"/>
            <w:shd w:val="clear" w:color="auto" w:fill="FFFFFF" w:themeFill="background1"/>
            <w:vAlign w:val="center"/>
          </w:tcPr>
          <w:p w14:paraId="3619A60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是</w:t>
            </w:r>
          </w:p>
        </w:tc>
      </w:tr>
      <w:tr w:rsidR="00632E5B" w14:paraId="2ACFE984" w14:textId="77777777" w:rsidTr="00372641">
        <w:trPr>
          <w:trHeight w:val="240"/>
        </w:trPr>
        <w:tc>
          <w:tcPr>
            <w:tcW w:w="4820" w:type="dxa"/>
            <w:shd w:val="clear" w:color="auto" w:fill="FFFFFF" w:themeFill="background1"/>
            <w:vAlign w:val="center"/>
          </w:tcPr>
          <w:p w14:paraId="345ECDA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独立董事是否履职尽责并发挥了应有的作用：</w:t>
            </w:r>
          </w:p>
        </w:tc>
        <w:tc>
          <w:tcPr>
            <w:tcW w:w="4820" w:type="dxa"/>
            <w:shd w:val="clear" w:color="auto" w:fill="FFFFFF" w:themeFill="background1"/>
            <w:vAlign w:val="center"/>
          </w:tcPr>
          <w:p w14:paraId="34047A2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是</w:t>
            </w:r>
          </w:p>
        </w:tc>
      </w:tr>
      <w:tr w:rsidR="00632E5B" w14:paraId="5DA43D90" w14:textId="77777777" w:rsidTr="00372641">
        <w:trPr>
          <w:trHeight w:val="240"/>
        </w:trPr>
        <w:tc>
          <w:tcPr>
            <w:tcW w:w="4820" w:type="dxa"/>
            <w:shd w:val="clear" w:color="auto" w:fill="FFFFFF" w:themeFill="background1"/>
            <w:vAlign w:val="center"/>
          </w:tcPr>
          <w:p w14:paraId="053E2647"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公司未进行现金分红的，应当披露具体原因，以及下一步为增强投资者回报水平拟采取的举措：</w:t>
            </w:r>
          </w:p>
        </w:tc>
        <w:tc>
          <w:tcPr>
            <w:tcW w:w="4820" w:type="dxa"/>
            <w:shd w:val="clear" w:color="auto" w:fill="FFFFFF" w:themeFill="background1"/>
            <w:vAlign w:val="center"/>
          </w:tcPr>
          <w:p w14:paraId="2865BD43" w14:textId="77777777" w:rsidR="009C3B08" w:rsidRDefault="009C3B08" w:rsidP="009C3B08">
            <w:pPr>
              <w:spacing w:line="240" w:lineRule="exact"/>
              <w:rPr>
                <w:rFonts w:ascii="宋体" w:eastAsia="宋体" w:hAnsi="宋体" w:cs="宋体" w:hint="eastAsia"/>
                <w:sz w:val="18"/>
                <w:szCs w:val="18"/>
              </w:rPr>
            </w:pPr>
            <w:r>
              <w:rPr>
                <w:rFonts w:ascii="宋体" w:eastAsia="宋体" w:hAnsi="宋体" w:cs="宋体"/>
                <w:sz w:val="18"/>
                <w:szCs w:val="18"/>
              </w:rPr>
              <w:t>2024年公司但仍处于亏损状态，不满足现金分红的条件。</w:t>
            </w:r>
          </w:p>
          <w:p w14:paraId="43137CB6" w14:textId="7E2121EA" w:rsidR="00632E5B" w:rsidRDefault="009C3B08" w:rsidP="009C3B08">
            <w:pPr>
              <w:spacing w:line="240" w:lineRule="exact"/>
              <w:rPr>
                <w:rFonts w:ascii="宋体" w:eastAsia="宋体" w:hAnsi="宋体" w:cs="宋体" w:hint="eastAsia"/>
                <w:sz w:val="18"/>
                <w:szCs w:val="18"/>
              </w:rPr>
            </w:pPr>
            <w:r>
              <w:rPr>
                <w:rFonts w:ascii="宋体" w:eastAsia="宋体" w:hAnsi="宋体" w:cs="宋体"/>
                <w:sz w:val="18"/>
                <w:szCs w:val="18"/>
              </w:rPr>
              <w:t>报告期内公司顺利完成重整，引入产业投资人常熟光晟成为公司</w:t>
            </w:r>
            <w:r>
              <w:rPr>
                <w:rFonts w:ascii="宋体" w:eastAsia="宋体" w:hAnsi="宋体" w:cs="宋体" w:hint="eastAsia"/>
                <w:sz w:val="18"/>
                <w:szCs w:val="18"/>
              </w:rPr>
              <w:t>第一大</w:t>
            </w:r>
            <w:r>
              <w:rPr>
                <w:rFonts w:ascii="宋体" w:eastAsia="宋体" w:hAnsi="宋体" w:cs="宋体"/>
                <w:sz w:val="18"/>
                <w:szCs w:val="18"/>
              </w:rPr>
              <w:t>股东，</w:t>
            </w:r>
            <w:r>
              <w:rPr>
                <w:rFonts w:ascii="宋体" w:eastAsia="宋体" w:hAnsi="宋体" w:cs="宋体" w:hint="eastAsia"/>
                <w:sz w:val="18"/>
                <w:szCs w:val="18"/>
              </w:rPr>
              <w:t>并于2</w:t>
            </w:r>
            <w:r>
              <w:rPr>
                <w:rFonts w:ascii="宋体" w:eastAsia="宋体" w:hAnsi="宋体" w:cs="宋体"/>
                <w:sz w:val="18"/>
                <w:szCs w:val="18"/>
              </w:rPr>
              <w:t>025</w:t>
            </w:r>
            <w:r>
              <w:rPr>
                <w:rFonts w:ascii="宋体" w:eastAsia="宋体" w:hAnsi="宋体" w:cs="宋体" w:hint="eastAsia"/>
                <w:sz w:val="18"/>
                <w:szCs w:val="18"/>
              </w:rPr>
              <w:t>年董事会改选后成为控股股东，</w:t>
            </w:r>
            <w:r>
              <w:rPr>
                <w:rFonts w:ascii="宋体" w:eastAsia="宋体" w:hAnsi="宋体" w:cs="宋体"/>
                <w:sz w:val="18"/>
                <w:szCs w:val="18"/>
              </w:rPr>
              <w:t>实控人变更为厦门国资委。公司将在新控股股东的支持下，恢复和拓展光伏和线缆双主业的发展，重塑市场影响，提升运营效益，以期回报投资者。</w:t>
            </w:r>
          </w:p>
        </w:tc>
      </w:tr>
      <w:tr w:rsidR="00632E5B" w14:paraId="2AB61F0A" w14:textId="77777777" w:rsidTr="00372641">
        <w:trPr>
          <w:trHeight w:val="240"/>
        </w:trPr>
        <w:tc>
          <w:tcPr>
            <w:tcW w:w="4820" w:type="dxa"/>
            <w:shd w:val="clear" w:color="auto" w:fill="FFFFFF" w:themeFill="background1"/>
            <w:vAlign w:val="center"/>
          </w:tcPr>
          <w:p w14:paraId="00DAA94A"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中小股东是否有充分表达意见和诉求的机会，其合法权益是否得到了充分保护：</w:t>
            </w:r>
          </w:p>
        </w:tc>
        <w:tc>
          <w:tcPr>
            <w:tcW w:w="4820" w:type="dxa"/>
            <w:shd w:val="clear" w:color="auto" w:fill="FFFFFF" w:themeFill="background1"/>
            <w:vAlign w:val="center"/>
          </w:tcPr>
          <w:p w14:paraId="5F9D258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是</w:t>
            </w:r>
          </w:p>
        </w:tc>
      </w:tr>
      <w:tr w:rsidR="00632E5B" w14:paraId="2AFD10BE" w14:textId="77777777" w:rsidTr="00372641">
        <w:trPr>
          <w:trHeight w:val="240"/>
        </w:trPr>
        <w:tc>
          <w:tcPr>
            <w:tcW w:w="4820" w:type="dxa"/>
            <w:shd w:val="clear" w:color="auto" w:fill="FFFFFF" w:themeFill="background1"/>
            <w:vAlign w:val="center"/>
          </w:tcPr>
          <w:p w14:paraId="27D183E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现金分红政策进行调整或变更的，条件及程序是否合规、透明：</w:t>
            </w:r>
          </w:p>
        </w:tc>
        <w:tc>
          <w:tcPr>
            <w:tcW w:w="4820" w:type="dxa"/>
            <w:shd w:val="clear" w:color="auto" w:fill="FFFFFF" w:themeFill="background1"/>
            <w:vAlign w:val="center"/>
          </w:tcPr>
          <w:p w14:paraId="2BBDCA0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是</w:t>
            </w:r>
          </w:p>
        </w:tc>
      </w:tr>
    </w:tbl>
    <w:p w14:paraId="49780F75"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公司报告期内盈利且母公司可供股东分配利润为正但未提出现金红利分配预案</w:t>
      </w:r>
    </w:p>
    <w:p w14:paraId="1DF5CB74"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98AF3B5"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本报告期利润分配及资本公积金转增股本情况</w:t>
      </w:r>
    </w:p>
    <w:p w14:paraId="62B46D66"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ED5CBA1"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公司计划年度不派发现金红利，不送红股，不以公积金转增股本。</w:t>
      </w:r>
    </w:p>
    <w:p w14:paraId="2AF1B6B5" w14:textId="77777777" w:rsidR="00632E5B" w:rsidRDefault="00107901">
      <w:pPr>
        <w:pStyle w:val="2"/>
        <w:spacing w:before="300" w:after="300" w:line="320" w:lineRule="exact"/>
        <w:rPr>
          <w:rFonts w:ascii="宋体" w:eastAsia="宋体" w:hAnsi="宋体" w:cs="宋体" w:hint="eastAsia"/>
          <w:b/>
          <w:bCs/>
          <w:sz w:val="24"/>
          <w:szCs w:val="24"/>
        </w:rPr>
      </w:pPr>
      <w:bookmarkStart w:id="80" w:name="_Toc988969"/>
      <w:r>
        <w:rPr>
          <w:rFonts w:ascii="宋体" w:eastAsia="宋体" w:hAnsi="宋体" w:cs="宋体"/>
          <w:b/>
          <w:bCs/>
          <w:sz w:val="24"/>
          <w:szCs w:val="24"/>
        </w:rPr>
        <w:t>十一、公司股权激励计划、员工持股计划或其他员工激励措施的实施情况</w:t>
      </w:r>
      <w:bookmarkEnd w:id="80"/>
    </w:p>
    <w:p w14:paraId="15FB01B7"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597D99A7"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公司报告期无股权激励计划、员工持股计划或其他员工激励措施及其实施情况。</w:t>
      </w:r>
    </w:p>
    <w:p w14:paraId="427C8325" w14:textId="77777777" w:rsidR="00632E5B" w:rsidRDefault="00107901">
      <w:pPr>
        <w:pStyle w:val="2"/>
        <w:spacing w:before="300" w:after="300" w:line="320" w:lineRule="exact"/>
        <w:rPr>
          <w:rFonts w:ascii="宋体" w:eastAsia="宋体" w:hAnsi="宋体" w:cs="宋体" w:hint="eastAsia"/>
          <w:b/>
          <w:bCs/>
          <w:sz w:val="24"/>
          <w:szCs w:val="24"/>
        </w:rPr>
      </w:pPr>
      <w:bookmarkStart w:id="81" w:name="_Toc988970"/>
      <w:r>
        <w:rPr>
          <w:rFonts w:ascii="宋体" w:eastAsia="宋体" w:hAnsi="宋体" w:cs="宋体"/>
          <w:b/>
          <w:bCs/>
          <w:sz w:val="24"/>
          <w:szCs w:val="24"/>
        </w:rPr>
        <w:t>十二、报告期内的内部控制制度建设及实施情况</w:t>
      </w:r>
      <w:bookmarkEnd w:id="81"/>
    </w:p>
    <w:p w14:paraId="3DBFF65D" w14:textId="77777777" w:rsidR="00632E5B" w:rsidRDefault="00107901">
      <w:pPr>
        <w:pStyle w:val="3"/>
        <w:spacing w:line="280" w:lineRule="exact"/>
        <w:jc w:val="left"/>
        <w:rPr>
          <w:rFonts w:ascii="宋体" w:hAnsi="宋体" w:cs="宋体" w:hint="eastAsia"/>
          <w:b/>
          <w:bCs/>
        </w:rPr>
      </w:pPr>
      <w:bookmarkStart w:id="82" w:name="_Toc988971"/>
      <w:r>
        <w:rPr>
          <w:rFonts w:ascii="宋体" w:hAnsi="宋体" w:cs="宋体"/>
          <w:b/>
          <w:bCs/>
        </w:rPr>
        <w:t>1、内部控制建设及实施情况</w:t>
      </w:r>
      <w:bookmarkEnd w:id="82"/>
    </w:p>
    <w:p w14:paraId="085B120C" w14:textId="77777777" w:rsidR="00E72F0C" w:rsidRDefault="00107901" w:rsidP="00CE73B0">
      <w:pPr>
        <w:pStyle w:val="a3"/>
        <w:spacing w:before="0" w:beforeAutospacing="0" w:after="0" w:afterAutospacing="0" w:line="360" w:lineRule="auto"/>
        <w:jc w:val="both"/>
        <w:divId w:val="1921057998"/>
        <w:rPr>
          <w:rFonts w:hint="eastAsia"/>
          <w:sz w:val="18"/>
          <w:szCs w:val="18"/>
        </w:rPr>
      </w:pPr>
      <w:r>
        <w:rPr>
          <w:rFonts w:hint="eastAsia"/>
          <w:sz w:val="21"/>
          <w:szCs w:val="21"/>
        </w:rPr>
        <w:t>  公司根据《企业内部控制基本规范》及其配套指引的规定和其他内部控制监管要求，按公司实际情况，已基本建立健全了公司内部控制制度体系并得到有效的执行。根据公司财务报告内部控制缺陷的认定标准，于内部控制评价报告基准日，不存在财务报告内部控制重大缺陷、重要缺陷。根据公司非财务报告内部控制缺陷的认定标准，于内部控制评价报告基准日，公司未发现非财务报告内部控制重大缺陷、重要缺陷。</w:t>
      </w:r>
    </w:p>
    <w:p w14:paraId="28D01C0B" w14:textId="77777777" w:rsidR="00E72F0C" w:rsidRDefault="00107901" w:rsidP="00CE73B0">
      <w:pPr>
        <w:pStyle w:val="a3"/>
        <w:spacing w:before="0" w:beforeAutospacing="0" w:after="0" w:afterAutospacing="0" w:line="360" w:lineRule="auto"/>
        <w:jc w:val="both"/>
        <w:divId w:val="1921057998"/>
        <w:rPr>
          <w:rFonts w:hint="eastAsia"/>
          <w:sz w:val="18"/>
          <w:szCs w:val="18"/>
        </w:rPr>
      </w:pPr>
      <w:r>
        <w:rPr>
          <w:rFonts w:hint="eastAsia"/>
          <w:sz w:val="21"/>
          <w:szCs w:val="21"/>
        </w:rPr>
        <w:t>  公司在本报告期内通过执行重整计划，对以前年度发生的原控股股东及其关联方非经营性资金占用得以清偿解决、对违规担保事项得以化解。</w:t>
      </w:r>
    </w:p>
    <w:p w14:paraId="52D0A8FD" w14:textId="77777777" w:rsidR="00632E5B" w:rsidRDefault="00107901">
      <w:pPr>
        <w:pStyle w:val="3"/>
        <w:spacing w:line="280" w:lineRule="exact"/>
        <w:jc w:val="left"/>
        <w:rPr>
          <w:rFonts w:ascii="宋体" w:hAnsi="宋体" w:cs="宋体" w:hint="eastAsia"/>
          <w:b/>
          <w:bCs/>
        </w:rPr>
      </w:pPr>
      <w:bookmarkStart w:id="83" w:name="_Toc988972"/>
      <w:r>
        <w:rPr>
          <w:rFonts w:ascii="宋体" w:hAnsi="宋体" w:cs="宋体"/>
          <w:b/>
          <w:bCs/>
        </w:rPr>
        <w:lastRenderedPageBreak/>
        <w:t>2、报告期内发现的内部控制重大缺陷的具体情况</w:t>
      </w:r>
      <w:bookmarkEnd w:id="83"/>
    </w:p>
    <w:p w14:paraId="29EFC755"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6EBEBE0D" w14:textId="77777777" w:rsidR="00632E5B" w:rsidRDefault="00107901">
      <w:pPr>
        <w:pStyle w:val="2"/>
        <w:spacing w:before="300" w:after="300" w:line="320" w:lineRule="exact"/>
        <w:rPr>
          <w:rFonts w:ascii="宋体" w:eastAsia="宋体" w:hAnsi="宋体" w:cs="宋体" w:hint="eastAsia"/>
          <w:b/>
          <w:bCs/>
          <w:sz w:val="24"/>
          <w:szCs w:val="24"/>
        </w:rPr>
      </w:pPr>
      <w:bookmarkStart w:id="84" w:name="_Toc988973"/>
      <w:r>
        <w:rPr>
          <w:rFonts w:ascii="宋体" w:eastAsia="宋体" w:hAnsi="宋体" w:cs="宋体"/>
          <w:b/>
          <w:bCs/>
          <w:sz w:val="24"/>
          <w:szCs w:val="24"/>
        </w:rPr>
        <w:t>十三、公司报告期内对子公司的管理控制情况</w:t>
      </w:r>
      <w:bookmarkEnd w:id="84"/>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377"/>
        <w:gridCol w:w="1377"/>
        <w:gridCol w:w="1377"/>
        <w:gridCol w:w="1377"/>
        <w:gridCol w:w="1377"/>
        <w:gridCol w:w="1377"/>
        <w:gridCol w:w="1377"/>
      </w:tblGrid>
      <w:tr w:rsidR="00632E5B" w14:paraId="0CF031B0" w14:textId="77777777" w:rsidTr="00372641">
        <w:trPr>
          <w:trHeight w:val="240"/>
        </w:trPr>
        <w:tc>
          <w:tcPr>
            <w:tcW w:w="1377" w:type="dxa"/>
            <w:shd w:val="clear" w:color="auto" w:fill="FFFFFF" w:themeFill="background1"/>
            <w:vAlign w:val="center"/>
          </w:tcPr>
          <w:p w14:paraId="268DDF1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公司名称</w:t>
            </w:r>
          </w:p>
        </w:tc>
        <w:tc>
          <w:tcPr>
            <w:tcW w:w="1377" w:type="dxa"/>
            <w:shd w:val="clear" w:color="auto" w:fill="FFFFFF" w:themeFill="background1"/>
            <w:vAlign w:val="center"/>
          </w:tcPr>
          <w:p w14:paraId="2BB3BA8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整合计划</w:t>
            </w:r>
          </w:p>
        </w:tc>
        <w:tc>
          <w:tcPr>
            <w:tcW w:w="1377" w:type="dxa"/>
            <w:shd w:val="clear" w:color="auto" w:fill="FFFFFF" w:themeFill="background1"/>
            <w:vAlign w:val="center"/>
          </w:tcPr>
          <w:p w14:paraId="2908036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整合进展</w:t>
            </w:r>
          </w:p>
        </w:tc>
        <w:tc>
          <w:tcPr>
            <w:tcW w:w="1377" w:type="dxa"/>
            <w:shd w:val="clear" w:color="auto" w:fill="FFFFFF" w:themeFill="background1"/>
            <w:vAlign w:val="center"/>
          </w:tcPr>
          <w:p w14:paraId="3377FE0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整合中遇到的问题</w:t>
            </w:r>
          </w:p>
        </w:tc>
        <w:tc>
          <w:tcPr>
            <w:tcW w:w="1377" w:type="dxa"/>
            <w:shd w:val="clear" w:color="auto" w:fill="FFFFFF" w:themeFill="background1"/>
            <w:vAlign w:val="center"/>
          </w:tcPr>
          <w:p w14:paraId="1D5A454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已采取的解决措施</w:t>
            </w:r>
          </w:p>
        </w:tc>
        <w:tc>
          <w:tcPr>
            <w:tcW w:w="1377" w:type="dxa"/>
            <w:shd w:val="clear" w:color="auto" w:fill="FFFFFF" w:themeFill="background1"/>
            <w:vAlign w:val="center"/>
          </w:tcPr>
          <w:p w14:paraId="2B20F86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解决进展</w:t>
            </w:r>
          </w:p>
        </w:tc>
        <w:tc>
          <w:tcPr>
            <w:tcW w:w="1377" w:type="dxa"/>
            <w:shd w:val="clear" w:color="auto" w:fill="FFFFFF" w:themeFill="background1"/>
            <w:vAlign w:val="center"/>
          </w:tcPr>
          <w:p w14:paraId="2AE777E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后续解决计划</w:t>
            </w:r>
          </w:p>
        </w:tc>
      </w:tr>
      <w:tr w:rsidR="00632E5B" w14:paraId="722EC0DC" w14:textId="77777777" w:rsidTr="00372641">
        <w:trPr>
          <w:trHeight w:val="240"/>
        </w:trPr>
        <w:tc>
          <w:tcPr>
            <w:tcW w:w="1377" w:type="dxa"/>
            <w:shd w:val="clear" w:color="auto" w:fill="FFFFFF" w:themeFill="background1"/>
            <w:vAlign w:val="center"/>
          </w:tcPr>
          <w:p w14:paraId="75AEF31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w:t>
            </w:r>
          </w:p>
        </w:tc>
        <w:tc>
          <w:tcPr>
            <w:tcW w:w="1377" w:type="dxa"/>
            <w:shd w:val="clear" w:color="auto" w:fill="FFFFFF" w:themeFill="background1"/>
            <w:vAlign w:val="center"/>
          </w:tcPr>
          <w:p w14:paraId="53AFD3F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w:t>
            </w:r>
          </w:p>
        </w:tc>
        <w:tc>
          <w:tcPr>
            <w:tcW w:w="1377" w:type="dxa"/>
            <w:shd w:val="clear" w:color="auto" w:fill="FFFFFF" w:themeFill="background1"/>
            <w:vAlign w:val="center"/>
          </w:tcPr>
          <w:p w14:paraId="1B6400F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w:t>
            </w:r>
          </w:p>
        </w:tc>
        <w:tc>
          <w:tcPr>
            <w:tcW w:w="1377" w:type="dxa"/>
            <w:shd w:val="clear" w:color="auto" w:fill="FFFFFF" w:themeFill="background1"/>
            <w:vAlign w:val="center"/>
          </w:tcPr>
          <w:p w14:paraId="6685500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w:t>
            </w:r>
          </w:p>
        </w:tc>
        <w:tc>
          <w:tcPr>
            <w:tcW w:w="1377" w:type="dxa"/>
            <w:shd w:val="clear" w:color="auto" w:fill="FFFFFF" w:themeFill="background1"/>
            <w:vAlign w:val="center"/>
          </w:tcPr>
          <w:p w14:paraId="235C100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w:t>
            </w:r>
          </w:p>
        </w:tc>
        <w:tc>
          <w:tcPr>
            <w:tcW w:w="1377" w:type="dxa"/>
            <w:shd w:val="clear" w:color="auto" w:fill="FFFFFF" w:themeFill="background1"/>
            <w:vAlign w:val="center"/>
          </w:tcPr>
          <w:p w14:paraId="1DDEF30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w:t>
            </w:r>
          </w:p>
        </w:tc>
        <w:tc>
          <w:tcPr>
            <w:tcW w:w="1377" w:type="dxa"/>
            <w:shd w:val="clear" w:color="auto" w:fill="FFFFFF" w:themeFill="background1"/>
            <w:vAlign w:val="center"/>
          </w:tcPr>
          <w:p w14:paraId="0D1ED06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w:t>
            </w:r>
          </w:p>
        </w:tc>
      </w:tr>
    </w:tbl>
    <w:p w14:paraId="06A99AE8" w14:textId="77777777" w:rsidR="00632E5B" w:rsidRDefault="00107901">
      <w:pPr>
        <w:pStyle w:val="2"/>
        <w:spacing w:before="300" w:after="300" w:line="320" w:lineRule="exact"/>
        <w:rPr>
          <w:rFonts w:ascii="宋体" w:eastAsia="宋体" w:hAnsi="宋体" w:cs="宋体" w:hint="eastAsia"/>
          <w:b/>
          <w:bCs/>
          <w:sz w:val="24"/>
          <w:szCs w:val="24"/>
        </w:rPr>
      </w:pPr>
      <w:bookmarkStart w:id="85" w:name="_Toc988974"/>
      <w:r>
        <w:rPr>
          <w:rFonts w:ascii="宋体" w:eastAsia="宋体" w:hAnsi="宋体" w:cs="宋体"/>
          <w:b/>
          <w:bCs/>
          <w:sz w:val="24"/>
          <w:szCs w:val="24"/>
        </w:rPr>
        <w:t>十四、内部控制评价报告或内部控制审计报告</w:t>
      </w:r>
      <w:bookmarkEnd w:id="85"/>
    </w:p>
    <w:p w14:paraId="33A867CF" w14:textId="77777777" w:rsidR="00632E5B" w:rsidRDefault="00107901">
      <w:pPr>
        <w:pStyle w:val="3"/>
        <w:spacing w:line="280" w:lineRule="exact"/>
        <w:jc w:val="left"/>
        <w:rPr>
          <w:rFonts w:ascii="宋体" w:hAnsi="宋体" w:cs="宋体" w:hint="eastAsia"/>
          <w:b/>
          <w:bCs/>
        </w:rPr>
      </w:pPr>
      <w:bookmarkStart w:id="86" w:name="_Toc988975"/>
      <w:r>
        <w:rPr>
          <w:rFonts w:ascii="宋体" w:hAnsi="宋体" w:cs="宋体"/>
          <w:b/>
          <w:bCs/>
        </w:rPr>
        <w:t>1、内控评价报告</w:t>
      </w:r>
      <w:bookmarkEnd w:id="86"/>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583CB71E" w14:textId="77777777" w:rsidTr="00372641">
        <w:trPr>
          <w:trHeight w:val="240"/>
        </w:trPr>
        <w:tc>
          <w:tcPr>
            <w:tcW w:w="3213" w:type="dxa"/>
            <w:shd w:val="clear" w:color="auto" w:fill="FFFFFF" w:themeFill="background1"/>
            <w:vAlign w:val="center"/>
          </w:tcPr>
          <w:p w14:paraId="5EA34C82"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内部控制评价报告全文披露日期</w:t>
            </w:r>
          </w:p>
        </w:tc>
        <w:tc>
          <w:tcPr>
            <w:tcW w:w="6426" w:type="dxa"/>
            <w:gridSpan w:val="2"/>
            <w:shd w:val="clear" w:color="auto" w:fill="FFFFFF" w:themeFill="background1"/>
            <w:vAlign w:val="center"/>
          </w:tcPr>
          <w:p w14:paraId="39BB0F0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2025年04月22日</w:t>
            </w:r>
          </w:p>
        </w:tc>
      </w:tr>
      <w:tr w:rsidR="00632E5B" w14:paraId="16E1782E" w14:textId="77777777" w:rsidTr="00372641">
        <w:trPr>
          <w:trHeight w:val="240"/>
        </w:trPr>
        <w:tc>
          <w:tcPr>
            <w:tcW w:w="3213" w:type="dxa"/>
            <w:shd w:val="clear" w:color="auto" w:fill="FFFFFF" w:themeFill="background1"/>
            <w:vAlign w:val="center"/>
          </w:tcPr>
          <w:p w14:paraId="2C49D47D"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内部控制评价报告全文披露索引</w:t>
            </w:r>
          </w:p>
        </w:tc>
        <w:tc>
          <w:tcPr>
            <w:tcW w:w="6426" w:type="dxa"/>
            <w:gridSpan w:val="2"/>
            <w:shd w:val="clear" w:color="auto" w:fill="FFFFFF" w:themeFill="background1"/>
            <w:vAlign w:val="center"/>
          </w:tcPr>
          <w:p w14:paraId="27698A0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632E5B" w14:paraId="50A8640A" w14:textId="77777777" w:rsidTr="00372641">
        <w:trPr>
          <w:trHeight w:val="240"/>
        </w:trPr>
        <w:tc>
          <w:tcPr>
            <w:tcW w:w="3213" w:type="dxa"/>
            <w:shd w:val="clear" w:color="auto" w:fill="FFFFFF" w:themeFill="background1"/>
            <w:vAlign w:val="center"/>
          </w:tcPr>
          <w:p w14:paraId="62CC2851"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纳入评价范围单位资产总额占公司合并财务报表资产总额的比例</w:t>
            </w:r>
          </w:p>
        </w:tc>
        <w:tc>
          <w:tcPr>
            <w:tcW w:w="6426" w:type="dxa"/>
            <w:gridSpan w:val="2"/>
            <w:shd w:val="clear" w:color="auto" w:fill="FFFFFF" w:themeFill="background1"/>
            <w:vAlign w:val="center"/>
          </w:tcPr>
          <w:p w14:paraId="4D33A0B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r>
      <w:tr w:rsidR="00632E5B" w14:paraId="06766045" w14:textId="77777777" w:rsidTr="00372641">
        <w:trPr>
          <w:trHeight w:val="240"/>
        </w:trPr>
        <w:tc>
          <w:tcPr>
            <w:tcW w:w="3213" w:type="dxa"/>
            <w:shd w:val="clear" w:color="auto" w:fill="FFFFFF" w:themeFill="background1"/>
            <w:vAlign w:val="center"/>
          </w:tcPr>
          <w:p w14:paraId="6712C73F"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纳入评价范围单位营业收入占公司合并财务报表营业收入的比例</w:t>
            </w:r>
          </w:p>
        </w:tc>
        <w:tc>
          <w:tcPr>
            <w:tcW w:w="6426" w:type="dxa"/>
            <w:gridSpan w:val="2"/>
            <w:shd w:val="clear" w:color="auto" w:fill="FFFFFF" w:themeFill="background1"/>
            <w:vAlign w:val="center"/>
          </w:tcPr>
          <w:p w14:paraId="5672A02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r>
      <w:tr w:rsidR="00632E5B" w14:paraId="7621046A" w14:textId="77777777" w:rsidTr="00372641">
        <w:trPr>
          <w:trHeight w:val="240"/>
        </w:trPr>
        <w:tc>
          <w:tcPr>
            <w:tcW w:w="9639" w:type="dxa"/>
            <w:gridSpan w:val="3"/>
            <w:shd w:val="clear" w:color="auto" w:fill="FFFFFF" w:themeFill="background1"/>
            <w:vAlign w:val="center"/>
          </w:tcPr>
          <w:p w14:paraId="0657ECB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缺陷认定标准</w:t>
            </w:r>
          </w:p>
        </w:tc>
      </w:tr>
      <w:tr w:rsidR="00632E5B" w14:paraId="129D73A1" w14:textId="77777777" w:rsidTr="00372641">
        <w:trPr>
          <w:trHeight w:val="240"/>
        </w:trPr>
        <w:tc>
          <w:tcPr>
            <w:tcW w:w="3213" w:type="dxa"/>
            <w:shd w:val="clear" w:color="auto" w:fill="FFFFFF" w:themeFill="background1"/>
            <w:vAlign w:val="center"/>
          </w:tcPr>
          <w:p w14:paraId="6BB351D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类别</w:t>
            </w:r>
          </w:p>
        </w:tc>
        <w:tc>
          <w:tcPr>
            <w:tcW w:w="3213" w:type="dxa"/>
            <w:shd w:val="clear" w:color="auto" w:fill="FFFFFF" w:themeFill="background1"/>
            <w:vAlign w:val="center"/>
          </w:tcPr>
          <w:p w14:paraId="59577E5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财务报告</w:t>
            </w:r>
          </w:p>
        </w:tc>
        <w:tc>
          <w:tcPr>
            <w:tcW w:w="3213" w:type="dxa"/>
            <w:shd w:val="clear" w:color="auto" w:fill="FFFFFF" w:themeFill="background1"/>
            <w:vAlign w:val="center"/>
          </w:tcPr>
          <w:p w14:paraId="0C96DCB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非财务报告</w:t>
            </w:r>
          </w:p>
        </w:tc>
      </w:tr>
      <w:tr w:rsidR="00632E5B" w14:paraId="526B5531" w14:textId="77777777" w:rsidTr="00372641">
        <w:trPr>
          <w:trHeight w:val="240"/>
        </w:trPr>
        <w:tc>
          <w:tcPr>
            <w:tcW w:w="3213" w:type="dxa"/>
            <w:shd w:val="clear" w:color="auto" w:fill="FFFFFF" w:themeFill="background1"/>
            <w:vAlign w:val="center"/>
          </w:tcPr>
          <w:p w14:paraId="3D69AE99"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定性标准</w:t>
            </w:r>
          </w:p>
        </w:tc>
        <w:tc>
          <w:tcPr>
            <w:tcW w:w="3213" w:type="dxa"/>
            <w:shd w:val="clear" w:color="auto" w:fill="FFFFFF" w:themeFill="background1"/>
            <w:vAlign w:val="center"/>
          </w:tcPr>
          <w:p w14:paraId="1A5BE586" w14:textId="70117223" w:rsidR="00632E5B" w:rsidRDefault="00CE73B0">
            <w:pPr>
              <w:spacing w:line="240" w:lineRule="exact"/>
              <w:rPr>
                <w:rFonts w:ascii="宋体" w:eastAsia="宋体" w:hAnsi="宋体" w:cs="宋体" w:hint="eastAsia"/>
                <w:sz w:val="18"/>
                <w:szCs w:val="18"/>
              </w:rPr>
            </w:pPr>
            <w:r>
              <w:rPr>
                <w:rFonts w:ascii="宋体" w:eastAsia="宋体" w:hAnsi="宋体" w:cs="宋体"/>
                <w:sz w:val="18"/>
                <w:szCs w:val="18"/>
              </w:rPr>
              <w:t>1.</w:t>
            </w:r>
            <w:r w:rsidR="00107901">
              <w:rPr>
                <w:rFonts w:ascii="宋体" w:eastAsia="宋体" w:hAnsi="宋体" w:cs="宋体"/>
                <w:sz w:val="18"/>
                <w:szCs w:val="18"/>
              </w:rPr>
              <w:t>财务报告重大缺陷的迹象包括：</w:t>
            </w:r>
          </w:p>
          <w:p w14:paraId="5280F32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①控制环境无效；</w:t>
            </w:r>
          </w:p>
          <w:p w14:paraId="37FD4F8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②公司董事、监事和高级管理人员的舞弊行为；</w:t>
            </w:r>
          </w:p>
          <w:p w14:paraId="0BE19E0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③已经发现并报告给管理层的重大缺陷在合理的时间内未加以改正；</w:t>
            </w:r>
          </w:p>
          <w:p w14:paraId="6978492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④外部审计发现当期财务报告存在重大错报，而内部控制在运行过程中未能发现该错报；</w:t>
            </w:r>
          </w:p>
          <w:p w14:paraId="469B82D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⑤审计委员会和审计部门对公司的对外财务报告和财务报告内部控制的监督无效；</w:t>
            </w:r>
          </w:p>
          <w:p w14:paraId="56F7168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⑥对已公告的财务报告出现的重大差错进行错报更正；</w:t>
            </w:r>
          </w:p>
          <w:p w14:paraId="6027D0C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⑦其他可能影响报表使用者正确判断的缺陷 。</w:t>
            </w:r>
          </w:p>
          <w:p w14:paraId="7281EBD6" w14:textId="46F6EDE8" w:rsidR="00632E5B" w:rsidRDefault="00CE73B0">
            <w:pPr>
              <w:spacing w:line="240" w:lineRule="exact"/>
              <w:rPr>
                <w:rFonts w:ascii="宋体" w:eastAsia="宋体" w:hAnsi="宋体" w:cs="宋体" w:hint="eastAsia"/>
                <w:sz w:val="18"/>
                <w:szCs w:val="18"/>
              </w:rPr>
            </w:pPr>
            <w:r>
              <w:rPr>
                <w:rFonts w:ascii="宋体" w:eastAsia="宋体" w:hAnsi="宋体" w:cs="宋体"/>
                <w:sz w:val="18"/>
                <w:szCs w:val="18"/>
              </w:rPr>
              <w:t>2.</w:t>
            </w:r>
            <w:r w:rsidR="00107901">
              <w:rPr>
                <w:rFonts w:ascii="宋体" w:eastAsia="宋体" w:hAnsi="宋体" w:cs="宋体"/>
                <w:sz w:val="18"/>
                <w:szCs w:val="18"/>
              </w:rPr>
              <w:t>财务报告重要缺陷的迹象包括：</w:t>
            </w:r>
          </w:p>
          <w:p w14:paraId="7D4166C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①未按公认会计准则选择和应用会计政策；</w:t>
            </w:r>
          </w:p>
          <w:p w14:paraId="510FD74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②未建立反舞弊程序和控制措施；</w:t>
            </w:r>
          </w:p>
          <w:p w14:paraId="67C183B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③对于非常规或特殊交易的账务处理没有建立相应的控制机制或没有实施且没有相应的补偿性控制；</w:t>
            </w:r>
          </w:p>
          <w:p w14:paraId="05E62E8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④财务报告过程中出现单独或多项缺陷，虽然未达到重大缺陷认定标准，但影响到财务报告的真实、准确目标。</w:t>
            </w:r>
          </w:p>
          <w:p w14:paraId="6A93322D" w14:textId="6D14C5A9" w:rsidR="00632E5B" w:rsidRDefault="00CE73B0">
            <w:pPr>
              <w:spacing w:line="240" w:lineRule="exact"/>
              <w:rPr>
                <w:rFonts w:ascii="宋体" w:eastAsia="宋体" w:hAnsi="宋体" w:cs="宋体" w:hint="eastAsia"/>
                <w:sz w:val="18"/>
                <w:szCs w:val="18"/>
              </w:rPr>
            </w:pPr>
            <w:r>
              <w:rPr>
                <w:rFonts w:ascii="宋体" w:eastAsia="宋体" w:hAnsi="宋体" w:cs="宋体"/>
                <w:sz w:val="18"/>
                <w:szCs w:val="18"/>
              </w:rPr>
              <w:t>3.</w:t>
            </w:r>
            <w:r w:rsidR="00107901">
              <w:rPr>
                <w:rFonts w:ascii="宋体" w:eastAsia="宋体" w:hAnsi="宋体" w:cs="宋体"/>
                <w:sz w:val="18"/>
                <w:szCs w:val="18"/>
              </w:rPr>
              <w:t>一般缺陷是指除上述重大缺陷、重要缺陷之外的其他控制缺陷。</w:t>
            </w:r>
          </w:p>
        </w:tc>
        <w:tc>
          <w:tcPr>
            <w:tcW w:w="3213" w:type="dxa"/>
            <w:shd w:val="clear" w:color="auto" w:fill="FFFFFF" w:themeFill="background1"/>
            <w:vAlign w:val="center"/>
          </w:tcPr>
          <w:p w14:paraId="2BF8D957" w14:textId="564DC1A9" w:rsidR="00632E5B" w:rsidRDefault="00CE73B0">
            <w:pPr>
              <w:spacing w:line="240" w:lineRule="exact"/>
              <w:rPr>
                <w:rFonts w:ascii="宋体" w:eastAsia="宋体" w:hAnsi="宋体" w:cs="宋体" w:hint="eastAsia"/>
                <w:sz w:val="18"/>
                <w:szCs w:val="18"/>
              </w:rPr>
            </w:pPr>
            <w:r>
              <w:rPr>
                <w:rFonts w:ascii="宋体" w:eastAsia="宋体" w:hAnsi="宋体" w:cs="宋体"/>
                <w:sz w:val="18"/>
                <w:szCs w:val="18"/>
              </w:rPr>
              <w:t>1.</w:t>
            </w:r>
            <w:r w:rsidR="00107901">
              <w:rPr>
                <w:rFonts w:ascii="宋体" w:eastAsia="宋体" w:hAnsi="宋体" w:cs="宋体"/>
                <w:sz w:val="18"/>
                <w:szCs w:val="18"/>
              </w:rPr>
              <w:t>如果缺陷发生的可能性高，会严重降低工作效率或效果、或严重加大效果的不确定性、或使之严重偏离预期目标为重大缺陷。</w:t>
            </w:r>
          </w:p>
          <w:p w14:paraId="04B6B527" w14:textId="72E0DFCB" w:rsidR="00632E5B" w:rsidRDefault="00CE73B0">
            <w:pPr>
              <w:spacing w:line="240" w:lineRule="exact"/>
              <w:rPr>
                <w:rFonts w:ascii="宋体" w:eastAsia="宋体" w:hAnsi="宋体" w:cs="宋体" w:hint="eastAsia"/>
                <w:sz w:val="18"/>
                <w:szCs w:val="18"/>
              </w:rPr>
            </w:pPr>
            <w:r>
              <w:rPr>
                <w:rFonts w:ascii="宋体" w:eastAsia="宋体" w:hAnsi="宋体" w:cs="宋体"/>
                <w:sz w:val="18"/>
                <w:szCs w:val="18"/>
              </w:rPr>
              <w:t>2.</w:t>
            </w:r>
            <w:r w:rsidR="00107901">
              <w:rPr>
                <w:rFonts w:ascii="宋体" w:eastAsia="宋体" w:hAnsi="宋体" w:cs="宋体"/>
                <w:sz w:val="18"/>
                <w:szCs w:val="18"/>
              </w:rPr>
              <w:t>如果缺陷发生的可能性较高，会显著降低工作效率或效果、或显著加大效果的不确定性、或使之显著偏离预期目标为重要缺陷。</w:t>
            </w:r>
          </w:p>
          <w:p w14:paraId="705044C6" w14:textId="01157CC9" w:rsidR="00632E5B" w:rsidRDefault="00CE73B0">
            <w:pPr>
              <w:spacing w:line="240" w:lineRule="exact"/>
              <w:rPr>
                <w:rFonts w:ascii="宋体" w:eastAsia="宋体" w:hAnsi="宋体" w:cs="宋体" w:hint="eastAsia"/>
                <w:sz w:val="18"/>
                <w:szCs w:val="18"/>
              </w:rPr>
            </w:pPr>
            <w:r>
              <w:rPr>
                <w:rFonts w:ascii="宋体" w:eastAsia="宋体" w:hAnsi="宋体" w:cs="宋体"/>
                <w:sz w:val="18"/>
                <w:szCs w:val="18"/>
              </w:rPr>
              <w:t>3.</w:t>
            </w:r>
            <w:r w:rsidR="00107901">
              <w:rPr>
                <w:rFonts w:ascii="宋体" w:eastAsia="宋体" w:hAnsi="宋体" w:cs="宋体"/>
                <w:sz w:val="18"/>
                <w:szCs w:val="18"/>
              </w:rPr>
              <w:t>如果缺陷发生的可能性较小，会降低工作效率或效果、或加大效果的不确定性、或使之偏离预期目标为一般缺陷。</w:t>
            </w:r>
          </w:p>
        </w:tc>
      </w:tr>
      <w:tr w:rsidR="00632E5B" w14:paraId="5084B15A" w14:textId="77777777" w:rsidTr="00372641">
        <w:trPr>
          <w:trHeight w:val="240"/>
        </w:trPr>
        <w:tc>
          <w:tcPr>
            <w:tcW w:w="3213" w:type="dxa"/>
            <w:shd w:val="clear" w:color="auto" w:fill="FFFFFF" w:themeFill="background1"/>
            <w:vAlign w:val="center"/>
          </w:tcPr>
          <w:p w14:paraId="7AB01CFA"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定量标准</w:t>
            </w:r>
          </w:p>
        </w:tc>
        <w:tc>
          <w:tcPr>
            <w:tcW w:w="3213" w:type="dxa"/>
            <w:shd w:val="clear" w:color="auto" w:fill="FFFFFF" w:themeFill="background1"/>
            <w:vAlign w:val="center"/>
          </w:tcPr>
          <w:p w14:paraId="51549D67" w14:textId="3437D866" w:rsidR="00632E5B" w:rsidRDefault="00CE73B0">
            <w:pPr>
              <w:spacing w:line="240" w:lineRule="exact"/>
              <w:rPr>
                <w:rFonts w:ascii="宋体" w:eastAsia="宋体" w:hAnsi="宋体" w:cs="宋体" w:hint="eastAsia"/>
                <w:sz w:val="18"/>
                <w:szCs w:val="18"/>
              </w:rPr>
            </w:pPr>
            <w:r>
              <w:rPr>
                <w:rFonts w:ascii="宋体" w:eastAsia="宋体" w:hAnsi="宋体" w:cs="宋体"/>
                <w:sz w:val="18"/>
                <w:szCs w:val="18"/>
              </w:rPr>
              <w:t>1.</w:t>
            </w:r>
            <w:r w:rsidR="00107901">
              <w:rPr>
                <w:rFonts w:ascii="宋体" w:eastAsia="宋体" w:hAnsi="宋体" w:cs="宋体"/>
                <w:sz w:val="18"/>
                <w:szCs w:val="18"/>
              </w:rPr>
              <w:t>重大缺陷：财务报表的错报金额落在如下区间：</w:t>
            </w:r>
          </w:p>
          <w:p w14:paraId="3627588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lastRenderedPageBreak/>
              <w:t>1）错报金额≥资产总额的1%；</w:t>
            </w:r>
          </w:p>
          <w:p w14:paraId="1E7CF4C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2）错报金额≥营业收入总额的2%；</w:t>
            </w:r>
          </w:p>
          <w:p w14:paraId="3AC79B8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3）错报金额≥税前利润总额的5%。</w:t>
            </w:r>
          </w:p>
          <w:p w14:paraId="16A5B7ED" w14:textId="7D2895FC" w:rsidR="00632E5B" w:rsidRDefault="00CE73B0">
            <w:pPr>
              <w:spacing w:line="240" w:lineRule="exact"/>
              <w:rPr>
                <w:rFonts w:ascii="宋体" w:eastAsia="宋体" w:hAnsi="宋体" w:cs="宋体" w:hint="eastAsia"/>
                <w:sz w:val="18"/>
                <w:szCs w:val="18"/>
              </w:rPr>
            </w:pPr>
            <w:r>
              <w:rPr>
                <w:rFonts w:ascii="宋体" w:eastAsia="宋体" w:hAnsi="宋体" w:cs="宋体"/>
                <w:sz w:val="18"/>
                <w:szCs w:val="18"/>
              </w:rPr>
              <w:t>2.</w:t>
            </w:r>
            <w:r w:rsidR="00107901">
              <w:rPr>
                <w:rFonts w:ascii="宋体" w:eastAsia="宋体" w:hAnsi="宋体" w:cs="宋体"/>
                <w:sz w:val="18"/>
                <w:szCs w:val="18"/>
              </w:rPr>
              <w:t>重要缺陷：财务报表的错报金额介于重大缺陷与一般缺陷之间。</w:t>
            </w:r>
          </w:p>
          <w:p w14:paraId="6E8DAF93" w14:textId="42B8D7BB" w:rsidR="00632E5B" w:rsidRDefault="00CE73B0">
            <w:pPr>
              <w:spacing w:line="240" w:lineRule="exact"/>
              <w:rPr>
                <w:rFonts w:ascii="宋体" w:eastAsia="宋体" w:hAnsi="宋体" w:cs="宋体" w:hint="eastAsia"/>
                <w:sz w:val="18"/>
                <w:szCs w:val="18"/>
              </w:rPr>
            </w:pPr>
            <w:r>
              <w:rPr>
                <w:rFonts w:ascii="宋体" w:eastAsia="宋体" w:hAnsi="宋体" w:cs="宋体"/>
                <w:sz w:val="18"/>
                <w:szCs w:val="18"/>
              </w:rPr>
              <w:t>3.</w:t>
            </w:r>
            <w:r w:rsidR="00107901">
              <w:rPr>
                <w:rFonts w:ascii="宋体" w:eastAsia="宋体" w:hAnsi="宋体" w:cs="宋体"/>
                <w:sz w:val="18"/>
                <w:szCs w:val="18"/>
              </w:rPr>
              <w:t>一般缺陷：财务报表的错报金额落在如下区间：</w:t>
            </w:r>
          </w:p>
          <w:p w14:paraId="4C95883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1）错报金额＜资产总额的0.5%；</w:t>
            </w:r>
          </w:p>
          <w:p w14:paraId="1F98BDD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2）错报金额＜营业收入总额的0.5%；</w:t>
            </w:r>
          </w:p>
          <w:p w14:paraId="41B6C81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3）错报金额＜税前利润总额的3%。</w:t>
            </w:r>
          </w:p>
        </w:tc>
        <w:tc>
          <w:tcPr>
            <w:tcW w:w="3213" w:type="dxa"/>
            <w:shd w:val="clear" w:color="auto" w:fill="FFFFFF" w:themeFill="background1"/>
            <w:vAlign w:val="center"/>
          </w:tcPr>
          <w:p w14:paraId="1C276AB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lastRenderedPageBreak/>
              <w:t>重大缺陷：直接财产损失金额在人民币 5000 万元以上；</w:t>
            </w:r>
          </w:p>
          <w:p w14:paraId="2F36673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lastRenderedPageBreak/>
              <w:t>重要缺陷：直接财产损失金额在人民币 3000 万元~5000 万元（含 5000万元）；</w:t>
            </w:r>
          </w:p>
          <w:p w14:paraId="5523912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一般缺陷：直接财产损失金额在人民币 3000 万元（含 3000万元）以下。</w:t>
            </w:r>
          </w:p>
        </w:tc>
      </w:tr>
      <w:tr w:rsidR="00632E5B" w14:paraId="623EF57A" w14:textId="77777777" w:rsidTr="00372641">
        <w:trPr>
          <w:trHeight w:val="240"/>
        </w:trPr>
        <w:tc>
          <w:tcPr>
            <w:tcW w:w="3213" w:type="dxa"/>
            <w:shd w:val="clear" w:color="auto" w:fill="FFFFFF" w:themeFill="background1"/>
            <w:vAlign w:val="center"/>
          </w:tcPr>
          <w:p w14:paraId="0D94B34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lastRenderedPageBreak/>
              <w:t>财务报告重大缺陷数量（个）</w:t>
            </w:r>
          </w:p>
        </w:tc>
        <w:tc>
          <w:tcPr>
            <w:tcW w:w="6426" w:type="dxa"/>
            <w:gridSpan w:val="2"/>
            <w:shd w:val="clear" w:color="auto" w:fill="FFFFFF" w:themeFill="background1"/>
            <w:vAlign w:val="center"/>
          </w:tcPr>
          <w:p w14:paraId="1CAE354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632E5B" w14:paraId="6C10D930" w14:textId="77777777" w:rsidTr="00372641">
        <w:trPr>
          <w:trHeight w:val="240"/>
        </w:trPr>
        <w:tc>
          <w:tcPr>
            <w:tcW w:w="3213" w:type="dxa"/>
            <w:shd w:val="clear" w:color="auto" w:fill="FFFFFF" w:themeFill="background1"/>
            <w:vAlign w:val="center"/>
          </w:tcPr>
          <w:p w14:paraId="245C3FDC"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非财务报告重大缺陷数量（个）</w:t>
            </w:r>
          </w:p>
        </w:tc>
        <w:tc>
          <w:tcPr>
            <w:tcW w:w="6426" w:type="dxa"/>
            <w:gridSpan w:val="2"/>
            <w:shd w:val="clear" w:color="auto" w:fill="FFFFFF" w:themeFill="background1"/>
            <w:vAlign w:val="center"/>
          </w:tcPr>
          <w:p w14:paraId="020A9C0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632E5B" w14:paraId="53C92F6D" w14:textId="77777777" w:rsidTr="00372641">
        <w:trPr>
          <w:trHeight w:val="240"/>
        </w:trPr>
        <w:tc>
          <w:tcPr>
            <w:tcW w:w="3213" w:type="dxa"/>
            <w:shd w:val="clear" w:color="auto" w:fill="FFFFFF" w:themeFill="background1"/>
            <w:vAlign w:val="center"/>
          </w:tcPr>
          <w:p w14:paraId="5D68F110"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财务报告重要缺陷数量（个）</w:t>
            </w:r>
          </w:p>
        </w:tc>
        <w:tc>
          <w:tcPr>
            <w:tcW w:w="6426" w:type="dxa"/>
            <w:gridSpan w:val="2"/>
            <w:shd w:val="clear" w:color="auto" w:fill="FFFFFF" w:themeFill="background1"/>
            <w:vAlign w:val="center"/>
          </w:tcPr>
          <w:p w14:paraId="1DF4CF8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632E5B" w14:paraId="1FC68C10" w14:textId="77777777" w:rsidTr="00372641">
        <w:trPr>
          <w:trHeight w:val="240"/>
        </w:trPr>
        <w:tc>
          <w:tcPr>
            <w:tcW w:w="3213" w:type="dxa"/>
            <w:shd w:val="clear" w:color="auto" w:fill="FFFFFF" w:themeFill="background1"/>
            <w:vAlign w:val="center"/>
          </w:tcPr>
          <w:p w14:paraId="682D3ED7"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非财务报告重要缺陷数量（个）</w:t>
            </w:r>
          </w:p>
        </w:tc>
        <w:tc>
          <w:tcPr>
            <w:tcW w:w="6426" w:type="dxa"/>
            <w:gridSpan w:val="2"/>
            <w:shd w:val="clear" w:color="auto" w:fill="FFFFFF" w:themeFill="background1"/>
            <w:vAlign w:val="center"/>
          </w:tcPr>
          <w:p w14:paraId="2AD09A9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r>
    </w:tbl>
    <w:p w14:paraId="1EF7FE0F" w14:textId="77777777" w:rsidR="00632E5B" w:rsidRDefault="00107901">
      <w:pPr>
        <w:pStyle w:val="3"/>
        <w:spacing w:line="280" w:lineRule="exact"/>
        <w:jc w:val="left"/>
        <w:rPr>
          <w:rFonts w:ascii="宋体" w:hAnsi="宋体" w:cs="宋体" w:hint="eastAsia"/>
          <w:b/>
          <w:bCs/>
        </w:rPr>
      </w:pPr>
      <w:bookmarkStart w:id="87" w:name="_Toc988976"/>
      <w:r>
        <w:rPr>
          <w:rFonts w:ascii="宋体" w:hAnsi="宋体" w:cs="宋体"/>
          <w:b/>
          <w:bCs/>
        </w:rPr>
        <w:t>2、内部控制审计报告</w:t>
      </w:r>
      <w:bookmarkEnd w:id="87"/>
    </w:p>
    <w:p w14:paraId="2ADA3A6D"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4820"/>
        <w:gridCol w:w="4819"/>
      </w:tblGrid>
      <w:tr w:rsidR="00632E5B" w14:paraId="4E857DC5" w14:textId="77777777" w:rsidTr="00372641">
        <w:trPr>
          <w:trHeight w:val="240"/>
        </w:trPr>
        <w:tc>
          <w:tcPr>
            <w:tcW w:w="9639" w:type="dxa"/>
            <w:gridSpan w:val="2"/>
            <w:shd w:val="clear" w:color="auto" w:fill="FFFFFF" w:themeFill="background1"/>
            <w:vAlign w:val="center"/>
          </w:tcPr>
          <w:p w14:paraId="11002B3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内部控制审计报告中的审议意见段</w:t>
            </w:r>
          </w:p>
        </w:tc>
      </w:tr>
      <w:tr w:rsidR="00632E5B" w14:paraId="3A14F691" w14:textId="77777777" w:rsidTr="00372641">
        <w:trPr>
          <w:trHeight w:val="240"/>
        </w:trPr>
        <w:tc>
          <w:tcPr>
            <w:tcW w:w="9639" w:type="dxa"/>
            <w:gridSpan w:val="2"/>
            <w:shd w:val="clear" w:color="auto" w:fill="FFFFFF" w:themeFill="background1"/>
            <w:vAlign w:val="center"/>
          </w:tcPr>
          <w:p w14:paraId="7236C44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我们认为，江苏中利于2024年12月31日按照《企业内部控制基本规范》和相关规定在所有重大方面保持了有效的财务报告内部控制。</w:t>
            </w:r>
          </w:p>
        </w:tc>
      </w:tr>
      <w:tr w:rsidR="00632E5B" w14:paraId="6C67E833" w14:textId="77777777" w:rsidTr="00372641">
        <w:trPr>
          <w:trHeight w:val="240"/>
        </w:trPr>
        <w:tc>
          <w:tcPr>
            <w:tcW w:w="4820" w:type="dxa"/>
            <w:shd w:val="clear" w:color="auto" w:fill="FFFFFF" w:themeFill="background1"/>
            <w:vAlign w:val="center"/>
          </w:tcPr>
          <w:p w14:paraId="5143EE9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内控审计报告披露情况</w:t>
            </w:r>
          </w:p>
        </w:tc>
        <w:tc>
          <w:tcPr>
            <w:tcW w:w="4820" w:type="dxa"/>
            <w:shd w:val="clear" w:color="auto" w:fill="FFFFFF" w:themeFill="background1"/>
            <w:vAlign w:val="center"/>
          </w:tcPr>
          <w:p w14:paraId="36260A5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披露</w:t>
            </w:r>
          </w:p>
        </w:tc>
      </w:tr>
      <w:tr w:rsidR="00632E5B" w14:paraId="244ED213" w14:textId="77777777" w:rsidTr="00372641">
        <w:trPr>
          <w:trHeight w:val="240"/>
        </w:trPr>
        <w:tc>
          <w:tcPr>
            <w:tcW w:w="4820" w:type="dxa"/>
            <w:shd w:val="clear" w:color="auto" w:fill="FFFFFF" w:themeFill="background1"/>
            <w:vAlign w:val="center"/>
          </w:tcPr>
          <w:p w14:paraId="6943CDA2"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内部控制审计报告全文披露日期</w:t>
            </w:r>
          </w:p>
        </w:tc>
        <w:tc>
          <w:tcPr>
            <w:tcW w:w="4820" w:type="dxa"/>
            <w:shd w:val="clear" w:color="auto" w:fill="FFFFFF" w:themeFill="background1"/>
            <w:vAlign w:val="center"/>
          </w:tcPr>
          <w:p w14:paraId="6934A94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2025年04月22日</w:t>
            </w:r>
          </w:p>
        </w:tc>
      </w:tr>
      <w:tr w:rsidR="00632E5B" w14:paraId="376AFBF4" w14:textId="77777777" w:rsidTr="00372641">
        <w:trPr>
          <w:trHeight w:val="240"/>
        </w:trPr>
        <w:tc>
          <w:tcPr>
            <w:tcW w:w="4820" w:type="dxa"/>
            <w:shd w:val="clear" w:color="auto" w:fill="FFFFFF" w:themeFill="background1"/>
            <w:vAlign w:val="center"/>
          </w:tcPr>
          <w:p w14:paraId="7EDDEF1A"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内部控制审计报告全文披露索引</w:t>
            </w:r>
          </w:p>
        </w:tc>
        <w:tc>
          <w:tcPr>
            <w:tcW w:w="4820" w:type="dxa"/>
            <w:shd w:val="clear" w:color="auto" w:fill="FFFFFF" w:themeFill="background1"/>
            <w:vAlign w:val="center"/>
          </w:tcPr>
          <w:p w14:paraId="232AAE3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632E5B" w14:paraId="64EAE7EE" w14:textId="77777777" w:rsidTr="00372641">
        <w:trPr>
          <w:trHeight w:val="240"/>
        </w:trPr>
        <w:tc>
          <w:tcPr>
            <w:tcW w:w="4820" w:type="dxa"/>
            <w:shd w:val="clear" w:color="auto" w:fill="FFFFFF" w:themeFill="background1"/>
            <w:vAlign w:val="center"/>
          </w:tcPr>
          <w:p w14:paraId="1E509669"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内控审计报告意见类型</w:t>
            </w:r>
          </w:p>
        </w:tc>
        <w:tc>
          <w:tcPr>
            <w:tcW w:w="4820" w:type="dxa"/>
            <w:shd w:val="clear" w:color="auto" w:fill="FFFFFF" w:themeFill="background1"/>
            <w:vAlign w:val="center"/>
          </w:tcPr>
          <w:p w14:paraId="14A6FAA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标准无保留意见</w:t>
            </w:r>
          </w:p>
        </w:tc>
      </w:tr>
      <w:tr w:rsidR="00632E5B" w14:paraId="12E9A8B7" w14:textId="77777777" w:rsidTr="00372641">
        <w:trPr>
          <w:trHeight w:val="240"/>
        </w:trPr>
        <w:tc>
          <w:tcPr>
            <w:tcW w:w="4820" w:type="dxa"/>
            <w:shd w:val="clear" w:color="auto" w:fill="FFFFFF" w:themeFill="background1"/>
            <w:vAlign w:val="center"/>
          </w:tcPr>
          <w:p w14:paraId="22D07AB1"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非财务报告是否存在重大缺陷</w:t>
            </w:r>
          </w:p>
        </w:tc>
        <w:tc>
          <w:tcPr>
            <w:tcW w:w="4820" w:type="dxa"/>
            <w:shd w:val="clear" w:color="auto" w:fill="FFFFFF" w:themeFill="background1"/>
            <w:vAlign w:val="center"/>
          </w:tcPr>
          <w:p w14:paraId="32FF9AF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bl>
    <w:p w14:paraId="28FA2EED"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会计师事务所是否出具非标准意见的内部控制审计报告</w:t>
      </w:r>
    </w:p>
    <w:p w14:paraId="20E707A7"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5A1D4511"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会计师事务所出具的内部控制审计报告与董事会的自我评价报告意见是否一致</w:t>
      </w:r>
    </w:p>
    <w:p w14:paraId="2FEF8E3E"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14:paraId="1430BE09" w14:textId="77777777" w:rsidR="00632E5B" w:rsidRDefault="00107901">
      <w:pPr>
        <w:pStyle w:val="2"/>
        <w:spacing w:before="300" w:after="300" w:line="320" w:lineRule="exact"/>
        <w:rPr>
          <w:rFonts w:ascii="宋体" w:eastAsia="宋体" w:hAnsi="宋体" w:cs="宋体" w:hint="eastAsia"/>
          <w:b/>
          <w:bCs/>
          <w:sz w:val="24"/>
          <w:szCs w:val="24"/>
        </w:rPr>
      </w:pPr>
      <w:bookmarkStart w:id="88" w:name="_Toc988977"/>
      <w:r>
        <w:rPr>
          <w:rFonts w:ascii="宋体" w:eastAsia="宋体" w:hAnsi="宋体" w:cs="宋体"/>
          <w:b/>
          <w:bCs/>
          <w:sz w:val="24"/>
          <w:szCs w:val="24"/>
        </w:rPr>
        <w:t>十五、上市公司治理专项行动自查问题整改情况</w:t>
      </w:r>
      <w:bookmarkEnd w:id="88"/>
    </w:p>
    <w:p w14:paraId="2CF72D1F" w14:textId="77777777" w:rsidR="00E72F0C" w:rsidRDefault="00107901">
      <w:pPr>
        <w:pStyle w:val="a3"/>
        <w:divId w:val="1482960175"/>
        <w:rPr>
          <w:rFonts w:hint="eastAsia"/>
          <w:sz w:val="18"/>
          <w:szCs w:val="18"/>
        </w:rPr>
      </w:pPr>
      <w:r>
        <w:rPr>
          <w:rFonts w:hint="eastAsia"/>
          <w:sz w:val="21"/>
          <w:szCs w:val="21"/>
        </w:rPr>
        <w:t>不适用。</w:t>
      </w:r>
    </w:p>
    <w:p w14:paraId="218ACD8A" w14:textId="77777777" w:rsidR="00632E5B" w:rsidRDefault="00107901">
      <w:r>
        <w:br w:type="page"/>
      </w:r>
    </w:p>
    <w:p w14:paraId="64FBE15A" w14:textId="5B24A3E5" w:rsidR="00632E5B" w:rsidRDefault="00107901">
      <w:pPr>
        <w:pStyle w:val="headingh1"/>
        <w:spacing w:before="340" w:after="330" w:line="773" w:lineRule="exact"/>
        <w:jc w:val="center"/>
        <w:rPr>
          <w:rFonts w:ascii="宋体" w:eastAsia="宋体" w:hAnsi="宋体" w:cs="宋体" w:hint="eastAsia"/>
          <w:b/>
          <w:bCs/>
          <w:sz w:val="32"/>
          <w:szCs w:val="32"/>
        </w:rPr>
      </w:pPr>
      <w:bookmarkStart w:id="89" w:name="_Toc988978"/>
      <w:r>
        <w:rPr>
          <w:rFonts w:ascii="宋体" w:eastAsia="宋体" w:hAnsi="宋体" w:cs="宋体"/>
          <w:b/>
          <w:bCs/>
          <w:sz w:val="32"/>
          <w:szCs w:val="32"/>
        </w:rPr>
        <w:lastRenderedPageBreak/>
        <w:t>第五节 环境和社会责任</w:t>
      </w:r>
      <w:bookmarkEnd w:id="89"/>
    </w:p>
    <w:p w14:paraId="2E0118B5" w14:textId="77777777" w:rsidR="00632E5B" w:rsidRDefault="00107901">
      <w:pPr>
        <w:pStyle w:val="2"/>
        <w:spacing w:before="300" w:after="300" w:line="320" w:lineRule="exact"/>
        <w:rPr>
          <w:rFonts w:ascii="宋体" w:eastAsia="宋体" w:hAnsi="宋体" w:cs="宋体" w:hint="eastAsia"/>
          <w:b/>
          <w:bCs/>
          <w:sz w:val="24"/>
          <w:szCs w:val="24"/>
        </w:rPr>
      </w:pPr>
      <w:bookmarkStart w:id="90" w:name="_Toc988979"/>
      <w:r>
        <w:rPr>
          <w:rFonts w:ascii="宋体" w:eastAsia="宋体" w:hAnsi="宋体" w:cs="宋体"/>
          <w:b/>
          <w:bCs/>
          <w:sz w:val="24"/>
          <w:szCs w:val="24"/>
        </w:rPr>
        <w:t>一、重大环保问题</w:t>
      </w:r>
      <w:bookmarkEnd w:id="90"/>
    </w:p>
    <w:p w14:paraId="7B1D9784"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上市公司及其子公司是否属于环境保护部门公布的重点排污单位</w:t>
      </w:r>
    </w:p>
    <w:p w14:paraId="394A92E6"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14:paraId="7CF2436A"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环境保护相关政策和行业标准</w:t>
      </w:r>
    </w:p>
    <w:p w14:paraId="75112CBF" w14:textId="77777777" w:rsidR="00E72F0C" w:rsidRDefault="00107901" w:rsidP="007E0316">
      <w:pPr>
        <w:pStyle w:val="a3"/>
        <w:spacing w:before="0" w:beforeAutospacing="0" w:after="0" w:afterAutospacing="0" w:line="360" w:lineRule="auto"/>
        <w:ind w:firstLine="420"/>
        <w:divId w:val="2083944742"/>
        <w:rPr>
          <w:rFonts w:hint="eastAsia"/>
        </w:rPr>
      </w:pPr>
      <w:r>
        <w:rPr>
          <w:rFonts w:hint="eastAsia"/>
          <w:color w:val="000000"/>
          <w:sz w:val="21"/>
          <w:szCs w:val="21"/>
        </w:rPr>
        <w:t>在青海中利日常生产经营过程中，严格遵守《中华人民共和国环境保护法》《中华人民共和国大气污染防治法》等环保方面的法律法规。积极响应国家“节能减排”政策，公司拥有3套干式废气处理设施。</w:t>
      </w:r>
    </w:p>
    <w:p w14:paraId="2EEE8350" w14:textId="77777777" w:rsidR="00E72F0C" w:rsidRDefault="00107901" w:rsidP="007E0316">
      <w:pPr>
        <w:pStyle w:val="a3"/>
        <w:spacing w:before="0" w:beforeAutospacing="0" w:after="0" w:afterAutospacing="0" w:line="360" w:lineRule="auto"/>
        <w:ind w:firstLine="420"/>
        <w:divId w:val="2083944742"/>
        <w:rPr>
          <w:rFonts w:hint="eastAsia"/>
        </w:rPr>
      </w:pPr>
      <w:r>
        <w:rPr>
          <w:rFonts w:hint="eastAsia"/>
          <w:color w:val="000000"/>
          <w:sz w:val="21"/>
          <w:szCs w:val="21"/>
        </w:rPr>
        <w:t>所有专业设施设备均运行正常，尾气达标排放。</w:t>
      </w:r>
    </w:p>
    <w:p w14:paraId="0F306B82" w14:textId="77777777" w:rsidR="00632E5B" w:rsidRDefault="00107901" w:rsidP="007E0316">
      <w:pPr>
        <w:spacing w:line="360" w:lineRule="auto"/>
        <w:rPr>
          <w:rFonts w:ascii="宋体" w:eastAsia="宋体" w:hAnsi="宋体" w:cs="宋体" w:hint="eastAsia"/>
          <w:sz w:val="18"/>
          <w:szCs w:val="18"/>
        </w:rPr>
      </w:pPr>
      <w:r>
        <w:rPr>
          <w:rFonts w:ascii="宋体" w:eastAsia="宋体" w:hAnsi="宋体" w:cs="宋体"/>
          <w:sz w:val="18"/>
          <w:szCs w:val="18"/>
        </w:rPr>
        <w:t>环境保护行政许可情况</w:t>
      </w:r>
    </w:p>
    <w:p w14:paraId="4F990CBA" w14:textId="3587DD06" w:rsidR="00E72F0C" w:rsidRDefault="00107901" w:rsidP="007E0316">
      <w:pPr>
        <w:pStyle w:val="a3"/>
        <w:spacing w:before="0" w:beforeAutospacing="0" w:after="0" w:afterAutospacing="0" w:line="360" w:lineRule="auto"/>
        <w:ind w:firstLine="420"/>
        <w:jc w:val="both"/>
        <w:divId w:val="1635254600"/>
        <w:rPr>
          <w:rFonts w:hint="eastAsia"/>
        </w:rPr>
      </w:pPr>
      <w:r>
        <w:rPr>
          <w:rFonts w:hint="eastAsia"/>
          <w:color w:val="000000"/>
          <w:sz w:val="21"/>
          <w:szCs w:val="21"/>
        </w:rPr>
        <w:t>1</w:t>
      </w:r>
      <w:r w:rsidR="007E0316">
        <w:rPr>
          <w:color w:val="000000"/>
          <w:sz w:val="21"/>
          <w:szCs w:val="21"/>
        </w:rPr>
        <w:t>.</w:t>
      </w:r>
      <w:r>
        <w:rPr>
          <w:rFonts w:hint="eastAsia"/>
          <w:color w:val="000000"/>
          <w:sz w:val="21"/>
          <w:szCs w:val="21"/>
        </w:rPr>
        <w:t>2014年7月通过了青海省环境保护厅关于青海中利光纤技术有限公司年产400吨光纤预制棒1300万芯公里拉丝项目环境影响报告书的批复，青环安【2014】378号。</w:t>
      </w:r>
    </w:p>
    <w:p w14:paraId="3D8A25BF" w14:textId="7F3B124B" w:rsidR="00E72F0C" w:rsidRDefault="00107901" w:rsidP="007E0316">
      <w:pPr>
        <w:pStyle w:val="a3"/>
        <w:spacing w:before="0" w:beforeAutospacing="0" w:after="0" w:afterAutospacing="0" w:line="360" w:lineRule="auto"/>
        <w:ind w:firstLine="420"/>
        <w:jc w:val="both"/>
        <w:divId w:val="1635254600"/>
        <w:rPr>
          <w:rFonts w:hint="eastAsia"/>
        </w:rPr>
      </w:pPr>
      <w:r>
        <w:rPr>
          <w:rFonts w:hint="eastAsia"/>
          <w:color w:val="000000"/>
          <w:sz w:val="21"/>
          <w:szCs w:val="21"/>
        </w:rPr>
        <w:t>2</w:t>
      </w:r>
      <w:r w:rsidR="007E0316">
        <w:rPr>
          <w:rFonts w:hint="eastAsia"/>
          <w:color w:val="000000"/>
          <w:sz w:val="21"/>
          <w:szCs w:val="21"/>
        </w:rPr>
        <w:t>.</w:t>
      </w:r>
      <w:r>
        <w:rPr>
          <w:rFonts w:hint="eastAsia"/>
          <w:color w:val="000000"/>
          <w:sz w:val="21"/>
          <w:szCs w:val="21"/>
        </w:rPr>
        <w:t>2016年12月通过了西宁市环保局关于青海中利光纤技术有限公司年产400吨光纤预制棒及1300万芯公里光纤（一期）建设项目竣工环境保护验收意见的函，宁环验【2016】106号。</w:t>
      </w:r>
    </w:p>
    <w:p w14:paraId="77D6D29F" w14:textId="62A7EBEB" w:rsidR="00E72F0C" w:rsidRDefault="00107901" w:rsidP="007E0316">
      <w:pPr>
        <w:pStyle w:val="a3"/>
        <w:spacing w:before="0" w:beforeAutospacing="0" w:after="0" w:afterAutospacing="0" w:line="360" w:lineRule="auto"/>
        <w:ind w:firstLine="420"/>
        <w:jc w:val="both"/>
        <w:divId w:val="1635254600"/>
        <w:rPr>
          <w:rFonts w:hint="eastAsia"/>
        </w:rPr>
      </w:pPr>
      <w:r>
        <w:rPr>
          <w:rFonts w:hint="eastAsia"/>
          <w:color w:val="000000"/>
          <w:sz w:val="21"/>
          <w:szCs w:val="21"/>
        </w:rPr>
        <w:t>3</w:t>
      </w:r>
      <w:r w:rsidR="007E0316">
        <w:rPr>
          <w:rFonts w:hint="eastAsia"/>
          <w:color w:val="000000"/>
          <w:sz w:val="21"/>
          <w:szCs w:val="21"/>
        </w:rPr>
        <w:t>.</w:t>
      </w:r>
      <w:r>
        <w:rPr>
          <w:rFonts w:hint="eastAsia"/>
          <w:color w:val="000000"/>
          <w:sz w:val="21"/>
          <w:szCs w:val="21"/>
        </w:rPr>
        <w:t>2017年9月通过了西宁市环境保护局关于青海中利光纤技术有限公司年产400吨光纤预制棒及1300万芯公里光纤（二期）建设项目竣工环境保护验收意见的函，宁环验【2017】37号。</w:t>
      </w:r>
    </w:p>
    <w:p w14:paraId="075B0D7C" w14:textId="77A16022" w:rsidR="00E72F0C" w:rsidRDefault="00107901" w:rsidP="007E0316">
      <w:pPr>
        <w:pStyle w:val="a3"/>
        <w:spacing w:before="0" w:beforeAutospacing="0" w:after="0" w:afterAutospacing="0" w:line="360" w:lineRule="auto"/>
        <w:ind w:firstLine="420"/>
        <w:jc w:val="both"/>
        <w:divId w:val="1635254600"/>
        <w:rPr>
          <w:rFonts w:hint="eastAsia"/>
        </w:rPr>
      </w:pPr>
      <w:r>
        <w:rPr>
          <w:rFonts w:hint="eastAsia"/>
          <w:color w:val="000000"/>
          <w:sz w:val="21"/>
          <w:szCs w:val="21"/>
        </w:rPr>
        <w:t>4</w:t>
      </w:r>
      <w:r w:rsidR="007E0316">
        <w:rPr>
          <w:color w:val="000000"/>
          <w:sz w:val="21"/>
          <w:szCs w:val="21"/>
        </w:rPr>
        <w:t>.</w:t>
      </w:r>
      <w:r>
        <w:rPr>
          <w:rFonts w:hint="eastAsia"/>
          <w:color w:val="000000"/>
          <w:sz w:val="21"/>
          <w:szCs w:val="21"/>
        </w:rPr>
        <w:t>2018年2月通过了西宁市环境保护局关于青海中利光纤技术有限公司年产600吨光纤预制棒项目环境影响报告书的批复，宁环建管【2018】11号。</w:t>
      </w:r>
    </w:p>
    <w:p w14:paraId="4B20FAEE" w14:textId="03A7B756" w:rsidR="00E72F0C" w:rsidRDefault="00107901" w:rsidP="007E0316">
      <w:pPr>
        <w:pStyle w:val="a3"/>
        <w:spacing w:before="0" w:beforeAutospacing="0" w:after="0" w:afterAutospacing="0" w:line="360" w:lineRule="auto"/>
        <w:ind w:firstLine="420"/>
        <w:jc w:val="both"/>
        <w:divId w:val="1635254600"/>
        <w:rPr>
          <w:rFonts w:hint="eastAsia"/>
        </w:rPr>
      </w:pPr>
      <w:r>
        <w:rPr>
          <w:rFonts w:hint="eastAsia"/>
          <w:color w:val="000000"/>
          <w:sz w:val="21"/>
          <w:szCs w:val="21"/>
        </w:rPr>
        <w:t>5</w:t>
      </w:r>
      <w:r w:rsidR="007E0316">
        <w:rPr>
          <w:rFonts w:hint="eastAsia"/>
          <w:color w:val="000000"/>
          <w:sz w:val="21"/>
          <w:szCs w:val="21"/>
        </w:rPr>
        <w:t>.</w:t>
      </w:r>
      <w:r>
        <w:rPr>
          <w:rFonts w:hint="eastAsia"/>
          <w:color w:val="000000"/>
          <w:sz w:val="21"/>
          <w:szCs w:val="21"/>
        </w:rPr>
        <w:t>2021年12月10日通过了西宁市环保局关于青海中利光纤技术有限公司光纤预制棒酸洗系统装置建设项目环境影响报告表的批复，宁生建管【2021】81号。</w:t>
      </w:r>
    </w:p>
    <w:p w14:paraId="4B474EBB"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行业排放标准及生产经营活动中涉及的污染物排放的具体情况</w:t>
      </w:r>
    </w:p>
    <w:tbl>
      <w:tblPr>
        <w:tblW w:w="98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877"/>
        <w:gridCol w:w="877"/>
        <w:gridCol w:w="877"/>
        <w:gridCol w:w="876"/>
        <w:gridCol w:w="876"/>
        <w:gridCol w:w="876"/>
        <w:gridCol w:w="876"/>
        <w:gridCol w:w="1125"/>
        <w:gridCol w:w="876"/>
        <w:gridCol w:w="876"/>
        <w:gridCol w:w="876"/>
      </w:tblGrid>
      <w:tr w:rsidR="00632E5B" w14:paraId="778AC763" w14:textId="77777777" w:rsidTr="00372641">
        <w:trPr>
          <w:trHeight w:val="240"/>
        </w:trPr>
        <w:tc>
          <w:tcPr>
            <w:tcW w:w="877" w:type="dxa"/>
            <w:shd w:val="clear" w:color="auto" w:fill="FFFFFF" w:themeFill="background1"/>
            <w:vAlign w:val="center"/>
          </w:tcPr>
          <w:p w14:paraId="09A446B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公司或子公司名称</w:t>
            </w:r>
          </w:p>
        </w:tc>
        <w:tc>
          <w:tcPr>
            <w:tcW w:w="877" w:type="dxa"/>
            <w:shd w:val="clear" w:color="auto" w:fill="FFFFFF" w:themeFill="background1"/>
            <w:vAlign w:val="center"/>
          </w:tcPr>
          <w:p w14:paraId="7E39615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主要污染物及特征污染物的种类</w:t>
            </w:r>
          </w:p>
        </w:tc>
        <w:tc>
          <w:tcPr>
            <w:tcW w:w="877" w:type="dxa"/>
            <w:shd w:val="clear" w:color="auto" w:fill="FFFFFF" w:themeFill="background1"/>
            <w:vAlign w:val="center"/>
          </w:tcPr>
          <w:p w14:paraId="7A596E9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主要污染物及特征污染物的名称</w:t>
            </w:r>
          </w:p>
        </w:tc>
        <w:tc>
          <w:tcPr>
            <w:tcW w:w="876" w:type="dxa"/>
            <w:shd w:val="clear" w:color="auto" w:fill="FFFFFF" w:themeFill="background1"/>
            <w:vAlign w:val="center"/>
          </w:tcPr>
          <w:p w14:paraId="53F5C65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排放方式</w:t>
            </w:r>
          </w:p>
        </w:tc>
        <w:tc>
          <w:tcPr>
            <w:tcW w:w="876" w:type="dxa"/>
            <w:shd w:val="clear" w:color="auto" w:fill="FFFFFF" w:themeFill="background1"/>
            <w:vAlign w:val="center"/>
          </w:tcPr>
          <w:p w14:paraId="16C7E0B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排放口数量</w:t>
            </w:r>
          </w:p>
        </w:tc>
        <w:tc>
          <w:tcPr>
            <w:tcW w:w="876" w:type="dxa"/>
            <w:shd w:val="clear" w:color="auto" w:fill="FFFFFF" w:themeFill="background1"/>
            <w:vAlign w:val="center"/>
          </w:tcPr>
          <w:p w14:paraId="0D037FE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排放口分布情况</w:t>
            </w:r>
          </w:p>
        </w:tc>
        <w:tc>
          <w:tcPr>
            <w:tcW w:w="876" w:type="dxa"/>
            <w:shd w:val="clear" w:color="auto" w:fill="FFFFFF" w:themeFill="background1"/>
            <w:vAlign w:val="center"/>
          </w:tcPr>
          <w:p w14:paraId="5A4F859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排放浓度/强度</w:t>
            </w:r>
          </w:p>
        </w:tc>
        <w:tc>
          <w:tcPr>
            <w:tcW w:w="1125" w:type="dxa"/>
            <w:shd w:val="clear" w:color="auto" w:fill="FFFFFF" w:themeFill="background1"/>
            <w:vAlign w:val="center"/>
          </w:tcPr>
          <w:p w14:paraId="37C480D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执行的污染物排放标准</w:t>
            </w:r>
          </w:p>
        </w:tc>
        <w:tc>
          <w:tcPr>
            <w:tcW w:w="876" w:type="dxa"/>
            <w:shd w:val="clear" w:color="auto" w:fill="FFFFFF" w:themeFill="background1"/>
            <w:vAlign w:val="center"/>
          </w:tcPr>
          <w:p w14:paraId="088F9E8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排放总量</w:t>
            </w:r>
          </w:p>
        </w:tc>
        <w:tc>
          <w:tcPr>
            <w:tcW w:w="876" w:type="dxa"/>
            <w:shd w:val="clear" w:color="auto" w:fill="FFFFFF" w:themeFill="background1"/>
            <w:vAlign w:val="center"/>
          </w:tcPr>
          <w:p w14:paraId="08C1ACD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核定的排放总量</w:t>
            </w:r>
          </w:p>
        </w:tc>
        <w:tc>
          <w:tcPr>
            <w:tcW w:w="876" w:type="dxa"/>
            <w:shd w:val="clear" w:color="auto" w:fill="FFFFFF" w:themeFill="background1"/>
            <w:vAlign w:val="center"/>
          </w:tcPr>
          <w:p w14:paraId="09114B8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超标排放情况</w:t>
            </w:r>
          </w:p>
        </w:tc>
      </w:tr>
      <w:tr w:rsidR="00632E5B" w14:paraId="6B2C09BE" w14:textId="77777777" w:rsidTr="00372641">
        <w:trPr>
          <w:trHeight w:val="240"/>
        </w:trPr>
        <w:tc>
          <w:tcPr>
            <w:tcW w:w="877" w:type="dxa"/>
            <w:shd w:val="clear" w:color="auto" w:fill="FFFFFF" w:themeFill="background1"/>
            <w:vAlign w:val="center"/>
          </w:tcPr>
          <w:p w14:paraId="2210294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青海中利光纤技术有限公司</w:t>
            </w:r>
          </w:p>
        </w:tc>
        <w:tc>
          <w:tcPr>
            <w:tcW w:w="877" w:type="dxa"/>
            <w:shd w:val="clear" w:color="auto" w:fill="FFFFFF" w:themeFill="background1"/>
            <w:vAlign w:val="center"/>
          </w:tcPr>
          <w:p w14:paraId="610BB26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酸性气体</w:t>
            </w:r>
          </w:p>
        </w:tc>
        <w:tc>
          <w:tcPr>
            <w:tcW w:w="877" w:type="dxa"/>
            <w:shd w:val="clear" w:color="auto" w:fill="FFFFFF" w:themeFill="background1"/>
            <w:vAlign w:val="center"/>
          </w:tcPr>
          <w:p w14:paraId="18C7E2B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氯气、氯化氢</w:t>
            </w:r>
          </w:p>
        </w:tc>
        <w:tc>
          <w:tcPr>
            <w:tcW w:w="876" w:type="dxa"/>
            <w:shd w:val="clear" w:color="auto" w:fill="FFFFFF" w:themeFill="background1"/>
            <w:vAlign w:val="center"/>
          </w:tcPr>
          <w:p w14:paraId="4750B93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烟囱排放</w:t>
            </w:r>
          </w:p>
        </w:tc>
        <w:tc>
          <w:tcPr>
            <w:tcW w:w="876" w:type="dxa"/>
            <w:shd w:val="clear" w:color="auto" w:fill="FFFFFF" w:themeFill="background1"/>
            <w:vAlign w:val="center"/>
          </w:tcPr>
          <w:p w14:paraId="7EDEDBD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2个</w:t>
            </w:r>
          </w:p>
        </w:tc>
        <w:tc>
          <w:tcPr>
            <w:tcW w:w="876" w:type="dxa"/>
            <w:shd w:val="clear" w:color="auto" w:fill="FFFFFF" w:themeFill="background1"/>
            <w:vAlign w:val="center"/>
          </w:tcPr>
          <w:p w14:paraId="46A54F1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厂区南侧尾气系统旁</w:t>
            </w:r>
          </w:p>
        </w:tc>
        <w:tc>
          <w:tcPr>
            <w:tcW w:w="876" w:type="dxa"/>
            <w:shd w:val="clear" w:color="auto" w:fill="FFFFFF" w:themeFill="background1"/>
            <w:vAlign w:val="center"/>
          </w:tcPr>
          <w:p w14:paraId="4ED7891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合格</w:t>
            </w:r>
          </w:p>
        </w:tc>
        <w:tc>
          <w:tcPr>
            <w:tcW w:w="1125" w:type="dxa"/>
            <w:shd w:val="clear" w:color="auto" w:fill="FFFFFF" w:themeFill="background1"/>
            <w:vAlign w:val="center"/>
          </w:tcPr>
          <w:p w14:paraId="3DB3BEA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《大气污染物综合排放标准》二级（GB16297-1996)</w:t>
            </w:r>
          </w:p>
        </w:tc>
        <w:tc>
          <w:tcPr>
            <w:tcW w:w="876" w:type="dxa"/>
            <w:shd w:val="clear" w:color="auto" w:fill="FFFFFF" w:themeFill="background1"/>
            <w:vAlign w:val="center"/>
          </w:tcPr>
          <w:p w14:paraId="33A5F17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氯气：6t/a；氯化氢：45t/a</w:t>
            </w:r>
          </w:p>
        </w:tc>
        <w:tc>
          <w:tcPr>
            <w:tcW w:w="876" w:type="dxa"/>
            <w:shd w:val="clear" w:color="auto" w:fill="FFFFFF" w:themeFill="background1"/>
            <w:vAlign w:val="center"/>
          </w:tcPr>
          <w:p w14:paraId="002C880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氯气&lt;6t/a;氯化氢&lt;45t/a</w:t>
            </w:r>
          </w:p>
        </w:tc>
        <w:tc>
          <w:tcPr>
            <w:tcW w:w="876" w:type="dxa"/>
            <w:shd w:val="clear" w:color="auto" w:fill="FFFFFF" w:themeFill="background1"/>
            <w:vAlign w:val="center"/>
          </w:tcPr>
          <w:p w14:paraId="476AE6F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未超标</w:t>
            </w:r>
          </w:p>
        </w:tc>
      </w:tr>
    </w:tbl>
    <w:p w14:paraId="137EAF18"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对污染物的处理</w:t>
      </w:r>
    </w:p>
    <w:p w14:paraId="65DCABFE" w14:textId="77777777" w:rsidR="00372641" w:rsidRDefault="00372641" w:rsidP="007E0316">
      <w:pPr>
        <w:pStyle w:val="a3"/>
        <w:spacing w:before="0" w:beforeAutospacing="0" w:after="0" w:afterAutospacing="0" w:line="360" w:lineRule="auto"/>
        <w:ind w:firstLineChars="200" w:firstLine="420"/>
        <w:divId w:val="518589985"/>
        <w:rPr>
          <w:rFonts w:hint="eastAsia"/>
          <w:color w:val="000000"/>
          <w:sz w:val="21"/>
          <w:szCs w:val="21"/>
        </w:rPr>
      </w:pPr>
    </w:p>
    <w:p w14:paraId="7E0FE2F0" w14:textId="1F038A48" w:rsidR="00E72F0C" w:rsidRDefault="00107901" w:rsidP="007E0316">
      <w:pPr>
        <w:pStyle w:val="a3"/>
        <w:spacing w:before="0" w:beforeAutospacing="0" w:after="0" w:afterAutospacing="0" w:line="360" w:lineRule="auto"/>
        <w:ind w:firstLineChars="200" w:firstLine="420"/>
        <w:divId w:val="518589985"/>
        <w:rPr>
          <w:rFonts w:hint="eastAsia"/>
        </w:rPr>
      </w:pPr>
      <w:r>
        <w:rPr>
          <w:rFonts w:hint="eastAsia"/>
          <w:color w:val="000000"/>
          <w:sz w:val="21"/>
          <w:szCs w:val="21"/>
        </w:rPr>
        <w:lastRenderedPageBreak/>
        <w:t>1</w:t>
      </w:r>
      <w:r w:rsidR="007E0316">
        <w:rPr>
          <w:rFonts w:hint="eastAsia"/>
          <w:color w:val="000000"/>
          <w:sz w:val="21"/>
          <w:szCs w:val="21"/>
        </w:rPr>
        <w:t>.</w:t>
      </w:r>
      <w:r>
        <w:rPr>
          <w:rFonts w:hint="eastAsia"/>
          <w:color w:val="000000"/>
          <w:sz w:val="21"/>
          <w:szCs w:val="21"/>
        </w:rPr>
        <w:t>环保处理系统</w:t>
      </w:r>
    </w:p>
    <w:p w14:paraId="42820C5F" w14:textId="77777777" w:rsidR="00E72F0C" w:rsidRDefault="00107901" w:rsidP="007E0316">
      <w:pPr>
        <w:pStyle w:val="a3"/>
        <w:spacing w:before="0" w:beforeAutospacing="0" w:after="0" w:afterAutospacing="0" w:line="360" w:lineRule="auto"/>
        <w:ind w:firstLine="420"/>
        <w:jc w:val="both"/>
        <w:divId w:val="518589985"/>
        <w:rPr>
          <w:rFonts w:hint="eastAsia"/>
        </w:rPr>
      </w:pPr>
      <w:r>
        <w:rPr>
          <w:rFonts w:hint="eastAsia"/>
          <w:color w:val="000000"/>
          <w:sz w:val="21"/>
          <w:szCs w:val="21"/>
        </w:rPr>
        <w:t>来自生产的含氯废气通过风管收集并排放至公司环保处理系统进行处理。废气气体进入填料洗涤塔，氯气在填料洗涤塔中被循环的碱液(NaOH)吸收中和，使尾气达到允许的排放标准。净化后的气体经过风机，然后经烟囱排入大气，满足国家规定的排放标准。</w:t>
      </w:r>
    </w:p>
    <w:p w14:paraId="122163AB" w14:textId="7C65BFDF" w:rsidR="00E72F0C" w:rsidRDefault="00107901" w:rsidP="007E0316">
      <w:pPr>
        <w:pStyle w:val="a3"/>
        <w:spacing w:before="0" w:beforeAutospacing="0" w:after="0" w:afterAutospacing="0" w:line="360" w:lineRule="auto"/>
        <w:ind w:firstLineChars="200" w:firstLine="420"/>
        <w:divId w:val="518589985"/>
        <w:rPr>
          <w:rFonts w:hint="eastAsia"/>
        </w:rPr>
      </w:pPr>
      <w:r>
        <w:rPr>
          <w:rFonts w:hint="eastAsia"/>
          <w:color w:val="000000"/>
          <w:sz w:val="21"/>
          <w:szCs w:val="21"/>
        </w:rPr>
        <w:t>2</w:t>
      </w:r>
      <w:r w:rsidR="007E0316">
        <w:rPr>
          <w:rFonts w:hint="eastAsia"/>
          <w:color w:val="000000"/>
          <w:sz w:val="21"/>
          <w:szCs w:val="21"/>
        </w:rPr>
        <w:t>.</w:t>
      </w:r>
      <w:r>
        <w:rPr>
          <w:rFonts w:hint="eastAsia"/>
          <w:color w:val="000000"/>
          <w:sz w:val="21"/>
          <w:szCs w:val="21"/>
        </w:rPr>
        <w:t>实施成果</w:t>
      </w:r>
    </w:p>
    <w:p w14:paraId="68C0B4F7" w14:textId="5D19A900" w:rsidR="00E72F0C" w:rsidRDefault="00107901" w:rsidP="00FE0BB6">
      <w:pPr>
        <w:pStyle w:val="a3"/>
        <w:spacing w:before="0" w:beforeAutospacing="0" w:after="0" w:afterAutospacing="0" w:line="360" w:lineRule="auto"/>
        <w:ind w:firstLine="420"/>
        <w:divId w:val="518589985"/>
        <w:rPr>
          <w:rFonts w:hint="eastAsia"/>
        </w:rPr>
      </w:pPr>
      <w:r>
        <w:rPr>
          <w:rFonts w:hint="eastAsia"/>
          <w:color w:val="000000"/>
          <w:sz w:val="21"/>
          <w:szCs w:val="21"/>
        </w:rPr>
        <w:t>自净化系统投入运行后，各项检测数据均在国家排放标准内。</w:t>
      </w:r>
    </w:p>
    <w:p w14:paraId="43EB5F9E"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环境自行监测方案</w:t>
      </w:r>
    </w:p>
    <w:p w14:paraId="37BFFBDA" w14:textId="77777777" w:rsidR="00E72F0C" w:rsidRDefault="00107901" w:rsidP="007E0316">
      <w:pPr>
        <w:pStyle w:val="a3"/>
        <w:spacing w:before="0" w:beforeAutospacing="0" w:after="0" w:afterAutospacing="0" w:line="360" w:lineRule="auto"/>
        <w:ind w:firstLine="420"/>
        <w:jc w:val="both"/>
        <w:divId w:val="126048954"/>
        <w:rPr>
          <w:rFonts w:hint="eastAsia"/>
        </w:rPr>
      </w:pPr>
      <w:r>
        <w:rPr>
          <w:rFonts w:hint="eastAsia"/>
          <w:sz w:val="21"/>
          <w:szCs w:val="21"/>
        </w:rPr>
        <w:t>青海中利定期委托有资质的第三方检测机构对废气排放标准进行检测，2024年1月22日由青海兴震环境科技技术有限公司对公司一季度的废气排放进行了检测，2月1日出具了检测报告，检测结果均合格；2024年6月7日由青海兴震环境科技技术有限公司对公司二季度的废气排放进行了检测，6月20日出具了检测报告，检测结果均合格；2024年7月15日由青海兴震环境科技技术有限公司对公司三季度的废气排放进行了检测，7月22日出具了检测报告，检测结果均合格；2024年10月21日由青海兴震环境科技技术有限公司对公司四季度的废气排放进行了检测，10月30日出具了检测报告，检测结果均合格。</w:t>
      </w:r>
    </w:p>
    <w:p w14:paraId="5B2DB0A9" w14:textId="77777777" w:rsidR="00E72F0C" w:rsidRDefault="00107901" w:rsidP="007E0316">
      <w:pPr>
        <w:pStyle w:val="a3"/>
        <w:spacing w:before="0" w:beforeAutospacing="0" w:after="0" w:afterAutospacing="0" w:line="360" w:lineRule="auto"/>
        <w:ind w:firstLine="420"/>
        <w:jc w:val="both"/>
        <w:divId w:val="126048954"/>
        <w:rPr>
          <w:rFonts w:hint="eastAsia"/>
        </w:rPr>
      </w:pPr>
      <w:r>
        <w:rPr>
          <w:rFonts w:hint="eastAsia"/>
          <w:color w:val="000000"/>
          <w:sz w:val="21"/>
          <w:szCs w:val="21"/>
        </w:rPr>
        <w:t>以下是监测点位、监测项目和监测频次的详细说明：</w:t>
      </w:r>
    </w:p>
    <w:p w14:paraId="02DF34C4" w14:textId="77777777" w:rsidR="00E72F0C" w:rsidRDefault="00107901" w:rsidP="007E0316">
      <w:pPr>
        <w:pStyle w:val="a3"/>
        <w:spacing w:before="0" w:beforeAutospacing="0" w:after="0" w:afterAutospacing="0" w:line="360" w:lineRule="auto"/>
        <w:ind w:firstLineChars="200" w:firstLine="420"/>
        <w:jc w:val="both"/>
        <w:divId w:val="126048954"/>
        <w:rPr>
          <w:rFonts w:hint="eastAsia"/>
        </w:rPr>
      </w:pPr>
      <w:r>
        <w:rPr>
          <w:rFonts w:hint="eastAsia"/>
          <w:color w:val="000000"/>
          <w:sz w:val="21"/>
          <w:szCs w:val="21"/>
        </w:rPr>
        <w:t>监测点位</w:t>
      </w:r>
    </w:p>
    <w:p w14:paraId="47F7EFDC" w14:textId="785366D5" w:rsidR="00E72F0C" w:rsidRDefault="00107901" w:rsidP="007E0316">
      <w:pPr>
        <w:pStyle w:val="a3"/>
        <w:spacing w:before="0" w:beforeAutospacing="0" w:after="0" w:afterAutospacing="0" w:line="360" w:lineRule="auto"/>
        <w:ind w:firstLine="420"/>
        <w:jc w:val="both"/>
        <w:divId w:val="126048954"/>
        <w:rPr>
          <w:rFonts w:hint="eastAsia"/>
        </w:rPr>
      </w:pPr>
      <w:r>
        <w:rPr>
          <w:rFonts w:hint="eastAsia"/>
          <w:color w:val="000000"/>
          <w:sz w:val="21"/>
          <w:szCs w:val="21"/>
        </w:rPr>
        <w:t>1</w:t>
      </w:r>
      <w:r w:rsidR="007E0316">
        <w:rPr>
          <w:rFonts w:hint="eastAsia"/>
          <w:color w:val="000000"/>
          <w:sz w:val="21"/>
          <w:szCs w:val="21"/>
        </w:rPr>
        <w:t>.</w:t>
      </w:r>
      <w:r>
        <w:rPr>
          <w:rFonts w:hint="eastAsia"/>
          <w:color w:val="000000"/>
          <w:sz w:val="21"/>
          <w:szCs w:val="21"/>
        </w:rPr>
        <w:t>废气有组织监测点位:在废气排放口(DA009)、废气排放口(DAO10)、废气排放口(DA001)、废气排放口(DA002)、油烟净化设施等各布设1处监测点位；</w:t>
      </w:r>
    </w:p>
    <w:p w14:paraId="276E2472" w14:textId="17CF7CF0" w:rsidR="00E72F0C" w:rsidRDefault="00107901" w:rsidP="007E0316">
      <w:pPr>
        <w:pStyle w:val="a3"/>
        <w:spacing w:before="0" w:beforeAutospacing="0" w:after="0" w:afterAutospacing="0" w:line="360" w:lineRule="auto"/>
        <w:ind w:firstLine="420"/>
        <w:jc w:val="both"/>
        <w:divId w:val="126048954"/>
        <w:rPr>
          <w:rFonts w:hint="eastAsia"/>
        </w:rPr>
      </w:pPr>
      <w:r>
        <w:rPr>
          <w:rFonts w:hint="eastAsia"/>
          <w:color w:val="000000"/>
          <w:sz w:val="21"/>
          <w:szCs w:val="21"/>
        </w:rPr>
        <w:t>2</w:t>
      </w:r>
      <w:r w:rsidR="007E0316">
        <w:rPr>
          <w:rFonts w:hint="eastAsia"/>
          <w:color w:val="000000"/>
          <w:sz w:val="21"/>
          <w:szCs w:val="21"/>
        </w:rPr>
        <w:t>.</w:t>
      </w:r>
      <w:r>
        <w:rPr>
          <w:rFonts w:hint="eastAsia"/>
          <w:color w:val="000000"/>
          <w:sz w:val="21"/>
          <w:szCs w:val="21"/>
        </w:rPr>
        <w:t>废气无组织监测点位:在厂界上风向布设1处监测点位，下风向布设3处监测点；</w:t>
      </w:r>
    </w:p>
    <w:p w14:paraId="4778F2D8" w14:textId="77777777" w:rsidR="00E72F0C" w:rsidRDefault="00107901" w:rsidP="007E0316">
      <w:pPr>
        <w:pStyle w:val="a3"/>
        <w:spacing w:before="0" w:beforeAutospacing="0" w:after="0" w:afterAutospacing="0" w:line="360" w:lineRule="auto"/>
        <w:ind w:firstLineChars="200" w:firstLine="420"/>
        <w:jc w:val="both"/>
        <w:divId w:val="126048954"/>
        <w:rPr>
          <w:rFonts w:hint="eastAsia"/>
        </w:rPr>
      </w:pPr>
      <w:r>
        <w:rPr>
          <w:rFonts w:hint="eastAsia"/>
          <w:color w:val="000000"/>
          <w:sz w:val="21"/>
          <w:szCs w:val="21"/>
        </w:rPr>
        <w:t>监测项目</w:t>
      </w:r>
    </w:p>
    <w:p w14:paraId="0609229D" w14:textId="45427E5B" w:rsidR="00E72F0C" w:rsidRDefault="00107901">
      <w:pPr>
        <w:pStyle w:val="a3"/>
        <w:spacing w:before="0" w:beforeAutospacing="0" w:after="0" w:afterAutospacing="0" w:line="360" w:lineRule="auto"/>
        <w:ind w:firstLine="420"/>
        <w:jc w:val="both"/>
        <w:divId w:val="126048954"/>
        <w:rPr>
          <w:rFonts w:hint="eastAsia"/>
        </w:rPr>
      </w:pPr>
      <w:r>
        <w:rPr>
          <w:rFonts w:hint="eastAsia"/>
          <w:color w:val="000000"/>
          <w:sz w:val="21"/>
          <w:szCs w:val="21"/>
        </w:rPr>
        <w:t>1</w:t>
      </w:r>
      <w:r w:rsidR="007E0316">
        <w:rPr>
          <w:rFonts w:hint="eastAsia"/>
          <w:color w:val="000000"/>
          <w:sz w:val="21"/>
          <w:szCs w:val="21"/>
        </w:rPr>
        <w:t>.</w:t>
      </w:r>
      <w:r>
        <w:rPr>
          <w:rFonts w:hint="eastAsia"/>
          <w:color w:val="000000"/>
          <w:sz w:val="21"/>
          <w:szCs w:val="21"/>
        </w:rPr>
        <w:t>废气有组织废气监测项目:烟/粉尘、二氧化硫、氮氧化物、氯化氢、氯气、烟气参数等；</w:t>
      </w:r>
    </w:p>
    <w:p w14:paraId="2E5F7777" w14:textId="6A170E7B" w:rsidR="00E72F0C" w:rsidRDefault="00107901" w:rsidP="007E0316">
      <w:pPr>
        <w:pStyle w:val="a3"/>
        <w:spacing w:before="0" w:beforeAutospacing="0" w:after="0" w:afterAutospacing="0" w:line="360" w:lineRule="auto"/>
        <w:ind w:firstLine="420"/>
        <w:jc w:val="both"/>
        <w:divId w:val="126048954"/>
        <w:rPr>
          <w:rFonts w:hint="eastAsia"/>
        </w:rPr>
      </w:pPr>
      <w:r>
        <w:rPr>
          <w:rFonts w:hint="eastAsia"/>
          <w:color w:val="000000"/>
          <w:sz w:val="21"/>
          <w:szCs w:val="21"/>
        </w:rPr>
        <w:t>2</w:t>
      </w:r>
      <w:r w:rsidR="007E0316">
        <w:rPr>
          <w:rFonts w:hint="eastAsia"/>
          <w:color w:val="000000"/>
          <w:sz w:val="21"/>
          <w:szCs w:val="21"/>
        </w:rPr>
        <w:t>.</w:t>
      </w:r>
      <w:r>
        <w:rPr>
          <w:rFonts w:hint="eastAsia"/>
          <w:color w:val="000000"/>
          <w:sz w:val="21"/>
          <w:szCs w:val="21"/>
        </w:rPr>
        <w:t>废气无组织监测项目:氯气、氯化氢、</w:t>
      </w:r>
      <w:r>
        <w:rPr>
          <w:rFonts w:hint="eastAsia"/>
          <w:sz w:val="21"/>
          <w:szCs w:val="21"/>
        </w:rPr>
        <w:t>颗粒物、氟化物；</w:t>
      </w:r>
    </w:p>
    <w:p w14:paraId="1F76DFF5" w14:textId="77777777" w:rsidR="00E72F0C" w:rsidRDefault="00107901" w:rsidP="007E0316">
      <w:pPr>
        <w:pStyle w:val="a3"/>
        <w:spacing w:before="0" w:beforeAutospacing="0" w:after="0" w:afterAutospacing="0" w:line="360" w:lineRule="auto"/>
        <w:ind w:firstLineChars="200" w:firstLine="420"/>
        <w:jc w:val="both"/>
        <w:divId w:val="126048954"/>
        <w:rPr>
          <w:rFonts w:hint="eastAsia"/>
        </w:rPr>
      </w:pPr>
      <w:r>
        <w:rPr>
          <w:rFonts w:hint="eastAsia"/>
          <w:color w:val="000000"/>
          <w:sz w:val="21"/>
          <w:szCs w:val="21"/>
        </w:rPr>
        <w:t>监测频次</w:t>
      </w:r>
    </w:p>
    <w:p w14:paraId="2E7A77AC" w14:textId="53042A5C" w:rsidR="00E72F0C" w:rsidRDefault="00107901">
      <w:pPr>
        <w:pStyle w:val="a3"/>
        <w:spacing w:before="0" w:beforeAutospacing="0" w:after="0" w:afterAutospacing="0" w:line="360" w:lineRule="auto"/>
        <w:ind w:firstLine="420"/>
        <w:jc w:val="both"/>
        <w:divId w:val="126048954"/>
        <w:rPr>
          <w:rFonts w:hint="eastAsia"/>
        </w:rPr>
      </w:pPr>
      <w:r>
        <w:rPr>
          <w:rFonts w:hint="eastAsia"/>
          <w:color w:val="000000"/>
          <w:sz w:val="21"/>
          <w:szCs w:val="21"/>
        </w:rPr>
        <w:t>1</w:t>
      </w:r>
      <w:r w:rsidR="007E0316">
        <w:rPr>
          <w:rFonts w:hint="eastAsia"/>
          <w:color w:val="000000"/>
          <w:sz w:val="21"/>
          <w:szCs w:val="21"/>
        </w:rPr>
        <w:t>.</w:t>
      </w:r>
      <w:r>
        <w:rPr>
          <w:rFonts w:hint="eastAsia"/>
          <w:color w:val="000000"/>
          <w:sz w:val="21"/>
          <w:szCs w:val="21"/>
        </w:rPr>
        <w:t>废气有组织油烟监测频次:1次/季度，每次监测1天，每天5 次；</w:t>
      </w:r>
    </w:p>
    <w:p w14:paraId="2B4DC7C5" w14:textId="7AED9A0E" w:rsidR="00E72F0C" w:rsidRDefault="00107901">
      <w:pPr>
        <w:pStyle w:val="a3"/>
        <w:spacing w:before="0" w:beforeAutospacing="0" w:after="0" w:afterAutospacing="0" w:line="360" w:lineRule="auto"/>
        <w:ind w:firstLine="420"/>
        <w:jc w:val="both"/>
        <w:divId w:val="126048954"/>
        <w:rPr>
          <w:rFonts w:hint="eastAsia"/>
        </w:rPr>
      </w:pPr>
      <w:r>
        <w:rPr>
          <w:rFonts w:hint="eastAsia"/>
          <w:color w:val="000000"/>
          <w:sz w:val="21"/>
          <w:szCs w:val="21"/>
        </w:rPr>
        <w:t>2</w:t>
      </w:r>
      <w:r w:rsidR="007E0316">
        <w:rPr>
          <w:rFonts w:hint="eastAsia"/>
          <w:color w:val="000000"/>
          <w:sz w:val="21"/>
          <w:szCs w:val="21"/>
        </w:rPr>
        <w:t>.</w:t>
      </w:r>
      <w:r>
        <w:rPr>
          <w:rFonts w:hint="eastAsia"/>
          <w:color w:val="000000"/>
          <w:sz w:val="21"/>
          <w:szCs w:val="21"/>
        </w:rPr>
        <w:t>废气无组织监测频次:1次/季度，每次监测1天，每天4次；</w:t>
      </w:r>
    </w:p>
    <w:p w14:paraId="61F59294"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突发环境事件应急预案</w:t>
      </w:r>
    </w:p>
    <w:p w14:paraId="25051295" w14:textId="77777777" w:rsidR="00E72F0C" w:rsidRDefault="00107901">
      <w:pPr>
        <w:pStyle w:val="a3"/>
        <w:spacing w:before="0" w:beforeAutospacing="0" w:after="0" w:afterAutospacing="0" w:line="360" w:lineRule="auto"/>
        <w:ind w:firstLine="420"/>
        <w:jc w:val="both"/>
        <w:divId w:val="768349661"/>
        <w:rPr>
          <w:rFonts w:hint="eastAsia"/>
        </w:rPr>
      </w:pPr>
      <w:r>
        <w:rPr>
          <w:rFonts w:hint="eastAsia"/>
          <w:color w:val="000000"/>
          <w:sz w:val="21"/>
          <w:szCs w:val="21"/>
        </w:rPr>
        <w:t>2016年4月青海中利制订了《青海中利光纤技术有限公司突发环境事件应急预案》，于2016年5月通过了专家评审，并于2016年7月在西宁市环境保护局东川工业园区分局完成了备案（备案编号6301022016004L）。</w:t>
      </w:r>
    </w:p>
    <w:p w14:paraId="4EA6974C" w14:textId="77777777" w:rsidR="00E72F0C" w:rsidRDefault="00107901">
      <w:pPr>
        <w:pStyle w:val="a3"/>
        <w:spacing w:before="0" w:beforeAutospacing="0" w:after="0" w:afterAutospacing="0" w:line="360" w:lineRule="auto"/>
        <w:ind w:firstLine="420"/>
        <w:jc w:val="both"/>
        <w:divId w:val="768349661"/>
        <w:rPr>
          <w:rFonts w:hint="eastAsia"/>
        </w:rPr>
      </w:pPr>
      <w:r>
        <w:rPr>
          <w:rFonts w:hint="eastAsia"/>
          <w:color w:val="000000"/>
          <w:sz w:val="21"/>
          <w:szCs w:val="21"/>
        </w:rPr>
        <w:t>公司定期按公司制定的应急预案进行实战演练，提升应急处置能力。根据突发环境事件应急预案三年一修订的要求，2019年对公司的《突发环境事件应急预案》《环境风险评估报告》《应急物资调查报</w:t>
      </w:r>
      <w:r>
        <w:rPr>
          <w:rFonts w:hint="eastAsia"/>
          <w:color w:val="000000"/>
          <w:sz w:val="21"/>
          <w:szCs w:val="21"/>
        </w:rPr>
        <w:lastRenderedPageBreak/>
        <w:t>告》进行了修订，2019年10月份组织专家评审通过，并于2019年10月在西宁市环境应急管理中心完成备案 （备案编号630121-2019-036）。</w:t>
      </w:r>
    </w:p>
    <w:p w14:paraId="68072F26" w14:textId="77777777" w:rsidR="00E72F0C" w:rsidRDefault="00107901">
      <w:pPr>
        <w:pStyle w:val="a3"/>
        <w:spacing w:before="0" w:beforeAutospacing="0" w:after="0" w:afterAutospacing="0" w:line="360" w:lineRule="auto"/>
        <w:ind w:firstLine="420"/>
        <w:jc w:val="both"/>
        <w:divId w:val="768349661"/>
        <w:rPr>
          <w:rFonts w:hint="eastAsia"/>
        </w:rPr>
      </w:pPr>
      <w:r>
        <w:rPr>
          <w:rFonts w:hint="eastAsia"/>
          <w:sz w:val="21"/>
          <w:szCs w:val="21"/>
        </w:rPr>
        <w:t>2023年初因公司主要负责人发生变更，为规范突发环境事件的应急管理，增强突发环境事件应急预案的时效性、可操作性，公司编制更新了《突发环境事件应急预案》《环境风险评估报告》《应急物资调查报告》，2023年2月24日组织专家评审通过，并于2023年3月6日在西宁市环境应急管理中心完成备案 （备案编号630103-2023-002-M）。</w:t>
      </w:r>
    </w:p>
    <w:p w14:paraId="76A8BE43"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环境治理和保护的投入及缴纳环境保护税的相关情况</w:t>
      </w:r>
    </w:p>
    <w:p w14:paraId="4297FB0A" w14:textId="5A74B7F7" w:rsidR="00E72F0C" w:rsidRPr="007E0316" w:rsidRDefault="00107901" w:rsidP="007E0316">
      <w:pPr>
        <w:pStyle w:val="a3"/>
        <w:spacing w:before="0" w:beforeAutospacing="0" w:after="0" w:afterAutospacing="0" w:line="360" w:lineRule="auto"/>
        <w:ind w:firstLineChars="200" w:firstLine="420"/>
        <w:divId w:val="1399133842"/>
        <w:rPr>
          <w:rFonts w:asciiTheme="minorEastAsia" w:eastAsiaTheme="minorEastAsia" w:hAnsiTheme="minorEastAsia" w:hint="eastAsia"/>
          <w:sz w:val="21"/>
          <w:szCs w:val="21"/>
        </w:rPr>
      </w:pPr>
      <w:r w:rsidRPr="007E0316">
        <w:rPr>
          <w:rFonts w:asciiTheme="minorEastAsia" w:eastAsiaTheme="minorEastAsia" w:hAnsiTheme="minorEastAsia" w:hint="eastAsia"/>
          <w:sz w:val="21"/>
          <w:szCs w:val="21"/>
        </w:rPr>
        <w:t>报告期内，青海中利在环境治理中对环保材料、环保设施、人工及耗材方面投入约452.1万元；环保税按季度按时缴纳。</w:t>
      </w:r>
    </w:p>
    <w:p w14:paraId="5B867B48"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在报告期内为减少其碳排放所采取的措施及效果</w:t>
      </w:r>
    </w:p>
    <w:p w14:paraId="51347264"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64153C1F"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报告期内因环境问题受到行政处罚的情况</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606"/>
        <w:gridCol w:w="1606"/>
        <w:gridCol w:w="1606"/>
        <w:gridCol w:w="1607"/>
        <w:gridCol w:w="1607"/>
        <w:gridCol w:w="1607"/>
      </w:tblGrid>
      <w:tr w:rsidR="00632E5B" w14:paraId="41AD3C16" w14:textId="77777777" w:rsidTr="00372641">
        <w:trPr>
          <w:trHeight w:val="240"/>
        </w:trPr>
        <w:tc>
          <w:tcPr>
            <w:tcW w:w="1606" w:type="dxa"/>
            <w:shd w:val="clear" w:color="auto" w:fill="FFFFFF" w:themeFill="background1"/>
            <w:vAlign w:val="center"/>
          </w:tcPr>
          <w:p w14:paraId="1DB04A4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公司或子公司名称</w:t>
            </w:r>
          </w:p>
        </w:tc>
        <w:tc>
          <w:tcPr>
            <w:tcW w:w="1606" w:type="dxa"/>
            <w:shd w:val="clear" w:color="auto" w:fill="FFFFFF" w:themeFill="background1"/>
            <w:vAlign w:val="center"/>
          </w:tcPr>
          <w:p w14:paraId="0F1E578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处罚原因</w:t>
            </w:r>
          </w:p>
        </w:tc>
        <w:tc>
          <w:tcPr>
            <w:tcW w:w="1606" w:type="dxa"/>
            <w:shd w:val="clear" w:color="auto" w:fill="FFFFFF" w:themeFill="background1"/>
            <w:vAlign w:val="center"/>
          </w:tcPr>
          <w:p w14:paraId="1A11297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违规情形</w:t>
            </w:r>
          </w:p>
        </w:tc>
        <w:tc>
          <w:tcPr>
            <w:tcW w:w="1606" w:type="dxa"/>
            <w:shd w:val="clear" w:color="auto" w:fill="FFFFFF" w:themeFill="background1"/>
            <w:vAlign w:val="center"/>
          </w:tcPr>
          <w:p w14:paraId="1F7190E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处罚结果</w:t>
            </w:r>
          </w:p>
        </w:tc>
        <w:tc>
          <w:tcPr>
            <w:tcW w:w="1606" w:type="dxa"/>
            <w:shd w:val="clear" w:color="auto" w:fill="FFFFFF" w:themeFill="background1"/>
            <w:vAlign w:val="center"/>
          </w:tcPr>
          <w:p w14:paraId="62CFD3D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对上市公司生产经营的影响</w:t>
            </w:r>
          </w:p>
        </w:tc>
        <w:tc>
          <w:tcPr>
            <w:tcW w:w="1606" w:type="dxa"/>
            <w:shd w:val="clear" w:color="auto" w:fill="FFFFFF" w:themeFill="background1"/>
            <w:vAlign w:val="center"/>
          </w:tcPr>
          <w:p w14:paraId="59FFB41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公司的整改措施</w:t>
            </w:r>
          </w:p>
        </w:tc>
      </w:tr>
      <w:tr w:rsidR="00632E5B" w14:paraId="0DCC2EF2" w14:textId="77777777" w:rsidTr="00372641">
        <w:trPr>
          <w:trHeight w:val="240"/>
        </w:trPr>
        <w:tc>
          <w:tcPr>
            <w:tcW w:w="1606" w:type="dxa"/>
            <w:shd w:val="clear" w:color="auto" w:fill="FFFFFF" w:themeFill="background1"/>
            <w:vAlign w:val="center"/>
          </w:tcPr>
          <w:p w14:paraId="2DE6EE6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w:t>
            </w:r>
          </w:p>
        </w:tc>
        <w:tc>
          <w:tcPr>
            <w:tcW w:w="1606" w:type="dxa"/>
            <w:shd w:val="clear" w:color="auto" w:fill="FFFFFF" w:themeFill="background1"/>
            <w:vAlign w:val="center"/>
          </w:tcPr>
          <w:p w14:paraId="0F54100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w:t>
            </w:r>
          </w:p>
        </w:tc>
        <w:tc>
          <w:tcPr>
            <w:tcW w:w="1606" w:type="dxa"/>
            <w:shd w:val="clear" w:color="auto" w:fill="FFFFFF" w:themeFill="background1"/>
            <w:vAlign w:val="center"/>
          </w:tcPr>
          <w:p w14:paraId="26F6A72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w:t>
            </w:r>
          </w:p>
        </w:tc>
        <w:tc>
          <w:tcPr>
            <w:tcW w:w="1606" w:type="dxa"/>
            <w:shd w:val="clear" w:color="auto" w:fill="FFFFFF" w:themeFill="background1"/>
            <w:vAlign w:val="center"/>
          </w:tcPr>
          <w:p w14:paraId="5F76F36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w:t>
            </w:r>
          </w:p>
        </w:tc>
        <w:tc>
          <w:tcPr>
            <w:tcW w:w="1606" w:type="dxa"/>
            <w:shd w:val="clear" w:color="auto" w:fill="FFFFFF" w:themeFill="background1"/>
            <w:vAlign w:val="center"/>
          </w:tcPr>
          <w:p w14:paraId="7165BD9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w:t>
            </w:r>
          </w:p>
        </w:tc>
        <w:tc>
          <w:tcPr>
            <w:tcW w:w="1606" w:type="dxa"/>
            <w:shd w:val="clear" w:color="auto" w:fill="FFFFFF" w:themeFill="background1"/>
            <w:vAlign w:val="center"/>
          </w:tcPr>
          <w:p w14:paraId="67283D7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w:t>
            </w:r>
          </w:p>
        </w:tc>
      </w:tr>
    </w:tbl>
    <w:p w14:paraId="6D31AC6A"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其他应当公开的环境信息</w:t>
      </w:r>
    </w:p>
    <w:p w14:paraId="25B048AF" w14:textId="77777777" w:rsidR="00E72F0C" w:rsidRPr="007E0316" w:rsidRDefault="00107901" w:rsidP="007E0316">
      <w:pPr>
        <w:pStyle w:val="a3"/>
        <w:spacing w:before="0" w:beforeAutospacing="0" w:after="0" w:afterAutospacing="0" w:line="360" w:lineRule="auto"/>
        <w:divId w:val="1703823364"/>
        <w:rPr>
          <w:rFonts w:asciiTheme="minorEastAsia" w:eastAsiaTheme="minorEastAsia" w:hAnsiTheme="minorEastAsia" w:hint="eastAsia"/>
          <w:sz w:val="21"/>
          <w:szCs w:val="21"/>
        </w:rPr>
      </w:pPr>
      <w:r>
        <w:rPr>
          <w:rFonts w:hint="eastAsia"/>
          <w:sz w:val="21"/>
          <w:szCs w:val="21"/>
        </w:rPr>
        <w:t xml:space="preserve">  </w:t>
      </w:r>
      <w:r w:rsidRPr="007E0316">
        <w:rPr>
          <w:rFonts w:asciiTheme="minorEastAsia" w:eastAsiaTheme="minorEastAsia" w:hAnsiTheme="minorEastAsia" w:hint="eastAsia"/>
          <w:sz w:val="21"/>
          <w:szCs w:val="21"/>
        </w:rPr>
        <w:t>青海中利一直严格遵守环保方面的法律法规，无其他应当公开的环境信息和其他环保相关信息。</w:t>
      </w:r>
    </w:p>
    <w:p w14:paraId="76E123E2"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其他环保相关信息</w:t>
      </w:r>
    </w:p>
    <w:p w14:paraId="362A8BCA" w14:textId="77777777" w:rsidR="00E72F0C" w:rsidRDefault="00107901" w:rsidP="00FE0BB6">
      <w:pPr>
        <w:pStyle w:val="a3"/>
        <w:spacing w:before="0" w:beforeAutospacing="0" w:after="0" w:afterAutospacing="0"/>
        <w:ind w:firstLineChars="200" w:firstLine="360"/>
        <w:divId w:val="1271159453"/>
        <w:rPr>
          <w:rFonts w:hint="eastAsia"/>
          <w:sz w:val="18"/>
          <w:szCs w:val="18"/>
        </w:rPr>
      </w:pPr>
      <w:r>
        <w:rPr>
          <w:rFonts w:hint="eastAsia"/>
          <w:sz w:val="18"/>
          <w:szCs w:val="18"/>
        </w:rPr>
        <w:t>无。</w:t>
      </w:r>
    </w:p>
    <w:p w14:paraId="1941936F" w14:textId="77777777" w:rsidR="00632E5B" w:rsidRDefault="00107901">
      <w:pPr>
        <w:pStyle w:val="2"/>
        <w:spacing w:before="300" w:after="300" w:line="320" w:lineRule="exact"/>
        <w:rPr>
          <w:rFonts w:ascii="宋体" w:eastAsia="宋体" w:hAnsi="宋体" w:cs="宋体" w:hint="eastAsia"/>
          <w:b/>
          <w:bCs/>
          <w:sz w:val="24"/>
          <w:szCs w:val="24"/>
        </w:rPr>
      </w:pPr>
      <w:bookmarkStart w:id="91" w:name="_Toc988980"/>
      <w:r>
        <w:rPr>
          <w:rFonts w:ascii="宋体" w:eastAsia="宋体" w:hAnsi="宋体" w:cs="宋体"/>
          <w:b/>
          <w:bCs/>
          <w:sz w:val="24"/>
          <w:szCs w:val="24"/>
        </w:rPr>
        <w:t>二、社会责任情况</w:t>
      </w:r>
      <w:bookmarkEnd w:id="91"/>
    </w:p>
    <w:p w14:paraId="03C1D501" w14:textId="77777777" w:rsidR="00E72F0C" w:rsidRDefault="00107901">
      <w:pPr>
        <w:pStyle w:val="a3"/>
        <w:spacing w:before="0" w:beforeAutospacing="0" w:after="0" w:afterAutospacing="0" w:line="360" w:lineRule="auto"/>
        <w:ind w:firstLine="420"/>
        <w:jc w:val="both"/>
        <w:divId w:val="1733692092"/>
        <w:rPr>
          <w:rFonts w:hint="eastAsia"/>
        </w:rPr>
      </w:pPr>
      <w:r>
        <w:rPr>
          <w:rFonts w:hint="eastAsia"/>
          <w:sz w:val="21"/>
          <w:szCs w:val="21"/>
        </w:rPr>
        <w:t>公司重视履行社会责任，在追求经济效益的同时，注重在经济、环境、社会层面的绩效与均衡。报告期内，公司积极维护股东、员工、合作伙伴及其他利益相关者的合法权益，启动开展ESG管理工作，积极投身于和谐社会的构建。</w:t>
      </w:r>
    </w:p>
    <w:p w14:paraId="3E154C5F" w14:textId="657176E0" w:rsidR="00E72F0C" w:rsidRDefault="00107901">
      <w:pPr>
        <w:pStyle w:val="a3"/>
        <w:spacing w:before="0" w:beforeAutospacing="0" w:after="0" w:afterAutospacing="0" w:line="360" w:lineRule="auto"/>
        <w:ind w:firstLine="420"/>
        <w:jc w:val="both"/>
        <w:divId w:val="1733692092"/>
        <w:rPr>
          <w:rFonts w:hint="eastAsia"/>
        </w:rPr>
      </w:pPr>
      <w:r>
        <w:rPr>
          <w:rFonts w:hint="eastAsia"/>
          <w:sz w:val="21"/>
          <w:szCs w:val="21"/>
        </w:rPr>
        <w:t>1</w:t>
      </w:r>
      <w:r w:rsidR="007E0316">
        <w:rPr>
          <w:rFonts w:hint="eastAsia"/>
          <w:sz w:val="21"/>
          <w:szCs w:val="21"/>
        </w:rPr>
        <w:t>.</w:t>
      </w:r>
      <w:r>
        <w:rPr>
          <w:rFonts w:hint="eastAsia"/>
          <w:sz w:val="21"/>
          <w:szCs w:val="21"/>
        </w:rPr>
        <w:t>股东和投资者权益保护</w:t>
      </w:r>
    </w:p>
    <w:p w14:paraId="521FBD84" w14:textId="77777777" w:rsidR="00E72F0C" w:rsidRDefault="00107901">
      <w:pPr>
        <w:pStyle w:val="a3"/>
        <w:spacing w:before="0" w:beforeAutospacing="0" w:after="0" w:afterAutospacing="0" w:line="360" w:lineRule="auto"/>
        <w:ind w:firstLine="420"/>
        <w:jc w:val="both"/>
        <w:divId w:val="1733692092"/>
        <w:rPr>
          <w:rFonts w:hint="eastAsia"/>
        </w:rPr>
      </w:pPr>
      <w:r>
        <w:rPr>
          <w:rFonts w:hint="eastAsia"/>
          <w:sz w:val="21"/>
          <w:szCs w:val="21"/>
        </w:rPr>
        <w:t>公司严格按照《公司法》《深圳证券交易所股票上市规则》等相关法律法规的要求，持续完善法人治理结构，健全现代公司治理制度，依据相关信息披露制度真实、准确、完整、及时、公平地进行信息披露，保障全体股东的合法权益；公司严格按照法律、法规及《公司章程》等的规定召开股东大会，实行现场投票与网络投票相结合的方式，让广大投资者充分参与股东大会，确保股东对公司重大事项的知情权、参与权和表决权；对于与中小投资者切身利益相关的事项，公司对中小投资者的表决进行单独计票，充分保护中小投资者的合法权益；公司通过投资者热线、董秘邮箱、公司网站和投资者互动平台、业绩说明会等多种方式加强与投资者的沟通交流，与投资者建立良好互信关系。</w:t>
      </w:r>
    </w:p>
    <w:p w14:paraId="26B64519" w14:textId="3E19C45C" w:rsidR="00E72F0C" w:rsidRDefault="00107901">
      <w:pPr>
        <w:pStyle w:val="a3"/>
        <w:spacing w:before="0" w:beforeAutospacing="0" w:after="0" w:afterAutospacing="0" w:line="360" w:lineRule="auto"/>
        <w:ind w:firstLine="420"/>
        <w:jc w:val="both"/>
        <w:divId w:val="1733692092"/>
        <w:rPr>
          <w:rFonts w:hint="eastAsia"/>
        </w:rPr>
      </w:pPr>
      <w:r>
        <w:rPr>
          <w:rFonts w:hint="eastAsia"/>
          <w:sz w:val="21"/>
          <w:szCs w:val="21"/>
        </w:rPr>
        <w:lastRenderedPageBreak/>
        <w:t>2</w:t>
      </w:r>
      <w:r w:rsidR="007E0316">
        <w:rPr>
          <w:rFonts w:hint="eastAsia"/>
          <w:sz w:val="21"/>
          <w:szCs w:val="21"/>
        </w:rPr>
        <w:t>.</w:t>
      </w:r>
      <w:r>
        <w:rPr>
          <w:rFonts w:hint="eastAsia"/>
          <w:sz w:val="21"/>
          <w:szCs w:val="21"/>
        </w:rPr>
        <w:t>员工权益保护</w:t>
      </w:r>
    </w:p>
    <w:p w14:paraId="3985A93F" w14:textId="77777777" w:rsidR="00E72F0C" w:rsidRDefault="00107901">
      <w:pPr>
        <w:pStyle w:val="a3"/>
        <w:spacing w:before="0" w:beforeAutospacing="0" w:after="0" w:afterAutospacing="0" w:line="360" w:lineRule="auto"/>
        <w:ind w:firstLine="420"/>
        <w:jc w:val="both"/>
        <w:divId w:val="1733692092"/>
        <w:rPr>
          <w:rFonts w:hint="eastAsia"/>
        </w:rPr>
      </w:pPr>
      <w:r>
        <w:rPr>
          <w:rFonts w:hint="eastAsia"/>
          <w:sz w:val="21"/>
          <w:szCs w:val="21"/>
        </w:rPr>
        <w:t>公司严格遵守《劳动法》等法律规定，规范企业劳动用工管理，依法保障员工的合法权益。公司制定的薪酬管理制度，在保障员工基本收入同时坚持业绩导向与效率优先、兼顾公平的原则，引导员工努力提升绩效，对员工所创造的业绩予以合理的回报，充分调动员工积极性、提升员工满意度；公司注重人才培养，不断完善培训体系，注重员工培训与职业规划，提升员工自身素质和综合能力；公司高度重视员工生活质量，为员工提供舒适的员工公寓，定期的健康体检项目，年节礼品、生日祝福，组织趣味文娱活动，关注员工的身心健康发展，实现员工与企业的共同成长。</w:t>
      </w:r>
    </w:p>
    <w:p w14:paraId="57BAB592" w14:textId="7EC69452" w:rsidR="00E72F0C" w:rsidRDefault="00107901">
      <w:pPr>
        <w:pStyle w:val="a3"/>
        <w:spacing w:before="0" w:beforeAutospacing="0" w:after="0" w:afterAutospacing="0" w:line="360" w:lineRule="auto"/>
        <w:jc w:val="both"/>
        <w:divId w:val="1733692092"/>
        <w:rPr>
          <w:rFonts w:hint="eastAsia"/>
        </w:rPr>
      </w:pPr>
      <w:r>
        <w:rPr>
          <w:rFonts w:hint="eastAsia"/>
          <w:sz w:val="21"/>
          <w:szCs w:val="21"/>
        </w:rPr>
        <w:t>  3</w:t>
      </w:r>
      <w:r w:rsidR="007E0316">
        <w:rPr>
          <w:rFonts w:hint="eastAsia"/>
          <w:sz w:val="21"/>
          <w:szCs w:val="21"/>
        </w:rPr>
        <w:t>.</w:t>
      </w:r>
      <w:r>
        <w:rPr>
          <w:rFonts w:hint="eastAsia"/>
          <w:sz w:val="21"/>
          <w:szCs w:val="21"/>
        </w:rPr>
        <w:t>供应商、客户权益保护</w:t>
      </w:r>
    </w:p>
    <w:p w14:paraId="30D47A28" w14:textId="77777777" w:rsidR="00E72F0C" w:rsidRDefault="00107901">
      <w:pPr>
        <w:pStyle w:val="a3"/>
        <w:spacing w:before="0" w:beforeAutospacing="0" w:after="0" w:afterAutospacing="0" w:line="360" w:lineRule="auto"/>
        <w:ind w:firstLine="480"/>
        <w:jc w:val="both"/>
        <w:divId w:val="1733692092"/>
        <w:rPr>
          <w:rFonts w:hint="eastAsia"/>
        </w:rPr>
      </w:pPr>
      <w:r>
        <w:rPr>
          <w:rFonts w:hint="eastAsia"/>
          <w:sz w:val="21"/>
          <w:szCs w:val="21"/>
        </w:rPr>
        <w:t>灵活、高效的供应链能够帮助公司更快适应市场变化，形成公司的竞争优势。公司不断完善采购管理体系，制定了严格的供应商管理制度，指导规范供应商准入、考核、追溯等工作。公司会不定期与供应商进行日常交流，以确保双方的合作更加紧密和高效，增强供应链的稳定性，促进共同成长和创新，从而提升整个供应链的竞争力。</w:t>
      </w:r>
    </w:p>
    <w:p w14:paraId="25B33A55" w14:textId="55D67182" w:rsidR="00E72F0C" w:rsidRDefault="00107901" w:rsidP="007E0316">
      <w:pPr>
        <w:pStyle w:val="a3"/>
        <w:spacing w:before="0" w:beforeAutospacing="0" w:after="0" w:afterAutospacing="0" w:line="360" w:lineRule="auto"/>
        <w:ind w:firstLine="480"/>
        <w:jc w:val="both"/>
        <w:divId w:val="1733692092"/>
        <w:rPr>
          <w:rFonts w:ascii="等线" w:eastAsia="等线" w:hAnsi="等线" w:hint="eastAsia"/>
          <w:sz w:val="21"/>
          <w:szCs w:val="21"/>
        </w:rPr>
      </w:pPr>
      <w:r>
        <w:rPr>
          <w:rFonts w:hint="eastAsia"/>
          <w:sz w:val="21"/>
          <w:szCs w:val="21"/>
        </w:rPr>
        <w:t>在保障客户权益方面，公司建立了全面的质量管理体系，确保产品和服务的安全性与可靠性，制定了客户投诉、满意度调查等管控流程，持续优化客户服务，提升客户满意度和忠诚度，为公司创造更强的市场竞争力。此外，公司在持续加强研发创新，优化生产工艺，提升产品技术含量的基础上，重视倾听客户的需求，洞察市场需求，及时调整公司产品与服务，为可持续发展提供有力支撑。</w:t>
      </w:r>
      <w:r>
        <w:rPr>
          <w:rFonts w:ascii="等线" w:eastAsia="等线" w:hAnsi="等线" w:hint="eastAsia"/>
          <w:sz w:val="21"/>
          <w:szCs w:val="21"/>
        </w:rPr>
        <w:t> </w:t>
      </w:r>
    </w:p>
    <w:p w14:paraId="67D19EFA" w14:textId="77777777" w:rsidR="00632E5B" w:rsidRDefault="00107901">
      <w:pPr>
        <w:pStyle w:val="2"/>
        <w:spacing w:before="300" w:after="300" w:line="320" w:lineRule="exact"/>
        <w:rPr>
          <w:rFonts w:ascii="宋体" w:eastAsia="宋体" w:hAnsi="宋体" w:cs="宋体" w:hint="eastAsia"/>
          <w:b/>
          <w:bCs/>
          <w:sz w:val="24"/>
          <w:szCs w:val="24"/>
        </w:rPr>
      </w:pPr>
      <w:bookmarkStart w:id="92" w:name="_Toc988981"/>
      <w:r>
        <w:rPr>
          <w:rFonts w:ascii="宋体" w:eastAsia="宋体" w:hAnsi="宋体" w:cs="宋体"/>
          <w:b/>
          <w:bCs/>
          <w:sz w:val="24"/>
          <w:szCs w:val="24"/>
        </w:rPr>
        <w:t>三、巩固拓展脱贫攻坚成果、乡村振兴的情况</w:t>
      </w:r>
      <w:bookmarkEnd w:id="92"/>
    </w:p>
    <w:p w14:paraId="6FCCBD53" w14:textId="77777777" w:rsidR="00E72F0C" w:rsidRPr="007E0316" w:rsidRDefault="00107901" w:rsidP="00FE0BB6">
      <w:pPr>
        <w:pStyle w:val="a3"/>
        <w:spacing w:before="0" w:beforeAutospacing="0" w:after="0" w:afterAutospacing="0"/>
        <w:divId w:val="1544362497"/>
        <w:rPr>
          <w:rFonts w:hint="eastAsia"/>
          <w:sz w:val="21"/>
          <w:szCs w:val="18"/>
        </w:rPr>
      </w:pPr>
      <w:r w:rsidRPr="007E0316">
        <w:rPr>
          <w:rFonts w:hint="eastAsia"/>
          <w:sz w:val="21"/>
          <w:szCs w:val="18"/>
        </w:rPr>
        <w:t>无。</w:t>
      </w:r>
    </w:p>
    <w:p w14:paraId="1C88178F" w14:textId="77777777" w:rsidR="00632E5B" w:rsidRDefault="00107901">
      <w:r>
        <w:br w:type="page"/>
      </w:r>
    </w:p>
    <w:p w14:paraId="53E15335" w14:textId="77777777" w:rsidR="006E19B8" w:rsidRDefault="006E19B8">
      <w:pPr>
        <w:pStyle w:val="headingh1"/>
        <w:spacing w:before="340" w:after="330" w:line="773" w:lineRule="exact"/>
        <w:jc w:val="center"/>
        <w:rPr>
          <w:rFonts w:ascii="宋体" w:eastAsia="宋体" w:hAnsi="宋体" w:cs="宋体" w:hint="eastAsia"/>
          <w:b/>
          <w:bCs/>
          <w:sz w:val="32"/>
          <w:szCs w:val="32"/>
        </w:rPr>
        <w:sectPr w:rsidR="006E19B8" w:rsidSect="00E90C20">
          <w:pgSz w:w="11905" w:h="16840"/>
          <w:pgMar w:top="1440" w:right="1134" w:bottom="1440" w:left="1134" w:header="850" w:footer="992" w:gutter="0"/>
          <w:cols w:space="720"/>
          <w:docGrid w:type="linesAndChars" w:linePitch="312"/>
        </w:sectPr>
      </w:pPr>
      <w:bookmarkStart w:id="93" w:name="_Toc988982"/>
    </w:p>
    <w:p w14:paraId="2BFC8CE9" w14:textId="5DB06A0D" w:rsidR="00632E5B" w:rsidRDefault="00107901">
      <w:pPr>
        <w:pStyle w:val="headingh1"/>
        <w:spacing w:before="340" w:after="330" w:line="773" w:lineRule="exact"/>
        <w:jc w:val="center"/>
        <w:rPr>
          <w:rFonts w:ascii="宋体" w:eastAsia="宋体" w:hAnsi="宋体" w:cs="宋体" w:hint="eastAsia"/>
          <w:b/>
          <w:bCs/>
          <w:sz w:val="32"/>
          <w:szCs w:val="32"/>
        </w:rPr>
      </w:pPr>
      <w:r>
        <w:rPr>
          <w:rFonts w:ascii="宋体" w:eastAsia="宋体" w:hAnsi="宋体" w:cs="宋体"/>
          <w:b/>
          <w:bCs/>
          <w:sz w:val="32"/>
          <w:szCs w:val="32"/>
        </w:rPr>
        <w:lastRenderedPageBreak/>
        <w:t>第六节 重要事项</w:t>
      </w:r>
      <w:bookmarkEnd w:id="93"/>
    </w:p>
    <w:p w14:paraId="12B696D2" w14:textId="77777777" w:rsidR="00632E5B" w:rsidRDefault="00107901">
      <w:pPr>
        <w:pStyle w:val="2"/>
        <w:spacing w:before="300" w:after="300" w:line="320" w:lineRule="exact"/>
        <w:rPr>
          <w:rFonts w:ascii="宋体" w:eastAsia="宋体" w:hAnsi="宋体" w:cs="宋体" w:hint="eastAsia"/>
          <w:b/>
          <w:bCs/>
          <w:sz w:val="24"/>
          <w:szCs w:val="24"/>
        </w:rPr>
      </w:pPr>
      <w:bookmarkStart w:id="94" w:name="_Toc988983"/>
      <w:r>
        <w:rPr>
          <w:rFonts w:ascii="宋体" w:eastAsia="宋体" w:hAnsi="宋体" w:cs="宋体"/>
          <w:b/>
          <w:bCs/>
          <w:sz w:val="24"/>
          <w:szCs w:val="24"/>
        </w:rPr>
        <w:t>一、承诺事项履行情况</w:t>
      </w:r>
      <w:bookmarkEnd w:id="94"/>
    </w:p>
    <w:p w14:paraId="01C4B768" w14:textId="77777777" w:rsidR="00632E5B" w:rsidRDefault="00107901">
      <w:pPr>
        <w:pStyle w:val="3"/>
        <w:spacing w:line="280" w:lineRule="exact"/>
        <w:jc w:val="left"/>
        <w:rPr>
          <w:rFonts w:ascii="宋体" w:hAnsi="宋体" w:cs="宋体" w:hint="eastAsia"/>
          <w:b/>
          <w:bCs/>
        </w:rPr>
      </w:pPr>
      <w:bookmarkStart w:id="95" w:name="_Toc988984"/>
      <w:r>
        <w:rPr>
          <w:rFonts w:ascii="宋体" w:hAnsi="宋体" w:cs="宋体"/>
          <w:b/>
          <w:bCs/>
        </w:rPr>
        <w:t>1、公司实际控制人、股东、关联方、收购人以及公司等承诺相关方在报告期内履行完毕及截至报告期末尚未履行完毕的承诺事项</w:t>
      </w:r>
      <w:bookmarkEnd w:id="95"/>
    </w:p>
    <w:p w14:paraId="72BCBE56"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14477"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377"/>
        <w:gridCol w:w="2481"/>
        <w:gridCol w:w="1377"/>
        <w:gridCol w:w="5427"/>
        <w:gridCol w:w="1377"/>
        <w:gridCol w:w="1033"/>
        <w:gridCol w:w="1377"/>
        <w:gridCol w:w="28"/>
      </w:tblGrid>
      <w:tr w:rsidR="00632E5B" w14:paraId="2A864732" w14:textId="77777777" w:rsidTr="00372641">
        <w:trPr>
          <w:gridAfter w:val="1"/>
          <w:wAfter w:w="28" w:type="dxa"/>
          <w:trHeight w:val="240"/>
        </w:trPr>
        <w:tc>
          <w:tcPr>
            <w:tcW w:w="1377" w:type="dxa"/>
            <w:shd w:val="clear" w:color="auto" w:fill="FFFFFF" w:themeFill="background1"/>
            <w:vAlign w:val="center"/>
          </w:tcPr>
          <w:p w14:paraId="4DDED3D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承诺事由</w:t>
            </w:r>
          </w:p>
        </w:tc>
        <w:tc>
          <w:tcPr>
            <w:tcW w:w="2481" w:type="dxa"/>
            <w:shd w:val="clear" w:color="auto" w:fill="FFFFFF" w:themeFill="background1"/>
            <w:vAlign w:val="center"/>
          </w:tcPr>
          <w:p w14:paraId="7872C85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承诺方</w:t>
            </w:r>
          </w:p>
        </w:tc>
        <w:tc>
          <w:tcPr>
            <w:tcW w:w="1377" w:type="dxa"/>
            <w:shd w:val="clear" w:color="auto" w:fill="FFFFFF" w:themeFill="background1"/>
            <w:vAlign w:val="center"/>
          </w:tcPr>
          <w:p w14:paraId="667C592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承诺类型</w:t>
            </w:r>
          </w:p>
        </w:tc>
        <w:tc>
          <w:tcPr>
            <w:tcW w:w="5427" w:type="dxa"/>
            <w:shd w:val="clear" w:color="auto" w:fill="FFFFFF" w:themeFill="background1"/>
            <w:vAlign w:val="center"/>
          </w:tcPr>
          <w:p w14:paraId="4B759CD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承诺内容</w:t>
            </w:r>
          </w:p>
        </w:tc>
        <w:tc>
          <w:tcPr>
            <w:tcW w:w="1377" w:type="dxa"/>
            <w:shd w:val="clear" w:color="auto" w:fill="FFFFFF" w:themeFill="background1"/>
            <w:vAlign w:val="center"/>
          </w:tcPr>
          <w:p w14:paraId="7A0FA6B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承诺时间</w:t>
            </w:r>
          </w:p>
        </w:tc>
        <w:tc>
          <w:tcPr>
            <w:tcW w:w="1033" w:type="dxa"/>
            <w:shd w:val="clear" w:color="auto" w:fill="FFFFFF" w:themeFill="background1"/>
            <w:vAlign w:val="center"/>
          </w:tcPr>
          <w:p w14:paraId="457CCCC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承诺期限</w:t>
            </w:r>
          </w:p>
        </w:tc>
        <w:tc>
          <w:tcPr>
            <w:tcW w:w="1377" w:type="dxa"/>
            <w:shd w:val="clear" w:color="auto" w:fill="FFFFFF" w:themeFill="background1"/>
            <w:vAlign w:val="center"/>
          </w:tcPr>
          <w:p w14:paraId="5FC8843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履行情况</w:t>
            </w:r>
          </w:p>
        </w:tc>
      </w:tr>
      <w:tr w:rsidR="00632E5B" w14:paraId="457F3542" w14:textId="77777777" w:rsidTr="00372641">
        <w:trPr>
          <w:gridAfter w:val="1"/>
          <w:wAfter w:w="28" w:type="dxa"/>
          <w:trHeight w:val="240"/>
        </w:trPr>
        <w:tc>
          <w:tcPr>
            <w:tcW w:w="1377" w:type="dxa"/>
            <w:shd w:val="clear" w:color="auto" w:fill="FFFFFF" w:themeFill="background1"/>
            <w:vAlign w:val="center"/>
          </w:tcPr>
          <w:p w14:paraId="7C6608A0"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收购报告书或权益变动报告书中所作承诺</w:t>
            </w:r>
          </w:p>
        </w:tc>
        <w:tc>
          <w:tcPr>
            <w:tcW w:w="2481" w:type="dxa"/>
            <w:shd w:val="clear" w:color="auto" w:fill="FFFFFF" w:themeFill="background1"/>
            <w:vAlign w:val="center"/>
          </w:tcPr>
          <w:p w14:paraId="7165DC8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常熟光晟新能源有限公司;厦门建发股份有限公司;厦门建发集团有限公司</w:t>
            </w:r>
          </w:p>
        </w:tc>
        <w:tc>
          <w:tcPr>
            <w:tcW w:w="1377" w:type="dxa"/>
            <w:shd w:val="clear" w:color="auto" w:fill="FFFFFF" w:themeFill="background1"/>
            <w:vAlign w:val="center"/>
          </w:tcPr>
          <w:p w14:paraId="6BCB2C4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关于同业竞争、关联交易、资金占用方面的承诺</w:t>
            </w:r>
          </w:p>
        </w:tc>
        <w:tc>
          <w:tcPr>
            <w:tcW w:w="5427" w:type="dxa"/>
            <w:shd w:val="clear" w:color="auto" w:fill="FFFFFF" w:themeFill="background1"/>
            <w:vAlign w:val="center"/>
          </w:tcPr>
          <w:p w14:paraId="6C6F2B0F" w14:textId="6ACBEBC4" w:rsidR="00632E5B" w:rsidRDefault="00FE0BB6">
            <w:pPr>
              <w:spacing w:line="240" w:lineRule="exact"/>
              <w:rPr>
                <w:rFonts w:ascii="宋体" w:eastAsia="宋体" w:hAnsi="宋体" w:cs="宋体" w:hint="eastAsia"/>
                <w:sz w:val="18"/>
                <w:szCs w:val="18"/>
              </w:rPr>
            </w:pPr>
            <w:r>
              <w:rPr>
                <w:rFonts w:ascii="宋体" w:eastAsia="宋体" w:hAnsi="宋体" w:cs="宋体"/>
                <w:sz w:val="18"/>
                <w:szCs w:val="18"/>
              </w:rPr>
              <w:t>1.</w:t>
            </w:r>
            <w:r w:rsidR="00107901">
              <w:rPr>
                <w:rFonts w:ascii="宋体" w:eastAsia="宋体" w:hAnsi="宋体" w:cs="宋体"/>
                <w:sz w:val="18"/>
                <w:szCs w:val="18"/>
              </w:rPr>
              <w:t>本公司将严格遵守法律法规以及中利集团的内部规定履行关联交易审批程序，遵循公开、公平、公正的市场化原则，充分论证交易价格公允性后签订关联交易相关协议，并按照相关的法律法规及时进行信息披露，从而充分保护上市公司全体股东利益。</w:t>
            </w:r>
          </w:p>
          <w:p w14:paraId="7FD3DB5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本公司承诺不利用中利集团持股5%以上主要股东的地位，损害上市公司及其他股东的合法利益。</w:t>
            </w:r>
          </w:p>
          <w:p w14:paraId="7D93041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上述承诺于本公司作为上市公司持股5%以上主要股东期间持续有效。如因本公司未履行上述承诺而给上市公司造成损失，本公司将承担相应赔偿责任。</w:t>
            </w:r>
          </w:p>
          <w:p w14:paraId="0C1155C1" w14:textId="6E851961"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w:t>
            </w:r>
            <w:r w:rsidR="00FE0BB6">
              <w:rPr>
                <w:rFonts w:ascii="宋体" w:eastAsia="宋体" w:hAnsi="宋体" w:cs="宋体" w:hint="eastAsia"/>
                <w:sz w:val="18"/>
                <w:szCs w:val="18"/>
              </w:rPr>
              <w:t>.</w:t>
            </w:r>
            <w:r>
              <w:rPr>
                <w:rFonts w:ascii="宋体" w:eastAsia="宋体" w:hAnsi="宋体" w:cs="宋体"/>
                <w:sz w:val="18"/>
                <w:szCs w:val="18"/>
              </w:rPr>
              <w:t>本次收购完成后，本公司及关联方和中利集团若存在同业竞争或潜在的同业竞争问题，本公司将按照相关证券监管部门的要求，在符合届时适用的法律法规及相关监管规则的前提下，积极协调本公司及关联方综合运用包括但不限于资产重组、业务调整、委托管理等多种方式，稳妥推进相关业务整合以解决同业竞争或潜在同业竞争问题。前述解决方式包括但不限于：（1）资产重组：采取现金对价或者发行股份对价等相关法律法规允许的不同方式购买资产、资产置换、资产转让或其他可行的重组方式，逐步对本公司及关联方和中利集团存在业务重合部分的资产进行梳理和重组，消除部分业务重合的情形；（2）业务调整：对业务边界进行梳理，尽最大努力实现差异化的经营，例如通过资产交易、业务划分、资产剥离等不同方式实现业务区分或调整；（3）委托管理：通过签署委托协议的方式，由一方将业务存在重合的部分相关资产经营涉及的决策权和管理权全权委托另一方进行统一管理；（4）在法律法规和相关政策允许的范围内其他可行的解决措施。上述解决措施的实施以根据相关法律法规履行必要的中利集团审议程序、证券监管部门及相关主管部门的审批程序为前提。</w:t>
            </w:r>
          </w:p>
          <w:p w14:paraId="10138DC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lastRenderedPageBreak/>
              <w:t>除上述情况外，本公司及关联方获得与中利集团业务可能产生竞争的业务机会时，本公司将保持中利集团独立参与市场竞争，支持中利集团发挥其固有优势。本公司承诺将继续本着公开、公平、公正的原则，与中利集团独立参与市场竞争，不损害中利集团及其中小股东的利益；</w:t>
            </w:r>
          </w:p>
          <w:p w14:paraId="5932DBC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本公司保证严格遵守法律、法规以及中利集团章程及其相关管理制度的规定，不利用对中利集团的控制权谋求不正当利益，进而损害中利集团其他中小股东的权益；</w:t>
            </w:r>
          </w:p>
          <w:p w14:paraId="0F25CB3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本公司具备履行本承诺的能力，并将严格履行本承诺，不存在重大履约风险，亦不会因履行本承诺给上市公司及其相关股东造成损失；</w:t>
            </w:r>
          </w:p>
          <w:p w14:paraId="37F0DA3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如出现违背上述承诺情形而导致中利集团权益受损的情形，本公司愿意承担相应的损害赔偿责任。</w:t>
            </w:r>
          </w:p>
        </w:tc>
        <w:tc>
          <w:tcPr>
            <w:tcW w:w="1377" w:type="dxa"/>
            <w:shd w:val="clear" w:color="auto" w:fill="FFFFFF" w:themeFill="background1"/>
            <w:vAlign w:val="center"/>
          </w:tcPr>
          <w:p w14:paraId="2DF11BE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lastRenderedPageBreak/>
              <w:t>2024年12月18日</w:t>
            </w:r>
          </w:p>
        </w:tc>
        <w:tc>
          <w:tcPr>
            <w:tcW w:w="1033" w:type="dxa"/>
            <w:shd w:val="clear" w:color="auto" w:fill="FFFFFF" w:themeFill="background1"/>
            <w:vAlign w:val="center"/>
          </w:tcPr>
          <w:p w14:paraId="15C8E45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长期</w:t>
            </w:r>
          </w:p>
        </w:tc>
        <w:tc>
          <w:tcPr>
            <w:tcW w:w="1377" w:type="dxa"/>
            <w:shd w:val="clear" w:color="auto" w:fill="FFFFFF" w:themeFill="background1"/>
            <w:vAlign w:val="center"/>
          </w:tcPr>
          <w:p w14:paraId="56EC622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正在履行</w:t>
            </w:r>
          </w:p>
        </w:tc>
      </w:tr>
      <w:tr w:rsidR="00632E5B" w14:paraId="6408DE1A" w14:textId="77777777" w:rsidTr="00372641">
        <w:trPr>
          <w:gridAfter w:val="1"/>
          <w:wAfter w:w="28" w:type="dxa"/>
          <w:trHeight w:val="240"/>
        </w:trPr>
        <w:tc>
          <w:tcPr>
            <w:tcW w:w="1377" w:type="dxa"/>
            <w:shd w:val="clear" w:color="auto" w:fill="FFFFFF" w:themeFill="background1"/>
            <w:vAlign w:val="center"/>
          </w:tcPr>
          <w:p w14:paraId="3C2B07CF"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资产重组时所作承诺</w:t>
            </w:r>
          </w:p>
        </w:tc>
        <w:tc>
          <w:tcPr>
            <w:tcW w:w="2481" w:type="dxa"/>
            <w:shd w:val="clear" w:color="auto" w:fill="FFFFFF" w:themeFill="background1"/>
            <w:vAlign w:val="center"/>
          </w:tcPr>
          <w:p w14:paraId="59D75A1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王柏兴</w:t>
            </w:r>
          </w:p>
        </w:tc>
        <w:tc>
          <w:tcPr>
            <w:tcW w:w="1377" w:type="dxa"/>
            <w:shd w:val="clear" w:color="auto" w:fill="FFFFFF" w:themeFill="background1"/>
            <w:vAlign w:val="center"/>
          </w:tcPr>
          <w:p w14:paraId="35A78ED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发行股份购买资产时关于同业竞争、关联交易、资金占用方面的承诺</w:t>
            </w:r>
          </w:p>
        </w:tc>
        <w:tc>
          <w:tcPr>
            <w:tcW w:w="5427" w:type="dxa"/>
            <w:shd w:val="clear" w:color="auto" w:fill="FFFFFF" w:themeFill="background1"/>
            <w:vAlign w:val="center"/>
          </w:tcPr>
          <w:p w14:paraId="78201603" w14:textId="192E7F7E"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1</w:t>
            </w:r>
            <w:r w:rsidR="00FE0BB6">
              <w:rPr>
                <w:rFonts w:ascii="宋体" w:eastAsia="宋体" w:hAnsi="宋体" w:cs="宋体" w:hint="eastAsia"/>
                <w:sz w:val="18"/>
                <w:szCs w:val="18"/>
              </w:rPr>
              <w:t>.</w:t>
            </w:r>
            <w:r>
              <w:rPr>
                <w:rFonts w:ascii="宋体" w:eastAsia="宋体" w:hAnsi="宋体" w:cs="宋体"/>
                <w:sz w:val="18"/>
                <w:szCs w:val="18"/>
              </w:rPr>
              <w:t>本人自身不会并保证将促使本人其他子企业不开展对与中利科技生产、经营有相同或类似业务的投入，今后不会新设或收购从事与中利科技有相同或类似业务的子公司、分公司等经营性机构，不在中国境内或境外成立、经营、发展或协助成立、经营、发展任何与中利科技业务直接竞争或可能竞争的业务、企业、项目或其他任何活动，以避免对中利科技的生产经营构成新的、可能的直接或间接的业务竞争。</w:t>
            </w:r>
          </w:p>
          <w:p w14:paraId="01F9629C" w14:textId="6471BAF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w:t>
            </w:r>
            <w:r w:rsidR="00FE0BB6">
              <w:rPr>
                <w:rFonts w:ascii="宋体" w:eastAsia="宋体" w:hAnsi="宋体" w:cs="宋体" w:hint="eastAsia"/>
                <w:sz w:val="18"/>
                <w:szCs w:val="18"/>
              </w:rPr>
              <w:t>.</w:t>
            </w:r>
            <w:r>
              <w:rPr>
                <w:rFonts w:ascii="宋体" w:eastAsia="宋体" w:hAnsi="宋体" w:cs="宋体"/>
                <w:sz w:val="18"/>
                <w:szCs w:val="18"/>
              </w:rPr>
              <w:t>本人及本人控制的其他企业不占用中利科技及其控股子公司的资金，若违背上述承诺，将以占用资金金额的20%向中利科技支付违约金。</w:t>
            </w:r>
          </w:p>
        </w:tc>
        <w:tc>
          <w:tcPr>
            <w:tcW w:w="1377" w:type="dxa"/>
            <w:shd w:val="clear" w:color="auto" w:fill="FFFFFF" w:themeFill="background1"/>
            <w:vAlign w:val="center"/>
          </w:tcPr>
          <w:p w14:paraId="5748B55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2015年12月22日</w:t>
            </w:r>
          </w:p>
        </w:tc>
        <w:tc>
          <w:tcPr>
            <w:tcW w:w="1033" w:type="dxa"/>
            <w:shd w:val="clear" w:color="auto" w:fill="FFFFFF" w:themeFill="background1"/>
            <w:vAlign w:val="center"/>
          </w:tcPr>
          <w:p w14:paraId="1B61AD1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2024年12月31日</w:t>
            </w:r>
          </w:p>
        </w:tc>
        <w:tc>
          <w:tcPr>
            <w:tcW w:w="1377" w:type="dxa"/>
            <w:shd w:val="clear" w:color="auto" w:fill="FFFFFF" w:themeFill="background1"/>
            <w:vAlign w:val="center"/>
          </w:tcPr>
          <w:p w14:paraId="0D39233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其控股股东身份已变更，承诺履行完毕。</w:t>
            </w:r>
          </w:p>
        </w:tc>
      </w:tr>
      <w:tr w:rsidR="00632E5B" w14:paraId="051F2541" w14:textId="77777777" w:rsidTr="00372641">
        <w:trPr>
          <w:gridAfter w:val="1"/>
          <w:wAfter w:w="28" w:type="dxa"/>
          <w:trHeight w:val="240"/>
        </w:trPr>
        <w:tc>
          <w:tcPr>
            <w:tcW w:w="1377" w:type="dxa"/>
            <w:shd w:val="clear" w:color="auto" w:fill="FFFFFF" w:themeFill="background1"/>
            <w:vAlign w:val="center"/>
          </w:tcPr>
          <w:p w14:paraId="433D8594"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资产重组时所作承诺</w:t>
            </w:r>
          </w:p>
        </w:tc>
        <w:tc>
          <w:tcPr>
            <w:tcW w:w="2481" w:type="dxa"/>
            <w:shd w:val="clear" w:color="auto" w:fill="FFFFFF" w:themeFill="background1"/>
            <w:vAlign w:val="center"/>
          </w:tcPr>
          <w:p w14:paraId="2A3A5B7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董事、高管</w:t>
            </w:r>
          </w:p>
        </w:tc>
        <w:tc>
          <w:tcPr>
            <w:tcW w:w="1377" w:type="dxa"/>
            <w:shd w:val="clear" w:color="auto" w:fill="FFFFFF" w:themeFill="background1"/>
            <w:vAlign w:val="center"/>
          </w:tcPr>
          <w:p w14:paraId="1BD33F1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本次重组摊薄即期回报填补措施的承诺</w:t>
            </w:r>
          </w:p>
        </w:tc>
        <w:tc>
          <w:tcPr>
            <w:tcW w:w="5427" w:type="dxa"/>
            <w:shd w:val="clear" w:color="auto" w:fill="FFFFFF" w:themeFill="background1"/>
            <w:vAlign w:val="center"/>
          </w:tcPr>
          <w:p w14:paraId="1227456C" w14:textId="415C8779"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1</w:t>
            </w:r>
            <w:r w:rsidR="00FE0BB6">
              <w:rPr>
                <w:rFonts w:ascii="宋体" w:eastAsia="宋体" w:hAnsi="宋体" w:cs="宋体"/>
                <w:sz w:val="18"/>
                <w:szCs w:val="18"/>
              </w:rPr>
              <w:t>.</w:t>
            </w:r>
            <w:r>
              <w:rPr>
                <w:rFonts w:ascii="宋体" w:eastAsia="宋体" w:hAnsi="宋体" w:cs="宋体"/>
                <w:sz w:val="18"/>
                <w:szCs w:val="18"/>
              </w:rPr>
              <w:t>不无偿或以不公平条件向其他单位或者个人输送利益，也不采用其他方式损害公司利益；2</w:t>
            </w:r>
            <w:r w:rsidR="00FE0BB6">
              <w:rPr>
                <w:rFonts w:ascii="宋体" w:eastAsia="宋体" w:hAnsi="宋体" w:cs="宋体" w:hint="eastAsia"/>
                <w:sz w:val="18"/>
                <w:szCs w:val="18"/>
              </w:rPr>
              <w:t>.</w:t>
            </w:r>
            <w:r>
              <w:rPr>
                <w:rFonts w:ascii="宋体" w:eastAsia="宋体" w:hAnsi="宋体" w:cs="宋体"/>
                <w:sz w:val="18"/>
                <w:szCs w:val="18"/>
              </w:rPr>
              <w:t>对董事和高级管理人员的职务消费行为进行约束；3</w:t>
            </w:r>
            <w:r w:rsidR="00FE0BB6">
              <w:rPr>
                <w:rFonts w:ascii="宋体" w:eastAsia="宋体" w:hAnsi="宋体" w:cs="宋体" w:hint="eastAsia"/>
                <w:sz w:val="18"/>
                <w:szCs w:val="18"/>
              </w:rPr>
              <w:t>.</w:t>
            </w:r>
            <w:r>
              <w:rPr>
                <w:rFonts w:ascii="宋体" w:eastAsia="宋体" w:hAnsi="宋体" w:cs="宋体"/>
                <w:sz w:val="18"/>
                <w:szCs w:val="18"/>
              </w:rPr>
              <w:t>不动用公司资产从事与其履行职责无关的投资、消费活动；4</w:t>
            </w:r>
            <w:r w:rsidR="00FE0BB6">
              <w:rPr>
                <w:rFonts w:ascii="宋体" w:eastAsia="宋体" w:hAnsi="宋体" w:cs="宋体" w:hint="eastAsia"/>
                <w:sz w:val="18"/>
                <w:szCs w:val="18"/>
              </w:rPr>
              <w:t>.</w:t>
            </w:r>
            <w:r>
              <w:rPr>
                <w:rFonts w:ascii="宋体" w:eastAsia="宋体" w:hAnsi="宋体" w:cs="宋体"/>
                <w:sz w:val="18"/>
                <w:szCs w:val="18"/>
              </w:rPr>
              <w:t>由董事会或薪酬与考核委员会制定的薪酬制度与公司填补回报措施的执行情况相挂钩；5</w:t>
            </w:r>
            <w:r w:rsidR="00FE0BB6">
              <w:rPr>
                <w:rFonts w:ascii="宋体" w:eastAsia="宋体" w:hAnsi="宋体" w:cs="宋体" w:hint="eastAsia"/>
                <w:sz w:val="18"/>
                <w:szCs w:val="18"/>
              </w:rPr>
              <w:t>.</w:t>
            </w:r>
            <w:r>
              <w:rPr>
                <w:rFonts w:ascii="宋体" w:eastAsia="宋体" w:hAnsi="宋体" w:cs="宋体"/>
                <w:sz w:val="18"/>
                <w:szCs w:val="18"/>
              </w:rPr>
              <w:t>公司未来拟实施的股权激励的行权条件与公司填补回报措施的执行情况相挂钩。</w:t>
            </w:r>
          </w:p>
        </w:tc>
        <w:tc>
          <w:tcPr>
            <w:tcW w:w="1377" w:type="dxa"/>
            <w:shd w:val="clear" w:color="auto" w:fill="FFFFFF" w:themeFill="background1"/>
            <w:vAlign w:val="center"/>
          </w:tcPr>
          <w:p w14:paraId="079EF65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2016年05月06日</w:t>
            </w:r>
          </w:p>
        </w:tc>
        <w:tc>
          <w:tcPr>
            <w:tcW w:w="1033" w:type="dxa"/>
            <w:shd w:val="clear" w:color="auto" w:fill="FFFFFF" w:themeFill="background1"/>
            <w:vAlign w:val="center"/>
          </w:tcPr>
          <w:p w14:paraId="785CFA4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2024年12月31日</w:t>
            </w:r>
          </w:p>
        </w:tc>
        <w:tc>
          <w:tcPr>
            <w:tcW w:w="1377" w:type="dxa"/>
            <w:shd w:val="clear" w:color="auto" w:fill="FFFFFF" w:themeFill="background1"/>
            <w:vAlign w:val="center"/>
          </w:tcPr>
          <w:p w14:paraId="21F9BEF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涉及承诺的董事、高管已变更，承诺履行完毕。</w:t>
            </w:r>
          </w:p>
        </w:tc>
      </w:tr>
      <w:tr w:rsidR="00632E5B" w14:paraId="2128ECB5" w14:textId="77777777" w:rsidTr="00372641">
        <w:trPr>
          <w:gridAfter w:val="1"/>
          <w:wAfter w:w="28" w:type="dxa"/>
          <w:trHeight w:val="240"/>
        </w:trPr>
        <w:tc>
          <w:tcPr>
            <w:tcW w:w="1377" w:type="dxa"/>
            <w:shd w:val="clear" w:color="auto" w:fill="FFFFFF" w:themeFill="background1"/>
            <w:vAlign w:val="center"/>
          </w:tcPr>
          <w:p w14:paraId="16E4F234"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首次公开发行或再融资时所作承诺</w:t>
            </w:r>
          </w:p>
        </w:tc>
        <w:tc>
          <w:tcPr>
            <w:tcW w:w="2481" w:type="dxa"/>
            <w:shd w:val="clear" w:color="auto" w:fill="FFFFFF" w:themeFill="background1"/>
            <w:vAlign w:val="center"/>
          </w:tcPr>
          <w:p w14:paraId="682C623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陈波瀚;王伟峰</w:t>
            </w:r>
          </w:p>
        </w:tc>
        <w:tc>
          <w:tcPr>
            <w:tcW w:w="1377" w:type="dxa"/>
            <w:shd w:val="clear" w:color="auto" w:fill="FFFFFF" w:themeFill="background1"/>
            <w:vAlign w:val="center"/>
          </w:tcPr>
          <w:p w14:paraId="09C0FA6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股份限售承诺</w:t>
            </w:r>
          </w:p>
        </w:tc>
        <w:tc>
          <w:tcPr>
            <w:tcW w:w="5427" w:type="dxa"/>
            <w:shd w:val="clear" w:color="auto" w:fill="FFFFFF" w:themeFill="background1"/>
            <w:vAlign w:val="center"/>
          </w:tcPr>
          <w:p w14:paraId="4B53F9A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公司股票上市之日起三十六个月内，不转让或者委托他人管理其直接或间接持有的本公司股份，也不由本公司回购其直接或间接持有的相应股份；在上述锁定期满后，在任本公司的董事、监事或高级管理人员期间，每年转让的股份不超过上述所持有股份总数的百分之二十五；如离职，离职后半年内不转让其所直接或间接持有的股份公司的股份。</w:t>
            </w:r>
          </w:p>
        </w:tc>
        <w:tc>
          <w:tcPr>
            <w:tcW w:w="1377" w:type="dxa"/>
            <w:shd w:val="clear" w:color="auto" w:fill="FFFFFF" w:themeFill="background1"/>
            <w:vAlign w:val="center"/>
          </w:tcPr>
          <w:p w14:paraId="6F9D04C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2009年11月12日</w:t>
            </w:r>
          </w:p>
        </w:tc>
        <w:tc>
          <w:tcPr>
            <w:tcW w:w="1033" w:type="dxa"/>
            <w:shd w:val="clear" w:color="auto" w:fill="FFFFFF" w:themeFill="background1"/>
            <w:vAlign w:val="center"/>
          </w:tcPr>
          <w:p w14:paraId="75CE592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2025年8月5日</w:t>
            </w:r>
          </w:p>
        </w:tc>
        <w:tc>
          <w:tcPr>
            <w:tcW w:w="1377" w:type="dxa"/>
            <w:shd w:val="clear" w:color="auto" w:fill="FFFFFF" w:themeFill="background1"/>
            <w:vAlign w:val="center"/>
          </w:tcPr>
          <w:p w14:paraId="08402DC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其已离任董事、高管，按相关规定，承诺履行至2025年8月5日</w:t>
            </w:r>
          </w:p>
        </w:tc>
      </w:tr>
      <w:tr w:rsidR="00632E5B" w14:paraId="3441A34B" w14:textId="77777777" w:rsidTr="00372641">
        <w:trPr>
          <w:gridAfter w:val="1"/>
          <w:wAfter w:w="28" w:type="dxa"/>
          <w:trHeight w:val="240"/>
        </w:trPr>
        <w:tc>
          <w:tcPr>
            <w:tcW w:w="1377" w:type="dxa"/>
            <w:shd w:val="clear" w:color="auto" w:fill="FFFFFF" w:themeFill="background1"/>
            <w:vAlign w:val="center"/>
          </w:tcPr>
          <w:p w14:paraId="3A0DA52F"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首次公开发行或再融资时所作承诺</w:t>
            </w:r>
          </w:p>
        </w:tc>
        <w:tc>
          <w:tcPr>
            <w:tcW w:w="2481" w:type="dxa"/>
            <w:shd w:val="clear" w:color="auto" w:fill="FFFFFF" w:themeFill="background1"/>
            <w:vAlign w:val="center"/>
          </w:tcPr>
          <w:p w14:paraId="3886D63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王柏兴</w:t>
            </w:r>
          </w:p>
        </w:tc>
        <w:tc>
          <w:tcPr>
            <w:tcW w:w="1377" w:type="dxa"/>
            <w:shd w:val="clear" w:color="auto" w:fill="FFFFFF" w:themeFill="background1"/>
            <w:vAlign w:val="center"/>
          </w:tcPr>
          <w:p w14:paraId="27D4C32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首发时关于同业竞争、关联交易、资金占用方面的承诺</w:t>
            </w:r>
          </w:p>
        </w:tc>
        <w:tc>
          <w:tcPr>
            <w:tcW w:w="5427" w:type="dxa"/>
            <w:shd w:val="clear" w:color="auto" w:fill="FFFFFF" w:themeFill="background1"/>
            <w:vAlign w:val="center"/>
          </w:tcPr>
          <w:p w14:paraId="284FEB2A" w14:textId="4A2BD746"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1</w:t>
            </w:r>
            <w:r w:rsidR="00FE0BB6">
              <w:rPr>
                <w:rFonts w:ascii="宋体" w:eastAsia="宋体" w:hAnsi="宋体" w:cs="宋体"/>
                <w:sz w:val="18"/>
                <w:szCs w:val="18"/>
              </w:rPr>
              <w:t>.</w:t>
            </w:r>
            <w:r>
              <w:rPr>
                <w:rFonts w:ascii="宋体" w:eastAsia="宋体" w:hAnsi="宋体" w:cs="宋体"/>
                <w:sz w:val="18"/>
                <w:szCs w:val="18"/>
              </w:rPr>
              <w:t>本人及本人控投的企业将竭力减少及避免与股份公司间发生关联交易；若某关联交易依照最优于股份公司的原则而应予实施，则本人及本人控股的企业将避免干涉股份公司决策机构所实施的独立判断，并在严格遵循股份公司章程和法律、法规及规范性文</w:t>
            </w:r>
            <w:r>
              <w:rPr>
                <w:rFonts w:ascii="宋体" w:eastAsia="宋体" w:hAnsi="宋体" w:cs="宋体"/>
                <w:sz w:val="18"/>
                <w:szCs w:val="18"/>
              </w:rPr>
              <w:lastRenderedPageBreak/>
              <w:t>件对于关联交易的相关规定之前提下与之公平、公开、公开交易，并协助其充分、切实履行所必需的披露义务。</w:t>
            </w:r>
          </w:p>
          <w:p w14:paraId="1CFD79FC" w14:textId="48C4D1A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w:t>
            </w:r>
            <w:r w:rsidR="00FE0BB6">
              <w:rPr>
                <w:rFonts w:ascii="宋体" w:eastAsia="宋体" w:hAnsi="宋体" w:cs="宋体" w:hint="eastAsia"/>
                <w:sz w:val="18"/>
                <w:szCs w:val="18"/>
              </w:rPr>
              <w:t>.</w:t>
            </w:r>
            <w:r>
              <w:rPr>
                <w:rFonts w:ascii="宋体" w:eastAsia="宋体" w:hAnsi="宋体" w:cs="宋体"/>
                <w:sz w:val="18"/>
                <w:szCs w:val="18"/>
              </w:rPr>
              <w:t>王柏兴先生及其控制的其他企业不占用中利科技及其控股子公司的资金，若违背上述承诺，将以占用资金金额的20%向中利科技支付违约金。</w:t>
            </w:r>
          </w:p>
        </w:tc>
        <w:tc>
          <w:tcPr>
            <w:tcW w:w="1377" w:type="dxa"/>
            <w:shd w:val="clear" w:color="auto" w:fill="FFFFFF" w:themeFill="background1"/>
            <w:vAlign w:val="center"/>
          </w:tcPr>
          <w:p w14:paraId="433D763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lastRenderedPageBreak/>
              <w:t>2007年12月28日</w:t>
            </w:r>
          </w:p>
        </w:tc>
        <w:tc>
          <w:tcPr>
            <w:tcW w:w="1033" w:type="dxa"/>
            <w:shd w:val="clear" w:color="auto" w:fill="FFFFFF" w:themeFill="background1"/>
            <w:vAlign w:val="center"/>
          </w:tcPr>
          <w:p w14:paraId="27ECE24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2024年12月31日</w:t>
            </w:r>
          </w:p>
        </w:tc>
        <w:tc>
          <w:tcPr>
            <w:tcW w:w="1377" w:type="dxa"/>
            <w:shd w:val="clear" w:color="auto" w:fill="FFFFFF" w:themeFill="background1"/>
            <w:vAlign w:val="center"/>
          </w:tcPr>
          <w:p w14:paraId="45B10CB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其控股股东身份已变更，承诺履行完毕。</w:t>
            </w:r>
          </w:p>
        </w:tc>
      </w:tr>
      <w:tr w:rsidR="00632E5B" w14:paraId="4580B55E" w14:textId="77777777" w:rsidTr="00372641">
        <w:trPr>
          <w:gridAfter w:val="1"/>
          <w:wAfter w:w="28" w:type="dxa"/>
          <w:trHeight w:val="1201"/>
        </w:trPr>
        <w:tc>
          <w:tcPr>
            <w:tcW w:w="1377" w:type="dxa"/>
            <w:shd w:val="clear" w:color="auto" w:fill="FFFFFF" w:themeFill="background1"/>
            <w:vAlign w:val="center"/>
          </w:tcPr>
          <w:p w14:paraId="552253C7"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其他对公司中小股东所作承诺</w:t>
            </w:r>
          </w:p>
        </w:tc>
        <w:tc>
          <w:tcPr>
            <w:tcW w:w="2481" w:type="dxa"/>
            <w:shd w:val="clear" w:color="auto" w:fill="FFFFFF" w:themeFill="background1"/>
            <w:vAlign w:val="center"/>
          </w:tcPr>
          <w:p w14:paraId="20F4E9D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江苏中利集团股份有限公司</w:t>
            </w:r>
          </w:p>
        </w:tc>
        <w:tc>
          <w:tcPr>
            <w:tcW w:w="1377" w:type="dxa"/>
            <w:shd w:val="clear" w:color="auto" w:fill="FFFFFF" w:themeFill="background1"/>
            <w:vAlign w:val="center"/>
          </w:tcPr>
          <w:p w14:paraId="6EBB89D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现金分红承诺</w:t>
            </w:r>
          </w:p>
        </w:tc>
        <w:tc>
          <w:tcPr>
            <w:tcW w:w="5427" w:type="dxa"/>
            <w:shd w:val="clear" w:color="auto" w:fill="FFFFFF" w:themeFill="background1"/>
            <w:vAlign w:val="center"/>
          </w:tcPr>
          <w:p w14:paraId="2BA3C17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2024-2026年原则上每年以现金方式分配的利润不低于当年实现的可分配利润的10%，最近三年以现金方式累计分配的利润至少不少于最近三年实现的年均可分配利润的30%.</w:t>
            </w:r>
          </w:p>
        </w:tc>
        <w:tc>
          <w:tcPr>
            <w:tcW w:w="1377" w:type="dxa"/>
            <w:shd w:val="clear" w:color="auto" w:fill="FFFFFF" w:themeFill="background1"/>
            <w:vAlign w:val="center"/>
          </w:tcPr>
          <w:p w14:paraId="4440D8B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2024年05月14日</w:t>
            </w:r>
          </w:p>
        </w:tc>
        <w:tc>
          <w:tcPr>
            <w:tcW w:w="1033" w:type="dxa"/>
            <w:shd w:val="clear" w:color="auto" w:fill="FFFFFF" w:themeFill="background1"/>
            <w:vAlign w:val="center"/>
          </w:tcPr>
          <w:p w14:paraId="06C6444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2026年12月31日</w:t>
            </w:r>
          </w:p>
        </w:tc>
        <w:tc>
          <w:tcPr>
            <w:tcW w:w="1377" w:type="dxa"/>
            <w:shd w:val="clear" w:color="auto" w:fill="FFFFFF" w:themeFill="background1"/>
            <w:vAlign w:val="center"/>
          </w:tcPr>
          <w:p w14:paraId="7F35942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正在履行</w:t>
            </w:r>
          </w:p>
        </w:tc>
      </w:tr>
      <w:tr w:rsidR="00632E5B" w14:paraId="088E575B" w14:textId="77777777" w:rsidTr="00372641">
        <w:trPr>
          <w:gridAfter w:val="1"/>
          <w:wAfter w:w="28" w:type="dxa"/>
          <w:trHeight w:val="240"/>
        </w:trPr>
        <w:tc>
          <w:tcPr>
            <w:tcW w:w="1377" w:type="dxa"/>
            <w:shd w:val="clear" w:color="auto" w:fill="FFFFFF" w:themeFill="background1"/>
            <w:vAlign w:val="center"/>
          </w:tcPr>
          <w:p w14:paraId="75BAA8E4"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其他承诺</w:t>
            </w:r>
          </w:p>
        </w:tc>
        <w:tc>
          <w:tcPr>
            <w:tcW w:w="2481" w:type="dxa"/>
            <w:shd w:val="clear" w:color="auto" w:fill="FFFFFF" w:themeFill="background1"/>
            <w:vAlign w:val="center"/>
          </w:tcPr>
          <w:p w14:paraId="14EE398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常熟光晟新能源有限公司;厦门建发股份有限公司;厦门建发集团有限公司</w:t>
            </w:r>
          </w:p>
        </w:tc>
        <w:tc>
          <w:tcPr>
            <w:tcW w:w="1377" w:type="dxa"/>
            <w:shd w:val="clear" w:color="auto" w:fill="FFFFFF" w:themeFill="background1"/>
            <w:vAlign w:val="center"/>
          </w:tcPr>
          <w:p w14:paraId="1222A07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其他承诺</w:t>
            </w:r>
          </w:p>
        </w:tc>
        <w:tc>
          <w:tcPr>
            <w:tcW w:w="5427" w:type="dxa"/>
            <w:shd w:val="clear" w:color="auto" w:fill="FFFFFF" w:themeFill="background1"/>
            <w:vAlign w:val="center"/>
          </w:tcPr>
          <w:p w14:paraId="55734262" w14:textId="0438F94A" w:rsidR="006E19B8" w:rsidRDefault="00107901">
            <w:pPr>
              <w:spacing w:line="240" w:lineRule="exact"/>
              <w:rPr>
                <w:rFonts w:ascii="宋体" w:eastAsia="宋体" w:hAnsi="宋体" w:cs="宋体" w:hint="eastAsia"/>
                <w:sz w:val="18"/>
                <w:szCs w:val="18"/>
              </w:rPr>
            </w:pPr>
            <w:r>
              <w:rPr>
                <w:rFonts w:ascii="宋体" w:eastAsia="宋体" w:hAnsi="宋体" w:cs="宋体"/>
                <w:sz w:val="18"/>
                <w:szCs w:val="18"/>
              </w:rPr>
              <w:t>本次权益变动完成后，本承诺人将严格遵守中国证券监督管理委员会、深圳证券交易所相关规章及上市公司章程等相关规定，依法行使股东权利、履行股东义务，不利用股东地位谋取不当利益，保证上市公司在人员、资产、财务、机构及业务方面继续与本承诺人及本承诺人控制的其他企业（如有）维持独立性，保持上市公司在人员、资产、财务、机构及业务方面的独立。</w:t>
            </w:r>
          </w:p>
        </w:tc>
        <w:tc>
          <w:tcPr>
            <w:tcW w:w="1377" w:type="dxa"/>
            <w:shd w:val="clear" w:color="auto" w:fill="FFFFFF" w:themeFill="background1"/>
            <w:vAlign w:val="center"/>
          </w:tcPr>
          <w:p w14:paraId="41C6902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2024年12月18日</w:t>
            </w:r>
          </w:p>
        </w:tc>
        <w:tc>
          <w:tcPr>
            <w:tcW w:w="1033" w:type="dxa"/>
            <w:shd w:val="clear" w:color="auto" w:fill="FFFFFF" w:themeFill="background1"/>
            <w:vAlign w:val="center"/>
          </w:tcPr>
          <w:p w14:paraId="799601B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长期</w:t>
            </w:r>
          </w:p>
        </w:tc>
        <w:tc>
          <w:tcPr>
            <w:tcW w:w="1377" w:type="dxa"/>
            <w:shd w:val="clear" w:color="auto" w:fill="FFFFFF" w:themeFill="background1"/>
            <w:vAlign w:val="center"/>
          </w:tcPr>
          <w:p w14:paraId="0ACD7F0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正在履行</w:t>
            </w:r>
          </w:p>
        </w:tc>
      </w:tr>
      <w:tr w:rsidR="00632E5B" w14:paraId="0613DB9F" w14:textId="77777777" w:rsidTr="00372641">
        <w:trPr>
          <w:gridAfter w:val="1"/>
          <w:wAfter w:w="28" w:type="dxa"/>
          <w:trHeight w:val="1361"/>
        </w:trPr>
        <w:tc>
          <w:tcPr>
            <w:tcW w:w="1377" w:type="dxa"/>
            <w:shd w:val="clear" w:color="auto" w:fill="FFFFFF" w:themeFill="background1"/>
            <w:vAlign w:val="center"/>
          </w:tcPr>
          <w:p w14:paraId="57B9F98D"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其他承诺</w:t>
            </w:r>
          </w:p>
        </w:tc>
        <w:tc>
          <w:tcPr>
            <w:tcW w:w="2481" w:type="dxa"/>
            <w:shd w:val="clear" w:color="auto" w:fill="FFFFFF" w:themeFill="background1"/>
            <w:vAlign w:val="center"/>
          </w:tcPr>
          <w:p w14:paraId="14A7789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常熟光晟新能源有限公司</w:t>
            </w:r>
          </w:p>
        </w:tc>
        <w:tc>
          <w:tcPr>
            <w:tcW w:w="1377" w:type="dxa"/>
            <w:shd w:val="clear" w:color="auto" w:fill="FFFFFF" w:themeFill="background1"/>
            <w:vAlign w:val="center"/>
          </w:tcPr>
          <w:p w14:paraId="77CA98B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股份减持承诺</w:t>
            </w:r>
          </w:p>
        </w:tc>
        <w:tc>
          <w:tcPr>
            <w:tcW w:w="5427" w:type="dxa"/>
            <w:shd w:val="clear" w:color="auto" w:fill="FFFFFF" w:themeFill="background1"/>
            <w:vAlign w:val="center"/>
          </w:tcPr>
          <w:p w14:paraId="325280F9" w14:textId="671F2F4A" w:rsidR="006E19B8" w:rsidRDefault="00107901">
            <w:pPr>
              <w:spacing w:line="240" w:lineRule="exact"/>
              <w:rPr>
                <w:rFonts w:ascii="宋体" w:eastAsia="宋体" w:hAnsi="宋体" w:cs="宋体" w:hint="eastAsia"/>
                <w:sz w:val="18"/>
                <w:szCs w:val="18"/>
              </w:rPr>
            </w:pPr>
            <w:r>
              <w:rPr>
                <w:rFonts w:ascii="宋体" w:eastAsia="宋体" w:hAnsi="宋体" w:cs="宋体"/>
                <w:sz w:val="18"/>
                <w:szCs w:val="18"/>
              </w:rPr>
              <w:t>承诺自转增股票过户登记至其名下之日起三十六（36）个月内，不通过任何形式减持(包括集合竞价、大宗交易以及协议转让等各种方式)或者委托他人管理其直接和间接持有的该等转增股票(登记日以受让股票实际登记至乙方提交的证券账户之日为准)。</w:t>
            </w:r>
          </w:p>
        </w:tc>
        <w:tc>
          <w:tcPr>
            <w:tcW w:w="1377" w:type="dxa"/>
            <w:shd w:val="clear" w:color="auto" w:fill="FFFFFF" w:themeFill="background1"/>
            <w:vAlign w:val="center"/>
          </w:tcPr>
          <w:p w14:paraId="222AA31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2024年12月30日</w:t>
            </w:r>
          </w:p>
        </w:tc>
        <w:tc>
          <w:tcPr>
            <w:tcW w:w="1033" w:type="dxa"/>
            <w:shd w:val="clear" w:color="auto" w:fill="FFFFFF" w:themeFill="background1"/>
            <w:vAlign w:val="center"/>
          </w:tcPr>
          <w:p w14:paraId="58C003B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36个月</w:t>
            </w:r>
          </w:p>
        </w:tc>
        <w:tc>
          <w:tcPr>
            <w:tcW w:w="1377" w:type="dxa"/>
            <w:shd w:val="clear" w:color="auto" w:fill="FFFFFF" w:themeFill="background1"/>
            <w:vAlign w:val="center"/>
          </w:tcPr>
          <w:p w14:paraId="595AA90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正在履行</w:t>
            </w:r>
          </w:p>
        </w:tc>
      </w:tr>
      <w:tr w:rsidR="00632E5B" w14:paraId="3BAC3FC5" w14:textId="77777777" w:rsidTr="00372641">
        <w:trPr>
          <w:gridAfter w:val="1"/>
          <w:wAfter w:w="28" w:type="dxa"/>
          <w:trHeight w:val="240"/>
        </w:trPr>
        <w:tc>
          <w:tcPr>
            <w:tcW w:w="1377" w:type="dxa"/>
            <w:shd w:val="clear" w:color="auto" w:fill="FFFFFF" w:themeFill="background1"/>
            <w:vAlign w:val="center"/>
          </w:tcPr>
          <w:p w14:paraId="42DD2752"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其他承诺</w:t>
            </w:r>
          </w:p>
        </w:tc>
        <w:tc>
          <w:tcPr>
            <w:tcW w:w="2481" w:type="dxa"/>
            <w:shd w:val="clear" w:color="auto" w:fill="FFFFFF" w:themeFill="background1"/>
            <w:vAlign w:val="center"/>
          </w:tcPr>
          <w:p w14:paraId="393A565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China Orient Enhanced Income Fund;北京博雅春芽投资有限公司;杜月姣;湖北华楚国科十一号投资合伙企业（有限合伙）;金丽春;刘青科;宁波铭志企业管理有限公司;农银企航(苏州)私募基金管理有限公司;上海苏宿昌投资管理有限公司;深圳健恩私募证券基金管理有限公司;深圳市招商平安资产管理有限责任公司;苏州宏新股权投资合伙企业;外贸信托-玄武33号集合资金信托计划;王浚;无锡诚佳诚商贸有限公司;西安厦裕地产顾问有限公司;阎蕊</w:t>
            </w:r>
          </w:p>
        </w:tc>
        <w:tc>
          <w:tcPr>
            <w:tcW w:w="1377" w:type="dxa"/>
            <w:shd w:val="clear" w:color="auto" w:fill="FFFFFF" w:themeFill="background1"/>
            <w:vAlign w:val="center"/>
          </w:tcPr>
          <w:p w14:paraId="0E0F5AD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股份减持承诺</w:t>
            </w:r>
          </w:p>
        </w:tc>
        <w:tc>
          <w:tcPr>
            <w:tcW w:w="5427" w:type="dxa"/>
            <w:shd w:val="clear" w:color="auto" w:fill="FFFFFF" w:themeFill="background1"/>
            <w:vAlign w:val="center"/>
          </w:tcPr>
          <w:p w14:paraId="7E1CC10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承诺自转增股票过户登记至其名下之日起十二（12）个月内，不通过任何形式减持(包括集合竞价、大宗交易以及协议转让等各种方式)或者委托他人管理其直接和间接持有的该等转增股票(登记日以受让股票实际登记至乙方提交的证券账户之日为准)。</w:t>
            </w:r>
          </w:p>
        </w:tc>
        <w:tc>
          <w:tcPr>
            <w:tcW w:w="1377" w:type="dxa"/>
            <w:shd w:val="clear" w:color="auto" w:fill="FFFFFF" w:themeFill="background1"/>
            <w:vAlign w:val="center"/>
          </w:tcPr>
          <w:p w14:paraId="3025D1A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2024年12月30日</w:t>
            </w:r>
          </w:p>
        </w:tc>
        <w:tc>
          <w:tcPr>
            <w:tcW w:w="1033" w:type="dxa"/>
            <w:shd w:val="clear" w:color="auto" w:fill="FFFFFF" w:themeFill="background1"/>
            <w:vAlign w:val="center"/>
          </w:tcPr>
          <w:p w14:paraId="35E7EE3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12个月</w:t>
            </w:r>
          </w:p>
        </w:tc>
        <w:tc>
          <w:tcPr>
            <w:tcW w:w="1377" w:type="dxa"/>
            <w:shd w:val="clear" w:color="auto" w:fill="FFFFFF" w:themeFill="background1"/>
            <w:vAlign w:val="center"/>
          </w:tcPr>
          <w:p w14:paraId="1DAAC74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正在履行</w:t>
            </w:r>
          </w:p>
        </w:tc>
      </w:tr>
      <w:tr w:rsidR="00632E5B" w14:paraId="15ACC4BA" w14:textId="77777777" w:rsidTr="00372641">
        <w:trPr>
          <w:gridAfter w:val="1"/>
          <w:wAfter w:w="28" w:type="dxa"/>
          <w:trHeight w:val="240"/>
        </w:trPr>
        <w:tc>
          <w:tcPr>
            <w:tcW w:w="1377" w:type="dxa"/>
            <w:shd w:val="clear" w:color="auto" w:fill="FFFFFF" w:themeFill="background1"/>
            <w:vAlign w:val="center"/>
          </w:tcPr>
          <w:p w14:paraId="5A1732E5"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lastRenderedPageBreak/>
              <w:t>其他承诺</w:t>
            </w:r>
          </w:p>
        </w:tc>
        <w:tc>
          <w:tcPr>
            <w:tcW w:w="2481" w:type="dxa"/>
            <w:shd w:val="clear" w:color="auto" w:fill="FFFFFF" w:themeFill="background1"/>
            <w:vAlign w:val="center"/>
          </w:tcPr>
          <w:p w14:paraId="47085C3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杜月姣;湖北华楚国科十一号投资合伙企业（有限合伙）;金丽春;刘青科;宁波铭志企业管理有限公司;农银企航(苏州)私募基金管理有限公司;上海苏宿昌投资管理有限公司;深圳健恩私募证券基金管理有限公司;王浚;无锡诚佳诚商贸有限公司;西安厦裕地产顾问有限公司;阎蕊</w:t>
            </w:r>
          </w:p>
        </w:tc>
        <w:tc>
          <w:tcPr>
            <w:tcW w:w="1377" w:type="dxa"/>
            <w:shd w:val="clear" w:color="auto" w:fill="FFFFFF" w:themeFill="background1"/>
            <w:vAlign w:val="center"/>
          </w:tcPr>
          <w:p w14:paraId="26C6D92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其他承诺</w:t>
            </w:r>
          </w:p>
        </w:tc>
        <w:tc>
          <w:tcPr>
            <w:tcW w:w="5427" w:type="dxa"/>
            <w:shd w:val="clear" w:color="auto" w:fill="FFFFFF" w:themeFill="background1"/>
            <w:vAlign w:val="center"/>
          </w:tcPr>
          <w:p w14:paraId="3585EDA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自中利集团转增的股票过户至名下之日起,至不再持有中利集团的股份。此期间不可撤销地放弃持有的中利集团全部股份所对应的股东表决权及提名权、提案权等除收益权和股份转让权等财产性权利之外的权利,放弃根据法律、法规规章及规范性文件或上市公司章程需要股东大会讨论、决议的事项的表决权，但涉及股份所有权、股份转让、股份质押等直接涉及所持股份处分事宜的事项除外。</w:t>
            </w:r>
          </w:p>
        </w:tc>
        <w:tc>
          <w:tcPr>
            <w:tcW w:w="1377" w:type="dxa"/>
            <w:shd w:val="clear" w:color="auto" w:fill="FFFFFF" w:themeFill="background1"/>
            <w:vAlign w:val="center"/>
          </w:tcPr>
          <w:p w14:paraId="6DFB383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2024年12月30日</w:t>
            </w:r>
          </w:p>
        </w:tc>
        <w:tc>
          <w:tcPr>
            <w:tcW w:w="1033" w:type="dxa"/>
            <w:shd w:val="clear" w:color="auto" w:fill="FFFFFF" w:themeFill="background1"/>
            <w:vAlign w:val="center"/>
          </w:tcPr>
          <w:p w14:paraId="59A8B5A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持有公司股票期间</w:t>
            </w:r>
          </w:p>
        </w:tc>
        <w:tc>
          <w:tcPr>
            <w:tcW w:w="1377" w:type="dxa"/>
            <w:shd w:val="clear" w:color="auto" w:fill="FFFFFF" w:themeFill="background1"/>
            <w:vAlign w:val="center"/>
          </w:tcPr>
          <w:p w14:paraId="384DA48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正在履行</w:t>
            </w:r>
          </w:p>
        </w:tc>
      </w:tr>
      <w:tr w:rsidR="00632E5B" w14:paraId="7E121E96" w14:textId="77777777" w:rsidTr="00372641">
        <w:trPr>
          <w:trHeight w:val="240"/>
        </w:trPr>
        <w:tc>
          <w:tcPr>
            <w:tcW w:w="1377" w:type="dxa"/>
            <w:shd w:val="clear" w:color="auto" w:fill="FFFFFF" w:themeFill="background1"/>
            <w:vAlign w:val="center"/>
          </w:tcPr>
          <w:p w14:paraId="2003E193"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承诺是否按时履行</w:t>
            </w:r>
          </w:p>
        </w:tc>
        <w:tc>
          <w:tcPr>
            <w:tcW w:w="13100" w:type="dxa"/>
            <w:gridSpan w:val="7"/>
            <w:shd w:val="clear" w:color="auto" w:fill="FFFFFF" w:themeFill="background1"/>
            <w:vAlign w:val="center"/>
          </w:tcPr>
          <w:p w14:paraId="4FF17B4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是</w:t>
            </w:r>
          </w:p>
        </w:tc>
      </w:tr>
      <w:tr w:rsidR="00632E5B" w14:paraId="3A9E4FBC" w14:textId="77777777" w:rsidTr="00372641">
        <w:trPr>
          <w:trHeight w:val="240"/>
        </w:trPr>
        <w:tc>
          <w:tcPr>
            <w:tcW w:w="1377" w:type="dxa"/>
            <w:shd w:val="clear" w:color="auto" w:fill="FFFFFF" w:themeFill="background1"/>
            <w:vAlign w:val="center"/>
          </w:tcPr>
          <w:p w14:paraId="182C669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如承诺超期未履行完毕的，应当详细说明未完成履行的具体原因及下一步的工作计划</w:t>
            </w:r>
          </w:p>
        </w:tc>
        <w:tc>
          <w:tcPr>
            <w:tcW w:w="13100" w:type="dxa"/>
            <w:gridSpan w:val="7"/>
            <w:shd w:val="clear" w:color="auto" w:fill="FFFFFF" w:themeFill="background1"/>
            <w:vAlign w:val="center"/>
          </w:tcPr>
          <w:p w14:paraId="7A69744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bl>
    <w:p w14:paraId="2B393129" w14:textId="77777777" w:rsidR="006E19B8" w:rsidRDefault="006E19B8">
      <w:pPr>
        <w:pStyle w:val="3"/>
        <w:spacing w:line="280" w:lineRule="exact"/>
        <w:jc w:val="left"/>
        <w:rPr>
          <w:rFonts w:ascii="宋体" w:hAnsi="宋体" w:cs="宋体" w:hint="eastAsia"/>
          <w:b/>
          <w:bCs/>
        </w:rPr>
        <w:sectPr w:rsidR="006E19B8" w:rsidSect="00E90C20">
          <w:pgSz w:w="16840" w:h="11905" w:orient="landscape"/>
          <w:pgMar w:top="1134" w:right="1440" w:bottom="1134" w:left="1440" w:header="851" w:footer="992" w:gutter="0"/>
          <w:cols w:space="720"/>
          <w:docGrid w:type="lines" w:linePitch="312"/>
        </w:sectPr>
      </w:pPr>
      <w:bookmarkStart w:id="96" w:name="_Toc988985"/>
    </w:p>
    <w:p w14:paraId="6665C306" w14:textId="0641F3F8" w:rsidR="00632E5B" w:rsidRDefault="00107901">
      <w:pPr>
        <w:pStyle w:val="3"/>
        <w:spacing w:line="280" w:lineRule="exact"/>
        <w:jc w:val="left"/>
        <w:rPr>
          <w:rFonts w:ascii="宋体" w:hAnsi="宋体" w:cs="宋体" w:hint="eastAsia"/>
          <w:b/>
          <w:bCs/>
        </w:rPr>
      </w:pPr>
      <w:r>
        <w:rPr>
          <w:rFonts w:ascii="宋体" w:hAnsi="宋体" w:cs="宋体"/>
          <w:b/>
          <w:bCs/>
        </w:rPr>
        <w:lastRenderedPageBreak/>
        <w:t>2、公司资产或项目存在盈利预测，且报告期仍处在盈利预测期间，公司就资产或项目达到原盈利预测及其原因做出说明</w:t>
      </w:r>
      <w:bookmarkEnd w:id="96"/>
    </w:p>
    <w:p w14:paraId="68F7B450"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01CD59ED" w14:textId="77777777" w:rsidR="00632E5B" w:rsidRDefault="00107901">
      <w:pPr>
        <w:pStyle w:val="2"/>
        <w:spacing w:before="300" w:after="300" w:line="320" w:lineRule="exact"/>
        <w:rPr>
          <w:rFonts w:ascii="宋体" w:eastAsia="宋体" w:hAnsi="宋体" w:cs="宋体" w:hint="eastAsia"/>
          <w:b/>
          <w:bCs/>
          <w:sz w:val="24"/>
          <w:szCs w:val="24"/>
        </w:rPr>
      </w:pPr>
      <w:bookmarkStart w:id="97" w:name="_Toc988986"/>
      <w:r>
        <w:rPr>
          <w:rFonts w:ascii="宋体" w:eastAsia="宋体" w:hAnsi="宋体" w:cs="宋体"/>
          <w:b/>
          <w:bCs/>
          <w:sz w:val="24"/>
          <w:szCs w:val="24"/>
        </w:rPr>
        <w:t>二、控股股东及其他关联方对上市公司的非经营性占用资金情况</w:t>
      </w:r>
      <w:bookmarkEnd w:id="97"/>
    </w:p>
    <w:p w14:paraId="3DFF8C0D"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0FAC95FC" w14:textId="77777777" w:rsidR="00632E5B" w:rsidRDefault="00107901">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单位：万元</w:t>
      </w:r>
    </w:p>
    <w:tbl>
      <w:tblPr>
        <w:tblW w:w="13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273"/>
        <w:gridCol w:w="741"/>
        <w:gridCol w:w="1811"/>
        <w:gridCol w:w="1418"/>
        <w:gridCol w:w="6"/>
        <w:gridCol w:w="1170"/>
        <w:gridCol w:w="6"/>
        <w:gridCol w:w="735"/>
        <w:gridCol w:w="6"/>
        <w:gridCol w:w="1237"/>
        <w:gridCol w:w="6"/>
        <w:gridCol w:w="735"/>
        <w:gridCol w:w="6"/>
        <w:gridCol w:w="735"/>
        <w:gridCol w:w="6"/>
        <w:gridCol w:w="735"/>
        <w:gridCol w:w="6"/>
        <w:gridCol w:w="735"/>
        <w:gridCol w:w="6"/>
        <w:gridCol w:w="735"/>
        <w:gridCol w:w="6"/>
        <w:gridCol w:w="1492"/>
        <w:gridCol w:w="6"/>
      </w:tblGrid>
      <w:tr w:rsidR="00632E5B" w14:paraId="5A4B764D" w14:textId="77777777" w:rsidTr="00372641">
        <w:trPr>
          <w:gridAfter w:val="1"/>
          <w:wAfter w:w="6" w:type="dxa"/>
          <w:trHeight w:val="240"/>
        </w:trPr>
        <w:tc>
          <w:tcPr>
            <w:tcW w:w="1273" w:type="dxa"/>
            <w:shd w:val="clear" w:color="auto" w:fill="FFFFFF" w:themeFill="background1"/>
            <w:vAlign w:val="center"/>
          </w:tcPr>
          <w:p w14:paraId="6B02A50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股东或关联人名称</w:t>
            </w:r>
          </w:p>
        </w:tc>
        <w:tc>
          <w:tcPr>
            <w:tcW w:w="741" w:type="dxa"/>
            <w:shd w:val="clear" w:color="auto" w:fill="FFFFFF" w:themeFill="background1"/>
            <w:vAlign w:val="center"/>
          </w:tcPr>
          <w:p w14:paraId="5F83195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关联关系类型</w:t>
            </w:r>
          </w:p>
        </w:tc>
        <w:tc>
          <w:tcPr>
            <w:tcW w:w="1811" w:type="dxa"/>
            <w:shd w:val="clear" w:color="auto" w:fill="FFFFFF" w:themeFill="background1"/>
            <w:vAlign w:val="center"/>
          </w:tcPr>
          <w:p w14:paraId="4370508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占用时间</w:t>
            </w:r>
          </w:p>
        </w:tc>
        <w:tc>
          <w:tcPr>
            <w:tcW w:w="1418" w:type="dxa"/>
            <w:shd w:val="clear" w:color="auto" w:fill="FFFFFF" w:themeFill="background1"/>
            <w:vAlign w:val="center"/>
          </w:tcPr>
          <w:p w14:paraId="46CF670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发生原因</w:t>
            </w:r>
          </w:p>
        </w:tc>
        <w:tc>
          <w:tcPr>
            <w:tcW w:w="1176" w:type="dxa"/>
            <w:gridSpan w:val="2"/>
            <w:shd w:val="clear" w:color="auto" w:fill="FFFFFF" w:themeFill="background1"/>
            <w:vAlign w:val="center"/>
          </w:tcPr>
          <w:p w14:paraId="1DAF37C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期初数</w:t>
            </w:r>
          </w:p>
        </w:tc>
        <w:tc>
          <w:tcPr>
            <w:tcW w:w="741" w:type="dxa"/>
            <w:gridSpan w:val="2"/>
            <w:shd w:val="clear" w:color="auto" w:fill="FFFFFF" w:themeFill="background1"/>
            <w:vAlign w:val="center"/>
          </w:tcPr>
          <w:p w14:paraId="65FC944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报告期新增占用金额</w:t>
            </w:r>
          </w:p>
        </w:tc>
        <w:tc>
          <w:tcPr>
            <w:tcW w:w="1243" w:type="dxa"/>
            <w:gridSpan w:val="2"/>
            <w:shd w:val="clear" w:color="auto" w:fill="FFFFFF" w:themeFill="background1"/>
            <w:vAlign w:val="center"/>
          </w:tcPr>
          <w:p w14:paraId="25D15BB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报告期偿还总金额</w:t>
            </w:r>
          </w:p>
        </w:tc>
        <w:tc>
          <w:tcPr>
            <w:tcW w:w="741" w:type="dxa"/>
            <w:gridSpan w:val="2"/>
            <w:shd w:val="clear" w:color="auto" w:fill="FFFFFF" w:themeFill="background1"/>
            <w:vAlign w:val="center"/>
          </w:tcPr>
          <w:p w14:paraId="6BB8088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期末数</w:t>
            </w:r>
          </w:p>
        </w:tc>
        <w:tc>
          <w:tcPr>
            <w:tcW w:w="741" w:type="dxa"/>
            <w:gridSpan w:val="2"/>
            <w:shd w:val="clear" w:color="auto" w:fill="FFFFFF" w:themeFill="background1"/>
            <w:vAlign w:val="center"/>
          </w:tcPr>
          <w:p w14:paraId="0E2BA10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截至年报披露日余额</w:t>
            </w:r>
          </w:p>
        </w:tc>
        <w:tc>
          <w:tcPr>
            <w:tcW w:w="741" w:type="dxa"/>
            <w:gridSpan w:val="2"/>
            <w:shd w:val="clear" w:color="auto" w:fill="FFFFFF" w:themeFill="background1"/>
            <w:vAlign w:val="center"/>
          </w:tcPr>
          <w:p w14:paraId="3ACD1A6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预计偿还方式</w:t>
            </w:r>
          </w:p>
        </w:tc>
        <w:tc>
          <w:tcPr>
            <w:tcW w:w="741" w:type="dxa"/>
            <w:gridSpan w:val="2"/>
            <w:shd w:val="clear" w:color="auto" w:fill="FFFFFF" w:themeFill="background1"/>
            <w:vAlign w:val="center"/>
          </w:tcPr>
          <w:p w14:paraId="697AB63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预计偿还金额</w:t>
            </w:r>
          </w:p>
        </w:tc>
        <w:tc>
          <w:tcPr>
            <w:tcW w:w="741" w:type="dxa"/>
            <w:gridSpan w:val="2"/>
            <w:shd w:val="clear" w:color="auto" w:fill="FFFFFF" w:themeFill="background1"/>
            <w:vAlign w:val="center"/>
          </w:tcPr>
          <w:p w14:paraId="23AE0D5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预计偿还时间（月份）</w:t>
            </w:r>
          </w:p>
        </w:tc>
        <w:tc>
          <w:tcPr>
            <w:tcW w:w="1498" w:type="dxa"/>
            <w:gridSpan w:val="2"/>
            <w:shd w:val="clear" w:color="auto" w:fill="FFFFFF" w:themeFill="background1"/>
            <w:vAlign w:val="center"/>
          </w:tcPr>
          <w:p w14:paraId="6741970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是否无可行的解决方案或者虽提出解决方案但预计无法在一个月内解决</w:t>
            </w:r>
          </w:p>
        </w:tc>
      </w:tr>
      <w:tr w:rsidR="00632E5B" w14:paraId="00F1F966" w14:textId="77777777" w:rsidTr="00372641">
        <w:trPr>
          <w:gridAfter w:val="1"/>
          <w:wAfter w:w="6" w:type="dxa"/>
          <w:trHeight w:val="240"/>
        </w:trPr>
        <w:tc>
          <w:tcPr>
            <w:tcW w:w="1273" w:type="dxa"/>
            <w:shd w:val="clear" w:color="auto" w:fill="FFFFFF" w:themeFill="background1"/>
            <w:vAlign w:val="center"/>
          </w:tcPr>
          <w:p w14:paraId="1C065FD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王柏兴</w:t>
            </w:r>
          </w:p>
        </w:tc>
        <w:tc>
          <w:tcPr>
            <w:tcW w:w="741" w:type="dxa"/>
            <w:shd w:val="clear" w:color="auto" w:fill="FFFFFF" w:themeFill="background1"/>
            <w:vAlign w:val="center"/>
          </w:tcPr>
          <w:p w14:paraId="3B98466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1811" w:type="dxa"/>
            <w:shd w:val="clear" w:color="auto" w:fill="FFFFFF" w:themeFill="background1"/>
            <w:vAlign w:val="center"/>
          </w:tcPr>
          <w:p w14:paraId="5BD0A75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2019年1月至2024年12月16日</w:t>
            </w:r>
          </w:p>
        </w:tc>
        <w:tc>
          <w:tcPr>
            <w:tcW w:w="1418" w:type="dxa"/>
            <w:shd w:val="clear" w:color="auto" w:fill="FFFFFF" w:themeFill="background1"/>
            <w:vAlign w:val="center"/>
          </w:tcPr>
          <w:p w14:paraId="6EB0A5F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化解原控股股东流动性危机</w:t>
            </w:r>
          </w:p>
        </w:tc>
        <w:tc>
          <w:tcPr>
            <w:tcW w:w="1176" w:type="dxa"/>
            <w:gridSpan w:val="2"/>
            <w:shd w:val="clear" w:color="auto" w:fill="FFFFFF" w:themeFill="background1"/>
            <w:vAlign w:val="center"/>
          </w:tcPr>
          <w:p w14:paraId="09DC147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5,530</w:t>
            </w:r>
          </w:p>
        </w:tc>
        <w:tc>
          <w:tcPr>
            <w:tcW w:w="741" w:type="dxa"/>
            <w:gridSpan w:val="2"/>
            <w:shd w:val="clear" w:color="auto" w:fill="FFFFFF" w:themeFill="background1"/>
            <w:vAlign w:val="center"/>
          </w:tcPr>
          <w:p w14:paraId="5B0A700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43" w:type="dxa"/>
            <w:gridSpan w:val="2"/>
            <w:shd w:val="clear" w:color="auto" w:fill="FFFFFF" w:themeFill="background1"/>
            <w:vAlign w:val="center"/>
          </w:tcPr>
          <w:p w14:paraId="3A79737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5,530</w:t>
            </w:r>
          </w:p>
        </w:tc>
        <w:tc>
          <w:tcPr>
            <w:tcW w:w="741" w:type="dxa"/>
            <w:gridSpan w:val="2"/>
            <w:shd w:val="clear" w:color="auto" w:fill="FFFFFF" w:themeFill="background1"/>
            <w:vAlign w:val="center"/>
          </w:tcPr>
          <w:p w14:paraId="6050A1A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gridSpan w:val="2"/>
            <w:shd w:val="clear" w:color="auto" w:fill="FFFFFF" w:themeFill="background1"/>
            <w:vAlign w:val="center"/>
          </w:tcPr>
          <w:p w14:paraId="10559D2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gridSpan w:val="2"/>
            <w:shd w:val="clear" w:color="auto" w:fill="FFFFFF" w:themeFill="background1"/>
            <w:vAlign w:val="center"/>
          </w:tcPr>
          <w:p w14:paraId="3F7B41E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现金清偿</w:t>
            </w:r>
          </w:p>
        </w:tc>
        <w:tc>
          <w:tcPr>
            <w:tcW w:w="741" w:type="dxa"/>
            <w:gridSpan w:val="2"/>
            <w:shd w:val="clear" w:color="auto" w:fill="FFFFFF" w:themeFill="background1"/>
            <w:vAlign w:val="center"/>
          </w:tcPr>
          <w:p w14:paraId="769B249C" w14:textId="77777777" w:rsidR="00632E5B" w:rsidRDefault="00632E5B">
            <w:pPr>
              <w:spacing w:line="240" w:lineRule="exact"/>
              <w:jc w:val="right"/>
              <w:rPr>
                <w:rFonts w:ascii="宋体" w:eastAsia="宋体" w:hAnsi="宋体" w:cs="宋体" w:hint="eastAsia"/>
                <w:sz w:val="18"/>
                <w:szCs w:val="18"/>
              </w:rPr>
            </w:pPr>
          </w:p>
        </w:tc>
        <w:tc>
          <w:tcPr>
            <w:tcW w:w="741" w:type="dxa"/>
            <w:gridSpan w:val="2"/>
            <w:shd w:val="clear" w:color="auto" w:fill="FFFFFF" w:themeFill="background1"/>
            <w:vAlign w:val="center"/>
          </w:tcPr>
          <w:p w14:paraId="38D866A3" w14:textId="77777777" w:rsidR="00632E5B" w:rsidRDefault="00632E5B">
            <w:pPr>
              <w:spacing w:line="240" w:lineRule="exact"/>
              <w:rPr>
                <w:rFonts w:ascii="宋体" w:eastAsia="宋体" w:hAnsi="宋体" w:cs="宋体" w:hint="eastAsia"/>
                <w:sz w:val="18"/>
                <w:szCs w:val="18"/>
              </w:rPr>
            </w:pPr>
          </w:p>
        </w:tc>
        <w:tc>
          <w:tcPr>
            <w:tcW w:w="1498" w:type="dxa"/>
            <w:gridSpan w:val="2"/>
            <w:shd w:val="clear" w:color="auto" w:fill="FFFFFF" w:themeFill="background1"/>
            <w:vAlign w:val="center"/>
          </w:tcPr>
          <w:p w14:paraId="60E65FB1" w14:textId="77777777" w:rsidR="00632E5B" w:rsidRDefault="00632E5B">
            <w:pPr>
              <w:spacing w:line="240" w:lineRule="exact"/>
              <w:rPr>
                <w:rFonts w:ascii="宋体" w:eastAsia="宋体" w:hAnsi="宋体" w:cs="宋体" w:hint="eastAsia"/>
                <w:sz w:val="18"/>
                <w:szCs w:val="18"/>
              </w:rPr>
            </w:pPr>
          </w:p>
        </w:tc>
      </w:tr>
      <w:tr w:rsidR="00632E5B" w14:paraId="7A32FB3C" w14:textId="77777777" w:rsidTr="00372641">
        <w:trPr>
          <w:gridAfter w:val="1"/>
          <w:wAfter w:w="6" w:type="dxa"/>
          <w:trHeight w:val="240"/>
        </w:trPr>
        <w:tc>
          <w:tcPr>
            <w:tcW w:w="1273" w:type="dxa"/>
            <w:shd w:val="clear" w:color="auto" w:fill="FFFFFF" w:themeFill="background1"/>
            <w:vAlign w:val="center"/>
          </w:tcPr>
          <w:p w14:paraId="5DF9675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江苏中利控股集团有限公司</w:t>
            </w:r>
          </w:p>
        </w:tc>
        <w:tc>
          <w:tcPr>
            <w:tcW w:w="741" w:type="dxa"/>
            <w:shd w:val="clear" w:color="auto" w:fill="FFFFFF" w:themeFill="background1"/>
            <w:vAlign w:val="center"/>
          </w:tcPr>
          <w:p w14:paraId="43FE51A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1811" w:type="dxa"/>
            <w:shd w:val="clear" w:color="auto" w:fill="FFFFFF" w:themeFill="background1"/>
            <w:vAlign w:val="center"/>
          </w:tcPr>
          <w:p w14:paraId="0E8FE2F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2018年12月至2024年12月16日</w:t>
            </w:r>
          </w:p>
        </w:tc>
        <w:tc>
          <w:tcPr>
            <w:tcW w:w="1418" w:type="dxa"/>
            <w:shd w:val="clear" w:color="auto" w:fill="FFFFFF" w:themeFill="background1"/>
            <w:vAlign w:val="center"/>
          </w:tcPr>
          <w:p w14:paraId="4103E3E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原控股股东关联方化解其流动性危机</w:t>
            </w:r>
          </w:p>
        </w:tc>
        <w:tc>
          <w:tcPr>
            <w:tcW w:w="1176" w:type="dxa"/>
            <w:gridSpan w:val="2"/>
            <w:shd w:val="clear" w:color="auto" w:fill="FFFFFF" w:themeFill="background1"/>
            <w:vAlign w:val="center"/>
          </w:tcPr>
          <w:p w14:paraId="4D4A95D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163,767.91</w:t>
            </w:r>
          </w:p>
        </w:tc>
        <w:tc>
          <w:tcPr>
            <w:tcW w:w="741" w:type="dxa"/>
            <w:gridSpan w:val="2"/>
            <w:shd w:val="clear" w:color="auto" w:fill="FFFFFF" w:themeFill="background1"/>
            <w:vAlign w:val="center"/>
          </w:tcPr>
          <w:p w14:paraId="416253A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43" w:type="dxa"/>
            <w:gridSpan w:val="2"/>
            <w:shd w:val="clear" w:color="auto" w:fill="FFFFFF" w:themeFill="background1"/>
            <w:vAlign w:val="center"/>
          </w:tcPr>
          <w:p w14:paraId="743040F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163,767.91</w:t>
            </w:r>
          </w:p>
        </w:tc>
        <w:tc>
          <w:tcPr>
            <w:tcW w:w="741" w:type="dxa"/>
            <w:gridSpan w:val="2"/>
            <w:shd w:val="clear" w:color="auto" w:fill="FFFFFF" w:themeFill="background1"/>
            <w:vAlign w:val="center"/>
          </w:tcPr>
          <w:p w14:paraId="7A3994B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gridSpan w:val="2"/>
            <w:shd w:val="clear" w:color="auto" w:fill="FFFFFF" w:themeFill="background1"/>
            <w:vAlign w:val="center"/>
          </w:tcPr>
          <w:p w14:paraId="0E0AAE2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gridSpan w:val="2"/>
            <w:shd w:val="clear" w:color="auto" w:fill="FFFFFF" w:themeFill="background1"/>
            <w:vAlign w:val="center"/>
          </w:tcPr>
          <w:p w14:paraId="4AC81C9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现金清偿</w:t>
            </w:r>
          </w:p>
        </w:tc>
        <w:tc>
          <w:tcPr>
            <w:tcW w:w="741" w:type="dxa"/>
            <w:gridSpan w:val="2"/>
            <w:shd w:val="clear" w:color="auto" w:fill="FFFFFF" w:themeFill="background1"/>
            <w:vAlign w:val="center"/>
          </w:tcPr>
          <w:p w14:paraId="79FE4B9C" w14:textId="77777777" w:rsidR="00632E5B" w:rsidRDefault="00632E5B">
            <w:pPr>
              <w:spacing w:line="240" w:lineRule="exact"/>
              <w:jc w:val="right"/>
              <w:rPr>
                <w:rFonts w:ascii="宋体" w:eastAsia="宋体" w:hAnsi="宋体" w:cs="宋体" w:hint="eastAsia"/>
                <w:sz w:val="18"/>
                <w:szCs w:val="18"/>
              </w:rPr>
            </w:pPr>
          </w:p>
        </w:tc>
        <w:tc>
          <w:tcPr>
            <w:tcW w:w="741" w:type="dxa"/>
            <w:gridSpan w:val="2"/>
            <w:shd w:val="clear" w:color="auto" w:fill="FFFFFF" w:themeFill="background1"/>
            <w:vAlign w:val="center"/>
          </w:tcPr>
          <w:p w14:paraId="2BA78FB1" w14:textId="77777777" w:rsidR="00632E5B" w:rsidRDefault="00632E5B">
            <w:pPr>
              <w:spacing w:line="240" w:lineRule="exact"/>
              <w:rPr>
                <w:rFonts w:ascii="宋体" w:eastAsia="宋体" w:hAnsi="宋体" w:cs="宋体" w:hint="eastAsia"/>
                <w:sz w:val="18"/>
                <w:szCs w:val="18"/>
              </w:rPr>
            </w:pPr>
          </w:p>
        </w:tc>
        <w:tc>
          <w:tcPr>
            <w:tcW w:w="1498" w:type="dxa"/>
            <w:gridSpan w:val="2"/>
            <w:shd w:val="clear" w:color="auto" w:fill="FFFFFF" w:themeFill="background1"/>
            <w:vAlign w:val="center"/>
          </w:tcPr>
          <w:p w14:paraId="5640420E" w14:textId="77777777" w:rsidR="00632E5B" w:rsidRDefault="00632E5B">
            <w:pPr>
              <w:spacing w:line="240" w:lineRule="exact"/>
              <w:rPr>
                <w:rFonts w:ascii="宋体" w:eastAsia="宋体" w:hAnsi="宋体" w:cs="宋体" w:hint="eastAsia"/>
                <w:sz w:val="18"/>
                <w:szCs w:val="18"/>
              </w:rPr>
            </w:pPr>
          </w:p>
        </w:tc>
      </w:tr>
      <w:tr w:rsidR="00632E5B" w14:paraId="5998D06B" w14:textId="77777777" w:rsidTr="00372641">
        <w:trPr>
          <w:trHeight w:val="240"/>
        </w:trPr>
        <w:tc>
          <w:tcPr>
            <w:tcW w:w="5249" w:type="dxa"/>
            <w:gridSpan w:val="5"/>
            <w:shd w:val="clear" w:color="auto" w:fill="FFFFFF" w:themeFill="background1"/>
            <w:vAlign w:val="center"/>
          </w:tcPr>
          <w:p w14:paraId="10DD1912"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176" w:type="dxa"/>
            <w:gridSpan w:val="2"/>
            <w:shd w:val="clear" w:color="auto" w:fill="FFFFFF" w:themeFill="background1"/>
            <w:vAlign w:val="center"/>
          </w:tcPr>
          <w:p w14:paraId="0D178D2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169,297.91</w:t>
            </w:r>
          </w:p>
        </w:tc>
        <w:tc>
          <w:tcPr>
            <w:tcW w:w="741" w:type="dxa"/>
            <w:gridSpan w:val="2"/>
            <w:shd w:val="clear" w:color="auto" w:fill="FFFFFF" w:themeFill="background1"/>
            <w:vAlign w:val="center"/>
          </w:tcPr>
          <w:p w14:paraId="5B8EBAD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43" w:type="dxa"/>
            <w:gridSpan w:val="2"/>
            <w:shd w:val="clear" w:color="auto" w:fill="FFFFFF" w:themeFill="background1"/>
            <w:vAlign w:val="center"/>
          </w:tcPr>
          <w:p w14:paraId="0DA2308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169,297.91</w:t>
            </w:r>
          </w:p>
        </w:tc>
        <w:tc>
          <w:tcPr>
            <w:tcW w:w="741" w:type="dxa"/>
            <w:gridSpan w:val="2"/>
            <w:shd w:val="clear" w:color="auto" w:fill="FFFFFF" w:themeFill="background1"/>
            <w:vAlign w:val="center"/>
          </w:tcPr>
          <w:p w14:paraId="222D93C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gridSpan w:val="2"/>
            <w:shd w:val="clear" w:color="auto" w:fill="FFFFFF" w:themeFill="background1"/>
            <w:vAlign w:val="center"/>
          </w:tcPr>
          <w:p w14:paraId="4989F04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gridSpan w:val="2"/>
            <w:shd w:val="clear" w:color="auto" w:fill="FFFFFF" w:themeFill="background1"/>
            <w:vAlign w:val="center"/>
          </w:tcPr>
          <w:p w14:paraId="4BD3071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741" w:type="dxa"/>
            <w:gridSpan w:val="2"/>
            <w:shd w:val="clear" w:color="auto" w:fill="FFFFFF" w:themeFill="background1"/>
            <w:vAlign w:val="center"/>
          </w:tcPr>
          <w:p w14:paraId="79C2F10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41" w:type="dxa"/>
            <w:gridSpan w:val="2"/>
            <w:shd w:val="clear" w:color="auto" w:fill="FFFFFF" w:themeFill="background1"/>
            <w:vAlign w:val="center"/>
          </w:tcPr>
          <w:p w14:paraId="46A4F82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1498" w:type="dxa"/>
            <w:gridSpan w:val="2"/>
            <w:shd w:val="clear" w:color="auto" w:fill="FFFFFF" w:themeFill="background1"/>
            <w:vAlign w:val="center"/>
          </w:tcPr>
          <w:p w14:paraId="41CFBD2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r>
      <w:tr w:rsidR="00632E5B" w14:paraId="6805805F" w14:textId="77777777" w:rsidTr="00372641">
        <w:trPr>
          <w:trHeight w:val="240"/>
        </w:trPr>
        <w:tc>
          <w:tcPr>
            <w:tcW w:w="5249" w:type="dxa"/>
            <w:gridSpan w:val="5"/>
            <w:shd w:val="clear" w:color="auto" w:fill="FFFFFF" w:themeFill="background1"/>
            <w:vAlign w:val="center"/>
          </w:tcPr>
          <w:p w14:paraId="568082B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期末合计值占最近一期经审计净资产的比例</w:t>
            </w:r>
          </w:p>
        </w:tc>
        <w:tc>
          <w:tcPr>
            <w:tcW w:w="8363" w:type="dxa"/>
            <w:gridSpan w:val="18"/>
            <w:shd w:val="clear" w:color="auto" w:fill="FFFFFF" w:themeFill="background1"/>
            <w:vAlign w:val="center"/>
          </w:tcPr>
          <w:p w14:paraId="1B24A61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r>
      <w:tr w:rsidR="00632E5B" w14:paraId="79B3BD79" w14:textId="77777777" w:rsidTr="00372641">
        <w:trPr>
          <w:trHeight w:val="240"/>
        </w:trPr>
        <w:tc>
          <w:tcPr>
            <w:tcW w:w="5249" w:type="dxa"/>
            <w:gridSpan w:val="5"/>
            <w:shd w:val="clear" w:color="auto" w:fill="FFFFFF" w:themeFill="background1"/>
            <w:vAlign w:val="center"/>
          </w:tcPr>
          <w:p w14:paraId="361AB48C"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相关决策程序</w:t>
            </w:r>
          </w:p>
        </w:tc>
        <w:tc>
          <w:tcPr>
            <w:tcW w:w="8363" w:type="dxa"/>
            <w:gridSpan w:val="18"/>
            <w:shd w:val="clear" w:color="auto" w:fill="FFFFFF" w:themeFill="background1"/>
            <w:vAlign w:val="center"/>
          </w:tcPr>
          <w:p w14:paraId="398D384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32E5B" w14:paraId="7E8D7190" w14:textId="77777777" w:rsidTr="00372641">
        <w:trPr>
          <w:trHeight w:val="240"/>
        </w:trPr>
        <w:tc>
          <w:tcPr>
            <w:tcW w:w="5249" w:type="dxa"/>
            <w:gridSpan w:val="5"/>
            <w:shd w:val="clear" w:color="auto" w:fill="FFFFFF" w:themeFill="background1"/>
            <w:vAlign w:val="center"/>
          </w:tcPr>
          <w:p w14:paraId="7F78BD12"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当期新增控股股东及其他关联方非经营性资金占用情况的原因、责任人追究及董事会拟定采取措施的情况说明</w:t>
            </w:r>
          </w:p>
        </w:tc>
        <w:tc>
          <w:tcPr>
            <w:tcW w:w="8363" w:type="dxa"/>
            <w:gridSpan w:val="18"/>
            <w:shd w:val="clear" w:color="auto" w:fill="FFFFFF" w:themeFill="background1"/>
            <w:vAlign w:val="center"/>
          </w:tcPr>
          <w:p w14:paraId="55FA4DF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32E5B" w14:paraId="7319EADC" w14:textId="77777777" w:rsidTr="00372641">
        <w:trPr>
          <w:trHeight w:val="240"/>
        </w:trPr>
        <w:tc>
          <w:tcPr>
            <w:tcW w:w="5249" w:type="dxa"/>
            <w:gridSpan w:val="5"/>
            <w:shd w:val="clear" w:color="auto" w:fill="FFFFFF" w:themeFill="background1"/>
            <w:vAlign w:val="center"/>
          </w:tcPr>
          <w:p w14:paraId="134A9F0C"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未能按计划清偿非经营性资金占用的原因、责任追究情况及董事会拟定采取的措施说明</w:t>
            </w:r>
          </w:p>
        </w:tc>
        <w:tc>
          <w:tcPr>
            <w:tcW w:w="8363" w:type="dxa"/>
            <w:gridSpan w:val="18"/>
            <w:shd w:val="clear" w:color="auto" w:fill="FFFFFF" w:themeFill="background1"/>
            <w:vAlign w:val="center"/>
          </w:tcPr>
          <w:p w14:paraId="30C43B0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32E5B" w14:paraId="0BDE5AE8" w14:textId="77777777" w:rsidTr="00372641">
        <w:trPr>
          <w:trHeight w:val="240"/>
        </w:trPr>
        <w:tc>
          <w:tcPr>
            <w:tcW w:w="5249" w:type="dxa"/>
            <w:gridSpan w:val="5"/>
            <w:shd w:val="clear" w:color="auto" w:fill="FFFFFF" w:themeFill="background1"/>
            <w:vAlign w:val="center"/>
          </w:tcPr>
          <w:p w14:paraId="44540045"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会计师事务所对资金占用的专项审核意见</w:t>
            </w:r>
          </w:p>
        </w:tc>
        <w:tc>
          <w:tcPr>
            <w:tcW w:w="8363" w:type="dxa"/>
            <w:gridSpan w:val="18"/>
            <w:shd w:val="clear" w:color="auto" w:fill="FFFFFF" w:themeFill="background1"/>
            <w:vAlign w:val="center"/>
          </w:tcPr>
          <w:p w14:paraId="659B24C4" w14:textId="7EA37C75"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会计师将汇总表所载资料与公司有关会计资料以及已审计的财务报表相关内容进行了核对，在所有重大方面未发现不一致的情形。详情请参见2025年4月22日披露的《关于</w:t>
            </w:r>
            <w:r w:rsidR="00516549">
              <w:rPr>
                <w:rFonts w:ascii="宋体" w:eastAsia="宋体" w:hAnsi="宋体" w:cs="宋体" w:hint="eastAsia"/>
                <w:sz w:val="18"/>
                <w:szCs w:val="18"/>
              </w:rPr>
              <w:t>对</w:t>
            </w:r>
            <w:r>
              <w:rPr>
                <w:rFonts w:ascii="宋体" w:eastAsia="宋体" w:hAnsi="宋体" w:cs="宋体"/>
                <w:sz w:val="18"/>
                <w:szCs w:val="18"/>
              </w:rPr>
              <w:t>江苏中利集团股份有限公司</w:t>
            </w:r>
            <w:r w:rsidR="00516549">
              <w:rPr>
                <w:rFonts w:ascii="宋体" w:eastAsia="宋体" w:hAnsi="宋体" w:cs="宋体" w:hint="eastAsia"/>
                <w:sz w:val="18"/>
                <w:szCs w:val="18"/>
              </w:rPr>
              <w:t>2</w:t>
            </w:r>
            <w:r w:rsidR="00516549">
              <w:rPr>
                <w:rFonts w:ascii="宋体" w:eastAsia="宋体" w:hAnsi="宋体" w:cs="宋体"/>
                <w:sz w:val="18"/>
                <w:szCs w:val="18"/>
              </w:rPr>
              <w:t>024</w:t>
            </w:r>
            <w:r w:rsidR="00516549">
              <w:rPr>
                <w:rFonts w:ascii="宋体" w:eastAsia="宋体" w:hAnsi="宋体" w:cs="宋体" w:hint="eastAsia"/>
                <w:sz w:val="18"/>
                <w:szCs w:val="18"/>
              </w:rPr>
              <w:t>年度</w:t>
            </w:r>
            <w:r>
              <w:rPr>
                <w:rFonts w:ascii="宋体" w:eastAsia="宋体" w:hAnsi="宋体" w:cs="宋体"/>
                <w:sz w:val="18"/>
                <w:szCs w:val="18"/>
              </w:rPr>
              <w:t>非经营性资金占用及其他关联资金往来情况</w:t>
            </w:r>
            <w:r w:rsidR="00516549">
              <w:rPr>
                <w:rFonts w:ascii="宋体" w:eastAsia="宋体" w:hAnsi="宋体" w:cs="宋体" w:hint="eastAsia"/>
                <w:sz w:val="18"/>
                <w:szCs w:val="18"/>
              </w:rPr>
              <w:t>的</w:t>
            </w:r>
            <w:r>
              <w:rPr>
                <w:rFonts w:ascii="宋体" w:eastAsia="宋体" w:hAnsi="宋体" w:cs="宋体"/>
                <w:sz w:val="18"/>
                <w:szCs w:val="18"/>
              </w:rPr>
              <w:t>专项说明》《关于江苏中利集团股份有限公司2023年度内部控制审计报告否定意见涉及事项影响消除情况的审核报告》。</w:t>
            </w:r>
          </w:p>
        </w:tc>
      </w:tr>
      <w:tr w:rsidR="00632E5B" w14:paraId="23EC4A7B" w14:textId="77777777" w:rsidTr="00372641">
        <w:trPr>
          <w:trHeight w:val="240"/>
        </w:trPr>
        <w:tc>
          <w:tcPr>
            <w:tcW w:w="5249" w:type="dxa"/>
            <w:gridSpan w:val="5"/>
            <w:shd w:val="clear" w:color="auto" w:fill="FFFFFF" w:themeFill="background1"/>
            <w:vAlign w:val="center"/>
          </w:tcPr>
          <w:p w14:paraId="6C5238B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公司年度报告披露的控股股东及其他关联方非经营性占用金情况与专项审核意见不一致的原因</w:t>
            </w:r>
          </w:p>
        </w:tc>
        <w:tc>
          <w:tcPr>
            <w:tcW w:w="8363" w:type="dxa"/>
            <w:gridSpan w:val="18"/>
            <w:shd w:val="clear" w:color="auto" w:fill="FFFFFF" w:themeFill="background1"/>
            <w:vAlign w:val="center"/>
          </w:tcPr>
          <w:p w14:paraId="2957AF4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bl>
    <w:p w14:paraId="3AF204AF" w14:textId="77777777" w:rsidR="00632E5B" w:rsidRDefault="00107901">
      <w:pPr>
        <w:pStyle w:val="2"/>
        <w:spacing w:before="300" w:after="300" w:line="320" w:lineRule="exact"/>
        <w:rPr>
          <w:rFonts w:ascii="宋体" w:eastAsia="宋体" w:hAnsi="宋体" w:cs="宋体" w:hint="eastAsia"/>
          <w:b/>
          <w:bCs/>
          <w:sz w:val="24"/>
          <w:szCs w:val="24"/>
        </w:rPr>
      </w:pPr>
      <w:bookmarkStart w:id="98" w:name="_Toc988987"/>
      <w:r>
        <w:rPr>
          <w:rFonts w:ascii="宋体" w:eastAsia="宋体" w:hAnsi="宋体" w:cs="宋体"/>
          <w:b/>
          <w:bCs/>
          <w:sz w:val="24"/>
          <w:szCs w:val="24"/>
        </w:rPr>
        <w:lastRenderedPageBreak/>
        <w:t>三、违规对外担保情况</w:t>
      </w:r>
      <w:bookmarkEnd w:id="98"/>
    </w:p>
    <w:p w14:paraId="71AA89A9"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366FFB4D" w14:textId="77777777" w:rsidR="00632E5B" w:rsidRDefault="00107901" w:rsidP="006E19B8">
      <w:pPr>
        <w:spacing w:before="120" w:after="120" w:line="240" w:lineRule="exact"/>
        <w:ind w:right="180"/>
        <w:jc w:val="right"/>
        <w:rPr>
          <w:rFonts w:ascii="宋体" w:eastAsia="宋体" w:hAnsi="宋体" w:cs="宋体" w:hint="eastAsia"/>
          <w:sz w:val="18"/>
          <w:szCs w:val="18"/>
        </w:rPr>
      </w:pPr>
      <w:r>
        <w:rPr>
          <w:rFonts w:ascii="宋体" w:eastAsia="宋体" w:hAnsi="宋体" w:cs="宋体"/>
          <w:sz w:val="18"/>
          <w:szCs w:val="18"/>
        </w:rPr>
        <w:t>单位：万元</w:t>
      </w:r>
    </w:p>
    <w:tbl>
      <w:tblPr>
        <w:tblW w:w="137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131"/>
        <w:gridCol w:w="689"/>
        <w:gridCol w:w="1154"/>
        <w:gridCol w:w="2171"/>
        <w:gridCol w:w="1102"/>
        <w:gridCol w:w="817"/>
        <w:gridCol w:w="689"/>
        <w:gridCol w:w="688"/>
        <w:gridCol w:w="688"/>
        <w:gridCol w:w="688"/>
        <w:gridCol w:w="688"/>
        <w:gridCol w:w="688"/>
        <w:gridCol w:w="688"/>
        <w:gridCol w:w="1911"/>
      </w:tblGrid>
      <w:tr w:rsidR="00632E5B" w14:paraId="53F02DBE" w14:textId="77777777" w:rsidTr="00372641">
        <w:trPr>
          <w:trHeight w:val="240"/>
        </w:trPr>
        <w:tc>
          <w:tcPr>
            <w:tcW w:w="1131" w:type="dxa"/>
            <w:shd w:val="clear" w:color="auto" w:fill="FFFFFF" w:themeFill="background1"/>
            <w:vAlign w:val="center"/>
          </w:tcPr>
          <w:p w14:paraId="010889D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担保对象名称</w:t>
            </w:r>
          </w:p>
        </w:tc>
        <w:tc>
          <w:tcPr>
            <w:tcW w:w="689" w:type="dxa"/>
            <w:shd w:val="clear" w:color="auto" w:fill="FFFFFF" w:themeFill="background1"/>
            <w:vAlign w:val="center"/>
          </w:tcPr>
          <w:p w14:paraId="3F9C16C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与上市公司的关系</w:t>
            </w:r>
          </w:p>
        </w:tc>
        <w:tc>
          <w:tcPr>
            <w:tcW w:w="1154" w:type="dxa"/>
            <w:shd w:val="clear" w:color="auto" w:fill="FFFFFF" w:themeFill="background1"/>
            <w:vAlign w:val="center"/>
          </w:tcPr>
          <w:p w14:paraId="6221BF4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违规原因</w:t>
            </w:r>
          </w:p>
        </w:tc>
        <w:tc>
          <w:tcPr>
            <w:tcW w:w="2166" w:type="dxa"/>
            <w:shd w:val="clear" w:color="auto" w:fill="FFFFFF" w:themeFill="background1"/>
            <w:vAlign w:val="center"/>
          </w:tcPr>
          <w:p w14:paraId="43B50CC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已采取的解决措施及进展</w:t>
            </w:r>
          </w:p>
        </w:tc>
        <w:tc>
          <w:tcPr>
            <w:tcW w:w="1102" w:type="dxa"/>
            <w:shd w:val="clear" w:color="auto" w:fill="FFFFFF" w:themeFill="background1"/>
            <w:vAlign w:val="center"/>
          </w:tcPr>
          <w:p w14:paraId="13B8B27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违规担保金额</w:t>
            </w:r>
          </w:p>
        </w:tc>
        <w:tc>
          <w:tcPr>
            <w:tcW w:w="817" w:type="dxa"/>
            <w:shd w:val="clear" w:color="auto" w:fill="FFFFFF" w:themeFill="background1"/>
            <w:vAlign w:val="center"/>
          </w:tcPr>
          <w:p w14:paraId="2FA28C1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占最近一期经审计净资产的比例</w:t>
            </w:r>
          </w:p>
        </w:tc>
        <w:tc>
          <w:tcPr>
            <w:tcW w:w="689" w:type="dxa"/>
            <w:shd w:val="clear" w:color="auto" w:fill="FFFFFF" w:themeFill="background1"/>
            <w:vAlign w:val="center"/>
          </w:tcPr>
          <w:p w14:paraId="09E43B0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担保类型</w:t>
            </w:r>
          </w:p>
        </w:tc>
        <w:tc>
          <w:tcPr>
            <w:tcW w:w="688" w:type="dxa"/>
            <w:shd w:val="clear" w:color="auto" w:fill="FFFFFF" w:themeFill="background1"/>
            <w:vAlign w:val="center"/>
          </w:tcPr>
          <w:p w14:paraId="13BA112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担保期</w:t>
            </w:r>
          </w:p>
        </w:tc>
        <w:tc>
          <w:tcPr>
            <w:tcW w:w="688" w:type="dxa"/>
            <w:shd w:val="clear" w:color="auto" w:fill="FFFFFF" w:themeFill="background1"/>
            <w:vAlign w:val="center"/>
          </w:tcPr>
          <w:p w14:paraId="6430DE2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截至报告期末违规担保余额</w:t>
            </w:r>
          </w:p>
        </w:tc>
        <w:tc>
          <w:tcPr>
            <w:tcW w:w="688" w:type="dxa"/>
            <w:shd w:val="clear" w:color="auto" w:fill="FFFFFF" w:themeFill="background1"/>
            <w:vAlign w:val="center"/>
          </w:tcPr>
          <w:p w14:paraId="41C882D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占最近一期经审计净资产的比例</w:t>
            </w:r>
          </w:p>
        </w:tc>
        <w:tc>
          <w:tcPr>
            <w:tcW w:w="688" w:type="dxa"/>
            <w:shd w:val="clear" w:color="auto" w:fill="FFFFFF" w:themeFill="background1"/>
            <w:vAlign w:val="center"/>
          </w:tcPr>
          <w:p w14:paraId="444F92A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后续解决措施</w:t>
            </w:r>
          </w:p>
        </w:tc>
        <w:tc>
          <w:tcPr>
            <w:tcW w:w="688" w:type="dxa"/>
            <w:shd w:val="clear" w:color="auto" w:fill="FFFFFF" w:themeFill="background1"/>
            <w:vAlign w:val="center"/>
          </w:tcPr>
          <w:p w14:paraId="3BB9B46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预计解除金额</w:t>
            </w:r>
          </w:p>
        </w:tc>
        <w:tc>
          <w:tcPr>
            <w:tcW w:w="688" w:type="dxa"/>
            <w:shd w:val="clear" w:color="auto" w:fill="FFFFFF" w:themeFill="background1"/>
            <w:vAlign w:val="center"/>
          </w:tcPr>
          <w:p w14:paraId="5E4AEC4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预计解决时间（月份）</w:t>
            </w:r>
          </w:p>
        </w:tc>
        <w:tc>
          <w:tcPr>
            <w:tcW w:w="1911" w:type="dxa"/>
            <w:shd w:val="clear" w:color="auto" w:fill="FFFFFF" w:themeFill="background1"/>
            <w:vAlign w:val="center"/>
          </w:tcPr>
          <w:p w14:paraId="7B5701E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是否无可行的解决方案或者虽提出解决方案但预计无法在一个月内解决</w:t>
            </w:r>
          </w:p>
        </w:tc>
      </w:tr>
      <w:tr w:rsidR="00632E5B" w14:paraId="7E81FA38" w14:textId="77777777" w:rsidTr="00372641">
        <w:trPr>
          <w:trHeight w:val="240"/>
        </w:trPr>
        <w:tc>
          <w:tcPr>
            <w:tcW w:w="1131" w:type="dxa"/>
            <w:shd w:val="clear" w:color="auto" w:fill="FFFFFF" w:themeFill="background1"/>
            <w:vAlign w:val="center"/>
          </w:tcPr>
          <w:p w14:paraId="4017A89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江苏中利控股集团有限公司</w:t>
            </w:r>
          </w:p>
        </w:tc>
        <w:tc>
          <w:tcPr>
            <w:tcW w:w="689" w:type="dxa"/>
            <w:shd w:val="clear" w:color="auto" w:fill="FFFFFF" w:themeFill="background1"/>
            <w:vAlign w:val="center"/>
          </w:tcPr>
          <w:p w14:paraId="66AA94A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原控股股东关联方</w:t>
            </w:r>
          </w:p>
        </w:tc>
        <w:tc>
          <w:tcPr>
            <w:tcW w:w="1154" w:type="dxa"/>
            <w:shd w:val="clear" w:color="auto" w:fill="FFFFFF" w:themeFill="background1"/>
            <w:vAlign w:val="center"/>
          </w:tcPr>
          <w:p w14:paraId="3915733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未履行内部审批决策程序</w:t>
            </w:r>
          </w:p>
        </w:tc>
        <w:tc>
          <w:tcPr>
            <w:tcW w:w="2166" w:type="dxa"/>
            <w:shd w:val="clear" w:color="auto" w:fill="FFFFFF" w:themeFill="background1"/>
            <w:vAlign w:val="center"/>
          </w:tcPr>
          <w:p w14:paraId="06F1760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此事项实为资金占用，由重整投资人现金捐赠和重整债权人豁免债权的方式已清偿</w:t>
            </w:r>
          </w:p>
        </w:tc>
        <w:tc>
          <w:tcPr>
            <w:tcW w:w="1102" w:type="dxa"/>
            <w:shd w:val="clear" w:color="auto" w:fill="FFFFFF" w:themeFill="background1"/>
            <w:vAlign w:val="center"/>
          </w:tcPr>
          <w:p w14:paraId="784884E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11,221.27</w:t>
            </w:r>
          </w:p>
        </w:tc>
        <w:tc>
          <w:tcPr>
            <w:tcW w:w="817" w:type="dxa"/>
            <w:shd w:val="clear" w:color="auto" w:fill="FFFFFF" w:themeFill="background1"/>
            <w:vAlign w:val="center"/>
          </w:tcPr>
          <w:p w14:paraId="111EDCB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7.91%</w:t>
            </w:r>
          </w:p>
        </w:tc>
        <w:tc>
          <w:tcPr>
            <w:tcW w:w="689" w:type="dxa"/>
            <w:shd w:val="clear" w:color="auto" w:fill="FFFFFF" w:themeFill="background1"/>
            <w:vAlign w:val="center"/>
          </w:tcPr>
          <w:p w14:paraId="68065A2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让与担保</w:t>
            </w:r>
          </w:p>
        </w:tc>
        <w:tc>
          <w:tcPr>
            <w:tcW w:w="688" w:type="dxa"/>
            <w:shd w:val="clear" w:color="auto" w:fill="FFFFFF" w:themeFill="background1"/>
            <w:vAlign w:val="center"/>
          </w:tcPr>
          <w:p w14:paraId="56BE80A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未约定</w:t>
            </w:r>
          </w:p>
        </w:tc>
        <w:tc>
          <w:tcPr>
            <w:tcW w:w="688" w:type="dxa"/>
            <w:shd w:val="clear" w:color="auto" w:fill="FFFFFF" w:themeFill="background1"/>
            <w:vAlign w:val="center"/>
          </w:tcPr>
          <w:p w14:paraId="655AA71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8" w:type="dxa"/>
            <w:shd w:val="clear" w:color="auto" w:fill="FFFFFF" w:themeFill="background1"/>
            <w:vAlign w:val="center"/>
          </w:tcPr>
          <w:p w14:paraId="61C8F31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688" w:type="dxa"/>
            <w:shd w:val="clear" w:color="auto" w:fill="FFFFFF" w:themeFill="background1"/>
            <w:vAlign w:val="center"/>
          </w:tcPr>
          <w:p w14:paraId="7521F1F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已解决</w:t>
            </w:r>
          </w:p>
        </w:tc>
        <w:tc>
          <w:tcPr>
            <w:tcW w:w="688" w:type="dxa"/>
            <w:shd w:val="clear" w:color="auto" w:fill="FFFFFF" w:themeFill="background1"/>
            <w:vAlign w:val="center"/>
          </w:tcPr>
          <w:p w14:paraId="324BCD25" w14:textId="77777777" w:rsidR="00632E5B" w:rsidRDefault="00632E5B">
            <w:pPr>
              <w:spacing w:line="240" w:lineRule="exact"/>
              <w:jc w:val="right"/>
              <w:rPr>
                <w:rFonts w:ascii="宋体" w:eastAsia="宋体" w:hAnsi="宋体" w:cs="宋体" w:hint="eastAsia"/>
                <w:sz w:val="18"/>
                <w:szCs w:val="18"/>
              </w:rPr>
            </w:pPr>
          </w:p>
        </w:tc>
        <w:tc>
          <w:tcPr>
            <w:tcW w:w="688" w:type="dxa"/>
            <w:shd w:val="clear" w:color="auto" w:fill="FFFFFF" w:themeFill="background1"/>
            <w:vAlign w:val="center"/>
          </w:tcPr>
          <w:p w14:paraId="2109E49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已解决</w:t>
            </w:r>
          </w:p>
        </w:tc>
        <w:tc>
          <w:tcPr>
            <w:tcW w:w="1911" w:type="dxa"/>
            <w:shd w:val="clear" w:color="auto" w:fill="FFFFFF" w:themeFill="background1"/>
            <w:vAlign w:val="center"/>
          </w:tcPr>
          <w:p w14:paraId="1392B6F8" w14:textId="77777777" w:rsidR="00632E5B" w:rsidRDefault="00632E5B">
            <w:pPr>
              <w:spacing w:line="240" w:lineRule="exact"/>
              <w:rPr>
                <w:rFonts w:ascii="宋体" w:eastAsia="宋体" w:hAnsi="宋体" w:cs="宋体" w:hint="eastAsia"/>
                <w:sz w:val="18"/>
                <w:szCs w:val="18"/>
              </w:rPr>
            </w:pPr>
          </w:p>
        </w:tc>
      </w:tr>
      <w:tr w:rsidR="00632E5B" w14:paraId="33A756E9" w14:textId="77777777" w:rsidTr="00372641">
        <w:trPr>
          <w:trHeight w:val="240"/>
        </w:trPr>
        <w:tc>
          <w:tcPr>
            <w:tcW w:w="1131" w:type="dxa"/>
            <w:shd w:val="clear" w:color="auto" w:fill="FFFFFF" w:themeFill="background1"/>
            <w:vAlign w:val="center"/>
          </w:tcPr>
          <w:p w14:paraId="5B69240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江苏P公司</w:t>
            </w:r>
          </w:p>
        </w:tc>
        <w:tc>
          <w:tcPr>
            <w:tcW w:w="689" w:type="dxa"/>
            <w:shd w:val="clear" w:color="auto" w:fill="FFFFFF" w:themeFill="background1"/>
            <w:vAlign w:val="center"/>
          </w:tcPr>
          <w:p w14:paraId="6B986A7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非关联方</w:t>
            </w:r>
          </w:p>
        </w:tc>
        <w:tc>
          <w:tcPr>
            <w:tcW w:w="1154" w:type="dxa"/>
            <w:shd w:val="clear" w:color="auto" w:fill="FFFFFF" w:themeFill="background1"/>
            <w:vAlign w:val="center"/>
          </w:tcPr>
          <w:p w14:paraId="513991C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未履行内部审批决策程序</w:t>
            </w:r>
          </w:p>
        </w:tc>
        <w:tc>
          <w:tcPr>
            <w:tcW w:w="2166" w:type="dxa"/>
            <w:shd w:val="clear" w:color="auto" w:fill="FFFFFF" w:themeFill="background1"/>
            <w:vAlign w:val="center"/>
          </w:tcPr>
          <w:p w14:paraId="289B4A6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由常熟光晟按重整协议兜底方式获得妥善解决</w:t>
            </w:r>
          </w:p>
        </w:tc>
        <w:tc>
          <w:tcPr>
            <w:tcW w:w="1102" w:type="dxa"/>
            <w:shd w:val="clear" w:color="auto" w:fill="FFFFFF" w:themeFill="background1"/>
            <w:vAlign w:val="center"/>
          </w:tcPr>
          <w:p w14:paraId="68821E9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19,999</w:t>
            </w:r>
          </w:p>
        </w:tc>
        <w:tc>
          <w:tcPr>
            <w:tcW w:w="817" w:type="dxa"/>
            <w:shd w:val="clear" w:color="auto" w:fill="FFFFFF" w:themeFill="background1"/>
            <w:vAlign w:val="center"/>
          </w:tcPr>
          <w:p w14:paraId="62DC8A8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14.11%</w:t>
            </w:r>
          </w:p>
        </w:tc>
        <w:tc>
          <w:tcPr>
            <w:tcW w:w="689" w:type="dxa"/>
            <w:shd w:val="clear" w:color="auto" w:fill="FFFFFF" w:themeFill="background1"/>
            <w:vAlign w:val="center"/>
          </w:tcPr>
          <w:p w14:paraId="41BA562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连带责任担保</w:t>
            </w:r>
          </w:p>
        </w:tc>
        <w:tc>
          <w:tcPr>
            <w:tcW w:w="688" w:type="dxa"/>
            <w:shd w:val="clear" w:color="auto" w:fill="FFFFFF" w:themeFill="background1"/>
            <w:vAlign w:val="center"/>
          </w:tcPr>
          <w:p w14:paraId="2488B1A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未约定</w:t>
            </w:r>
          </w:p>
        </w:tc>
        <w:tc>
          <w:tcPr>
            <w:tcW w:w="688" w:type="dxa"/>
            <w:shd w:val="clear" w:color="auto" w:fill="FFFFFF" w:themeFill="background1"/>
            <w:vAlign w:val="center"/>
          </w:tcPr>
          <w:p w14:paraId="2B13003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8" w:type="dxa"/>
            <w:shd w:val="clear" w:color="auto" w:fill="FFFFFF" w:themeFill="background1"/>
            <w:vAlign w:val="center"/>
          </w:tcPr>
          <w:p w14:paraId="12FC4DE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688" w:type="dxa"/>
            <w:shd w:val="clear" w:color="auto" w:fill="FFFFFF" w:themeFill="background1"/>
            <w:vAlign w:val="center"/>
          </w:tcPr>
          <w:p w14:paraId="7446079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已解决</w:t>
            </w:r>
          </w:p>
        </w:tc>
        <w:tc>
          <w:tcPr>
            <w:tcW w:w="688" w:type="dxa"/>
            <w:shd w:val="clear" w:color="auto" w:fill="FFFFFF" w:themeFill="background1"/>
            <w:vAlign w:val="center"/>
          </w:tcPr>
          <w:p w14:paraId="3D9DEFD1" w14:textId="77777777" w:rsidR="00632E5B" w:rsidRDefault="00632E5B">
            <w:pPr>
              <w:spacing w:line="240" w:lineRule="exact"/>
              <w:jc w:val="right"/>
              <w:rPr>
                <w:rFonts w:ascii="宋体" w:eastAsia="宋体" w:hAnsi="宋体" w:cs="宋体" w:hint="eastAsia"/>
                <w:sz w:val="18"/>
                <w:szCs w:val="18"/>
              </w:rPr>
            </w:pPr>
          </w:p>
        </w:tc>
        <w:tc>
          <w:tcPr>
            <w:tcW w:w="688" w:type="dxa"/>
            <w:shd w:val="clear" w:color="auto" w:fill="FFFFFF" w:themeFill="background1"/>
            <w:vAlign w:val="center"/>
          </w:tcPr>
          <w:p w14:paraId="6F05F52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已解决</w:t>
            </w:r>
          </w:p>
        </w:tc>
        <w:tc>
          <w:tcPr>
            <w:tcW w:w="1911" w:type="dxa"/>
            <w:shd w:val="clear" w:color="auto" w:fill="FFFFFF" w:themeFill="background1"/>
            <w:vAlign w:val="center"/>
          </w:tcPr>
          <w:p w14:paraId="529B876E" w14:textId="77777777" w:rsidR="00632E5B" w:rsidRDefault="00632E5B">
            <w:pPr>
              <w:spacing w:line="240" w:lineRule="exact"/>
              <w:rPr>
                <w:rFonts w:ascii="宋体" w:eastAsia="宋体" w:hAnsi="宋体" w:cs="宋体" w:hint="eastAsia"/>
                <w:sz w:val="18"/>
                <w:szCs w:val="18"/>
              </w:rPr>
            </w:pPr>
          </w:p>
        </w:tc>
      </w:tr>
      <w:tr w:rsidR="00632E5B" w14:paraId="29665DBF" w14:textId="77777777" w:rsidTr="00372641">
        <w:trPr>
          <w:trHeight w:val="240"/>
        </w:trPr>
        <w:tc>
          <w:tcPr>
            <w:tcW w:w="1131" w:type="dxa"/>
            <w:shd w:val="clear" w:color="auto" w:fill="FFFFFF" w:themeFill="background1"/>
            <w:vAlign w:val="center"/>
          </w:tcPr>
          <w:p w14:paraId="35BDFB3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宿迁中利产业投资发展集团有限公司</w:t>
            </w:r>
          </w:p>
        </w:tc>
        <w:tc>
          <w:tcPr>
            <w:tcW w:w="689" w:type="dxa"/>
            <w:shd w:val="clear" w:color="auto" w:fill="FFFFFF" w:themeFill="background1"/>
            <w:vAlign w:val="center"/>
          </w:tcPr>
          <w:p w14:paraId="545B4D4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原控股股东关联方</w:t>
            </w:r>
          </w:p>
        </w:tc>
        <w:tc>
          <w:tcPr>
            <w:tcW w:w="1154" w:type="dxa"/>
            <w:shd w:val="clear" w:color="auto" w:fill="FFFFFF" w:themeFill="background1"/>
            <w:vAlign w:val="center"/>
          </w:tcPr>
          <w:p w14:paraId="4DAFECD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未履行内部审批决策程序</w:t>
            </w:r>
          </w:p>
        </w:tc>
        <w:tc>
          <w:tcPr>
            <w:tcW w:w="2166" w:type="dxa"/>
            <w:shd w:val="clear" w:color="auto" w:fill="FFFFFF" w:themeFill="background1"/>
            <w:vAlign w:val="center"/>
          </w:tcPr>
          <w:p w14:paraId="711DC45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由常熟光晟按重整协议兜底方式获得妥善解决</w:t>
            </w:r>
          </w:p>
        </w:tc>
        <w:tc>
          <w:tcPr>
            <w:tcW w:w="1102" w:type="dxa"/>
            <w:shd w:val="clear" w:color="auto" w:fill="FFFFFF" w:themeFill="background1"/>
            <w:vAlign w:val="center"/>
          </w:tcPr>
          <w:p w14:paraId="1E029F2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27,000</w:t>
            </w:r>
          </w:p>
        </w:tc>
        <w:tc>
          <w:tcPr>
            <w:tcW w:w="817" w:type="dxa"/>
            <w:shd w:val="clear" w:color="auto" w:fill="FFFFFF" w:themeFill="background1"/>
            <w:vAlign w:val="center"/>
          </w:tcPr>
          <w:p w14:paraId="659FF80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19.04%</w:t>
            </w:r>
          </w:p>
        </w:tc>
        <w:tc>
          <w:tcPr>
            <w:tcW w:w="689" w:type="dxa"/>
            <w:shd w:val="clear" w:color="auto" w:fill="FFFFFF" w:themeFill="background1"/>
            <w:vAlign w:val="center"/>
          </w:tcPr>
          <w:p w14:paraId="44FAF71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连带责任担保</w:t>
            </w:r>
          </w:p>
        </w:tc>
        <w:tc>
          <w:tcPr>
            <w:tcW w:w="688" w:type="dxa"/>
            <w:shd w:val="clear" w:color="auto" w:fill="FFFFFF" w:themeFill="background1"/>
            <w:vAlign w:val="center"/>
          </w:tcPr>
          <w:p w14:paraId="6AE6F3D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未约定</w:t>
            </w:r>
          </w:p>
        </w:tc>
        <w:tc>
          <w:tcPr>
            <w:tcW w:w="688" w:type="dxa"/>
            <w:shd w:val="clear" w:color="auto" w:fill="FFFFFF" w:themeFill="background1"/>
            <w:vAlign w:val="center"/>
          </w:tcPr>
          <w:p w14:paraId="3924826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8" w:type="dxa"/>
            <w:shd w:val="clear" w:color="auto" w:fill="FFFFFF" w:themeFill="background1"/>
            <w:vAlign w:val="center"/>
          </w:tcPr>
          <w:p w14:paraId="48AC5FD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688" w:type="dxa"/>
            <w:shd w:val="clear" w:color="auto" w:fill="FFFFFF" w:themeFill="background1"/>
            <w:vAlign w:val="center"/>
          </w:tcPr>
          <w:p w14:paraId="17E5CFE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已解决</w:t>
            </w:r>
          </w:p>
        </w:tc>
        <w:tc>
          <w:tcPr>
            <w:tcW w:w="688" w:type="dxa"/>
            <w:shd w:val="clear" w:color="auto" w:fill="FFFFFF" w:themeFill="background1"/>
            <w:vAlign w:val="center"/>
          </w:tcPr>
          <w:p w14:paraId="666613CE" w14:textId="77777777" w:rsidR="00632E5B" w:rsidRDefault="00632E5B">
            <w:pPr>
              <w:spacing w:line="240" w:lineRule="exact"/>
              <w:jc w:val="right"/>
              <w:rPr>
                <w:rFonts w:ascii="宋体" w:eastAsia="宋体" w:hAnsi="宋体" w:cs="宋体" w:hint="eastAsia"/>
                <w:sz w:val="18"/>
                <w:szCs w:val="18"/>
              </w:rPr>
            </w:pPr>
          </w:p>
        </w:tc>
        <w:tc>
          <w:tcPr>
            <w:tcW w:w="688" w:type="dxa"/>
            <w:shd w:val="clear" w:color="auto" w:fill="FFFFFF" w:themeFill="background1"/>
            <w:vAlign w:val="center"/>
          </w:tcPr>
          <w:p w14:paraId="7512B0D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已解决</w:t>
            </w:r>
          </w:p>
        </w:tc>
        <w:tc>
          <w:tcPr>
            <w:tcW w:w="1911" w:type="dxa"/>
            <w:shd w:val="clear" w:color="auto" w:fill="FFFFFF" w:themeFill="background1"/>
            <w:vAlign w:val="center"/>
          </w:tcPr>
          <w:p w14:paraId="6916C3E7" w14:textId="77777777" w:rsidR="00632E5B" w:rsidRDefault="00632E5B">
            <w:pPr>
              <w:spacing w:line="240" w:lineRule="exact"/>
              <w:rPr>
                <w:rFonts w:ascii="宋体" w:eastAsia="宋体" w:hAnsi="宋体" w:cs="宋体" w:hint="eastAsia"/>
                <w:sz w:val="18"/>
                <w:szCs w:val="18"/>
              </w:rPr>
            </w:pPr>
          </w:p>
        </w:tc>
      </w:tr>
      <w:tr w:rsidR="00632E5B" w14:paraId="56B41D42" w14:textId="77777777" w:rsidTr="00372641">
        <w:trPr>
          <w:trHeight w:val="240"/>
        </w:trPr>
        <w:tc>
          <w:tcPr>
            <w:tcW w:w="5145" w:type="dxa"/>
            <w:gridSpan w:val="4"/>
            <w:shd w:val="clear" w:color="auto" w:fill="FFFFFF" w:themeFill="background1"/>
            <w:vAlign w:val="center"/>
          </w:tcPr>
          <w:p w14:paraId="5727204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102" w:type="dxa"/>
            <w:shd w:val="clear" w:color="auto" w:fill="FFFFFF" w:themeFill="background1"/>
            <w:vAlign w:val="center"/>
          </w:tcPr>
          <w:p w14:paraId="130E575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58,220.27</w:t>
            </w:r>
          </w:p>
        </w:tc>
        <w:tc>
          <w:tcPr>
            <w:tcW w:w="817" w:type="dxa"/>
            <w:shd w:val="clear" w:color="auto" w:fill="FFFFFF" w:themeFill="background1"/>
            <w:vAlign w:val="center"/>
          </w:tcPr>
          <w:p w14:paraId="2838FDF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41.06%</w:t>
            </w:r>
          </w:p>
        </w:tc>
        <w:tc>
          <w:tcPr>
            <w:tcW w:w="689" w:type="dxa"/>
            <w:shd w:val="clear" w:color="auto" w:fill="FFFFFF" w:themeFill="background1"/>
            <w:vAlign w:val="center"/>
          </w:tcPr>
          <w:p w14:paraId="2D72EAE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688" w:type="dxa"/>
            <w:shd w:val="clear" w:color="auto" w:fill="FFFFFF" w:themeFill="background1"/>
            <w:vAlign w:val="center"/>
          </w:tcPr>
          <w:p w14:paraId="2CA99BE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688" w:type="dxa"/>
            <w:shd w:val="clear" w:color="auto" w:fill="FFFFFF" w:themeFill="background1"/>
            <w:vAlign w:val="center"/>
          </w:tcPr>
          <w:p w14:paraId="01CE781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688" w:type="dxa"/>
            <w:shd w:val="clear" w:color="auto" w:fill="FFFFFF" w:themeFill="background1"/>
            <w:vAlign w:val="center"/>
          </w:tcPr>
          <w:p w14:paraId="68E199F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688" w:type="dxa"/>
            <w:shd w:val="clear" w:color="auto" w:fill="FFFFFF" w:themeFill="background1"/>
            <w:vAlign w:val="center"/>
          </w:tcPr>
          <w:p w14:paraId="31DB840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688" w:type="dxa"/>
            <w:shd w:val="clear" w:color="auto" w:fill="FFFFFF" w:themeFill="background1"/>
            <w:vAlign w:val="center"/>
          </w:tcPr>
          <w:p w14:paraId="4D63CF7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688" w:type="dxa"/>
            <w:shd w:val="clear" w:color="auto" w:fill="FFFFFF" w:themeFill="background1"/>
            <w:vAlign w:val="center"/>
          </w:tcPr>
          <w:p w14:paraId="091BBFF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1911" w:type="dxa"/>
            <w:shd w:val="clear" w:color="auto" w:fill="FFFFFF" w:themeFill="background1"/>
            <w:vAlign w:val="center"/>
          </w:tcPr>
          <w:p w14:paraId="089EFF4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r>
    </w:tbl>
    <w:p w14:paraId="73C75AF8" w14:textId="77777777" w:rsidR="006E19B8" w:rsidRDefault="006E19B8">
      <w:pPr>
        <w:pStyle w:val="2"/>
        <w:spacing w:before="300" w:after="300" w:line="320" w:lineRule="exact"/>
        <w:rPr>
          <w:rFonts w:ascii="宋体" w:eastAsia="宋体" w:hAnsi="宋体" w:cs="宋体" w:hint="eastAsia"/>
          <w:b/>
          <w:bCs/>
          <w:sz w:val="24"/>
          <w:szCs w:val="24"/>
        </w:rPr>
        <w:sectPr w:rsidR="006E19B8" w:rsidSect="00E90C20">
          <w:pgSz w:w="16840" w:h="11905" w:orient="landscape"/>
          <w:pgMar w:top="1134" w:right="1440" w:bottom="1134" w:left="1440" w:header="851" w:footer="992" w:gutter="0"/>
          <w:cols w:space="720"/>
          <w:docGrid w:type="lines" w:linePitch="312"/>
        </w:sectPr>
      </w:pPr>
      <w:bookmarkStart w:id="99" w:name="_Toc988988"/>
    </w:p>
    <w:p w14:paraId="56D35E58" w14:textId="7AB45900" w:rsidR="00632E5B" w:rsidRDefault="00107901">
      <w:pPr>
        <w:pStyle w:val="2"/>
        <w:spacing w:before="300" w:after="300" w:line="320" w:lineRule="exact"/>
        <w:rPr>
          <w:rFonts w:ascii="宋体" w:eastAsia="宋体" w:hAnsi="宋体" w:cs="宋体" w:hint="eastAsia"/>
          <w:b/>
          <w:bCs/>
          <w:sz w:val="24"/>
          <w:szCs w:val="24"/>
        </w:rPr>
      </w:pPr>
      <w:r>
        <w:rPr>
          <w:rFonts w:ascii="宋体" w:eastAsia="宋体" w:hAnsi="宋体" w:cs="宋体"/>
          <w:b/>
          <w:bCs/>
          <w:sz w:val="24"/>
          <w:szCs w:val="24"/>
        </w:rPr>
        <w:lastRenderedPageBreak/>
        <w:t>四、董事会对最近一期“非标准审计报告”相关情况的说明</w:t>
      </w:r>
      <w:bookmarkEnd w:id="99"/>
    </w:p>
    <w:p w14:paraId="05D728FE"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2A4C55A4" w14:textId="77777777" w:rsidR="00E72F0C" w:rsidRDefault="00107901">
      <w:pPr>
        <w:pStyle w:val="a3"/>
        <w:spacing w:before="0" w:beforeAutospacing="0" w:after="0" w:afterAutospacing="0" w:line="360" w:lineRule="auto"/>
        <w:ind w:firstLine="480"/>
        <w:jc w:val="both"/>
        <w:divId w:val="509181356"/>
        <w:rPr>
          <w:rFonts w:ascii="Times New Roman" w:hAnsi="Times New Roman" w:cs="Times New Roman"/>
          <w:sz w:val="21"/>
          <w:szCs w:val="21"/>
        </w:rPr>
      </w:pPr>
      <w:r>
        <w:rPr>
          <w:rFonts w:cs="Times New Roman" w:hint="eastAsia"/>
          <w:sz w:val="21"/>
          <w:szCs w:val="21"/>
        </w:rPr>
        <w:t>公司聘请的苏亚金诚会计师事务所（特殊普通合伙）对公司2023年度财务报表进行了审计，并出具了带持续经营相关的重大不确定性与强调事项段的无保留意见审计报告。截至目前，公司已采取有效措施消除了上述风险因素，董事会就2023年度非标意见审计报告涉及事项已消除的情况说明如下：</w:t>
      </w:r>
    </w:p>
    <w:p w14:paraId="4D7E455A" w14:textId="77777777" w:rsidR="00E72F0C" w:rsidRDefault="00107901">
      <w:pPr>
        <w:pStyle w:val="a3"/>
        <w:spacing w:before="0" w:beforeAutospacing="0" w:after="0" w:afterAutospacing="0" w:line="360" w:lineRule="auto"/>
        <w:ind w:firstLine="480"/>
        <w:jc w:val="both"/>
        <w:divId w:val="509181356"/>
        <w:rPr>
          <w:rFonts w:ascii="Times New Roman" w:hAnsi="Times New Roman" w:cs="Times New Roman"/>
          <w:sz w:val="21"/>
          <w:szCs w:val="21"/>
        </w:rPr>
      </w:pPr>
      <w:r>
        <w:rPr>
          <w:rFonts w:cs="Times New Roman" w:hint="eastAsia"/>
          <w:color w:val="000000"/>
          <w:sz w:val="21"/>
          <w:szCs w:val="21"/>
        </w:rPr>
        <w:t>（一）与持续经营相关的重大不确定性</w:t>
      </w:r>
    </w:p>
    <w:p w14:paraId="00376032" w14:textId="77777777" w:rsidR="008B2236" w:rsidRPr="008B2236" w:rsidRDefault="008B2236" w:rsidP="008B2236">
      <w:pPr>
        <w:spacing w:line="360" w:lineRule="auto"/>
        <w:ind w:firstLineChars="200" w:firstLine="420"/>
        <w:divId w:val="509181356"/>
        <w:rPr>
          <w:rFonts w:ascii="宋体" w:hAnsi="宋体" w:hint="eastAsia"/>
        </w:rPr>
      </w:pPr>
      <w:r w:rsidRPr="008B2236">
        <w:rPr>
          <w:rFonts w:ascii="宋体" w:hAnsi="宋体" w:hint="eastAsia"/>
        </w:rPr>
        <w:t>2</w:t>
      </w:r>
      <w:r w:rsidRPr="008B2236">
        <w:rPr>
          <w:rFonts w:ascii="宋体" w:hAnsi="宋体"/>
        </w:rPr>
        <w:t>024</w:t>
      </w:r>
      <w:r w:rsidRPr="008B2236">
        <w:rPr>
          <w:rFonts w:ascii="宋体" w:hAnsi="宋体" w:hint="eastAsia"/>
        </w:rPr>
        <w:t>年1</w:t>
      </w:r>
      <w:r w:rsidRPr="008B2236">
        <w:rPr>
          <w:rFonts w:ascii="宋体" w:hAnsi="宋体"/>
        </w:rPr>
        <w:t>2</w:t>
      </w:r>
      <w:r w:rsidRPr="008B2236">
        <w:rPr>
          <w:rFonts w:ascii="宋体" w:hAnsi="宋体" w:hint="eastAsia"/>
        </w:rPr>
        <w:t>月27日，公司收到苏州中院送达的（2024）苏05破50号之四《民事裁定书》，苏州中院裁定公司重整计划执行完毕，终结公司重整程序。公司通过执行重整计划，引入重整投资人，已实现债务化解和历史遗留问题的解决，优化了公司资产负债结构，公司净资产由负转正，从根本上重建公司经营信用，改变经营困局，恢复经营秩序和经营能力，实现轻装上阵。本次重整成功后，公司与产业投资人将立足良好合作基础，充分利用深度协同优势，</w:t>
      </w:r>
      <w:r w:rsidRPr="008B2236">
        <w:rPr>
          <w:rFonts w:asciiTheme="minorEastAsia" w:hAnsiTheme="minorEastAsia" w:cs="仿宋_GB2312" w:hint="eastAsia"/>
          <w:kern w:val="0"/>
        </w:rPr>
        <w:t>聚焦线缆、光伏双主业共同发展。</w:t>
      </w:r>
      <w:r w:rsidRPr="008B2236">
        <w:rPr>
          <w:rFonts w:ascii="宋体" w:hAnsi="宋体" w:hint="eastAsia"/>
        </w:rPr>
        <w:t>公司未来经营发展规划如下：</w:t>
      </w:r>
    </w:p>
    <w:p w14:paraId="6772111D" w14:textId="77777777" w:rsidR="008B2236" w:rsidRPr="008B2236" w:rsidRDefault="008B2236" w:rsidP="008B2236">
      <w:pPr>
        <w:spacing w:line="360" w:lineRule="auto"/>
        <w:ind w:firstLineChars="200" w:firstLine="420"/>
        <w:divId w:val="509181356"/>
        <w:rPr>
          <w:rFonts w:ascii="宋体" w:hAnsi="宋体" w:hint="eastAsia"/>
        </w:rPr>
      </w:pPr>
      <w:r>
        <w:rPr>
          <w:rFonts w:ascii="宋体" w:hAnsi="宋体" w:hint="eastAsia"/>
        </w:rPr>
        <w:t>1.</w:t>
      </w:r>
      <w:r w:rsidRPr="008B2236">
        <w:rPr>
          <w:rFonts w:ascii="宋体" w:hAnsi="宋体" w:hint="eastAsia"/>
        </w:rPr>
        <w:t>线缆业务</w:t>
      </w:r>
    </w:p>
    <w:p w14:paraId="1E077329" w14:textId="77777777" w:rsidR="008B2236" w:rsidRPr="008B2236" w:rsidRDefault="008B2236" w:rsidP="008B2236">
      <w:pPr>
        <w:spacing w:line="360" w:lineRule="auto"/>
        <w:ind w:firstLineChars="200" w:firstLine="420"/>
        <w:divId w:val="509181356"/>
        <w:rPr>
          <w:rFonts w:asciiTheme="minorEastAsia" w:hAnsiTheme="minorEastAsia" w:cs="仿宋_GB2312" w:hint="eastAsia"/>
          <w:kern w:val="0"/>
        </w:rPr>
      </w:pPr>
      <w:r w:rsidRPr="008B2236">
        <w:rPr>
          <w:rFonts w:ascii="宋体" w:hAnsi="宋体" w:cs="仿宋_GB2312" w:hint="eastAsia"/>
          <w:kern w:val="0"/>
        </w:rPr>
        <w:t>（1）</w:t>
      </w:r>
      <w:r w:rsidRPr="008B2236">
        <w:rPr>
          <w:rFonts w:asciiTheme="minorEastAsia" w:hAnsiTheme="minorEastAsia" w:cs="仿宋_GB2312" w:hint="eastAsia"/>
          <w:kern w:val="0"/>
        </w:rPr>
        <w:t>融入国内国际双循环。强化国内市场拓展，加强与现有国内优质客户的业务联系，同时发挥与控股股东的业务协同优势，开发新客户群体，恢复并扩大市场份额；加快海外业务布局，组建国际化人才团队，推进线缆品牌国际化。</w:t>
      </w:r>
    </w:p>
    <w:p w14:paraId="1ED9A3CB" w14:textId="77777777" w:rsidR="008B2236" w:rsidRPr="008B2236" w:rsidRDefault="008B2236" w:rsidP="008B2236">
      <w:pPr>
        <w:spacing w:line="360" w:lineRule="auto"/>
        <w:ind w:firstLineChars="200" w:firstLine="420"/>
        <w:divId w:val="509181356"/>
        <w:rPr>
          <w:rFonts w:asciiTheme="minorEastAsia" w:hAnsiTheme="minorEastAsia" w:cs="仿宋_GB2312" w:hint="eastAsia"/>
          <w:kern w:val="0"/>
        </w:rPr>
      </w:pPr>
      <w:r w:rsidRPr="008B2236">
        <w:rPr>
          <w:rFonts w:ascii="宋体" w:hAnsi="宋体" w:cs="仿宋_GB2312" w:hint="eastAsia"/>
          <w:kern w:val="0"/>
        </w:rPr>
        <w:t>（</w:t>
      </w:r>
      <w:r w:rsidRPr="008B2236">
        <w:rPr>
          <w:rFonts w:ascii="宋体" w:hAnsi="宋体" w:cs="仿宋_GB2312"/>
          <w:kern w:val="0"/>
        </w:rPr>
        <w:t>2</w:t>
      </w:r>
      <w:r w:rsidRPr="008B2236">
        <w:rPr>
          <w:rFonts w:ascii="宋体" w:hAnsi="宋体" w:cs="仿宋_GB2312" w:hint="eastAsia"/>
          <w:kern w:val="0"/>
        </w:rPr>
        <w:t>）</w:t>
      </w:r>
      <w:r w:rsidRPr="008B2236">
        <w:rPr>
          <w:rFonts w:asciiTheme="minorEastAsia" w:hAnsiTheme="minorEastAsia" w:cs="仿宋_GB2312" w:hint="eastAsia"/>
          <w:kern w:val="0"/>
        </w:rPr>
        <w:t>提升风控管理，强化合规经营</w:t>
      </w:r>
      <w:r w:rsidRPr="008B2236">
        <w:rPr>
          <w:rFonts w:asciiTheme="minorEastAsia" w:hAnsiTheme="minorEastAsia" w:cs="仿宋_GB2312"/>
          <w:kern w:val="0"/>
        </w:rPr>
        <w:t>。</w:t>
      </w:r>
      <w:r w:rsidRPr="008B2236">
        <w:rPr>
          <w:rFonts w:asciiTheme="minorEastAsia" w:hAnsiTheme="minorEastAsia" w:cs="仿宋_GB2312" w:hint="eastAsia"/>
          <w:kern w:val="0"/>
        </w:rPr>
        <w:t>通过科技赋能整合线缆板块产能，实现对各个生产基地的采、产、销全流程的风险识别，有效防范和降低</w:t>
      </w:r>
      <w:r w:rsidRPr="008B2236">
        <w:rPr>
          <w:rFonts w:asciiTheme="minorEastAsia" w:hAnsiTheme="minorEastAsia" w:cs="仿宋_GB2312"/>
          <w:kern w:val="0"/>
        </w:rPr>
        <w:t>业务风险</w:t>
      </w:r>
      <w:r w:rsidRPr="008B2236">
        <w:rPr>
          <w:rFonts w:asciiTheme="minorEastAsia" w:hAnsiTheme="minorEastAsia" w:cs="仿宋_GB2312" w:hint="eastAsia"/>
          <w:kern w:val="0"/>
        </w:rPr>
        <w:t xml:space="preserve">；强化合规经营意识，加强采购成本、相关费用的管控力度，努力降低生产成本，提高经营效益。  </w:t>
      </w:r>
    </w:p>
    <w:p w14:paraId="1E6D698E" w14:textId="77777777" w:rsidR="008B2236" w:rsidRPr="008B2236" w:rsidRDefault="008B2236" w:rsidP="008B2236">
      <w:pPr>
        <w:spacing w:line="360" w:lineRule="auto"/>
        <w:ind w:firstLineChars="200" w:firstLine="420"/>
        <w:divId w:val="509181356"/>
        <w:rPr>
          <w:rFonts w:asciiTheme="minorEastAsia" w:hAnsiTheme="minorEastAsia" w:cs="仿宋_GB2312" w:hint="eastAsia"/>
          <w:kern w:val="0"/>
        </w:rPr>
      </w:pPr>
      <w:r w:rsidRPr="008B2236">
        <w:rPr>
          <w:rFonts w:ascii="宋体" w:hAnsi="宋体" w:cs="仿宋_GB2312" w:hint="eastAsia"/>
          <w:kern w:val="0"/>
        </w:rPr>
        <w:t>（</w:t>
      </w:r>
      <w:r w:rsidRPr="008B2236">
        <w:rPr>
          <w:rFonts w:ascii="宋体" w:hAnsi="宋体" w:cs="仿宋_GB2312"/>
          <w:kern w:val="0"/>
        </w:rPr>
        <w:t>3</w:t>
      </w:r>
      <w:r w:rsidRPr="008B2236">
        <w:rPr>
          <w:rFonts w:ascii="宋体" w:hAnsi="宋体" w:cs="仿宋_GB2312" w:hint="eastAsia"/>
          <w:kern w:val="0"/>
        </w:rPr>
        <w:t>）</w:t>
      </w:r>
      <w:r w:rsidRPr="008B2236">
        <w:rPr>
          <w:rFonts w:asciiTheme="minorEastAsia" w:hAnsiTheme="minorEastAsia" w:cs="仿宋_GB2312" w:hint="eastAsia"/>
          <w:kern w:val="0"/>
        </w:rPr>
        <w:t>加强金融赋能，做好套期保值。建立金融工具管理制度，加强对金融工具的理解与运用，合理使用金融工具对冲原材料、产成品的价格波动风险，做好套期保值工作，稳定盈利水平。</w:t>
      </w:r>
    </w:p>
    <w:p w14:paraId="66773903" w14:textId="77777777" w:rsidR="008B2236" w:rsidRPr="008B2236" w:rsidRDefault="008B2236" w:rsidP="008B2236">
      <w:pPr>
        <w:spacing w:line="360" w:lineRule="auto"/>
        <w:ind w:firstLineChars="200" w:firstLine="420"/>
        <w:divId w:val="509181356"/>
        <w:rPr>
          <w:rFonts w:ascii="宋体" w:hAnsi="宋体" w:hint="eastAsia"/>
        </w:rPr>
      </w:pPr>
      <w:r>
        <w:rPr>
          <w:rFonts w:ascii="宋体" w:hAnsi="宋体" w:hint="eastAsia"/>
        </w:rPr>
        <w:t>2.</w:t>
      </w:r>
      <w:r w:rsidRPr="008B2236">
        <w:rPr>
          <w:rFonts w:ascii="宋体" w:hAnsi="宋体" w:hint="eastAsia"/>
        </w:rPr>
        <w:t>光伏业务</w:t>
      </w:r>
    </w:p>
    <w:p w14:paraId="06D30C6C" w14:textId="77777777" w:rsidR="008B2236" w:rsidRPr="008B2236" w:rsidRDefault="008B2236" w:rsidP="008B2236">
      <w:pPr>
        <w:spacing w:line="360" w:lineRule="auto"/>
        <w:ind w:firstLineChars="200" w:firstLine="420"/>
        <w:divId w:val="509181356"/>
        <w:rPr>
          <w:rFonts w:asciiTheme="minorEastAsia" w:hAnsiTheme="minorEastAsia" w:cs="仿宋_GB2312" w:hint="eastAsia"/>
          <w:kern w:val="0"/>
        </w:rPr>
      </w:pPr>
      <w:r w:rsidRPr="008B2236">
        <w:rPr>
          <w:rFonts w:ascii="宋体" w:hAnsi="宋体" w:cs="仿宋_GB2312" w:hint="eastAsia"/>
          <w:kern w:val="0"/>
        </w:rPr>
        <w:t>（1）</w:t>
      </w:r>
      <w:r w:rsidRPr="008B2236">
        <w:rPr>
          <w:rFonts w:asciiTheme="minorEastAsia" w:hAnsiTheme="minorEastAsia" w:cs="仿宋_GB2312" w:hint="eastAsia"/>
          <w:kern w:val="0"/>
        </w:rPr>
        <w:t>加强品牌影响力，强化全球布局。以腾晖光伏重回彭博新能源财经Tier1名单为契机，加速品牌出海，增强全球客户对腾晖光伏的认知度与信心。面对复杂多变的海外贸易环境，逐步完善海外配套产业链，强化海外高价值市场供应链稳定性。推动光伏海外制造本土化，响应海外贸易政策，避免贸易壁垒、关税制裁等风险。</w:t>
      </w:r>
    </w:p>
    <w:p w14:paraId="69904706" w14:textId="77777777" w:rsidR="008B2236" w:rsidRPr="008B2236" w:rsidRDefault="008B2236" w:rsidP="008B2236">
      <w:pPr>
        <w:spacing w:line="360" w:lineRule="auto"/>
        <w:ind w:firstLineChars="200" w:firstLine="420"/>
        <w:divId w:val="509181356"/>
        <w:rPr>
          <w:rFonts w:asciiTheme="minorEastAsia" w:hAnsiTheme="minorEastAsia" w:cs="仿宋_GB2312" w:hint="eastAsia"/>
          <w:kern w:val="0"/>
        </w:rPr>
      </w:pPr>
      <w:r w:rsidRPr="008B2236">
        <w:rPr>
          <w:rFonts w:ascii="宋体" w:hAnsi="宋体" w:cs="仿宋_GB2312" w:hint="eastAsia"/>
          <w:kern w:val="0"/>
        </w:rPr>
        <w:t>（</w:t>
      </w:r>
      <w:r w:rsidRPr="008B2236">
        <w:rPr>
          <w:rFonts w:ascii="宋体" w:hAnsi="宋体" w:cs="仿宋_GB2312"/>
          <w:kern w:val="0"/>
        </w:rPr>
        <w:t>2</w:t>
      </w:r>
      <w:r w:rsidRPr="008B2236">
        <w:rPr>
          <w:rFonts w:ascii="宋体" w:hAnsi="宋体" w:cs="仿宋_GB2312" w:hint="eastAsia"/>
          <w:kern w:val="0"/>
        </w:rPr>
        <w:t>）</w:t>
      </w:r>
      <w:r w:rsidRPr="008B2236">
        <w:rPr>
          <w:rFonts w:asciiTheme="minorEastAsia" w:hAnsiTheme="minorEastAsia" w:cs="仿宋_GB2312" w:hint="eastAsia"/>
          <w:kern w:val="0"/>
        </w:rPr>
        <w:t>坚持技术开发与产品创新。密切关注国内外技术发展的前沿和趋势，在技术开发和产品创新方面保持合理投入，聚焦构建长期可持续发展能力和技术优势。</w:t>
      </w:r>
    </w:p>
    <w:p w14:paraId="5F01AF6F" w14:textId="77777777" w:rsidR="008B2236" w:rsidRPr="008B2236" w:rsidRDefault="008B2236" w:rsidP="008B2236">
      <w:pPr>
        <w:spacing w:line="360" w:lineRule="auto"/>
        <w:ind w:firstLineChars="200" w:firstLine="420"/>
        <w:divId w:val="509181356"/>
        <w:rPr>
          <w:rFonts w:asciiTheme="minorEastAsia" w:hAnsiTheme="minorEastAsia" w:cs="仿宋_GB2312" w:hint="eastAsia"/>
          <w:kern w:val="0"/>
        </w:rPr>
      </w:pPr>
      <w:r w:rsidRPr="008B2236">
        <w:rPr>
          <w:rFonts w:ascii="宋体" w:hAnsi="宋体" w:cs="仿宋_GB2312" w:hint="eastAsia"/>
          <w:kern w:val="0"/>
        </w:rPr>
        <w:t>（</w:t>
      </w:r>
      <w:r w:rsidRPr="008B2236">
        <w:rPr>
          <w:rFonts w:ascii="宋体" w:hAnsi="宋体" w:cs="仿宋_GB2312"/>
          <w:kern w:val="0"/>
        </w:rPr>
        <w:t>3</w:t>
      </w:r>
      <w:r w:rsidRPr="008B2236">
        <w:rPr>
          <w:rFonts w:ascii="宋体" w:hAnsi="宋体" w:cs="仿宋_GB2312" w:hint="eastAsia"/>
          <w:kern w:val="0"/>
        </w:rPr>
        <w:t>）</w:t>
      </w:r>
      <w:r w:rsidRPr="008B2236">
        <w:rPr>
          <w:rFonts w:asciiTheme="minorEastAsia" w:hAnsiTheme="minorEastAsia" w:cs="仿宋_GB2312" w:hint="eastAsia"/>
          <w:kern w:val="0"/>
        </w:rPr>
        <w:t>科技赋能业务。推进业财一体化新系统建设，构建统一数字化管理平台，实现流程标准化，强</w:t>
      </w:r>
      <w:r w:rsidRPr="008B2236">
        <w:rPr>
          <w:rFonts w:asciiTheme="minorEastAsia" w:hAnsiTheme="minorEastAsia" w:cs="仿宋_GB2312" w:hint="eastAsia"/>
          <w:kern w:val="0"/>
        </w:rPr>
        <w:lastRenderedPageBreak/>
        <w:t>化风险识别、管控能力。推进主数据治理，提高管理精细度，提升业务核心竞争力。</w:t>
      </w:r>
    </w:p>
    <w:p w14:paraId="5EB411A2" w14:textId="77777777" w:rsidR="00E72F0C" w:rsidRPr="008B2236" w:rsidRDefault="008B2236" w:rsidP="008B2236">
      <w:pPr>
        <w:spacing w:line="360" w:lineRule="auto"/>
        <w:ind w:firstLineChars="200" w:firstLine="420"/>
        <w:divId w:val="509181356"/>
        <w:rPr>
          <w:rFonts w:ascii="宋体" w:eastAsia="宋体" w:hAnsi="宋体" w:hint="eastAsia"/>
          <w:color w:val="000000"/>
          <w:szCs w:val="24"/>
        </w:rPr>
      </w:pPr>
      <w:r w:rsidRPr="008B2236">
        <w:rPr>
          <w:rStyle w:val="fontstyle01"/>
          <w:rFonts w:hint="default"/>
          <w:sz w:val="21"/>
        </w:rPr>
        <w:t>目前公司日常运营管理和生产经营正常，已不存在影响持续经营的重大不利事项。因此，与持续经营相关的重大不确定性事项影响已经消除。</w:t>
      </w:r>
    </w:p>
    <w:p w14:paraId="3D156BAA" w14:textId="77777777" w:rsidR="00E72F0C" w:rsidRDefault="00107901">
      <w:pPr>
        <w:pStyle w:val="a3"/>
        <w:spacing w:before="0" w:beforeAutospacing="0" w:after="0" w:afterAutospacing="0" w:line="360" w:lineRule="auto"/>
        <w:ind w:firstLine="420"/>
        <w:jc w:val="both"/>
        <w:divId w:val="509181356"/>
        <w:rPr>
          <w:rFonts w:ascii="Times New Roman" w:hAnsi="Times New Roman" w:cs="Times New Roman"/>
          <w:sz w:val="21"/>
          <w:szCs w:val="21"/>
        </w:rPr>
      </w:pPr>
      <w:r>
        <w:rPr>
          <w:rFonts w:cs="Times New Roman" w:hint="eastAsia"/>
          <w:sz w:val="21"/>
          <w:szCs w:val="21"/>
        </w:rPr>
        <w:t>（二）</w:t>
      </w:r>
      <w:r>
        <w:rPr>
          <w:rFonts w:cs="Times New Roman" w:hint="eastAsia"/>
          <w:color w:val="000000"/>
          <w:sz w:val="21"/>
          <w:szCs w:val="21"/>
        </w:rPr>
        <w:t>强调事项</w:t>
      </w:r>
    </w:p>
    <w:p w14:paraId="79D01D3D" w14:textId="77777777" w:rsidR="00E72F0C" w:rsidRDefault="008B2236">
      <w:pPr>
        <w:pStyle w:val="a3"/>
        <w:spacing w:before="0" w:beforeAutospacing="0" w:after="0" w:afterAutospacing="0" w:line="360" w:lineRule="auto"/>
        <w:ind w:firstLine="480"/>
        <w:jc w:val="both"/>
        <w:divId w:val="509181356"/>
        <w:rPr>
          <w:rFonts w:ascii="Times New Roman" w:hAnsi="Times New Roman" w:cs="Times New Roman"/>
          <w:sz w:val="21"/>
          <w:szCs w:val="21"/>
        </w:rPr>
      </w:pPr>
      <w:r>
        <w:rPr>
          <w:rFonts w:cs="Times New Roman" w:hint="eastAsia"/>
          <w:color w:val="000000"/>
          <w:sz w:val="21"/>
          <w:szCs w:val="21"/>
        </w:rPr>
        <w:t>1.</w:t>
      </w:r>
      <w:r w:rsidR="00107901">
        <w:rPr>
          <w:rFonts w:cs="Times New Roman" w:hint="eastAsia"/>
          <w:color w:val="000000"/>
          <w:sz w:val="21"/>
          <w:szCs w:val="21"/>
        </w:rPr>
        <w:t>非经营性资金占用及违规担保事项</w:t>
      </w:r>
    </w:p>
    <w:p w14:paraId="3FFEAE1D" w14:textId="77777777" w:rsidR="00E72F0C" w:rsidRDefault="00107901">
      <w:pPr>
        <w:pStyle w:val="a3"/>
        <w:spacing w:before="0" w:beforeAutospacing="0" w:after="0" w:afterAutospacing="0" w:line="360" w:lineRule="auto"/>
        <w:ind w:firstLine="480"/>
        <w:jc w:val="both"/>
        <w:divId w:val="509181356"/>
        <w:rPr>
          <w:rFonts w:ascii="Times New Roman" w:hAnsi="Times New Roman" w:cs="Times New Roman"/>
          <w:sz w:val="21"/>
          <w:szCs w:val="21"/>
        </w:rPr>
      </w:pPr>
      <w:r>
        <w:rPr>
          <w:rFonts w:cs="Times New Roman" w:hint="eastAsia"/>
          <w:color w:val="000000"/>
          <w:sz w:val="21"/>
          <w:szCs w:val="21"/>
        </w:rPr>
        <w:t>（1）2024年11月8日，公司收到苏州中院送达的（2024）苏05破50号《民事裁定书》，受理申请人对公司的重整申请并指定管理人。</w:t>
      </w:r>
    </w:p>
    <w:p w14:paraId="286A593E" w14:textId="77777777" w:rsidR="00E72F0C" w:rsidRDefault="00107901">
      <w:pPr>
        <w:pStyle w:val="a3"/>
        <w:spacing w:before="0" w:beforeAutospacing="0" w:after="0" w:afterAutospacing="0" w:line="360" w:lineRule="auto"/>
        <w:ind w:firstLine="480"/>
        <w:jc w:val="both"/>
        <w:divId w:val="509181356"/>
        <w:rPr>
          <w:rFonts w:ascii="Times New Roman" w:hAnsi="Times New Roman" w:cs="Times New Roman"/>
          <w:sz w:val="21"/>
          <w:szCs w:val="21"/>
        </w:rPr>
      </w:pPr>
      <w:r>
        <w:rPr>
          <w:rFonts w:cs="Times New Roman" w:hint="eastAsia"/>
          <w:color w:val="000000"/>
          <w:sz w:val="21"/>
          <w:szCs w:val="21"/>
        </w:rPr>
        <w:t>2024年12月12日，公司披露了《关于公司重整计划获得法院裁定批准的公告》和《江苏中利集团股份有限公司重整计划》，苏州中院裁定批准公司重整计划，并终止公司重整程序。</w:t>
      </w:r>
    </w:p>
    <w:p w14:paraId="12EE56AC" w14:textId="77777777" w:rsidR="00E72F0C" w:rsidRDefault="00107901">
      <w:pPr>
        <w:pStyle w:val="a3"/>
        <w:spacing w:before="0" w:beforeAutospacing="0" w:after="0" w:afterAutospacing="0" w:line="360" w:lineRule="auto"/>
        <w:ind w:firstLine="480"/>
        <w:jc w:val="both"/>
        <w:divId w:val="509181356"/>
        <w:rPr>
          <w:rFonts w:ascii="Times New Roman" w:hAnsi="Times New Roman" w:cs="Times New Roman"/>
          <w:sz w:val="21"/>
          <w:szCs w:val="21"/>
        </w:rPr>
      </w:pPr>
      <w:r>
        <w:rPr>
          <w:rFonts w:cs="Times New Roman" w:hint="eastAsia"/>
          <w:color w:val="000000"/>
          <w:sz w:val="21"/>
          <w:szCs w:val="21"/>
        </w:rPr>
        <w:t>2024年12月27日，公司收到苏州中院送达的（2024）苏 05破50号之四《民事裁定书》，裁定确认公司重整计划执行完毕，终结公司重整程序。</w:t>
      </w:r>
    </w:p>
    <w:p w14:paraId="5C7FD255" w14:textId="77777777" w:rsidR="00E72F0C" w:rsidRDefault="00107901">
      <w:pPr>
        <w:pStyle w:val="a3"/>
        <w:spacing w:before="0" w:beforeAutospacing="0" w:after="0" w:afterAutospacing="0" w:line="360" w:lineRule="auto"/>
        <w:ind w:firstLine="480"/>
        <w:jc w:val="both"/>
        <w:divId w:val="509181356"/>
        <w:rPr>
          <w:rFonts w:ascii="Times New Roman" w:hAnsi="Times New Roman" w:cs="Times New Roman"/>
          <w:sz w:val="21"/>
          <w:szCs w:val="21"/>
        </w:rPr>
      </w:pPr>
      <w:r>
        <w:rPr>
          <w:rFonts w:cs="Times New Roman" w:hint="eastAsia"/>
          <w:color w:val="000000"/>
          <w:sz w:val="21"/>
          <w:szCs w:val="21"/>
        </w:rPr>
        <w:t>公司、公司子公司分别与相关债权人签署了代为履行协议，同时签署了确认函，确认单方豁免标的债权，该协议自法院裁定受理公司重整日起生效。豁免目的旨在增厚江苏中利公司权益、填补江苏中利因非经营性资金占用而产生的损失，涉及的金额及相关利息共计112,483.48万元。</w:t>
      </w:r>
    </w:p>
    <w:p w14:paraId="2EB4FC85" w14:textId="77777777" w:rsidR="00E72F0C" w:rsidRDefault="00107901">
      <w:pPr>
        <w:pStyle w:val="a3"/>
        <w:spacing w:before="0" w:beforeAutospacing="0" w:after="0" w:afterAutospacing="0" w:line="360" w:lineRule="auto"/>
        <w:ind w:firstLine="480"/>
        <w:jc w:val="both"/>
        <w:divId w:val="509181356"/>
        <w:rPr>
          <w:rFonts w:ascii="Times New Roman" w:hAnsi="Times New Roman" w:cs="Times New Roman"/>
          <w:sz w:val="21"/>
          <w:szCs w:val="21"/>
        </w:rPr>
      </w:pPr>
      <w:r>
        <w:rPr>
          <w:rFonts w:cs="Times New Roman" w:hint="eastAsia"/>
          <w:color w:val="000000"/>
          <w:sz w:val="21"/>
          <w:szCs w:val="21"/>
        </w:rPr>
        <w:t>全体财务投资人对江苏中利捐赠款项68,035.71万元，全额以现金形式汇入管理人银行账户。如新发现除已公告并解决的180,519.19万元非经营性资金占用问题，且在重整受理日前已发生的，则由全体财务投资人在各自投资份额内负责解决。</w:t>
      </w:r>
    </w:p>
    <w:p w14:paraId="70483488" w14:textId="77777777" w:rsidR="00E72F0C" w:rsidRDefault="00107901">
      <w:pPr>
        <w:pStyle w:val="a3"/>
        <w:spacing w:before="0" w:beforeAutospacing="0" w:after="0" w:afterAutospacing="0" w:line="360" w:lineRule="auto"/>
        <w:ind w:firstLine="480"/>
        <w:jc w:val="both"/>
        <w:divId w:val="509181356"/>
        <w:rPr>
          <w:rFonts w:ascii="Times New Roman" w:hAnsi="Times New Roman" w:cs="Times New Roman"/>
          <w:sz w:val="21"/>
          <w:szCs w:val="21"/>
        </w:rPr>
      </w:pPr>
      <w:r>
        <w:rPr>
          <w:rFonts w:cs="Times New Roman" w:hint="eastAsia"/>
          <w:color w:val="000000"/>
          <w:sz w:val="21"/>
          <w:szCs w:val="21"/>
        </w:rPr>
        <w:t>2025年1月9日，容诚会计师事务所（特殊普通合伙）出具了《关于江苏中利集团股份有限公司大股东及其附属企业非经营性资金占用清偿情况的专项说明》，说明公司大股东及其附属企业非经营性资金占用已于2024年6月1日至2024年12月16日期间已全部得到了清偿。</w:t>
      </w:r>
    </w:p>
    <w:p w14:paraId="1D144AC8" w14:textId="77777777" w:rsidR="00E72F0C" w:rsidRDefault="00107901">
      <w:pPr>
        <w:pStyle w:val="a3"/>
        <w:spacing w:before="0" w:beforeAutospacing="0" w:after="0" w:afterAutospacing="0" w:line="360" w:lineRule="auto"/>
        <w:ind w:firstLine="480"/>
        <w:jc w:val="both"/>
        <w:divId w:val="509181356"/>
        <w:rPr>
          <w:rFonts w:ascii="Times New Roman" w:hAnsi="Times New Roman" w:cs="Times New Roman"/>
          <w:sz w:val="21"/>
          <w:szCs w:val="21"/>
        </w:rPr>
      </w:pPr>
      <w:r>
        <w:rPr>
          <w:rFonts w:cs="Times New Roman" w:hint="eastAsia"/>
          <w:color w:val="000000"/>
          <w:sz w:val="21"/>
          <w:szCs w:val="21"/>
        </w:rPr>
        <w:t>（2）2024年12月24日，公司、管理人及产业投资人签署重整投资协议，产业投资人承诺以现金形式就公司为承担违规担保债权清偿责任所实际付出的偿债资源对公司进行补偿。</w:t>
      </w:r>
    </w:p>
    <w:p w14:paraId="2E859A6C" w14:textId="77777777" w:rsidR="00E72F0C" w:rsidRDefault="00107901">
      <w:pPr>
        <w:pStyle w:val="a3"/>
        <w:spacing w:before="0" w:beforeAutospacing="0" w:after="0" w:afterAutospacing="0" w:line="360" w:lineRule="auto"/>
        <w:ind w:firstLine="480"/>
        <w:jc w:val="both"/>
        <w:divId w:val="509181356"/>
        <w:rPr>
          <w:rFonts w:ascii="Times New Roman" w:hAnsi="Times New Roman" w:cs="Times New Roman"/>
          <w:sz w:val="21"/>
          <w:szCs w:val="21"/>
        </w:rPr>
      </w:pPr>
      <w:r>
        <w:rPr>
          <w:rFonts w:cs="Times New Roman" w:hint="eastAsia"/>
          <w:color w:val="000000"/>
          <w:sz w:val="21"/>
          <w:szCs w:val="21"/>
        </w:rPr>
        <w:t>公司违规担保问题已经通过产业投资人按照重整协议约定的兜底方式获得妥善解决。</w:t>
      </w:r>
    </w:p>
    <w:p w14:paraId="5681EAD0" w14:textId="77777777" w:rsidR="00E72F0C" w:rsidRDefault="00107901">
      <w:pPr>
        <w:pStyle w:val="a3"/>
        <w:spacing w:before="0" w:beforeAutospacing="0" w:after="0" w:afterAutospacing="0" w:line="360" w:lineRule="auto"/>
        <w:ind w:firstLine="480"/>
        <w:jc w:val="both"/>
        <w:divId w:val="509181356"/>
        <w:rPr>
          <w:rFonts w:ascii="Times New Roman" w:hAnsi="Times New Roman" w:cs="Times New Roman"/>
          <w:sz w:val="21"/>
          <w:szCs w:val="21"/>
        </w:rPr>
      </w:pPr>
      <w:r>
        <w:rPr>
          <w:rFonts w:cs="Times New Roman" w:hint="eastAsia"/>
          <w:color w:val="000000"/>
          <w:sz w:val="21"/>
          <w:szCs w:val="21"/>
        </w:rPr>
        <w:t>2025年1月8日，上海加宁律师事务所出具了《关于江苏中利集团股份有限公司相关事项之法律意见书》，针对公司关联方资金占用和违规担保问题整改情况发表了专项说明。</w:t>
      </w:r>
    </w:p>
    <w:p w14:paraId="511A15A3" w14:textId="77777777" w:rsidR="00E72F0C" w:rsidRDefault="008B2236">
      <w:pPr>
        <w:pStyle w:val="a3"/>
        <w:spacing w:before="0" w:beforeAutospacing="0" w:after="0" w:afterAutospacing="0" w:line="360" w:lineRule="auto"/>
        <w:ind w:firstLine="480"/>
        <w:jc w:val="both"/>
        <w:divId w:val="509181356"/>
        <w:rPr>
          <w:rFonts w:ascii="Times New Roman" w:hAnsi="Times New Roman" w:cs="Times New Roman"/>
          <w:sz w:val="21"/>
          <w:szCs w:val="21"/>
        </w:rPr>
      </w:pPr>
      <w:r>
        <w:rPr>
          <w:rFonts w:cs="Times New Roman" w:hint="eastAsia"/>
          <w:sz w:val="21"/>
          <w:szCs w:val="21"/>
        </w:rPr>
        <w:t>2.</w:t>
      </w:r>
      <w:r w:rsidR="00107901">
        <w:rPr>
          <w:rFonts w:cs="Times New Roman" w:hint="eastAsia"/>
          <w:sz w:val="21"/>
          <w:szCs w:val="21"/>
        </w:rPr>
        <w:t>中国证监会于2024年6月28日下发对公司的《行政处罚决定书》，对相关人员进行了处罚。</w:t>
      </w:r>
    </w:p>
    <w:p w14:paraId="70BCF384" w14:textId="77777777" w:rsidR="00E72F0C" w:rsidRDefault="00107901">
      <w:pPr>
        <w:pStyle w:val="a3"/>
        <w:spacing w:before="0" w:beforeAutospacing="0" w:after="0" w:afterAutospacing="0" w:line="360" w:lineRule="auto"/>
        <w:ind w:firstLine="480"/>
        <w:jc w:val="both"/>
        <w:divId w:val="509181356"/>
        <w:rPr>
          <w:rFonts w:ascii="Times New Roman" w:hAnsi="Times New Roman" w:cs="Times New Roman"/>
          <w:sz w:val="21"/>
          <w:szCs w:val="21"/>
        </w:rPr>
      </w:pPr>
      <w:r>
        <w:rPr>
          <w:rFonts w:cs="Times New Roman" w:hint="eastAsia"/>
          <w:sz w:val="21"/>
          <w:szCs w:val="21"/>
        </w:rPr>
        <w:t>综上所述，公司董事会认为2023年度审计报告带持续经营相关的重大不确定性与强调事项段的无保留意见所涉及事项的影响已消除。</w:t>
      </w:r>
    </w:p>
    <w:p w14:paraId="1BD6FEF9" w14:textId="77777777" w:rsidR="00632E5B" w:rsidRDefault="00107901">
      <w:pPr>
        <w:pStyle w:val="2"/>
        <w:spacing w:before="300" w:after="300" w:line="320" w:lineRule="exact"/>
        <w:rPr>
          <w:rFonts w:ascii="宋体" w:eastAsia="宋体" w:hAnsi="宋体" w:cs="宋体" w:hint="eastAsia"/>
          <w:b/>
          <w:bCs/>
          <w:sz w:val="24"/>
          <w:szCs w:val="24"/>
        </w:rPr>
      </w:pPr>
      <w:bookmarkStart w:id="100" w:name="_Toc988989"/>
      <w:r>
        <w:rPr>
          <w:rFonts w:ascii="宋体" w:eastAsia="宋体" w:hAnsi="宋体" w:cs="宋体"/>
          <w:b/>
          <w:bCs/>
          <w:sz w:val="24"/>
          <w:szCs w:val="24"/>
        </w:rPr>
        <w:lastRenderedPageBreak/>
        <w:t>五、董事会、监事会、独立董事（如有）对会计师事务所本报告期“非标准审计报告”的说明</w:t>
      </w:r>
      <w:bookmarkEnd w:id="100"/>
    </w:p>
    <w:p w14:paraId="22005F37"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035182C6" w14:textId="77777777" w:rsidR="00632E5B" w:rsidRDefault="00107901">
      <w:pPr>
        <w:pStyle w:val="2"/>
        <w:spacing w:before="300" w:after="300" w:line="320" w:lineRule="exact"/>
        <w:rPr>
          <w:rFonts w:ascii="宋体" w:eastAsia="宋体" w:hAnsi="宋体" w:cs="宋体" w:hint="eastAsia"/>
          <w:b/>
          <w:bCs/>
          <w:sz w:val="24"/>
          <w:szCs w:val="24"/>
        </w:rPr>
      </w:pPr>
      <w:bookmarkStart w:id="101" w:name="_Toc988990"/>
      <w:r>
        <w:rPr>
          <w:rFonts w:ascii="宋体" w:eastAsia="宋体" w:hAnsi="宋体" w:cs="宋体"/>
          <w:b/>
          <w:bCs/>
          <w:sz w:val="24"/>
          <w:szCs w:val="24"/>
        </w:rPr>
        <w:t xml:space="preserve">六、与上年度财务报告相比，会计政策、会计估计变更或重大会计差错更正的情况说明 </w:t>
      </w:r>
      <w:bookmarkEnd w:id="101"/>
    </w:p>
    <w:p w14:paraId="69128579"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06975EDC" w14:textId="77777777" w:rsidR="00E72F0C" w:rsidRDefault="00107901" w:rsidP="007E0316">
      <w:pPr>
        <w:pStyle w:val="a3"/>
        <w:spacing w:before="0" w:beforeAutospacing="0" w:after="0" w:afterAutospacing="0" w:line="360" w:lineRule="auto"/>
        <w:ind w:firstLineChars="200" w:firstLine="420"/>
        <w:jc w:val="both"/>
        <w:divId w:val="1405223901"/>
        <w:rPr>
          <w:rFonts w:ascii="等线" w:eastAsia="等线" w:hAnsi="等线" w:hint="eastAsia"/>
          <w:sz w:val="21"/>
          <w:szCs w:val="21"/>
        </w:rPr>
      </w:pPr>
      <w:r>
        <w:rPr>
          <w:rFonts w:hint="eastAsia"/>
          <w:sz w:val="21"/>
          <w:szCs w:val="21"/>
        </w:rPr>
        <w:t>（一）重要会计政策变更</w:t>
      </w:r>
    </w:p>
    <w:p w14:paraId="781ED79D" w14:textId="77777777" w:rsidR="00E72F0C" w:rsidRDefault="00107901" w:rsidP="007E0316">
      <w:pPr>
        <w:pStyle w:val="a3"/>
        <w:spacing w:before="0" w:beforeAutospacing="0" w:after="0" w:afterAutospacing="0" w:line="360" w:lineRule="auto"/>
        <w:ind w:firstLineChars="200" w:firstLine="420"/>
        <w:textAlignment w:val="bottom"/>
        <w:divId w:val="1405223901"/>
        <w:rPr>
          <w:rFonts w:ascii="等线" w:eastAsia="等线" w:hAnsi="等线" w:hint="eastAsia"/>
          <w:sz w:val="21"/>
          <w:szCs w:val="21"/>
        </w:rPr>
      </w:pPr>
      <w:r>
        <w:rPr>
          <w:rFonts w:hint="eastAsia"/>
          <w:sz w:val="21"/>
          <w:szCs w:val="21"/>
        </w:rPr>
        <w:t>《企业会计准则解释第18号》</w:t>
      </w:r>
    </w:p>
    <w:p w14:paraId="52429CFE" w14:textId="77777777" w:rsidR="00E72F0C" w:rsidRDefault="00107901" w:rsidP="007E0316">
      <w:pPr>
        <w:pStyle w:val="a3"/>
        <w:spacing w:before="0" w:beforeAutospacing="0" w:after="0" w:afterAutospacing="0" w:line="360" w:lineRule="auto"/>
        <w:ind w:firstLineChars="200" w:firstLine="420"/>
        <w:textAlignment w:val="bottom"/>
        <w:divId w:val="1405223901"/>
        <w:rPr>
          <w:rFonts w:ascii="等线" w:eastAsia="等线" w:hAnsi="等线" w:hint="eastAsia"/>
          <w:sz w:val="21"/>
          <w:szCs w:val="21"/>
        </w:rPr>
      </w:pPr>
      <w:r>
        <w:rPr>
          <w:rFonts w:hint="eastAsia"/>
          <w:sz w:val="21"/>
          <w:szCs w:val="21"/>
        </w:rPr>
        <w:t>财政部于2024年12月6日发布了《企业会计准则解释第18号》(财会〔2024〕24号，以下简称“解释18号”),其中“关于不属于单项履约义务的保证类质量保证的会计处理”内容本公司自2024年开始施行。对于因适用解释18号的保证类质量保证，公司按照解释18号的规定进行追溯，将累积影响数调整财务报表列报最早期间的相关财务报表项目。</w:t>
      </w:r>
    </w:p>
    <w:p w14:paraId="608D98F5" w14:textId="77777777" w:rsidR="00E72F0C" w:rsidRDefault="00107901" w:rsidP="007E0316">
      <w:pPr>
        <w:pStyle w:val="a3"/>
        <w:spacing w:before="0" w:beforeAutospacing="0" w:after="0" w:afterAutospacing="0" w:line="360" w:lineRule="auto"/>
        <w:ind w:firstLineChars="200" w:firstLine="420"/>
        <w:textAlignment w:val="bottom"/>
        <w:divId w:val="1405223901"/>
        <w:rPr>
          <w:rFonts w:ascii="等线" w:eastAsia="等线" w:hAnsi="等线" w:hint="eastAsia"/>
          <w:sz w:val="21"/>
          <w:szCs w:val="21"/>
        </w:rPr>
      </w:pPr>
      <w:r>
        <w:rPr>
          <w:rFonts w:hint="eastAsia"/>
          <w:sz w:val="21"/>
          <w:szCs w:val="21"/>
        </w:rPr>
        <w:t>该会计政策变更对财务报表的影响如下：</w:t>
      </w:r>
    </w:p>
    <w:p w14:paraId="3331E34B" w14:textId="77777777" w:rsidR="00E72F0C" w:rsidRPr="00DB299B" w:rsidRDefault="00107901" w:rsidP="009571EB">
      <w:pPr>
        <w:pStyle w:val="a3"/>
        <w:spacing w:before="0" w:beforeAutospacing="0" w:after="0" w:afterAutospacing="0" w:line="360" w:lineRule="auto"/>
        <w:jc w:val="center"/>
        <w:divId w:val="1405223901"/>
        <w:rPr>
          <w:rFonts w:ascii="等线" w:eastAsia="等线" w:hAnsi="等线" w:hint="eastAsia"/>
          <w:b/>
          <w:sz w:val="21"/>
          <w:szCs w:val="21"/>
        </w:rPr>
      </w:pPr>
      <w:r w:rsidRPr="00DB299B">
        <w:rPr>
          <w:rStyle w:val="a4"/>
          <w:rFonts w:hint="eastAsia"/>
          <w:b w:val="0"/>
          <w:color w:val="000000"/>
          <w:sz w:val="21"/>
          <w:szCs w:val="21"/>
        </w:rPr>
        <w:t>合并利润表项目</w:t>
      </w: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8"/>
        <w:gridCol w:w="2212"/>
        <w:gridCol w:w="1897"/>
        <w:gridCol w:w="1874"/>
      </w:tblGrid>
      <w:tr w:rsidR="00E72F0C" w:rsidRPr="00DB299B" w14:paraId="71517F65" w14:textId="77777777" w:rsidTr="00DB299B">
        <w:trPr>
          <w:divId w:val="1405223901"/>
          <w:trHeight w:val="345"/>
          <w:tblHeader/>
        </w:trPr>
        <w:tc>
          <w:tcPr>
            <w:tcW w:w="1811" w:type="pct"/>
            <w:vMerge w:val="restart"/>
            <w:noWrap/>
            <w:tcMar>
              <w:top w:w="0" w:type="dxa"/>
              <w:left w:w="108" w:type="dxa"/>
              <w:bottom w:w="0" w:type="dxa"/>
              <w:right w:w="108" w:type="dxa"/>
            </w:tcMar>
            <w:vAlign w:val="center"/>
            <w:hideMark/>
          </w:tcPr>
          <w:p w14:paraId="1BE98A7E" w14:textId="77777777" w:rsidR="00E72F0C" w:rsidRPr="00DB299B" w:rsidRDefault="00107901">
            <w:pPr>
              <w:pStyle w:val="a3"/>
              <w:spacing w:before="0" w:beforeAutospacing="0" w:after="0" w:afterAutospacing="0" w:line="360" w:lineRule="atLeast"/>
              <w:jc w:val="center"/>
              <w:rPr>
                <w:rFonts w:ascii="等线" w:eastAsia="等线" w:hAnsi="等线" w:hint="eastAsia"/>
                <w:sz w:val="21"/>
                <w:szCs w:val="21"/>
              </w:rPr>
            </w:pPr>
            <w:r w:rsidRPr="00DB299B">
              <w:rPr>
                <w:rStyle w:val="a4"/>
                <w:rFonts w:hint="eastAsia"/>
                <w:b w:val="0"/>
                <w:color w:val="000000"/>
                <w:sz w:val="21"/>
                <w:szCs w:val="21"/>
              </w:rPr>
              <w:t>项目</w:t>
            </w:r>
          </w:p>
        </w:tc>
        <w:tc>
          <w:tcPr>
            <w:tcW w:w="3189" w:type="pct"/>
            <w:gridSpan w:val="3"/>
            <w:noWrap/>
            <w:tcMar>
              <w:top w:w="0" w:type="dxa"/>
              <w:left w:w="108" w:type="dxa"/>
              <w:bottom w:w="0" w:type="dxa"/>
              <w:right w:w="108" w:type="dxa"/>
            </w:tcMar>
            <w:vAlign w:val="center"/>
            <w:hideMark/>
          </w:tcPr>
          <w:p w14:paraId="6972B9DF" w14:textId="77777777" w:rsidR="00E72F0C" w:rsidRPr="00DB299B" w:rsidRDefault="00107901">
            <w:pPr>
              <w:pStyle w:val="a3"/>
              <w:spacing w:before="0" w:beforeAutospacing="0" w:after="0" w:afterAutospacing="0" w:line="360" w:lineRule="atLeast"/>
              <w:jc w:val="center"/>
              <w:rPr>
                <w:rFonts w:ascii="等线" w:eastAsia="等线" w:hAnsi="等线" w:hint="eastAsia"/>
                <w:sz w:val="21"/>
                <w:szCs w:val="21"/>
              </w:rPr>
            </w:pPr>
            <w:r w:rsidRPr="00DB299B">
              <w:rPr>
                <w:rFonts w:hint="eastAsia"/>
                <w:color w:val="000000"/>
                <w:sz w:val="21"/>
                <w:szCs w:val="21"/>
              </w:rPr>
              <w:t>2023年度（上期金额）</w:t>
            </w:r>
          </w:p>
        </w:tc>
      </w:tr>
      <w:tr w:rsidR="00E72F0C" w:rsidRPr="00DB299B" w14:paraId="350149E8" w14:textId="77777777" w:rsidTr="00DB299B">
        <w:trPr>
          <w:divId w:val="1405223901"/>
          <w:trHeight w:val="298"/>
          <w:tblHeader/>
        </w:trPr>
        <w:tc>
          <w:tcPr>
            <w:tcW w:w="1811" w:type="pct"/>
            <w:vMerge/>
            <w:vAlign w:val="center"/>
            <w:hideMark/>
          </w:tcPr>
          <w:p w14:paraId="5E91284C" w14:textId="77777777" w:rsidR="00E72F0C" w:rsidRPr="00DB299B" w:rsidRDefault="00E72F0C">
            <w:pPr>
              <w:rPr>
                <w:rFonts w:ascii="等线" w:eastAsia="等线" w:hAnsi="等线" w:cs="宋体" w:hint="eastAsia"/>
                <w:szCs w:val="21"/>
              </w:rPr>
            </w:pPr>
          </w:p>
        </w:tc>
        <w:tc>
          <w:tcPr>
            <w:tcW w:w="1179" w:type="pct"/>
            <w:noWrap/>
            <w:tcMar>
              <w:top w:w="0" w:type="dxa"/>
              <w:left w:w="108" w:type="dxa"/>
              <w:bottom w:w="0" w:type="dxa"/>
              <w:right w:w="108" w:type="dxa"/>
            </w:tcMar>
            <w:vAlign w:val="center"/>
            <w:hideMark/>
          </w:tcPr>
          <w:p w14:paraId="01C3C6F3" w14:textId="77777777" w:rsidR="00E72F0C" w:rsidRPr="00DB299B" w:rsidRDefault="00107901">
            <w:pPr>
              <w:pStyle w:val="a3"/>
              <w:spacing w:before="0" w:beforeAutospacing="0" w:after="0" w:afterAutospacing="0" w:line="360" w:lineRule="atLeast"/>
              <w:jc w:val="center"/>
              <w:rPr>
                <w:rFonts w:ascii="等线" w:eastAsia="等线" w:hAnsi="等线" w:hint="eastAsia"/>
                <w:sz w:val="21"/>
                <w:szCs w:val="21"/>
              </w:rPr>
            </w:pPr>
            <w:r w:rsidRPr="00DB299B">
              <w:rPr>
                <w:rFonts w:hint="eastAsia"/>
                <w:color w:val="000000"/>
                <w:sz w:val="21"/>
                <w:szCs w:val="21"/>
              </w:rPr>
              <w:t>调整前</w:t>
            </w:r>
          </w:p>
        </w:tc>
        <w:tc>
          <w:tcPr>
            <w:tcW w:w="1011" w:type="pct"/>
            <w:noWrap/>
            <w:tcMar>
              <w:top w:w="0" w:type="dxa"/>
              <w:left w:w="108" w:type="dxa"/>
              <w:bottom w:w="0" w:type="dxa"/>
              <w:right w:w="108" w:type="dxa"/>
            </w:tcMar>
            <w:vAlign w:val="center"/>
            <w:hideMark/>
          </w:tcPr>
          <w:p w14:paraId="4EB41BDD" w14:textId="77777777" w:rsidR="00E72F0C" w:rsidRPr="00DB299B" w:rsidRDefault="00107901">
            <w:pPr>
              <w:pStyle w:val="a3"/>
              <w:spacing w:before="0" w:beforeAutospacing="0" w:after="0" w:afterAutospacing="0" w:line="360" w:lineRule="atLeast"/>
              <w:jc w:val="center"/>
              <w:rPr>
                <w:rFonts w:ascii="等线" w:eastAsia="等线" w:hAnsi="等线" w:hint="eastAsia"/>
                <w:sz w:val="21"/>
                <w:szCs w:val="21"/>
              </w:rPr>
            </w:pPr>
            <w:r w:rsidRPr="00DB299B">
              <w:rPr>
                <w:rFonts w:hint="eastAsia"/>
                <w:color w:val="000000"/>
                <w:sz w:val="21"/>
                <w:szCs w:val="21"/>
              </w:rPr>
              <w:t>调整后</w:t>
            </w:r>
          </w:p>
        </w:tc>
        <w:tc>
          <w:tcPr>
            <w:tcW w:w="1000" w:type="pct"/>
            <w:noWrap/>
            <w:tcMar>
              <w:top w:w="0" w:type="dxa"/>
              <w:left w:w="108" w:type="dxa"/>
              <w:bottom w:w="0" w:type="dxa"/>
              <w:right w:w="108" w:type="dxa"/>
            </w:tcMar>
            <w:vAlign w:val="center"/>
            <w:hideMark/>
          </w:tcPr>
          <w:p w14:paraId="6E9DC0FB" w14:textId="77777777" w:rsidR="00E72F0C" w:rsidRPr="00DB299B" w:rsidRDefault="00107901">
            <w:pPr>
              <w:pStyle w:val="a3"/>
              <w:spacing w:before="0" w:beforeAutospacing="0" w:after="0" w:afterAutospacing="0" w:line="360" w:lineRule="atLeast"/>
              <w:jc w:val="center"/>
              <w:rPr>
                <w:rFonts w:ascii="等线" w:eastAsia="等线" w:hAnsi="等线" w:hint="eastAsia"/>
                <w:sz w:val="21"/>
                <w:szCs w:val="21"/>
              </w:rPr>
            </w:pPr>
            <w:r w:rsidRPr="00DB299B">
              <w:rPr>
                <w:rFonts w:hint="eastAsia"/>
                <w:color w:val="000000"/>
                <w:sz w:val="21"/>
                <w:szCs w:val="21"/>
              </w:rPr>
              <w:t>调整数</w:t>
            </w:r>
          </w:p>
        </w:tc>
      </w:tr>
      <w:tr w:rsidR="00E72F0C" w:rsidRPr="00DB299B" w14:paraId="0B43015B" w14:textId="77777777" w:rsidTr="00DB299B">
        <w:trPr>
          <w:divId w:val="1405223901"/>
          <w:trHeight w:val="375"/>
        </w:trPr>
        <w:tc>
          <w:tcPr>
            <w:tcW w:w="1811" w:type="pct"/>
            <w:tcMar>
              <w:top w:w="0" w:type="dxa"/>
              <w:left w:w="108" w:type="dxa"/>
              <w:bottom w:w="0" w:type="dxa"/>
              <w:right w:w="108" w:type="dxa"/>
            </w:tcMar>
            <w:vAlign w:val="center"/>
            <w:hideMark/>
          </w:tcPr>
          <w:p w14:paraId="0D7D1257" w14:textId="77777777" w:rsidR="00E72F0C" w:rsidRPr="00DB299B" w:rsidRDefault="00107901">
            <w:pPr>
              <w:pStyle w:val="a3"/>
              <w:spacing w:before="0" w:beforeAutospacing="0" w:after="0" w:afterAutospacing="0" w:line="360" w:lineRule="atLeast"/>
              <w:rPr>
                <w:rFonts w:ascii="等线" w:eastAsia="等线" w:hAnsi="等线" w:hint="eastAsia"/>
                <w:sz w:val="21"/>
                <w:szCs w:val="21"/>
              </w:rPr>
            </w:pPr>
            <w:r w:rsidRPr="00DB299B">
              <w:rPr>
                <w:rFonts w:hint="eastAsia"/>
                <w:color w:val="000000"/>
                <w:sz w:val="21"/>
                <w:szCs w:val="21"/>
              </w:rPr>
              <w:t>营业成本</w:t>
            </w:r>
          </w:p>
        </w:tc>
        <w:tc>
          <w:tcPr>
            <w:tcW w:w="1179" w:type="pct"/>
            <w:noWrap/>
            <w:tcMar>
              <w:top w:w="0" w:type="dxa"/>
              <w:left w:w="108" w:type="dxa"/>
              <w:bottom w:w="0" w:type="dxa"/>
              <w:right w:w="108" w:type="dxa"/>
            </w:tcMar>
            <w:vAlign w:val="center"/>
            <w:hideMark/>
          </w:tcPr>
          <w:p w14:paraId="12354AE8" w14:textId="77777777" w:rsidR="00E72F0C" w:rsidRPr="00DB299B" w:rsidRDefault="00107901">
            <w:pPr>
              <w:pStyle w:val="a3"/>
              <w:spacing w:before="0" w:beforeAutospacing="0" w:after="0" w:afterAutospacing="0" w:line="360" w:lineRule="atLeast"/>
              <w:jc w:val="right"/>
              <w:rPr>
                <w:rFonts w:ascii="等线" w:eastAsia="等线" w:hAnsi="等线" w:hint="eastAsia"/>
                <w:sz w:val="21"/>
                <w:szCs w:val="21"/>
              </w:rPr>
            </w:pPr>
            <w:r w:rsidRPr="00DB299B">
              <w:rPr>
                <w:rFonts w:hint="eastAsia"/>
                <w:sz w:val="21"/>
                <w:szCs w:val="21"/>
              </w:rPr>
              <w:t>3,499,853,779.10</w:t>
            </w:r>
          </w:p>
        </w:tc>
        <w:tc>
          <w:tcPr>
            <w:tcW w:w="1011" w:type="pct"/>
            <w:noWrap/>
            <w:tcMar>
              <w:top w:w="0" w:type="dxa"/>
              <w:left w:w="108" w:type="dxa"/>
              <w:bottom w:w="0" w:type="dxa"/>
              <w:right w:w="108" w:type="dxa"/>
            </w:tcMar>
            <w:vAlign w:val="bottom"/>
            <w:hideMark/>
          </w:tcPr>
          <w:p w14:paraId="21875BB5" w14:textId="77777777" w:rsidR="00E72F0C" w:rsidRPr="00DB299B" w:rsidRDefault="00107901">
            <w:pPr>
              <w:pStyle w:val="a3"/>
              <w:spacing w:before="0" w:beforeAutospacing="0" w:after="0" w:afterAutospacing="0" w:line="360" w:lineRule="atLeast"/>
              <w:jc w:val="right"/>
              <w:rPr>
                <w:rFonts w:ascii="等线" w:eastAsia="等线" w:hAnsi="等线" w:hint="eastAsia"/>
                <w:sz w:val="21"/>
                <w:szCs w:val="21"/>
              </w:rPr>
            </w:pPr>
            <w:r w:rsidRPr="00DB299B">
              <w:rPr>
                <w:rFonts w:hint="eastAsia"/>
                <w:sz w:val="21"/>
                <w:szCs w:val="21"/>
              </w:rPr>
              <w:t xml:space="preserve">3,508,231,977.22 </w:t>
            </w:r>
          </w:p>
        </w:tc>
        <w:tc>
          <w:tcPr>
            <w:tcW w:w="1000" w:type="pct"/>
            <w:noWrap/>
            <w:tcMar>
              <w:top w:w="0" w:type="dxa"/>
              <w:left w:w="108" w:type="dxa"/>
              <w:bottom w:w="0" w:type="dxa"/>
              <w:right w:w="108" w:type="dxa"/>
            </w:tcMar>
            <w:vAlign w:val="center"/>
            <w:hideMark/>
          </w:tcPr>
          <w:p w14:paraId="60D5F5C9" w14:textId="77777777" w:rsidR="00E72F0C" w:rsidRPr="00DB299B" w:rsidRDefault="00107901">
            <w:pPr>
              <w:pStyle w:val="a3"/>
              <w:spacing w:before="0" w:beforeAutospacing="0" w:after="0" w:afterAutospacing="0" w:line="360" w:lineRule="atLeast"/>
              <w:jc w:val="right"/>
              <w:rPr>
                <w:rFonts w:ascii="等线" w:eastAsia="等线" w:hAnsi="等线" w:hint="eastAsia"/>
                <w:sz w:val="21"/>
                <w:szCs w:val="21"/>
              </w:rPr>
            </w:pPr>
            <w:r w:rsidRPr="00DB299B">
              <w:rPr>
                <w:rFonts w:hint="eastAsia"/>
                <w:sz w:val="21"/>
                <w:szCs w:val="21"/>
              </w:rPr>
              <w:t>8,378,198.12</w:t>
            </w:r>
          </w:p>
        </w:tc>
      </w:tr>
      <w:tr w:rsidR="00E72F0C" w:rsidRPr="00DB299B" w14:paraId="7154F865" w14:textId="77777777" w:rsidTr="00DB299B">
        <w:trPr>
          <w:divId w:val="1405223901"/>
          <w:trHeight w:val="375"/>
        </w:trPr>
        <w:tc>
          <w:tcPr>
            <w:tcW w:w="1811" w:type="pct"/>
            <w:tcMar>
              <w:top w:w="0" w:type="dxa"/>
              <w:left w:w="108" w:type="dxa"/>
              <w:bottom w:w="0" w:type="dxa"/>
              <w:right w:w="108" w:type="dxa"/>
            </w:tcMar>
            <w:vAlign w:val="center"/>
            <w:hideMark/>
          </w:tcPr>
          <w:p w14:paraId="2497B1AA" w14:textId="77777777" w:rsidR="00E72F0C" w:rsidRPr="00DB299B" w:rsidRDefault="00107901">
            <w:pPr>
              <w:pStyle w:val="a3"/>
              <w:spacing w:before="0" w:beforeAutospacing="0" w:after="0" w:afterAutospacing="0" w:line="360" w:lineRule="atLeast"/>
              <w:rPr>
                <w:rFonts w:ascii="等线" w:eastAsia="等线" w:hAnsi="等线" w:hint="eastAsia"/>
                <w:sz w:val="21"/>
                <w:szCs w:val="21"/>
              </w:rPr>
            </w:pPr>
            <w:r w:rsidRPr="00DB299B">
              <w:rPr>
                <w:rFonts w:hint="eastAsia"/>
                <w:color w:val="000000"/>
                <w:sz w:val="21"/>
                <w:szCs w:val="21"/>
              </w:rPr>
              <w:t>销售费用</w:t>
            </w:r>
          </w:p>
        </w:tc>
        <w:tc>
          <w:tcPr>
            <w:tcW w:w="1179" w:type="pct"/>
            <w:noWrap/>
            <w:tcMar>
              <w:top w:w="0" w:type="dxa"/>
              <w:left w:w="108" w:type="dxa"/>
              <w:bottom w:w="0" w:type="dxa"/>
              <w:right w:w="108" w:type="dxa"/>
            </w:tcMar>
            <w:vAlign w:val="center"/>
            <w:hideMark/>
          </w:tcPr>
          <w:p w14:paraId="6A8783AC" w14:textId="77777777" w:rsidR="00E72F0C" w:rsidRPr="00DB299B" w:rsidRDefault="00107901">
            <w:pPr>
              <w:pStyle w:val="a3"/>
              <w:spacing w:before="0" w:beforeAutospacing="0" w:after="0" w:afterAutospacing="0" w:line="360" w:lineRule="atLeast"/>
              <w:jc w:val="right"/>
              <w:rPr>
                <w:rFonts w:ascii="等线" w:eastAsia="等线" w:hAnsi="等线" w:hint="eastAsia"/>
                <w:sz w:val="21"/>
                <w:szCs w:val="21"/>
              </w:rPr>
            </w:pPr>
            <w:r w:rsidRPr="00DB299B">
              <w:rPr>
                <w:rFonts w:hint="eastAsia"/>
                <w:sz w:val="21"/>
                <w:szCs w:val="21"/>
              </w:rPr>
              <w:t>138,703,168.01</w:t>
            </w:r>
          </w:p>
        </w:tc>
        <w:tc>
          <w:tcPr>
            <w:tcW w:w="1011" w:type="pct"/>
            <w:noWrap/>
            <w:tcMar>
              <w:top w:w="0" w:type="dxa"/>
              <w:left w:w="108" w:type="dxa"/>
              <w:bottom w:w="0" w:type="dxa"/>
              <w:right w:w="108" w:type="dxa"/>
            </w:tcMar>
            <w:vAlign w:val="bottom"/>
            <w:hideMark/>
          </w:tcPr>
          <w:p w14:paraId="6BD3512C" w14:textId="77777777" w:rsidR="00E72F0C" w:rsidRPr="00DB299B" w:rsidRDefault="00107901">
            <w:pPr>
              <w:pStyle w:val="a3"/>
              <w:spacing w:before="0" w:beforeAutospacing="0" w:after="0" w:afterAutospacing="0" w:line="360" w:lineRule="atLeast"/>
              <w:jc w:val="right"/>
              <w:rPr>
                <w:rFonts w:ascii="等线" w:eastAsia="等线" w:hAnsi="等线" w:hint="eastAsia"/>
                <w:sz w:val="21"/>
                <w:szCs w:val="21"/>
              </w:rPr>
            </w:pPr>
            <w:r w:rsidRPr="00DB299B">
              <w:rPr>
                <w:rFonts w:hint="eastAsia"/>
                <w:sz w:val="21"/>
                <w:szCs w:val="21"/>
              </w:rPr>
              <w:t xml:space="preserve">130,324,969.89 </w:t>
            </w:r>
          </w:p>
        </w:tc>
        <w:tc>
          <w:tcPr>
            <w:tcW w:w="1000" w:type="pct"/>
            <w:noWrap/>
            <w:tcMar>
              <w:top w:w="0" w:type="dxa"/>
              <w:left w:w="108" w:type="dxa"/>
              <w:bottom w:w="0" w:type="dxa"/>
              <w:right w:w="108" w:type="dxa"/>
            </w:tcMar>
            <w:vAlign w:val="center"/>
            <w:hideMark/>
          </w:tcPr>
          <w:p w14:paraId="24DDF035" w14:textId="77777777" w:rsidR="00E72F0C" w:rsidRPr="00DB299B" w:rsidRDefault="00107901">
            <w:pPr>
              <w:pStyle w:val="a3"/>
              <w:spacing w:before="0" w:beforeAutospacing="0" w:after="0" w:afterAutospacing="0" w:line="360" w:lineRule="atLeast"/>
              <w:jc w:val="right"/>
              <w:rPr>
                <w:rFonts w:ascii="等线" w:eastAsia="等线" w:hAnsi="等线" w:hint="eastAsia"/>
                <w:sz w:val="21"/>
                <w:szCs w:val="21"/>
              </w:rPr>
            </w:pPr>
            <w:r w:rsidRPr="00DB299B">
              <w:rPr>
                <w:rFonts w:hint="eastAsia"/>
                <w:sz w:val="21"/>
                <w:szCs w:val="21"/>
              </w:rPr>
              <w:t>-8,378,198.12</w:t>
            </w:r>
          </w:p>
        </w:tc>
      </w:tr>
    </w:tbl>
    <w:p w14:paraId="63CA1E0B" w14:textId="77777777" w:rsidR="00E72F0C" w:rsidRPr="007E0316" w:rsidRDefault="00107901" w:rsidP="007E0316">
      <w:pPr>
        <w:pStyle w:val="a3"/>
        <w:spacing w:before="0" w:beforeAutospacing="0" w:after="0" w:afterAutospacing="0" w:line="360" w:lineRule="auto"/>
        <w:ind w:firstLineChars="200" w:firstLine="420"/>
        <w:textAlignment w:val="bottom"/>
        <w:divId w:val="1405223901"/>
        <w:rPr>
          <w:rFonts w:hint="eastAsia"/>
          <w:sz w:val="21"/>
          <w:szCs w:val="21"/>
        </w:rPr>
      </w:pPr>
      <w:r>
        <w:rPr>
          <w:rFonts w:hint="eastAsia"/>
          <w:sz w:val="21"/>
          <w:szCs w:val="21"/>
        </w:rPr>
        <w:t>执行该规定未对母公司财务状况和经营成果产生重大影响。</w:t>
      </w:r>
    </w:p>
    <w:p w14:paraId="5BEF86CD" w14:textId="77777777" w:rsidR="00E72F0C" w:rsidRPr="007E0316" w:rsidRDefault="00107901" w:rsidP="007E0316">
      <w:pPr>
        <w:pStyle w:val="a3"/>
        <w:spacing w:before="0" w:beforeAutospacing="0" w:after="0" w:afterAutospacing="0" w:line="360" w:lineRule="auto"/>
        <w:ind w:firstLineChars="200" w:firstLine="420"/>
        <w:textAlignment w:val="bottom"/>
        <w:divId w:val="1405223901"/>
        <w:rPr>
          <w:rFonts w:hint="eastAsia"/>
          <w:sz w:val="21"/>
          <w:szCs w:val="21"/>
        </w:rPr>
      </w:pPr>
      <w:r>
        <w:rPr>
          <w:rFonts w:hint="eastAsia"/>
          <w:sz w:val="21"/>
          <w:szCs w:val="21"/>
        </w:rPr>
        <w:t>（二）重要会计估计变更</w:t>
      </w:r>
    </w:p>
    <w:p w14:paraId="74AA7FC9" w14:textId="5E79D229" w:rsidR="00E72F0C" w:rsidRPr="007E0316" w:rsidRDefault="00107901" w:rsidP="007E0316">
      <w:pPr>
        <w:pStyle w:val="a3"/>
        <w:spacing w:before="0" w:beforeAutospacing="0" w:after="0" w:afterAutospacing="0" w:line="360" w:lineRule="auto"/>
        <w:ind w:firstLineChars="200" w:firstLine="420"/>
        <w:textAlignment w:val="bottom"/>
        <w:divId w:val="1405223901"/>
        <w:rPr>
          <w:rFonts w:hint="eastAsia"/>
          <w:sz w:val="21"/>
          <w:szCs w:val="21"/>
        </w:rPr>
      </w:pPr>
      <w:r>
        <w:rPr>
          <w:rFonts w:hint="eastAsia"/>
          <w:sz w:val="21"/>
          <w:szCs w:val="21"/>
        </w:rPr>
        <w:t>公司在本报告期内重要会计估计没有发生变更。</w:t>
      </w:r>
    </w:p>
    <w:p w14:paraId="4BF541FF" w14:textId="77777777" w:rsidR="00632E5B" w:rsidRDefault="00107901">
      <w:pPr>
        <w:pStyle w:val="2"/>
        <w:spacing w:before="300" w:after="300" w:line="320" w:lineRule="exact"/>
        <w:rPr>
          <w:rFonts w:ascii="宋体" w:eastAsia="宋体" w:hAnsi="宋体" w:cs="宋体" w:hint="eastAsia"/>
          <w:b/>
          <w:bCs/>
          <w:sz w:val="24"/>
          <w:szCs w:val="24"/>
        </w:rPr>
      </w:pPr>
      <w:bookmarkStart w:id="102" w:name="_Toc988991"/>
      <w:r>
        <w:rPr>
          <w:rFonts w:ascii="宋体" w:eastAsia="宋体" w:hAnsi="宋体" w:cs="宋体"/>
          <w:b/>
          <w:bCs/>
          <w:sz w:val="24"/>
          <w:szCs w:val="24"/>
        </w:rPr>
        <w:t>七、与上年度财务报告相比，合并报表范围发生变化的情况说明</w:t>
      </w:r>
      <w:bookmarkEnd w:id="102"/>
    </w:p>
    <w:p w14:paraId="1AF1B6C5"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5F6F659F" w14:textId="69C5E2DC" w:rsidR="00C8382E" w:rsidRPr="009571EB" w:rsidRDefault="00107901" w:rsidP="00C8382E">
      <w:pPr>
        <w:pStyle w:val="a3"/>
        <w:spacing w:before="0" w:beforeAutospacing="0" w:after="0" w:afterAutospacing="0" w:line="360" w:lineRule="auto"/>
        <w:ind w:firstLineChars="200" w:firstLine="420"/>
        <w:divId w:val="760494249"/>
        <w:rPr>
          <w:rFonts w:hint="eastAsia"/>
          <w:sz w:val="21"/>
          <w:szCs w:val="18"/>
        </w:rPr>
      </w:pPr>
      <w:r w:rsidRPr="009571EB">
        <w:rPr>
          <w:rFonts w:hint="eastAsia"/>
          <w:sz w:val="21"/>
          <w:szCs w:val="18"/>
        </w:rPr>
        <w:t>1</w:t>
      </w:r>
      <w:r w:rsidR="00C8382E" w:rsidRPr="009571EB">
        <w:rPr>
          <w:rFonts w:hint="eastAsia"/>
          <w:sz w:val="21"/>
          <w:szCs w:val="18"/>
        </w:rPr>
        <w:t>.</w:t>
      </w:r>
      <w:r w:rsidRPr="009571EB">
        <w:rPr>
          <w:rFonts w:hint="eastAsia"/>
          <w:sz w:val="21"/>
          <w:szCs w:val="18"/>
        </w:rPr>
        <w:t>本期处置子公司</w:t>
      </w:r>
      <w:proofErr w:type="spellStart"/>
      <w:r w:rsidRPr="009571EB">
        <w:rPr>
          <w:rFonts w:hint="eastAsia"/>
          <w:sz w:val="21"/>
          <w:szCs w:val="18"/>
        </w:rPr>
        <w:t>Fattoria</w:t>
      </w:r>
      <w:proofErr w:type="spellEnd"/>
      <w:r w:rsidRPr="009571EB">
        <w:rPr>
          <w:rFonts w:hint="eastAsia"/>
          <w:sz w:val="21"/>
          <w:szCs w:val="18"/>
        </w:rPr>
        <w:t xml:space="preserve"> Solare Imola </w:t>
      </w:r>
      <w:proofErr w:type="spellStart"/>
      <w:r w:rsidRPr="009571EB">
        <w:rPr>
          <w:rFonts w:hint="eastAsia"/>
          <w:sz w:val="21"/>
          <w:szCs w:val="18"/>
        </w:rPr>
        <w:t>S.r.l</w:t>
      </w:r>
      <w:proofErr w:type="spellEnd"/>
      <w:r w:rsidRPr="009571EB">
        <w:rPr>
          <w:rFonts w:hint="eastAsia"/>
          <w:sz w:val="21"/>
          <w:szCs w:val="18"/>
        </w:rPr>
        <w:t>。</w:t>
      </w:r>
    </w:p>
    <w:p w14:paraId="79051045" w14:textId="3C8CC579" w:rsidR="00C8382E" w:rsidRPr="009571EB" w:rsidRDefault="00107901" w:rsidP="00C8382E">
      <w:pPr>
        <w:pStyle w:val="a3"/>
        <w:spacing w:before="0" w:beforeAutospacing="0" w:after="0" w:afterAutospacing="0" w:line="360" w:lineRule="auto"/>
        <w:ind w:firstLineChars="200" w:firstLine="420"/>
        <w:divId w:val="760494249"/>
        <w:rPr>
          <w:rFonts w:hint="eastAsia"/>
          <w:sz w:val="21"/>
          <w:szCs w:val="18"/>
        </w:rPr>
      </w:pPr>
      <w:r w:rsidRPr="009571EB">
        <w:rPr>
          <w:rFonts w:hint="eastAsia"/>
          <w:sz w:val="21"/>
          <w:szCs w:val="18"/>
        </w:rPr>
        <w:t>2</w:t>
      </w:r>
      <w:r w:rsidR="00C8382E" w:rsidRPr="009571EB">
        <w:rPr>
          <w:rFonts w:hint="eastAsia"/>
          <w:sz w:val="21"/>
          <w:szCs w:val="18"/>
        </w:rPr>
        <w:t>.</w:t>
      </w:r>
      <w:r w:rsidRPr="009571EB">
        <w:rPr>
          <w:rFonts w:hint="eastAsia"/>
          <w:sz w:val="21"/>
          <w:szCs w:val="18"/>
        </w:rPr>
        <w:t>本期新设子公司越南利星科技有限公司，注册资本367.35亿越南盾，本公司持股100%，截止2024年12月31日已完成出资。</w:t>
      </w:r>
    </w:p>
    <w:p w14:paraId="21303FCB" w14:textId="248EB81F" w:rsidR="00C8382E" w:rsidRPr="009571EB" w:rsidRDefault="00107901" w:rsidP="00C8382E">
      <w:pPr>
        <w:pStyle w:val="a3"/>
        <w:spacing w:before="0" w:beforeAutospacing="0" w:after="0" w:afterAutospacing="0" w:line="360" w:lineRule="auto"/>
        <w:ind w:firstLineChars="200" w:firstLine="420"/>
        <w:divId w:val="760494249"/>
        <w:rPr>
          <w:rFonts w:hint="eastAsia"/>
          <w:sz w:val="21"/>
          <w:szCs w:val="18"/>
        </w:rPr>
      </w:pPr>
      <w:r w:rsidRPr="009571EB">
        <w:rPr>
          <w:rFonts w:hint="eastAsia"/>
          <w:sz w:val="21"/>
          <w:szCs w:val="18"/>
        </w:rPr>
        <w:t>3</w:t>
      </w:r>
      <w:r w:rsidR="00C8382E" w:rsidRPr="009571EB">
        <w:rPr>
          <w:sz w:val="21"/>
          <w:szCs w:val="18"/>
        </w:rPr>
        <w:t>.</w:t>
      </w:r>
      <w:r w:rsidRPr="009571EB">
        <w:rPr>
          <w:rFonts w:hint="eastAsia"/>
          <w:sz w:val="21"/>
          <w:szCs w:val="18"/>
        </w:rPr>
        <w:t>本期注销的子公司：东莞市中利特种电缆材料有限公司、湖州昊晖生态养殖有限公司、苏州腾晖华晟电力技术有限公司、苏州腾晖通安电力技术有限公司、苏州腾晖华耀电力技术有限公司、常熟腾晖能投光伏发电有限公司、重庆腾晖能投新能源有限公司、苏州腾晖科能电力技术有限公司、常熟创成光伏电站开发有限公司、常熟明拓光伏电站开发有限公司、宿迁和曦新能源有限公司、常熟明远光伏电站</w:t>
      </w:r>
      <w:r w:rsidRPr="009571EB">
        <w:rPr>
          <w:rFonts w:hint="eastAsia"/>
          <w:sz w:val="21"/>
          <w:szCs w:val="18"/>
        </w:rPr>
        <w:lastRenderedPageBreak/>
        <w:t>开发有限公司、宿迁和晨新能源有限公司、常熟拓志光伏电站开发有限公司、常熟诚明光伏电站开发有限公司、常熟诚丰光伏电站开发有限公司、河南腾晖家能新能源有限公司、TS SOLAR SPAIN A.G.、TS SOLAR ALFA SRL、TS SOLAR BETA SRL、TS SOLAR DELTA SRL、TS SOLAR EPSILON SRL、TS SOLAR ETA SRL、TS SOLAR GAMMA SRL、TS SOLAR THETA SRL、TS SOLAR ZETA SRL</w:t>
      </w:r>
      <w:r w:rsidR="00C8382E" w:rsidRPr="009571EB">
        <w:rPr>
          <w:rFonts w:hint="eastAsia"/>
          <w:sz w:val="21"/>
          <w:szCs w:val="18"/>
        </w:rPr>
        <w:t>。</w:t>
      </w:r>
    </w:p>
    <w:p w14:paraId="45FD62F5" w14:textId="0CD72EE0" w:rsidR="00E72F0C" w:rsidRPr="009571EB" w:rsidRDefault="00107901" w:rsidP="00C8382E">
      <w:pPr>
        <w:pStyle w:val="a3"/>
        <w:spacing w:before="0" w:beforeAutospacing="0" w:after="0" w:afterAutospacing="0" w:line="360" w:lineRule="auto"/>
        <w:ind w:firstLineChars="200" w:firstLine="420"/>
        <w:divId w:val="760494249"/>
        <w:rPr>
          <w:rFonts w:hint="eastAsia"/>
          <w:sz w:val="21"/>
          <w:szCs w:val="18"/>
        </w:rPr>
      </w:pPr>
      <w:r w:rsidRPr="009571EB">
        <w:rPr>
          <w:rFonts w:hint="eastAsia"/>
          <w:sz w:val="21"/>
          <w:szCs w:val="18"/>
        </w:rPr>
        <w:t xml:space="preserve"> 4</w:t>
      </w:r>
      <w:r w:rsidR="00C8382E" w:rsidRPr="009571EB">
        <w:rPr>
          <w:sz w:val="21"/>
          <w:szCs w:val="18"/>
        </w:rPr>
        <w:t>.</w:t>
      </w:r>
      <w:r w:rsidRPr="009571EB">
        <w:rPr>
          <w:rFonts w:hint="eastAsia"/>
          <w:sz w:val="21"/>
          <w:szCs w:val="18"/>
        </w:rPr>
        <w:t xml:space="preserve">本期因执行重整计划纳入信托计划而不再纳入合并范围的子公司：常熟拓明光伏电站开发有限公司、常熟诚元光伏电站开发有限公司、常熟宏发光伏电站开发有限公司、山东腾晖新能源技术有限公司、淄博盛晖光伏技术有限公司、淄博新晖光伏发电有限公司、宿迁腾晖光电有限公司、宿迁腾晖新能源技术有限公司、泗阳腾晖光电有限公司、泗阳腾晖新能源技术有限公司、沛县腾晖新能源技术有限公司、黄骅市腾晖新能源技术有限公司、山东腾晖光电有限公司、中利新能源（香港）投资有限公司、TS Energy Global S.à </w:t>
      </w:r>
      <w:proofErr w:type="spellStart"/>
      <w:r w:rsidRPr="009571EB">
        <w:rPr>
          <w:rFonts w:hint="eastAsia"/>
          <w:sz w:val="21"/>
          <w:szCs w:val="18"/>
        </w:rPr>
        <w:t>r.l</w:t>
      </w:r>
      <w:proofErr w:type="spellEnd"/>
      <w:r w:rsidRPr="009571EB">
        <w:rPr>
          <w:rFonts w:hint="eastAsia"/>
          <w:sz w:val="21"/>
          <w:szCs w:val="18"/>
        </w:rPr>
        <w:t>.、TALESUN NEW ENERGY VIETNAM COMPANY LIMITED、</w:t>
      </w:r>
      <w:proofErr w:type="spellStart"/>
      <w:r w:rsidRPr="009571EB">
        <w:rPr>
          <w:rFonts w:hint="eastAsia"/>
          <w:sz w:val="21"/>
          <w:szCs w:val="18"/>
        </w:rPr>
        <w:t>Talesun</w:t>
      </w:r>
      <w:proofErr w:type="spellEnd"/>
      <w:r w:rsidRPr="009571EB">
        <w:rPr>
          <w:rFonts w:hint="eastAsia"/>
          <w:sz w:val="21"/>
          <w:szCs w:val="18"/>
        </w:rPr>
        <w:t xml:space="preserve"> Solar Switzerland AG、</w:t>
      </w:r>
      <w:proofErr w:type="spellStart"/>
      <w:r w:rsidRPr="009571EB">
        <w:rPr>
          <w:rFonts w:hint="eastAsia"/>
          <w:sz w:val="21"/>
          <w:szCs w:val="18"/>
        </w:rPr>
        <w:t>Talesun</w:t>
      </w:r>
      <w:proofErr w:type="spellEnd"/>
      <w:r w:rsidRPr="009571EB">
        <w:rPr>
          <w:rFonts w:hint="eastAsia"/>
          <w:sz w:val="21"/>
          <w:szCs w:val="18"/>
        </w:rPr>
        <w:t xml:space="preserve"> Energy Argentina S.A.、</w:t>
      </w:r>
      <w:proofErr w:type="spellStart"/>
      <w:r w:rsidRPr="009571EB">
        <w:rPr>
          <w:rFonts w:hint="eastAsia"/>
          <w:sz w:val="21"/>
          <w:szCs w:val="18"/>
        </w:rPr>
        <w:t>Talesun</w:t>
      </w:r>
      <w:proofErr w:type="spellEnd"/>
      <w:r w:rsidRPr="009571EB">
        <w:rPr>
          <w:rFonts w:hint="eastAsia"/>
          <w:sz w:val="21"/>
          <w:szCs w:val="18"/>
        </w:rPr>
        <w:t xml:space="preserve"> Energy LATAM S.A.、</w:t>
      </w:r>
      <w:proofErr w:type="spellStart"/>
      <w:r w:rsidRPr="009571EB">
        <w:rPr>
          <w:rFonts w:hint="eastAsia"/>
          <w:sz w:val="21"/>
          <w:szCs w:val="18"/>
        </w:rPr>
        <w:t>Talesun</w:t>
      </w:r>
      <w:proofErr w:type="spellEnd"/>
      <w:r w:rsidRPr="009571EB">
        <w:rPr>
          <w:rFonts w:hint="eastAsia"/>
          <w:sz w:val="21"/>
          <w:szCs w:val="18"/>
        </w:rPr>
        <w:t xml:space="preserve"> Solar Germany GmbH、TSI Solar Enerji </w:t>
      </w:r>
      <w:proofErr w:type="spellStart"/>
      <w:r w:rsidRPr="009571EB">
        <w:rPr>
          <w:rFonts w:hint="eastAsia"/>
          <w:sz w:val="21"/>
          <w:szCs w:val="18"/>
        </w:rPr>
        <w:t>Anonim</w:t>
      </w:r>
      <w:proofErr w:type="spellEnd"/>
      <w:r w:rsidRPr="009571EB">
        <w:rPr>
          <w:rFonts w:hint="eastAsia"/>
          <w:sz w:val="21"/>
          <w:szCs w:val="18"/>
        </w:rPr>
        <w:t xml:space="preserve"> </w:t>
      </w:r>
      <w:proofErr w:type="spellStart"/>
      <w:r w:rsidRPr="009571EB">
        <w:rPr>
          <w:rFonts w:hint="eastAsia"/>
          <w:sz w:val="21"/>
          <w:szCs w:val="18"/>
        </w:rPr>
        <w:t>Sirketi</w:t>
      </w:r>
      <w:proofErr w:type="spellEnd"/>
      <w:r w:rsidRPr="009571EB">
        <w:rPr>
          <w:rFonts w:hint="eastAsia"/>
          <w:sz w:val="21"/>
          <w:szCs w:val="18"/>
        </w:rPr>
        <w:t>、</w:t>
      </w:r>
      <w:proofErr w:type="spellStart"/>
      <w:r w:rsidRPr="009571EB">
        <w:rPr>
          <w:rFonts w:hint="eastAsia"/>
          <w:sz w:val="21"/>
          <w:szCs w:val="18"/>
        </w:rPr>
        <w:t>Talesun</w:t>
      </w:r>
      <w:proofErr w:type="spellEnd"/>
      <w:r w:rsidRPr="009571EB">
        <w:rPr>
          <w:rFonts w:hint="eastAsia"/>
          <w:sz w:val="21"/>
          <w:szCs w:val="18"/>
        </w:rPr>
        <w:t xml:space="preserve"> Solar Technologies S.A.G.L、</w:t>
      </w:r>
      <w:proofErr w:type="spellStart"/>
      <w:r w:rsidRPr="009571EB">
        <w:rPr>
          <w:rFonts w:hint="eastAsia"/>
          <w:sz w:val="21"/>
          <w:szCs w:val="18"/>
        </w:rPr>
        <w:t>Talesun</w:t>
      </w:r>
      <w:proofErr w:type="spellEnd"/>
      <w:r w:rsidRPr="009571EB">
        <w:rPr>
          <w:rFonts w:hint="eastAsia"/>
          <w:sz w:val="21"/>
          <w:szCs w:val="18"/>
        </w:rPr>
        <w:t xml:space="preserve"> Solar Bucharest S.R.L、TS SOLAR ITALY AG、</w:t>
      </w:r>
      <w:proofErr w:type="spellStart"/>
      <w:r w:rsidRPr="009571EB">
        <w:rPr>
          <w:rFonts w:hint="eastAsia"/>
          <w:sz w:val="21"/>
          <w:szCs w:val="18"/>
        </w:rPr>
        <w:t>Fattoria</w:t>
      </w:r>
      <w:proofErr w:type="spellEnd"/>
      <w:r w:rsidRPr="009571EB">
        <w:rPr>
          <w:rFonts w:hint="eastAsia"/>
          <w:sz w:val="21"/>
          <w:szCs w:val="18"/>
        </w:rPr>
        <w:t xml:space="preserve"> Solare Alfonsine </w:t>
      </w:r>
      <w:proofErr w:type="spellStart"/>
      <w:r w:rsidRPr="009571EB">
        <w:rPr>
          <w:rFonts w:hint="eastAsia"/>
          <w:sz w:val="21"/>
          <w:szCs w:val="18"/>
        </w:rPr>
        <w:t>S.r.l</w:t>
      </w:r>
      <w:proofErr w:type="spellEnd"/>
      <w:r w:rsidRPr="009571EB">
        <w:rPr>
          <w:rFonts w:hint="eastAsia"/>
          <w:sz w:val="21"/>
          <w:szCs w:val="18"/>
        </w:rPr>
        <w:t>.、</w:t>
      </w:r>
      <w:proofErr w:type="spellStart"/>
      <w:r w:rsidRPr="009571EB">
        <w:rPr>
          <w:rFonts w:hint="eastAsia"/>
          <w:sz w:val="21"/>
          <w:szCs w:val="18"/>
        </w:rPr>
        <w:t>Fattoria</w:t>
      </w:r>
      <w:proofErr w:type="spellEnd"/>
      <w:r w:rsidRPr="009571EB">
        <w:rPr>
          <w:rFonts w:hint="eastAsia"/>
          <w:sz w:val="21"/>
          <w:szCs w:val="18"/>
        </w:rPr>
        <w:t xml:space="preserve"> Solare Montecchio </w:t>
      </w:r>
      <w:proofErr w:type="spellStart"/>
      <w:r w:rsidRPr="009571EB">
        <w:rPr>
          <w:rFonts w:hint="eastAsia"/>
          <w:sz w:val="21"/>
          <w:szCs w:val="18"/>
        </w:rPr>
        <w:t>S.r.l</w:t>
      </w:r>
      <w:proofErr w:type="spellEnd"/>
      <w:r w:rsidRPr="009571EB">
        <w:rPr>
          <w:rFonts w:hint="eastAsia"/>
          <w:sz w:val="21"/>
          <w:szCs w:val="18"/>
        </w:rPr>
        <w:t>、</w:t>
      </w:r>
      <w:proofErr w:type="spellStart"/>
      <w:r w:rsidRPr="009571EB">
        <w:rPr>
          <w:rFonts w:hint="eastAsia"/>
          <w:sz w:val="21"/>
          <w:szCs w:val="18"/>
        </w:rPr>
        <w:t>Talesun</w:t>
      </w:r>
      <w:proofErr w:type="spellEnd"/>
      <w:r w:rsidRPr="009571EB">
        <w:rPr>
          <w:rFonts w:hint="eastAsia"/>
          <w:sz w:val="21"/>
          <w:szCs w:val="18"/>
        </w:rPr>
        <w:t xml:space="preserve"> Energy Solutions S.R.L.、TS ENERGY ROOFTOPS S.R.L.、AMT 1801 S.R.L.、TS Energy Apulia </w:t>
      </w:r>
      <w:proofErr w:type="spellStart"/>
      <w:r w:rsidRPr="009571EB">
        <w:rPr>
          <w:rFonts w:hint="eastAsia"/>
          <w:sz w:val="21"/>
          <w:szCs w:val="18"/>
        </w:rPr>
        <w:t>Srl</w:t>
      </w:r>
      <w:proofErr w:type="spellEnd"/>
      <w:r w:rsidRPr="009571EB">
        <w:rPr>
          <w:rFonts w:hint="eastAsia"/>
          <w:sz w:val="21"/>
          <w:szCs w:val="18"/>
        </w:rPr>
        <w:t xml:space="preserve">、Tre </w:t>
      </w:r>
      <w:proofErr w:type="spellStart"/>
      <w:r w:rsidRPr="009571EB">
        <w:rPr>
          <w:rFonts w:hint="eastAsia"/>
          <w:sz w:val="21"/>
          <w:szCs w:val="18"/>
        </w:rPr>
        <w:t>ConfiniSrl</w:t>
      </w:r>
      <w:proofErr w:type="spellEnd"/>
      <w:r w:rsidRPr="009571EB">
        <w:rPr>
          <w:rFonts w:hint="eastAsia"/>
          <w:sz w:val="21"/>
          <w:szCs w:val="18"/>
        </w:rPr>
        <w:t>、</w:t>
      </w:r>
      <w:proofErr w:type="spellStart"/>
      <w:r w:rsidRPr="009571EB">
        <w:rPr>
          <w:rFonts w:hint="eastAsia"/>
          <w:sz w:val="21"/>
          <w:szCs w:val="18"/>
        </w:rPr>
        <w:t>FerrandinaSrl</w:t>
      </w:r>
      <w:proofErr w:type="spellEnd"/>
      <w:r w:rsidRPr="009571EB">
        <w:rPr>
          <w:rFonts w:hint="eastAsia"/>
          <w:sz w:val="21"/>
          <w:szCs w:val="18"/>
        </w:rPr>
        <w:t>、</w:t>
      </w:r>
      <w:proofErr w:type="spellStart"/>
      <w:r w:rsidRPr="009571EB">
        <w:rPr>
          <w:rFonts w:hint="eastAsia"/>
          <w:sz w:val="21"/>
          <w:szCs w:val="18"/>
        </w:rPr>
        <w:t>Ginosa</w:t>
      </w:r>
      <w:proofErr w:type="spellEnd"/>
      <w:r w:rsidRPr="009571EB">
        <w:rPr>
          <w:rFonts w:hint="eastAsia"/>
          <w:sz w:val="21"/>
          <w:szCs w:val="18"/>
        </w:rPr>
        <w:t xml:space="preserve"> </w:t>
      </w:r>
      <w:proofErr w:type="spellStart"/>
      <w:r w:rsidRPr="009571EB">
        <w:rPr>
          <w:rFonts w:hint="eastAsia"/>
          <w:sz w:val="21"/>
          <w:szCs w:val="18"/>
        </w:rPr>
        <w:t>Srl</w:t>
      </w:r>
      <w:proofErr w:type="spellEnd"/>
      <w:r w:rsidRPr="009571EB">
        <w:rPr>
          <w:rFonts w:hint="eastAsia"/>
          <w:sz w:val="21"/>
          <w:szCs w:val="18"/>
        </w:rPr>
        <w:t xml:space="preserve">、San Mauro </w:t>
      </w:r>
      <w:proofErr w:type="spellStart"/>
      <w:r w:rsidRPr="009571EB">
        <w:rPr>
          <w:rFonts w:hint="eastAsia"/>
          <w:sz w:val="21"/>
          <w:szCs w:val="18"/>
        </w:rPr>
        <w:t>Srl</w:t>
      </w:r>
      <w:proofErr w:type="spellEnd"/>
      <w:r w:rsidRPr="009571EB">
        <w:rPr>
          <w:rFonts w:hint="eastAsia"/>
          <w:sz w:val="21"/>
          <w:szCs w:val="18"/>
        </w:rPr>
        <w:t>、TS ENERGY EUROPE S.A.、腾晖电力美国有限公司、TALESUN DO BRASIL CONSULTORIA LTDA.、Zhongli New Energy USA CO.,LLC、中利太阳能控股日本有限公司、Space Engineer A LLC、合同会社井上能源、JAE株式会社、新电力太阳光厚岸发电所合同会社、新电力太阳光御殿场发电所合同会社、新电力御殿场太阳光第1株式会社、农光振兴株式会社、新荣商事株式会社、中利腾晖香港有限公司、TALESUN SOLAR FRANCE、TALESUN SOLAR TECHNOLOGY(SINGAPORE) PTE.LTD.、腾晖电力日本有限公司、</w:t>
      </w:r>
      <w:proofErr w:type="spellStart"/>
      <w:r w:rsidR="009571EB">
        <w:rPr>
          <w:rFonts w:hint="eastAsia"/>
          <w:sz w:val="21"/>
          <w:szCs w:val="18"/>
        </w:rPr>
        <w:t>Talesun</w:t>
      </w:r>
      <w:proofErr w:type="spellEnd"/>
      <w:r w:rsidR="009571EB">
        <w:rPr>
          <w:rFonts w:hint="eastAsia"/>
          <w:sz w:val="21"/>
          <w:szCs w:val="18"/>
        </w:rPr>
        <w:t xml:space="preserve"> Solar Canada Inc.</w:t>
      </w:r>
      <w:r w:rsidRPr="009571EB">
        <w:rPr>
          <w:rFonts w:hint="eastAsia"/>
          <w:sz w:val="21"/>
          <w:szCs w:val="18"/>
        </w:rPr>
        <w:t>。</w:t>
      </w:r>
    </w:p>
    <w:p w14:paraId="24CA1E1B" w14:textId="77777777" w:rsidR="00632E5B" w:rsidRDefault="00107901">
      <w:pPr>
        <w:pStyle w:val="2"/>
        <w:spacing w:before="300" w:after="300" w:line="320" w:lineRule="exact"/>
        <w:rPr>
          <w:rFonts w:ascii="宋体" w:eastAsia="宋体" w:hAnsi="宋体" w:cs="宋体" w:hint="eastAsia"/>
          <w:b/>
          <w:bCs/>
          <w:sz w:val="24"/>
          <w:szCs w:val="24"/>
        </w:rPr>
      </w:pPr>
      <w:bookmarkStart w:id="103" w:name="_Toc988992"/>
      <w:r>
        <w:rPr>
          <w:rFonts w:ascii="宋体" w:eastAsia="宋体" w:hAnsi="宋体" w:cs="宋体"/>
          <w:b/>
          <w:bCs/>
          <w:sz w:val="24"/>
          <w:szCs w:val="24"/>
        </w:rPr>
        <w:t>八、聘任、解聘会计师事务所情况</w:t>
      </w:r>
      <w:bookmarkEnd w:id="103"/>
    </w:p>
    <w:p w14:paraId="78F1C81F"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现聘任的会计师事务所</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4820"/>
        <w:gridCol w:w="4819"/>
      </w:tblGrid>
      <w:tr w:rsidR="00632E5B" w14:paraId="20D20C43" w14:textId="77777777" w:rsidTr="00624CC1">
        <w:trPr>
          <w:trHeight w:val="240"/>
        </w:trPr>
        <w:tc>
          <w:tcPr>
            <w:tcW w:w="4820" w:type="dxa"/>
            <w:shd w:val="clear" w:color="auto" w:fill="FFFFFF" w:themeFill="background1"/>
            <w:vAlign w:val="center"/>
          </w:tcPr>
          <w:p w14:paraId="6E97570D"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境内会计师事务所名称</w:t>
            </w:r>
          </w:p>
        </w:tc>
        <w:tc>
          <w:tcPr>
            <w:tcW w:w="4820" w:type="dxa"/>
            <w:shd w:val="clear" w:color="auto" w:fill="FFFFFF" w:themeFill="background1"/>
            <w:vAlign w:val="center"/>
          </w:tcPr>
          <w:p w14:paraId="3EF38F6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苏亚金诚会计师事务所（特殊普通合伙）</w:t>
            </w:r>
          </w:p>
        </w:tc>
      </w:tr>
      <w:tr w:rsidR="00632E5B" w14:paraId="7742ABC4" w14:textId="77777777" w:rsidTr="00624CC1">
        <w:trPr>
          <w:trHeight w:val="240"/>
        </w:trPr>
        <w:tc>
          <w:tcPr>
            <w:tcW w:w="4820" w:type="dxa"/>
            <w:shd w:val="clear" w:color="auto" w:fill="FFFFFF" w:themeFill="background1"/>
            <w:vAlign w:val="center"/>
          </w:tcPr>
          <w:p w14:paraId="352D1AA4"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境内会计师事务所报酬（万元）</w:t>
            </w:r>
          </w:p>
        </w:tc>
        <w:tc>
          <w:tcPr>
            <w:tcW w:w="4820" w:type="dxa"/>
            <w:shd w:val="clear" w:color="auto" w:fill="FFFFFF" w:themeFill="background1"/>
            <w:vAlign w:val="center"/>
          </w:tcPr>
          <w:p w14:paraId="1E63D72D" w14:textId="77777777" w:rsidR="00632E5B" w:rsidRDefault="00107901" w:rsidP="00624CC1">
            <w:pPr>
              <w:spacing w:line="240" w:lineRule="exact"/>
              <w:rPr>
                <w:rFonts w:ascii="宋体" w:eastAsia="宋体" w:hAnsi="宋体" w:cs="宋体" w:hint="eastAsia"/>
                <w:sz w:val="18"/>
                <w:szCs w:val="18"/>
              </w:rPr>
            </w:pPr>
            <w:r>
              <w:rPr>
                <w:rFonts w:ascii="宋体" w:eastAsia="宋体" w:hAnsi="宋体" w:cs="宋体"/>
                <w:sz w:val="18"/>
                <w:szCs w:val="18"/>
              </w:rPr>
              <w:t>210</w:t>
            </w:r>
          </w:p>
        </w:tc>
      </w:tr>
      <w:tr w:rsidR="00632E5B" w14:paraId="70881755" w14:textId="77777777" w:rsidTr="00624CC1">
        <w:trPr>
          <w:trHeight w:val="240"/>
        </w:trPr>
        <w:tc>
          <w:tcPr>
            <w:tcW w:w="4820" w:type="dxa"/>
            <w:shd w:val="clear" w:color="auto" w:fill="FFFFFF" w:themeFill="background1"/>
            <w:vAlign w:val="center"/>
          </w:tcPr>
          <w:p w14:paraId="53C476E9"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境内会计师事务所审计服务的连续年限</w:t>
            </w:r>
          </w:p>
        </w:tc>
        <w:tc>
          <w:tcPr>
            <w:tcW w:w="4820" w:type="dxa"/>
            <w:shd w:val="clear" w:color="auto" w:fill="FFFFFF" w:themeFill="background1"/>
            <w:vAlign w:val="center"/>
          </w:tcPr>
          <w:p w14:paraId="3312BA7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3</w:t>
            </w:r>
          </w:p>
        </w:tc>
      </w:tr>
      <w:tr w:rsidR="00632E5B" w14:paraId="487AEFE2" w14:textId="77777777" w:rsidTr="00624CC1">
        <w:trPr>
          <w:trHeight w:val="240"/>
        </w:trPr>
        <w:tc>
          <w:tcPr>
            <w:tcW w:w="4820" w:type="dxa"/>
            <w:shd w:val="clear" w:color="auto" w:fill="FFFFFF" w:themeFill="background1"/>
            <w:vAlign w:val="center"/>
          </w:tcPr>
          <w:p w14:paraId="2FF4093F"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境内会计师事务所注册会计师姓名</w:t>
            </w:r>
          </w:p>
        </w:tc>
        <w:tc>
          <w:tcPr>
            <w:tcW w:w="4820" w:type="dxa"/>
            <w:shd w:val="clear" w:color="auto" w:fill="FFFFFF" w:themeFill="background1"/>
            <w:vAlign w:val="center"/>
          </w:tcPr>
          <w:p w14:paraId="401388F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徐长俄、许三春</w:t>
            </w:r>
          </w:p>
        </w:tc>
      </w:tr>
      <w:tr w:rsidR="00632E5B" w14:paraId="3ED4C457" w14:textId="77777777" w:rsidTr="00624CC1">
        <w:trPr>
          <w:trHeight w:val="240"/>
        </w:trPr>
        <w:tc>
          <w:tcPr>
            <w:tcW w:w="4820" w:type="dxa"/>
            <w:shd w:val="clear" w:color="auto" w:fill="FFFFFF" w:themeFill="background1"/>
            <w:vAlign w:val="center"/>
          </w:tcPr>
          <w:p w14:paraId="2F517DC1"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境内会计师事务所注册会计师审计服务的连续年限</w:t>
            </w:r>
          </w:p>
        </w:tc>
        <w:tc>
          <w:tcPr>
            <w:tcW w:w="4820" w:type="dxa"/>
            <w:shd w:val="clear" w:color="auto" w:fill="FFFFFF" w:themeFill="background1"/>
            <w:vAlign w:val="center"/>
          </w:tcPr>
          <w:p w14:paraId="645227F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徐长俄（3年）、许三春（2年）</w:t>
            </w:r>
          </w:p>
        </w:tc>
      </w:tr>
      <w:tr w:rsidR="00632E5B" w14:paraId="68629295" w14:textId="77777777" w:rsidTr="00624CC1">
        <w:trPr>
          <w:trHeight w:val="240"/>
        </w:trPr>
        <w:tc>
          <w:tcPr>
            <w:tcW w:w="4820" w:type="dxa"/>
            <w:shd w:val="clear" w:color="auto" w:fill="FFFFFF" w:themeFill="background1"/>
            <w:vAlign w:val="center"/>
          </w:tcPr>
          <w:p w14:paraId="037D16A0"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境外会计师事务所名称（如有）</w:t>
            </w:r>
          </w:p>
        </w:tc>
        <w:tc>
          <w:tcPr>
            <w:tcW w:w="4820" w:type="dxa"/>
            <w:shd w:val="clear" w:color="auto" w:fill="FFFFFF" w:themeFill="background1"/>
            <w:vAlign w:val="center"/>
          </w:tcPr>
          <w:p w14:paraId="70D9A38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w:t>
            </w:r>
          </w:p>
        </w:tc>
      </w:tr>
      <w:tr w:rsidR="00632E5B" w14:paraId="1706555B" w14:textId="77777777" w:rsidTr="00624CC1">
        <w:trPr>
          <w:trHeight w:val="240"/>
        </w:trPr>
        <w:tc>
          <w:tcPr>
            <w:tcW w:w="4820" w:type="dxa"/>
            <w:shd w:val="clear" w:color="auto" w:fill="FFFFFF" w:themeFill="background1"/>
            <w:vAlign w:val="center"/>
          </w:tcPr>
          <w:p w14:paraId="289E4EBF"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境外会计师事务所审计服务的连续年限（如有）</w:t>
            </w:r>
          </w:p>
        </w:tc>
        <w:tc>
          <w:tcPr>
            <w:tcW w:w="4820" w:type="dxa"/>
            <w:shd w:val="clear" w:color="auto" w:fill="FFFFFF" w:themeFill="background1"/>
            <w:vAlign w:val="center"/>
          </w:tcPr>
          <w:p w14:paraId="5C3FCF7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w:t>
            </w:r>
          </w:p>
        </w:tc>
      </w:tr>
      <w:tr w:rsidR="00632E5B" w14:paraId="24EF5929" w14:textId="77777777" w:rsidTr="00624CC1">
        <w:trPr>
          <w:trHeight w:val="240"/>
        </w:trPr>
        <w:tc>
          <w:tcPr>
            <w:tcW w:w="4820" w:type="dxa"/>
            <w:shd w:val="clear" w:color="auto" w:fill="FFFFFF" w:themeFill="background1"/>
            <w:vAlign w:val="center"/>
          </w:tcPr>
          <w:p w14:paraId="69055115"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境外会计师事务所注册会计师姓名（如有）</w:t>
            </w:r>
          </w:p>
        </w:tc>
        <w:tc>
          <w:tcPr>
            <w:tcW w:w="4820" w:type="dxa"/>
            <w:shd w:val="clear" w:color="auto" w:fill="FFFFFF" w:themeFill="background1"/>
            <w:vAlign w:val="center"/>
          </w:tcPr>
          <w:p w14:paraId="0C04885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w:t>
            </w:r>
          </w:p>
        </w:tc>
      </w:tr>
      <w:tr w:rsidR="00632E5B" w14:paraId="644E19EE" w14:textId="77777777" w:rsidTr="00624CC1">
        <w:trPr>
          <w:trHeight w:val="240"/>
        </w:trPr>
        <w:tc>
          <w:tcPr>
            <w:tcW w:w="4820" w:type="dxa"/>
            <w:shd w:val="clear" w:color="auto" w:fill="FFFFFF" w:themeFill="background1"/>
            <w:vAlign w:val="center"/>
          </w:tcPr>
          <w:p w14:paraId="0D3C2E6C"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lastRenderedPageBreak/>
              <w:t>境外会计师事务所注册会计师审计服务的连续年限（如有）</w:t>
            </w:r>
          </w:p>
        </w:tc>
        <w:tc>
          <w:tcPr>
            <w:tcW w:w="4820" w:type="dxa"/>
            <w:shd w:val="clear" w:color="auto" w:fill="FFFFFF" w:themeFill="background1"/>
            <w:vAlign w:val="center"/>
          </w:tcPr>
          <w:p w14:paraId="58CDA55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w:t>
            </w:r>
          </w:p>
        </w:tc>
      </w:tr>
    </w:tbl>
    <w:p w14:paraId="2345B94C"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当期是否改聘会计师事务所</w:t>
      </w:r>
    </w:p>
    <w:p w14:paraId="44E2596C"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3A8D62A5"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聘请内部控制审计会计师事务所、财务顾问或保荐人情况</w:t>
      </w:r>
    </w:p>
    <w:p w14:paraId="5D0E28AF"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033BAC20" w14:textId="45BED4BA" w:rsidR="00E72F0C" w:rsidRPr="00635C7A" w:rsidRDefault="00107901" w:rsidP="00635C7A">
      <w:pPr>
        <w:pStyle w:val="a3"/>
        <w:spacing w:before="0" w:beforeAutospacing="0" w:after="0" w:afterAutospacing="0" w:line="360" w:lineRule="auto"/>
        <w:ind w:firstLineChars="200" w:firstLine="420"/>
        <w:divId w:val="962463257"/>
        <w:rPr>
          <w:rFonts w:hint="eastAsia"/>
          <w:sz w:val="21"/>
          <w:szCs w:val="18"/>
        </w:rPr>
      </w:pPr>
      <w:r w:rsidRPr="00635C7A">
        <w:rPr>
          <w:rFonts w:hint="eastAsia"/>
          <w:sz w:val="21"/>
          <w:szCs w:val="18"/>
        </w:rPr>
        <w:t>本报告期，公司聘请了苏亚金诚会计师事务所（特殊普通合伙）为公司2024年度财务报表审计和财务报告内部控制审计机构， 年度审计费用分别为人民币160万元和50万元，合计210万元。</w:t>
      </w:r>
    </w:p>
    <w:p w14:paraId="23470658" w14:textId="77777777" w:rsidR="00632E5B" w:rsidRDefault="00107901">
      <w:pPr>
        <w:pStyle w:val="2"/>
        <w:spacing w:before="300" w:after="300" w:line="320" w:lineRule="exact"/>
        <w:rPr>
          <w:rFonts w:ascii="宋体" w:eastAsia="宋体" w:hAnsi="宋体" w:cs="宋体" w:hint="eastAsia"/>
          <w:b/>
          <w:bCs/>
          <w:sz w:val="24"/>
          <w:szCs w:val="24"/>
        </w:rPr>
      </w:pPr>
      <w:bookmarkStart w:id="104" w:name="_Toc988993"/>
      <w:r>
        <w:rPr>
          <w:rFonts w:ascii="宋体" w:eastAsia="宋体" w:hAnsi="宋体" w:cs="宋体"/>
          <w:b/>
          <w:bCs/>
          <w:sz w:val="24"/>
          <w:szCs w:val="24"/>
        </w:rPr>
        <w:t>九、年度报告披露后面临退市情况</w:t>
      </w:r>
      <w:bookmarkEnd w:id="104"/>
    </w:p>
    <w:p w14:paraId="76CB12B8"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679A08E3" w14:textId="77777777" w:rsidR="00632E5B" w:rsidRDefault="00107901">
      <w:pPr>
        <w:pStyle w:val="2"/>
        <w:spacing w:before="300" w:after="300" w:line="320" w:lineRule="exact"/>
        <w:rPr>
          <w:rFonts w:ascii="宋体" w:eastAsia="宋体" w:hAnsi="宋体" w:cs="宋体" w:hint="eastAsia"/>
          <w:b/>
          <w:bCs/>
          <w:sz w:val="24"/>
          <w:szCs w:val="24"/>
        </w:rPr>
      </w:pPr>
      <w:bookmarkStart w:id="105" w:name="_Toc988994"/>
      <w:r>
        <w:rPr>
          <w:rFonts w:ascii="宋体" w:eastAsia="宋体" w:hAnsi="宋体" w:cs="宋体"/>
          <w:b/>
          <w:bCs/>
          <w:sz w:val="24"/>
          <w:szCs w:val="24"/>
        </w:rPr>
        <w:t>十、破产重整相关事项</w:t>
      </w:r>
      <w:bookmarkEnd w:id="105"/>
    </w:p>
    <w:p w14:paraId="1B53E9F9"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7D43B272" w14:textId="77777777" w:rsidR="00E72F0C" w:rsidRDefault="00107901">
      <w:pPr>
        <w:pStyle w:val="a3"/>
        <w:spacing w:before="0" w:beforeAutospacing="0" w:after="0" w:afterAutospacing="0" w:line="360" w:lineRule="auto"/>
        <w:ind w:firstLine="420"/>
        <w:jc w:val="both"/>
        <w:divId w:val="1839883638"/>
        <w:rPr>
          <w:rFonts w:ascii="等线" w:eastAsia="等线" w:hAnsi="等线" w:hint="eastAsia"/>
          <w:sz w:val="21"/>
          <w:szCs w:val="21"/>
        </w:rPr>
      </w:pPr>
      <w:r>
        <w:rPr>
          <w:rFonts w:hint="eastAsia"/>
          <w:sz w:val="21"/>
          <w:szCs w:val="21"/>
        </w:rPr>
        <w:t>1.2023年1月18日，债权人江苏欣意装饰工程有限公司以公司不能清偿到期债务且已经明显缺乏清偿能力，但具有重整价值为由，向江苏省苏州市中级人民法院（以下简称“苏州中院”）提交了对公司的预重整及重整申请（详见公告：2023-006）。</w:t>
      </w:r>
    </w:p>
    <w:p w14:paraId="2921BA13" w14:textId="77777777" w:rsidR="00E72F0C" w:rsidRDefault="00107901">
      <w:pPr>
        <w:pStyle w:val="a3"/>
        <w:spacing w:before="0" w:beforeAutospacing="0" w:after="0" w:afterAutospacing="0" w:line="360" w:lineRule="auto"/>
        <w:ind w:firstLine="420"/>
        <w:jc w:val="both"/>
        <w:divId w:val="1839883638"/>
        <w:rPr>
          <w:rFonts w:ascii="等线" w:eastAsia="等线" w:hAnsi="等线" w:hint="eastAsia"/>
          <w:sz w:val="21"/>
          <w:szCs w:val="21"/>
        </w:rPr>
      </w:pPr>
      <w:r>
        <w:rPr>
          <w:rFonts w:hint="eastAsia"/>
          <w:sz w:val="21"/>
          <w:szCs w:val="21"/>
        </w:rPr>
        <w:t>2.2024年11月8日，苏州中院作出（2024）苏05破50号《民事裁定书》，裁定受理对公司的重整申请，并指定公司清算组担任管理人。同时，公司分别与产业投资人、牵头财务投资人签署了《预重整投资协议》。</w:t>
      </w:r>
    </w:p>
    <w:p w14:paraId="0DEC2BB8" w14:textId="77777777" w:rsidR="00E72F0C" w:rsidRDefault="00107901">
      <w:pPr>
        <w:pStyle w:val="a3"/>
        <w:spacing w:before="0" w:beforeAutospacing="0" w:after="0" w:afterAutospacing="0" w:line="360" w:lineRule="auto"/>
        <w:ind w:firstLine="420"/>
        <w:jc w:val="both"/>
        <w:divId w:val="1839883638"/>
        <w:rPr>
          <w:rFonts w:ascii="等线" w:eastAsia="等线" w:hAnsi="等线" w:hint="eastAsia"/>
          <w:sz w:val="21"/>
          <w:szCs w:val="21"/>
        </w:rPr>
      </w:pPr>
      <w:r>
        <w:rPr>
          <w:rFonts w:hint="eastAsia"/>
          <w:sz w:val="21"/>
          <w:szCs w:val="21"/>
        </w:rPr>
        <w:t>3.2024年11月13日，公司收到苏州中院送达的（2024）苏05破50号《批复》和（2024）苏05破50号之一《决定书》，苏州中院准许公司在重整期间继续营业，并准许公司在管理人的监督下自行管理财产和营业事务。</w:t>
      </w:r>
    </w:p>
    <w:p w14:paraId="3855E9E4" w14:textId="77777777" w:rsidR="00E72F0C" w:rsidRDefault="00107901">
      <w:pPr>
        <w:pStyle w:val="a3"/>
        <w:spacing w:before="0" w:beforeAutospacing="0" w:after="0" w:afterAutospacing="0" w:line="360" w:lineRule="auto"/>
        <w:ind w:firstLine="420"/>
        <w:jc w:val="both"/>
        <w:divId w:val="1839883638"/>
        <w:rPr>
          <w:rFonts w:ascii="等线" w:eastAsia="等线" w:hAnsi="等线" w:hint="eastAsia"/>
          <w:sz w:val="21"/>
          <w:szCs w:val="21"/>
        </w:rPr>
      </w:pPr>
      <w:r>
        <w:rPr>
          <w:rFonts w:hint="eastAsia"/>
          <w:sz w:val="21"/>
          <w:szCs w:val="21"/>
        </w:rPr>
        <w:t>4.2024年11月19日，公司披露了《江苏中利集团股份有限公司重整计划（草案）摘要》《江苏中利集团股份有限公司重整计划（草案）之经营方案》《江苏中利集团股份有限公司重整计划（草案）之出资人权益调整方案》和《关于召开出资人组会议及2024年第二次临时股东大会通知的公告》。</w:t>
      </w:r>
    </w:p>
    <w:p w14:paraId="52FAA492" w14:textId="77777777" w:rsidR="00E72F0C" w:rsidRDefault="00107901">
      <w:pPr>
        <w:pStyle w:val="a3"/>
        <w:spacing w:before="0" w:beforeAutospacing="0" w:after="0" w:afterAutospacing="0" w:line="360" w:lineRule="auto"/>
        <w:ind w:firstLine="420"/>
        <w:jc w:val="both"/>
        <w:divId w:val="1839883638"/>
        <w:rPr>
          <w:rFonts w:ascii="等线" w:eastAsia="等线" w:hAnsi="等线" w:hint="eastAsia"/>
          <w:sz w:val="21"/>
          <w:szCs w:val="21"/>
        </w:rPr>
      </w:pPr>
      <w:r>
        <w:rPr>
          <w:rFonts w:hint="eastAsia"/>
          <w:sz w:val="21"/>
          <w:szCs w:val="21"/>
        </w:rPr>
        <w:t>5.2024年12月5日，公司披露了《出资人组会议及2024年第二次临时股东大会决议公告》，本次会议表决通过了相关议案。</w:t>
      </w:r>
    </w:p>
    <w:p w14:paraId="74885F96" w14:textId="77777777" w:rsidR="00E72F0C" w:rsidRDefault="00107901">
      <w:pPr>
        <w:pStyle w:val="a3"/>
        <w:spacing w:before="0" w:beforeAutospacing="0" w:after="0" w:afterAutospacing="0" w:line="360" w:lineRule="auto"/>
        <w:ind w:firstLine="420"/>
        <w:jc w:val="both"/>
        <w:divId w:val="1839883638"/>
        <w:rPr>
          <w:rFonts w:ascii="等线" w:eastAsia="等线" w:hAnsi="等线" w:hint="eastAsia"/>
          <w:sz w:val="21"/>
          <w:szCs w:val="21"/>
        </w:rPr>
      </w:pPr>
      <w:r>
        <w:rPr>
          <w:rFonts w:hint="eastAsia"/>
          <w:sz w:val="21"/>
          <w:szCs w:val="21"/>
        </w:rPr>
        <w:t>6.2024年12月6日，公司披露了《关于第一次债权人会议召开情况的公告》《江苏中利集团股份有限公司重整计划（草案）》《申万宏源承销保荐关于重整投资人受让江苏中利集团股份有限公司资本公积转增股份价格的专项意见》；同日，公司及管理人分别与产业投资人、17家财务投资人签署了《重整投资协议》。</w:t>
      </w:r>
    </w:p>
    <w:p w14:paraId="2EC7E292" w14:textId="77777777" w:rsidR="00E72F0C" w:rsidRDefault="00107901">
      <w:pPr>
        <w:pStyle w:val="a3"/>
        <w:spacing w:before="0" w:beforeAutospacing="0" w:after="0" w:afterAutospacing="0" w:line="360" w:lineRule="auto"/>
        <w:ind w:firstLine="420"/>
        <w:jc w:val="both"/>
        <w:divId w:val="1839883638"/>
        <w:rPr>
          <w:rFonts w:ascii="等线" w:eastAsia="等线" w:hAnsi="等线" w:hint="eastAsia"/>
          <w:sz w:val="21"/>
          <w:szCs w:val="21"/>
        </w:rPr>
      </w:pPr>
      <w:r>
        <w:rPr>
          <w:rFonts w:hint="eastAsia"/>
          <w:sz w:val="21"/>
          <w:szCs w:val="21"/>
        </w:rPr>
        <w:lastRenderedPageBreak/>
        <w:t>7.2024年12月12日，公司披露了《关于第一次债权人会议表决结果的公告》，公司重整阶段第一次债权人会议涉及的《重整计划（草案）》议案已经本次债权人会议各表决组表决通过；同日，公司披露了《关于公司重整计划获得法院裁定批准的公告》和《江苏中利集团股份有限公司重整计划》，苏州中院裁定批准公司重整计划，并终止公司重整程序。</w:t>
      </w:r>
    </w:p>
    <w:p w14:paraId="454BD63A" w14:textId="77777777" w:rsidR="00E72F0C" w:rsidRDefault="00107901">
      <w:pPr>
        <w:pStyle w:val="a3"/>
        <w:spacing w:before="0" w:beforeAutospacing="0" w:after="0" w:afterAutospacing="0" w:line="360" w:lineRule="auto"/>
        <w:ind w:firstLine="420"/>
        <w:jc w:val="both"/>
        <w:divId w:val="1839883638"/>
        <w:rPr>
          <w:rFonts w:ascii="等线" w:eastAsia="等线" w:hAnsi="等线" w:hint="eastAsia"/>
          <w:sz w:val="21"/>
          <w:szCs w:val="21"/>
        </w:rPr>
      </w:pPr>
      <w:r>
        <w:rPr>
          <w:rFonts w:hint="eastAsia"/>
          <w:sz w:val="21"/>
          <w:szCs w:val="21"/>
        </w:rPr>
        <w:t>8.2024年12月18日，公司披露了《关于重整计划资本公积金转增股本事项实施的公告》和《申万宏源证券承销保荐有限责任公司关于江苏中利集团股份有限公司调整资本公积转增股本除权参考价格计算公式的专项意见》；同日，公司披露了《关于股东权益变动暨控股股东和实际控制人拟发生变更的提示性公告》和相关权益变动报告书及核查意见，常熟光晟新能源有限公司将成为公司控股股东，在公司完成董事会改选后，厦门市人民政府国有资产监督管理委员会将成为公司实际控制人。</w:t>
      </w:r>
    </w:p>
    <w:p w14:paraId="09664B16" w14:textId="77777777" w:rsidR="00E72F0C" w:rsidRDefault="00107901">
      <w:pPr>
        <w:pStyle w:val="a3"/>
        <w:spacing w:before="0" w:beforeAutospacing="0" w:after="0" w:afterAutospacing="0" w:line="360" w:lineRule="auto"/>
        <w:ind w:firstLine="420"/>
        <w:jc w:val="both"/>
        <w:divId w:val="1839883638"/>
        <w:rPr>
          <w:rFonts w:ascii="等线" w:eastAsia="等线" w:hAnsi="等线" w:hint="eastAsia"/>
          <w:sz w:val="21"/>
          <w:szCs w:val="21"/>
        </w:rPr>
      </w:pPr>
      <w:r>
        <w:rPr>
          <w:rFonts w:hint="eastAsia"/>
          <w:sz w:val="21"/>
          <w:szCs w:val="21"/>
        </w:rPr>
        <w:t>9.2024年12月19日，公司收到公司管理人出具的告知函，公司管理人账户已收到全体重整投资人按协议约定支付的款项（含重整投资款及解决非经营性资金占用的款项）。</w:t>
      </w:r>
    </w:p>
    <w:p w14:paraId="345B4091" w14:textId="77777777" w:rsidR="00E72F0C" w:rsidRDefault="00107901">
      <w:pPr>
        <w:pStyle w:val="a3"/>
        <w:spacing w:before="0" w:beforeAutospacing="0" w:after="0" w:afterAutospacing="0" w:line="360" w:lineRule="auto"/>
        <w:ind w:firstLine="420"/>
        <w:jc w:val="both"/>
        <w:divId w:val="1839883638"/>
        <w:rPr>
          <w:rFonts w:ascii="等线" w:eastAsia="等线" w:hAnsi="等线" w:hint="eastAsia"/>
          <w:sz w:val="21"/>
          <w:szCs w:val="21"/>
        </w:rPr>
      </w:pPr>
      <w:r>
        <w:rPr>
          <w:rFonts w:hint="eastAsia"/>
          <w:sz w:val="21"/>
          <w:szCs w:val="21"/>
        </w:rPr>
        <w:t>10.2024年12月21日，公司披露了《关于不调整资本公积转增股本实施后首个交易日开盘参考价事项的提示性公告》和《申万宏源证券承销保荐有限责任公司关于江苏中利集团股份有限公司调整资本公积转增股本除权参考价格的计算结果的专项意见》，公司本次资本公积转增股本实施后次一交易日的股票开盘参考价不作调整。</w:t>
      </w:r>
    </w:p>
    <w:p w14:paraId="2BC8CFA5" w14:textId="77777777" w:rsidR="00E72F0C" w:rsidRDefault="00107901">
      <w:pPr>
        <w:pStyle w:val="a3"/>
        <w:spacing w:before="0" w:beforeAutospacing="0" w:after="0" w:afterAutospacing="0" w:line="360" w:lineRule="auto"/>
        <w:ind w:firstLine="420"/>
        <w:jc w:val="both"/>
        <w:divId w:val="1839883638"/>
        <w:rPr>
          <w:rFonts w:ascii="等线" w:eastAsia="等线" w:hAnsi="等线" w:hint="eastAsia"/>
          <w:sz w:val="21"/>
          <w:szCs w:val="21"/>
        </w:rPr>
      </w:pPr>
      <w:r>
        <w:rPr>
          <w:rFonts w:hint="eastAsia"/>
          <w:sz w:val="21"/>
          <w:szCs w:val="21"/>
        </w:rPr>
        <w:t>11.2024年12月27日，公司收到苏州中院送达的（2024）苏05破50号之四《民事裁定书》，苏州中院裁定公司重整计划执行完毕，终结公司重整程序。</w:t>
      </w:r>
    </w:p>
    <w:p w14:paraId="6B5F2F30" w14:textId="77777777" w:rsidR="003C252C" w:rsidRDefault="003C252C">
      <w:pPr>
        <w:pStyle w:val="2"/>
        <w:spacing w:before="300" w:after="300" w:line="320" w:lineRule="exact"/>
        <w:rPr>
          <w:rFonts w:ascii="宋体" w:eastAsia="宋体" w:hAnsi="宋体" w:cs="宋体" w:hint="eastAsia"/>
          <w:b/>
          <w:bCs/>
          <w:sz w:val="24"/>
          <w:szCs w:val="24"/>
        </w:rPr>
        <w:sectPr w:rsidR="003C252C" w:rsidSect="00E90C20">
          <w:pgSz w:w="11905" w:h="16840"/>
          <w:pgMar w:top="1440" w:right="1134" w:bottom="1440" w:left="1134" w:header="850" w:footer="992" w:gutter="0"/>
          <w:cols w:space="720"/>
          <w:docGrid w:type="linesAndChars" w:linePitch="312"/>
        </w:sectPr>
      </w:pPr>
      <w:bookmarkStart w:id="106" w:name="_Toc988995"/>
    </w:p>
    <w:p w14:paraId="51D2C608" w14:textId="720CAD3F" w:rsidR="00632E5B" w:rsidRDefault="00107901">
      <w:pPr>
        <w:pStyle w:val="2"/>
        <w:spacing w:before="300" w:after="300" w:line="320" w:lineRule="exact"/>
        <w:rPr>
          <w:rFonts w:ascii="宋体" w:eastAsia="宋体" w:hAnsi="宋体" w:cs="宋体" w:hint="eastAsia"/>
          <w:b/>
          <w:bCs/>
          <w:sz w:val="24"/>
          <w:szCs w:val="24"/>
        </w:rPr>
      </w:pPr>
      <w:r>
        <w:rPr>
          <w:rFonts w:ascii="宋体" w:eastAsia="宋体" w:hAnsi="宋体" w:cs="宋体"/>
          <w:b/>
          <w:bCs/>
          <w:sz w:val="24"/>
          <w:szCs w:val="24"/>
        </w:rPr>
        <w:lastRenderedPageBreak/>
        <w:t>十一、重大诉讼、仲裁事项</w:t>
      </w:r>
      <w:bookmarkEnd w:id="106"/>
    </w:p>
    <w:p w14:paraId="1E03F9A0"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4C311591" w14:textId="77777777" w:rsidR="0022563C" w:rsidRDefault="0022563C">
      <w:pPr>
        <w:spacing w:before="100" w:after="100" w:line="240" w:lineRule="exact"/>
        <w:rPr>
          <w:rFonts w:ascii="宋体" w:eastAsia="宋体" w:hAnsi="宋体" w:cs="宋体" w:hint="eastAsia"/>
          <w:sz w:val="18"/>
          <w:szCs w:val="18"/>
        </w:rPr>
      </w:pPr>
    </w:p>
    <w:tbl>
      <w:tblPr>
        <w:tblW w:w="143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966"/>
        <w:gridCol w:w="1276"/>
        <w:gridCol w:w="1205"/>
        <w:gridCol w:w="1772"/>
        <w:gridCol w:w="1984"/>
        <w:gridCol w:w="1701"/>
        <w:gridCol w:w="1205"/>
        <w:gridCol w:w="1205"/>
      </w:tblGrid>
      <w:tr w:rsidR="00F86A1B" w14:paraId="78D18102" w14:textId="77777777" w:rsidTr="00514DEA">
        <w:trPr>
          <w:trHeight w:val="240"/>
          <w:jc w:val="center"/>
        </w:trPr>
        <w:tc>
          <w:tcPr>
            <w:tcW w:w="3966" w:type="dxa"/>
            <w:shd w:val="clear" w:color="auto" w:fill="FFFFFF" w:themeFill="background1"/>
            <w:vAlign w:val="center"/>
          </w:tcPr>
          <w:p w14:paraId="198C250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诉讼（仲裁）基本情况</w:t>
            </w:r>
          </w:p>
        </w:tc>
        <w:tc>
          <w:tcPr>
            <w:tcW w:w="1276" w:type="dxa"/>
            <w:shd w:val="clear" w:color="auto" w:fill="FFFFFF" w:themeFill="background1"/>
            <w:vAlign w:val="center"/>
          </w:tcPr>
          <w:p w14:paraId="30743B7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涉案金额（万元）</w:t>
            </w:r>
          </w:p>
        </w:tc>
        <w:tc>
          <w:tcPr>
            <w:tcW w:w="1205" w:type="dxa"/>
            <w:shd w:val="clear" w:color="auto" w:fill="FFFFFF" w:themeFill="background1"/>
            <w:vAlign w:val="center"/>
          </w:tcPr>
          <w:p w14:paraId="761AA64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是否形成预计负债</w:t>
            </w:r>
          </w:p>
        </w:tc>
        <w:tc>
          <w:tcPr>
            <w:tcW w:w="1772" w:type="dxa"/>
            <w:shd w:val="clear" w:color="auto" w:fill="FFFFFF" w:themeFill="background1"/>
            <w:vAlign w:val="center"/>
          </w:tcPr>
          <w:p w14:paraId="776A3F1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诉讼（仲裁）进展</w:t>
            </w:r>
          </w:p>
        </w:tc>
        <w:tc>
          <w:tcPr>
            <w:tcW w:w="1984" w:type="dxa"/>
            <w:shd w:val="clear" w:color="auto" w:fill="FFFFFF" w:themeFill="background1"/>
            <w:vAlign w:val="center"/>
          </w:tcPr>
          <w:p w14:paraId="4203703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诉讼（仲裁）审理结果及影响</w:t>
            </w:r>
          </w:p>
        </w:tc>
        <w:tc>
          <w:tcPr>
            <w:tcW w:w="1701" w:type="dxa"/>
            <w:shd w:val="clear" w:color="auto" w:fill="FFFFFF" w:themeFill="background1"/>
            <w:vAlign w:val="center"/>
          </w:tcPr>
          <w:p w14:paraId="18F572A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诉讼（仲裁）判决执行情况</w:t>
            </w:r>
          </w:p>
        </w:tc>
        <w:tc>
          <w:tcPr>
            <w:tcW w:w="1205" w:type="dxa"/>
            <w:shd w:val="clear" w:color="auto" w:fill="FFFFFF" w:themeFill="background1"/>
            <w:vAlign w:val="center"/>
          </w:tcPr>
          <w:p w14:paraId="1B3C6E1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披露日期</w:t>
            </w:r>
          </w:p>
        </w:tc>
        <w:tc>
          <w:tcPr>
            <w:tcW w:w="1205" w:type="dxa"/>
            <w:shd w:val="clear" w:color="auto" w:fill="FFFFFF" w:themeFill="background1"/>
            <w:vAlign w:val="center"/>
          </w:tcPr>
          <w:p w14:paraId="7858917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披露索引</w:t>
            </w:r>
          </w:p>
        </w:tc>
      </w:tr>
      <w:tr w:rsidR="00514DEA" w14:paraId="58A16CC4" w14:textId="77777777" w:rsidTr="00514DEA">
        <w:trPr>
          <w:trHeight w:val="240"/>
          <w:jc w:val="center"/>
        </w:trPr>
        <w:tc>
          <w:tcPr>
            <w:tcW w:w="3966" w:type="dxa"/>
            <w:shd w:val="clear" w:color="auto" w:fill="FFFFFF" w:themeFill="background1"/>
            <w:vAlign w:val="center"/>
          </w:tcPr>
          <w:p w14:paraId="184F107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苏州腾晖及中利集团因原子公司项目合作业务违约被追诉。</w:t>
            </w:r>
          </w:p>
        </w:tc>
        <w:tc>
          <w:tcPr>
            <w:tcW w:w="1276" w:type="dxa"/>
            <w:shd w:val="clear" w:color="auto" w:fill="FFFFFF" w:themeFill="background1"/>
            <w:vAlign w:val="center"/>
          </w:tcPr>
          <w:p w14:paraId="2C370D2E" w14:textId="1C620AB6"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7,582.47</w:t>
            </w:r>
            <w:r w:rsidR="009E551A">
              <w:rPr>
                <w:rFonts w:ascii="宋体" w:eastAsia="宋体" w:hAnsi="宋体" w:cs="宋体" w:hint="eastAsia"/>
                <w:sz w:val="18"/>
                <w:szCs w:val="18"/>
              </w:rPr>
              <w:t>万美元</w:t>
            </w:r>
            <w:r>
              <w:rPr>
                <w:rFonts w:ascii="Times New Roman" w:eastAsia="宋体" w:hAnsi="Times New Roman" w:cs="Times New Roman"/>
                <w:color w:val="F00000"/>
                <w:vertAlign w:val="superscript"/>
              </w:rPr>
              <w:t>1</w:t>
            </w:r>
          </w:p>
        </w:tc>
        <w:tc>
          <w:tcPr>
            <w:tcW w:w="1205" w:type="dxa"/>
            <w:shd w:val="clear" w:color="auto" w:fill="FFFFFF" w:themeFill="background1"/>
            <w:vAlign w:val="center"/>
          </w:tcPr>
          <w:p w14:paraId="57016BC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1772" w:type="dxa"/>
            <w:shd w:val="clear" w:color="auto" w:fill="FFFFFF" w:themeFill="background1"/>
            <w:vAlign w:val="center"/>
          </w:tcPr>
          <w:p w14:paraId="6C90E23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审理中</w:t>
            </w:r>
          </w:p>
        </w:tc>
        <w:tc>
          <w:tcPr>
            <w:tcW w:w="1984" w:type="dxa"/>
            <w:shd w:val="clear" w:color="auto" w:fill="FFFFFF" w:themeFill="background1"/>
            <w:vAlign w:val="center"/>
          </w:tcPr>
          <w:p w14:paraId="0D4292C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701" w:type="dxa"/>
            <w:shd w:val="clear" w:color="auto" w:fill="FFFFFF" w:themeFill="background1"/>
            <w:vAlign w:val="center"/>
          </w:tcPr>
          <w:p w14:paraId="4E04898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205" w:type="dxa"/>
            <w:shd w:val="clear" w:color="auto" w:fill="FFFFFF" w:themeFill="background1"/>
            <w:vAlign w:val="center"/>
          </w:tcPr>
          <w:p w14:paraId="1F1C8EE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2023年04月22日</w:t>
            </w:r>
          </w:p>
        </w:tc>
        <w:tc>
          <w:tcPr>
            <w:tcW w:w="1205" w:type="dxa"/>
            <w:shd w:val="clear" w:color="auto" w:fill="FFFFFF" w:themeFill="background1"/>
            <w:vAlign w:val="center"/>
          </w:tcPr>
          <w:p w14:paraId="25A2263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1E879436" w14:textId="77777777" w:rsidTr="00514DEA">
        <w:trPr>
          <w:trHeight w:val="240"/>
          <w:jc w:val="center"/>
        </w:trPr>
        <w:tc>
          <w:tcPr>
            <w:tcW w:w="3966" w:type="dxa"/>
            <w:shd w:val="clear" w:color="auto" w:fill="FFFFFF" w:themeFill="background1"/>
            <w:vAlign w:val="center"/>
          </w:tcPr>
          <w:p w14:paraId="43D6720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上海海高通信股份有限公司（原告）因增资扩股纠纷向上海市松江区人民法院对江苏中利电子信息科技有限公司（被告一）及中利集团（被告二）提起诉讼。</w:t>
            </w:r>
          </w:p>
        </w:tc>
        <w:tc>
          <w:tcPr>
            <w:tcW w:w="1276" w:type="dxa"/>
            <w:shd w:val="clear" w:color="auto" w:fill="FFFFFF" w:themeFill="background1"/>
            <w:vAlign w:val="center"/>
          </w:tcPr>
          <w:p w14:paraId="14E1FDD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6,375.86</w:t>
            </w:r>
          </w:p>
        </w:tc>
        <w:tc>
          <w:tcPr>
            <w:tcW w:w="1205" w:type="dxa"/>
            <w:shd w:val="clear" w:color="auto" w:fill="FFFFFF" w:themeFill="background1"/>
            <w:vAlign w:val="center"/>
          </w:tcPr>
          <w:p w14:paraId="3CD405E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2CF294B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w:t>
            </w:r>
          </w:p>
        </w:tc>
        <w:tc>
          <w:tcPr>
            <w:tcW w:w="1984" w:type="dxa"/>
            <w:shd w:val="clear" w:color="auto" w:fill="FFFFFF" w:themeFill="background1"/>
            <w:vAlign w:val="center"/>
          </w:tcPr>
          <w:p w14:paraId="713FA2E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二审已判决，由江苏中利电子信息科技有限公司支付增资本金及利息，中利集团不承担连带责任。</w:t>
            </w:r>
          </w:p>
        </w:tc>
        <w:tc>
          <w:tcPr>
            <w:tcW w:w="1701" w:type="dxa"/>
            <w:shd w:val="clear" w:color="auto" w:fill="FFFFFF" w:themeFill="background1"/>
            <w:vAlign w:val="center"/>
          </w:tcPr>
          <w:p w14:paraId="3159EFE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205" w:type="dxa"/>
            <w:shd w:val="clear" w:color="auto" w:fill="FFFFFF" w:themeFill="background1"/>
            <w:vAlign w:val="center"/>
          </w:tcPr>
          <w:p w14:paraId="6256604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2025年04月03日</w:t>
            </w:r>
          </w:p>
        </w:tc>
        <w:tc>
          <w:tcPr>
            <w:tcW w:w="1205" w:type="dxa"/>
            <w:shd w:val="clear" w:color="auto" w:fill="FFFFFF" w:themeFill="background1"/>
            <w:vAlign w:val="center"/>
          </w:tcPr>
          <w:p w14:paraId="26B8E72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2261768E" w14:textId="77777777" w:rsidTr="00514DEA">
        <w:trPr>
          <w:trHeight w:val="240"/>
          <w:jc w:val="center"/>
        </w:trPr>
        <w:tc>
          <w:tcPr>
            <w:tcW w:w="3966" w:type="dxa"/>
            <w:shd w:val="clear" w:color="auto" w:fill="FFFFFF" w:themeFill="background1"/>
            <w:vAlign w:val="center"/>
          </w:tcPr>
          <w:p w14:paraId="524DB06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江苏汇鸿国际集团中锦控股有限公司（原告）与中利集团（被告）就设备定制合同纠纷向南京秦淮区人民法院提起诉讼。</w:t>
            </w:r>
          </w:p>
        </w:tc>
        <w:tc>
          <w:tcPr>
            <w:tcW w:w="1276" w:type="dxa"/>
            <w:shd w:val="clear" w:color="auto" w:fill="FFFFFF" w:themeFill="background1"/>
            <w:vAlign w:val="center"/>
          </w:tcPr>
          <w:p w14:paraId="097683D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9,987.12</w:t>
            </w:r>
          </w:p>
        </w:tc>
        <w:tc>
          <w:tcPr>
            <w:tcW w:w="1205" w:type="dxa"/>
            <w:shd w:val="clear" w:color="auto" w:fill="FFFFFF" w:themeFill="background1"/>
            <w:vAlign w:val="center"/>
          </w:tcPr>
          <w:p w14:paraId="22ACB01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55EB314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已中止，此案件必须以另一案的审理结果为依据，而另一案尚未审结。</w:t>
            </w:r>
          </w:p>
        </w:tc>
        <w:tc>
          <w:tcPr>
            <w:tcW w:w="1984" w:type="dxa"/>
            <w:shd w:val="clear" w:color="auto" w:fill="FFFFFF" w:themeFill="background1"/>
            <w:vAlign w:val="center"/>
          </w:tcPr>
          <w:p w14:paraId="3ACF287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701" w:type="dxa"/>
            <w:shd w:val="clear" w:color="auto" w:fill="FFFFFF" w:themeFill="background1"/>
            <w:vAlign w:val="center"/>
          </w:tcPr>
          <w:p w14:paraId="38515B9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205" w:type="dxa"/>
            <w:shd w:val="clear" w:color="auto" w:fill="FFFFFF" w:themeFill="background1"/>
            <w:vAlign w:val="center"/>
          </w:tcPr>
          <w:p w14:paraId="2433865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2022年06月02日</w:t>
            </w:r>
          </w:p>
        </w:tc>
        <w:tc>
          <w:tcPr>
            <w:tcW w:w="1205" w:type="dxa"/>
            <w:shd w:val="clear" w:color="auto" w:fill="FFFFFF" w:themeFill="background1"/>
            <w:vAlign w:val="center"/>
          </w:tcPr>
          <w:p w14:paraId="67B4E92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74C287C7" w14:textId="77777777" w:rsidTr="00514DEA">
        <w:trPr>
          <w:trHeight w:val="240"/>
          <w:jc w:val="center"/>
        </w:trPr>
        <w:tc>
          <w:tcPr>
            <w:tcW w:w="3966" w:type="dxa"/>
            <w:shd w:val="clear" w:color="auto" w:fill="FFFFFF" w:themeFill="background1"/>
            <w:vAlign w:val="center"/>
          </w:tcPr>
          <w:p w14:paraId="100DE2F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辽宁中德（原告）向吉林省汪清县人民法院对吉林省酱花香酿造食品股份有限公司（被告）就合同纠纷提起诉讼。</w:t>
            </w:r>
          </w:p>
        </w:tc>
        <w:tc>
          <w:tcPr>
            <w:tcW w:w="1276" w:type="dxa"/>
            <w:shd w:val="clear" w:color="auto" w:fill="FFFFFF" w:themeFill="background1"/>
            <w:vAlign w:val="center"/>
          </w:tcPr>
          <w:p w14:paraId="7FC87B6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729</w:t>
            </w:r>
          </w:p>
        </w:tc>
        <w:tc>
          <w:tcPr>
            <w:tcW w:w="1205" w:type="dxa"/>
            <w:shd w:val="clear" w:color="auto" w:fill="FFFFFF" w:themeFill="background1"/>
            <w:vAlign w:val="center"/>
          </w:tcPr>
          <w:p w14:paraId="4933640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539053C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w:t>
            </w:r>
          </w:p>
        </w:tc>
        <w:tc>
          <w:tcPr>
            <w:tcW w:w="1984" w:type="dxa"/>
            <w:shd w:val="clear" w:color="auto" w:fill="FFFFFF" w:themeFill="background1"/>
            <w:vAlign w:val="center"/>
          </w:tcPr>
          <w:p w14:paraId="62E9E15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辽宁中德胜诉，已判决吉林省酱花香酿造食品股份有限公司需向辽宁中德支付相应货款及违约金。</w:t>
            </w:r>
          </w:p>
        </w:tc>
        <w:tc>
          <w:tcPr>
            <w:tcW w:w="1701" w:type="dxa"/>
            <w:shd w:val="clear" w:color="auto" w:fill="FFFFFF" w:themeFill="background1"/>
            <w:vAlign w:val="center"/>
          </w:tcPr>
          <w:p w14:paraId="4176925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无执行回款，执行终本。</w:t>
            </w:r>
          </w:p>
        </w:tc>
        <w:tc>
          <w:tcPr>
            <w:tcW w:w="1205" w:type="dxa"/>
            <w:shd w:val="clear" w:color="auto" w:fill="FFFFFF" w:themeFill="background1"/>
            <w:vAlign w:val="center"/>
          </w:tcPr>
          <w:p w14:paraId="7CD99F6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2022年06月24日</w:t>
            </w:r>
          </w:p>
        </w:tc>
        <w:tc>
          <w:tcPr>
            <w:tcW w:w="1205" w:type="dxa"/>
            <w:shd w:val="clear" w:color="auto" w:fill="FFFFFF" w:themeFill="background1"/>
            <w:vAlign w:val="center"/>
          </w:tcPr>
          <w:p w14:paraId="43C4ECF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4A4C6FD1" w14:textId="77777777" w:rsidTr="00514DEA">
        <w:trPr>
          <w:trHeight w:val="240"/>
          <w:jc w:val="center"/>
        </w:trPr>
        <w:tc>
          <w:tcPr>
            <w:tcW w:w="3966" w:type="dxa"/>
            <w:shd w:val="clear" w:color="auto" w:fill="FFFFFF" w:themeFill="background1"/>
            <w:vAlign w:val="center"/>
          </w:tcPr>
          <w:p w14:paraId="65DFE04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中利集团（原告）与上海电气通讯技术有限公司（被告）因采购合同纠纷向上海杨浦区人民法院提起诉讼</w:t>
            </w:r>
          </w:p>
        </w:tc>
        <w:tc>
          <w:tcPr>
            <w:tcW w:w="1276" w:type="dxa"/>
            <w:shd w:val="clear" w:color="auto" w:fill="FFFFFF" w:themeFill="background1"/>
            <w:vAlign w:val="center"/>
          </w:tcPr>
          <w:p w14:paraId="58AB7E0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54,507.57</w:t>
            </w:r>
          </w:p>
        </w:tc>
        <w:tc>
          <w:tcPr>
            <w:tcW w:w="1205" w:type="dxa"/>
            <w:shd w:val="clear" w:color="auto" w:fill="FFFFFF" w:themeFill="background1"/>
            <w:vAlign w:val="center"/>
          </w:tcPr>
          <w:p w14:paraId="460E868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364C5E9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已中止，此案件必须以另一案的审理结果为依据，而另一案尚未审结。</w:t>
            </w:r>
          </w:p>
        </w:tc>
        <w:tc>
          <w:tcPr>
            <w:tcW w:w="1984" w:type="dxa"/>
            <w:shd w:val="clear" w:color="auto" w:fill="FFFFFF" w:themeFill="background1"/>
            <w:vAlign w:val="center"/>
          </w:tcPr>
          <w:p w14:paraId="2AD55D0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701" w:type="dxa"/>
            <w:shd w:val="clear" w:color="auto" w:fill="FFFFFF" w:themeFill="background1"/>
            <w:vAlign w:val="center"/>
          </w:tcPr>
          <w:p w14:paraId="565EF31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205" w:type="dxa"/>
            <w:shd w:val="clear" w:color="auto" w:fill="FFFFFF" w:themeFill="background1"/>
            <w:vAlign w:val="center"/>
          </w:tcPr>
          <w:p w14:paraId="13A19F5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2022年07月07日</w:t>
            </w:r>
          </w:p>
        </w:tc>
        <w:tc>
          <w:tcPr>
            <w:tcW w:w="1205" w:type="dxa"/>
            <w:shd w:val="clear" w:color="auto" w:fill="FFFFFF" w:themeFill="background1"/>
            <w:vAlign w:val="center"/>
          </w:tcPr>
          <w:p w14:paraId="3A6B87F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3FF5CA64" w14:textId="77777777" w:rsidTr="00514DEA">
        <w:trPr>
          <w:trHeight w:val="240"/>
          <w:jc w:val="center"/>
        </w:trPr>
        <w:tc>
          <w:tcPr>
            <w:tcW w:w="3966" w:type="dxa"/>
            <w:shd w:val="clear" w:color="auto" w:fill="FFFFFF" w:themeFill="background1"/>
            <w:vAlign w:val="center"/>
          </w:tcPr>
          <w:p w14:paraId="716A714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北京京东方能源科技有限公司（申请人一）和河北寰达贸易有限责任公司（申请人二）因原转让方存在耕地占用税欠缴情形提起仲裁，请求腾晖光伏（被申请人一）和上海至坚新能源开发有限公司（被申请人二）支付耕地占用税、滞纳金 、资金占用费以及本案的律师费、保全费等与仲裁相关的全部费用。</w:t>
            </w:r>
          </w:p>
        </w:tc>
        <w:tc>
          <w:tcPr>
            <w:tcW w:w="1276" w:type="dxa"/>
            <w:shd w:val="clear" w:color="auto" w:fill="FFFFFF" w:themeFill="background1"/>
            <w:vAlign w:val="center"/>
          </w:tcPr>
          <w:p w14:paraId="1B888E2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05" w:type="dxa"/>
            <w:shd w:val="clear" w:color="auto" w:fill="FFFFFF" w:themeFill="background1"/>
            <w:vAlign w:val="center"/>
          </w:tcPr>
          <w:p w14:paraId="60C2549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1A3430A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案件已完结</w:t>
            </w:r>
          </w:p>
        </w:tc>
        <w:tc>
          <w:tcPr>
            <w:tcW w:w="1984" w:type="dxa"/>
            <w:shd w:val="clear" w:color="auto" w:fill="FFFFFF" w:themeFill="background1"/>
            <w:vAlign w:val="center"/>
          </w:tcPr>
          <w:p w14:paraId="5F3C0E1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已裁定腾晖光伏无需承担责任。</w:t>
            </w:r>
          </w:p>
        </w:tc>
        <w:tc>
          <w:tcPr>
            <w:tcW w:w="1701" w:type="dxa"/>
            <w:shd w:val="clear" w:color="auto" w:fill="FFFFFF" w:themeFill="background1"/>
            <w:vAlign w:val="center"/>
          </w:tcPr>
          <w:p w14:paraId="1DF4D5B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205" w:type="dxa"/>
            <w:shd w:val="clear" w:color="auto" w:fill="FFFFFF" w:themeFill="background1"/>
            <w:vAlign w:val="center"/>
          </w:tcPr>
          <w:p w14:paraId="54B73C5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2022年09月22日</w:t>
            </w:r>
          </w:p>
        </w:tc>
        <w:tc>
          <w:tcPr>
            <w:tcW w:w="1205" w:type="dxa"/>
            <w:shd w:val="clear" w:color="auto" w:fill="FFFFFF" w:themeFill="background1"/>
            <w:vAlign w:val="center"/>
          </w:tcPr>
          <w:p w14:paraId="1491FF2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74DDE4F4" w14:textId="77777777" w:rsidTr="00514DEA">
        <w:trPr>
          <w:trHeight w:val="240"/>
          <w:jc w:val="center"/>
        </w:trPr>
        <w:tc>
          <w:tcPr>
            <w:tcW w:w="3966" w:type="dxa"/>
            <w:shd w:val="clear" w:color="auto" w:fill="FFFFFF" w:themeFill="background1"/>
            <w:vAlign w:val="center"/>
          </w:tcPr>
          <w:p w14:paraId="53622EA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宝胜科技创新股份有限公司（原告）就产品质量问题向江苏省宝应县人民法院对中联光电（被告一）提起诉讼，并要求中利集团（被告二）为本案承担连带保证责任。</w:t>
            </w:r>
          </w:p>
        </w:tc>
        <w:tc>
          <w:tcPr>
            <w:tcW w:w="1276" w:type="dxa"/>
            <w:shd w:val="clear" w:color="auto" w:fill="FFFFFF" w:themeFill="background1"/>
            <w:vAlign w:val="center"/>
          </w:tcPr>
          <w:p w14:paraId="78A48BB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1,771.09</w:t>
            </w:r>
          </w:p>
        </w:tc>
        <w:tc>
          <w:tcPr>
            <w:tcW w:w="1205" w:type="dxa"/>
            <w:shd w:val="clear" w:color="auto" w:fill="FFFFFF" w:themeFill="background1"/>
            <w:vAlign w:val="center"/>
          </w:tcPr>
          <w:p w14:paraId="5B90DD8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5F8F22D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案件已完结</w:t>
            </w:r>
          </w:p>
        </w:tc>
        <w:tc>
          <w:tcPr>
            <w:tcW w:w="1984" w:type="dxa"/>
            <w:shd w:val="clear" w:color="auto" w:fill="FFFFFF" w:themeFill="background1"/>
            <w:vAlign w:val="center"/>
          </w:tcPr>
          <w:p w14:paraId="11385EA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调解结案，中联光电向原告赔偿。</w:t>
            </w:r>
          </w:p>
        </w:tc>
        <w:tc>
          <w:tcPr>
            <w:tcW w:w="1701" w:type="dxa"/>
            <w:shd w:val="clear" w:color="auto" w:fill="FFFFFF" w:themeFill="background1"/>
            <w:vAlign w:val="center"/>
          </w:tcPr>
          <w:p w14:paraId="3A952B7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调解协议已履行完毕</w:t>
            </w:r>
          </w:p>
        </w:tc>
        <w:tc>
          <w:tcPr>
            <w:tcW w:w="1205" w:type="dxa"/>
            <w:shd w:val="clear" w:color="auto" w:fill="FFFFFF" w:themeFill="background1"/>
            <w:vAlign w:val="center"/>
          </w:tcPr>
          <w:p w14:paraId="07B1C13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2022年10月12日</w:t>
            </w:r>
          </w:p>
        </w:tc>
        <w:tc>
          <w:tcPr>
            <w:tcW w:w="1205" w:type="dxa"/>
            <w:shd w:val="clear" w:color="auto" w:fill="FFFFFF" w:themeFill="background1"/>
            <w:vAlign w:val="center"/>
          </w:tcPr>
          <w:p w14:paraId="494EF37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22563C" w14:paraId="6D77744E" w14:textId="77777777" w:rsidTr="00514DEA">
        <w:trPr>
          <w:trHeight w:val="395"/>
          <w:jc w:val="center"/>
        </w:trPr>
        <w:tc>
          <w:tcPr>
            <w:tcW w:w="3966" w:type="dxa"/>
            <w:shd w:val="clear" w:color="auto" w:fill="FFFFFF" w:themeFill="background1"/>
            <w:vAlign w:val="center"/>
          </w:tcPr>
          <w:p w14:paraId="7FA5599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lastRenderedPageBreak/>
              <w:t>西宁西经开青银新材料项目管理中心（有限合伙）与青海中利的融资纠纷，中利集团和王柏兴就该融资事项承担担保责任。前期原被告双方经法院主持调解，达成了和解协议，后西宁西经开青银新材料项目管理中心（有限合伙）申请法院执行。</w:t>
            </w:r>
          </w:p>
        </w:tc>
        <w:tc>
          <w:tcPr>
            <w:tcW w:w="1276" w:type="dxa"/>
            <w:shd w:val="clear" w:color="auto" w:fill="FFFFFF" w:themeFill="background1"/>
            <w:vAlign w:val="center"/>
          </w:tcPr>
          <w:p w14:paraId="056B579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18,000</w:t>
            </w:r>
          </w:p>
        </w:tc>
        <w:tc>
          <w:tcPr>
            <w:tcW w:w="1205" w:type="dxa"/>
            <w:shd w:val="clear" w:color="auto" w:fill="FFFFFF" w:themeFill="background1"/>
            <w:vAlign w:val="center"/>
          </w:tcPr>
          <w:p w14:paraId="020D06D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48CB3F2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已调解</w:t>
            </w:r>
          </w:p>
        </w:tc>
        <w:tc>
          <w:tcPr>
            <w:tcW w:w="1984" w:type="dxa"/>
            <w:shd w:val="clear" w:color="auto" w:fill="FFFFFF" w:themeFill="background1"/>
            <w:vAlign w:val="center"/>
          </w:tcPr>
          <w:p w14:paraId="384313C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调解结案，青海中利分期向西经开青银新材料项目管理中心偿还借款本金。</w:t>
            </w:r>
          </w:p>
        </w:tc>
        <w:tc>
          <w:tcPr>
            <w:tcW w:w="1701" w:type="dxa"/>
            <w:shd w:val="clear" w:color="auto" w:fill="FFFFFF" w:themeFill="background1"/>
            <w:vAlign w:val="center"/>
          </w:tcPr>
          <w:p w14:paraId="005AFB9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青海中利已部分履行，西经开青银新材料项目管理中心已就未履行部分申报债权。按破产重整计划清偿中。</w:t>
            </w:r>
          </w:p>
        </w:tc>
        <w:tc>
          <w:tcPr>
            <w:tcW w:w="1205" w:type="dxa"/>
            <w:shd w:val="clear" w:color="auto" w:fill="FFFFFF" w:themeFill="background1"/>
            <w:vAlign w:val="center"/>
          </w:tcPr>
          <w:p w14:paraId="3D725CB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2023年08月22日</w:t>
            </w:r>
          </w:p>
        </w:tc>
        <w:tc>
          <w:tcPr>
            <w:tcW w:w="1205" w:type="dxa"/>
            <w:shd w:val="clear" w:color="auto" w:fill="FFFFFF" w:themeFill="background1"/>
            <w:vAlign w:val="center"/>
          </w:tcPr>
          <w:p w14:paraId="675CC82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4C77DF97" w14:textId="77777777" w:rsidTr="00514DEA">
        <w:trPr>
          <w:trHeight w:val="240"/>
          <w:jc w:val="center"/>
        </w:trPr>
        <w:tc>
          <w:tcPr>
            <w:tcW w:w="3966" w:type="dxa"/>
            <w:shd w:val="clear" w:color="auto" w:fill="FFFFFF" w:themeFill="background1"/>
            <w:vAlign w:val="center"/>
          </w:tcPr>
          <w:p w14:paraId="1AB5C30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腾晖光伏因借款纠纷被中国长城资产管理股份有限公司江苏省分公司以公证文书强制执行。</w:t>
            </w:r>
          </w:p>
        </w:tc>
        <w:tc>
          <w:tcPr>
            <w:tcW w:w="1276" w:type="dxa"/>
            <w:shd w:val="clear" w:color="auto" w:fill="FFFFFF" w:themeFill="background1"/>
            <w:vAlign w:val="center"/>
          </w:tcPr>
          <w:p w14:paraId="4A06E22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18,822.06</w:t>
            </w:r>
          </w:p>
        </w:tc>
        <w:tc>
          <w:tcPr>
            <w:tcW w:w="1205" w:type="dxa"/>
            <w:shd w:val="clear" w:color="auto" w:fill="FFFFFF" w:themeFill="background1"/>
            <w:vAlign w:val="center"/>
          </w:tcPr>
          <w:p w14:paraId="051E64A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7A094CB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984" w:type="dxa"/>
            <w:shd w:val="clear" w:color="auto" w:fill="FFFFFF" w:themeFill="background1"/>
            <w:vAlign w:val="center"/>
          </w:tcPr>
          <w:p w14:paraId="51D1CD3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中国长城资产管理股份有限公司江苏省分公司有权向法院申请拍卖、变卖被执行人腾晖光伏所抵押的不动产。</w:t>
            </w:r>
          </w:p>
        </w:tc>
        <w:tc>
          <w:tcPr>
            <w:tcW w:w="1701" w:type="dxa"/>
            <w:shd w:val="clear" w:color="auto" w:fill="FFFFFF" w:themeFill="background1"/>
            <w:vAlign w:val="center"/>
          </w:tcPr>
          <w:p w14:paraId="78BAC02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中国长城资产管理股份有限公司江苏省分公司已申报债权。按破产重整计划清偿中。</w:t>
            </w:r>
          </w:p>
        </w:tc>
        <w:tc>
          <w:tcPr>
            <w:tcW w:w="1205" w:type="dxa"/>
            <w:shd w:val="clear" w:color="auto" w:fill="FFFFFF" w:themeFill="background1"/>
            <w:vAlign w:val="center"/>
          </w:tcPr>
          <w:p w14:paraId="2F6B483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2023年06月02日</w:t>
            </w:r>
          </w:p>
        </w:tc>
        <w:tc>
          <w:tcPr>
            <w:tcW w:w="1205" w:type="dxa"/>
            <w:shd w:val="clear" w:color="auto" w:fill="FFFFFF" w:themeFill="background1"/>
            <w:vAlign w:val="center"/>
          </w:tcPr>
          <w:p w14:paraId="41BEB6C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1773EBBA" w14:textId="77777777" w:rsidTr="00514DEA">
        <w:trPr>
          <w:trHeight w:val="240"/>
          <w:jc w:val="center"/>
        </w:trPr>
        <w:tc>
          <w:tcPr>
            <w:tcW w:w="3966" w:type="dxa"/>
            <w:shd w:val="clear" w:color="auto" w:fill="FFFFFF" w:themeFill="background1"/>
            <w:vAlign w:val="center"/>
          </w:tcPr>
          <w:p w14:paraId="2DC98D2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盱眙绿环科技有限公司（原告）因与腾晖光伏（被告）之间存在债权债务纠纷，提起诉讼。</w:t>
            </w:r>
          </w:p>
        </w:tc>
        <w:tc>
          <w:tcPr>
            <w:tcW w:w="1276" w:type="dxa"/>
            <w:shd w:val="clear" w:color="auto" w:fill="FFFFFF" w:themeFill="background1"/>
            <w:vAlign w:val="center"/>
          </w:tcPr>
          <w:p w14:paraId="28380CB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1,023.86</w:t>
            </w:r>
          </w:p>
        </w:tc>
        <w:tc>
          <w:tcPr>
            <w:tcW w:w="1205" w:type="dxa"/>
            <w:shd w:val="clear" w:color="auto" w:fill="FFFFFF" w:themeFill="background1"/>
            <w:vAlign w:val="center"/>
          </w:tcPr>
          <w:p w14:paraId="094BDD1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3E6E49D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w:t>
            </w:r>
          </w:p>
        </w:tc>
        <w:tc>
          <w:tcPr>
            <w:tcW w:w="1984" w:type="dxa"/>
            <w:shd w:val="clear" w:color="auto" w:fill="FFFFFF" w:themeFill="background1"/>
            <w:vAlign w:val="center"/>
          </w:tcPr>
          <w:p w14:paraId="2813D90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已判决腾晖光伏支付部分服务费及违约金。</w:t>
            </w:r>
          </w:p>
        </w:tc>
        <w:tc>
          <w:tcPr>
            <w:tcW w:w="1701" w:type="dxa"/>
            <w:shd w:val="clear" w:color="auto" w:fill="FFFFFF" w:themeFill="background1"/>
            <w:vAlign w:val="center"/>
          </w:tcPr>
          <w:p w14:paraId="1C79E18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盱眙绿环科技有限公司已申报债权。按破产重整计划清偿中。</w:t>
            </w:r>
          </w:p>
        </w:tc>
        <w:tc>
          <w:tcPr>
            <w:tcW w:w="1205" w:type="dxa"/>
            <w:shd w:val="clear" w:color="auto" w:fill="FFFFFF" w:themeFill="background1"/>
            <w:vAlign w:val="center"/>
          </w:tcPr>
          <w:p w14:paraId="0ACD8E7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2023年08月22日</w:t>
            </w:r>
          </w:p>
        </w:tc>
        <w:tc>
          <w:tcPr>
            <w:tcW w:w="1205" w:type="dxa"/>
            <w:shd w:val="clear" w:color="auto" w:fill="FFFFFF" w:themeFill="background1"/>
            <w:vAlign w:val="center"/>
          </w:tcPr>
          <w:p w14:paraId="0ADE912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7A9A29A8" w14:textId="77777777" w:rsidTr="00514DEA">
        <w:trPr>
          <w:trHeight w:val="240"/>
          <w:jc w:val="center"/>
        </w:trPr>
        <w:tc>
          <w:tcPr>
            <w:tcW w:w="3966" w:type="dxa"/>
            <w:shd w:val="clear" w:color="auto" w:fill="FFFFFF" w:themeFill="background1"/>
            <w:vAlign w:val="center"/>
          </w:tcPr>
          <w:p w14:paraId="5526EE8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腾晖光伏（被告一）与中国信达资产管理有限公司江苏省分公司（原告）进行债务重组，因腾晖光伏未按约定履行，原告提起诉讼。</w:t>
            </w:r>
          </w:p>
        </w:tc>
        <w:tc>
          <w:tcPr>
            <w:tcW w:w="1276" w:type="dxa"/>
            <w:shd w:val="clear" w:color="auto" w:fill="FFFFFF" w:themeFill="background1"/>
            <w:vAlign w:val="center"/>
          </w:tcPr>
          <w:p w14:paraId="51996E1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3,600</w:t>
            </w:r>
          </w:p>
        </w:tc>
        <w:tc>
          <w:tcPr>
            <w:tcW w:w="1205" w:type="dxa"/>
            <w:shd w:val="clear" w:color="auto" w:fill="FFFFFF" w:themeFill="background1"/>
            <w:vAlign w:val="center"/>
          </w:tcPr>
          <w:p w14:paraId="0622037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61EA9C4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w:t>
            </w:r>
          </w:p>
        </w:tc>
        <w:tc>
          <w:tcPr>
            <w:tcW w:w="1984" w:type="dxa"/>
            <w:shd w:val="clear" w:color="auto" w:fill="FFFFFF" w:themeFill="background1"/>
            <w:vAlign w:val="center"/>
          </w:tcPr>
          <w:p w14:paraId="007B342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已判决中国信达资产管理有限公司江苏省分公司有权对中利集团名下的比克动力电池及腾晖光伏名下的股权折价、拍卖、变卖所得价款优先受偿。</w:t>
            </w:r>
          </w:p>
        </w:tc>
        <w:tc>
          <w:tcPr>
            <w:tcW w:w="1701" w:type="dxa"/>
            <w:shd w:val="clear" w:color="auto" w:fill="FFFFFF" w:themeFill="background1"/>
            <w:vAlign w:val="center"/>
          </w:tcPr>
          <w:p w14:paraId="118C918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中国信达资产管理有限公司江苏省分公司已申报债权。按破产重整计划清偿中。</w:t>
            </w:r>
          </w:p>
        </w:tc>
        <w:tc>
          <w:tcPr>
            <w:tcW w:w="1205" w:type="dxa"/>
            <w:shd w:val="clear" w:color="auto" w:fill="FFFFFF" w:themeFill="background1"/>
            <w:vAlign w:val="center"/>
          </w:tcPr>
          <w:p w14:paraId="58B7242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2023年08月22日</w:t>
            </w:r>
          </w:p>
        </w:tc>
        <w:tc>
          <w:tcPr>
            <w:tcW w:w="1205" w:type="dxa"/>
            <w:shd w:val="clear" w:color="auto" w:fill="FFFFFF" w:themeFill="background1"/>
            <w:vAlign w:val="center"/>
          </w:tcPr>
          <w:p w14:paraId="04F3088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58DB0BC4" w14:textId="77777777" w:rsidTr="00514DEA">
        <w:trPr>
          <w:trHeight w:val="240"/>
          <w:jc w:val="center"/>
        </w:trPr>
        <w:tc>
          <w:tcPr>
            <w:tcW w:w="3966" w:type="dxa"/>
            <w:shd w:val="clear" w:color="auto" w:fill="FFFFFF" w:themeFill="background1"/>
            <w:vAlign w:val="center"/>
          </w:tcPr>
          <w:p w14:paraId="073D085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信息产业电子第十一设计研究院科技工程股份有限公司（原告）与泗阳腾晖光电有限公司(被告一)、腾晖光伏（被告二）因建设工程施工合同纠纷向宿迁市中级人民法院提起诉讼。</w:t>
            </w:r>
          </w:p>
        </w:tc>
        <w:tc>
          <w:tcPr>
            <w:tcW w:w="1276" w:type="dxa"/>
            <w:shd w:val="clear" w:color="auto" w:fill="FFFFFF" w:themeFill="background1"/>
            <w:vAlign w:val="center"/>
          </w:tcPr>
          <w:p w14:paraId="4B75EA9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20,500</w:t>
            </w:r>
          </w:p>
        </w:tc>
        <w:tc>
          <w:tcPr>
            <w:tcW w:w="1205" w:type="dxa"/>
            <w:shd w:val="clear" w:color="auto" w:fill="FFFFFF" w:themeFill="background1"/>
            <w:vAlign w:val="center"/>
          </w:tcPr>
          <w:p w14:paraId="05B6704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42FE85E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w:t>
            </w:r>
          </w:p>
        </w:tc>
        <w:tc>
          <w:tcPr>
            <w:tcW w:w="1984" w:type="dxa"/>
            <w:shd w:val="clear" w:color="auto" w:fill="FFFFFF" w:themeFill="background1"/>
            <w:vAlign w:val="center"/>
          </w:tcPr>
          <w:p w14:paraId="3963992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已判决信息产业电子第十一设计研究院科技工程股份有限公司对泗阳腾晖光电有限公司享有工程款债权、就施工工程折价或拍卖、变卖款享有优先受偿权，腾晖光伏承担连带责任。</w:t>
            </w:r>
          </w:p>
        </w:tc>
        <w:tc>
          <w:tcPr>
            <w:tcW w:w="1701" w:type="dxa"/>
            <w:shd w:val="clear" w:color="auto" w:fill="FFFFFF" w:themeFill="background1"/>
            <w:vAlign w:val="center"/>
          </w:tcPr>
          <w:p w14:paraId="3CF83E4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信息产业电子第十一设计研究院科技工程股份有限公司已申报债权。按破产重整计划清偿中。</w:t>
            </w:r>
          </w:p>
        </w:tc>
        <w:tc>
          <w:tcPr>
            <w:tcW w:w="1205" w:type="dxa"/>
            <w:shd w:val="clear" w:color="auto" w:fill="FFFFFF" w:themeFill="background1"/>
            <w:vAlign w:val="center"/>
          </w:tcPr>
          <w:p w14:paraId="1A79BEA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2023年08月22日</w:t>
            </w:r>
          </w:p>
        </w:tc>
        <w:tc>
          <w:tcPr>
            <w:tcW w:w="1205" w:type="dxa"/>
            <w:shd w:val="clear" w:color="auto" w:fill="FFFFFF" w:themeFill="background1"/>
            <w:vAlign w:val="center"/>
          </w:tcPr>
          <w:p w14:paraId="4B92C6A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0312B579" w14:textId="77777777" w:rsidTr="00514DEA">
        <w:trPr>
          <w:trHeight w:val="240"/>
          <w:jc w:val="center"/>
        </w:trPr>
        <w:tc>
          <w:tcPr>
            <w:tcW w:w="3966" w:type="dxa"/>
            <w:shd w:val="clear" w:color="auto" w:fill="FFFFFF" w:themeFill="background1"/>
            <w:vAlign w:val="center"/>
          </w:tcPr>
          <w:p w14:paraId="665F530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信息产业电子第十一设计研究院科技工程股份有限公司（原告）与泗阳腾晖新能源技术有限公司(被告一)、腾晖光伏（被告二）因建设工程施工合同纠纷向宿迁市中级人民法院提起诉讼。</w:t>
            </w:r>
          </w:p>
        </w:tc>
        <w:tc>
          <w:tcPr>
            <w:tcW w:w="1276" w:type="dxa"/>
            <w:shd w:val="clear" w:color="auto" w:fill="FFFFFF" w:themeFill="background1"/>
            <w:vAlign w:val="center"/>
          </w:tcPr>
          <w:p w14:paraId="7200A11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4,500</w:t>
            </w:r>
          </w:p>
        </w:tc>
        <w:tc>
          <w:tcPr>
            <w:tcW w:w="1205" w:type="dxa"/>
            <w:shd w:val="clear" w:color="auto" w:fill="FFFFFF" w:themeFill="background1"/>
            <w:vAlign w:val="center"/>
          </w:tcPr>
          <w:p w14:paraId="1D31952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1233B4E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w:t>
            </w:r>
          </w:p>
        </w:tc>
        <w:tc>
          <w:tcPr>
            <w:tcW w:w="1984" w:type="dxa"/>
            <w:shd w:val="clear" w:color="auto" w:fill="FFFFFF" w:themeFill="background1"/>
            <w:vAlign w:val="center"/>
          </w:tcPr>
          <w:p w14:paraId="64AF396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已判决泗阳腾晖新能源技术有限公司支付相应工程款及利息，腾晖光伏承担连带责任。</w:t>
            </w:r>
          </w:p>
        </w:tc>
        <w:tc>
          <w:tcPr>
            <w:tcW w:w="1701" w:type="dxa"/>
            <w:shd w:val="clear" w:color="auto" w:fill="FFFFFF" w:themeFill="background1"/>
            <w:vAlign w:val="center"/>
          </w:tcPr>
          <w:p w14:paraId="31396B6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信息产业电子第十一设计研究院科技工程股份有限公司已申报债权。按破产重整计划清偿中。</w:t>
            </w:r>
          </w:p>
        </w:tc>
        <w:tc>
          <w:tcPr>
            <w:tcW w:w="1205" w:type="dxa"/>
            <w:shd w:val="clear" w:color="auto" w:fill="FFFFFF" w:themeFill="background1"/>
            <w:vAlign w:val="center"/>
          </w:tcPr>
          <w:p w14:paraId="02D9F92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2023年08月22日</w:t>
            </w:r>
          </w:p>
        </w:tc>
        <w:tc>
          <w:tcPr>
            <w:tcW w:w="1205" w:type="dxa"/>
            <w:shd w:val="clear" w:color="auto" w:fill="FFFFFF" w:themeFill="background1"/>
            <w:vAlign w:val="center"/>
          </w:tcPr>
          <w:p w14:paraId="7F372EF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79B7E780" w14:textId="77777777" w:rsidTr="00514DEA">
        <w:trPr>
          <w:trHeight w:val="240"/>
          <w:jc w:val="center"/>
        </w:trPr>
        <w:tc>
          <w:tcPr>
            <w:tcW w:w="3966" w:type="dxa"/>
            <w:shd w:val="clear" w:color="auto" w:fill="FFFFFF" w:themeFill="background1"/>
            <w:vAlign w:val="center"/>
          </w:tcPr>
          <w:p w14:paraId="7FC89C6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lastRenderedPageBreak/>
              <w:t>信息产业电子第十一设计研究院科技工程股份有限公司（原告）与沛县腾晖新能源技术有限公司（被告一）、腾晖光伏（被告二）因建设工程施工合同纠纷，提起诉讼。</w:t>
            </w:r>
          </w:p>
        </w:tc>
        <w:tc>
          <w:tcPr>
            <w:tcW w:w="1276" w:type="dxa"/>
            <w:shd w:val="clear" w:color="auto" w:fill="FFFFFF" w:themeFill="background1"/>
            <w:vAlign w:val="center"/>
          </w:tcPr>
          <w:p w14:paraId="4E25E7A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2,990.55</w:t>
            </w:r>
          </w:p>
        </w:tc>
        <w:tc>
          <w:tcPr>
            <w:tcW w:w="1205" w:type="dxa"/>
            <w:shd w:val="clear" w:color="auto" w:fill="FFFFFF" w:themeFill="background1"/>
            <w:vAlign w:val="center"/>
          </w:tcPr>
          <w:p w14:paraId="1F34CB5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476A4C2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w:t>
            </w:r>
          </w:p>
        </w:tc>
        <w:tc>
          <w:tcPr>
            <w:tcW w:w="1984" w:type="dxa"/>
            <w:shd w:val="clear" w:color="auto" w:fill="FFFFFF" w:themeFill="background1"/>
            <w:vAlign w:val="center"/>
          </w:tcPr>
          <w:p w14:paraId="53F87C2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已判决沛县腾晖新能源技术有限公司支付相应工程款及利息，腾晖光伏承担连带责任。</w:t>
            </w:r>
          </w:p>
        </w:tc>
        <w:tc>
          <w:tcPr>
            <w:tcW w:w="1701" w:type="dxa"/>
            <w:shd w:val="clear" w:color="auto" w:fill="FFFFFF" w:themeFill="background1"/>
            <w:vAlign w:val="center"/>
          </w:tcPr>
          <w:p w14:paraId="7EC024B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信息产业电子第十一设计研究院科技工程股份有限公司已申报债权。按破产重整计划清偿中。</w:t>
            </w:r>
          </w:p>
        </w:tc>
        <w:tc>
          <w:tcPr>
            <w:tcW w:w="1205" w:type="dxa"/>
            <w:shd w:val="clear" w:color="auto" w:fill="FFFFFF" w:themeFill="background1"/>
            <w:vAlign w:val="center"/>
          </w:tcPr>
          <w:p w14:paraId="2C4E131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2023年01月19日</w:t>
            </w:r>
          </w:p>
        </w:tc>
        <w:tc>
          <w:tcPr>
            <w:tcW w:w="1205" w:type="dxa"/>
            <w:shd w:val="clear" w:color="auto" w:fill="FFFFFF" w:themeFill="background1"/>
            <w:vAlign w:val="center"/>
          </w:tcPr>
          <w:p w14:paraId="4A3F4E9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4850AD84" w14:textId="77777777" w:rsidTr="00514DEA">
        <w:trPr>
          <w:trHeight w:val="240"/>
          <w:jc w:val="center"/>
        </w:trPr>
        <w:tc>
          <w:tcPr>
            <w:tcW w:w="3966" w:type="dxa"/>
            <w:shd w:val="clear" w:color="auto" w:fill="FFFFFF" w:themeFill="background1"/>
            <w:vAlign w:val="center"/>
          </w:tcPr>
          <w:p w14:paraId="1F390D1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江苏华能智慧能源供应链科技有限公司（原告）与山东腾晖新能源技术有限公司（被告一）、腾晖光伏（被告二）、腾晖泰国（被告三）之间存在合同纠纷，提起诉讼。</w:t>
            </w:r>
          </w:p>
        </w:tc>
        <w:tc>
          <w:tcPr>
            <w:tcW w:w="1276" w:type="dxa"/>
            <w:shd w:val="clear" w:color="auto" w:fill="FFFFFF" w:themeFill="background1"/>
            <w:vAlign w:val="center"/>
          </w:tcPr>
          <w:p w14:paraId="6AB8F5D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2,975.73</w:t>
            </w:r>
          </w:p>
        </w:tc>
        <w:tc>
          <w:tcPr>
            <w:tcW w:w="1205" w:type="dxa"/>
            <w:shd w:val="clear" w:color="auto" w:fill="FFFFFF" w:themeFill="background1"/>
            <w:vAlign w:val="center"/>
          </w:tcPr>
          <w:p w14:paraId="54BD017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71ED23F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w:t>
            </w:r>
          </w:p>
        </w:tc>
        <w:tc>
          <w:tcPr>
            <w:tcW w:w="1984" w:type="dxa"/>
            <w:shd w:val="clear" w:color="auto" w:fill="FFFFFF" w:themeFill="background1"/>
            <w:vAlign w:val="center"/>
          </w:tcPr>
          <w:p w14:paraId="3188B0D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已判决山东腾晖新能源技术有限公司、腾晖光伏支付相应货款及违约金，腾晖泰国不承担责任。</w:t>
            </w:r>
          </w:p>
        </w:tc>
        <w:tc>
          <w:tcPr>
            <w:tcW w:w="1701" w:type="dxa"/>
            <w:shd w:val="clear" w:color="auto" w:fill="FFFFFF" w:themeFill="background1"/>
            <w:vAlign w:val="center"/>
          </w:tcPr>
          <w:p w14:paraId="63F5DFB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江苏华能智慧能源供应链科技有限公司已申报债权。按破产重整计划清偿中。</w:t>
            </w:r>
          </w:p>
        </w:tc>
        <w:tc>
          <w:tcPr>
            <w:tcW w:w="1205" w:type="dxa"/>
            <w:shd w:val="clear" w:color="auto" w:fill="FFFFFF" w:themeFill="background1"/>
            <w:vAlign w:val="center"/>
          </w:tcPr>
          <w:p w14:paraId="6A94F3C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2023年02月02日</w:t>
            </w:r>
          </w:p>
        </w:tc>
        <w:tc>
          <w:tcPr>
            <w:tcW w:w="1205" w:type="dxa"/>
            <w:shd w:val="clear" w:color="auto" w:fill="FFFFFF" w:themeFill="background1"/>
            <w:vAlign w:val="center"/>
          </w:tcPr>
          <w:p w14:paraId="6F591A3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0FCBD561" w14:textId="77777777" w:rsidTr="00514DEA">
        <w:trPr>
          <w:trHeight w:val="240"/>
          <w:jc w:val="center"/>
        </w:trPr>
        <w:tc>
          <w:tcPr>
            <w:tcW w:w="3966" w:type="dxa"/>
            <w:shd w:val="clear" w:color="auto" w:fill="FFFFFF" w:themeFill="background1"/>
            <w:vAlign w:val="center"/>
          </w:tcPr>
          <w:p w14:paraId="5A1D777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信息产业电子第十一设计研究院科技工程股份有限公司（原告）与山东腾晖光电有限公司（被告一）、腾晖光伏（被告二）因建设工程施工合同纠纷，提起诉讼。</w:t>
            </w:r>
          </w:p>
        </w:tc>
        <w:tc>
          <w:tcPr>
            <w:tcW w:w="1276" w:type="dxa"/>
            <w:shd w:val="clear" w:color="auto" w:fill="FFFFFF" w:themeFill="background1"/>
            <w:vAlign w:val="center"/>
          </w:tcPr>
          <w:p w14:paraId="377E151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5,800</w:t>
            </w:r>
          </w:p>
        </w:tc>
        <w:tc>
          <w:tcPr>
            <w:tcW w:w="1205" w:type="dxa"/>
            <w:shd w:val="clear" w:color="auto" w:fill="FFFFFF" w:themeFill="background1"/>
            <w:vAlign w:val="center"/>
          </w:tcPr>
          <w:p w14:paraId="7AFCA21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48E270A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w:t>
            </w:r>
          </w:p>
        </w:tc>
        <w:tc>
          <w:tcPr>
            <w:tcW w:w="1984" w:type="dxa"/>
            <w:shd w:val="clear" w:color="auto" w:fill="FFFFFF" w:themeFill="background1"/>
            <w:vAlign w:val="center"/>
          </w:tcPr>
          <w:p w14:paraId="3208373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已判决山东腾晖光电有限公司支付相应工程款及利息，腾晖光伏承担连带责任。</w:t>
            </w:r>
          </w:p>
        </w:tc>
        <w:tc>
          <w:tcPr>
            <w:tcW w:w="1701" w:type="dxa"/>
            <w:shd w:val="clear" w:color="auto" w:fill="FFFFFF" w:themeFill="background1"/>
            <w:vAlign w:val="center"/>
          </w:tcPr>
          <w:p w14:paraId="003A370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信息产业电子第十一设计研究院科技工程股份有限公司已申报债权。按破产重整计划清偿中。</w:t>
            </w:r>
          </w:p>
        </w:tc>
        <w:tc>
          <w:tcPr>
            <w:tcW w:w="1205" w:type="dxa"/>
            <w:shd w:val="clear" w:color="auto" w:fill="FFFFFF" w:themeFill="background1"/>
            <w:vAlign w:val="center"/>
          </w:tcPr>
          <w:p w14:paraId="545EEF4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2023年08月22日</w:t>
            </w:r>
          </w:p>
        </w:tc>
        <w:tc>
          <w:tcPr>
            <w:tcW w:w="1205" w:type="dxa"/>
            <w:shd w:val="clear" w:color="auto" w:fill="FFFFFF" w:themeFill="background1"/>
            <w:vAlign w:val="center"/>
          </w:tcPr>
          <w:p w14:paraId="590E2C7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173490AC" w14:textId="77777777" w:rsidTr="00514DEA">
        <w:trPr>
          <w:trHeight w:val="240"/>
          <w:jc w:val="center"/>
        </w:trPr>
        <w:tc>
          <w:tcPr>
            <w:tcW w:w="3966" w:type="dxa"/>
            <w:shd w:val="clear" w:color="auto" w:fill="FFFFFF" w:themeFill="background1"/>
            <w:vAlign w:val="center"/>
          </w:tcPr>
          <w:p w14:paraId="19C5940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信息产业电子第十一设计研究院科技工程股份有限公司（原告）与山东腾晖新能源技术有限公司（被告一）、腾晖光伏（被告二）因建设工程施工合同纠纷，提起诉讼。</w:t>
            </w:r>
          </w:p>
        </w:tc>
        <w:tc>
          <w:tcPr>
            <w:tcW w:w="1276" w:type="dxa"/>
            <w:shd w:val="clear" w:color="auto" w:fill="FFFFFF" w:themeFill="background1"/>
            <w:vAlign w:val="center"/>
          </w:tcPr>
          <w:p w14:paraId="4BCD77D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2,500</w:t>
            </w:r>
          </w:p>
        </w:tc>
        <w:tc>
          <w:tcPr>
            <w:tcW w:w="1205" w:type="dxa"/>
            <w:shd w:val="clear" w:color="auto" w:fill="FFFFFF" w:themeFill="background1"/>
            <w:vAlign w:val="center"/>
          </w:tcPr>
          <w:p w14:paraId="247B20A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22A0DE0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w:t>
            </w:r>
          </w:p>
        </w:tc>
        <w:tc>
          <w:tcPr>
            <w:tcW w:w="1984" w:type="dxa"/>
            <w:shd w:val="clear" w:color="auto" w:fill="FFFFFF" w:themeFill="background1"/>
            <w:vAlign w:val="center"/>
          </w:tcPr>
          <w:p w14:paraId="10722B8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已判决山东腾晖新能源技术有限公司支付相应工程款及利息，腾晖光伏不承担连带责任。</w:t>
            </w:r>
          </w:p>
        </w:tc>
        <w:tc>
          <w:tcPr>
            <w:tcW w:w="1701" w:type="dxa"/>
            <w:shd w:val="clear" w:color="auto" w:fill="FFFFFF" w:themeFill="background1"/>
            <w:vAlign w:val="center"/>
          </w:tcPr>
          <w:p w14:paraId="06FBA47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信息产业电子第十一设计研究院科技工程股份有限公司已申报债权，管理人不予以确认。</w:t>
            </w:r>
          </w:p>
        </w:tc>
        <w:tc>
          <w:tcPr>
            <w:tcW w:w="1205" w:type="dxa"/>
            <w:shd w:val="clear" w:color="auto" w:fill="FFFFFF" w:themeFill="background1"/>
            <w:vAlign w:val="center"/>
          </w:tcPr>
          <w:p w14:paraId="7EE24B3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2023年02月04日</w:t>
            </w:r>
          </w:p>
        </w:tc>
        <w:tc>
          <w:tcPr>
            <w:tcW w:w="1205" w:type="dxa"/>
            <w:shd w:val="clear" w:color="auto" w:fill="FFFFFF" w:themeFill="background1"/>
            <w:vAlign w:val="center"/>
          </w:tcPr>
          <w:p w14:paraId="4A6B735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23147ACD" w14:textId="77777777" w:rsidTr="00514DEA">
        <w:trPr>
          <w:trHeight w:val="240"/>
          <w:jc w:val="center"/>
        </w:trPr>
        <w:tc>
          <w:tcPr>
            <w:tcW w:w="3966" w:type="dxa"/>
            <w:shd w:val="clear" w:color="auto" w:fill="FFFFFF" w:themeFill="background1"/>
            <w:vAlign w:val="center"/>
          </w:tcPr>
          <w:p w14:paraId="569ED59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信息产业电子第十一设计研究院科技工程股份有限公司（原告）与宿迁腾晖新能源技术有限公司（被告一）、腾晖光伏（被告二）因建设工程施工纠纷，提起诉讼。</w:t>
            </w:r>
          </w:p>
        </w:tc>
        <w:tc>
          <w:tcPr>
            <w:tcW w:w="1276" w:type="dxa"/>
            <w:shd w:val="clear" w:color="auto" w:fill="FFFFFF" w:themeFill="background1"/>
            <w:vAlign w:val="center"/>
          </w:tcPr>
          <w:p w14:paraId="26743FF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4,124</w:t>
            </w:r>
          </w:p>
        </w:tc>
        <w:tc>
          <w:tcPr>
            <w:tcW w:w="1205" w:type="dxa"/>
            <w:shd w:val="clear" w:color="auto" w:fill="FFFFFF" w:themeFill="background1"/>
            <w:vAlign w:val="center"/>
          </w:tcPr>
          <w:p w14:paraId="54C7DA1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1205ECD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w:t>
            </w:r>
          </w:p>
        </w:tc>
        <w:tc>
          <w:tcPr>
            <w:tcW w:w="1984" w:type="dxa"/>
            <w:shd w:val="clear" w:color="auto" w:fill="FFFFFF" w:themeFill="background1"/>
            <w:vAlign w:val="center"/>
          </w:tcPr>
          <w:p w14:paraId="085B90B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已判决宿迁腾晖新能源技术有限公司支付相应工程款及利息，腾晖光伏承担连带责任。</w:t>
            </w:r>
          </w:p>
        </w:tc>
        <w:tc>
          <w:tcPr>
            <w:tcW w:w="1701" w:type="dxa"/>
            <w:shd w:val="clear" w:color="auto" w:fill="FFFFFF" w:themeFill="background1"/>
            <w:vAlign w:val="center"/>
          </w:tcPr>
          <w:p w14:paraId="3BCC183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信息产业电子第十一设计研究院科技工程股份有限公司已申报债权。按破产重整计划清偿中。</w:t>
            </w:r>
          </w:p>
        </w:tc>
        <w:tc>
          <w:tcPr>
            <w:tcW w:w="1205" w:type="dxa"/>
            <w:shd w:val="clear" w:color="auto" w:fill="FFFFFF" w:themeFill="background1"/>
            <w:vAlign w:val="center"/>
          </w:tcPr>
          <w:p w14:paraId="1FCAF93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2023年08月22日</w:t>
            </w:r>
          </w:p>
        </w:tc>
        <w:tc>
          <w:tcPr>
            <w:tcW w:w="1205" w:type="dxa"/>
            <w:shd w:val="clear" w:color="auto" w:fill="FFFFFF" w:themeFill="background1"/>
            <w:vAlign w:val="center"/>
          </w:tcPr>
          <w:p w14:paraId="48C75BA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68434EF0" w14:textId="77777777" w:rsidTr="00514DEA">
        <w:trPr>
          <w:trHeight w:val="240"/>
          <w:jc w:val="center"/>
        </w:trPr>
        <w:tc>
          <w:tcPr>
            <w:tcW w:w="3966" w:type="dxa"/>
            <w:shd w:val="clear" w:color="auto" w:fill="FFFFFF" w:themeFill="background1"/>
            <w:vAlign w:val="center"/>
          </w:tcPr>
          <w:p w14:paraId="63B7CF7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浙江沃乐环境科技有限公司（原告）因与泗阳腾晖光电有限公司（被告一）、腾晖光伏（被告二）产生合同纠纷，提起诉讼。</w:t>
            </w:r>
          </w:p>
        </w:tc>
        <w:tc>
          <w:tcPr>
            <w:tcW w:w="1276" w:type="dxa"/>
            <w:shd w:val="clear" w:color="auto" w:fill="FFFFFF" w:themeFill="background1"/>
            <w:vAlign w:val="center"/>
          </w:tcPr>
          <w:p w14:paraId="1D9F86B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1,118.05</w:t>
            </w:r>
          </w:p>
        </w:tc>
        <w:tc>
          <w:tcPr>
            <w:tcW w:w="1205" w:type="dxa"/>
            <w:shd w:val="clear" w:color="auto" w:fill="FFFFFF" w:themeFill="background1"/>
            <w:vAlign w:val="center"/>
          </w:tcPr>
          <w:p w14:paraId="0BFEE21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4C3418C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w:t>
            </w:r>
          </w:p>
        </w:tc>
        <w:tc>
          <w:tcPr>
            <w:tcW w:w="1984" w:type="dxa"/>
            <w:shd w:val="clear" w:color="auto" w:fill="FFFFFF" w:themeFill="background1"/>
            <w:vAlign w:val="center"/>
          </w:tcPr>
          <w:p w14:paraId="05A8036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已判决泗阳腾晖光电有限公司支付相应工程款和利息，腾晖光伏承担连带责任。</w:t>
            </w:r>
          </w:p>
        </w:tc>
        <w:tc>
          <w:tcPr>
            <w:tcW w:w="1701" w:type="dxa"/>
            <w:shd w:val="clear" w:color="auto" w:fill="FFFFFF" w:themeFill="background1"/>
            <w:vAlign w:val="center"/>
          </w:tcPr>
          <w:p w14:paraId="19986B1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浙江沃乐环境科技有限公司已申报债权。按破产重整计划清偿中。</w:t>
            </w:r>
          </w:p>
        </w:tc>
        <w:tc>
          <w:tcPr>
            <w:tcW w:w="1205" w:type="dxa"/>
            <w:shd w:val="clear" w:color="auto" w:fill="FFFFFF" w:themeFill="background1"/>
            <w:vAlign w:val="center"/>
          </w:tcPr>
          <w:p w14:paraId="0750A91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2023年08月22日</w:t>
            </w:r>
          </w:p>
        </w:tc>
        <w:tc>
          <w:tcPr>
            <w:tcW w:w="1205" w:type="dxa"/>
            <w:shd w:val="clear" w:color="auto" w:fill="FFFFFF" w:themeFill="background1"/>
            <w:vAlign w:val="center"/>
          </w:tcPr>
          <w:p w14:paraId="3C74CF5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020DDC45" w14:textId="77777777" w:rsidTr="00514DEA">
        <w:trPr>
          <w:trHeight w:val="240"/>
          <w:jc w:val="center"/>
        </w:trPr>
        <w:tc>
          <w:tcPr>
            <w:tcW w:w="3966" w:type="dxa"/>
            <w:shd w:val="clear" w:color="auto" w:fill="FFFFFF" w:themeFill="background1"/>
            <w:vAlign w:val="center"/>
          </w:tcPr>
          <w:p w14:paraId="7938439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中国建设银行股份有限公司常熟分行（原告）因与江苏中利电子信息科技有限公司（被告一）、中利集团（被告二）、中联光电（被告三）、常州船缆（被告四）存在合同纠纷，提起诉讼。</w:t>
            </w:r>
          </w:p>
        </w:tc>
        <w:tc>
          <w:tcPr>
            <w:tcW w:w="1276" w:type="dxa"/>
            <w:shd w:val="clear" w:color="auto" w:fill="FFFFFF" w:themeFill="background1"/>
            <w:vAlign w:val="center"/>
          </w:tcPr>
          <w:p w14:paraId="7E8537F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4,661.78</w:t>
            </w:r>
          </w:p>
        </w:tc>
        <w:tc>
          <w:tcPr>
            <w:tcW w:w="1205" w:type="dxa"/>
            <w:shd w:val="clear" w:color="auto" w:fill="FFFFFF" w:themeFill="background1"/>
            <w:vAlign w:val="center"/>
          </w:tcPr>
          <w:p w14:paraId="57BFF4C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7A1EB3E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w:t>
            </w:r>
          </w:p>
        </w:tc>
        <w:tc>
          <w:tcPr>
            <w:tcW w:w="1984" w:type="dxa"/>
            <w:shd w:val="clear" w:color="auto" w:fill="FFFFFF" w:themeFill="background1"/>
            <w:vAlign w:val="center"/>
          </w:tcPr>
          <w:p w14:paraId="06E9CDC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已判决江苏中利电子信息科技有限公司承担归还本息的责任；中利集团承担连带责任。中利集团及其余被告对各自抵押的不动产在最高额范围内</w:t>
            </w:r>
            <w:r>
              <w:rPr>
                <w:rFonts w:ascii="宋体" w:eastAsia="宋体" w:hAnsi="宋体" w:cs="宋体"/>
                <w:sz w:val="18"/>
                <w:szCs w:val="18"/>
              </w:rPr>
              <w:lastRenderedPageBreak/>
              <w:t>承担保证责任。</w:t>
            </w:r>
          </w:p>
        </w:tc>
        <w:tc>
          <w:tcPr>
            <w:tcW w:w="1701" w:type="dxa"/>
            <w:shd w:val="clear" w:color="auto" w:fill="FFFFFF" w:themeFill="background1"/>
            <w:vAlign w:val="center"/>
          </w:tcPr>
          <w:p w14:paraId="5287881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lastRenderedPageBreak/>
              <w:t>中国建设银行股份有限公司常熟分行已申报债权。按破产重整计划清偿中。</w:t>
            </w:r>
          </w:p>
        </w:tc>
        <w:tc>
          <w:tcPr>
            <w:tcW w:w="1205" w:type="dxa"/>
            <w:shd w:val="clear" w:color="auto" w:fill="FFFFFF" w:themeFill="background1"/>
            <w:vAlign w:val="center"/>
          </w:tcPr>
          <w:p w14:paraId="347C6A1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2023年08月22日</w:t>
            </w:r>
          </w:p>
        </w:tc>
        <w:tc>
          <w:tcPr>
            <w:tcW w:w="1205" w:type="dxa"/>
            <w:shd w:val="clear" w:color="auto" w:fill="FFFFFF" w:themeFill="background1"/>
            <w:vAlign w:val="center"/>
          </w:tcPr>
          <w:p w14:paraId="23FED3B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0E86E795" w14:textId="77777777" w:rsidTr="00514DEA">
        <w:trPr>
          <w:trHeight w:val="240"/>
          <w:jc w:val="center"/>
        </w:trPr>
        <w:tc>
          <w:tcPr>
            <w:tcW w:w="3966" w:type="dxa"/>
            <w:shd w:val="clear" w:color="auto" w:fill="FFFFFF" w:themeFill="background1"/>
            <w:vAlign w:val="center"/>
          </w:tcPr>
          <w:p w14:paraId="68C7F80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宿迁市开盛创业投资有限公司（原告）因与宿迁腾晖新能源技术有限公司（被告一）存在债权债务纠纷提起诉讼，中利集团（被告二）、腾晖光伏（被告三）、王柏兴（被告四）承担连带清偿责任。</w:t>
            </w:r>
          </w:p>
        </w:tc>
        <w:tc>
          <w:tcPr>
            <w:tcW w:w="1276" w:type="dxa"/>
            <w:shd w:val="clear" w:color="auto" w:fill="FFFFFF" w:themeFill="background1"/>
            <w:vAlign w:val="center"/>
          </w:tcPr>
          <w:p w14:paraId="5A83819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7,118.96</w:t>
            </w:r>
          </w:p>
        </w:tc>
        <w:tc>
          <w:tcPr>
            <w:tcW w:w="1205" w:type="dxa"/>
            <w:shd w:val="clear" w:color="auto" w:fill="FFFFFF" w:themeFill="background1"/>
            <w:vAlign w:val="center"/>
          </w:tcPr>
          <w:p w14:paraId="020F1BD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18AB60A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w:t>
            </w:r>
          </w:p>
        </w:tc>
        <w:tc>
          <w:tcPr>
            <w:tcW w:w="1984" w:type="dxa"/>
            <w:shd w:val="clear" w:color="auto" w:fill="FFFFFF" w:themeFill="background1"/>
            <w:vAlign w:val="center"/>
          </w:tcPr>
          <w:p w14:paraId="01A8530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已判决宿迁腾晖新能源技术有限公司归还相应本息，其他被告承担连带责任。</w:t>
            </w:r>
          </w:p>
        </w:tc>
        <w:tc>
          <w:tcPr>
            <w:tcW w:w="1701" w:type="dxa"/>
            <w:shd w:val="clear" w:color="auto" w:fill="FFFFFF" w:themeFill="background1"/>
            <w:vAlign w:val="center"/>
          </w:tcPr>
          <w:p w14:paraId="3184C71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宿迁市开盛创业投资有限公司已申报债权。按破产重整计划清偿中。</w:t>
            </w:r>
          </w:p>
        </w:tc>
        <w:tc>
          <w:tcPr>
            <w:tcW w:w="1205" w:type="dxa"/>
            <w:shd w:val="clear" w:color="auto" w:fill="FFFFFF" w:themeFill="background1"/>
            <w:vAlign w:val="center"/>
          </w:tcPr>
          <w:p w14:paraId="4DD5CD7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2023年04月19日</w:t>
            </w:r>
          </w:p>
        </w:tc>
        <w:tc>
          <w:tcPr>
            <w:tcW w:w="1205" w:type="dxa"/>
            <w:shd w:val="clear" w:color="auto" w:fill="FFFFFF" w:themeFill="background1"/>
            <w:vAlign w:val="center"/>
          </w:tcPr>
          <w:p w14:paraId="1E39127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685A67FA" w14:textId="77777777" w:rsidTr="00514DEA">
        <w:trPr>
          <w:trHeight w:val="240"/>
          <w:jc w:val="center"/>
        </w:trPr>
        <w:tc>
          <w:tcPr>
            <w:tcW w:w="3966" w:type="dxa"/>
            <w:shd w:val="clear" w:color="auto" w:fill="FFFFFF" w:themeFill="background1"/>
            <w:vAlign w:val="center"/>
          </w:tcPr>
          <w:p w14:paraId="686EEC0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无锡奥特维科技股份有限公司（申请人）因与腾晖光伏（被申请人）买卖合同纠纷，向常州仲裁委员会提起仲裁。</w:t>
            </w:r>
          </w:p>
        </w:tc>
        <w:tc>
          <w:tcPr>
            <w:tcW w:w="1276" w:type="dxa"/>
            <w:shd w:val="clear" w:color="auto" w:fill="FFFFFF" w:themeFill="background1"/>
            <w:vAlign w:val="center"/>
          </w:tcPr>
          <w:p w14:paraId="0261015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1,630.73</w:t>
            </w:r>
          </w:p>
        </w:tc>
        <w:tc>
          <w:tcPr>
            <w:tcW w:w="1205" w:type="dxa"/>
            <w:shd w:val="clear" w:color="auto" w:fill="FFFFFF" w:themeFill="background1"/>
            <w:vAlign w:val="center"/>
          </w:tcPr>
          <w:p w14:paraId="5E7E113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25667EC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已裁决</w:t>
            </w:r>
          </w:p>
        </w:tc>
        <w:tc>
          <w:tcPr>
            <w:tcW w:w="1984" w:type="dxa"/>
            <w:shd w:val="clear" w:color="auto" w:fill="FFFFFF" w:themeFill="background1"/>
            <w:vAlign w:val="center"/>
          </w:tcPr>
          <w:p w14:paraId="681ACAC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已裁定腾晖光伏支付相应货款及利息。</w:t>
            </w:r>
          </w:p>
        </w:tc>
        <w:tc>
          <w:tcPr>
            <w:tcW w:w="1701" w:type="dxa"/>
            <w:shd w:val="clear" w:color="auto" w:fill="FFFFFF" w:themeFill="background1"/>
            <w:vAlign w:val="center"/>
          </w:tcPr>
          <w:p w14:paraId="66E1DB0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无锡奥特维科技股份有限公司已申报债权。按破产重整计划清偿中。</w:t>
            </w:r>
          </w:p>
        </w:tc>
        <w:tc>
          <w:tcPr>
            <w:tcW w:w="1205" w:type="dxa"/>
            <w:shd w:val="clear" w:color="auto" w:fill="FFFFFF" w:themeFill="background1"/>
            <w:vAlign w:val="center"/>
          </w:tcPr>
          <w:p w14:paraId="019C983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2023年04月29日</w:t>
            </w:r>
          </w:p>
        </w:tc>
        <w:tc>
          <w:tcPr>
            <w:tcW w:w="1205" w:type="dxa"/>
            <w:shd w:val="clear" w:color="auto" w:fill="FFFFFF" w:themeFill="background1"/>
            <w:vAlign w:val="center"/>
          </w:tcPr>
          <w:p w14:paraId="6F88A62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4F82E520" w14:textId="77777777" w:rsidTr="00514DEA">
        <w:trPr>
          <w:trHeight w:val="240"/>
          <w:jc w:val="center"/>
        </w:trPr>
        <w:tc>
          <w:tcPr>
            <w:tcW w:w="3966" w:type="dxa"/>
            <w:shd w:val="clear" w:color="auto" w:fill="FFFFFF" w:themeFill="background1"/>
            <w:vAlign w:val="center"/>
          </w:tcPr>
          <w:p w14:paraId="6F53D05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无锡奥特维科技股份有限公司（申请人）因与腾晖光伏（被申请人一）、沛县腾晖新能源技术有限公司（被申请人二）存在买卖合同纠纷，向常州仲裁委员会提起仲裁。</w:t>
            </w:r>
          </w:p>
        </w:tc>
        <w:tc>
          <w:tcPr>
            <w:tcW w:w="1276" w:type="dxa"/>
            <w:shd w:val="clear" w:color="auto" w:fill="FFFFFF" w:themeFill="background1"/>
            <w:vAlign w:val="center"/>
          </w:tcPr>
          <w:p w14:paraId="7D6C705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2,147.53</w:t>
            </w:r>
          </w:p>
        </w:tc>
        <w:tc>
          <w:tcPr>
            <w:tcW w:w="1205" w:type="dxa"/>
            <w:shd w:val="clear" w:color="auto" w:fill="FFFFFF" w:themeFill="background1"/>
            <w:vAlign w:val="center"/>
          </w:tcPr>
          <w:p w14:paraId="441FD38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140325A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已裁决</w:t>
            </w:r>
          </w:p>
        </w:tc>
        <w:tc>
          <w:tcPr>
            <w:tcW w:w="1984" w:type="dxa"/>
            <w:shd w:val="clear" w:color="auto" w:fill="FFFFFF" w:themeFill="background1"/>
            <w:vAlign w:val="center"/>
          </w:tcPr>
          <w:p w14:paraId="57C9682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已裁定腾晖光伏和沛县腾晖新能源技术有限公司支付相应货款及利息。</w:t>
            </w:r>
          </w:p>
        </w:tc>
        <w:tc>
          <w:tcPr>
            <w:tcW w:w="1701" w:type="dxa"/>
            <w:shd w:val="clear" w:color="auto" w:fill="FFFFFF" w:themeFill="background1"/>
            <w:vAlign w:val="center"/>
          </w:tcPr>
          <w:p w14:paraId="64ADF8E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无锡奥特维科技股份有限公司已申报债权。按破产重整计划清偿中。</w:t>
            </w:r>
          </w:p>
        </w:tc>
        <w:tc>
          <w:tcPr>
            <w:tcW w:w="1205" w:type="dxa"/>
            <w:shd w:val="clear" w:color="auto" w:fill="FFFFFF" w:themeFill="background1"/>
            <w:vAlign w:val="center"/>
          </w:tcPr>
          <w:p w14:paraId="0133D55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2023年08月22日</w:t>
            </w:r>
          </w:p>
        </w:tc>
        <w:tc>
          <w:tcPr>
            <w:tcW w:w="1205" w:type="dxa"/>
            <w:shd w:val="clear" w:color="auto" w:fill="FFFFFF" w:themeFill="background1"/>
            <w:vAlign w:val="center"/>
          </w:tcPr>
          <w:p w14:paraId="3C8B853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03F4A60E" w14:textId="77777777" w:rsidTr="00514DEA">
        <w:trPr>
          <w:trHeight w:val="240"/>
          <w:jc w:val="center"/>
        </w:trPr>
        <w:tc>
          <w:tcPr>
            <w:tcW w:w="3966" w:type="dxa"/>
            <w:shd w:val="clear" w:color="auto" w:fill="FFFFFF" w:themeFill="background1"/>
            <w:vAlign w:val="center"/>
          </w:tcPr>
          <w:p w14:paraId="6B9CE6D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江苏江南农村商业银行股份有限公司（原告）因与常州船缆（被告一）存在合同纠纷提起诉讼，中利集团（被告二）承担连带清偿责任。</w:t>
            </w:r>
          </w:p>
        </w:tc>
        <w:tc>
          <w:tcPr>
            <w:tcW w:w="1276" w:type="dxa"/>
            <w:shd w:val="clear" w:color="auto" w:fill="FFFFFF" w:themeFill="background1"/>
            <w:vAlign w:val="center"/>
          </w:tcPr>
          <w:p w14:paraId="7D51E89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5,011.55</w:t>
            </w:r>
          </w:p>
        </w:tc>
        <w:tc>
          <w:tcPr>
            <w:tcW w:w="1205" w:type="dxa"/>
            <w:shd w:val="clear" w:color="auto" w:fill="FFFFFF" w:themeFill="background1"/>
            <w:vAlign w:val="center"/>
          </w:tcPr>
          <w:p w14:paraId="4A54617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222AE04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w:t>
            </w:r>
          </w:p>
        </w:tc>
        <w:tc>
          <w:tcPr>
            <w:tcW w:w="1984" w:type="dxa"/>
            <w:shd w:val="clear" w:color="auto" w:fill="FFFFFF" w:themeFill="background1"/>
            <w:vAlign w:val="center"/>
          </w:tcPr>
          <w:p w14:paraId="61EACE6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审理中撤回对中利集团的起诉，已判决常州船缆支付相应的本金及利息。</w:t>
            </w:r>
          </w:p>
        </w:tc>
        <w:tc>
          <w:tcPr>
            <w:tcW w:w="1701" w:type="dxa"/>
            <w:shd w:val="clear" w:color="auto" w:fill="FFFFFF" w:themeFill="background1"/>
            <w:vAlign w:val="center"/>
          </w:tcPr>
          <w:p w14:paraId="07FDDBC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江苏江南农村商业银行股份有限公司已申报债权。按破产重整计划清偿中。</w:t>
            </w:r>
          </w:p>
        </w:tc>
        <w:tc>
          <w:tcPr>
            <w:tcW w:w="1205" w:type="dxa"/>
            <w:shd w:val="clear" w:color="auto" w:fill="FFFFFF" w:themeFill="background1"/>
            <w:vAlign w:val="center"/>
          </w:tcPr>
          <w:p w14:paraId="30E5334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2023年08月22日</w:t>
            </w:r>
          </w:p>
        </w:tc>
        <w:tc>
          <w:tcPr>
            <w:tcW w:w="1205" w:type="dxa"/>
            <w:shd w:val="clear" w:color="auto" w:fill="FFFFFF" w:themeFill="background1"/>
            <w:vAlign w:val="center"/>
          </w:tcPr>
          <w:p w14:paraId="63EC869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53112AF3" w14:textId="77777777" w:rsidTr="00514DEA">
        <w:trPr>
          <w:trHeight w:val="240"/>
          <w:jc w:val="center"/>
        </w:trPr>
        <w:tc>
          <w:tcPr>
            <w:tcW w:w="3966" w:type="dxa"/>
            <w:shd w:val="clear" w:color="auto" w:fill="FFFFFF" w:themeFill="background1"/>
            <w:vAlign w:val="center"/>
          </w:tcPr>
          <w:p w14:paraId="5B930DF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中国建设银行股份有限公司常熟分行（原告）因与腾晖光伏（被告一）、中利集团（被告二）、中联光电（被告三）、常州船缆（被告四）存在合同纠纷，提起诉讼。</w:t>
            </w:r>
          </w:p>
        </w:tc>
        <w:tc>
          <w:tcPr>
            <w:tcW w:w="1276" w:type="dxa"/>
            <w:shd w:val="clear" w:color="auto" w:fill="FFFFFF" w:themeFill="background1"/>
            <w:vAlign w:val="center"/>
          </w:tcPr>
          <w:p w14:paraId="338BEDB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12,072.57</w:t>
            </w:r>
          </w:p>
        </w:tc>
        <w:tc>
          <w:tcPr>
            <w:tcW w:w="1205" w:type="dxa"/>
            <w:shd w:val="clear" w:color="auto" w:fill="FFFFFF" w:themeFill="background1"/>
            <w:vAlign w:val="center"/>
          </w:tcPr>
          <w:p w14:paraId="1A2B3A4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07689E5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w:t>
            </w:r>
          </w:p>
        </w:tc>
        <w:tc>
          <w:tcPr>
            <w:tcW w:w="1984" w:type="dxa"/>
            <w:shd w:val="clear" w:color="auto" w:fill="FFFFFF" w:themeFill="background1"/>
            <w:vAlign w:val="center"/>
          </w:tcPr>
          <w:p w14:paraId="538F984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已判决腾晖光伏承担归还本息的责任；中利集团承担连带责任。中利集团及其余被告对各自抵押的动产或不动产在最高额范围内承担保证责任。</w:t>
            </w:r>
          </w:p>
        </w:tc>
        <w:tc>
          <w:tcPr>
            <w:tcW w:w="1701" w:type="dxa"/>
            <w:shd w:val="clear" w:color="auto" w:fill="FFFFFF" w:themeFill="background1"/>
            <w:vAlign w:val="center"/>
          </w:tcPr>
          <w:p w14:paraId="46D1640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中国建设银行股份有限公司常熟分行已申报债权。按破产重整计划清偿中。</w:t>
            </w:r>
          </w:p>
        </w:tc>
        <w:tc>
          <w:tcPr>
            <w:tcW w:w="1205" w:type="dxa"/>
            <w:shd w:val="clear" w:color="auto" w:fill="FFFFFF" w:themeFill="background1"/>
            <w:vAlign w:val="center"/>
          </w:tcPr>
          <w:p w14:paraId="69F7865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2023年08月22日</w:t>
            </w:r>
          </w:p>
        </w:tc>
        <w:tc>
          <w:tcPr>
            <w:tcW w:w="1205" w:type="dxa"/>
            <w:shd w:val="clear" w:color="auto" w:fill="FFFFFF" w:themeFill="background1"/>
            <w:vAlign w:val="center"/>
          </w:tcPr>
          <w:p w14:paraId="57EA502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2FA7013A" w14:textId="77777777" w:rsidTr="00514DEA">
        <w:trPr>
          <w:trHeight w:val="240"/>
          <w:jc w:val="center"/>
        </w:trPr>
        <w:tc>
          <w:tcPr>
            <w:tcW w:w="3966" w:type="dxa"/>
            <w:shd w:val="clear" w:color="auto" w:fill="FFFFFF" w:themeFill="background1"/>
            <w:vAlign w:val="center"/>
          </w:tcPr>
          <w:p w14:paraId="54A99D1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中国建设银行股份有限公司常熟分行（原告）因与中利集团（被告一）、中联光电（被告二）、常州船缆（被告三）、腾晖光伏（被告四）存在合同纠纷，提起诉讼。</w:t>
            </w:r>
          </w:p>
        </w:tc>
        <w:tc>
          <w:tcPr>
            <w:tcW w:w="1276" w:type="dxa"/>
            <w:shd w:val="clear" w:color="auto" w:fill="FFFFFF" w:themeFill="background1"/>
            <w:vAlign w:val="center"/>
          </w:tcPr>
          <w:p w14:paraId="09FD76D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19,013.43</w:t>
            </w:r>
          </w:p>
        </w:tc>
        <w:tc>
          <w:tcPr>
            <w:tcW w:w="1205" w:type="dxa"/>
            <w:shd w:val="clear" w:color="auto" w:fill="FFFFFF" w:themeFill="background1"/>
            <w:vAlign w:val="center"/>
          </w:tcPr>
          <w:p w14:paraId="5BC5FCD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5582786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w:t>
            </w:r>
          </w:p>
        </w:tc>
        <w:tc>
          <w:tcPr>
            <w:tcW w:w="1984" w:type="dxa"/>
            <w:shd w:val="clear" w:color="auto" w:fill="FFFFFF" w:themeFill="background1"/>
            <w:vAlign w:val="center"/>
          </w:tcPr>
          <w:p w14:paraId="0953257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已判决中利集团承担归还本息的责任；其他被告对各自抵押的动产或不动产在最高额范围内承担保证责任。</w:t>
            </w:r>
          </w:p>
        </w:tc>
        <w:tc>
          <w:tcPr>
            <w:tcW w:w="1701" w:type="dxa"/>
            <w:shd w:val="clear" w:color="auto" w:fill="FFFFFF" w:themeFill="background1"/>
            <w:vAlign w:val="center"/>
          </w:tcPr>
          <w:p w14:paraId="55D1630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中国建设银行股份有限公司常熟分行已申报债权。按破产重整计划清偿中。</w:t>
            </w:r>
          </w:p>
        </w:tc>
        <w:tc>
          <w:tcPr>
            <w:tcW w:w="1205" w:type="dxa"/>
            <w:shd w:val="clear" w:color="auto" w:fill="FFFFFF" w:themeFill="background1"/>
            <w:vAlign w:val="center"/>
          </w:tcPr>
          <w:p w14:paraId="5CD1F09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2023年08月22日</w:t>
            </w:r>
          </w:p>
        </w:tc>
        <w:tc>
          <w:tcPr>
            <w:tcW w:w="1205" w:type="dxa"/>
            <w:shd w:val="clear" w:color="auto" w:fill="FFFFFF" w:themeFill="background1"/>
            <w:vAlign w:val="center"/>
          </w:tcPr>
          <w:p w14:paraId="7D07CF4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716CCA61" w14:textId="77777777" w:rsidTr="00514DEA">
        <w:trPr>
          <w:trHeight w:val="240"/>
          <w:jc w:val="center"/>
        </w:trPr>
        <w:tc>
          <w:tcPr>
            <w:tcW w:w="3966" w:type="dxa"/>
            <w:shd w:val="clear" w:color="auto" w:fill="FFFFFF" w:themeFill="background1"/>
            <w:vAlign w:val="center"/>
          </w:tcPr>
          <w:p w14:paraId="34E6D76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腾晖光伏（被告）向常州市招联绿睿新能源有限公司（原告二）出售了被告电站项目公司汉寿中晖太阳能发电有限公司（原告一）股权，股权交割后，项目公司向税务局补缴了耕地占用税，原告认为耕地占用税应由被告承担，遂起诉。</w:t>
            </w:r>
          </w:p>
        </w:tc>
        <w:tc>
          <w:tcPr>
            <w:tcW w:w="1276" w:type="dxa"/>
            <w:shd w:val="clear" w:color="auto" w:fill="FFFFFF" w:themeFill="background1"/>
            <w:vAlign w:val="center"/>
          </w:tcPr>
          <w:p w14:paraId="16E343C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1,602.46</w:t>
            </w:r>
          </w:p>
        </w:tc>
        <w:tc>
          <w:tcPr>
            <w:tcW w:w="1205" w:type="dxa"/>
            <w:shd w:val="clear" w:color="auto" w:fill="FFFFFF" w:themeFill="background1"/>
            <w:vAlign w:val="center"/>
          </w:tcPr>
          <w:p w14:paraId="27ABA7D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7F53DE8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二审裁定中止审理</w:t>
            </w:r>
          </w:p>
        </w:tc>
        <w:tc>
          <w:tcPr>
            <w:tcW w:w="1984" w:type="dxa"/>
            <w:shd w:val="clear" w:color="auto" w:fill="FFFFFF" w:themeFill="background1"/>
            <w:vAlign w:val="center"/>
          </w:tcPr>
          <w:p w14:paraId="4F8D4DB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701" w:type="dxa"/>
            <w:shd w:val="clear" w:color="auto" w:fill="FFFFFF" w:themeFill="background1"/>
            <w:vAlign w:val="center"/>
          </w:tcPr>
          <w:p w14:paraId="7AEC445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205" w:type="dxa"/>
            <w:shd w:val="clear" w:color="auto" w:fill="FFFFFF" w:themeFill="background1"/>
            <w:vAlign w:val="center"/>
          </w:tcPr>
          <w:p w14:paraId="5507BBE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2023年06月28日</w:t>
            </w:r>
          </w:p>
        </w:tc>
        <w:tc>
          <w:tcPr>
            <w:tcW w:w="1205" w:type="dxa"/>
            <w:shd w:val="clear" w:color="auto" w:fill="FFFFFF" w:themeFill="background1"/>
            <w:vAlign w:val="center"/>
          </w:tcPr>
          <w:p w14:paraId="24BFE97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01119117" w14:textId="77777777" w:rsidTr="00514DEA">
        <w:trPr>
          <w:trHeight w:val="240"/>
          <w:jc w:val="center"/>
        </w:trPr>
        <w:tc>
          <w:tcPr>
            <w:tcW w:w="3966" w:type="dxa"/>
            <w:shd w:val="clear" w:color="auto" w:fill="FFFFFF" w:themeFill="background1"/>
            <w:vAlign w:val="center"/>
          </w:tcPr>
          <w:p w14:paraId="759CDC0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lastRenderedPageBreak/>
              <w:t>中国光大银行股份有限公司常熟支行（原告）因与中利集团（被告一）、中联光电（被告二）、常州船缆（被告三）、腾晖光伏（被告四）存在借款纠纷，提起诉讼。</w:t>
            </w:r>
          </w:p>
        </w:tc>
        <w:tc>
          <w:tcPr>
            <w:tcW w:w="1276" w:type="dxa"/>
            <w:shd w:val="clear" w:color="auto" w:fill="FFFFFF" w:themeFill="background1"/>
            <w:vAlign w:val="center"/>
          </w:tcPr>
          <w:p w14:paraId="1DB0FA7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9,701.33</w:t>
            </w:r>
          </w:p>
        </w:tc>
        <w:tc>
          <w:tcPr>
            <w:tcW w:w="1205" w:type="dxa"/>
            <w:shd w:val="clear" w:color="auto" w:fill="FFFFFF" w:themeFill="background1"/>
            <w:vAlign w:val="center"/>
          </w:tcPr>
          <w:p w14:paraId="2984801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5B31DCC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w:t>
            </w:r>
          </w:p>
        </w:tc>
        <w:tc>
          <w:tcPr>
            <w:tcW w:w="1984" w:type="dxa"/>
            <w:shd w:val="clear" w:color="auto" w:fill="FFFFFF" w:themeFill="background1"/>
            <w:vAlign w:val="center"/>
          </w:tcPr>
          <w:p w14:paraId="22F0690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已判决中利集团承担归还本息的责任；腾晖光伏承担连带责任。中利集团及其余被告对各自抵押的动产或不动产在最高额范围内承担保证责任。</w:t>
            </w:r>
          </w:p>
        </w:tc>
        <w:tc>
          <w:tcPr>
            <w:tcW w:w="1701" w:type="dxa"/>
            <w:shd w:val="clear" w:color="auto" w:fill="FFFFFF" w:themeFill="background1"/>
            <w:vAlign w:val="center"/>
          </w:tcPr>
          <w:p w14:paraId="7BFA397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中国光大银行股份有限公司常熟支行已申报债权。按破产重整计划清偿中。</w:t>
            </w:r>
          </w:p>
        </w:tc>
        <w:tc>
          <w:tcPr>
            <w:tcW w:w="1205" w:type="dxa"/>
            <w:shd w:val="clear" w:color="auto" w:fill="FFFFFF" w:themeFill="background1"/>
            <w:vAlign w:val="center"/>
          </w:tcPr>
          <w:p w14:paraId="497B50B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2023年07月27日</w:t>
            </w:r>
          </w:p>
        </w:tc>
        <w:tc>
          <w:tcPr>
            <w:tcW w:w="1205" w:type="dxa"/>
            <w:shd w:val="clear" w:color="auto" w:fill="FFFFFF" w:themeFill="background1"/>
            <w:vAlign w:val="center"/>
          </w:tcPr>
          <w:p w14:paraId="1AD539A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520BBE44" w14:textId="77777777" w:rsidTr="00514DEA">
        <w:trPr>
          <w:trHeight w:val="240"/>
          <w:jc w:val="center"/>
        </w:trPr>
        <w:tc>
          <w:tcPr>
            <w:tcW w:w="3966" w:type="dxa"/>
            <w:shd w:val="clear" w:color="auto" w:fill="FFFFFF" w:themeFill="background1"/>
            <w:vAlign w:val="center"/>
          </w:tcPr>
          <w:p w14:paraId="19F7D58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交通银行股份有限公司常熟分行（原告）因与中利集团（被告一）、中联光电（被告二）、常州船缆（被告三）、腾晖光伏（被告四）存在借款纠纷，提起诉讼。</w:t>
            </w:r>
          </w:p>
        </w:tc>
        <w:tc>
          <w:tcPr>
            <w:tcW w:w="1276" w:type="dxa"/>
            <w:shd w:val="clear" w:color="auto" w:fill="FFFFFF" w:themeFill="background1"/>
            <w:vAlign w:val="center"/>
          </w:tcPr>
          <w:p w14:paraId="53C7826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25,688.04</w:t>
            </w:r>
          </w:p>
        </w:tc>
        <w:tc>
          <w:tcPr>
            <w:tcW w:w="1205" w:type="dxa"/>
            <w:shd w:val="clear" w:color="auto" w:fill="FFFFFF" w:themeFill="background1"/>
            <w:vAlign w:val="center"/>
          </w:tcPr>
          <w:p w14:paraId="27E246A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2EBE453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w:t>
            </w:r>
          </w:p>
        </w:tc>
        <w:tc>
          <w:tcPr>
            <w:tcW w:w="1984" w:type="dxa"/>
            <w:shd w:val="clear" w:color="auto" w:fill="FFFFFF" w:themeFill="background1"/>
            <w:vAlign w:val="center"/>
          </w:tcPr>
          <w:p w14:paraId="5473590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已判决中利集团承担归还本息的责任。中利集团及其余被告对各自抵押的动产或不动产在最高额范围内承担保证责任。</w:t>
            </w:r>
          </w:p>
        </w:tc>
        <w:tc>
          <w:tcPr>
            <w:tcW w:w="1701" w:type="dxa"/>
            <w:shd w:val="clear" w:color="auto" w:fill="FFFFFF" w:themeFill="background1"/>
            <w:vAlign w:val="center"/>
          </w:tcPr>
          <w:p w14:paraId="682B44E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交通银行股份有限公司常熟分行已申报债权。按破产重整计划清偿中。</w:t>
            </w:r>
          </w:p>
        </w:tc>
        <w:tc>
          <w:tcPr>
            <w:tcW w:w="1205" w:type="dxa"/>
            <w:shd w:val="clear" w:color="auto" w:fill="FFFFFF" w:themeFill="background1"/>
            <w:vAlign w:val="center"/>
          </w:tcPr>
          <w:p w14:paraId="5EFEFFD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2023年07月27日</w:t>
            </w:r>
          </w:p>
        </w:tc>
        <w:tc>
          <w:tcPr>
            <w:tcW w:w="1205" w:type="dxa"/>
            <w:shd w:val="clear" w:color="auto" w:fill="FFFFFF" w:themeFill="background1"/>
            <w:vAlign w:val="center"/>
          </w:tcPr>
          <w:p w14:paraId="77AA0EE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75F1AE44" w14:textId="77777777" w:rsidTr="00514DEA">
        <w:trPr>
          <w:trHeight w:val="240"/>
          <w:jc w:val="center"/>
        </w:trPr>
        <w:tc>
          <w:tcPr>
            <w:tcW w:w="3966" w:type="dxa"/>
            <w:shd w:val="clear" w:color="auto" w:fill="FFFFFF" w:themeFill="background1"/>
            <w:vAlign w:val="center"/>
          </w:tcPr>
          <w:p w14:paraId="278F0FA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中国农业银行股份有限公司常熟分行（原告）因与中利集团（被告一）、中联光电（被告二）、常州船缆（被告三）、腾晖光伏（被告四）、苏州众利线缆有限公司（被告五）存在借款纠纷，提起诉讼。</w:t>
            </w:r>
          </w:p>
        </w:tc>
        <w:tc>
          <w:tcPr>
            <w:tcW w:w="1276" w:type="dxa"/>
            <w:shd w:val="clear" w:color="auto" w:fill="FFFFFF" w:themeFill="background1"/>
            <w:vAlign w:val="center"/>
          </w:tcPr>
          <w:p w14:paraId="3657F7B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79,459.73</w:t>
            </w:r>
          </w:p>
        </w:tc>
        <w:tc>
          <w:tcPr>
            <w:tcW w:w="1205" w:type="dxa"/>
            <w:shd w:val="clear" w:color="auto" w:fill="FFFFFF" w:themeFill="background1"/>
            <w:vAlign w:val="center"/>
          </w:tcPr>
          <w:p w14:paraId="67C7325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5FE263E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w:t>
            </w:r>
          </w:p>
        </w:tc>
        <w:tc>
          <w:tcPr>
            <w:tcW w:w="1984" w:type="dxa"/>
            <w:shd w:val="clear" w:color="auto" w:fill="FFFFFF" w:themeFill="background1"/>
            <w:vAlign w:val="center"/>
          </w:tcPr>
          <w:p w14:paraId="0B1EA4C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已判决中利集团承担归还本息的责任；腾晖光伏、中联光电承担连带责任。中利集团及其余被告对各自抵押的股权或不动产在最高额范围内承担保证责任。</w:t>
            </w:r>
          </w:p>
        </w:tc>
        <w:tc>
          <w:tcPr>
            <w:tcW w:w="1701" w:type="dxa"/>
            <w:shd w:val="clear" w:color="auto" w:fill="FFFFFF" w:themeFill="background1"/>
            <w:vAlign w:val="center"/>
          </w:tcPr>
          <w:p w14:paraId="31A336D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中国农业银行股份有限公司常熟分行已申报债权。按破产重整计划清偿中。</w:t>
            </w:r>
          </w:p>
        </w:tc>
        <w:tc>
          <w:tcPr>
            <w:tcW w:w="1205" w:type="dxa"/>
            <w:shd w:val="clear" w:color="auto" w:fill="FFFFFF" w:themeFill="background1"/>
            <w:vAlign w:val="center"/>
          </w:tcPr>
          <w:p w14:paraId="5D7A93F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2023年08月22日</w:t>
            </w:r>
          </w:p>
        </w:tc>
        <w:tc>
          <w:tcPr>
            <w:tcW w:w="1205" w:type="dxa"/>
            <w:shd w:val="clear" w:color="auto" w:fill="FFFFFF" w:themeFill="background1"/>
            <w:vAlign w:val="center"/>
          </w:tcPr>
          <w:p w14:paraId="428B52B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7C34C7F6" w14:textId="77777777" w:rsidTr="00514DEA">
        <w:trPr>
          <w:trHeight w:val="240"/>
          <w:jc w:val="center"/>
        </w:trPr>
        <w:tc>
          <w:tcPr>
            <w:tcW w:w="3966" w:type="dxa"/>
            <w:shd w:val="clear" w:color="auto" w:fill="FFFFFF" w:themeFill="background1"/>
            <w:vAlign w:val="center"/>
          </w:tcPr>
          <w:p w14:paraId="53B75AD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中国民生银行股份有限公司苏州分行（原告）因与中利集团（被告一）、腾晖光伏（被告二）、中联光电（被告三）、常州船缆（被告四）、中利控股（被告五）和王柏兴（被告六）存在借款纠纷，提起诉讼。</w:t>
            </w:r>
          </w:p>
        </w:tc>
        <w:tc>
          <w:tcPr>
            <w:tcW w:w="1276" w:type="dxa"/>
            <w:shd w:val="clear" w:color="auto" w:fill="FFFFFF" w:themeFill="background1"/>
            <w:vAlign w:val="center"/>
          </w:tcPr>
          <w:p w14:paraId="3C24D8E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shd w:val="clear" w:color="auto" w:fill="FFFFFF" w:themeFill="background1"/>
            <w:vAlign w:val="center"/>
          </w:tcPr>
          <w:p w14:paraId="6CA2C85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3BEDE14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w:t>
            </w:r>
          </w:p>
        </w:tc>
        <w:tc>
          <w:tcPr>
            <w:tcW w:w="1984" w:type="dxa"/>
            <w:shd w:val="clear" w:color="auto" w:fill="FFFFFF" w:themeFill="background1"/>
            <w:vAlign w:val="center"/>
          </w:tcPr>
          <w:p w14:paraId="2FE7D82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已判决中利集团承担归还本息的责任；中利控股、王柏兴承担连带责任。中利集团及其余被告对各自抵押的动产或不动产在最高额范围内承担保证责任。</w:t>
            </w:r>
          </w:p>
        </w:tc>
        <w:tc>
          <w:tcPr>
            <w:tcW w:w="1701" w:type="dxa"/>
            <w:shd w:val="clear" w:color="auto" w:fill="FFFFFF" w:themeFill="background1"/>
            <w:vAlign w:val="center"/>
          </w:tcPr>
          <w:p w14:paraId="6C5D147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中国民生银行股份有限公司苏州分行已申报债权。按破产重整计划清偿中。</w:t>
            </w:r>
          </w:p>
        </w:tc>
        <w:tc>
          <w:tcPr>
            <w:tcW w:w="1205" w:type="dxa"/>
            <w:shd w:val="clear" w:color="auto" w:fill="FFFFFF" w:themeFill="background1"/>
            <w:vAlign w:val="center"/>
          </w:tcPr>
          <w:p w14:paraId="49E6ABB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2023年08月26日</w:t>
            </w:r>
          </w:p>
        </w:tc>
        <w:tc>
          <w:tcPr>
            <w:tcW w:w="1205" w:type="dxa"/>
            <w:shd w:val="clear" w:color="auto" w:fill="FFFFFF" w:themeFill="background1"/>
            <w:vAlign w:val="center"/>
          </w:tcPr>
          <w:p w14:paraId="3157466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0EB575FF" w14:textId="77777777" w:rsidTr="00514DEA">
        <w:trPr>
          <w:trHeight w:val="240"/>
          <w:jc w:val="center"/>
        </w:trPr>
        <w:tc>
          <w:tcPr>
            <w:tcW w:w="3966" w:type="dxa"/>
            <w:shd w:val="clear" w:color="auto" w:fill="FFFFFF" w:themeFill="background1"/>
            <w:vAlign w:val="center"/>
          </w:tcPr>
          <w:p w14:paraId="0FE833D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兴业银行股份有限公司苏州分行（原告）因与中利集团（被告一）、腾晖光伏（被告二）存在借款纠纷，提起诉讼。</w:t>
            </w:r>
          </w:p>
        </w:tc>
        <w:tc>
          <w:tcPr>
            <w:tcW w:w="1276" w:type="dxa"/>
            <w:shd w:val="clear" w:color="auto" w:fill="FFFFFF" w:themeFill="background1"/>
            <w:vAlign w:val="center"/>
          </w:tcPr>
          <w:p w14:paraId="5A18676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10,396.93</w:t>
            </w:r>
          </w:p>
        </w:tc>
        <w:tc>
          <w:tcPr>
            <w:tcW w:w="1205" w:type="dxa"/>
            <w:shd w:val="clear" w:color="auto" w:fill="FFFFFF" w:themeFill="background1"/>
            <w:vAlign w:val="center"/>
          </w:tcPr>
          <w:p w14:paraId="75431CF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2ABB7EC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w:t>
            </w:r>
          </w:p>
        </w:tc>
        <w:tc>
          <w:tcPr>
            <w:tcW w:w="1984" w:type="dxa"/>
            <w:shd w:val="clear" w:color="auto" w:fill="FFFFFF" w:themeFill="background1"/>
            <w:vAlign w:val="center"/>
          </w:tcPr>
          <w:p w14:paraId="75FAAD8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已判决中利集团承担归还本息的责任；腾晖光伏承担连带责任。并就腾晖光伏抵押的动产和不动产享有优先受偿权。</w:t>
            </w:r>
          </w:p>
        </w:tc>
        <w:tc>
          <w:tcPr>
            <w:tcW w:w="1701" w:type="dxa"/>
            <w:shd w:val="clear" w:color="auto" w:fill="FFFFFF" w:themeFill="background1"/>
            <w:vAlign w:val="center"/>
          </w:tcPr>
          <w:p w14:paraId="2CDFA76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兴业银行股份有限公司苏州分行已申报债权。按破产重整计划清偿中。</w:t>
            </w:r>
          </w:p>
        </w:tc>
        <w:tc>
          <w:tcPr>
            <w:tcW w:w="1205" w:type="dxa"/>
            <w:shd w:val="clear" w:color="auto" w:fill="FFFFFF" w:themeFill="background1"/>
            <w:vAlign w:val="center"/>
          </w:tcPr>
          <w:p w14:paraId="1B24E29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2024年02月06日</w:t>
            </w:r>
          </w:p>
        </w:tc>
        <w:tc>
          <w:tcPr>
            <w:tcW w:w="1205" w:type="dxa"/>
            <w:shd w:val="clear" w:color="auto" w:fill="FFFFFF" w:themeFill="background1"/>
            <w:vAlign w:val="center"/>
          </w:tcPr>
          <w:p w14:paraId="7116B1F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4F47C206" w14:textId="77777777" w:rsidTr="00514DEA">
        <w:trPr>
          <w:trHeight w:val="240"/>
          <w:jc w:val="center"/>
        </w:trPr>
        <w:tc>
          <w:tcPr>
            <w:tcW w:w="3966" w:type="dxa"/>
            <w:shd w:val="clear" w:color="auto" w:fill="FFFFFF" w:themeFill="background1"/>
            <w:vAlign w:val="center"/>
          </w:tcPr>
          <w:p w14:paraId="627C6C7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CESE2(Thailand)C0.,LTD（申请人）与腾晖泰国（被申请人）因工程项目纠纷，提请仲裁。</w:t>
            </w:r>
          </w:p>
        </w:tc>
        <w:tc>
          <w:tcPr>
            <w:tcW w:w="1276" w:type="dxa"/>
            <w:shd w:val="clear" w:color="auto" w:fill="FFFFFF" w:themeFill="background1"/>
            <w:vAlign w:val="center"/>
          </w:tcPr>
          <w:p w14:paraId="5A59C6E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1,857.09</w:t>
            </w:r>
          </w:p>
        </w:tc>
        <w:tc>
          <w:tcPr>
            <w:tcW w:w="1205" w:type="dxa"/>
            <w:shd w:val="clear" w:color="auto" w:fill="FFFFFF" w:themeFill="background1"/>
            <w:vAlign w:val="center"/>
          </w:tcPr>
          <w:p w14:paraId="412F81A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568E9ED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待裁决</w:t>
            </w:r>
          </w:p>
        </w:tc>
        <w:tc>
          <w:tcPr>
            <w:tcW w:w="1984" w:type="dxa"/>
            <w:shd w:val="clear" w:color="auto" w:fill="FFFFFF" w:themeFill="background1"/>
            <w:vAlign w:val="center"/>
          </w:tcPr>
          <w:p w14:paraId="386F910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701" w:type="dxa"/>
            <w:shd w:val="clear" w:color="auto" w:fill="FFFFFF" w:themeFill="background1"/>
            <w:vAlign w:val="center"/>
          </w:tcPr>
          <w:p w14:paraId="1451CE17" w14:textId="77777777" w:rsidR="00514DEA" w:rsidRDefault="00514DEA">
            <w:pPr>
              <w:spacing w:line="240" w:lineRule="exact"/>
              <w:rPr>
                <w:rFonts w:ascii="宋体" w:eastAsia="宋体" w:hAnsi="宋体" w:cs="宋体" w:hint="eastAsia"/>
                <w:sz w:val="18"/>
                <w:szCs w:val="18"/>
              </w:rPr>
            </w:pPr>
          </w:p>
          <w:p w14:paraId="61D8C08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p w14:paraId="2B1B1F2B" w14:textId="60A77C20" w:rsidR="00514DEA" w:rsidRDefault="00514DEA">
            <w:pPr>
              <w:spacing w:line="240" w:lineRule="exact"/>
              <w:rPr>
                <w:rFonts w:ascii="宋体" w:eastAsia="宋体" w:hAnsi="宋体" w:cs="宋体" w:hint="eastAsia"/>
                <w:sz w:val="18"/>
                <w:szCs w:val="18"/>
              </w:rPr>
            </w:pPr>
          </w:p>
        </w:tc>
        <w:tc>
          <w:tcPr>
            <w:tcW w:w="1205" w:type="dxa"/>
            <w:shd w:val="clear" w:color="auto" w:fill="FFFFFF" w:themeFill="background1"/>
            <w:vAlign w:val="center"/>
          </w:tcPr>
          <w:p w14:paraId="4A8790D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2023年08月23日</w:t>
            </w:r>
          </w:p>
        </w:tc>
        <w:tc>
          <w:tcPr>
            <w:tcW w:w="1205" w:type="dxa"/>
            <w:shd w:val="clear" w:color="auto" w:fill="FFFFFF" w:themeFill="background1"/>
            <w:vAlign w:val="center"/>
          </w:tcPr>
          <w:p w14:paraId="4DCD126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1A487C60" w14:textId="77777777" w:rsidTr="00514DEA">
        <w:trPr>
          <w:trHeight w:val="240"/>
          <w:jc w:val="center"/>
        </w:trPr>
        <w:tc>
          <w:tcPr>
            <w:tcW w:w="3966" w:type="dxa"/>
            <w:shd w:val="clear" w:color="auto" w:fill="FFFFFF" w:themeFill="background1"/>
            <w:vAlign w:val="center"/>
          </w:tcPr>
          <w:p w14:paraId="0EEB3A6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lastRenderedPageBreak/>
              <w:t>中电建国际贸易服务（江苏）有限公司（原告）与中利集团（被告）因保证合同纠纷，提起诉讼。</w:t>
            </w:r>
          </w:p>
        </w:tc>
        <w:tc>
          <w:tcPr>
            <w:tcW w:w="1276" w:type="dxa"/>
            <w:shd w:val="clear" w:color="auto" w:fill="FFFFFF" w:themeFill="background1"/>
            <w:vAlign w:val="center"/>
          </w:tcPr>
          <w:p w14:paraId="712C02D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7,390.16</w:t>
            </w:r>
          </w:p>
        </w:tc>
        <w:tc>
          <w:tcPr>
            <w:tcW w:w="1205" w:type="dxa"/>
            <w:shd w:val="clear" w:color="auto" w:fill="FFFFFF" w:themeFill="background1"/>
            <w:vAlign w:val="center"/>
          </w:tcPr>
          <w:p w14:paraId="4075DD4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04B5D6D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w:t>
            </w:r>
          </w:p>
        </w:tc>
        <w:tc>
          <w:tcPr>
            <w:tcW w:w="1984" w:type="dxa"/>
            <w:shd w:val="clear" w:color="auto" w:fill="FFFFFF" w:themeFill="background1"/>
            <w:vAlign w:val="center"/>
          </w:tcPr>
          <w:p w14:paraId="4F00A45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已判决中利集团承担保证责任。</w:t>
            </w:r>
          </w:p>
        </w:tc>
        <w:tc>
          <w:tcPr>
            <w:tcW w:w="1701" w:type="dxa"/>
            <w:shd w:val="clear" w:color="auto" w:fill="FFFFFF" w:themeFill="background1"/>
            <w:vAlign w:val="center"/>
          </w:tcPr>
          <w:p w14:paraId="66AE79F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中电建国际贸易服务（江苏）有限公司已申报债权。按破产重整计划清偿中。</w:t>
            </w:r>
          </w:p>
        </w:tc>
        <w:tc>
          <w:tcPr>
            <w:tcW w:w="1205" w:type="dxa"/>
            <w:shd w:val="clear" w:color="auto" w:fill="FFFFFF" w:themeFill="background1"/>
            <w:vAlign w:val="center"/>
          </w:tcPr>
          <w:p w14:paraId="4E8923E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2023年09月01日</w:t>
            </w:r>
          </w:p>
        </w:tc>
        <w:tc>
          <w:tcPr>
            <w:tcW w:w="1205" w:type="dxa"/>
            <w:shd w:val="clear" w:color="auto" w:fill="FFFFFF" w:themeFill="background1"/>
            <w:vAlign w:val="center"/>
          </w:tcPr>
          <w:p w14:paraId="7E338A2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27A1957F" w14:textId="77777777" w:rsidTr="00514DEA">
        <w:trPr>
          <w:trHeight w:val="240"/>
          <w:jc w:val="center"/>
        </w:trPr>
        <w:tc>
          <w:tcPr>
            <w:tcW w:w="3966" w:type="dxa"/>
            <w:shd w:val="clear" w:color="auto" w:fill="FFFFFF" w:themeFill="background1"/>
            <w:vAlign w:val="center"/>
          </w:tcPr>
          <w:p w14:paraId="69D81FF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中国长城资产管理股份有限公司江苏省分公司（原告）与江苏P公司（被告一）、中利集团（被告二）、腾晖光伏（被告三）、王柏兴（被告四）就股权回购义务纠纷，提起诉讼。</w:t>
            </w:r>
          </w:p>
        </w:tc>
        <w:tc>
          <w:tcPr>
            <w:tcW w:w="1276" w:type="dxa"/>
            <w:shd w:val="clear" w:color="auto" w:fill="FFFFFF" w:themeFill="background1"/>
            <w:vAlign w:val="center"/>
          </w:tcPr>
          <w:p w14:paraId="234EAC8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25,541.03</w:t>
            </w:r>
          </w:p>
        </w:tc>
        <w:tc>
          <w:tcPr>
            <w:tcW w:w="1205" w:type="dxa"/>
            <w:shd w:val="clear" w:color="auto" w:fill="FFFFFF" w:themeFill="background1"/>
            <w:vAlign w:val="center"/>
          </w:tcPr>
          <w:p w14:paraId="1C3CBB0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1772" w:type="dxa"/>
            <w:shd w:val="clear" w:color="auto" w:fill="FFFFFF" w:themeFill="background1"/>
            <w:vAlign w:val="center"/>
          </w:tcPr>
          <w:p w14:paraId="60E030D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w:t>
            </w:r>
          </w:p>
        </w:tc>
        <w:tc>
          <w:tcPr>
            <w:tcW w:w="1984" w:type="dxa"/>
            <w:shd w:val="clear" w:color="auto" w:fill="FFFFFF" w:themeFill="background1"/>
            <w:vAlign w:val="center"/>
          </w:tcPr>
          <w:p w14:paraId="13BFA45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已判决江苏P公司向原告支付1.9999亿元及违约金。中利集团就上述债务不能清偿部分的二分之一的范围内承担赔偿责任。对长城资产对腾晖光伏光伏抵押的不动产在其抵押担保范围内按照抵押顺位优先受偿。</w:t>
            </w:r>
          </w:p>
        </w:tc>
        <w:tc>
          <w:tcPr>
            <w:tcW w:w="1701" w:type="dxa"/>
            <w:shd w:val="clear" w:color="auto" w:fill="FFFFFF" w:themeFill="background1"/>
            <w:vAlign w:val="center"/>
          </w:tcPr>
          <w:p w14:paraId="3A117D5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中国长城资产管理股份有限公司江苏省分公司已申报债权。按破产重整计划清偿中。</w:t>
            </w:r>
          </w:p>
        </w:tc>
        <w:tc>
          <w:tcPr>
            <w:tcW w:w="1205" w:type="dxa"/>
            <w:shd w:val="clear" w:color="auto" w:fill="FFFFFF" w:themeFill="background1"/>
            <w:vAlign w:val="center"/>
          </w:tcPr>
          <w:p w14:paraId="4C017E1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2023年09月02日</w:t>
            </w:r>
          </w:p>
        </w:tc>
        <w:tc>
          <w:tcPr>
            <w:tcW w:w="1205" w:type="dxa"/>
            <w:shd w:val="clear" w:color="auto" w:fill="FFFFFF" w:themeFill="background1"/>
            <w:vAlign w:val="center"/>
          </w:tcPr>
          <w:p w14:paraId="704F273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2036A075" w14:textId="77777777" w:rsidTr="00514DEA">
        <w:trPr>
          <w:trHeight w:val="240"/>
          <w:jc w:val="center"/>
        </w:trPr>
        <w:tc>
          <w:tcPr>
            <w:tcW w:w="3966" w:type="dxa"/>
            <w:shd w:val="clear" w:color="auto" w:fill="FFFFFF" w:themeFill="background1"/>
            <w:vAlign w:val="center"/>
          </w:tcPr>
          <w:p w14:paraId="7CF0FB7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国银行股份有限公司常熟分行（原告）与中利集团（被告一）、中联光电（被告二）、常州船缆（被告三）、腾晖光伏（被告四）、宁夏中盛（被告五）、辽宁中德（被告六）、山东腾晖电力技术有限公司（被告七））存在借款纠纷，提起诉讼。</w:t>
            </w:r>
          </w:p>
        </w:tc>
        <w:tc>
          <w:tcPr>
            <w:tcW w:w="1276" w:type="dxa"/>
            <w:shd w:val="clear" w:color="auto" w:fill="FFFFFF" w:themeFill="background1"/>
            <w:vAlign w:val="center"/>
          </w:tcPr>
          <w:p w14:paraId="43EC8F6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49,276.74</w:t>
            </w:r>
          </w:p>
        </w:tc>
        <w:tc>
          <w:tcPr>
            <w:tcW w:w="1205" w:type="dxa"/>
            <w:shd w:val="clear" w:color="auto" w:fill="FFFFFF" w:themeFill="background1"/>
            <w:vAlign w:val="center"/>
          </w:tcPr>
          <w:p w14:paraId="6547183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737A05F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w:t>
            </w:r>
          </w:p>
        </w:tc>
        <w:tc>
          <w:tcPr>
            <w:tcW w:w="1984" w:type="dxa"/>
            <w:shd w:val="clear" w:color="auto" w:fill="FFFFFF" w:themeFill="background1"/>
            <w:vAlign w:val="center"/>
          </w:tcPr>
          <w:p w14:paraId="2B4305A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已判决中利集团承担归还本息的责任；中利集团及其余被告对各自抵押的不动产在最高额范围内承担保证责任。</w:t>
            </w:r>
          </w:p>
        </w:tc>
        <w:tc>
          <w:tcPr>
            <w:tcW w:w="1701" w:type="dxa"/>
            <w:shd w:val="clear" w:color="auto" w:fill="FFFFFF" w:themeFill="background1"/>
            <w:vAlign w:val="center"/>
          </w:tcPr>
          <w:p w14:paraId="453DCC4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中国银行股份有限公司常熟分行已申报债权。按破产重整计划清偿中。</w:t>
            </w:r>
          </w:p>
        </w:tc>
        <w:tc>
          <w:tcPr>
            <w:tcW w:w="1205" w:type="dxa"/>
            <w:shd w:val="clear" w:color="auto" w:fill="FFFFFF" w:themeFill="background1"/>
            <w:vAlign w:val="center"/>
          </w:tcPr>
          <w:p w14:paraId="6ED2F1D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2023年09月06日</w:t>
            </w:r>
          </w:p>
        </w:tc>
        <w:tc>
          <w:tcPr>
            <w:tcW w:w="1205" w:type="dxa"/>
            <w:shd w:val="clear" w:color="auto" w:fill="FFFFFF" w:themeFill="background1"/>
            <w:vAlign w:val="center"/>
          </w:tcPr>
          <w:p w14:paraId="2D93F54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7B817911" w14:textId="77777777" w:rsidTr="00514DEA">
        <w:trPr>
          <w:trHeight w:val="240"/>
          <w:jc w:val="center"/>
        </w:trPr>
        <w:tc>
          <w:tcPr>
            <w:tcW w:w="3966" w:type="dxa"/>
            <w:shd w:val="clear" w:color="auto" w:fill="FFFFFF" w:themeFill="background1"/>
            <w:vAlign w:val="center"/>
          </w:tcPr>
          <w:p w14:paraId="6AB66A4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华夏银行股份有限公司苏州分行（原告）与中利集团（被告一）、中联光电（被告二）、腾晖光伏（被告三）、中利控股（被告四）、王柏兴（被告五）存在借款纠纷，提起诉讼。</w:t>
            </w:r>
          </w:p>
        </w:tc>
        <w:tc>
          <w:tcPr>
            <w:tcW w:w="1276" w:type="dxa"/>
            <w:shd w:val="clear" w:color="auto" w:fill="FFFFFF" w:themeFill="background1"/>
            <w:vAlign w:val="center"/>
          </w:tcPr>
          <w:p w14:paraId="7318852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8,268.68</w:t>
            </w:r>
          </w:p>
        </w:tc>
        <w:tc>
          <w:tcPr>
            <w:tcW w:w="1205" w:type="dxa"/>
            <w:shd w:val="clear" w:color="auto" w:fill="FFFFFF" w:themeFill="background1"/>
            <w:vAlign w:val="center"/>
          </w:tcPr>
          <w:p w14:paraId="0EB9151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6D69F63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w:t>
            </w:r>
          </w:p>
        </w:tc>
        <w:tc>
          <w:tcPr>
            <w:tcW w:w="1984" w:type="dxa"/>
            <w:shd w:val="clear" w:color="auto" w:fill="FFFFFF" w:themeFill="background1"/>
            <w:vAlign w:val="center"/>
          </w:tcPr>
          <w:p w14:paraId="1518131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已判决中利集团承担归还本息的责任；中利控股、王柏兴承担连带责任。中利集团及其余被告对各自抵押的动产或不动产在最高额范围内承担保证责任。</w:t>
            </w:r>
          </w:p>
        </w:tc>
        <w:tc>
          <w:tcPr>
            <w:tcW w:w="1701" w:type="dxa"/>
            <w:shd w:val="clear" w:color="auto" w:fill="FFFFFF" w:themeFill="background1"/>
            <w:vAlign w:val="center"/>
          </w:tcPr>
          <w:p w14:paraId="57A15BA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华夏银行股份有限公司苏州分行已申报债权。按破产重整计划清偿中。</w:t>
            </w:r>
          </w:p>
        </w:tc>
        <w:tc>
          <w:tcPr>
            <w:tcW w:w="1205" w:type="dxa"/>
            <w:shd w:val="clear" w:color="auto" w:fill="FFFFFF" w:themeFill="background1"/>
            <w:vAlign w:val="center"/>
          </w:tcPr>
          <w:p w14:paraId="644610F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2023年09月26日</w:t>
            </w:r>
          </w:p>
        </w:tc>
        <w:tc>
          <w:tcPr>
            <w:tcW w:w="1205" w:type="dxa"/>
            <w:shd w:val="clear" w:color="auto" w:fill="FFFFFF" w:themeFill="background1"/>
            <w:vAlign w:val="center"/>
          </w:tcPr>
          <w:p w14:paraId="6F07061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15B960F6" w14:textId="77777777" w:rsidTr="00514DEA">
        <w:trPr>
          <w:trHeight w:val="240"/>
          <w:jc w:val="center"/>
        </w:trPr>
        <w:tc>
          <w:tcPr>
            <w:tcW w:w="3966" w:type="dxa"/>
            <w:shd w:val="clear" w:color="auto" w:fill="FFFFFF" w:themeFill="background1"/>
            <w:vAlign w:val="center"/>
          </w:tcPr>
          <w:p w14:paraId="310E83C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中国工商银行股份有限公司常熟支行（原告）与中利集团（被告一）、中联光电（被告二）、常州船缆（被告三）、腾晖光伏（被告四）存在借款纠纷，提起诉讼。</w:t>
            </w:r>
          </w:p>
        </w:tc>
        <w:tc>
          <w:tcPr>
            <w:tcW w:w="1276" w:type="dxa"/>
            <w:shd w:val="clear" w:color="auto" w:fill="FFFFFF" w:themeFill="background1"/>
            <w:vAlign w:val="center"/>
          </w:tcPr>
          <w:p w14:paraId="14E233D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4,801.16</w:t>
            </w:r>
          </w:p>
        </w:tc>
        <w:tc>
          <w:tcPr>
            <w:tcW w:w="1205" w:type="dxa"/>
            <w:shd w:val="clear" w:color="auto" w:fill="FFFFFF" w:themeFill="background1"/>
            <w:vAlign w:val="center"/>
          </w:tcPr>
          <w:p w14:paraId="44EBDB6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274CFAE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w:t>
            </w:r>
          </w:p>
        </w:tc>
        <w:tc>
          <w:tcPr>
            <w:tcW w:w="1984" w:type="dxa"/>
            <w:shd w:val="clear" w:color="auto" w:fill="FFFFFF" w:themeFill="background1"/>
            <w:vAlign w:val="center"/>
          </w:tcPr>
          <w:p w14:paraId="4F4131E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已判决中利集团承担归还本息的责任。中利集团及其余被告对各自抵押的不动产在最高额范围内承担保证责任。</w:t>
            </w:r>
          </w:p>
        </w:tc>
        <w:tc>
          <w:tcPr>
            <w:tcW w:w="1701" w:type="dxa"/>
            <w:shd w:val="clear" w:color="auto" w:fill="FFFFFF" w:themeFill="background1"/>
            <w:vAlign w:val="center"/>
          </w:tcPr>
          <w:p w14:paraId="13242C2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中国工商银行股份有限公司常熟支行已申报债权。按破产重整计划清偿中。</w:t>
            </w:r>
          </w:p>
        </w:tc>
        <w:tc>
          <w:tcPr>
            <w:tcW w:w="1205" w:type="dxa"/>
            <w:shd w:val="clear" w:color="auto" w:fill="FFFFFF" w:themeFill="background1"/>
            <w:vAlign w:val="center"/>
          </w:tcPr>
          <w:p w14:paraId="6DBFC29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2024年02月08日</w:t>
            </w:r>
          </w:p>
        </w:tc>
        <w:tc>
          <w:tcPr>
            <w:tcW w:w="1205" w:type="dxa"/>
            <w:shd w:val="clear" w:color="auto" w:fill="FFFFFF" w:themeFill="background1"/>
            <w:vAlign w:val="center"/>
          </w:tcPr>
          <w:p w14:paraId="7098170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0F8B3028" w14:textId="77777777" w:rsidTr="00514DEA">
        <w:trPr>
          <w:trHeight w:val="240"/>
          <w:jc w:val="center"/>
        </w:trPr>
        <w:tc>
          <w:tcPr>
            <w:tcW w:w="3966" w:type="dxa"/>
            <w:shd w:val="clear" w:color="auto" w:fill="FFFFFF" w:themeFill="background1"/>
            <w:vAlign w:val="center"/>
          </w:tcPr>
          <w:p w14:paraId="03C96E0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中国工商银行股份有限公司常熟支行（原告）与中利集团（被告一）、中联光电（被告二）、常州船缆（被告三）、腾晖光伏（被告四）存在</w:t>
            </w:r>
            <w:r>
              <w:rPr>
                <w:rFonts w:ascii="宋体" w:eastAsia="宋体" w:hAnsi="宋体" w:cs="宋体"/>
                <w:sz w:val="18"/>
                <w:szCs w:val="18"/>
              </w:rPr>
              <w:lastRenderedPageBreak/>
              <w:t>借款纠纷，提起诉讼。</w:t>
            </w:r>
          </w:p>
        </w:tc>
        <w:tc>
          <w:tcPr>
            <w:tcW w:w="1276" w:type="dxa"/>
            <w:shd w:val="clear" w:color="auto" w:fill="FFFFFF" w:themeFill="background1"/>
            <w:vAlign w:val="center"/>
          </w:tcPr>
          <w:p w14:paraId="618DA50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lastRenderedPageBreak/>
              <w:t>23,146.52</w:t>
            </w:r>
          </w:p>
        </w:tc>
        <w:tc>
          <w:tcPr>
            <w:tcW w:w="1205" w:type="dxa"/>
            <w:shd w:val="clear" w:color="auto" w:fill="FFFFFF" w:themeFill="background1"/>
            <w:vAlign w:val="center"/>
          </w:tcPr>
          <w:p w14:paraId="1201E6A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6DF9481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w:t>
            </w:r>
          </w:p>
        </w:tc>
        <w:tc>
          <w:tcPr>
            <w:tcW w:w="1984" w:type="dxa"/>
            <w:shd w:val="clear" w:color="auto" w:fill="FFFFFF" w:themeFill="background1"/>
            <w:vAlign w:val="center"/>
          </w:tcPr>
          <w:p w14:paraId="0F505F0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已判决中利集团承担归还本息的责任。中利集团及其余被告对</w:t>
            </w:r>
            <w:r>
              <w:rPr>
                <w:rFonts w:ascii="宋体" w:eastAsia="宋体" w:hAnsi="宋体" w:cs="宋体"/>
                <w:sz w:val="18"/>
                <w:szCs w:val="18"/>
              </w:rPr>
              <w:lastRenderedPageBreak/>
              <w:t>各自抵押的不动产在最高额范围内承担保证责任。</w:t>
            </w:r>
          </w:p>
        </w:tc>
        <w:tc>
          <w:tcPr>
            <w:tcW w:w="1701" w:type="dxa"/>
            <w:shd w:val="clear" w:color="auto" w:fill="FFFFFF" w:themeFill="background1"/>
            <w:vAlign w:val="center"/>
          </w:tcPr>
          <w:p w14:paraId="195A1E9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lastRenderedPageBreak/>
              <w:t>中国工商银行股份有限公司常熟支行已申报债权。按破</w:t>
            </w:r>
            <w:r>
              <w:rPr>
                <w:rFonts w:ascii="宋体" w:eastAsia="宋体" w:hAnsi="宋体" w:cs="宋体"/>
                <w:sz w:val="18"/>
                <w:szCs w:val="18"/>
              </w:rPr>
              <w:lastRenderedPageBreak/>
              <w:t>产重整计划清偿中。</w:t>
            </w:r>
          </w:p>
        </w:tc>
        <w:tc>
          <w:tcPr>
            <w:tcW w:w="1205" w:type="dxa"/>
            <w:shd w:val="clear" w:color="auto" w:fill="FFFFFF" w:themeFill="background1"/>
            <w:vAlign w:val="center"/>
          </w:tcPr>
          <w:p w14:paraId="3154E75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lastRenderedPageBreak/>
              <w:t>2024年04月09日</w:t>
            </w:r>
          </w:p>
        </w:tc>
        <w:tc>
          <w:tcPr>
            <w:tcW w:w="1205" w:type="dxa"/>
            <w:shd w:val="clear" w:color="auto" w:fill="FFFFFF" w:themeFill="background1"/>
            <w:vAlign w:val="center"/>
          </w:tcPr>
          <w:p w14:paraId="213BD5F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6D46351D" w14:textId="77777777" w:rsidTr="00514DEA">
        <w:trPr>
          <w:trHeight w:val="240"/>
          <w:jc w:val="center"/>
        </w:trPr>
        <w:tc>
          <w:tcPr>
            <w:tcW w:w="3966" w:type="dxa"/>
            <w:shd w:val="clear" w:color="auto" w:fill="FFFFFF" w:themeFill="background1"/>
            <w:vAlign w:val="center"/>
          </w:tcPr>
          <w:p w14:paraId="69C32B7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华夏银行股份有限公司苏州分行（原告）与腾晖光伏（被告一）、江苏中鼎房地产开发有限责任公司（被告二）、中利控股（被告三）、中利集团（被告四）、王柏兴（被告五）存在借款纠纷，提起诉讼。</w:t>
            </w:r>
          </w:p>
        </w:tc>
        <w:tc>
          <w:tcPr>
            <w:tcW w:w="1276" w:type="dxa"/>
            <w:shd w:val="clear" w:color="auto" w:fill="FFFFFF" w:themeFill="background1"/>
            <w:vAlign w:val="center"/>
          </w:tcPr>
          <w:p w14:paraId="7F66A81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21,387.85</w:t>
            </w:r>
          </w:p>
        </w:tc>
        <w:tc>
          <w:tcPr>
            <w:tcW w:w="1205" w:type="dxa"/>
            <w:shd w:val="clear" w:color="auto" w:fill="FFFFFF" w:themeFill="background1"/>
            <w:vAlign w:val="center"/>
          </w:tcPr>
          <w:p w14:paraId="204BD8A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18C3EF4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w:t>
            </w:r>
          </w:p>
        </w:tc>
        <w:tc>
          <w:tcPr>
            <w:tcW w:w="1984" w:type="dxa"/>
            <w:shd w:val="clear" w:color="auto" w:fill="FFFFFF" w:themeFill="background1"/>
            <w:vAlign w:val="center"/>
          </w:tcPr>
          <w:p w14:paraId="2FBEC0B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已判决腾晖光伏承担归还本息的责任；其余被告承担连带责任。</w:t>
            </w:r>
          </w:p>
        </w:tc>
        <w:tc>
          <w:tcPr>
            <w:tcW w:w="1701" w:type="dxa"/>
            <w:shd w:val="clear" w:color="auto" w:fill="FFFFFF" w:themeFill="background1"/>
            <w:vAlign w:val="center"/>
          </w:tcPr>
          <w:p w14:paraId="43F340F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华夏银行股份有限公司苏州分行已申报债权。按破产重整计划清偿中。</w:t>
            </w:r>
          </w:p>
        </w:tc>
        <w:tc>
          <w:tcPr>
            <w:tcW w:w="1205" w:type="dxa"/>
            <w:shd w:val="clear" w:color="auto" w:fill="FFFFFF" w:themeFill="background1"/>
            <w:vAlign w:val="center"/>
          </w:tcPr>
          <w:p w14:paraId="660FDE1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2024年04月24日</w:t>
            </w:r>
          </w:p>
        </w:tc>
        <w:tc>
          <w:tcPr>
            <w:tcW w:w="1205" w:type="dxa"/>
            <w:shd w:val="clear" w:color="auto" w:fill="FFFFFF" w:themeFill="background1"/>
            <w:vAlign w:val="center"/>
          </w:tcPr>
          <w:p w14:paraId="09C8894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35A7B0A6" w14:textId="77777777" w:rsidTr="00514DEA">
        <w:trPr>
          <w:trHeight w:val="240"/>
          <w:jc w:val="center"/>
        </w:trPr>
        <w:tc>
          <w:tcPr>
            <w:tcW w:w="3966" w:type="dxa"/>
            <w:shd w:val="clear" w:color="auto" w:fill="FFFFFF" w:themeFill="background1"/>
            <w:vAlign w:val="center"/>
          </w:tcPr>
          <w:p w14:paraId="397083B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河北寰达贸易有限责任公司（申请人）与腾晖光伏（被申请人）因工程项目纠纷，提起仲裁。</w:t>
            </w:r>
          </w:p>
        </w:tc>
        <w:tc>
          <w:tcPr>
            <w:tcW w:w="1276" w:type="dxa"/>
            <w:shd w:val="clear" w:color="auto" w:fill="FFFFFF" w:themeFill="background1"/>
            <w:vAlign w:val="center"/>
          </w:tcPr>
          <w:p w14:paraId="2C799F6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1,244.69</w:t>
            </w:r>
          </w:p>
        </w:tc>
        <w:tc>
          <w:tcPr>
            <w:tcW w:w="1205" w:type="dxa"/>
            <w:shd w:val="clear" w:color="auto" w:fill="FFFFFF" w:themeFill="background1"/>
            <w:vAlign w:val="center"/>
          </w:tcPr>
          <w:p w14:paraId="50E60F4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24E5329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已裁决</w:t>
            </w:r>
          </w:p>
        </w:tc>
        <w:tc>
          <w:tcPr>
            <w:tcW w:w="1984" w:type="dxa"/>
            <w:shd w:val="clear" w:color="auto" w:fill="FFFFFF" w:themeFill="background1"/>
            <w:vAlign w:val="center"/>
          </w:tcPr>
          <w:p w14:paraId="07D1D6B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已裁决苏州腾晖支付耕地占用税、滞纳金、资金占用损失、保全费、财产保全保险费、仲裁费</w:t>
            </w:r>
          </w:p>
        </w:tc>
        <w:tc>
          <w:tcPr>
            <w:tcW w:w="1701" w:type="dxa"/>
            <w:shd w:val="clear" w:color="auto" w:fill="FFFFFF" w:themeFill="background1"/>
            <w:vAlign w:val="center"/>
          </w:tcPr>
          <w:p w14:paraId="182715D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尚未申报债权</w:t>
            </w:r>
          </w:p>
        </w:tc>
        <w:tc>
          <w:tcPr>
            <w:tcW w:w="1205" w:type="dxa"/>
            <w:shd w:val="clear" w:color="auto" w:fill="FFFFFF" w:themeFill="background1"/>
            <w:vAlign w:val="center"/>
          </w:tcPr>
          <w:p w14:paraId="2E7E313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2024年05月31日</w:t>
            </w:r>
          </w:p>
        </w:tc>
        <w:tc>
          <w:tcPr>
            <w:tcW w:w="1205" w:type="dxa"/>
            <w:shd w:val="clear" w:color="auto" w:fill="FFFFFF" w:themeFill="background1"/>
            <w:vAlign w:val="center"/>
          </w:tcPr>
          <w:p w14:paraId="3A3245A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476001ED" w14:textId="77777777" w:rsidTr="00514DEA">
        <w:trPr>
          <w:trHeight w:val="240"/>
          <w:jc w:val="center"/>
        </w:trPr>
        <w:tc>
          <w:tcPr>
            <w:tcW w:w="3966" w:type="dxa"/>
            <w:shd w:val="clear" w:color="auto" w:fill="FFFFFF" w:themeFill="background1"/>
            <w:vAlign w:val="center"/>
          </w:tcPr>
          <w:p w14:paraId="7D30AFF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江苏银行股份有限公司常熟支行（原告）与腾晖光伏、中利集团存在借款纠纷，提起诉讼。</w:t>
            </w:r>
          </w:p>
        </w:tc>
        <w:tc>
          <w:tcPr>
            <w:tcW w:w="1276" w:type="dxa"/>
            <w:shd w:val="clear" w:color="auto" w:fill="FFFFFF" w:themeFill="background1"/>
            <w:vAlign w:val="center"/>
          </w:tcPr>
          <w:p w14:paraId="4FDC550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05" w:type="dxa"/>
            <w:shd w:val="clear" w:color="auto" w:fill="FFFFFF" w:themeFill="background1"/>
            <w:vAlign w:val="center"/>
          </w:tcPr>
          <w:p w14:paraId="52B6B86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46CCE62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已撤诉</w:t>
            </w:r>
          </w:p>
        </w:tc>
        <w:tc>
          <w:tcPr>
            <w:tcW w:w="1984" w:type="dxa"/>
            <w:shd w:val="clear" w:color="auto" w:fill="FFFFFF" w:themeFill="background1"/>
            <w:vAlign w:val="center"/>
          </w:tcPr>
          <w:p w14:paraId="3DA5B8B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701" w:type="dxa"/>
            <w:shd w:val="clear" w:color="auto" w:fill="FFFFFF" w:themeFill="background1"/>
            <w:vAlign w:val="center"/>
          </w:tcPr>
          <w:p w14:paraId="19AB07F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205" w:type="dxa"/>
            <w:shd w:val="clear" w:color="auto" w:fill="FFFFFF" w:themeFill="background1"/>
            <w:vAlign w:val="center"/>
          </w:tcPr>
          <w:p w14:paraId="515D41E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2024年10月22日</w:t>
            </w:r>
          </w:p>
        </w:tc>
        <w:tc>
          <w:tcPr>
            <w:tcW w:w="1205" w:type="dxa"/>
            <w:shd w:val="clear" w:color="auto" w:fill="FFFFFF" w:themeFill="background1"/>
            <w:vAlign w:val="center"/>
          </w:tcPr>
          <w:p w14:paraId="01B63D7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10EC1E23" w14:textId="77777777" w:rsidTr="00514DEA">
        <w:trPr>
          <w:trHeight w:val="240"/>
          <w:jc w:val="center"/>
        </w:trPr>
        <w:tc>
          <w:tcPr>
            <w:tcW w:w="3966" w:type="dxa"/>
            <w:shd w:val="clear" w:color="auto" w:fill="FFFFFF" w:themeFill="background1"/>
            <w:vAlign w:val="center"/>
          </w:tcPr>
          <w:p w14:paraId="4936ADD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江苏银行股份有限公司常熟支行（原告）与中联光电、中利集团存在借款纠纷，提起诉讼。</w:t>
            </w:r>
          </w:p>
        </w:tc>
        <w:tc>
          <w:tcPr>
            <w:tcW w:w="1276" w:type="dxa"/>
            <w:shd w:val="clear" w:color="auto" w:fill="FFFFFF" w:themeFill="background1"/>
            <w:vAlign w:val="center"/>
          </w:tcPr>
          <w:p w14:paraId="51B7687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205" w:type="dxa"/>
            <w:shd w:val="clear" w:color="auto" w:fill="FFFFFF" w:themeFill="background1"/>
            <w:vAlign w:val="center"/>
          </w:tcPr>
          <w:p w14:paraId="043098B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57608B3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已撤诉</w:t>
            </w:r>
          </w:p>
        </w:tc>
        <w:tc>
          <w:tcPr>
            <w:tcW w:w="1984" w:type="dxa"/>
            <w:shd w:val="clear" w:color="auto" w:fill="FFFFFF" w:themeFill="background1"/>
            <w:vAlign w:val="center"/>
          </w:tcPr>
          <w:p w14:paraId="2DCA715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701" w:type="dxa"/>
            <w:shd w:val="clear" w:color="auto" w:fill="FFFFFF" w:themeFill="background1"/>
            <w:vAlign w:val="center"/>
          </w:tcPr>
          <w:p w14:paraId="4A69CED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205" w:type="dxa"/>
            <w:shd w:val="clear" w:color="auto" w:fill="FFFFFF" w:themeFill="background1"/>
            <w:vAlign w:val="center"/>
          </w:tcPr>
          <w:p w14:paraId="58312AE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2024年10月22日</w:t>
            </w:r>
          </w:p>
        </w:tc>
        <w:tc>
          <w:tcPr>
            <w:tcW w:w="1205" w:type="dxa"/>
            <w:shd w:val="clear" w:color="auto" w:fill="FFFFFF" w:themeFill="background1"/>
            <w:vAlign w:val="center"/>
          </w:tcPr>
          <w:p w14:paraId="7148CCF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69A96EA2" w14:textId="77777777" w:rsidTr="00514DEA">
        <w:trPr>
          <w:trHeight w:val="240"/>
          <w:jc w:val="center"/>
        </w:trPr>
        <w:tc>
          <w:tcPr>
            <w:tcW w:w="3966" w:type="dxa"/>
            <w:shd w:val="clear" w:color="auto" w:fill="FFFFFF" w:themeFill="background1"/>
            <w:vAlign w:val="center"/>
          </w:tcPr>
          <w:p w14:paraId="4D4CE8A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宁夏佳洋能源有限公司（原告）与宁夏中盛（被告）发生采购合同纠纷，提起诉讼。</w:t>
            </w:r>
          </w:p>
        </w:tc>
        <w:tc>
          <w:tcPr>
            <w:tcW w:w="1276" w:type="dxa"/>
            <w:shd w:val="clear" w:color="auto" w:fill="FFFFFF" w:themeFill="background1"/>
            <w:vAlign w:val="center"/>
          </w:tcPr>
          <w:p w14:paraId="1A87050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1,398.91</w:t>
            </w:r>
          </w:p>
        </w:tc>
        <w:tc>
          <w:tcPr>
            <w:tcW w:w="1205" w:type="dxa"/>
            <w:shd w:val="clear" w:color="auto" w:fill="FFFFFF" w:themeFill="background1"/>
            <w:vAlign w:val="center"/>
          </w:tcPr>
          <w:p w14:paraId="48D8784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1772" w:type="dxa"/>
            <w:shd w:val="clear" w:color="auto" w:fill="FFFFFF" w:themeFill="background1"/>
            <w:vAlign w:val="center"/>
          </w:tcPr>
          <w:p w14:paraId="338BA92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审理中</w:t>
            </w:r>
          </w:p>
        </w:tc>
        <w:tc>
          <w:tcPr>
            <w:tcW w:w="1984" w:type="dxa"/>
            <w:shd w:val="clear" w:color="auto" w:fill="FFFFFF" w:themeFill="background1"/>
            <w:vAlign w:val="center"/>
          </w:tcPr>
          <w:p w14:paraId="0FE59AE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701" w:type="dxa"/>
            <w:shd w:val="clear" w:color="auto" w:fill="FFFFFF" w:themeFill="background1"/>
            <w:vAlign w:val="center"/>
          </w:tcPr>
          <w:p w14:paraId="767395C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205" w:type="dxa"/>
            <w:shd w:val="clear" w:color="auto" w:fill="FFFFFF" w:themeFill="background1"/>
            <w:vAlign w:val="center"/>
          </w:tcPr>
          <w:p w14:paraId="4B46170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2024年11月11日</w:t>
            </w:r>
          </w:p>
        </w:tc>
        <w:tc>
          <w:tcPr>
            <w:tcW w:w="1205" w:type="dxa"/>
            <w:shd w:val="clear" w:color="auto" w:fill="FFFFFF" w:themeFill="background1"/>
            <w:vAlign w:val="center"/>
          </w:tcPr>
          <w:p w14:paraId="5AEDA39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3431EB19" w14:textId="77777777" w:rsidTr="00514DEA">
        <w:trPr>
          <w:trHeight w:val="240"/>
          <w:jc w:val="center"/>
        </w:trPr>
        <w:tc>
          <w:tcPr>
            <w:tcW w:w="3966" w:type="dxa"/>
            <w:shd w:val="clear" w:color="auto" w:fill="FFFFFF" w:themeFill="background1"/>
            <w:vAlign w:val="center"/>
          </w:tcPr>
          <w:p w14:paraId="24061F1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青岛绿和新能源管理有限公司(原告)与腾晖光伏(被告)因前期电站项目的股权转让合同纠纷提起诉讼。</w:t>
            </w:r>
          </w:p>
        </w:tc>
        <w:tc>
          <w:tcPr>
            <w:tcW w:w="1276" w:type="dxa"/>
            <w:shd w:val="clear" w:color="auto" w:fill="FFFFFF" w:themeFill="background1"/>
            <w:vAlign w:val="center"/>
          </w:tcPr>
          <w:p w14:paraId="19E3477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2,245.4</w:t>
            </w:r>
          </w:p>
        </w:tc>
        <w:tc>
          <w:tcPr>
            <w:tcW w:w="1205" w:type="dxa"/>
            <w:shd w:val="clear" w:color="auto" w:fill="FFFFFF" w:themeFill="background1"/>
            <w:vAlign w:val="center"/>
          </w:tcPr>
          <w:p w14:paraId="3F3A5E9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3D4C0BC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待开庭</w:t>
            </w:r>
          </w:p>
        </w:tc>
        <w:tc>
          <w:tcPr>
            <w:tcW w:w="1984" w:type="dxa"/>
            <w:shd w:val="clear" w:color="auto" w:fill="FFFFFF" w:themeFill="background1"/>
            <w:vAlign w:val="center"/>
          </w:tcPr>
          <w:p w14:paraId="296C458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701" w:type="dxa"/>
            <w:shd w:val="clear" w:color="auto" w:fill="FFFFFF" w:themeFill="background1"/>
            <w:vAlign w:val="center"/>
          </w:tcPr>
          <w:p w14:paraId="39B4386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205" w:type="dxa"/>
            <w:shd w:val="clear" w:color="auto" w:fill="FFFFFF" w:themeFill="background1"/>
            <w:vAlign w:val="center"/>
          </w:tcPr>
          <w:p w14:paraId="51E420D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2025年04月03日</w:t>
            </w:r>
          </w:p>
        </w:tc>
        <w:tc>
          <w:tcPr>
            <w:tcW w:w="1205" w:type="dxa"/>
            <w:shd w:val="clear" w:color="auto" w:fill="FFFFFF" w:themeFill="background1"/>
            <w:vAlign w:val="center"/>
          </w:tcPr>
          <w:p w14:paraId="37CC505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26EBB640" w14:textId="77777777" w:rsidTr="00514DEA">
        <w:trPr>
          <w:trHeight w:val="240"/>
          <w:jc w:val="center"/>
        </w:trPr>
        <w:tc>
          <w:tcPr>
            <w:tcW w:w="3966" w:type="dxa"/>
            <w:shd w:val="clear" w:color="auto" w:fill="FFFFFF" w:themeFill="background1"/>
            <w:vAlign w:val="center"/>
          </w:tcPr>
          <w:p w14:paraId="7A14F65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西宁经济技术开发区投资控股集团有限公司（原告）与青海中利新能源投资发展有限公司（被告一）、中利集团（被告二）因合同纠纷提起诉讼。</w:t>
            </w:r>
          </w:p>
        </w:tc>
        <w:tc>
          <w:tcPr>
            <w:tcW w:w="1276" w:type="dxa"/>
            <w:shd w:val="clear" w:color="auto" w:fill="FFFFFF" w:themeFill="background1"/>
            <w:vAlign w:val="center"/>
          </w:tcPr>
          <w:p w14:paraId="113B8D2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9,519.75</w:t>
            </w:r>
          </w:p>
        </w:tc>
        <w:tc>
          <w:tcPr>
            <w:tcW w:w="1205" w:type="dxa"/>
            <w:shd w:val="clear" w:color="auto" w:fill="FFFFFF" w:themeFill="background1"/>
            <w:vAlign w:val="center"/>
          </w:tcPr>
          <w:p w14:paraId="34A1C18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3C8ABED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已调解</w:t>
            </w:r>
          </w:p>
        </w:tc>
        <w:tc>
          <w:tcPr>
            <w:tcW w:w="1984" w:type="dxa"/>
            <w:shd w:val="clear" w:color="auto" w:fill="FFFFFF" w:themeFill="background1"/>
            <w:vAlign w:val="center"/>
          </w:tcPr>
          <w:p w14:paraId="31C7698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调解书确认青海中利新能源投资发展有限公司偿还本金及利息，其余被告承担连带责任。</w:t>
            </w:r>
          </w:p>
        </w:tc>
        <w:tc>
          <w:tcPr>
            <w:tcW w:w="1701" w:type="dxa"/>
            <w:shd w:val="clear" w:color="auto" w:fill="FFFFFF" w:themeFill="background1"/>
            <w:vAlign w:val="center"/>
          </w:tcPr>
          <w:p w14:paraId="4A279DA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西宁经济技术开发区投资控股集团有限公司已申报债权。按破产重整计划清偿中。</w:t>
            </w:r>
          </w:p>
        </w:tc>
        <w:tc>
          <w:tcPr>
            <w:tcW w:w="1205" w:type="dxa"/>
            <w:shd w:val="clear" w:color="auto" w:fill="FFFFFF" w:themeFill="background1"/>
            <w:vAlign w:val="center"/>
          </w:tcPr>
          <w:p w14:paraId="6CD8126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2025年04月22日</w:t>
            </w:r>
          </w:p>
        </w:tc>
        <w:tc>
          <w:tcPr>
            <w:tcW w:w="1205" w:type="dxa"/>
            <w:shd w:val="clear" w:color="auto" w:fill="FFFFFF" w:themeFill="background1"/>
            <w:vAlign w:val="center"/>
          </w:tcPr>
          <w:p w14:paraId="38476B4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7B60085D" w14:textId="77777777" w:rsidTr="00514DEA">
        <w:trPr>
          <w:trHeight w:val="240"/>
          <w:jc w:val="center"/>
        </w:trPr>
        <w:tc>
          <w:tcPr>
            <w:tcW w:w="3966" w:type="dxa"/>
            <w:shd w:val="clear" w:color="auto" w:fill="FFFFFF" w:themeFill="background1"/>
            <w:vAlign w:val="center"/>
          </w:tcPr>
          <w:p w14:paraId="3BBB69D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国家开发银行青海省分行（原告）与青海中利（被告）因借款合同纠纷提起诉讼。</w:t>
            </w:r>
          </w:p>
        </w:tc>
        <w:tc>
          <w:tcPr>
            <w:tcW w:w="1276" w:type="dxa"/>
            <w:shd w:val="clear" w:color="auto" w:fill="FFFFFF" w:themeFill="background1"/>
            <w:vAlign w:val="center"/>
          </w:tcPr>
          <w:p w14:paraId="1FD8974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3,199.23</w:t>
            </w:r>
          </w:p>
        </w:tc>
        <w:tc>
          <w:tcPr>
            <w:tcW w:w="1205" w:type="dxa"/>
            <w:shd w:val="clear" w:color="auto" w:fill="FFFFFF" w:themeFill="background1"/>
            <w:vAlign w:val="center"/>
          </w:tcPr>
          <w:p w14:paraId="53314D4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256E4A4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w:t>
            </w:r>
          </w:p>
        </w:tc>
        <w:tc>
          <w:tcPr>
            <w:tcW w:w="1984" w:type="dxa"/>
            <w:shd w:val="clear" w:color="auto" w:fill="FFFFFF" w:themeFill="background1"/>
            <w:vAlign w:val="center"/>
          </w:tcPr>
          <w:p w14:paraId="1324431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已判决青海中利向国家开发银行青海省分行支付本金、违约金、利息和罚息。</w:t>
            </w:r>
          </w:p>
        </w:tc>
        <w:tc>
          <w:tcPr>
            <w:tcW w:w="1701" w:type="dxa"/>
            <w:shd w:val="clear" w:color="auto" w:fill="FFFFFF" w:themeFill="background1"/>
            <w:vAlign w:val="center"/>
          </w:tcPr>
          <w:p w14:paraId="712E6CC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国家开发银行青海省分行已申报债权。按破产重整计划清偿中。</w:t>
            </w:r>
          </w:p>
        </w:tc>
        <w:tc>
          <w:tcPr>
            <w:tcW w:w="1205" w:type="dxa"/>
            <w:shd w:val="clear" w:color="auto" w:fill="FFFFFF" w:themeFill="background1"/>
            <w:vAlign w:val="center"/>
          </w:tcPr>
          <w:p w14:paraId="1D10A4B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2025年04月22日</w:t>
            </w:r>
          </w:p>
        </w:tc>
        <w:tc>
          <w:tcPr>
            <w:tcW w:w="1205" w:type="dxa"/>
            <w:shd w:val="clear" w:color="auto" w:fill="FFFFFF" w:themeFill="background1"/>
            <w:vAlign w:val="center"/>
          </w:tcPr>
          <w:p w14:paraId="228C4C8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2FA94DC2" w14:textId="77777777" w:rsidTr="00514DEA">
        <w:trPr>
          <w:trHeight w:val="240"/>
          <w:jc w:val="center"/>
        </w:trPr>
        <w:tc>
          <w:tcPr>
            <w:tcW w:w="3966" w:type="dxa"/>
            <w:shd w:val="clear" w:color="auto" w:fill="FFFFFF" w:themeFill="background1"/>
            <w:vAlign w:val="center"/>
          </w:tcPr>
          <w:p w14:paraId="2E2DE2A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国家开发银行青海省分行（原告）与青海中利光纤技术有限公司（被告）因借款合同纠纷提起诉讼。</w:t>
            </w:r>
          </w:p>
        </w:tc>
        <w:tc>
          <w:tcPr>
            <w:tcW w:w="1276" w:type="dxa"/>
            <w:shd w:val="clear" w:color="auto" w:fill="FFFFFF" w:themeFill="background1"/>
            <w:vAlign w:val="center"/>
          </w:tcPr>
          <w:p w14:paraId="315C044B" w14:textId="692E98F5"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525</w:t>
            </w:r>
            <w:r w:rsidR="00815163">
              <w:rPr>
                <w:rFonts w:ascii="宋体" w:eastAsia="宋体" w:hAnsi="宋体" w:cs="宋体" w:hint="eastAsia"/>
                <w:sz w:val="18"/>
                <w:szCs w:val="18"/>
              </w:rPr>
              <w:t>万美元</w:t>
            </w:r>
            <w:r>
              <w:rPr>
                <w:rFonts w:ascii="Times New Roman" w:eastAsia="宋体" w:hAnsi="Times New Roman" w:cs="Times New Roman"/>
                <w:color w:val="F00000"/>
                <w:vertAlign w:val="superscript"/>
              </w:rPr>
              <w:t>2</w:t>
            </w:r>
          </w:p>
        </w:tc>
        <w:tc>
          <w:tcPr>
            <w:tcW w:w="1205" w:type="dxa"/>
            <w:shd w:val="clear" w:color="auto" w:fill="FFFFFF" w:themeFill="background1"/>
            <w:vAlign w:val="center"/>
          </w:tcPr>
          <w:p w14:paraId="321D87D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31F2023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w:t>
            </w:r>
          </w:p>
        </w:tc>
        <w:tc>
          <w:tcPr>
            <w:tcW w:w="1984" w:type="dxa"/>
            <w:shd w:val="clear" w:color="auto" w:fill="FFFFFF" w:themeFill="background1"/>
            <w:vAlign w:val="center"/>
          </w:tcPr>
          <w:p w14:paraId="2C4C35DA" w14:textId="685E4B60" w:rsidR="00514DEA" w:rsidRDefault="00107901" w:rsidP="00514DEA">
            <w:pPr>
              <w:spacing w:line="276" w:lineRule="auto"/>
              <w:rPr>
                <w:rFonts w:ascii="宋体" w:eastAsia="宋体" w:hAnsi="宋体" w:cs="宋体" w:hint="eastAsia"/>
                <w:sz w:val="18"/>
                <w:szCs w:val="18"/>
              </w:rPr>
            </w:pPr>
            <w:r>
              <w:rPr>
                <w:rFonts w:ascii="宋体" w:eastAsia="宋体" w:hAnsi="宋体" w:cs="宋体"/>
                <w:sz w:val="18"/>
                <w:szCs w:val="18"/>
              </w:rPr>
              <w:t>已判决青海中利向国家开发银行青海省分行支付本金、违约金、利息和罚息，并就青海中利抵押的动产和不动产享有优先受偿权。</w:t>
            </w:r>
          </w:p>
        </w:tc>
        <w:tc>
          <w:tcPr>
            <w:tcW w:w="1701" w:type="dxa"/>
            <w:shd w:val="clear" w:color="auto" w:fill="FFFFFF" w:themeFill="background1"/>
            <w:vAlign w:val="center"/>
          </w:tcPr>
          <w:p w14:paraId="02BAAA5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国家开发银行青海省分行已申报债权。按破产重整计划清偿中。</w:t>
            </w:r>
          </w:p>
        </w:tc>
        <w:tc>
          <w:tcPr>
            <w:tcW w:w="1205" w:type="dxa"/>
            <w:shd w:val="clear" w:color="auto" w:fill="FFFFFF" w:themeFill="background1"/>
            <w:vAlign w:val="center"/>
          </w:tcPr>
          <w:p w14:paraId="4E2488C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2025年04月22日</w:t>
            </w:r>
          </w:p>
        </w:tc>
        <w:tc>
          <w:tcPr>
            <w:tcW w:w="1205" w:type="dxa"/>
            <w:shd w:val="clear" w:color="auto" w:fill="FFFFFF" w:themeFill="background1"/>
            <w:vAlign w:val="center"/>
          </w:tcPr>
          <w:p w14:paraId="6AA0A36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15AECC7B" w14:textId="77777777" w:rsidTr="00514DEA">
        <w:trPr>
          <w:trHeight w:val="240"/>
          <w:jc w:val="center"/>
        </w:trPr>
        <w:tc>
          <w:tcPr>
            <w:tcW w:w="3966" w:type="dxa"/>
            <w:shd w:val="clear" w:color="auto" w:fill="FFFFFF" w:themeFill="background1"/>
            <w:vAlign w:val="center"/>
          </w:tcPr>
          <w:p w14:paraId="0D18CCD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lastRenderedPageBreak/>
              <w:t>中电建国际贸易服务有限公司（原告）因与中利集团（被告）、</w:t>
            </w:r>
            <w:proofErr w:type="spellStart"/>
            <w:r>
              <w:rPr>
                <w:rFonts w:ascii="宋体" w:eastAsia="宋体" w:hAnsi="宋体" w:cs="宋体"/>
                <w:sz w:val="18"/>
                <w:szCs w:val="18"/>
              </w:rPr>
              <w:t>Talesun</w:t>
            </w:r>
            <w:proofErr w:type="spellEnd"/>
            <w:r>
              <w:rPr>
                <w:rFonts w:ascii="宋体" w:eastAsia="宋体" w:hAnsi="宋体" w:cs="宋体"/>
                <w:sz w:val="18"/>
                <w:szCs w:val="18"/>
              </w:rPr>
              <w:t xml:space="preserve"> Technologies(Thailand)</w:t>
            </w:r>
            <w:proofErr w:type="spellStart"/>
            <w:r>
              <w:rPr>
                <w:rFonts w:ascii="宋体" w:eastAsia="宋体" w:hAnsi="宋体" w:cs="宋体"/>
                <w:sz w:val="18"/>
                <w:szCs w:val="18"/>
              </w:rPr>
              <w:t>Co.Ltd</w:t>
            </w:r>
            <w:proofErr w:type="spellEnd"/>
            <w:r>
              <w:rPr>
                <w:rFonts w:ascii="宋体" w:eastAsia="宋体" w:hAnsi="宋体" w:cs="宋体"/>
                <w:sz w:val="18"/>
                <w:szCs w:val="18"/>
              </w:rPr>
              <w:t>（第三人）存在保证合同纠纷提起诉讼。</w:t>
            </w:r>
          </w:p>
        </w:tc>
        <w:tc>
          <w:tcPr>
            <w:tcW w:w="1276" w:type="dxa"/>
            <w:shd w:val="clear" w:color="auto" w:fill="FFFFFF" w:themeFill="background1"/>
            <w:vAlign w:val="center"/>
          </w:tcPr>
          <w:p w14:paraId="0B76306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7,238.77</w:t>
            </w:r>
          </w:p>
        </w:tc>
        <w:tc>
          <w:tcPr>
            <w:tcW w:w="1205" w:type="dxa"/>
            <w:shd w:val="clear" w:color="auto" w:fill="FFFFFF" w:themeFill="background1"/>
            <w:vAlign w:val="center"/>
          </w:tcPr>
          <w:p w14:paraId="502B243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22198BE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w:t>
            </w:r>
          </w:p>
        </w:tc>
        <w:tc>
          <w:tcPr>
            <w:tcW w:w="1984" w:type="dxa"/>
            <w:shd w:val="clear" w:color="auto" w:fill="FFFFFF" w:themeFill="background1"/>
            <w:vAlign w:val="center"/>
          </w:tcPr>
          <w:p w14:paraId="4918032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已判决中利集团向中电建国际贸易服务有限公司支付货款本息及律师费。</w:t>
            </w:r>
          </w:p>
        </w:tc>
        <w:tc>
          <w:tcPr>
            <w:tcW w:w="1701" w:type="dxa"/>
            <w:shd w:val="clear" w:color="auto" w:fill="FFFFFF" w:themeFill="background1"/>
            <w:vAlign w:val="center"/>
          </w:tcPr>
          <w:p w14:paraId="393E469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中电建国际贸易服务有限公司已申报债权，待管理人审核。</w:t>
            </w:r>
          </w:p>
        </w:tc>
        <w:tc>
          <w:tcPr>
            <w:tcW w:w="1205" w:type="dxa"/>
            <w:shd w:val="clear" w:color="auto" w:fill="FFFFFF" w:themeFill="background1"/>
            <w:vAlign w:val="center"/>
          </w:tcPr>
          <w:p w14:paraId="2526CAA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2025年04月22日</w:t>
            </w:r>
          </w:p>
        </w:tc>
        <w:tc>
          <w:tcPr>
            <w:tcW w:w="1205" w:type="dxa"/>
            <w:shd w:val="clear" w:color="auto" w:fill="FFFFFF" w:themeFill="background1"/>
            <w:vAlign w:val="center"/>
          </w:tcPr>
          <w:p w14:paraId="5C391A3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09B44B1C" w14:textId="77777777" w:rsidTr="00514DEA">
        <w:trPr>
          <w:trHeight w:val="240"/>
          <w:jc w:val="center"/>
        </w:trPr>
        <w:tc>
          <w:tcPr>
            <w:tcW w:w="3966" w:type="dxa"/>
            <w:shd w:val="clear" w:color="auto" w:fill="FFFFFF" w:themeFill="background1"/>
            <w:vAlign w:val="center"/>
          </w:tcPr>
          <w:p w14:paraId="6DE735C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中国水电（泰国）有限公司（原告）因与</w:t>
            </w:r>
            <w:proofErr w:type="spellStart"/>
            <w:r>
              <w:rPr>
                <w:rFonts w:ascii="宋体" w:eastAsia="宋体" w:hAnsi="宋体" w:cs="宋体"/>
                <w:sz w:val="18"/>
                <w:szCs w:val="18"/>
              </w:rPr>
              <w:t>Talesun</w:t>
            </w:r>
            <w:proofErr w:type="spellEnd"/>
            <w:r>
              <w:rPr>
                <w:rFonts w:ascii="宋体" w:eastAsia="宋体" w:hAnsi="宋体" w:cs="宋体"/>
                <w:sz w:val="18"/>
                <w:szCs w:val="18"/>
              </w:rPr>
              <w:t xml:space="preserve"> Green Power Tech Company（被告一）、MR SHENGWEN XU（被告二）、</w:t>
            </w:r>
            <w:proofErr w:type="spellStart"/>
            <w:r>
              <w:rPr>
                <w:rFonts w:ascii="宋体" w:eastAsia="宋体" w:hAnsi="宋体" w:cs="宋体"/>
                <w:sz w:val="18"/>
                <w:szCs w:val="18"/>
              </w:rPr>
              <w:t>Talesun</w:t>
            </w:r>
            <w:proofErr w:type="spellEnd"/>
            <w:r>
              <w:rPr>
                <w:rFonts w:ascii="宋体" w:eastAsia="宋体" w:hAnsi="宋体" w:cs="宋体"/>
                <w:sz w:val="18"/>
                <w:szCs w:val="18"/>
              </w:rPr>
              <w:t xml:space="preserve"> Technology(Thailand)Company（被告三）、Fito Packing Company（被告四）、</w:t>
            </w:r>
            <w:proofErr w:type="spellStart"/>
            <w:r>
              <w:rPr>
                <w:rFonts w:ascii="宋体" w:eastAsia="宋体" w:hAnsi="宋体" w:cs="宋体"/>
                <w:sz w:val="18"/>
                <w:szCs w:val="18"/>
              </w:rPr>
              <w:t>Dejinchang</w:t>
            </w:r>
            <w:proofErr w:type="spellEnd"/>
            <w:r>
              <w:rPr>
                <w:rFonts w:ascii="宋体" w:eastAsia="宋体" w:hAnsi="宋体" w:cs="宋体"/>
                <w:sz w:val="18"/>
                <w:szCs w:val="18"/>
              </w:rPr>
              <w:t xml:space="preserve"> Optoelectronics Company（被告五）存在建设工程施工合同纠纷提起仲裁。</w:t>
            </w:r>
          </w:p>
        </w:tc>
        <w:tc>
          <w:tcPr>
            <w:tcW w:w="1276" w:type="dxa"/>
            <w:shd w:val="clear" w:color="auto" w:fill="FFFFFF" w:themeFill="background1"/>
            <w:vAlign w:val="center"/>
          </w:tcPr>
          <w:p w14:paraId="5A068B0D" w14:textId="47375675"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9,178.36</w:t>
            </w:r>
            <w:r w:rsidR="00815163">
              <w:rPr>
                <w:rFonts w:ascii="宋体" w:eastAsia="宋体" w:hAnsi="宋体" w:cs="宋体" w:hint="eastAsia"/>
                <w:sz w:val="18"/>
                <w:szCs w:val="18"/>
              </w:rPr>
              <w:t>万泰铢</w:t>
            </w:r>
          </w:p>
        </w:tc>
        <w:tc>
          <w:tcPr>
            <w:tcW w:w="1205" w:type="dxa"/>
            <w:shd w:val="clear" w:color="auto" w:fill="FFFFFF" w:themeFill="background1"/>
            <w:vAlign w:val="center"/>
          </w:tcPr>
          <w:p w14:paraId="48114C7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5AAF236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仲裁裁定</w:t>
            </w:r>
            <w:proofErr w:type="spellStart"/>
            <w:r>
              <w:rPr>
                <w:rFonts w:ascii="宋体" w:eastAsia="宋体" w:hAnsi="宋体" w:cs="宋体"/>
                <w:sz w:val="18"/>
                <w:szCs w:val="18"/>
              </w:rPr>
              <w:t>Talesun</w:t>
            </w:r>
            <w:proofErr w:type="spellEnd"/>
            <w:r>
              <w:rPr>
                <w:rFonts w:ascii="宋体" w:eastAsia="宋体" w:hAnsi="宋体" w:cs="宋体"/>
                <w:sz w:val="18"/>
                <w:szCs w:val="18"/>
              </w:rPr>
              <w:t xml:space="preserve"> Green Power Tech Company承担责任，其他被告不承担责任。</w:t>
            </w:r>
          </w:p>
        </w:tc>
        <w:tc>
          <w:tcPr>
            <w:tcW w:w="1984" w:type="dxa"/>
            <w:shd w:val="clear" w:color="auto" w:fill="FFFFFF" w:themeFill="background1"/>
            <w:vAlign w:val="center"/>
          </w:tcPr>
          <w:p w14:paraId="0BEF27A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已裁定</w:t>
            </w:r>
            <w:proofErr w:type="spellStart"/>
            <w:r>
              <w:rPr>
                <w:rFonts w:ascii="宋体" w:eastAsia="宋体" w:hAnsi="宋体" w:cs="宋体"/>
                <w:sz w:val="18"/>
                <w:szCs w:val="18"/>
              </w:rPr>
              <w:t>Talesun</w:t>
            </w:r>
            <w:proofErr w:type="spellEnd"/>
            <w:r>
              <w:rPr>
                <w:rFonts w:ascii="宋体" w:eastAsia="宋体" w:hAnsi="宋体" w:cs="宋体"/>
                <w:sz w:val="18"/>
                <w:szCs w:val="18"/>
              </w:rPr>
              <w:t xml:space="preserve"> Green Power Tech Company支付相应的建设费用和利息，其已向法院申请撤销裁决。</w:t>
            </w:r>
          </w:p>
        </w:tc>
        <w:tc>
          <w:tcPr>
            <w:tcW w:w="1701" w:type="dxa"/>
            <w:shd w:val="clear" w:color="auto" w:fill="FFFFFF" w:themeFill="background1"/>
            <w:vAlign w:val="center"/>
          </w:tcPr>
          <w:p w14:paraId="70CFF7D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205" w:type="dxa"/>
            <w:shd w:val="clear" w:color="auto" w:fill="FFFFFF" w:themeFill="background1"/>
            <w:vAlign w:val="center"/>
          </w:tcPr>
          <w:p w14:paraId="756407A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2025年04月22日</w:t>
            </w:r>
          </w:p>
        </w:tc>
        <w:tc>
          <w:tcPr>
            <w:tcW w:w="1205" w:type="dxa"/>
            <w:shd w:val="clear" w:color="auto" w:fill="FFFFFF" w:themeFill="background1"/>
            <w:vAlign w:val="center"/>
          </w:tcPr>
          <w:p w14:paraId="1987CC4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402E768C" w14:textId="77777777" w:rsidTr="00514DEA">
        <w:trPr>
          <w:trHeight w:val="240"/>
          <w:jc w:val="center"/>
        </w:trPr>
        <w:tc>
          <w:tcPr>
            <w:tcW w:w="3966" w:type="dxa"/>
            <w:shd w:val="clear" w:color="auto" w:fill="FFFFFF" w:themeFill="background1"/>
            <w:vAlign w:val="center"/>
          </w:tcPr>
          <w:p w14:paraId="64B2350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中利集团（原告）与宁波齐采联建材有限公司（被告一）、上海绿地建筑材料集团有限公司（被告二）因买卖合同纠纷提起诉讼。</w:t>
            </w:r>
          </w:p>
        </w:tc>
        <w:tc>
          <w:tcPr>
            <w:tcW w:w="1276" w:type="dxa"/>
            <w:shd w:val="clear" w:color="auto" w:fill="FFFFFF" w:themeFill="background1"/>
            <w:vAlign w:val="center"/>
          </w:tcPr>
          <w:p w14:paraId="23AA49A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1,053.57</w:t>
            </w:r>
          </w:p>
        </w:tc>
        <w:tc>
          <w:tcPr>
            <w:tcW w:w="1205" w:type="dxa"/>
            <w:shd w:val="clear" w:color="auto" w:fill="FFFFFF" w:themeFill="background1"/>
            <w:vAlign w:val="center"/>
          </w:tcPr>
          <w:p w14:paraId="56D8774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49643F3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w:t>
            </w:r>
          </w:p>
        </w:tc>
        <w:tc>
          <w:tcPr>
            <w:tcW w:w="1984" w:type="dxa"/>
            <w:shd w:val="clear" w:color="auto" w:fill="FFFFFF" w:themeFill="background1"/>
            <w:vAlign w:val="center"/>
          </w:tcPr>
          <w:p w14:paraId="25DB420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中利集团胜诉，已判决被告一承担归还本息的责任，被告二承担连带责任。</w:t>
            </w:r>
          </w:p>
        </w:tc>
        <w:tc>
          <w:tcPr>
            <w:tcW w:w="1701" w:type="dxa"/>
            <w:shd w:val="clear" w:color="auto" w:fill="FFFFFF" w:themeFill="background1"/>
            <w:vAlign w:val="center"/>
          </w:tcPr>
          <w:p w14:paraId="6781073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达成执行和解，尚未执行完毕。</w:t>
            </w:r>
          </w:p>
        </w:tc>
        <w:tc>
          <w:tcPr>
            <w:tcW w:w="1205" w:type="dxa"/>
            <w:shd w:val="clear" w:color="auto" w:fill="FFFFFF" w:themeFill="background1"/>
            <w:vAlign w:val="center"/>
          </w:tcPr>
          <w:p w14:paraId="5BFDDE4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2025年04月22日</w:t>
            </w:r>
          </w:p>
        </w:tc>
        <w:tc>
          <w:tcPr>
            <w:tcW w:w="1205" w:type="dxa"/>
            <w:shd w:val="clear" w:color="auto" w:fill="FFFFFF" w:themeFill="background1"/>
            <w:vAlign w:val="center"/>
          </w:tcPr>
          <w:p w14:paraId="3545572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2700E282" w14:textId="77777777" w:rsidTr="00514DEA">
        <w:trPr>
          <w:trHeight w:val="240"/>
          <w:jc w:val="center"/>
        </w:trPr>
        <w:tc>
          <w:tcPr>
            <w:tcW w:w="3966" w:type="dxa"/>
            <w:shd w:val="clear" w:color="auto" w:fill="FFFFFF" w:themeFill="background1"/>
            <w:vAlign w:val="center"/>
          </w:tcPr>
          <w:p w14:paraId="5186B5D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腾晖光伏（原告）与汉寿昊晖太阳能发电有限公司（被告一）、常州市招联绿睿新能源有限公司（被告二）就对外追收债权纠纷提起诉讼。</w:t>
            </w:r>
          </w:p>
        </w:tc>
        <w:tc>
          <w:tcPr>
            <w:tcW w:w="1276" w:type="dxa"/>
            <w:shd w:val="clear" w:color="auto" w:fill="FFFFFF" w:themeFill="background1"/>
            <w:vAlign w:val="center"/>
          </w:tcPr>
          <w:p w14:paraId="37FB094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3,658.94</w:t>
            </w:r>
          </w:p>
        </w:tc>
        <w:tc>
          <w:tcPr>
            <w:tcW w:w="1205" w:type="dxa"/>
            <w:shd w:val="clear" w:color="auto" w:fill="FFFFFF" w:themeFill="background1"/>
            <w:vAlign w:val="center"/>
          </w:tcPr>
          <w:p w14:paraId="349F61D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6178B99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审理中</w:t>
            </w:r>
          </w:p>
        </w:tc>
        <w:tc>
          <w:tcPr>
            <w:tcW w:w="1984" w:type="dxa"/>
            <w:shd w:val="clear" w:color="auto" w:fill="FFFFFF" w:themeFill="background1"/>
            <w:vAlign w:val="center"/>
          </w:tcPr>
          <w:p w14:paraId="6F758D5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701" w:type="dxa"/>
            <w:shd w:val="clear" w:color="auto" w:fill="FFFFFF" w:themeFill="background1"/>
            <w:vAlign w:val="center"/>
          </w:tcPr>
          <w:p w14:paraId="0BBBD2C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205" w:type="dxa"/>
            <w:shd w:val="clear" w:color="auto" w:fill="FFFFFF" w:themeFill="background1"/>
            <w:vAlign w:val="center"/>
          </w:tcPr>
          <w:p w14:paraId="3F92723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2025年04月22日</w:t>
            </w:r>
          </w:p>
        </w:tc>
        <w:tc>
          <w:tcPr>
            <w:tcW w:w="1205" w:type="dxa"/>
            <w:shd w:val="clear" w:color="auto" w:fill="FFFFFF" w:themeFill="background1"/>
            <w:vAlign w:val="center"/>
          </w:tcPr>
          <w:p w14:paraId="703471D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66BAB775" w14:textId="77777777" w:rsidTr="00514DEA">
        <w:trPr>
          <w:trHeight w:val="240"/>
          <w:jc w:val="center"/>
        </w:trPr>
        <w:tc>
          <w:tcPr>
            <w:tcW w:w="3966" w:type="dxa"/>
            <w:shd w:val="clear" w:color="auto" w:fill="FFFFFF" w:themeFill="background1"/>
            <w:vAlign w:val="center"/>
          </w:tcPr>
          <w:p w14:paraId="67FE6A1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腾晖光伏（原告）与汉寿中晖太阳能发电有限公司（被告一）、常熟宏丰光伏电站开发有限公司（被告二）就对外追收债权纠纷提起诉讼。</w:t>
            </w:r>
          </w:p>
        </w:tc>
        <w:tc>
          <w:tcPr>
            <w:tcW w:w="1276" w:type="dxa"/>
            <w:shd w:val="clear" w:color="auto" w:fill="FFFFFF" w:themeFill="background1"/>
            <w:vAlign w:val="center"/>
          </w:tcPr>
          <w:p w14:paraId="2639F96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8,076.04</w:t>
            </w:r>
          </w:p>
        </w:tc>
        <w:tc>
          <w:tcPr>
            <w:tcW w:w="1205" w:type="dxa"/>
            <w:shd w:val="clear" w:color="auto" w:fill="FFFFFF" w:themeFill="background1"/>
            <w:vAlign w:val="center"/>
          </w:tcPr>
          <w:p w14:paraId="1921017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2241018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审理中</w:t>
            </w:r>
          </w:p>
        </w:tc>
        <w:tc>
          <w:tcPr>
            <w:tcW w:w="1984" w:type="dxa"/>
            <w:shd w:val="clear" w:color="auto" w:fill="FFFFFF" w:themeFill="background1"/>
            <w:vAlign w:val="center"/>
          </w:tcPr>
          <w:p w14:paraId="32E54C3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701" w:type="dxa"/>
            <w:shd w:val="clear" w:color="auto" w:fill="FFFFFF" w:themeFill="background1"/>
            <w:vAlign w:val="center"/>
          </w:tcPr>
          <w:p w14:paraId="21AA03E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205" w:type="dxa"/>
            <w:shd w:val="clear" w:color="auto" w:fill="FFFFFF" w:themeFill="background1"/>
            <w:vAlign w:val="center"/>
          </w:tcPr>
          <w:p w14:paraId="126526B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2025年04月22日</w:t>
            </w:r>
          </w:p>
        </w:tc>
        <w:tc>
          <w:tcPr>
            <w:tcW w:w="1205" w:type="dxa"/>
            <w:shd w:val="clear" w:color="auto" w:fill="FFFFFF" w:themeFill="background1"/>
            <w:vAlign w:val="center"/>
          </w:tcPr>
          <w:p w14:paraId="4D8AF3E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7E183491" w14:textId="77777777" w:rsidTr="00514DEA">
        <w:trPr>
          <w:trHeight w:val="240"/>
          <w:jc w:val="center"/>
        </w:trPr>
        <w:tc>
          <w:tcPr>
            <w:tcW w:w="3966" w:type="dxa"/>
            <w:shd w:val="clear" w:color="auto" w:fill="FFFFFF" w:themeFill="background1"/>
            <w:vAlign w:val="center"/>
          </w:tcPr>
          <w:p w14:paraId="241CF09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腾晖光伏（原告）与宁波凌环新能源开发有限公司（被告一）、上海道得清洁能源集团股份有限公司（被告二）就对外追收债权纠纷提起诉讼。</w:t>
            </w:r>
          </w:p>
        </w:tc>
        <w:tc>
          <w:tcPr>
            <w:tcW w:w="1276" w:type="dxa"/>
            <w:shd w:val="clear" w:color="auto" w:fill="FFFFFF" w:themeFill="background1"/>
            <w:vAlign w:val="center"/>
          </w:tcPr>
          <w:p w14:paraId="0547096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6,760.95</w:t>
            </w:r>
          </w:p>
        </w:tc>
        <w:tc>
          <w:tcPr>
            <w:tcW w:w="1205" w:type="dxa"/>
            <w:shd w:val="clear" w:color="auto" w:fill="FFFFFF" w:themeFill="background1"/>
            <w:vAlign w:val="center"/>
          </w:tcPr>
          <w:p w14:paraId="11409CD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76CED26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审理中</w:t>
            </w:r>
          </w:p>
        </w:tc>
        <w:tc>
          <w:tcPr>
            <w:tcW w:w="1984" w:type="dxa"/>
            <w:shd w:val="clear" w:color="auto" w:fill="FFFFFF" w:themeFill="background1"/>
            <w:vAlign w:val="center"/>
          </w:tcPr>
          <w:p w14:paraId="776BA15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701" w:type="dxa"/>
            <w:shd w:val="clear" w:color="auto" w:fill="FFFFFF" w:themeFill="background1"/>
            <w:vAlign w:val="center"/>
          </w:tcPr>
          <w:p w14:paraId="771AAA6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205" w:type="dxa"/>
            <w:shd w:val="clear" w:color="auto" w:fill="FFFFFF" w:themeFill="background1"/>
            <w:vAlign w:val="center"/>
          </w:tcPr>
          <w:p w14:paraId="55090D9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2025年04月22日</w:t>
            </w:r>
          </w:p>
        </w:tc>
        <w:tc>
          <w:tcPr>
            <w:tcW w:w="1205" w:type="dxa"/>
            <w:shd w:val="clear" w:color="auto" w:fill="FFFFFF" w:themeFill="background1"/>
            <w:vAlign w:val="center"/>
          </w:tcPr>
          <w:p w14:paraId="575BF6C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5DD82E2C" w14:textId="77777777" w:rsidTr="00514DEA">
        <w:trPr>
          <w:trHeight w:val="240"/>
          <w:jc w:val="center"/>
        </w:trPr>
        <w:tc>
          <w:tcPr>
            <w:tcW w:w="3966" w:type="dxa"/>
            <w:shd w:val="clear" w:color="auto" w:fill="FFFFFF" w:themeFill="background1"/>
            <w:vAlign w:val="center"/>
          </w:tcPr>
          <w:p w14:paraId="01A5A8E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山东中华发电有限公司（原告）与腾晖光伏（被告一）、鄄城上新光伏发电有限公司（被告二）就侵权责任纠纷提起诉讼。</w:t>
            </w:r>
          </w:p>
        </w:tc>
        <w:tc>
          <w:tcPr>
            <w:tcW w:w="1276" w:type="dxa"/>
            <w:shd w:val="clear" w:color="auto" w:fill="FFFFFF" w:themeFill="background1"/>
            <w:vAlign w:val="center"/>
          </w:tcPr>
          <w:p w14:paraId="4B4E1E2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2,060</w:t>
            </w:r>
          </w:p>
        </w:tc>
        <w:tc>
          <w:tcPr>
            <w:tcW w:w="1205" w:type="dxa"/>
            <w:shd w:val="clear" w:color="auto" w:fill="FFFFFF" w:themeFill="background1"/>
            <w:vAlign w:val="center"/>
          </w:tcPr>
          <w:p w14:paraId="0EE7B5C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6A348E8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w:t>
            </w:r>
          </w:p>
        </w:tc>
        <w:tc>
          <w:tcPr>
            <w:tcW w:w="1984" w:type="dxa"/>
            <w:shd w:val="clear" w:color="auto" w:fill="FFFFFF" w:themeFill="background1"/>
            <w:vAlign w:val="center"/>
          </w:tcPr>
          <w:p w14:paraId="7D4C633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已判决鄄城上新光伏发电有限公司承担侵权责任，腾晖光伏不承担责任。</w:t>
            </w:r>
          </w:p>
        </w:tc>
        <w:tc>
          <w:tcPr>
            <w:tcW w:w="1701" w:type="dxa"/>
            <w:shd w:val="clear" w:color="auto" w:fill="FFFFFF" w:themeFill="background1"/>
            <w:vAlign w:val="center"/>
          </w:tcPr>
          <w:p w14:paraId="76886D6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执行终本</w:t>
            </w:r>
          </w:p>
        </w:tc>
        <w:tc>
          <w:tcPr>
            <w:tcW w:w="1205" w:type="dxa"/>
            <w:shd w:val="clear" w:color="auto" w:fill="FFFFFF" w:themeFill="background1"/>
            <w:vAlign w:val="center"/>
          </w:tcPr>
          <w:p w14:paraId="6ADA22F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2025年04月22日</w:t>
            </w:r>
          </w:p>
        </w:tc>
        <w:tc>
          <w:tcPr>
            <w:tcW w:w="1205" w:type="dxa"/>
            <w:shd w:val="clear" w:color="auto" w:fill="FFFFFF" w:themeFill="background1"/>
            <w:vAlign w:val="center"/>
          </w:tcPr>
          <w:p w14:paraId="4D7D5FF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59F584E5" w14:textId="77777777" w:rsidTr="00514DEA">
        <w:trPr>
          <w:trHeight w:val="240"/>
          <w:jc w:val="center"/>
        </w:trPr>
        <w:tc>
          <w:tcPr>
            <w:tcW w:w="3966" w:type="dxa"/>
            <w:shd w:val="clear" w:color="auto" w:fill="FFFFFF" w:themeFill="background1"/>
            <w:vAlign w:val="center"/>
          </w:tcPr>
          <w:p w14:paraId="49702FD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腾晖光伏(原告）与上海谷欣资产管理有限公司（被告）就保证合同纠纷提起诉讼。</w:t>
            </w:r>
          </w:p>
        </w:tc>
        <w:tc>
          <w:tcPr>
            <w:tcW w:w="1276" w:type="dxa"/>
            <w:shd w:val="clear" w:color="auto" w:fill="FFFFFF" w:themeFill="background1"/>
            <w:vAlign w:val="center"/>
          </w:tcPr>
          <w:p w14:paraId="6FE82D7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2,350.84</w:t>
            </w:r>
          </w:p>
        </w:tc>
        <w:tc>
          <w:tcPr>
            <w:tcW w:w="1205" w:type="dxa"/>
            <w:shd w:val="clear" w:color="auto" w:fill="FFFFFF" w:themeFill="background1"/>
            <w:vAlign w:val="center"/>
          </w:tcPr>
          <w:p w14:paraId="3925DAD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7C49606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w:t>
            </w:r>
          </w:p>
        </w:tc>
        <w:tc>
          <w:tcPr>
            <w:tcW w:w="1984" w:type="dxa"/>
            <w:shd w:val="clear" w:color="auto" w:fill="FFFFFF" w:themeFill="background1"/>
            <w:vAlign w:val="center"/>
          </w:tcPr>
          <w:p w14:paraId="2604BB7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已判决上海谷欣资产管理有限公司承担保证责任。</w:t>
            </w:r>
          </w:p>
        </w:tc>
        <w:tc>
          <w:tcPr>
            <w:tcW w:w="1701" w:type="dxa"/>
            <w:shd w:val="clear" w:color="auto" w:fill="FFFFFF" w:themeFill="background1"/>
            <w:vAlign w:val="center"/>
          </w:tcPr>
          <w:p w14:paraId="1E97BE7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执行终本</w:t>
            </w:r>
          </w:p>
        </w:tc>
        <w:tc>
          <w:tcPr>
            <w:tcW w:w="1205" w:type="dxa"/>
            <w:shd w:val="clear" w:color="auto" w:fill="FFFFFF" w:themeFill="background1"/>
            <w:vAlign w:val="center"/>
          </w:tcPr>
          <w:p w14:paraId="3E736C1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2025年04月22日</w:t>
            </w:r>
          </w:p>
        </w:tc>
        <w:tc>
          <w:tcPr>
            <w:tcW w:w="1205" w:type="dxa"/>
            <w:shd w:val="clear" w:color="auto" w:fill="FFFFFF" w:themeFill="background1"/>
            <w:vAlign w:val="center"/>
          </w:tcPr>
          <w:p w14:paraId="6D07A94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2A68473E" w14:textId="77777777" w:rsidTr="00514DEA">
        <w:trPr>
          <w:trHeight w:val="240"/>
          <w:jc w:val="center"/>
        </w:trPr>
        <w:tc>
          <w:tcPr>
            <w:tcW w:w="3966" w:type="dxa"/>
            <w:shd w:val="clear" w:color="auto" w:fill="FFFFFF" w:themeFill="background1"/>
            <w:vAlign w:val="center"/>
          </w:tcPr>
          <w:p w14:paraId="3AF8345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营口金辰机械股份有限公司（原告）与苏州中利腾晖贸易有限公司（被告一）、山东腾晖新能源技术有限公司(被告二)就买卖合同纠纷提起诉讼。</w:t>
            </w:r>
          </w:p>
        </w:tc>
        <w:tc>
          <w:tcPr>
            <w:tcW w:w="1276" w:type="dxa"/>
            <w:shd w:val="clear" w:color="auto" w:fill="FFFFFF" w:themeFill="background1"/>
            <w:vAlign w:val="center"/>
          </w:tcPr>
          <w:p w14:paraId="5EFBA2D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3,178</w:t>
            </w:r>
          </w:p>
        </w:tc>
        <w:tc>
          <w:tcPr>
            <w:tcW w:w="1205" w:type="dxa"/>
            <w:shd w:val="clear" w:color="auto" w:fill="FFFFFF" w:themeFill="background1"/>
            <w:vAlign w:val="center"/>
          </w:tcPr>
          <w:p w14:paraId="76A34B1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772" w:type="dxa"/>
            <w:shd w:val="clear" w:color="auto" w:fill="FFFFFF" w:themeFill="background1"/>
            <w:vAlign w:val="center"/>
          </w:tcPr>
          <w:p w14:paraId="7185105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已调解</w:t>
            </w:r>
          </w:p>
        </w:tc>
        <w:tc>
          <w:tcPr>
            <w:tcW w:w="1984" w:type="dxa"/>
            <w:shd w:val="clear" w:color="auto" w:fill="FFFFFF" w:themeFill="background1"/>
            <w:vAlign w:val="center"/>
          </w:tcPr>
          <w:p w14:paraId="18D0C90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调解结案，苏州中利腾晖贸易有限公司、山东腾晖新能源技术有限公司共同承担付款责任。</w:t>
            </w:r>
          </w:p>
        </w:tc>
        <w:tc>
          <w:tcPr>
            <w:tcW w:w="1701" w:type="dxa"/>
            <w:shd w:val="clear" w:color="auto" w:fill="FFFFFF" w:themeFill="background1"/>
            <w:vAlign w:val="center"/>
          </w:tcPr>
          <w:p w14:paraId="1CBCC8E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执行终本</w:t>
            </w:r>
          </w:p>
        </w:tc>
        <w:tc>
          <w:tcPr>
            <w:tcW w:w="1205" w:type="dxa"/>
            <w:shd w:val="clear" w:color="auto" w:fill="FFFFFF" w:themeFill="background1"/>
            <w:vAlign w:val="center"/>
          </w:tcPr>
          <w:p w14:paraId="11749BC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2025年04月22日</w:t>
            </w:r>
          </w:p>
        </w:tc>
        <w:tc>
          <w:tcPr>
            <w:tcW w:w="1205" w:type="dxa"/>
            <w:shd w:val="clear" w:color="auto" w:fill="FFFFFF" w:themeFill="background1"/>
            <w:vAlign w:val="center"/>
          </w:tcPr>
          <w:p w14:paraId="4188711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bl>
    <w:p w14:paraId="12C33543" w14:textId="77777777" w:rsidR="003C252C" w:rsidRDefault="003C252C">
      <w:pPr>
        <w:pStyle w:val="2"/>
        <w:spacing w:before="300" w:after="300" w:line="320" w:lineRule="exact"/>
        <w:rPr>
          <w:rFonts w:ascii="宋体" w:eastAsia="宋体" w:hAnsi="宋体" w:cs="宋体" w:hint="eastAsia"/>
          <w:b/>
          <w:bCs/>
          <w:sz w:val="24"/>
          <w:szCs w:val="24"/>
        </w:rPr>
        <w:sectPr w:rsidR="003C252C" w:rsidSect="00E90C20">
          <w:pgSz w:w="16840" w:h="11905" w:orient="landscape"/>
          <w:pgMar w:top="1134" w:right="1440" w:bottom="1134" w:left="1440" w:header="851" w:footer="992" w:gutter="0"/>
          <w:cols w:space="720"/>
          <w:docGrid w:type="lines" w:linePitch="312"/>
        </w:sectPr>
      </w:pPr>
      <w:bookmarkStart w:id="107" w:name="_Toc988996"/>
    </w:p>
    <w:p w14:paraId="32265DEB" w14:textId="3DA23475" w:rsidR="00632E5B" w:rsidRDefault="00107901">
      <w:pPr>
        <w:pStyle w:val="2"/>
        <w:spacing w:before="300" w:after="300" w:line="320" w:lineRule="exact"/>
        <w:rPr>
          <w:rFonts w:ascii="宋体" w:eastAsia="宋体" w:hAnsi="宋体" w:cs="宋体" w:hint="eastAsia"/>
          <w:b/>
          <w:bCs/>
          <w:sz w:val="24"/>
          <w:szCs w:val="24"/>
        </w:rPr>
      </w:pPr>
      <w:r>
        <w:rPr>
          <w:rFonts w:ascii="宋体" w:eastAsia="宋体" w:hAnsi="宋体" w:cs="宋体"/>
          <w:b/>
          <w:bCs/>
          <w:sz w:val="24"/>
          <w:szCs w:val="24"/>
        </w:rPr>
        <w:lastRenderedPageBreak/>
        <w:t>十二、处罚及整改情况</w:t>
      </w:r>
      <w:bookmarkEnd w:id="107"/>
    </w:p>
    <w:p w14:paraId="04EDC1A3"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632E5B" w14:paraId="677E22B2" w14:textId="77777777" w:rsidTr="00514DE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02A45B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名称/姓名</w:t>
            </w:r>
          </w:p>
        </w:tc>
        <w:tc>
          <w:tcPr>
            <w:tcW w:w="137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0C1132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类型</w:t>
            </w:r>
          </w:p>
        </w:tc>
        <w:tc>
          <w:tcPr>
            <w:tcW w:w="137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A07EC2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原因</w:t>
            </w:r>
          </w:p>
        </w:tc>
        <w:tc>
          <w:tcPr>
            <w:tcW w:w="137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CFB3DC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调查处罚类型</w:t>
            </w:r>
          </w:p>
        </w:tc>
        <w:tc>
          <w:tcPr>
            <w:tcW w:w="137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D7CE7A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结论（如有）</w:t>
            </w:r>
          </w:p>
        </w:tc>
        <w:tc>
          <w:tcPr>
            <w:tcW w:w="137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BD104D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披露日期</w:t>
            </w:r>
          </w:p>
        </w:tc>
        <w:tc>
          <w:tcPr>
            <w:tcW w:w="137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CB42F0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披露索引</w:t>
            </w:r>
          </w:p>
        </w:tc>
      </w:tr>
      <w:tr w:rsidR="00632E5B" w14:paraId="6F762B7D"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6D05F51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江苏中利集团股份有限公司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189902F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14:paraId="4113CF2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信息披露违规</w:t>
            </w:r>
          </w:p>
        </w:tc>
        <w:tc>
          <w:tcPr>
            <w:tcW w:w="1377" w:type="dxa"/>
            <w:tcBorders>
              <w:top w:val="single" w:sz="2" w:space="0" w:color="auto"/>
              <w:left w:val="single" w:sz="2" w:space="0" w:color="auto"/>
              <w:bottom w:val="single" w:sz="2" w:space="0" w:color="auto"/>
              <w:right w:val="single" w:sz="2" w:space="0" w:color="auto"/>
            </w:tcBorders>
            <w:vAlign w:val="center"/>
          </w:tcPr>
          <w:p w14:paraId="2FFF6DC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被中国证监会立案调查或行政处罚</w:t>
            </w:r>
          </w:p>
        </w:tc>
        <w:tc>
          <w:tcPr>
            <w:tcW w:w="1377" w:type="dxa"/>
            <w:tcBorders>
              <w:top w:val="single" w:sz="2" w:space="0" w:color="auto"/>
              <w:left w:val="single" w:sz="2" w:space="0" w:color="auto"/>
              <w:bottom w:val="single" w:sz="2" w:space="0" w:color="auto"/>
              <w:right w:val="single" w:sz="2" w:space="0" w:color="auto"/>
            </w:tcBorders>
            <w:vAlign w:val="center"/>
          </w:tcPr>
          <w:p w14:paraId="7522436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给予警告，并处以800万元罚款；</w:t>
            </w:r>
          </w:p>
        </w:tc>
        <w:tc>
          <w:tcPr>
            <w:tcW w:w="1377" w:type="dxa"/>
            <w:tcBorders>
              <w:top w:val="single" w:sz="2" w:space="0" w:color="auto"/>
              <w:left w:val="single" w:sz="2" w:space="0" w:color="auto"/>
              <w:bottom w:val="single" w:sz="2" w:space="0" w:color="auto"/>
              <w:right w:val="single" w:sz="2" w:space="0" w:color="auto"/>
            </w:tcBorders>
            <w:vAlign w:val="center"/>
          </w:tcPr>
          <w:p w14:paraId="3E7FB7E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2024年07月06日</w:t>
            </w:r>
          </w:p>
        </w:tc>
        <w:tc>
          <w:tcPr>
            <w:tcW w:w="1377" w:type="dxa"/>
            <w:tcBorders>
              <w:top w:val="single" w:sz="2" w:space="0" w:color="auto"/>
              <w:left w:val="single" w:sz="2" w:space="0" w:color="auto"/>
              <w:bottom w:val="single" w:sz="2" w:space="0" w:color="auto"/>
              <w:right w:val="single" w:sz="2" w:space="0" w:color="auto"/>
            </w:tcBorders>
            <w:vAlign w:val="center"/>
          </w:tcPr>
          <w:p w14:paraId="44BF06D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632E5B" w14:paraId="59CF2D3E"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236F3BE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江苏中利集团股份有限公司、江苏中利控股集团有限公司、王柏兴</w:t>
            </w:r>
          </w:p>
        </w:tc>
        <w:tc>
          <w:tcPr>
            <w:tcW w:w="1377" w:type="dxa"/>
            <w:tcBorders>
              <w:top w:val="single" w:sz="2" w:space="0" w:color="auto"/>
              <w:left w:val="single" w:sz="2" w:space="0" w:color="auto"/>
              <w:bottom w:val="single" w:sz="2" w:space="0" w:color="auto"/>
              <w:right w:val="single" w:sz="2" w:space="0" w:color="auto"/>
            </w:tcBorders>
            <w:vAlign w:val="center"/>
          </w:tcPr>
          <w:p w14:paraId="7D597FC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14:paraId="6D88E3D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资金占用责令改正</w:t>
            </w:r>
          </w:p>
        </w:tc>
        <w:tc>
          <w:tcPr>
            <w:tcW w:w="1377" w:type="dxa"/>
            <w:tcBorders>
              <w:top w:val="single" w:sz="2" w:space="0" w:color="auto"/>
              <w:left w:val="single" w:sz="2" w:space="0" w:color="auto"/>
              <w:bottom w:val="single" w:sz="2" w:space="0" w:color="auto"/>
              <w:right w:val="single" w:sz="2" w:space="0" w:color="auto"/>
            </w:tcBorders>
            <w:vAlign w:val="center"/>
          </w:tcPr>
          <w:p w14:paraId="37999F6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中国证监会采取行政监管措施</w:t>
            </w:r>
          </w:p>
        </w:tc>
        <w:tc>
          <w:tcPr>
            <w:tcW w:w="1377" w:type="dxa"/>
            <w:tcBorders>
              <w:top w:val="single" w:sz="2" w:space="0" w:color="auto"/>
              <w:left w:val="single" w:sz="2" w:space="0" w:color="auto"/>
              <w:bottom w:val="single" w:sz="2" w:space="0" w:color="auto"/>
              <w:right w:val="single" w:sz="2" w:space="0" w:color="auto"/>
            </w:tcBorders>
            <w:vAlign w:val="center"/>
          </w:tcPr>
          <w:p w14:paraId="1B85D6D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已妥善解决资金占用，整改完成</w:t>
            </w:r>
          </w:p>
        </w:tc>
        <w:tc>
          <w:tcPr>
            <w:tcW w:w="1377" w:type="dxa"/>
            <w:tcBorders>
              <w:top w:val="single" w:sz="2" w:space="0" w:color="auto"/>
              <w:left w:val="single" w:sz="2" w:space="0" w:color="auto"/>
              <w:bottom w:val="single" w:sz="2" w:space="0" w:color="auto"/>
              <w:right w:val="single" w:sz="2" w:space="0" w:color="auto"/>
            </w:tcBorders>
            <w:vAlign w:val="center"/>
          </w:tcPr>
          <w:p w14:paraId="7890B3F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2024年05月10日</w:t>
            </w:r>
          </w:p>
        </w:tc>
        <w:tc>
          <w:tcPr>
            <w:tcW w:w="1377" w:type="dxa"/>
            <w:tcBorders>
              <w:top w:val="single" w:sz="2" w:space="0" w:color="auto"/>
              <w:left w:val="single" w:sz="2" w:space="0" w:color="auto"/>
              <w:bottom w:val="single" w:sz="2" w:space="0" w:color="auto"/>
              <w:right w:val="single" w:sz="2" w:space="0" w:color="auto"/>
            </w:tcBorders>
            <w:vAlign w:val="center"/>
          </w:tcPr>
          <w:p w14:paraId="62545F0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632E5B" w14:paraId="266911E5"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C07943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江苏中利集团股份有限公司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49CDE30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14:paraId="7A8ACC9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信息披露违规</w:t>
            </w:r>
          </w:p>
        </w:tc>
        <w:tc>
          <w:tcPr>
            <w:tcW w:w="1377" w:type="dxa"/>
            <w:tcBorders>
              <w:top w:val="single" w:sz="2" w:space="0" w:color="auto"/>
              <w:left w:val="single" w:sz="2" w:space="0" w:color="auto"/>
              <w:bottom w:val="single" w:sz="2" w:space="0" w:color="auto"/>
              <w:right w:val="single" w:sz="2" w:space="0" w:color="auto"/>
            </w:tcBorders>
            <w:vAlign w:val="center"/>
          </w:tcPr>
          <w:p w14:paraId="39D8C42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被证券交易所采取纪律处分</w:t>
            </w:r>
          </w:p>
        </w:tc>
        <w:tc>
          <w:tcPr>
            <w:tcW w:w="1377" w:type="dxa"/>
            <w:tcBorders>
              <w:top w:val="single" w:sz="2" w:space="0" w:color="auto"/>
              <w:left w:val="single" w:sz="2" w:space="0" w:color="auto"/>
              <w:bottom w:val="single" w:sz="2" w:space="0" w:color="auto"/>
              <w:right w:val="single" w:sz="2" w:space="0" w:color="auto"/>
            </w:tcBorders>
            <w:vAlign w:val="center"/>
          </w:tcPr>
          <w:p w14:paraId="4BE9143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公开谴责</w:t>
            </w:r>
          </w:p>
        </w:tc>
        <w:tc>
          <w:tcPr>
            <w:tcW w:w="1377" w:type="dxa"/>
            <w:tcBorders>
              <w:top w:val="single" w:sz="2" w:space="0" w:color="auto"/>
              <w:left w:val="single" w:sz="2" w:space="0" w:color="auto"/>
              <w:bottom w:val="single" w:sz="2" w:space="0" w:color="auto"/>
              <w:right w:val="single" w:sz="2" w:space="0" w:color="auto"/>
            </w:tcBorders>
            <w:vAlign w:val="center"/>
          </w:tcPr>
          <w:p w14:paraId="47B9168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2024年08月16日</w:t>
            </w:r>
          </w:p>
        </w:tc>
        <w:tc>
          <w:tcPr>
            <w:tcW w:w="1377" w:type="dxa"/>
            <w:tcBorders>
              <w:top w:val="single" w:sz="2" w:space="0" w:color="auto"/>
              <w:left w:val="single" w:sz="2" w:space="0" w:color="auto"/>
              <w:bottom w:val="single" w:sz="2" w:space="0" w:color="auto"/>
              <w:right w:val="single" w:sz="2" w:space="0" w:color="auto"/>
            </w:tcBorders>
            <w:vAlign w:val="center"/>
          </w:tcPr>
          <w:p w14:paraId="22A1709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深圳证券交易所</w:t>
            </w:r>
          </w:p>
        </w:tc>
      </w:tr>
      <w:tr w:rsidR="00632E5B" w14:paraId="37F9AF4A"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27E04B2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王柏兴</w:t>
            </w:r>
          </w:p>
        </w:tc>
        <w:tc>
          <w:tcPr>
            <w:tcW w:w="1377" w:type="dxa"/>
            <w:tcBorders>
              <w:top w:val="single" w:sz="2" w:space="0" w:color="auto"/>
              <w:left w:val="single" w:sz="2" w:space="0" w:color="auto"/>
              <w:bottom w:val="single" w:sz="2" w:space="0" w:color="auto"/>
              <w:right w:val="single" w:sz="2" w:space="0" w:color="auto"/>
            </w:tcBorders>
            <w:vAlign w:val="center"/>
          </w:tcPr>
          <w:p w14:paraId="62AF92D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14:paraId="04A06DF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信息披露违规</w:t>
            </w:r>
          </w:p>
        </w:tc>
        <w:tc>
          <w:tcPr>
            <w:tcW w:w="1377" w:type="dxa"/>
            <w:tcBorders>
              <w:top w:val="single" w:sz="2" w:space="0" w:color="auto"/>
              <w:left w:val="single" w:sz="2" w:space="0" w:color="auto"/>
              <w:bottom w:val="single" w:sz="2" w:space="0" w:color="auto"/>
              <w:right w:val="single" w:sz="2" w:space="0" w:color="auto"/>
            </w:tcBorders>
            <w:vAlign w:val="center"/>
          </w:tcPr>
          <w:p w14:paraId="19A750E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被中国证监会立案调查或行政处罚、被采取市场禁入</w:t>
            </w:r>
          </w:p>
        </w:tc>
        <w:tc>
          <w:tcPr>
            <w:tcW w:w="1377" w:type="dxa"/>
            <w:tcBorders>
              <w:top w:val="single" w:sz="2" w:space="0" w:color="auto"/>
              <w:left w:val="single" w:sz="2" w:space="0" w:color="auto"/>
              <w:bottom w:val="single" w:sz="2" w:space="0" w:color="auto"/>
              <w:right w:val="single" w:sz="2" w:space="0" w:color="auto"/>
            </w:tcBorders>
            <w:vAlign w:val="center"/>
          </w:tcPr>
          <w:p w14:paraId="42D6B1C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给予警告，并处以1,500万元罚款，终身证券市场禁入</w:t>
            </w:r>
          </w:p>
        </w:tc>
        <w:tc>
          <w:tcPr>
            <w:tcW w:w="1377" w:type="dxa"/>
            <w:tcBorders>
              <w:top w:val="single" w:sz="2" w:space="0" w:color="auto"/>
              <w:left w:val="single" w:sz="2" w:space="0" w:color="auto"/>
              <w:bottom w:val="single" w:sz="2" w:space="0" w:color="auto"/>
              <w:right w:val="single" w:sz="2" w:space="0" w:color="auto"/>
            </w:tcBorders>
            <w:vAlign w:val="center"/>
          </w:tcPr>
          <w:p w14:paraId="416E608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2024年07月06日</w:t>
            </w:r>
          </w:p>
        </w:tc>
        <w:tc>
          <w:tcPr>
            <w:tcW w:w="1377" w:type="dxa"/>
            <w:tcBorders>
              <w:top w:val="single" w:sz="2" w:space="0" w:color="auto"/>
              <w:left w:val="single" w:sz="2" w:space="0" w:color="auto"/>
              <w:bottom w:val="single" w:sz="2" w:space="0" w:color="auto"/>
              <w:right w:val="single" w:sz="2" w:space="0" w:color="auto"/>
            </w:tcBorders>
            <w:vAlign w:val="center"/>
          </w:tcPr>
          <w:p w14:paraId="4279067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632E5B" w14:paraId="4E603DE0"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00C67C3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王柏兴</w:t>
            </w:r>
          </w:p>
        </w:tc>
        <w:tc>
          <w:tcPr>
            <w:tcW w:w="1377" w:type="dxa"/>
            <w:tcBorders>
              <w:top w:val="single" w:sz="2" w:space="0" w:color="auto"/>
              <w:left w:val="single" w:sz="2" w:space="0" w:color="auto"/>
              <w:bottom w:val="single" w:sz="2" w:space="0" w:color="auto"/>
              <w:right w:val="single" w:sz="2" w:space="0" w:color="auto"/>
            </w:tcBorders>
            <w:vAlign w:val="center"/>
          </w:tcPr>
          <w:p w14:paraId="5998AEC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14:paraId="5177311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未能恪尽职守、诚信勤勉</w:t>
            </w:r>
          </w:p>
        </w:tc>
        <w:tc>
          <w:tcPr>
            <w:tcW w:w="1377" w:type="dxa"/>
            <w:tcBorders>
              <w:top w:val="single" w:sz="2" w:space="0" w:color="auto"/>
              <w:left w:val="single" w:sz="2" w:space="0" w:color="auto"/>
              <w:bottom w:val="single" w:sz="2" w:space="0" w:color="auto"/>
              <w:right w:val="single" w:sz="2" w:space="0" w:color="auto"/>
            </w:tcBorders>
            <w:vAlign w:val="center"/>
          </w:tcPr>
          <w:p w14:paraId="64A20D6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被证券交易所采取纪律处分、其他</w:t>
            </w:r>
          </w:p>
        </w:tc>
        <w:tc>
          <w:tcPr>
            <w:tcW w:w="1377" w:type="dxa"/>
            <w:tcBorders>
              <w:top w:val="single" w:sz="2" w:space="0" w:color="auto"/>
              <w:left w:val="single" w:sz="2" w:space="0" w:color="auto"/>
              <w:bottom w:val="single" w:sz="2" w:space="0" w:color="auto"/>
              <w:right w:val="single" w:sz="2" w:space="0" w:color="auto"/>
            </w:tcBorders>
            <w:vAlign w:val="center"/>
          </w:tcPr>
          <w:p w14:paraId="37E8F30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公开谴责，公开认定终身不适合担任上市公司董事、 监事、 高级管理人员</w:t>
            </w:r>
          </w:p>
        </w:tc>
        <w:tc>
          <w:tcPr>
            <w:tcW w:w="1377" w:type="dxa"/>
            <w:tcBorders>
              <w:top w:val="single" w:sz="2" w:space="0" w:color="auto"/>
              <w:left w:val="single" w:sz="2" w:space="0" w:color="auto"/>
              <w:bottom w:val="single" w:sz="2" w:space="0" w:color="auto"/>
              <w:right w:val="single" w:sz="2" w:space="0" w:color="auto"/>
            </w:tcBorders>
            <w:vAlign w:val="center"/>
          </w:tcPr>
          <w:p w14:paraId="7EC0E9E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2024年08月16日</w:t>
            </w:r>
          </w:p>
        </w:tc>
        <w:tc>
          <w:tcPr>
            <w:tcW w:w="1377" w:type="dxa"/>
            <w:tcBorders>
              <w:top w:val="single" w:sz="2" w:space="0" w:color="auto"/>
              <w:left w:val="single" w:sz="2" w:space="0" w:color="auto"/>
              <w:bottom w:val="single" w:sz="2" w:space="0" w:color="auto"/>
              <w:right w:val="single" w:sz="2" w:space="0" w:color="auto"/>
            </w:tcBorders>
            <w:vAlign w:val="center"/>
          </w:tcPr>
          <w:p w14:paraId="49DA14E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深圳证券交易所</w:t>
            </w:r>
          </w:p>
        </w:tc>
      </w:tr>
      <w:tr w:rsidR="00632E5B" w14:paraId="3A1A7D15"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5D32AC6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王伟峰</w:t>
            </w:r>
          </w:p>
        </w:tc>
        <w:tc>
          <w:tcPr>
            <w:tcW w:w="1377" w:type="dxa"/>
            <w:tcBorders>
              <w:top w:val="single" w:sz="2" w:space="0" w:color="auto"/>
              <w:left w:val="single" w:sz="2" w:space="0" w:color="auto"/>
              <w:bottom w:val="single" w:sz="2" w:space="0" w:color="auto"/>
              <w:right w:val="single" w:sz="2" w:space="0" w:color="auto"/>
            </w:tcBorders>
            <w:vAlign w:val="center"/>
          </w:tcPr>
          <w:p w14:paraId="7C0D49E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14:paraId="24D821B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信息披露违规</w:t>
            </w:r>
          </w:p>
        </w:tc>
        <w:tc>
          <w:tcPr>
            <w:tcW w:w="1377" w:type="dxa"/>
            <w:tcBorders>
              <w:top w:val="single" w:sz="2" w:space="0" w:color="auto"/>
              <w:left w:val="single" w:sz="2" w:space="0" w:color="auto"/>
              <w:bottom w:val="single" w:sz="2" w:space="0" w:color="auto"/>
              <w:right w:val="single" w:sz="2" w:space="0" w:color="auto"/>
            </w:tcBorders>
            <w:vAlign w:val="center"/>
          </w:tcPr>
          <w:p w14:paraId="12934A2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被中国证监会立案调查或行政处罚</w:t>
            </w:r>
          </w:p>
        </w:tc>
        <w:tc>
          <w:tcPr>
            <w:tcW w:w="1377" w:type="dxa"/>
            <w:tcBorders>
              <w:top w:val="single" w:sz="2" w:space="0" w:color="auto"/>
              <w:left w:val="single" w:sz="2" w:space="0" w:color="auto"/>
              <w:bottom w:val="single" w:sz="2" w:space="0" w:color="auto"/>
              <w:right w:val="single" w:sz="2" w:space="0" w:color="auto"/>
            </w:tcBorders>
            <w:vAlign w:val="center"/>
          </w:tcPr>
          <w:p w14:paraId="37912CC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给予警告，并处以300万元罚款</w:t>
            </w:r>
          </w:p>
        </w:tc>
        <w:tc>
          <w:tcPr>
            <w:tcW w:w="1377" w:type="dxa"/>
            <w:tcBorders>
              <w:top w:val="single" w:sz="2" w:space="0" w:color="auto"/>
              <w:left w:val="single" w:sz="2" w:space="0" w:color="auto"/>
              <w:bottom w:val="single" w:sz="2" w:space="0" w:color="auto"/>
              <w:right w:val="single" w:sz="2" w:space="0" w:color="auto"/>
            </w:tcBorders>
            <w:vAlign w:val="center"/>
          </w:tcPr>
          <w:p w14:paraId="576FFAB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2024年07月06日</w:t>
            </w:r>
          </w:p>
        </w:tc>
        <w:tc>
          <w:tcPr>
            <w:tcW w:w="1377" w:type="dxa"/>
            <w:tcBorders>
              <w:top w:val="single" w:sz="2" w:space="0" w:color="auto"/>
              <w:left w:val="single" w:sz="2" w:space="0" w:color="auto"/>
              <w:bottom w:val="single" w:sz="2" w:space="0" w:color="auto"/>
              <w:right w:val="single" w:sz="2" w:space="0" w:color="auto"/>
            </w:tcBorders>
            <w:vAlign w:val="center"/>
          </w:tcPr>
          <w:p w14:paraId="7DF1A38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632E5B" w14:paraId="62505879"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253D53C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王伟峰</w:t>
            </w:r>
          </w:p>
        </w:tc>
        <w:tc>
          <w:tcPr>
            <w:tcW w:w="1377" w:type="dxa"/>
            <w:tcBorders>
              <w:top w:val="single" w:sz="2" w:space="0" w:color="auto"/>
              <w:left w:val="single" w:sz="2" w:space="0" w:color="auto"/>
              <w:bottom w:val="single" w:sz="2" w:space="0" w:color="auto"/>
              <w:right w:val="single" w:sz="2" w:space="0" w:color="auto"/>
            </w:tcBorders>
            <w:vAlign w:val="center"/>
          </w:tcPr>
          <w:p w14:paraId="3CC438F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14:paraId="4ECA014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未能恪尽职守、诚信勤勉</w:t>
            </w:r>
          </w:p>
        </w:tc>
        <w:tc>
          <w:tcPr>
            <w:tcW w:w="1377" w:type="dxa"/>
            <w:tcBorders>
              <w:top w:val="single" w:sz="2" w:space="0" w:color="auto"/>
              <w:left w:val="single" w:sz="2" w:space="0" w:color="auto"/>
              <w:bottom w:val="single" w:sz="2" w:space="0" w:color="auto"/>
              <w:right w:val="single" w:sz="2" w:space="0" w:color="auto"/>
            </w:tcBorders>
            <w:vAlign w:val="center"/>
          </w:tcPr>
          <w:p w14:paraId="369F8DF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被证券交易所采取纪律处分</w:t>
            </w:r>
          </w:p>
        </w:tc>
        <w:tc>
          <w:tcPr>
            <w:tcW w:w="1377" w:type="dxa"/>
            <w:tcBorders>
              <w:top w:val="single" w:sz="2" w:space="0" w:color="auto"/>
              <w:left w:val="single" w:sz="2" w:space="0" w:color="auto"/>
              <w:bottom w:val="single" w:sz="2" w:space="0" w:color="auto"/>
              <w:right w:val="single" w:sz="2" w:space="0" w:color="auto"/>
            </w:tcBorders>
            <w:vAlign w:val="center"/>
          </w:tcPr>
          <w:p w14:paraId="2216AED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公开谴责</w:t>
            </w:r>
          </w:p>
        </w:tc>
        <w:tc>
          <w:tcPr>
            <w:tcW w:w="1377" w:type="dxa"/>
            <w:tcBorders>
              <w:top w:val="single" w:sz="2" w:space="0" w:color="auto"/>
              <w:left w:val="single" w:sz="2" w:space="0" w:color="auto"/>
              <w:bottom w:val="single" w:sz="2" w:space="0" w:color="auto"/>
              <w:right w:val="single" w:sz="2" w:space="0" w:color="auto"/>
            </w:tcBorders>
            <w:vAlign w:val="center"/>
          </w:tcPr>
          <w:p w14:paraId="5B3DA9E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2024年08月16日</w:t>
            </w:r>
          </w:p>
        </w:tc>
        <w:tc>
          <w:tcPr>
            <w:tcW w:w="1377" w:type="dxa"/>
            <w:tcBorders>
              <w:top w:val="single" w:sz="2" w:space="0" w:color="auto"/>
              <w:left w:val="single" w:sz="2" w:space="0" w:color="auto"/>
              <w:bottom w:val="single" w:sz="2" w:space="0" w:color="auto"/>
              <w:right w:val="single" w:sz="2" w:space="0" w:color="auto"/>
            </w:tcBorders>
            <w:vAlign w:val="center"/>
          </w:tcPr>
          <w:p w14:paraId="67AC915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深圳证券交易所</w:t>
            </w:r>
          </w:p>
        </w:tc>
      </w:tr>
      <w:tr w:rsidR="00632E5B" w14:paraId="196BAB2F"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3F5EF7B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陈波瀚</w:t>
            </w:r>
          </w:p>
        </w:tc>
        <w:tc>
          <w:tcPr>
            <w:tcW w:w="1377" w:type="dxa"/>
            <w:tcBorders>
              <w:top w:val="single" w:sz="2" w:space="0" w:color="auto"/>
              <w:left w:val="single" w:sz="2" w:space="0" w:color="auto"/>
              <w:bottom w:val="single" w:sz="2" w:space="0" w:color="auto"/>
              <w:right w:val="single" w:sz="2" w:space="0" w:color="auto"/>
            </w:tcBorders>
            <w:vAlign w:val="center"/>
          </w:tcPr>
          <w:p w14:paraId="3951240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14:paraId="78E1165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信息披露违规</w:t>
            </w:r>
          </w:p>
        </w:tc>
        <w:tc>
          <w:tcPr>
            <w:tcW w:w="1377" w:type="dxa"/>
            <w:tcBorders>
              <w:top w:val="single" w:sz="2" w:space="0" w:color="auto"/>
              <w:left w:val="single" w:sz="2" w:space="0" w:color="auto"/>
              <w:bottom w:val="single" w:sz="2" w:space="0" w:color="auto"/>
              <w:right w:val="single" w:sz="2" w:space="0" w:color="auto"/>
            </w:tcBorders>
            <w:vAlign w:val="center"/>
          </w:tcPr>
          <w:p w14:paraId="6E23A92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被中国证监会立案调查或行政处罚</w:t>
            </w:r>
          </w:p>
        </w:tc>
        <w:tc>
          <w:tcPr>
            <w:tcW w:w="1377" w:type="dxa"/>
            <w:tcBorders>
              <w:top w:val="single" w:sz="2" w:space="0" w:color="auto"/>
              <w:left w:val="single" w:sz="2" w:space="0" w:color="auto"/>
              <w:bottom w:val="single" w:sz="2" w:space="0" w:color="auto"/>
              <w:right w:val="single" w:sz="2" w:space="0" w:color="auto"/>
            </w:tcBorders>
            <w:vAlign w:val="center"/>
          </w:tcPr>
          <w:p w14:paraId="691C2B6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给予警告，并处以50万元罚款</w:t>
            </w:r>
          </w:p>
        </w:tc>
        <w:tc>
          <w:tcPr>
            <w:tcW w:w="1377" w:type="dxa"/>
            <w:tcBorders>
              <w:top w:val="single" w:sz="2" w:space="0" w:color="auto"/>
              <w:left w:val="single" w:sz="2" w:space="0" w:color="auto"/>
              <w:bottom w:val="single" w:sz="2" w:space="0" w:color="auto"/>
              <w:right w:val="single" w:sz="2" w:space="0" w:color="auto"/>
            </w:tcBorders>
            <w:vAlign w:val="center"/>
          </w:tcPr>
          <w:p w14:paraId="78BB101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2024年07月06日</w:t>
            </w:r>
          </w:p>
        </w:tc>
        <w:tc>
          <w:tcPr>
            <w:tcW w:w="1377" w:type="dxa"/>
            <w:tcBorders>
              <w:top w:val="single" w:sz="2" w:space="0" w:color="auto"/>
              <w:left w:val="single" w:sz="2" w:space="0" w:color="auto"/>
              <w:bottom w:val="single" w:sz="2" w:space="0" w:color="auto"/>
              <w:right w:val="single" w:sz="2" w:space="0" w:color="auto"/>
            </w:tcBorders>
            <w:vAlign w:val="center"/>
          </w:tcPr>
          <w:p w14:paraId="3B647F1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632E5B" w14:paraId="06B45768"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5292F52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陈波瀚</w:t>
            </w:r>
          </w:p>
        </w:tc>
        <w:tc>
          <w:tcPr>
            <w:tcW w:w="1377" w:type="dxa"/>
            <w:tcBorders>
              <w:top w:val="single" w:sz="2" w:space="0" w:color="auto"/>
              <w:left w:val="single" w:sz="2" w:space="0" w:color="auto"/>
              <w:bottom w:val="single" w:sz="2" w:space="0" w:color="auto"/>
              <w:right w:val="single" w:sz="2" w:space="0" w:color="auto"/>
            </w:tcBorders>
            <w:vAlign w:val="center"/>
          </w:tcPr>
          <w:p w14:paraId="6AD3B32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14:paraId="568CE52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未能恪尽职守、诚信勤勉</w:t>
            </w:r>
          </w:p>
        </w:tc>
        <w:tc>
          <w:tcPr>
            <w:tcW w:w="1377" w:type="dxa"/>
            <w:tcBorders>
              <w:top w:val="single" w:sz="2" w:space="0" w:color="auto"/>
              <w:left w:val="single" w:sz="2" w:space="0" w:color="auto"/>
              <w:bottom w:val="single" w:sz="2" w:space="0" w:color="auto"/>
              <w:right w:val="single" w:sz="2" w:space="0" w:color="auto"/>
            </w:tcBorders>
            <w:vAlign w:val="center"/>
          </w:tcPr>
          <w:p w14:paraId="763F673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被证券交易所采取纪律处分</w:t>
            </w:r>
          </w:p>
        </w:tc>
        <w:tc>
          <w:tcPr>
            <w:tcW w:w="1377" w:type="dxa"/>
            <w:tcBorders>
              <w:top w:val="single" w:sz="2" w:space="0" w:color="auto"/>
              <w:left w:val="single" w:sz="2" w:space="0" w:color="auto"/>
              <w:bottom w:val="single" w:sz="2" w:space="0" w:color="auto"/>
              <w:right w:val="single" w:sz="2" w:space="0" w:color="auto"/>
            </w:tcBorders>
            <w:vAlign w:val="center"/>
          </w:tcPr>
          <w:p w14:paraId="7967EB0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公开谴责</w:t>
            </w:r>
          </w:p>
        </w:tc>
        <w:tc>
          <w:tcPr>
            <w:tcW w:w="1377" w:type="dxa"/>
            <w:tcBorders>
              <w:top w:val="single" w:sz="2" w:space="0" w:color="auto"/>
              <w:left w:val="single" w:sz="2" w:space="0" w:color="auto"/>
              <w:bottom w:val="single" w:sz="2" w:space="0" w:color="auto"/>
              <w:right w:val="single" w:sz="2" w:space="0" w:color="auto"/>
            </w:tcBorders>
            <w:vAlign w:val="center"/>
          </w:tcPr>
          <w:p w14:paraId="22B0F03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2024年08月16日</w:t>
            </w:r>
          </w:p>
        </w:tc>
        <w:tc>
          <w:tcPr>
            <w:tcW w:w="1377" w:type="dxa"/>
            <w:tcBorders>
              <w:top w:val="single" w:sz="2" w:space="0" w:color="auto"/>
              <w:left w:val="single" w:sz="2" w:space="0" w:color="auto"/>
              <w:bottom w:val="single" w:sz="2" w:space="0" w:color="auto"/>
              <w:right w:val="single" w:sz="2" w:space="0" w:color="auto"/>
            </w:tcBorders>
            <w:vAlign w:val="center"/>
          </w:tcPr>
          <w:p w14:paraId="78FC6B7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深圳证券交易所</w:t>
            </w:r>
          </w:p>
        </w:tc>
      </w:tr>
      <w:tr w:rsidR="00632E5B" w14:paraId="0AE879BB"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4F89DED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钱宏燚</w:t>
            </w:r>
          </w:p>
        </w:tc>
        <w:tc>
          <w:tcPr>
            <w:tcW w:w="1377" w:type="dxa"/>
            <w:tcBorders>
              <w:top w:val="single" w:sz="2" w:space="0" w:color="auto"/>
              <w:left w:val="single" w:sz="2" w:space="0" w:color="auto"/>
              <w:bottom w:val="single" w:sz="2" w:space="0" w:color="auto"/>
              <w:right w:val="single" w:sz="2" w:space="0" w:color="auto"/>
            </w:tcBorders>
            <w:vAlign w:val="center"/>
          </w:tcPr>
          <w:p w14:paraId="773792F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14:paraId="2A0DB69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信息披露违规</w:t>
            </w:r>
          </w:p>
        </w:tc>
        <w:tc>
          <w:tcPr>
            <w:tcW w:w="1377" w:type="dxa"/>
            <w:tcBorders>
              <w:top w:val="single" w:sz="2" w:space="0" w:color="auto"/>
              <w:left w:val="single" w:sz="2" w:space="0" w:color="auto"/>
              <w:bottom w:val="single" w:sz="2" w:space="0" w:color="auto"/>
              <w:right w:val="single" w:sz="2" w:space="0" w:color="auto"/>
            </w:tcBorders>
            <w:vAlign w:val="center"/>
          </w:tcPr>
          <w:p w14:paraId="6B21B25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被中国证监会立案调查或行政处罚、被采取市场禁入</w:t>
            </w:r>
          </w:p>
        </w:tc>
        <w:tc>
          <w:tcPr>
            <w:tcW w:w="1377" w:type="dxa"/>
            <w:tcBorders>
              <w:top w:val="single" w:sz="2" w:space="0" w:color="auto"/>
              <w:left w:val="single" w:sz="2" w:space="0" w:color="auto"/>
              <w:bottom w:val="single" w:sz="2" w:space="0" w:color="auto"/>
              <w:right w:val="single" w:sz="2" w:space="0" w:color="auto"/>
            </w:tcBorders>
            <w:vAlign w:val="center"/>
          </w:tcPr>
          <w:p w14:paraId="06C483E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给予警告，并处以300万元罚款，3年证券市场禁入</w:t>
            </w:r>
          </w:p>
        </w:tc>
        <w:tc>
          <w:tcPr>
            <w:tcW w:w="1377" w:type="dxa"/>
            <w:tcBorders>
              <w:top w:val="single" w:sz="2" w:space="0" w:color="auto"/>
              <w:left w:val="single" w:sz="2" w:space="0" w:color="auto"/>
              <w:bottom w:val="single" w:sz="2" w:space="0" w:color="auto"/>
              <w:right w:val="single" w:sz="2" w:space="0" w:color="auto"/>
            </w:tcBorders>
            <w:vAlign w:val="center"/>
          </w:tcPr>
          <w:p w14:paraId="3C0456B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2024年07月06日</w:t>
            </w:r>
          </w:p>
        </w:tc>
        <w:tc>
          <w:tcPr>
            <w:tcW w:w="1377" w:type="dxa"/>
            <w:tcBorders>
              <w:top w:val="single" w:sz="2" w:space="0" w:color="auto"/>
              <w:left w:val="single" w:sz="2" w:space="0" w:color="auto"/>
              <w:bottom w:val="single" w:sz="2" w:space="0" w:color="auto"/>
              <w:right w:val="single" w:sz="2" w:space="0" w:color="auto"/>
            </w:tcBorders>
            <w:vAlign w:val="center"/>
          </w:tcPr>
          <w:p w14:paraId="0D8037C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632E5B" w14:paraId="318C4610"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392A36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钱宏燚</w:t>
            </w:r>
          </w:p>
        </w:tc>
        <w:tc>
          <w:tcPr>
            <w:tcW w:w="1377" w:type="dxa"/>
            <w:tcBorders>
              <w:top w:val="single" w:sz="2" w:space="0" w:color="auto"/>
              <w:left w:val="single" w:sz="2" w:space="0" w:color="auto"/>
              <w:bottom w:val="single" w:sz="2" w:space="0" w:color="auto"/>
              <w:right w:val="single" w:sz="2" w:space="0" w:color="auto"/>
            </w:tcBorders>
            <w:vAlign w:val="center"/>
          </w:tcPr>
          <w:p w14:paraId="7B9336D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14:paraId="59AB346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未能恪尽职守、诚信勤勉</w:t>
            </w:r>
          </w:p>
        </w:tc>
        <w:tc>
          <w:tcPr>
            <w:tcW w:w="1377" w:type="dxa"/>
            <w:tcBorders>
              <w:top w:val="single" w:sz="2" w:space="0" w:color="auto"/>
              <w:left w:val="single" w:sz="2" w:space="0" w:color="auto"/>
              <w:bottom w:val="single" w:sz="2" w:space="0" w:color="auto"/>
              <w:right w:val="single" w:sz="2" w:space="0" w:color="auto"/>
            </w:tcBorders>
            <w:vAlign w:val="center"/>
          </w:tcPr>
          <w:p w14:paraId="18059DF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被证券交易所采取纪律处分、其他</w:t>
            </w:r>
          </w:p>
        </w:tc>
        <w:tc>
          <w:tcPr>
            <w:tcW w:w="1377" w:type="dxa"/>
            <w:tcBorders>
              <w:top w:val="single" w:sz="2" w:space="0" w:color="auto"/>
              <w:left w:val="single" w:sz="2" w:space="0" w:color="auto"/>
              <w:bottom w:val="single" w:sz="2" w:space="0" w:color="auto"/>
              <w:right w:val="single" w:sz="2" w:space="0" w:color="auto"/>
            </w:tcBorders>
            <w:vAlign w:val="center"/>
          </w:tcPr>
          <w:p w14:paraId="2A8B05E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公开谴责，公开认定3年内不适合担任上市公司董事、 监事、 高级管理人员</w:t>
            </w:r>
          </w:p>
        </w:tc>
        <w:tc>
          <w:tcPr>
            <w:tcW w:w="1377" w:type="dxa"/>
            <w:tcBorders>
              <w:top w:val="single" w:sz="2" w:space="0" w:color="auto"/>
              <w:left w:val="single" w:sz="2" w:space="0" w:color="auto"/>
              <w:bottom w:val="single" w:sz="2" w:space="0" w:color="auto"/>
              <w:right w:val="single" w:sz="2" w:space="0" w:color="auto"/>
            </w:tcBorders>
            <w:vAlign w:val="center"/>
          </w:tcPr>
          <w:p w14:paraId="326EF0B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2024年08月16日</w:t>
            </w:r>
          </w:p>
        </w:tc>
        <w:tc>
          <w:tcPr>
            <w:tcW w:w="1377" w:type="dxa"/>
            <w:tcBorders>
              <w:top w:val="single" w:sz="2" w:space="0" w:color="auto"/>
              <w:left w:val="single" w:sz="2" w:space="0" w:color="auto"/>
              <w:bottom w:val="single" w:sz="2" w:space="0" w:color="auto"/>
              <w:right w:val="single" w:sz="2" w:space="0" w:color="auto"/>
            </w:tcBorders>
            <w:vAlign w:val="center"/>
          </w:tcPr>
          <w:p w14:paraId="6516AA3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深圳证券交易所</w:t>
            </w:r>
          </w:p>
        </w:tc>
      </w:tr>
      <w:tr w:rsidR="00632E5B" w14:paraId="34370B15"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6D689DF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孙建宇</w:t>
            </w:r>
          </w:p>
        </w:tc>
        <w:tc>
          <w:tcPr>
            <w:tcW w:w="1377" w:type="dxa"/>
            <w:tcBorders>
              <w:top w:val="single" w:sz="2" w:space="0" w:color="auto"/>
              <w:left w:val="single" w:sz="2" w:space="0" w:color="auto"/>
              <w:bottom w:val="single" w:sz="2" w:space="0" w:color="auto"/>
              <w:right w:val="single" w:sz="2" w:space="0" w:color="auto"/>
            </w:tcBorders>
            <w:vAlign w:val="center"/>
          </w:tcPr>
          <w:p w14:paraId="6181EC5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高级管理人员</w:t>
            </w:r>
          </w:p>
        </w:tc>
        <w:tc>
          <w:tcPr>
            <w:tcW w:w="1377" w:type="dxa"/>
            <w:tcBorders>
              <w:top w:val="single" w:sz="2" w:space="0" w:color="auto"/>
              <w:left w:val="single" w:sz="2" w:space="0" w:color="auto"/>
              <w:bottom w:val="single" w:sz="2" w:space="0" w:color="auto"/>
              <w:right w:val="single" w:sz="2" w:space="0" w:color="auto"/>
            </w:tcBorders>
            <w:vAlign w:val="center"/>
          </w:tcPr>
          <w:p w14:paraId="5055BCE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信息披露违规</w:t>
            </w:r>
          </w:p>
        </w:tc>
        <w:tc>
          <w:tcPr>
            <w:tcW w:w="1377" w:type="dxa"/>
            <w:tcBorders>
              <w:top w:val="single" w:sz="2" w:space="0" w:color="auto"/>
              <w:left w:val="single" w:sz="2" w:space="0" w:color="auto"/>
              <w:bottom w:val="single" w:sz="2" w:space="0" w:color="auto"/>
              <w:right w:val="single" w:sz="2" w:space="0" w:color="auto"/>
            </w:tcBorders>
            <w:vAlign w:val="center"/>
          </w:tcPr>
          <w:p w14:paraId="043D7D5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被中国证监会立案调查或行政处罚</w:t>
            </w:r>
          </w:p>
        </w:tc>
        <w:tc>
          <w:tcPr>
            <w:tcW w:w="1377" w:type="dxa"/>
            <w:tcBorders>
              <w:top w:val="single" w:sz="2" w:space="0" w:color="auto"/>
              <w:left w:val="single" w:sz="2" w:space="0" w:color="auto"/>
              <w:bottom w:val="single" w:sz="2" w:space="0" w:color="auto"/>
              <w:right w:val="single" w:sz="2" w:space="0" w:color="auto"/>
            </w:tcBorders>
            <w:vAlign w:val="center"/>
          </w:tcPr>
          <w:p w14:paraId="45FEDAC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给予警告，并处以50万元罚款</w:t>
            </w:r>
          </w:p>
        </w:tc>
        <w:tc>
          <w:tcPr>
            <w:tcW w:w="1377" w:type="dxa"/>
            <w:tcBorders>
              <w:top w:val="single" w:sz="2" w:space="0" w:color="auto"/>
              <w:left w:val="single" w:sz="2" w:space="0" w:color="auto"/>
              <w:bottom w:val="single" w:sz="2" w:space="0" w:color="auto"/>
              <w:right w:val="single" w:sz="2" w:space="0" w:color="auto"/>
            </w:tcBorders>
            <w:vAlign w:val="center"/>
          </w:tcPr>
          <w:p w14:paraId="5D1D0D5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2024年07月06日</w:t>
            </w:r>
          </w:p>
        </w:tc>
        <w:tc>
          <w:tcPr>
            <w:tcW w:w="1377" w:type="dxa"/>
            <w:tcBorders>
              <w:top w:val="single" w:sz="2" w:space="0" w:color="auto"/>
              <w:left w:val="single" w:sz="2" w:space="0" w:color="auto"/>
              <w:bottom w:val="single" w:sz="2" w:space="0" w:color="auto"/>
              <w:right w:val="single" w:sz="2" w:space="0" w:color="auto"/>
            </w:tcBorders>
            <w:vAlign w:val="center"/>
          </w:tcPr>
          <w:p w14:paraId="3E96A4A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632E5B" w14:paraId="67D7BCB6"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3EB106D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孙建宇</w:t>
            </w:r>
          </w:p>
        </w:tc>
        <w:tc>
          <w:tcPr>
            <w:tcW w:w="1377" w:type="dxa"/>
            <w:tcBorders>
              <w:top w:val="single" w:sz="2" w:space="0" w:color="auto"/>
              <w:left w:val="single" w:sz="2" w:space="0" w:color="auto"/>
              <w:bottom w:val="single" w:sz="2" w:space="0" w:color="auto"/>
              <w:right w:val="single" w:sz="2" w:space="0" w:color="auto"/>
            </w:tcBorders>
            <w:vAlign w:val="center"/>
          </w:tcPr>
          <w:p w14:paraId="286104C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高级管理人员</w:t>
            </w:r>
          </w:p>
        </w:tc>
        <w:tc>
          <w:tcPr>
            <w:tcW w:w="1377" w:type="dxa"/>
            <w:tcBorders>
              <w:top w:val="single" w:sz="2" w:space="0" w:color="auto"/>
              <w:left w:val="single" w:sz="2" w:space="0" w:color="auto"/>
              <w:bottom w:val="single" w:sz="2" w:space="0" w:color="auto"/>
              <w:right w:val="single" w:sz="2" w:space="0" w:color="auto"/>
            </w:tcBorders>
            <w:vAlign w:val="center"/>
          </w:tcPr>
          <w:p w14:paraId="2D0144D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未能恪尽职守、诚信勤勉</w:t>
            </w:r>
          </w:p>
        </w:tc>
        <w:tc>
          <w:tcPr>
            <w:tcW w:w="1377" w:type="dxa"/>
            <w:tcBorders>
              <w:top w:val="single" w:sz="2" w:space="0" w:color="auto"/>
              <w:left w:val="single" w:sz="2" w:space="0" w:color="auto"/>
              <w:bottom w:val="single" w:sz="2" w:space="0" w:color="auto"/>
              <w:right w:val="single" w:sz="2" w:space="0" w:color="auto"/>
            </w:tcBorders>
            <w:vAlign w:val="center"/>
          </w:tcPr>
          <w:p w14:paraId="24BB0AA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被证券交易所采取纪律处分</w:t>
            </w:r>
          </w:p>
        </w:tc>
        <w:tc>
          <w:tcPr>
            <w:tcW w:w="1377" w:type="dxa"/>
            <w:tcBorders>
              <w:top w:val="single" w:sz="2" w:space="0" w:color="auto"/>
              <w:left w:val="single" w:sz="2" w:space="0" w:color="auto"/>
              <w:bottom w:val="single" w:sz="2" w:space="0" w:color="auto"/>
              <w:right w:val="single" w:sz="2" w:space="0" w:color="auto"/>
            </w:tcBorders>
            <w:vAlign w:val="center"/>
          </w:tcPr>
          <w:p w14:paraId="36948FF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公开谴责</w:t>
            </w:r>
          </w:p>
        </w:tc>
        <w:tc>
          <w:tcPr>
            <w:tcW w:w="1377" w:type="dxa"/>
            <w:tcBorders>
              <w:top w:val="single" w:sz="2" w:space="0" w:color="auto"/>
              <w:left w:val="single" w:sz="2" w:space="0" w:color="auto"/>
              <w:bottom w:val="single" w:sz="2" w:space="0" w:color="auto"/>
              <w:right w:val="single" w:sz="2" w:space="0" w:color="auto"/>
            </w:tcBorders>
            <w:vAlign w:val="center"/>
          </w:tcPr>
          <w:p w14:paraId="7C64EF9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2024年08月16日</w:t>
            </w:r>
          </w:p>
        </w:tc>
        <w:tc>
          <w:tcPr>
            <w:tcW w:w="1377" w:type="dxa"/>
            <w:tcBorders>
              <w:top w:val="single" w:sz="2" w:space="0" w:color="auto"/>
              <w:left w:val="single" w:sz="2" w:space="0" w:color="auto"/>
              <w:bottom w:val="single" w:sz="2" w:space="0" w:color="auto"/>
              <w:right w:val="single" w:sz="2" w:space="0" w:color="auto"/>
            </w:tcBorders>
            <w:vAlign w:val="center"/>
          </w:tcPr>
          <w:p w14:paraId="4749734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深圳证券交易所</w:t>
            </w:r>
          </w:p>
        </w:tc>
      </w:tr>
    </w:tbl>
    <w:p w14:paraId="5A6F771F"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整改情况说明</w:t>
      </w:r>
    </w:p>
    <w:p w14:paraId="0139B469"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1DCAD2F3" w14:textId="310A662A" w:rsidR="00E72F0C" w:rsidRDefault="00107901" w:rsidP="003E509B">
      <w:pPr>
        <w:pStyle w:val="a3"/>
        <w:spacing w:before="0" w:beforeAutospacing="0" w:after="0" w:afterAutospacing="0" w:line="360" w:lineRule="auto"/>
        <w:ind w:firstLineChars="200" w:firstLine="420"/>
        <w:jc w:val="both"/>
        <w:divId w:val="367267320"/>
        <w:rPr>
          <w:rFonts w:hint="eastAsia"/>
          <w:sz w:val="18"/>
          <w:szCs w:val="18"/>
        </w:rPr>
      </w:pPr>
      <w:r>
        <w:rPr>
          <w:rFonts w:hint="eastAsia"/>
          <w:sz w:val="21"/>
          <w:szCs w:val="21"/>
        </w:rPr>
        <w:t>中国证券监督管理委员会江苏监管局于2024年5月10日给公司出具了《 江苏证监局关于对江苏中利集团股份有限公司、江苏中利控股集团有限公司、王柏兴采取责令改正措施的决定》（〔2024〕88</w:t>
      </w:r>
      <w:r>
        <w:rPr>
          <w:rFonts w:hint="eastAsia"/>
          <w:sz w:val="21"/>
          <w:szCs w:val="21"/>
        </w:rPr>
        <w:lastRenderedPageBreak/>
        <w:t>号），要求公司、江苏中利控股集团有限公司、王柏兴在收到本决定书之日起六个月内归还所占用的资金，并在整改完成后提交书面报告。截至本报告期末，公司重整计划执行完毕，资金占用问题得以清偿解决，责令改正之要求已完成。</w:t>
      </w:r>
    </w:p>
    <w:p w14:paraId="090B6D9A" w14:textId="77777777" w:rsidR="00632E5B" w:rsidRDefault="00107901">
      <w:pPr>
        <w:pStyle w:val="2"/>
        <w:spacing w:before="300" w:after="300" w:line="320" w:lineRule="exact"/>
        <w:rPr>
          <w:rFonts w:ascii="宋体" w:eastAsia="宋体" w:hAnsi="宋体" w:cs="宋体" w:hint="eastAsia"/>
          <w:b/>
          <w:bCs/>
          <w:sz w:val="24"/>
          <w:szCs w:val="24"/>
        </w:rPr>
      </w:pPr>
      <w:bookmarkStart w:id="108" w:name="_Toc988997"/>
      <w:r>
        <w:rPr>
          <w:rFonts w:ascii="宋体" w:eastAsia="宋体" w:hAnsi="宋体" w:cs="宋体"/>
          <w:b/>
          <w:bCs/>
          <w:sz w:val="24"/>
          <w:szCs w:val="24"/>
        </w:rPr>
        <w:t>十三、公司及其控股股东、实际控制人的诚信状况</w:t>
      </w:r>
      <w:bookmarkEnd w:id="108"/>
    </w:p>
    <w:p w14:paraId="16786A34"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248F0008" w14:textId="77777777" w:rsidR="00632E5B" w:rsidRDefault="00107901">
      <w:pPr>
        <w:pStyle w:val="2"/>
        <w:spacing w:before="300" w:after="300" w:line="320" w:lineRule="exact"/>
        <w:rPr>
          <w:rFonts w:ascii="宋体" w:eastAsia="宋体" w:hAnsi="宋体" w:cs="宋体" w:hint="eastAsia"/>
          <w:b/>
          <w:bCs/>
          <w:sz w:val="24"/>
          <w:szCs w:val="24"/>
        </w:rPr>
      </w:pPr>
      <w:bookmarkStart w:id="109" w:name="_Toc988998"/>
      <w:r>
        <w:rPr>
          <w:rFonts w:ascii="宋体" w:eastAsia="宋体" w:hAnsi="宋体" w:cs="宋体"/>
          <w:b/>
          <w:bCs/>
          <w:sz w:val="24"/>
          <w:szCs w:val="24"/>
        </w:rPr>
        <w:t>十四、重大关联交易</w:t>
      </w:r>
      <w:bookmarkEnd w:id="109"/>
    </w:p>
    <w:p w14:paraId="1D00F868" w14:textId="77777777" w:rsidR="00632E5B" w:rsidRDefault="00107901">
      <w:pPr>
        <w:pStyle w:val="3"/>
        <w:spacing w:line="280" w:lineRule="exact"/>
        <w:jc w:val="left"/>
        <w:rPr>
          <w:rFonts w:ascii="宋体" w:hAnsi="宋体" w:cs="宋体" w:hint="eastAsia"/>
          <w:b/>
          <w:bCs/>
        </w:rPr>
      </w:pPr>
      <w:bookmarkStart w:id="110" w:name="_Toc988999"/>
      <w:r>
        <w:rPr>
          <w:rFonts w:ascii="宋体" w:hAnsi="宋体" w:cs="宋体"/>
          <w:b/>
          <w:bCs/>
        </w:rPr>
        <w:t>1、与日常经营相关的关联交易</w:t>
      </w:r>
      <w:bookmarkEnd w:id="110"/>
    </w:p>
    <w:p w14:paraId="4946602C"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986"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9"/>
        <w:gridCol w:w="689"/>
        <w:gridCol w:w="689"/>
        <w:gridCol w:w="689"/>
        <w:gridCol w:w="689"/>
        <w:gridCol w:w="689"/>
        <w:gridCol w:w="858"/>
        <w:gridCol w:w="851"/>
        <w:gridCol w:w="688"/>
        <w:gridCol w:w="688"/>
        <w:gridCol w:w="688"/>
        <w:gridCol w:w="688"/>
        <w:gridCol w:w="688"/>
        <w:gridCol w:w="688"/>
        <w:gridCol w:w="15"/>
      </w:tblGrid>
      <w:tr w:rsidR="00632E5B" w14:paraId="139B8138" w14:textId="77777777" w:rsidTr="00514DEA">
        <w:trPr>
          <w:gridAfter w:val="1"/>
          <w:wAfter w:w="15" w:type="dxa"/>
          <w:trHeight w:val="240"/>
        </w:trPr>
        <w:tc>
          <w:tcPr>
            <w:tcW w:w="68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BE4448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关联交易方</w:t>
            </w:r>
          </w:p>
        </w:tc>
        <w:tc>
          <w:tcPr>
            <w:tcW w:w="68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F25A43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关联关系</w:t>
            </w:r>
          </w:p>
        </w:tc>
        <w:tc>
          <w:tcPr>
            <w:tcW w:w="68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21AB70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关联交易类型</w:t>
            </w:r>
          </w:p>
        </w:tc>
        <w:tc>
          <w:tcPr>
            <w:tcW w:w="68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5EBDBD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关联交易内容</w:t>
            </w:r>
          </w:p>
        </w:tc>
        <w:tc>
          <w:tcPr>
            <w:tcW w:w="68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45E64B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关联交易定价原则</w:t>
            </w:r>
          </w:p>
        </w:tc>
        <w:tc>
          <w:tcPr>
            <w:tcW w:w="68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44B43A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关联交易价格</w:t>
            </w:r>
          </w:p>
        </w:tc>
        <w:tc>
          <w:tcPr>
            <w:tcW w:w="85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66F693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关联交易金额（万元）</w:t>
            </w:r>
          </w:p>
        </w:tc>
        <w:tc>
          <w:tcPr>
            <w:tcW w:w="8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B23122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占同类交易金额的比例</w:t>
            </w:r>
          </w:p>
        </w:tc>
        <w:tc>
          <w:tcPr>
            <w:tcW w:w="68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B7C597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获批的交易额度（万元）</w:t>
            </w:r>
          </w:p>
        </w:tc>
        <w:tc>
          <w:tcPr>
            <w:tcW w:w="68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C80979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是否超过获批额度</w:t>
            </w:r>
          </w:p>
        </w:tc>
        <w:tc>
          <w:tcPr>
            <w:tcW w:w="68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C43B37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关联交易结算方式</w:t>
            </w:r>
          </w:p>
        </w:tc>
        <w:tc>
          <w:tcPr>
            <w:tcW w:w="68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C49175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可获得的同类交易市价</w:t>
            </w:r>
          </w:p>
        </w:tc>
        <w:tc>
          <w:tcPr>
            <w:tcW w:w="68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B10BA5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披露日期</w:t>
            </w:r>
          </w:p>
        </w:tc>
        <w:tc>
          <w:tcPr>
            <w:tcW w:w="68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BC9B11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披露索引</w:t>
            </w:r>
          </w:p>
        </w:tc>
      </w:tr>
      <w:tr w:rsidR="00514DEA" w14:paraId="67B6C931" w14:textId="77777777" w:rsidTr="005426EF">
        <w:trPr>
          <w:gridAfter w:val="1"/>
          <w:wAfter w:w="15" w:type="dxa"/>
          <w:trHeight w:val="240"/>
        </w:trPr>
        <w:tc>
          <w:tcPr>
            <w:tcW w:w="68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FB90E38" w14:textId="77777777" w:rsidR="00514DEA" w:rsidRDefault="00514DEA">
            <w:pPr>
              <w:spacing w:line="240" w:lineRule="exact"/>
              <w:rPr>
                <w:rFonts w:ascii="宋体" w:eastAsia="宋体" w:hAnsi="宋体" w:cs="宋体" w:hint="eastAsia"/>
                <w:sz w:val="18"/>
                <w:szCs w:val="18"/>
              </w:rPr>
            </w:pPr>
            <w:r>
              <w:rPr>
                <w:rFonts w:ascii="宋体" w:eastAsia="宋体" w:hAnsi="宋体" w:cs="宋体"/>
                <w:sz w:val="18"/>
                <w:szCs w:val="18"/>
              </w:rPr>
              <w:t>江苏中利控股集团有限公司</w:t>
            </w:r>
          </w:p>
        </w:tc>
        <w:tc>
          <w:tcPr>
            <w:tcW w:w="68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9636220" w14:textId="77777777" w:rsidR="00514DEA" w:rsidRDefault="00514DEA">
            <w:pPr>
              <w:spacing w:line="240" w:lineRule="exact"/>
              <w:rPr>
                <w:rFonts w:ascii="宋体" w:eastAsia="宋体" w:hAnsi="宋体" w:cs="宋体" w:hint="eastAsia"/>
                <w:sz w:val="18"/>
                <w:szCs w:val="18"/>
              </w:rPr>
            </w:pPr>
            <w:r>
              <w:rPr>
                <w:rFonts w:ascii="宋体" w:eastAsia="宋体" w:hAnsi="宋体" w:cs="宋体"/>
                <w:sz w:val="18"/>
                <w:szCs w:val="18"/>
              </w:rPr>
              <w:t>原实际控制人控制的企业</w:t>
            </w:r>
          </w:p>
        </w:tc>
        <w:tc>
          <w:tcPr>
            <w:tcW w:w="68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4B808B1" w14:textId="77777777" w:rsidR="00514DEA" w:rsidRDefault="00514DEA">
            <w:pPr>
              <w:spacing w:line="240" w:lineRule="exact"/>
              <w:rPr>
                <w:rFonts w:ascii="宋体" w:eastAsia="宋体" w:hAnsi="宋体" w:cs="宋体" w:hint="eastAsia"/>
                <w:sz w:val="18"/>
                <w:szCs w:val="18"/>
              </w:rPr>
            </w:pPr>
            <w:r>
              <w:rPr>
                <w:rFonts w:ascii="宋体" w:eastAsia="宋体" w:hAnsi="宋体" w:cs="宋体"/>
                <w:sz w:val="18"/>
                <w:szCs w:val="18"/>
              </w:rPr>
              <w:t>向关联人采购、销售商品</w:t>
            </w:r>
          </w:p>
        </w:tc>
        <w:tc>
          <w:tcPr>
            <w:tcW w:w="68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3324870" w14:textId="77777777" w:rsidR="00514DEA" w:rsidRDefault="00514DEA">
            <w:pPr>
              <w:spacing w:line="240" w:lineRule="exact"/>
              <w:rPr>
                <w:rFonts w:ascii="宋体" w:eastAsia="宋体" w:hAnsi="宋体" w:cs="宋体" w:hint="eastAsia"/>
                <w:sz w:val="18"/>
                <w:szCs w:val="18"/>
              </w:rPr>
            </w:pPr>
            <w:r>
              <w:rPr>
                <w:rFonts w:ascii="宋体" w:eastAsia="宋体" w:hAnsi="宋体" w:cs="宋体"/>
                <w:sz w:val="18"/>
                <w:szCs w:val="18"/>
              </w:rPr>
              <w:t>线缆盘具及托盘等辅材、电费</w:t>
            </w:r>
          </w:p>
        </w:tc>
        <w:tc>
          <w:tcPr>
            <w:tcW w:w="689" w:type="dxa"/>
            <w:vMerge w:val="restart"/>
            <w:tcBorders>
              <w:top w:val="single" w:sz="2" w:space="0" w:color="auto"/>
              <w:left w:val="single" w:sz="2" w:space="0" w:color="auto"/>
              <w:right w:val="single" w:sz="2" w:space="0" w:color="auto"/>
            </w:tcBorders>
            <w:shd w:val="clear" w:color="auto" w:fill="FFFFFF" w:themeFill="background1"/>
            <w:vAlign w:val="center"/>
          </w:tcPr>
          <w:p w14:paraId="16EAE566" w14:textId="77777777" w:rsidR="00514DEA" w:rsidRDefault="00514DEA">
            <w:pPr>
              <w:spacing w:line="240" w:lineRule="exact"/>
              <w:rPr>
                <w:rFonts w:ascii="宋体" w:eastAsia="宋体" w:hAnsi="宋体" w:cs="宋体" w:hint="eastAsia"/>
                <w:sz w:val="18"/>
                <w:szCs w:val="18"/>
              </w:rPr>
            </w:pPr>
            <w:r>
              <w:rPr>
                <w:rFonts w:ascii="宋体" w:eastAsia="宋体" w:hAnsi="宋体" w:cs="宋体"/>
                <w:sz w:val="18"/>
                <w:szCs w:val="18"/>
              </w:rPr>
              <w:t>由双方根据市场价格协商确定，交易价格公允</w:t>
            </w:r>
          </w:p>
          <w:p w14:paraId="1B11DE3C" w14:textId="6C234C9E" w:rsidR="00514DEA" w:rsidRDefault="00514DEA" w:rsidP="005426EF">
            <w:pPr>
              <w:spacing w:line="240" w:lineRule="exact"/>
              <w:rPr>
                <w:rFonts w:ascii="宋体" w:eastAsia="宋体" w:hAnsi="宋体" w:cs="宋体" w:hint="eastAsia"/>
                <w:sz w:val="18"/>
                <w:szCs w:val="18"/>
              </w:rPr>
            </w:pPr>
          </w:p>
        </w:tc>
        <w:tc>
          <w:tcPr>
            <w:tcW w:w="68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7876CB4" w14:textId="77777777" w:rsidR="00514DEA" w:rsidRDefault="00514DEA">
            <w:pPr>
              <w:spacing w:line="240" w:lineRule="exact"/>
              <w:rPr>
                <w:rFonts w:ascii="宋体" w:eastAsia="宋体" w:hAnsi="宋体" w:cs="宋体" w:hint="eastAsia"/>
                <w:sz w:val="18"/>
                <w:szCs w:val="18"/>
              </w:rPr>
            </w:pPr>
            <w:r>
              <w:rPr>
                <w:rFonts w:ascii="宋体" w:eastAsia="宋体" w:hAnsi="宋体" w:cs="宋体"/>
                <w:sz w:val="18"/>
                <w:szCs w:val="18"/>
              </w:rPr>
              <w:t>市场价格</w:t>
            </w:r>
          </w:p>
        </w:tc>
        <w:tc>
          <w:tcPr>
            <w:tcW w:w="85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162051D" w14:textId="77777777" w:rsidR="00514DEA" w:rsidRDefault="00514DEA">
            <w:pPr>
              <w:spacing w:line="240" w:lineRule="exact"/>
              <w:jc w:val="right"/>
              <w:rPr>
                <w:rFonts w:ascii="宋体" w:eastAsia="宋体" w:hAnsi="宋体" w:cs="宋体" w:hint="eastAsia"/>
                <w:sz w:val="18"/>
                <w:szCs w:val="18"/>
              </w:rPr>
            </w:pPr>
            <w:r>
              <w:rPr>
                <w:rFonts w:ascii="宋体" w:eastAsia="宋体" w:hAnsi="宋体" w:cs="宋体"/>
                <w:sz w:val="18"/>
                <w:szCs w:val="18"/>
              </w:rPr>
              <w:t>185.52</w:t>
            </w:r>
          </w:p>
        </w:tc>
        <w:tc>
          <w:tcPr>
            <w:tcW w:w="8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86B0D90" w14:textId="77777777" w:rsidR="00514DEA" w:rsidRDefault="00514DEA">
            <w:pPr>
              <w:spacing w:line="240" w:lineRule="exact"/>
              <w:jc w:val="right"/>
              <w:rPr>
                <w:rFonts w:ascii="宋体" w:eastAsia="宋体" w:hAnsi="宋体" w:cs="宋体" w:hint="eastAsia"/>
                <w:sz w:val="18"/>
                <w:szCs w:val="18"/>
              </w:rPr>
            </w:pPr>
            <w:r>
              <w:rPr>
                <w:rFonts w:ascii="宋体" w:eastAsia="宋体" w:hAnsi="宋体" w:cs="宋体"/>
                <w:sz w:val="18"/>
                <w:szCs w:val="18"/>
              </w:rPr>
              <w:t>99.61%</w:t>
            </w:r>
          </w:p>
        </w:tc>
        <w:tc>
          <w:tcPr>
            <w:tcW w:w="68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DF439F5" w14:textId="77777777" w:rsidR="00514DEA" w:rsidRDefault="00514DEA">
            <w:pPr>
              <w:spacing w:line="240" w:lineRule="exact"/>
              <w:jc w:val="right"/>
              <w:rPr>
                <w:rFonts w:ascii="宋体" w:eastAsia="宋体" w:hAnsi="宋体" w:cs="宋体" w:hint="eastAsia"/>
                <w:sz w:val="18"/>
                <w:szCs w:val="18"/>
              </w:rPr>
            </w:pPr>
            <w:r>
              <w:rPr>
                <w:rFonts w:ascii="宋体" w:eastAsia="宋体" w:hAnsi="宋体" w:cs="宋体"/>
                <w:sz w:val="18"/>
                <w:szCs w:val="18"/>
              </w:rPr>
              <w:t>201</w:t>
            </w:r>
          </w:p>
        </w:tc>
        <w:tc>
          <w:tcPr>
            <w:tcW w:w="68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D605461" w14:textId="77777777" w:rsidR="00514DEA" w:rsidRDefault="00514DEA">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68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391E821" w14:textId="77777777" w:rsidR="00514DEA" w:rsidRDefault="00514DEA">
            <w:pPr>
              <w:spacing w:line="240" w:lineRule="exact"/>
              <w:rPr>
                <w:rFonts w:ascii="宋体" w:eastAsia="宋体" w:hAnsi="宋体" w:cs="宋体" w:hint="eastAsia"/>
                <w:sz w:val="18"/>
                <w:szCs w:val="18"/>
              </w:rPr>
            </w:pPr>
            <w:r>
              <w:rPr>
                <w:rFonts w:ascii="宋体" w:eastAsia="宋体" w:hAnsi="宋体" w:cs="宋体"/>
                <w:sz w:val="18"/>
                <w:szCs w:val="18"/>
              </w:rPr>
              <w:t>银行转账</w:t>
            </w:r>
          </w:p>
        </w:tc>
        <w:tc>
          <w:tcPr>
            <w:tcW w:w="68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F82FA21" w14:textId="77777777" w:rsidR="00514DEA" w:rsidRDefault="00514DEA">
            <w:pPr>
              <w:spacing w:line="240" w:lineRule="exact"/>
              <w:rPr>
                <w:rFonts w:ascii="宋体" w:eastAsia="宋体" w:hAnsi="宋体" w:cs="宋体" w:hint="eastAsia"/>
                <w:sz w:val="18"/>
                <w:szCs w:val="18"/>
              </w:rPr>
            </w:pPr>
            <w:r>
              <w:rPr>
                <w:rFonts w:ascii="宋体" w:eastAsia="宋体" w:hAnsi="宋体" w:cs="宋体"/>
                <w:sz w:val="18"/>
                <w:szCs w:val="18"/>
              </w:rPr>
              <w:t>依据市场价格确定</w:t>
            </w:r>
          </w:p>
        </w:tc>
        <w:tc>
          <w:tcPr>
            <w:tcW w:w="68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EC28A0C" w14:textId="77777777" w:rsidR="00514DEA" w:rsidRDefault="00514DEA">
            <w:pPr>
              <w:spacing w:line="240" w:lineRule="exact"/>
              <w:rPr>
                <w:rFonts w:ascii="宋体" w:eastAsia="宋体" w:hAnsi="宋体" w:cs="宋体" w:hint="eastAsia"/>
                <w:sz w:val="18"/>
                <w:szCs w:val="18"/>
              </w:rPr>
            </w:pPr>
            <w:r>
              <w:rPr>
                <w:rFonts w:ascii="宋体" w:eastAsia="宋体" w:hAnsi="宋体" w:cs="宋体"/>
                <w:sz w:val="18"/>
                <w:szCs w:val="18"/>
              </w:rPr>
              <w:t>2025年04月22日</w:t>
            </w:r>
          </w:p>
        </w:tc>
        <w:tc>
          <w:tcPr>
            <w:tcW w:w="68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836C1D4" w14:textId="77777777" w:rsidR="00514DEA" w:rsidRDefault="00514DEA">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124DCAB5" w14:textId="77777777" w:rsidTr="005426EF">
        <w:trPr>
          <w:gridAfter w:val="1"/>
          <w:wAfter w:w="15" w:type="dxa"/>
          <w:trHeight w:val="240"/>
        </w:trPr>
        <w:tc>
          <w:tcPr>
            <w:tcW w:w="68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A513B48" w14:textId="77777777" w:rsidR="00514DEA" w:rsidRDefault="00514DEA">
            <w:pPr>
              <w:spacing w:line="240" w:lineRule="exact"/>
              <w:rPr>
                <w:rFonts w:ascii="宋体" w:eastAsia="宋体" w:hAnsi="宋体" w:cs="宋体" w:hint="eastAsia"/>
                <w:sz w:val="18"/>
                <w:szCs w:val="18"/>
              </w:rPr>
            </w:pPr>
            <w:r>
              <w:rPr>
                <w:rFonts w:ascii="宋体" w:eastAsia="宋体" w:hAnsi="宋体" w:cs="宋体"/>
                <w:sz w:val="18"/>
                <w:szCs w:val="18"/>
              </w:rPr>
              <w:t>江苏新扬子造船有限公司</w:t>
            </w:r>
          </w:p>
        </w:tc>
        <w:tc>
          <w:tcPr>
            <w:tcW w:w="68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95C3B3B" w14:textId="77777777" w:rsidR="00514DEA" w:rsidRDefault="00514DEA">
            <w:pPr>
              <w:spacing w:line="240" w:lineRule="exact"/>
              <w:rPr>
                <w:rFonts w:ascii="宋体" w:eastAsia="宋体" w:hAnsi="宋体" w:cs="宋体" w:hint="eastAsia"/>
                <w:sz w:val="18"/>
                <w:szCs w:val="18"/>
              </w:rPr>
            </w:pPr>
            <w:r>
              <w:rPr>
                <w:rFonts w:ascii="宋体" w:eastAsia="宋体" w:hAnsi="宋体" w:cs="宋体"/>
                <w:sz w:val="18"/>
                <w:szCs w:val="18"/>
              </w:rPr>
              <w:t>过去十二个月内持有公司5%以上股份股东</w:t>
            </w:r>
          </w:p>
        </w:tc>
        <w:tc>
          <w:tcPr>
            <w:tcW w:w="68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2592CDC" w14:textId="77777777" w:rsidR="00514DEA" w:rsidRDefault="00514DEA">
            <w:pPr>
              <w:spacing w:line="240" w:lineRule="exact"/>
              <w:rPr>
                <w:rFonts w:ascii="宋体" w:eastAsia="宋体" w:hAnsi="宋体" w:cs="宋体" w:hint="eastAsia"/>
                <w:sz w:val="18"/>
                <w:szCs w:val="18"/>
              </w:rPr>
            </w:pPr>
            <w:r>
              <w:rPr>
                <w:rFonts w:ascii="宋体" w:eastAsia="宋体" w:hAnsi="宋体" w:cs="宋体"/>
                <w:sz w:val="18"/>
                <w:szCs w:val="18"/>
              </w:rPr>
              <w:t>向关联人销售商品</w:t>
            </w:r>
          </w:p>
        </w:tc>
        <w:tc>
          <w:tcPr>
            <w:tcW w:w="68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21AD95F" w14:textId="77777777" w:rsidR="00514DEA" w:rsidRDefault="00514DEA">
            <w:pPr>
              <w:spacing w:line="240" w:lineRule="exact"/>
              <w:rPr>
                <w:rFonts w:ascii="宋体" w:eastAsia="宋体" w:hAnsi="宋体" w:cs="宋体" w:hint="eastAsia"/>
                <w:sz w:val="18"/>
                <w:szCs w:val="18"/>
              </w:rPr>
            </w:pPr>
            <w:r>
              <w:rPr>
                <w:rFonts w:ascii="宋体" w:eastAsia="宋体" w:hAnsi="宋体" w:cs="宋体"/>
                <w:sz w:val="18"/>
                <w:szCs w:val="18"/>
              </w:rPr>
              <w:t>船缆产品</w:t>
            </w:r>
          </w:p>
        </w:tc>
        <w:tc>
          <w:tcPr>
            <w:tcW w:w="689" w:type="dxa"/>
            <w:vMerge/>
            <w:tcBorders>
              <w:left w:val="single" w:sz="2" w:space="0" w:color="auto"/>
              <w:right w:val="single" w:sz="2" w:space="0" w:color="auto"/>
            </w:tcBorders>
            <w:shd w:val="clear" w:color="auto" w:fill="FFFFFF" w:themeFill="background1"/>
            <w:vAlign w:val="center"/>
          </w:tcPr>
          <w:p w14:paraId="3B120F9E" w14:textId="1D02FE85" w:rsidR="00514DEA" w:rsidRDefault="00514DEA" w:rsidP="005426EF">
            <w:pPr>
              <w:spacing w:line="240" w:lineRule="exact"/>
              <w:rPr>
                <w:rFonts w:ascii="宋体" w:eastAsia="宋体" w:hAnsi="宋体" w:cs="宋体" w:hint="eastAsia"/>
                <w:sz w:val="18"/>
                <w:szCs w:val="18"/>
              </w:rPr>
            </w:pPr>
          </w:p>
        </w:tc>
        <w:tc>
          <w:tcPr>
            <w:tcW w:w="68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EEDEEC6" w14:textId="77777777" w:rsidR="00514DEA" w:rsidRDefault="00514DEA">
            <w:pPr>
              <w:spacing w:line="240" w:lineRule="exact"/>
              <w:rPr>
                <w:rFonts w:ascii="宋体" w:eastAsia="宋体" w:hAnsi="宋体" w:cs="宋体" w:hint="eastAsia"/>
                <w:sz w:val="18"/>
                <w:szCs w:val="18"/>
              </w:rPr>
            </w:pPr>
            <w:r>
              <w:rPr>
                <w:rFonts w:ascii="宋体" w:eastAsia="宋体" w:hAnsi="宋体" w:cs="宋体"/>
                <w:sz w:val="18"/>
                <w:szCs w:val="18"/>
              </w:rPr>
              <w:t>市场价格</w:t>
            </w:r>
          </w:p>
        </w:tc>
        <w:tc>
          <w:tcPr>
            <w:tcW w:w="85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8EDFB9E" w14:textId="77777777" w:rsidR="00514DEA" w:rsidRDefault="00514DEA">
            <w:pPr>
              <w:spacing w:line="240" w:lineRule="exact"/>
              <w:jc w:val="right"/>
              <w:rPr>
                <w:rFonts w:ascii="宋体" w:eastAsia="宋体" w:hAnsi="宋体" w:cs="宋体" w:hint="eastAsia"/>
                <w:sz w:val="18"/>
                <w:szCs w:val="18"/>
              </w:rPr>
            </w:pPr>
            <w:r>
              <w:rPr>
                <w:rFonts w:ascii="宋体" w:eastAsia="宋体" w:hAnsi="宋体" w:cs="宋体"/>
                <w:sz w:val="18"/>
                <w:szCs w:val="18"/>
              </w:rPr>
              <w:t>0.19</w:t>
            </w:r>
          </w:p>
        </w:tc>
        <w:tc>
          <w:tcPr>
            <w:tcW w:w="8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CDAC67F" w14:textId="77777777" w:rsidR="00514DEA" w:rsidRDefault="00514DEA">
            <w:pPr>
              <w:spacing w:line="240" w:lineRule="exact"/>
              <w:jc w:val="right"/>
              <w:rPr>
                <w:rFonts w:ascii="宋体" w:eastAsia="宋体" w:hAnsi="宋体" w:cs="宋体" w:hint="eastAsia"/>
                <w:sz w:val="18"/>
                <w:szCs w:val="18"/>
              </w:rPr>
            </w:pPr>
            <w:r>
              <w:rPr>
                <w:rFonts w:ascii="宋体" w:eastAsia="宋体" w:hAnsi="宋体" w:cs="宋体"/>
                <w:sz w:val="18"/>
                <w:szCs w:val="18"/>
              </w:rPr>
              <w:t>0.10%</w:t>
            </w:r>
          </w:p>
        </w:tc>
        <w:tc>
          <w:tcPr>
            <w:tcW w:w="68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FFDD7C5" w14:textId="77777777" w:rsidR="00514DEA" w:rsidRDefault="00514DEA">
            <w:pPr>
              <w:spacing w:line="240" w:lineRule="exact"/>
              <w:jc w:val="right"/>
              <w:rPr>
                <w:rFonts w:ascii="宋体" w:eastAsia="宋体" w:hAnsi="宋体" w:cs="宋体" w:hint="eastAsia"/>
                <w:sz w:val="18"/>
                <w:szCs w:val="18"/>
              </w:rPr>
            </w:pPr>
            <w:r>
              <w:rPr>
                <w:rFonts w:ascii="宋体" w:eastAsia="宋体" w:hAnsi="宋体" w:cs="宋体"/>
                <w:sz w:val="18"/>
                <w:szCs w:val="18"/>
              </w:rPr>
              <w:t>200</w:t>
            </w:r>
          </w:p>
        </w:tc>
        <w:tc>
          <w:tcPr>
            <w:tcW w:w="68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84B6E1D" w14:textId="77777777" w:rsidR="00514DEA" w:rsidRDefault="00514DEA">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68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0CC4EAA" w14:textId="77777777" w:rsidR="00514DEA" w:rsidRDefault="00514DEA">
            <w:pPr>
              <w:spacing w:line="240" w:lineRule="exact"/>
              <w:rPr>
                <w:rFonts w:ascii="宋体" w:eastAsia="宋体" w:hAnsi="宋体" w:cs="宋体" w:hint="eastAsia"/>
                <w:sz w:val="18"/>
                <w:szCs w:val="18"/>
              </w:rPr>
            </w:pPr>
            <w:r>
              <w:rPr>
                <w:rFonts w:ascii="宋体" w:eastAsia="宋体" w:hAnsi="宋体" w:cs="宋体"/>
                <w:sz w:val="18"/>
                <w:szCs w:val="18"/>
              </w:rPr>
              <w:t>银行转账</w:t>
            </w:r>
          </w:p>
        </w:tc>
        <w:tc>
          <w:tcPr>
            <w:tcW w:w="68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8F29A77" w14:textId="77777777" w:rsidR="00514DEA" w:rsidRDefault="00514DEA">
            <w:pPr>
              <w:spacing w:line="240" w:lineRule="exact"/>
              <w:rPr>
                <w:rFonts w:ascii="宋体" w:eastAsia="宋体" w:hAnsi="宋体" w:cs="宋体" w:hint="eastAsia"/>
                <w:sz w:val="18"/>
                <w:szCs w:val="18"/>
              </w:rPr>
            </w:pPr>
            <w:r>
              <w:rPr>
                <w:rFonts w:ascii="宋体" w:eastAsia="宋体" w:hAnsi="宋体" w:cs="宋体"/>
                <w:sz w:val="18"/>
                <w:szCs w:val="18"/>
              </w:rPr>
              <w:t>依据市场价格确定</w:t>
            </w:r>
          </w:p>
        </w:tc>
        <w:tc>
          <w:tcPr>
            <w:tcW w:w="68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E1C7E60" w14:textId="77777777" w:rsidR="00514DEA" w:rsidRDefault="00514DEA">
            <w:pPr>
              <w:spacing w:line="240" w:lineRule="exact"/>
              <w:rPr>
                <w:rFonts w:ascii="宋体" w:eastAsia="宋体" w:hAnsi="宋体" w:cs="宋体" w:hint="eastAsia"/>
                <w:sz w:val="18"/>
                <w:szCs w:val="18"/>
              </w:rPr>
            </w:pPr>
            <w:r>
              <w:rPr>
                <w:rFonts w:ascii="宋体" w:eastAsia="宋体" w:hAnsi="宋体" w:cs="宋体"/>
                <w:sz w:val="18"/>
                <w:szCs w:val="18"/>
              </w:rPr>
              <w:t>2025年04月22日</w:t>
            </w:r>
          </w:p>
        </w:tc>
        <w:tc>
          <w:tcPr>
            <w:tcW w:w="68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6291D17" w14:textId="77777777" w:rsidR="00514DEA" w:rsidRDefault="00514DEA">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514DEA" w14:paraId="620D2F13" w14:textId="77777777" w:rsidTr="005426EF">
        <w:trPr>
          <w:gridAfter w:val="1"/>
          <w:wAfter w:w="15" w:type="dxa"/>
          <w:trHeight w:val="240"/>
        </w:trPr>
        <w:tc>
          <w:tcPr>
            <w:tcW w:w="68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D6642F1" w14:textId="77777777" w:rsidR="00514DEA" w:rsidRDefault="00514DEA">
            <w:pPr>
              <w:spacing w:line="240" w:lineRule="exact"/>
              <w:rPr>
                <w:rFonts w:ascii="宋体" w:eastAsia="宋体" w:hAnsi="宋体" w:cs="宋体" w:hint="eastAsia"/>
                <w:sz w:val="18"/>
                <w:szCs w:val="18"/>
              </w:rPr>
            </w:pPr>
            <w:r>
              <w:rPr>
                <w:rFonts w:ascii="宋体" w:eastAsia="宋体" w:hAnsi="宋体" w:cs="宋体"/>
                <w:sz w:val="18"/>
                <w:szCs w:val="18"/>
              </w:rPr>
              <w:t>山东中能技术有限公司</w:t>
            </w:r>
          </w:p>
        </w:tc>
        <w:tc>
          <w:tcPr>
            <w:tcW w:w="68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722F270" w14:textId="77777777" w:rsidR="00514DEA" w:rsidRDefault="00514DEA">
            <w:pPr>
              <w:spacing w:line="240" w:lineRule="exact"/>
              <w:rPr>
                <w:rFonts w:ascii="宋体" w:eastAsia="宋体" w:hAnsi="宋体" w:cs="宋体" w:hint="eastAsia"/>
                <w:sz w:val="18"/>
                <w:szCs w:val="18"/>
              </w:rPr>
            </w:pPr>
            <w:r>
              <w:rPr>
                <w:rFonts w:ascii="宋体" w:eastAsia="宋体" w:hAnsi="宋体" w:cs="宋体"/>
                <w:sz w:val="18"/>
                <w:szCs w:val="18"/>
              </w:rPr>
              <w:t>原实际控制人控制的企业</w:t>
            </w:r>
          </w:p>
        </w:tc>
        <w:tc>
          <w:tcPr>
            <w:tcW w:w="68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2BB9931" w14:textId="77777777" w:rsidR="00514DEA" w:rsidRDefault="00514DEA">
            <w:pPr>
              <w:spacing w:line="240" w:lineRule="exact"/>
              <w:rPr>
                <w:rFonts w:ascii="宋体" w:eastAsia="宋体" w:hAnsi="宋体" w:cs="宋体" w:hint="eastAsia"/>
                <w:sz w:val="18"/>
                <w:szCs w:val="18"/>
              </w:rPr>
            </w:pPr>
            <w:r>
              <w:rPr>
                <w:rFonts w:ascii="宋体" w:eastAsia="宋体" w:hAnsi="宋体" w:cs="宋体"/>
                <w:sz w:val="18"/>
                <w:szCs w:val="18"/>
              </w:rPr>
              <w:t>向关联人采购商品</w:t>
            </w:r>
          </w:p>
        </w:tc>
        <w:tc>
          <w:tcPr>
            <w:tcW w:w="68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1F0B2DC" w14:textId="77777777" w:rsidR="00514DEA" w:rsidRDefault="00514DEA">
            <w:pPr>
              <w:spacing w:line="240" w:lineRule="exact"/>
              <w:rPr>
                <w:rFonts w:ascii="宋体" w:eastAsia="宋体" w:hAnsi="宋体" w:cs="宋体" w:hint="eastAsia"/>
                <w:sz w:val="18"/>
                <w:szCs w:val="18"/>
              </w:rPr>
            </w:pPr>
            <w:r>
              <w:rPr>
                <w:rFonts w:ascii="宋体" w:eastAsia="宋体" w:hAnsi="宋体" w:cs="宋体"/>
                <w:sz w:val="18"/>
                <w:szCs w:val="18"/>
              </w:rPr>
              <w:t>光伏接线盒</w:t>
            </w:r>
          </w:p>
        </w:tc>
        <w:tc>
          <w:tcPr>
            <w:tcW w:w="689" w:type="dxa"/>
            <w:vMerge/>
            <w:tcBorders>
              <w:left w:val="single" w:sz="2" w:space="0" w:color="auto"/>
              <w:bottom w:val="single" w:sz="2" w:space="0" w:color="auto"/>
              <w:right w:val="single" w:sz="2" w:space="0" w:color="auto"/>
            </w:tcBorders>
            <w:shd w:val="clear" w:color="auto" w:fill="FFFFFF" w:themeFill="background1"/>
            <w:vAlign w:val="center"/>
          </w:tcPr>
          <w:p w14:paraId="7A0A7564" w14:textId="67F3EDDC" w:rsidR="00514DEA" w:rsidRDefault="00514DEA">
            <w:pPr>
              <w:spacing w:line="240" w:lineRule="exact"/>
              <w:rPr>
                <w:rFonts w:ascii="宋体" w:eastAsia="宋体" w:hAnsi="宋体" w:cs="宋体" w:hint="eastAsia"/>
                <w:sz w:val="18"/>
                <w:szCs w:val="18"/>
              </w:rPr>
            </w:pPr>
          </w:p>
        </w:tc>
        <w:tc>
          <w:tcPr>
            <w:tcW w:w="68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E466480" w14:textId="77777777" w:rsidR="00514DEA" w:rsidRDefault="00514DEA">
            <w:pPr>
              <w:spacing w:line="240" w:lineRule="exact"/>
              <w:rPr>
                <w:rFonts w:ascii="宋体" w:eastAsia="宋体" w:hAnsi="宋体" w:cs="宋体" w:hint="eastAsia"/>
                <w:sz w:val="18"/>
                <w:szCs w:val="18"/>
              </w:rPr>
            </w:pPr>
            <w:r>
              <w:rPr>
                <w:rFonts w:ascii="宋体" w:eastAsia="宋体" w:hAnsi="宋体" w:cs="宋体"/>
                <w:sz w:val="18"/>
                <w:szCs w:val="18"/>
              </w:rPr>
              <w:t>市场价格</w:t>
            </w:r>
          </w:p>
        </w:tc>
        <w:tc>
          <w:tcPr>
            <w:tcW w:w="85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D8A8758" w14:textId="77777777" w:rsidR="00514DEA" w:rsidRDefault="00514DEA">
            <w:pPr>
              <w:spacing w:line="240" w:lineRule="exact"/>
              <w:jc w:val="right"/>
              <w:rPr>
                <w:rFonts w:ascii="宋体" w:eastAsia="宋体" w:hAnsi="宋体" w:cs="宋体" w:hint="eastAsia"/>
                <w:sz w:val="18"/>
                <w:szCs w:val="18"/>
              </w:rPr>
            </w:pPr>
            <w:r>
              <w:rPr>
                <w:rFonts w:ascii="宋体" w:eastAsia="宋体" w:hAnsi="宋体" w:cs="宋体"/>
                <w:sz w:val="18"/>
                <w:szCs w:val="18"/>
              </w:rPr>
              <w:t>0.53</w:t>
            </w:r>
          </w:p>
        </w:tc>
        <w:tc>
          <w:tcPr>
            <w:tcW w:w="8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6773D1E" w14:textId="77777777" w:rsidR="00514DEA" w:rsidRDefault="00514DEA">
            <w:pPr>
              <w:spacing w:line="240" w:lineRule="exact"/>
              <w:jc w:val="right"/>
              <w:rPr>
                <w:rFonts w:ascii="宋体" w:eastAsia="宋体" w:hAnsi="宋体" w:cs="宋体" w:hint="eastAsia"/>
                <w:sz w:val="18"/>
                <w:szCs w:val="18"/>
              </w:rPr>
            </w:pPr>
            <w:r>
              <w:rPr>
                <w:rFonts w:ascii="宋体" w:eastAsia="宋体" w:hAnsi="宋体" w:cs="宋体"/>
                <w:sz w:val="18"/>
                <w:szCs w:val="18"/>
              </w:rPr>
              <w:t>0.28%</w:t>
            </w:r>
          </w:p>
        </w:tc>
        <w:tc>
          <w:tcPr>
            <w:tcW w:w="68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770955E" w14:textId="77777777" w:rsidR="00514DEA" w:rsidRDefault="00514DEA">
            <w:pPr>
              <w:spacing w:line="240" w:lineRule="exact"/>
              <w:jc w:val="right"/>
              <w:rPr>
                <w:rFonts w:ascii="宋体" w:eastAsia="宋体" w:hAnsi="宋体" w:cs="宋体" w:hint="eastAsia"/>
                <w:sz w:val="18"/>
                <w:szCs w:val="18"/>
              </w:rPr>
            </w:pPr>
            <w:r>
              <w:rPr>
                <w:rFonts w:ascii="宋体" w:eastAsia="宋体" w:hAnsi="宋体" w:cs="宋体"/>
                <w:sz w:val="18"/>
                <w:szCs w:val="18"/>
              </w:rPr>
              <w:t>160</w:t>
            </w:r>
          </w:p>
        </w:tc>
        <w:tc>
          <w:tcPr>
            <w:tcW w:w="68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51F1F87" w14:textId="77777777" w:rsidR="00514DEA" w:rsidRDefault="00514DEA">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68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609327E" w14:textId="77777777" w:rsidR="00514DEA" w:rsidRDefault="00514DEA">
            <w:pPr>
              <w:spacing w:line="240" w:lineRule="exact"/>
              <w:rPr>
                <w:rFonts w:ascii="宋体" w:eastAsia="宋体" w:hAnsi="宋体" w:cs="宋体" w:hint="eastAsia"/>
                <w:sz w:val="18"/>
                <w:szCs w:val="18"/>
              </w:rPr>
            </w:pPr>
            <w:r>
              <w:rPr>
                <w:rFonts w:ascii="宋体" w:eastAsia="宋体" w:hAnsi="宋体" w:cs="宋体"/>
                <w:sz w:val="18"/>
                <w:szCs w:val="18"/>
              </w:rPr>
              <w:t>银行转账</w:t>
            </w:r>
          </w:p>
        </w:tc>
        <w:tc>
          <w:tcPr>
            <w:tcW w:w="68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9E2EB50" w14:textId="77777777" w:rsidR="00514DEA" w:rsidRDefault="00514DEA">
            <w:pPr>
              <w:spacing w:line="240" w:lineRule="exact"/>
              <w:rPr>
                <w:rFonts w:ascii="宋体" w:eastAsia="宋体" w:hAnsi="宋体" w:cs="宋体" w:hint="eastAsia"/>
                <w:sz w:val="18"/>
                <w:szCs w:val="18"/>
              </w:rPr>
            </w:pPr>
            <w:r>
              <w:rPr>
                <w:rFonts w:ascii="宋体" w:eastAsia="宋体" w:hAnsi="宋体" w:cs="宋体"/>
                <w:sz w:val="18"/>
                <w:szCs w:val="18"/>
              </w:rPr>
              <w:t>依据市场价格确定</w:t>
            </w:r>
          </w:p>
        </w:tc>
        <w:tc>
          <w:tcPr>
            <w:tcW w:w="68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169FFE0" w14:textId="77777777" w:rsidR="00514DEA" w:rsidRDefault="00514DEA">
            <w:pPr>
              <w:spacing w:line="240" w:lineRule="exact"/>
              <w:rPr>
                <w:rFonts w:ascii="宋体" w:eastAsia="宋体" w:hAnsi="宋体" w:cs="宋体" w:hint="eastAsia"/>
                <w:sz w:val="18"/>
                <w:szCs w:val="18"/>
              </w:rPr>
            </w:pPr>
            <w:r>
              <w:rPr>
                <w:rFonts w:ascii="宋体" w:eastAsia="宋体" w:hAnsi="宋体" w:cs="宋体"/>
                <w:sz w:val="18"/>
                <w:szCs w:val="18"/>
              </w:rPr>
              <w:t>2025年04月22日</w:t>
            </w:r>
          </w:p>
        </w:tc>
        <w:tc>
          <w:tcPr>
            <w:tcW w:w="68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A8A2DD6" w14:textId="77777777" w:rsidR="00514DEA" w:rsidRDefault="00514DEA">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632E5B" w14:paraId="54525C7D" w14:textId="77777777" w:rsidTr="00514DEA">
        <w:trPr>
          <w:gridAfter w:val="1"/>
          <w:wAfter w:w="15" w:type="dxa"/>
          <w:trHeight w:val="240"/>
        </w:trPr>
        <w:tc>
          <w:tcPr>
            <w:tcW w:w="2756"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ED3DEEB"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68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11BB03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E45105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85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A8FCC7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186.24</w:t>
            </w:r>
          </w:p>
        </w:tc>
        <w:tc>
          <w:tcPr>
            <w:tcW w:w="8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9A2DCC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68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7FD5E7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561</w:t>
            </w:r>
          </w:p>
        </w:tc>
        <w:tc>
          <w:tcPr>
            <w:tcW w:w="68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E1DEBB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68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CE7FE2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68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B0E0CF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68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515122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68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46791D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r>
      <w:tr w:rsidR="00632E5B" w14:paraId="6CBA5BF7" w14:textId="77777777" w:rsidTr="00514DEA">
        <w:trPr>
          <w:trHeight w:val="240"/>
        </w:trPr>
        <w:tc>
          <w:tcPr>
            <w:tcW w:w="2756"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6B30584"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大额销货退回的详细情况</w:t>
            </w:r>
          </w:p>
        </w:tc>
        <w:tc>
          <w:tcPr>
            <w:tcW w:w="7230" w:type="dxa"/>
            <w:gridSpan w:val="11"/>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CE79E8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32E5B" w14:paraId="719612DD" w14:textId="77777777" w:rsidTr="00514DEA">
        <w:trPr>
          <w:trHeight w:val="240"/>
        </w:trPr>
        <w:tc>
          <w:tcPr>
            <w:tcW w:w="2756"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466FD47"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按类别对本期将发生的日常关联交易进行总金额预计的，在报告期内的实际履行情况（如有）</w:t>
            </w:r>
          </w:p>
        </w:tc>
        <w:tc>
          <w:tcPr>
            <w:tcW w:w="7230" w:type="dxa"/>
            <w:gridSpan w:val="11"/>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E0F720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日常关联交易预计是前期基于以往业务开展情况和市场需求进行的初步判断，2024年公司处于重整期间，与关联方开展业务未达预期，因此预计与实际发生情况存在较大的差异。</w:t>
            </w:r>
          </w:p>
        </w:tc>
      </w:tr>
      <w:tr w:rsidR="00632E5B" w14:paraId="41F506EA" w14:textId="77777777" w:rsidTr="00514DEA">
        <w:trPr>
          <w:trHeight w:val="240"/>
        </w:trPr>
        <w:tc>
          <w:tcPr>
            <w:tcW w:w="2756"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55E9B74"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交易价格与市场参考价格差异较大的原因（如适用）</w:t>
            </w:r>
          </w:p>
        </w:tc>
        <w:tc>
          <w:tcPr>
            <w:tcW w:w="7230" w:type="dxa"/>
            <w:gridSpan w:val="11"/>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97E6BA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同上</w:t>
            </w:r>
          </w:p>
        </w:tc>
      </w:tr>
    </w:tbl>
    <w:p w14:paraId="701714A6" w14:textId="77777777" w:rsidR="00632E5B" w:rsidRDefault="00107901">
      <w:pPr>
        <w:pStyle w:val="3"/>
        <w:spacing w:line="280" w:lineRule="exact"/>
        <w:jc w:val="left"/>
        <w:rPr>
          <w:rFonts w:ascii="宋体" w:hAnsi="宋体" w:cs="宋体" w:hint="eastAsia"/>
          <w:b/>
          <w:bCs/>
        </w:rPr>
      </w:pPr>
      <w:bookmarkStart w:id="111" w:name="_Toc989000"/>
      <w:r>
        <w:rPr>
          <w:rFonts w:ascii="宋体" w:hAnsi="宋体" w:cs="宋体"/>
          <w:b/>
          <w:bCs/>
        </w:rPr>
        <w:lastRenderedPageBreak/>
        <w:t>2、资产或股权收购、出售发生的关联交易</w:t>
      </w:r>
      <w:bookmarkEnd w:id="111"/>
    </w:p>
    <w:p w14:paraId="408015BF"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0CCF1A87"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公司报告期未发生资产或股权收购、出售的关联交易。</w:t>
      </w:r>
    </w:p>
    <w:p w14:paraId="0039743B" w14:textId="77777777" w:rsidR="00632E5B" w:rsidRDefault="00107901">
      <w:pPr>
        <w:pStyle w:val="3"/>
        <w:spacing w:line="280" w:lineRule="exact"/>
        <w:jc w:val="left"/>
        <w:rPr>
          <w:rFonts w:ascii="宋体" w:hAnsi="宋体" w:cs="宋体" w:hint="eastAsia"/>
          <w:b/>
          <w:bCs/>
        </w:rPr>
      </w:pPr>
      <w:bookmarkStart w:id="112" w:name="_Toc989001"/>
      <w:r>
        <w:rPr>
          <w:rFonts w:ascii="宋体" w:hAnsi="宋体" w:cs="宋体"/>
          <w:b/>
          <w:bCs/>
        </w:rPr>
        <w:t>3、共同对外投资的关联交易</w:t>
      </w:r>
      <w:bookmarkEnd w:id="112"/>
    </w:p>
    <w:p w14:paraId="372C9DFA"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5B54F8C"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公司报告期未发生共同对外投资的关联交易。</w:t>
      </w:r>
    </w:p>
    <w:p w14:paraId="57B979E9" w14:textId="77777777" w:rsidR="00632E5B" w:rsidRDefault="00107901">
      <w:pPr>
        <w:pStyle w:val="3"/>
        <w:spacing w:line="280" w:lineRule="exact"/>
        <w:jc w:val="left"/>
        <w:rPr>
          <w:rFonts w:ascii="宋体" w:hAnsi="宋体" w:cs="宋体" w:hint="eastAsia"/>
          <w:b/>
          <w:bCs/>
        </w:rPr>
      </w:pPr>
      <w:bookmarkStart w:id="113" w:name="_Toc989002"/>
      <w:r>
        <w:rPr>
          <w:rFonts w:ascii="宋体" w:hAnsi="宋体" w:cs="宋体"/>
          <w:b/>
          <w:bCs/>
        </w:rPr>
        <w:t>4、关联债权债务往来</w:t>
      </w:r>
      <w:bookmarkEnd w:id="113"/>
    </w:p>
    <w:p w14:paraId="0186C780"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2AA02389"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是否存在非经营性关联债权债务往来</w:t>
      </w:r>
    </w:p>
    <w:p w14:paraId="5C8014C9"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14:paraId="38AA5C71"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应收关联方债权</w:t>
      </w:r>
    </w:p>
    <w:tbl>
      <w:tblPr>
        <w:tblW w:w="981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963"/>
        <w:gridCol w:w="964"/>
        <w:gridCol w:w="964"/>
        <w:gridCol w:w="964"/>
        <w:gridCol w:w="1137"/>
        <w:gridCol w:w="964"/>
        <w:gridCol w:w="1163"/>
        <w:gridCol w:w="850"/>
        <w:gridCol w:w="992"/>
        <w:gridCol w:w="851"/>
      </w:tblGrid>
      <w:tr w:rsidR="00632E5B" w14:paraId="7A8988D3" w14:textId="77777777" w:rsidTr="00E77829">
        <w:trPr>
          <w:trHeight w:val="240"/>
          <w:jc w:val="center"/>
        </w:trPr>
        <w:tc>
          <w:tcPr>
            <w:tcW w:w="963" w:type="dxa"/>
            <w:shd w:val="clear" w:color="auto" w:fill="FFFFFF" w:themeFill="background1"/>
            <w:vAlign w:val="center"/>
          </w:tcPr>
          <w:p w14:paraId="7AA92F1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关联方</w:t>
            </w:r>
          </w:p>
        </w:tc>
        <w:tc>
          <w:tcPr>
            <w:tcW w:w="964" w:type="dxa"/>
            <w:shd w:val="clear" w:color="auto" w:fill="FFFFFF" w:themeFill="background1"/>
            <w:vAlign w:val="center"/>
          </w:tcPr>
          <w:p w14:paraId="47818A7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关联关系</w:t>
            </w:r>
          </w:p>
        </w:tc>
        <w:tc>
          <w:tcPr>
            <w:tcW w:w="964" w:type="dxa"/>
            <w:shd w:val="clear" w:color="auto" w:fill="FFFFFF" w:themeFill="background1"/>
            <w:vAlign w:val="center"/>
          </w:tcPr>
          <w:p w14:paraId="4FA98E6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形成原因</w:t>
            </w:r>
          </w:p>
        </w:tc>
        <w:tc>
          <w:tcPr>
            <w:tcW w:w="964" w:type="dxa"/>
            <w:shd w:val="clear" w:color="auto" w:fill="FFFFFF" w:themeFill="background1"/>
            <w:vAlign w:val="center"/>
          </w:tcPr>
          <w:p w14:paraId="36C8245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是否存在非经营性资金占用</w:t>
            </w:r>
          </w:p>
        </w:tc>
        <w:tc>
          <w:tcPr>
            <w:tcW w:w="1137" w:type="dxa"/>
            <w:shd w:val="clear" w:color="auto" w:fill="FFFFFF" w:themeFill="background1"/>
            <w:vAlign w:val="center"/>
          </w:tcPr>
          <w:p w14:paraId="3725DB5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期初余额（万元）</w:t>
            </w:r>
          </w:p>
        </w:tc>
        <w:tc>
          <w:tcPr>
            <w:tcW w:w="964" w:type="dxa"/>
            <w:shd w:val="clear" w:color="auto" w:fill="FFFFFF" w:themeFill="background1"/>
            <w:vAlign w:val="center"/>
          </w:tcPr>
          <w:p w14:paraId="425B8C7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本期新增金额（万元）</w:t>
            </w:r>
          </w:p>
        </w:tc>
        <w:tc>
          <w:tcPr>
            <w:tcW w:w="1163" w:type="dxa"/>
            <w:shd w:val="clear" w:color="auto" w:fill="FFFFFF" w:themeFill="background1"/>
            <w:vAlign w:val="center"/>
          </w:tcPr>
          <w:p w14:paraId="4D297DF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本期收回金额（万元）</w:t>
            </w:r>
          </w:p>
        </w:tc>
        <w:tc>
          <w:tcPr>
            <w:tcW w:w="850" w:type="dxa"/>
            <w:shd w:val="clear" w:color="auto" w:fill="FFFFFF" w:themeFill="background1"/>
            <w:vAlign w:val="center"/>
          </w:tcPr>
          <w:p w14:paraId="4BD31FF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利率</w:t>
            </w:r>
          </w:p>
        </w:tc>
        <w:tc>
          <w:tcPr>
            <w:tcW w:w="992" w:type="dxa"/>
            <w:shd w:val="clear" w:color="auto" w:fill="FFFFFF" w:themeFill="background1"/>
            <w:vAlign w:val="center"/>
          </w:tcPr>
          <w:p w14:paraId="7D7D098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本期利息（万元）</w:t>
            </w:r>
          </w:p>
        </w:tc>
        <w:tc>
          <w:tcPr>
            <w:tcW w:w="851" w:type="dxa"/>
            <w:shd w:val="clear" w:color="auto" w:fill="FFFFFF" w:themeFill="background1"/>
            <w:vAlign w:val="center"/>
          </w:tcPr>
          <w:p w14:paraId="40E3B45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期末余额（万元）</w:t>
            </w:r>
          </w:p>
        </w:tc>
      </w:tr>
      <w:tr w:rsidR="00632E5B" w14:paraId="6215D604" w14:textId="77777777" w:rsidTr="00E77829">
        <w:trPr>
          <w:trHeight w:val="240"/>
          <w:jc w:val="center"/>
        </w:trPr>
        <w:tc>
          <w:tcPr>
            <w:tcW w:w="963" w:type="dxa"/>
            <w:shd w:val="clear" w:color="auto" w:fill="FFFFFF" w:themeFill="background1"/>
            <w:vAlign w:val="center"/>
          </w:tcPr>
          <w:p w14:paraId="0952FB1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王柏兴</w:t>
            </w:r>
          </w:p>
        </w:tc>
        <w:tc>
          <w:tcPr>
            <w:tcW w:w="964" w:type="dxa"/>
            <w:shd w:val="clear" w:color="auto" w:fill="FFFFFF" w:themeFill="background1"/>
            <w:vAlign w:val="center"/>
          </w:tcPr>
          <w:p w14:paraId="4F7785A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原控股股东</w:t>
            </w:r>
          </w:p>
        </w:tc>
        <w:tc>
          <w:tcPr>
            <w:tcW w:w="964" w:type="dxa"/>
            <w:shd w:val="clear" w:color="auto" w:fill="FFFFFF" w:themeFill="background1"/>
            <w:vAlign w:val="center"/>
          </w:tcPr>
          <w:p w14:paraId="37506CB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非经营性资金占用</w:t>
            </w:r>
          </w:p>
        </w:tc>
        <w:tc>
          <w:tcPr>
            <w:tcW w:w="964" w:type="dxa"/>
            <w:shd w:val="clear" w:color="auto" w:fill="FFFFFF" w:themeFill="background1"/>
            <w:vAlign w:val="center"/>
          </w:tcPr>
          <w:p w14:paraId="236819D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1137" w:type="dxa"/>
            <w:shd w:val="clear" w:color="auto" w:fill="FFFFFF" w:themeFill="background1"/>
            <w:vAlign w:val="center"/>
          </w:tcPr>
          <w:p w14:paraId="6BB38FF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5,530</w:t>
            </w:r>
          </w:p>
        </w:tc>
        <w:tc>
          <w:tcPr>
            <w:tcW w:w="964" w:type="dxa"/>
            <w:shd w:val="clear" w:color="auto" w:fill="FFFFFF" w:themeFill="background1"/>
            <w:vAlign w:val="center"/>
          </w:tcPr>
          <w:p w14:paraId="62A6C82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163" w:type="dxa"/>
            <w:shd w:val="clear" w:color="auto" w:fill="FFFFFF" w:themeFill="background1"/>
            <w:vAlign w:val="center"/>
          </w:tcPr>
          <w:p w14:paraId="335A514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5,530</w:t>
            </w:r>
          </w:p>
        </w:tc>
        <w:tc>
          <w:tcPr>
            <w:tcW w:w="850" w:type="dxa"/>
            <w:shd w:val="clear" w:color="auto" w:fill="FFFFFF" w:themeFill="background1"/>
            <w:vAlign w:val="center"/>
          </w:tcPr>
          <w:p w14:paraId="2AECA5A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992" w:type="dxa"/>
            <w:shd w:val="clear" w:color="auto" w:fill="FFFFFF" w:themeFill="background1"/>
            <w:vAlign w:val="center"/>
          </w:tcPr>
          <w:p w14:paraId="539AB1A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851" w:type="dxa"/>
            <w:shd w:val="clear" w:color="auto" w:fill="FFFFFF" w:themeFill="background1"/>
            <w:vAlign w:val="center"/>
          </w:tcPr>
          <w:p w14:paraId="709D6AC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632E5B" w14:paraId="4323DBF0" w14:textId="77777777" w:rsidTr="00E77829">
        <w:trPr>
          <w:trHeight w:val="240"/>
          <w:jc w:val="center"/>
        </w:trPr>
        <w:tc>
          <w:tcPr>
            <w:tcW w:w="963" w:type="dxa"/>
            <w:shd w:val="clear" w:color="auto" w:fill="FFFFFF" w:themeFill="background1"/>
            <w:vAlign w:val="center"/>
          </w:tcPr>
          <w:p w14:paraId="7AC0382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江苏中利控股集团有限公司</w:t>
            </w:r>
          </w:p>
        </w:tc>
        <w:tc>
          <w:tcPr>
            <w:tcW w:w="964" w:type="dxa"/>
            <w:shd w:val="clear" w:color="auto" w:fill="FFFFFF" w:themeFill="background1"/>
            <w:vAlign w:val="center"/>
          </w:tcPr>
          <w:p w14:paraId="3B38500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原控股股东关联方</w:t>
            </w:r>
          </w:p>
        </w:tc>
        <w:tc>
          <w:tcPr>
            <w:tcW w:w="964" w:type="dxa"/>
            <w:shd w:val="clear" w:color="auto" w:fill="FFFFFF" w:themeFill="background1"/>
            <w:vAlign w:val="center"/>
          </w:tcPr>
          <w:p w14:paraId="7A62ADD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非经营性资金占用</w:t>
            </w:r>
          </w:p>
        </w:tc>
        <w:tc>
          <w:tcPr>
            <w:tcW w:w="964" w:type="dxa"/>
            <w:shd w:val="clear" w:color="auto" w:fill="FFFFFF" w:themeFill="background1"/>
            <w:vAlign w:val="center"/>
          </w:tcPr>
          <w:p w14:paraId="36B45C7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是</w:t>
            </w:r>
          </w:p>
        </w:tc>
        <w:tc>
          <w:tcPr>
            <w:tcW w:w="1137" w:type="dxa"/>
            <w:shd w:val="clear" w:color="auto" w:fill="FFFFFF" w:themeFill="background1"/>
            <w:vAlign w:val="center"/>
          </w:tcPr>
          <w:p w14:paraId="404BF3C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163,767.91</w:t>
            </w:r>
          </w:p>
        </w:tc>
        <w:tc>
          <w:tcPr>
            <w:tcW w:w="964" w:type="dxa"/>
            <w:shd w:val="clear" w:color="auto" w:fill="FFFFFF" w:themeFill="background1"/>
            <w:vAlign w:val="center"/>
          </w:tcPr>
          <w:p w14:paraId="3CD516F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163" w:type="dxa"/>
            <w:shd w:val="clear" w:color="auto" w:fill="FFFFFF" w:themeFill="background1"/>
            <w:vAlign w:val="center"/>
          </w:tcPr>
          <w:p w14:paraId="55DF594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163,767.91</w:t>
            </w:r>
          </w:p>
        </w:tc>
        <w:tc>
          <w:tcPr>
            <w:tcW w:w="850" w:type="dxa"/>
            <w:shd w:val="clear" w:color="auto" w:fill="FFFFFF" w:themeFill="background1"/>
            <w:vAlign w:val="center"/>
          </w:tcPr>
          <w:p w14:paraId="7471A8B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992" w:type="dxa"/>
            <w:shd w:val="clear" w:color="auto" w:fill="FFFFFF" w:themeFill="background1"/>
            <w:vAlign w:val="center"/>
          </w:tcPr>
          <w:p w14:paraId="4761D10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851" w:type="dxa"/>
            <w:shd w:val="clear" w:color="auto" w:fill="FFFFFF" w:themeFill="background1"/>
            <w:vAlign w:val="center"/>
          </w:tcPr>
          <w:p w14:paraId="0E9D49C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632E5B" w14:paraId="5D5A8AB8" w14:textId="77777777" w:rsidTr="00E77829">
        <w:trPr>
          <w:trHeight w:val="240"/>
          <w:jc w:val="center"/>
        </w:trPr>
        <w:tc>
          <w:tcPr>
            <w:tcW w:w="1927" w:type="dxa"/>
            <w:gridSpan w:val="2"/>
            <w:shd w:val="clear" w:color="auto" w:fill="FFFFFF" w:themeFill="background1"/>
            <w:vAlign w:val="center"/>
          </w:tcPr>
          <w:p w14:paraId="51B96A11"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关联债权对公司经营成果及财务状况的影响</w:t>
            </w:r>
          </w:p>
        </w:tc>
        <w:tc>
          <w:tcPr>
            <w:tcW w:w="7885" w:type="dxa"/>
            <w:gridSpan w:val="8"/>
            <w:shd w:val="clear" w:color="auto" w:fill="FFFFFF" w:themeFill="background1"/>
            <w:vAlign w:val="center"/>
          </w:tcPr>
          <w:p w14:paraId="5126ECE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报告期内，关联债务通过破产重整已解决。本报告期计提相关信用减值1.84亿元，对公司2024年利润体现产生一定负面影响。</w:t>
            </w:r>
          </w:p>
        </w:tc>
      </w:tr>
    </w:tbl>
    <w:p w14:paraId="40060025" w14:textId="77777777" w:rsidR="00632E5B" w:rsidRDefault="00107901">
      <w:pPr>
        <w:pStyle w:val="3"/>
        <w:spacing w:line="280" w:lineRule="exact"/>
        <w:jc w:val="left"/>
        <w:rPr>
          <w:rFonts w:ascii="宋体" w:hAnsi="宋体" w:cs="宋体" w:hint="eastAsia"/>
          <w:b/>
          <w:bCs/>
        </w:rPr>
      </w:pPr>
      <w:bookmarkStart w:id="114" w:name="_Toc989003"/>
      <w:r>
        <w:rPr>
          <w:rFonts w:ascii="宋体" w:hAnsi="宋体" w:cs="宋体"/>
          <w:b/>
          <w:bCs/>
        </w:rPr>
        <w:t>5、与存在关联关系的财务公司的往来情况</w:t>
      </w:r>
      <w:bookmarkEnd w:id="114"/>
    </w:p>
    <w:p w14:paraId="414071A5"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6054977D"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公司与存在关联关系的财务公司与关联方之间不存在存款、贷款、授信或其他金融业务。</w:t>
      </w:r>
    </w:p>
    <w:p w14:paraId="28447A5E" w14:textId="77777777" w:rsidR="00632E5B" w:rsidRDefault="00107901">
      <w:pPr>
        <w:pStyle w:val="3"/>
        <w:spacing w:line="280" w:lineRule="exact"/>
        <w:jc w:val="left"/>
        <w:rPr>
          <w:rFonts w:ascii="宋体" w:hAnsi="宋体" w:cs="宋体" w:hint="eastAsia"/>
          <w:b/>
          <w:bCs/>
        </w:rPr>
      </w:pPr>
      <w:bookmarkStart w:id="115" w:name="_Toc989004"/>
      <w:r>
        <w:rPr>
          <w:rFonts w:ascii="宋体" w:hAnsi="宋体" w:cs="宋体"/>
          <w:b/>
          <w:bCs/>
        </w:rPr>
        <w:t>6、公司控股的财务公司与关联方的往来情况</w:t>
      </w:r>
      <w:bookmarkEnd w:id="115"/>
    </w:p>
    <w:p w14:paraId="66172776"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2151C65E"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公司控股的财务公司与关联方之间不存在存款、贷款、授信或其他金融业务。</w:t>
      </w:r>
    </w:p>
    <w:p w14:paraId="5933B839" w14:textId="77777777" w:rsidR="00632E5B" w:rsidRDefault="00107901">
      <w:pPr>
        <w:pStyle w:val="3"/>
        <w:spacing w:line="280" w:lineRule="exact"/>
        <w:jc w:val="left"/>
        <w:rPr>
          <w:rFonts w:ascii="宋体" w:hAnsi="宋体" w:cs="宋体" w:hint="eastAsia"/>
          <w:b/>
          <w:bCs/>
        </w:rPr>
      </w:pPr>
      <w:bookmarkStart w:id="116" w:name="_Toc989005"/>
      <w:r>
        <w:rPr>
          <w:rFonts w:ascii="宋体" w:hAnsi="宋体" w:cs="宋体"/>
          <w:b/>
          <w:bCs/>
        </w:rPr>
        <w:t>7、其他重大关联交易</w:t>
      </w:r>
      <w:bookmarkEnd w:id="116"/>
    </w:p>
    <w:p w14:paraId="302F45C3"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209428A0"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公司报告期无其他重大关联交易。</w:t>
      </w:r>
    </w:p>
    <w:p w14:paraId="6EE75358" w14:textId="77777777" w:rsidR="00632E5B" w:rsidRDefault="00107901">
      <w:pPr>
        <w:pStyle w:val="2"/>
        <w:spacing w:before="300" w:after="300" w:line="320" w:lineRule="exact"/>
        <w:rPr>
          <w:rFonts w:ascii="宋体" w:eastAsia="宋体" w:hAnsi="宋体" w:cs="宋体" w:hint="eastAsia"/>
          <w:b/>
          <w:bCs/>
          <w:sz w:val="24"/>
          <w:szCs w:val="24"/>
        </w:rPr>
      </w:pPr>
      <w:bookmarkStart w:id="117" w:name="_Toc989006"/>
      <w:r>
        <w:rPr>
          <w:rFonts w:ascii="宋体" w:eastAsia="宋体" w:hAnsi="宋体" w:cs="宋体"/>
          <w:b/>
          <w:bCs/>
          <w:sz w:val="24"/>
          <w:szCs w:val="24"/>
        </w:rPr>
        <w:lastRenderedPageBreak/>
        <w:t>十五、重大合同及其履行情况</w:t>
      </w:r>
      <w:bookmarkEnd w:id="117"/>
    </w:p>
    <w:p w14:paraId="3B755347" w14:textId="77777777" w:rsidR="00632E5B" w:rsidRDefault="00107901">
      <w:pPr>
        <w:pStyle w:val="3"/>
        <w:spacing w:line="280" w:lineRule="exact"/>
        <w:jc w:val="left"/>
        <w:rPr>
          <w:rFonts w:ascii="宋体" w:hAnsi="宋体" w:cs="宋体" w:hint="eastAsia"/>
          <w:b/>
          <w:bCs/>
        </w:rPr>
      </w:pPr>
      <w:bookmarkStart w:id="118" w:name="_Toc989007"/>
      <w:r>
        <w:rPr>
          <w:rFonts w:ascii="宋体" w:hAnsi="宋体" w:cs="宋体"/>
          <w:b/>
          <w:bCs/>
        </w:rPr>
        <w:t>1、托管、承包、租赁事项情况</w:t>
      </w:r>
      <w:bookmarkEnd w:id="118"/>
    </w:p>
    <w:p w14:paraId="1F088B75" w14:textId="77777777" w:rsidR="00632E5B" w:rsidRDefault="00107901">
      <w:pPr>
        <w:keepNext/>
        <w:keepLines/>
        <w:spacing w:before="300" w:after="300" w:line="280" w:lineRule="exact"/>
        <w:outlineLvl w:val="3"/>
        <w:rPr>
          <w:rFonts w:ascii="宋体" w:eastAsia="宋体" w:hAnsi="宋体" w:cs="宋体" w:hint="eastAsia"/>
          <w:b/>
          <w:bCs/>
          <w:sz w:val="18"/>
          <w:szCs w:val="18"/>
        </w:rPr>
      </w:pPr>
      <w:bookmarkStart w:id="119" w:name="_Toc989008"/>
      <w:r>
        <w:rPr>
          <w:rFonts w:ascii="宋体" w:eastAsia="宋体" w:hAnsi="宋体" w:cs="宋体"/>
          <w:b/>
          <w:bCs/>
          <w:sz w:val="18"/>
          <w:szCs w:val="18"/>
        </w:rPr>
        <w:t>（1） 托管情况</w:t>
      </w:r>
      <w:bookmarkEnd w:id="119"/>
    </w:p>
    <w:p w14:paraId="25DAD7FB"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579C6ECE"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公司报告期不存在托管情况。</w:t>
      </w:r>
    </w:p>
    <w:p w14:paraId="2753BEA3" w14:textId="77777777" w:rsidR="00632E5B" w:rsidRDefault="00107901">
      <w:pPr>
        <w:keepNext/>
        <w:keepLines/>
        <w:spacing w:before="300" w:after="300" w:line="280" w:lineRule="exact"/>
        <w:outlineLvl w:val="3"/>
        <w:rPr>
          <w:rFonts w:ascii="宋体" w:eastAsia="宋体" w:hAnsi="宋体" w:cs="宋体" w:hint="eastAsia"/>
          <w:b/>
          <w:bCs/>
          <w:sz w:val="18"/>
          <w:szCs w:val="18"/>
        </w:rPr>
      </w:pPr>
      <w:bookmarkStart w:id="120" w:name="_Toc989009"/>
      <w:r>
        <w:rPr>
          <w:rFonts w:ascii="宋体" w:eastAsia="宋体" w:hAnsi="宋体" w:cs="宋体"/>
          <w:b/>
          <w:bCs/>
          <w:sz w:val="18"/>
          <w:szCs w:val="18"/>
        </w:rPr>
        <w:t>（2） 承包情况</w:t>
      </w:r>
      <w:bookmarkEnd w:id="120"/>
    </w:p>
    <w:p w14:paraId="52C538F9"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327866A"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公司报告期不存在承包情况。</w:t>
      </w:r>
    </w:p>
    <w:p w14:paraId="4E5C882B" w14:textId="77777777" w:rsidR="00632E5B" w:rsidRDefault="00107901">
      <w:pPr>
        <w:keepNext/>
        <w:keepLines/>
        <w:spacing w:before="300" w:after="300" w:line="280" w:lineRule="exact"/>
        <w:outlineLvl w:val="3"/>
        <w:rPr>
          <w:rFonts w:ascii="宋体" w:eastAsia="宋体" w:hAnsi="宋体" w:cs="宋体" w:hint="eastAsia"/>
          <w:b/>
          <w:bCs/>
          <w:sz w:val="18"/>
          <w:szCs w:val="18"/>
        </w:rPr>
      </w:pPr>
      <w:bookmarkStart w:id="121" w:name="_Toc989010"/>
      <w:r>
        <w:rPr>
          <w:rFonts w:ascii="宋体" w:eastAsia="宋体" w:hAnsi="宋体" w:cs="宋体"/>
          <w:b/>
          <w:bCs/>
          <w:sz w:val="18"/>
          <w:szCs w:val="18"/>
        </w:rPr>
        <w:t>（3） 租赁情况</w:t>
      </w:r>
      <w:bookmarkEnd w:id="121"/>
    </w:p>
    <w:p w14:paraId="4EE0B69B"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1DCA421C"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公司报告期不存在租赁情况。</w:t>
      </w:r>
    </w:p>
    <w:p w14:paraId="7491DEF5" w14:textId="77777777" w:rsidR="00E77829" w:rsidRDefault="00E77829">
      <w:pPr>
        <w:pStyle w:val="3"/>
        <w:spacing w:line="280" w:lineRule="exact"/>
        <w:jc w:val="left"/>
        <w:rPr>
          <w:rFonts w:ascii="宋体" w:hAnsi="宋体" w:cs="宋体" w:hint="eastAsia"/>
          <w:b/>
          <w:bCs/>
        </w:rPr>
        <w:sectPr w:rsidR="00E77829" w:rsidSect="00E90C20">
          <w:pgSz w:w="11905" w:h="16840"/>
          <w:pgMar w:top="1440" w:right="1134" w:bottom="1440" w:left="1134" w:header="850" w:footer="992" w:gutter="0"/>
          <w:cols w:space="720"/>
          <w:docGrid w:type="linesAndChars" w:linePitch="312"/>
        </w:sectPr>
      </w:pPr>
      <w:bookmarkStart w:id="122" w:name="_Toc989011"/>
    </w:p>
    <w:p w14:paraId="7356F1ED" w14:textId="77777777" w:rsidR="00632E5B" w:rsidRDefault="00107901">
      <w:pPr>
        <w:pStyle w:val="3"/>
        <w:spacing w:line="280" w:lineRule="exact"/>
        <w:jc w:val="left"/>
        <w:rPr>
          <w:rFonts w:ascii="宋体" w:hAnsi="宋体" w:cs="宋体" w:hint="eastAsia"/>
          <w:b/>
          <w:bCs/>
        </w:rPr>
      </w:pPr>
      <w:r>
        <w:rPr>
          <w:rFonts w:ascii="宋体" w:hAnsi="宋体" w:cs="宋体"/>
          <w:b/>
          <w:bCs/>
        </w:rPr>
        <w:lastRenderedPageBreak/>
        <w:t>2、重大担保</w:t>
      </w:r>
      <w:bookmarkEnd w:id="122"/>
    </w:p>
    <w:p w14:paraId="698C156B"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3E1EA1AF" w14:textId="77777777" w:rsidR="00632E5B" w:rsidRDefault="00107901">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单位：万元</w:t>
      </w:r>
    </w:p>
    <w:tbl>
      <w:tblPr>
        <w:tblW w:w="13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589"/>
        <w:gridCol w:w="1844"/>
        <w:gridCol w:w="1114"/>
        <w:gridCol w:w="1863"/>
        <w:gridCol w:w="18"/>
        <w:gridCol w:w="1062"/>
        <w:gridCol w:w="1188"/>
        <w:gridCol w:w="23"/>
        <w:gridCol w:w="693"/>
        <w:gridCol w:w="876"/>
        <w:gridCol w:w="959"/>
        <w:gridCol w:w="876"/>
        <w:gridCol w:w="1534"/>
      </w:tblGrid>
      <w:tr w:rsidR="00632E5B" w14:paraId="43D6C90A" w14:textId="77777777" w:rsidTr="00926621">
        <w:trPr>
          <w:trHeight w:val="240"/>
        </w:trPr>
        <w:tc>
          <w:tcPr>
            <w:tcW w:w="13639" w:type="dxa"/>
            <w:gridSpan w:val="13"/>
            <w:shd w:val="clear" w:color="auto" w:fill="FFFFFF" w:themeFill="background1"/>
            <w:vAlign w:val="center"/>
          </w:tcPr>
          <w:p w14:paraId="382D7B0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公司及其子公司对外担保情况（不包括对子公司的担保）</w:t>
            </w:r>
          </w:p>
        </w:tc>
      </w:tr>
      <w:tr w:rsidR="00C91C3D" w14:paraId="6B0AAA6E" w14:textId="77777777" w:rsidTr="00926621">
        <w:trPr>
          <w:trHeight w:val="240"/>
        </w:trPr>
        <w:tc>
          <w:tcPr>
            <w:tcW w:w="1589" w:type="dxa"/>
            <w:shd w:val="clear" w:color="auto" w:fill="FFFFFF" w:themeFill="background1"/>
            <w:vAlign w:val="center"/>
          </w:tcPr>
          <w:p w14:paraId="21EB4F4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担保对象名称</w:t>
            </w:r>
          </w:p>
        </w:tc>
        <w:tc>
          <w:tcPr>
            <w:tcW w:w="1844" w:type="dxa"/>
            <w:shd w:val="clear" w:color="auto" w:fill="FFFFFF" w:themeFill="background1"/>
            <w:vAlign w:val="center"/>
          </w:tcPr>
          <w:p w14:paraId="5B4C93E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担保额度相关公告披露日期</w:t>
            </w:r>
          </w:p>
        </w:tc>
        <w:tc>
          <w:tcPr>
            <w:tcW w:w="1114" w:type="dxa"/>
            <w:shd w:val="clear" w:color="auto" w:fill="FFFFFF" w:themeFill="background1"/>
            <w:vAlign w:val="center"/>
          </w:tcPr>
          <w:p w14:paraId="23D2171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担保额度</w:t>
            </w:r>
          </w:p>
        </w:tc>
        <w:tc>
          <w:tcPr>
            <w:tcW w:w="1881" w:type="dxa"/>
            <w:gridSpan w:val="2"/>
            <w:shd w:val="clear" w:color="auto" w:fill="FFFFFF" w:themeFill="background1"/>
            <w:vAlign w:val="center"/>
          </w:tcPr>
          <w:p w14:paraId="4DCC02C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实际发生日期</w:t>
            </w:r>
          </w:p>
        </w:tc>
        <w:tc>
          <w:tcPr>
            <w:tcW w:w="1062" w:type="dxa"/>
            <w:shd w:val="clear" w:color="auto" w:fill="FFFFFF" w:themeFill="background1"/>
            <w:vAlign w:val="center"/>
          </w:tcPr>
          <w:p w14:paraId="2694569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实际担保金额</w:t>
            </w:r>
          </w:p>
        </w:tc>
        <w:tc>
          <w:tcPr>
            <w:tcW w:w="1188" w:type="dxa"/>
            <w:shd w:val="clear" w:color="auto" w:fill="FFFFFF" w:themeFill="background1"/>
            <w:vAlign w:val="center"/>
          </w:tcPr>
          <w:p w14:paraId="23CA390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担保类型</w:t>
            </w:r>
          </w:p>
        </w:tc>
        <w:tc>
          <w:tcPr>
            <w:tcW w:w="716" w:type="dxa"/>
            <w:gridSpan w:val="2"/>
            <w:shd w:val="clear" w:color="auto" w:fill="FFFFFF" w:themeFill="background1"/>
            <w:vAlign w:val="center"/>
          </w:tcPr>
          <w:p w14:paraId="1FFA32B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担保物（如有）</w:t>
            </w:r>
          </w:p>
        </w:tc>
        <w:tc>
          <w:tcPr>
            <w:tcW w:w="876" w:type="dxa"/>
            <w:shd w:val="clear" w:color="auto" w:fill="FFFFFF" w:themeFill="background1"/>
            <w:vAlign w:val="center"/>
          </w:tcPr>
          <w:p w14:paraId="5C7824F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反担保情况（如有）</w:t>
            </w:r>
          </w:p>
        </w:tc>
        <w:tc>
          <w:tcPr>
            <w:tcW w:w="959" w:type="dxa"/>
            <w:shd w:val="clear" w:color="auto" w:fill="FFFFFF" w:themeFill="background1"/>
            <w:vAlign w:val="center"/>
          </w:tcPr>
          <w:p w14:paraId="082E0D9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担保期</w:t>
            </w:r>
          </w:p>
        </w:tc>
        <w:tc>
          <w:tcPr>
            <w:tcW w:w="876" w:type="dxa"/>
            <w:shd w:val="clear" w:color="auto" w:fill="FFFFFF" w:themeFill="background1"/>
            <w:vAlign w:val="center"/>
          </w:tcPr>
          <w:p w14:paraId="69CB293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是否履行完毕</w:t>
            </w:r>
          </w:p>
        </w:tc>
        <w:tc>
          <w:tcPr>
            <w:tcW w:w="1534" w:type="dxa"/>
            <w:shd w:val="clear" w:color="auto" w:fill="FFFFFF" w:themeFill="background1"/>
            <w:vAlign w:val="center"/>
          </w:tcPr>
          <w:p w14:paraId="31FA513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是否为关联方担保</w:t>
            </w:r>
          </w:p>
        </w:tc>
      </w:tr>
      <w:tr w:rsidR="00632E5B" w14:paraId="19650A86" w14:textId="77777777" w:rsidTr="00926621">
        <w:trPr>
          <w:trHeight w:val="240"/>
        </w:trPr>
        <w:tc>
          <w:tcPr>
            <w:tcW w:w="1589" w:type="dxa"/>
            <w:shd w:val="clear" w:color="auto" w:fill="FFFFFF" w:themeFill="background1"/>
            <w:vAlign w:val="center"/>
          </w:tcPr>
          <w:p w14:paraId="13393D0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江苏中利电子信息科技有限公司</w:t>
            </w:r>
          </w:p>
        </w:tc>
        <w:tc>
          <w:tcPr>
            <w:tcW w:w="1844" w:type="dxa"/>
            <w:shd w:val="clear" w:color="auto" w:fill="FFFFFF" w:themeFill="background1"/>
            <w:vAlign w:val="center"/>
          </w:tcPr>
          <w:p w14:paraId="15E784DF" w14:textId="0D5EEE9E" w:rsidR="00632E5B" w:rsidRDefault="00AB68F1">
            <w:pPr>
              <w:spacing w:line="240" w:lineRule="exact"/>
              <w:rPr>
                <w:rFonts w:ascii="宋体" w:eastAsia="宋体" w:hAnsi="宋体" w:cs="宋体" w:hint="eastAsia"/>
                <w:sz w:val="18"/>
                <w:szCs w:val="18"/>
              </w:rPr>
            </w:pPr>
            <w:r>
              <w:rPr>
                <w:rFonts w:ascii="宋体" w:eastAsia="宋体" w:hAnsi="宋体" w:cs="宋体"/>
                <w:sz w:val="18"/>
                <w:szCs w:val="18"/>
              </w:rPr>
              <w:t>2020</w:t>
            </w:r>
            <w:r w:rsidR="00107901">
              <w:rPr>
                <w:rFonts w:ascii="宋体" w:eastAsia="宋体" w:hAnsi="宋体" w:cs="宋体"/>
                <w:sz w:val="18"/>
                <w:szCs w:val="18"/>
              </w:rPr>
              <w:t>年</w:t>
            </w:r>
            <w:r>
              <w:rPr>
                <w:rFonts w:ascii="宋体" w:eastAsia="宋体" w:hAnsi="宋体" w:cs="宋体"/>
                <w:sz w:val="18"/>
                <w:szCs w:val="18"/>
              </w:rPr>
              <w:t>01</w:t>
            </w:r>
            <w:r w:rsidR="00107901">
              <w:rPr>
                <w:rFonts w:ascii="宋体" w:eastAsia="宋体" w:hAnsi="宋体" w:cs="宋体"/>
                <w:sz w:val="18"/>
                <w:szCs w:val="18"/>
              </w:rPr>
              <w:t>月</w:t>
            </w:r>
            <w:r>
              <w:rPr>
                <w:rFonts w:ascii="宋体" w:eastAsia="宋体" w:hAnsi="宋体" w:cs="宋体"/>
                <w:sz w:val="18"/>
                <w:szCs w:val="18"/>
              </w:rPr>
              <w:t>06</w:t>
            </w:r>
            <w:r w:rsidR="00107901">
              <w:rPr>
                <w:rFonts w:ascii="宋体" w:eastAsia="宋体" w:hAnsi="宋体" w:cs="宋体"/>
                <w:sz w:val="18"/>
                <w:szCs w:val="18"/>
              </w:rPr>
              <w:t>日</w:t>
            </w:r>
          </w:p>
        </w:tc>
        <w:tc>
          <w:tcPr>
            <w:tcW w:w="1114" w:type="dxa"/>
            <w:shd w:val="clear" w:color="auto" w:fill="FFFFFF" w:themeFill="background1"/>
            <w:vAlign w:val="center"/>
          </w:tcPr>
          <w:p w14:paraId="6DE1297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4,294.31</w:t>
            </w:r>
          </w:p>
        </w:tc>
        <w:tc>
          <w:tcPr>
            <w:tcW w:w="1881" w:type="dxa"/>
            <w:gridSpan w:val="2"/>
            <w:shd w:val="clear" w:color="auto" w:fill="FFFFFF" w:themeFill="background1"/>
            <w:vAlign w:val="center"/>
          </w:tcPr>
          <w:p w14:paraId="72018F6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2024年12月12日</w:t>
            </w:r>
          </w:p>
        </w:tc>
        <w:tc>
          <w:tcPr>
            <w:tcW w:w="1062" w:type="dxa"/>
            <w:shd w:val="clear" w:color="auto" w:fill="FFFFFF" w:themeFill="background1"/>
            <w:vAlign w:val="center"/>
          </w:tcPr>
          <w:p w14:paraId="40E6568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4,294.31</w:t>
            </w:r>
          </w:p>
        </w:tc>
        <w:tc>
          <w:tcPr>
            <w:tcW w:w="1188" w:type="dxa"/>
            <w:shd w:val="clear" w:color="auto" w:fill="FFFFFF" w:themeFill="background1"/>
            <w:vAlign w:val="center"/>
          </w:tcPr>
          <w:p w14:paraId="5F924E3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连带责任保证、抵押</w:t>
            </w:r>
          </w:p>
        </w:tc>
        <w:tc>
          <w:tcPr>
            <w:tcW w:w="716" w:type="dxa"/>
            <w:gridSpan w:val="2"/>
            <w:shd w:val="clear" w:color="auto" w:fill="FFFFFF" w:themeFill="background1"/>
            <w:vAlign w:val="center"/>
          </w:tcPr>
          <w:p w14:paraId="0AD041CC" w14:textId="77777777" w:rsidR="00632E5B" w:rsidRDefault="00632E5B">
            <w:pPr>
              <w:spacing w:line="240" w:lineRule="exact"/>
              <w:rPr>
                <w:rFonts w:ascii="宋体" w:eastAsia="宋体" w:hAnsi="宋体" w:cs="宋体" w:hint="eastAsia"/>
                <w:sz w:val="18"/>
                <w:szCs w:val="18"/>
              </w:rPr>
            </w:pPr>
          </w:p>
        </w:tc>
        <w:tc>
          <w:tcPr>
            <w:tcW w:w="876" w:type="dxa"/>
            <w:shd w:val="clear" w:color="auto" w:fill="FFFFFF" w:themeFill="background1"/>
            <w:vAlign w:val="center"/>
          </w:tcPr>
          <w:p w14:paraId="7278D518" w14:textId="77777777" w:rsidR="00632E5B" w:rsidRDefault="00632E5B">
            <w:pPr>
              <w:spacing w:line="240" w:lineRule="exact"/>
              <w:rPr>
                <w:rFonts w:ascii="宋体" w:eastAsia="宋体" w:hAnsi="宋体" w:cs="宋体" w:hint="eastAsia"/>
                <w:sz w:val="18"/>
                <w:szCs w:val="18"/>
              </w:rPr>
            </w:pPr>
          </w:p>
        </w:tc>
        <w:tc>
          <w:tcPr>
            <w:tcW w:w="959" w:type="dxa"/>
            <w:shd w:val="clear" w:color="auto" w:fill="FFFFFF" w:themeFill="background1"/>
            <w:vAlign w:val="center"/>
          </w:tcPr>
          <w:p w14:paraId="2093FD7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八年</w:t>
            </w:r>
          </w:p>
        </w:tc>
        <w:tc>
          <w:tcPr>
            <w:tcW w:w="876" w:type="dxa"/>
            <w:shd w:val="clear" w:color="auto" w:fill="FFFFFF" w:themeFill="background1"/>
            <w:vAlign w:val="center"/>
          </w:tcPr>
          <w:p w14:paraId="686EBE7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534" w:type="dxa"/>
            <w:shd w:val="clear" w:color="auto" w:fill="FFFFFF" w:themeFill="background1"/>
            <w:vAlign w:val="center"/>
          </w:tcPr>
          <w:p w14:paraId="7B8E33C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是</w:t>
            </w:r>
          </w:p>
        </w:tc>
      </w:tr>
      <w:tr w:rsidR="00632E5B" w14:paraId="01E66857" w14:textId="77777777" w:rsidTr="00926621">
        <w:trPr>
          <w:trHeight w:val="240"/>
        </w:trPr>
        <w:tc>
          <w:tcPr>
            <w:tcW w:w="1589" w:type="dxa"/>
            <w:shd w:val="clear" w:color="auto" w:fill="FFFFFF" w:themeFill="background1"/>
            <w:vAlign w:val="center"/>
          </w:tcPr>
          <w:p w14:paraId="5451773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山东腾晖新能源技术有限公司</w:t>
            </w:r>
          </w:p>
        </w:tc>
        <w:tc>
          <w:tcPr>
            <w:tcW w:w="1844" w:type="dxa"/>
            <w:shd w:val="clear" w:color="auto" w:fill="FFFFFF" w:themeFill="background1"/>
            <w:vAlign w:val="center"/>
          </w:tcPr>
          <w:p w14:paraId="54567BB3" w14:textId="111AEFA3"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w:t>
            </w:r>
            <w:r w:rsidR="00AB68F1">
              <w:rPr>
                <w:rFonts w:ascii="宋体" w:eastAsia="宋体" w:hAnsi="宋体" w:cs="宋体"/>
                <w:sz w:val="18"/>
                <w:szCs w:val="18"/>
              </w:rPr>
              <w:t>03</w:t>
            </w:r>
            <w:r>
              <w:rPr>
                <w:rFonts w:ascii="宋体" w:eastAsia="宋体" w:hAnsi="宋体" w:cs="宋体"/>
                <w:sz w:val="18"/>
                <w:szCs w:val="18"/>
              </w:rPr>
              <w:t>月</w:t>
            </w:r>
            <w:r w:rsidR="00AB68F1">
              <w:rPr>
                <w:rFonts w:ascii="宋体" w:eastAsia="宋体" w:hAnsi="宋体" w:cs="宋体"/>
                <w:sz w:val="18"/>
                <w:szCs w:val="18"/>
              </w:rPr>
              <w:t>01</w:t>
            </w:r>
            <w:r>
              <w:rPr>
                <w:rFonts w:ascii="宋体" w:eastAsia="宋体" w:hAnsi="宋体" w:cs="宋体"/>
                <w:sz w:val="18"/>
                <w:szCs w:val="18"/>
              </w:rPr>
              <w:t>日</w:t>
            </w:r>
          </w:p>
        </w:tc>
        <w:tc>
          <w:tcPr>
            <w:tcW w:w="1114" w:type="dxa"/>
            <w:shd w:val="clear" w:color="auto" w:fill="FFFFFF" w:themeFill="background1"/>
            <w:vAlign w:val="center"/>
          </w:tcPr>
          <w:p w14:paraId="14D46742" w14:textId="691D309F"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888</w:t>
            </w:r>
            <w:r w:rsidR="00D139D7">
              <w:rPr>
                <w:rFonts w:ascii="宋体" w:eastAsia="宋体" w:hAnsi="宋体" w:cs="宋体"/>
                <w:sz w:val="18"/>
                <w:szCs w:val="18"/>
              </w:rPr>
              <w:t>.00</w:t>
            </w:r>
          </w:p>
        </w:tc>
        <w:tc>
          <w:tcPr>
            <w:tcW w:w="1881" w:type="dxa"/>
            <w:gridSpan w:val="2"/>
            <w:shd w:val="clear" w:color="auto" w:fill="FFFFFF" w:themeFill="background1"/>
            <w:vAlign w:val="center"/>
          </w:tcPr>
          <w:p w14:paraId="338A11A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2024年12月12日</w:t>
            </w:r>
          </w:p>
        </w:tc>
        <w:tc>
          <w:tcPr>
            <w:tcW w:w="1062" w:type="dxa"/>
            <w:shd w:val="clear" w:color="auto" w:fill="FFFFFF" w:themeFill="background1"/>
            <w:vAlign w:val="center"/>
          </w:tcPr>
          <w:p w14:paraId="52D4738F" w14:textId="73994862"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888</w:t>
            </w:r>
            <w:r w:rsidR="00D139D7">
              <w:rPr>
                <w:rFonts w:ascii="宋体" w:eastAsia="宋体" w:hAnsi="宋体" w:cs="宋体"/>
                <w:sz w:val="18"/>
                <w:szCs w:val="18"/>
              </w:rPr>
              <w:t>.00</w:t>
            </w:r>
          </w:p>
        </w:tc>
        <w:tc>
          <w:tcPr>
            <w:tcW w:w="1188" w:type="dxa"/>
            <w:shd w:val="clear" w:color="auto" w:fill="FFFFFF" w:themeFill="background1"/>
            <w:vAlign w:val="center"/>
          </w:tcPr>
          <w:p w14:paraId="3B6215C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716" w:type="dxa"/>
            <w:gridSpan w:val="2"/>
            <w:shd w:val="clear" w:color="auto" w:fill="FFFFFF" w:themeFill="background1"/>
            <w:vAlign w:val="center"/>
          </w:tcPr>
          <w:p w14:paraId="3CE98107" w14:textId="77777777" w:rsidR="00632E5B" w:rsidRDefault="00632E5B">
            <w:pPr>
              <w:spacing w:line="240" w:lineRule="exact"/>
              <w:rPr>
                <w:rFonts w:ascii="宋体" w:eastAsia="宋体" w:hAnsi="宋体" w:cs="宋体" w:hint="eastAsia"/>
                <w:sz w:val="18"/>
                <w:szCs w:val="18"/>
              </w:rPr>
            </w:pPr>
          </w:p>
        </w:tc>
        <w:tc>
          <w:tcPr>
            <w:tcW w:w="876" w:type="dxa"/>
            <w:shd w:val="clear" w:color="auto" w:fill="FFFFFF" w:themeFill="background1"/>
            <w:vAlign w:val="center"/>
          </w:tcPr>
          <w:p w14:paraId="6507C34E" w14:textId="77777777" w:rsidR="00632E5B" w:rsidRDefault="00632E5B">
            <w:pPr>
              <w:spacing w:line="240" w:lineRule="exact"/>
              <w:rPr>
                <w:rFonts w:ascii="宋体" w:eastAsia="宋体" w:hAnsi="宋体" w:cs="宋体" w:hint="eastAsia"/>
                <w:sz w:val="18"/>
                <w:szCs w:val="18"/>
              </w:rPr>
            </w:pPr>
          </w:p>
        </w:tc>
        <w:tc>
          <w:tcPr>
            <w:tcW w:w="959" w:type="dxa"/>
            <w:shd w:val="clear" w:color="auto" w:fill="FFFFFF" w:themeFill="background1"/>
            <w:vAlign w:val="center"/>
          </w:tcPr>
          <w:p w14:paraId="75DC786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三年</w:t>
            </w:r>
          </w:p>
        </w:tc>
        <w:tc>
          <w:tcPr>
            <w:tcW w:w="876" w:type="dxa"/>
            <w:shd w:val="clear" w:color="auto" w:fill="FFFFFF" w:themeFill="background1"/>
            <w:vAlign w:val="center"/>
          </w:tcPr>
          <w:p w14:paraId="2603E4E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534" w:type="dxa"/>
            <w:shd w:val="clear" w:color="auto" w:fill="FFFFFF" w:themeFill="background1"/>
            <w:vAlign w:val="center"/>
          </w:tcPr>
          <w:p w14:paraId="7E724C4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6A071CB9" w14:textId="77777777" w:rsidTr="00926621">
        <w:trPr>
          <w:trHeight w:val="240"/>
        </w:trPr>
        <w:tc>
          <w:tcPr>
            <w:tcW w:w="1589" w:type="dxa"/>
            <w:shd w:val="clear" w:color="auto" w:fill="FFFFFF" w:themeFill="background1"/>
            <w:vAlign w:val="center"/>
          </w:tcPr>
          <w:p w14:paraId="7F3D8BF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宿迁腾晖新能源技术有限公司</w:t>
            </w:r>
          </w:p>
        </w:tc>
        <w:tc>
          <w:tcPr>
            <w:tcW w:w="1844" w:type="dxa"/>
            <w:shd w:val="clear" w:color="auto" w:fill="FFFFFF" w:themeFill="background1"/>
            <w:vAlign w:val="center"/>
          </w:tcPr>
          <w:p w14:paraId="772FBC67" w14:textId="772DD536"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w:t>
            </w:r>
            <w:r w:rsidR="00AB68F1">
              <w:rPr>
                <w:rFonts w:ascii="宋体" w:eastAsia="宋体" w:hAnsi="宋体" w:cs="宋体"/>
                <w:sz w:val="18"/>
                <w:szCs w:val="18"/>
              </w:rPr>
              <w:t>03</w:t>
            </w:r>
            <w:r>
              <w:rPr>
                <w:rFonts w:ascii="宋体" w:eastAsia="宋体" w:hAnsi="宋体" w:cs="宋体"/>
                <w:sz w:val="18"/>
                <w:szCs w:val="18"/>
              </w:rPr>
              <w:t>月</w:t>
            </w:r>
            <w:r w:rsidR="00AB68F1">
              <w:rPr>
                <w:rFonts w:ascii="宋体" w:eastAsia="宋体" w:hAnsi="宋体" w:cs="宋体"/>
                <w:sz w:val="18"/>
                <w:szCs w:val="18"/>
              </w:rPr>
              <w:t>01</w:t>
            </w:r>
            <w:r>
              <w:rPr>
                <w:rFonts w:ascii="宋体" w:eastAsia="宋体" w:hAnsi="宋体" w:cs="宋体"/>
                <w:sz w:val="18"/>
                <w:szCs w:val="18"/>
              </w:rPr>
              <w:t>日</w:t>
            </w:r>
          </w:p>
        </w:tc>
        <w:tc>
          <w:tcPr>
            <w:tcW w:w="1114" w:type="dxa"/>
            <w:shd w:val="clear" w:color="auto" w:fill="FFFFFF" w:themeFill="background1"/>
            <w:vAlign w:val="center"/>
          </w:tcPr>
          <w:p w14:paraId="7D5BB06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7,833.72</w:t>
            </w:r>
          </w:p>
        </w:tc>
        <w:tc>
          <w:tcPr>
            <w:tcW w:w="1881" w:type="dxa"/>
            <w:gridSpan w:val="2"/>
            <w:shd w:val="clear" w:color="auto" w:fill="FFFFFF" w:themeFill="background1"/>
            <w:vAlign w:val="center"/>
          </w:tcPr>
          <w:p w14:paraId="418A67E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2024年12月12日</w:t>
            </w:r>
          </w:p>
        </w:tc>
        <w:tc>
          <w:tcPr>
            <w:tcW w:w="1062" w:type="dxa"/>
            <w:shd w:val="clear" w:color="auto" w:fill="FFFFFF" w:themeFill="background1"/>
            <w:vAlign w:val="center"/>
          </w:tcPr>
          <w:p w14:paraId="75C1140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7,833.72</w:t>
            </w:r>
          </w:p>
        </w:tc>
        <w:tc>
          <w:tcPr>
            <w:tcW w:w="1188" w:type="dxa"/>
            <w:shd w:val="clear" w:color="auto" w:fill="FFFFFF" w:themeFill="background1"/>
            <w:vAlign w:val="center"/>
          </w:tcPr>
          <w:p w14:paraId="0B2B690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716" w:type="dxa"/>
            <w:gridSpan w:val="2"/>
            <w:shd w:val="clear" w:color="auto" w:fill="FFFFFF" w:themeFill="background1"/>
            <w:vAlign w:val="center"/>
          </w:tcPr>
          <w:p w14:paraId="1B69FD41" w14:textId="77777777" w:rsidR="00632E5B" w:rsidRDefault="00632E5B">
            <w:pPr>
              <w:spacing w:line="240" w:lineRule="exact"/>
              <w:rPr>
                <w:rFonts w:ascii="宋体" w:eastAsia="宋体" w:hAnsi="宋体" w:cs="宋体" w:hint="eastAsia"/>
                <w:sz w:val="18"/>
                <w:szCs w:val="18"/>
              </w:rPr>
            </w:pPr>
          </w:p>
        </w:tc>
        <w:tc>
          <w:tcPr>
            <w:tcW w:w="876" w:type="dxa"/>
            <w:shd w:val="clear" w:color="auto" w:fill="FFFFFF" w:themeFill="background1"/>
            <w:vAlign w:val="center"/>
          </w:tcPr>
          <w:p w14:paraId="4C255ECF" w14:textId="77777777" w:rsidR="00632E5B" w:rsidRDefault="00632E5B">
            <w:pPr>
              <w:spacing w:line="240" w:lineRule="exact"/>
              <w:rPr>
                <w:rFonts w:ascii="宋体" w:eastAsia="宋体" w:hAnsi="宋体" w:cs="宋体" w:hint="eastAsia"/>
                <w:sz w:val="18"/>
                <w:szCs w:val="18"/>
              </w:rPr>
            </w:pPr>
          </w:p>
        </w:tc>
        <w:tc>
          <w:tcPr>
            <w:tcW w:w="959" w:type="dxa"/>
            <w:shd w:val="clear" w:color="auto" w:fill="FFFFFF" w:themeFill="background1"/>
            <w:vAlign w:val="center"/>
          </w:tcPr>
          <w:p w14:paraId="50B30DE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三年</w:t>
            </w:r>
          </w:p>
        </w:tc>
        <w:tc>
          <w:tcPr>
            <w:tcW w:w="876" w:type="dxa"/>
            <w:shd w:val="clear" w:color="auto" w:fill="FFFFFF" w:themeFill="background1"/>
            <w:vAlign w:val="center"/>
          </w:tcPr>
          <w:p w14:paraId="0028530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534" w:type="dxa"/>
            <w:shd w:val="clear" w:color="auto" w:fill="FFFFFF" w:themeFill="background1"/>
            <w:vAlign w:val="center"/>
          </w:tcPr>
          <w:p w14:paraId="2606B2D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1DCA8203" w14:textId="77777777" w:rsidTr="00926621">
        <w:trPr>
          <w:trHeight w:val="240"/>
        </w:trPr>
        <w:tc>
          <w:tcPr>
            <w:tcW w:w="1589" w:type="dxa"/>
            <w:shd w:val="clear" w:color="auto" w:fill="FFFFFF" w:themeFill="background1"/>
            <w:vAlign w:val="center"/>
          </w:tcPr>
          <w:p w14:paraId="2DE5C5CB" w14:textId="300D1636" w:rsidR="00632E5B" w:rsidRDefault="00D268D1">
            <w:pPr>
              <w:spacing w:line="240" w:lineRule="exact"/>
              <w:rPr>
                <w:rFonts w:ascii="宋体" w:eastAsia="宋体" w:hAnsi="宋体" w:cs="宋体" w:hint="eastAsia"/>
                <w:sz w:val="18"/>
                <w:szCs w:val="18"/>
              </w:rPr>
            </w:pPr>
            <w:r>
              <w:rPr>
                <w:rFonts w:ascii="宋体" w:eastAsia="宋体" w:hAnsi="宋体" w:cs="宋体"/>
                <w:sz w:val="18"/>
                <w:szCs w:val="18"/>
              </w:rPr>
              <w:t>江苏</w:t>
            </w:r>
            <w:r>
              <w:rPr>
                <w:rFonts w:ascii="宋体" w:eastAsia="宋体" w:hAnsi="宋体" w:cs="宋体" w:hint="eastAsia"/>
                <w:sz w:val="18"/>
                <w:szCs w:val="18"/>
              </w:rPr>
              <w:t>P</w:t>
            </w:r>
            <w:r w:rsidR="00107901">
              <w:rPr>
                <w:rFonts w:ascii="宋体" w:eastAsia="宋体" w:hAnsi="宋体" w:cs="宋体"/>
                <w:sz w:val="18"/>
                <w:szCs w:val="18"/>
              </w:rPr>
              <w:t>公司</w:t>
            </w:r>
          </w:p>
        </w:tc>
        <w:tc>
          <w:tcPr>
            <w:tcW w:w="1844" w:type="dxa"/>
            <w:shd w:val="clear" w:color="auto" w:fill="FFFFFF" w:themeFill="background1"/>
            <w:vAlign w:val="center"/>
          </w:tcPr>
          <w:p w14:paraId="62E1B564" w14:textId="77777777" w:rsidR="00632E5B" w:rsidRDefault="00632E5B">
            <w:pPr>
              <w:spacing w:line="240" w:lineRule="exact"/>
              <w:rPr>
                <w:rFonts w:ascii="宋体" w:eastAsia="宋体" w:hAnsi="宋体" w:cs="宋体" w:hint="eastAsia"/>
                <w:sz w:val="18"/>
                <w:szCs w:val="18"/>
              </w:rPr>
            </w:pPr>
          </w:p>
        </w:tc>
        <w:tc>
          <w:tcPr>
            <w:tcW w:w="1114" w:type="dxa"/>
            <w:shd w:val="clear" w:color="auto" w:fill="FFFFFF" w:themeFill="background1"/>
            <w:vAlign w:val="center"/>
          </w:tcPr>
          <w:p w14:paraId="07F8A37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22,182.73</w:t>
            </w:r>
          </w:p>
        </w:tc>
        <w:tc>
          <w:tcPr>
            <w:tcW w:w="1881" w:type="dxa"/>
            <w:gridSpan w:val="2"/>
            <w:shd w:val="clear" w:color="auto" w:fill="FFFFFF" w:themeFill="background1"/>
            <w:vAlign w:val="center"/>
          </w:tcPr>
          <w:p w14:paraId="68A3891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2024年12月12日</w:t>
            </w:r>
          </w:p>
        </w:tc>
        <w:tc>
          <w:tcPr>
            <w:tcW w:w="1062" w:type="dxa"/>
            <w:shd w:val="clear" w:color="auto" w:fill="FFFFFF" w:themeFill="background1"/>
            <w:vAlign w:val="center"/>
          </w:tcPr>
          <w:p w14:paraId="64CED2B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22,182.73</w:t>
            </w:r>
          </w:p>
        </w:tc>
        <w:tc>
          <w:tcPr>
            <w:tcW w:w="1188" w:type="dxa"/>
            <w:shd w:val="clear" w:color="auto" w:fill="FFFFFF" w:themeFill="background1"/>
            <w:vAlign w:val="center"/>
          </w:tcPr>
          <w:p w14:paraId="6D7628B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连带责任保证、抵押</w:t>
            </w:r>
          </w:p>
        </w:tc>
        <w:tc>
          <w:tcPr>
            <w:tcW w:w="716" w:type="dxa"/>
            <w:gridSpan w:val="2"/>
            <w:shd w:val="clear" w:color="auto" w:fill="FFFFFF" w:themeFill="background1"/>
            <w:vAlign w:val="center"/>
          </w:tcPr>
          <w:p w14:paraId="6903FE51" w14:textId="77777777" w:rsidR="00632E5B" w:rsidRDefault="00632E5B">
            <w:pPr>
              <w:spacing w:line="240" w:lineRule="exact"/>
              <w:rPr>
                <w:rFonts w:ascii="宋体" w:eastAsia="宋体" w:hAnsi="宋体" w:cs="宋体" w:hint="eastAsia"/>
                <w:sz w:val="18"/>
                <w:szCs w:val="18"/>
              </w:rPr>
            </w:pPr>
          </w:p>
        </w:tc>
        <w:tc>
          <w:tcPr>
            <w:tcW w:w="876" w:type="dxa"/>
            <w:shd w:val="clear" w:color="auto" w:fill="FFFFFF" w:themeFill="background1"/>
            <w:vAlign w:val="center"/>
          </w:tcPr>
          <w:p w14:paraId="5940588B" w14:textId="77777777" w:rsidR="00632E5B" w:rsidRDefault="00632E5B">
            <w:pPr>
              <w:spacing w:line="240" w:lineRule="exact"/>
              <w:rPr>
                <w:rFonts w:ascii="宋体" w:eastAsia="宋体" w:hAnsi="宋体" w:cs="宋体" w:hint="eastAsia"/>
                <w:sz w:val="18"/>
                <w:szCs w:val="18"/>
              </w:rPr>
            </w:pPr>
          </w:p>
        </w:tc>
        <w:tc>
          <w:tcPr>
            <w:tcW w:w="959" w:type="dxa"/>
            <w:shd w:val="clear" w:color="auto" w:fill="FFFFFF" w:themeFill="background1"/>
            <w:vAlign w:val="center"/>
          </w:tcPr>
          <w:p w14:paraId="1491B4A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八年</w:t>
            </w:r>
          </w:p>
        </w:tc>
        <w:tc>
          <w:tcPr>
            <w:tcW w:w="876" w:type="dxa"/>
            <w:shd w:val="clear" w:color="auto" w:fill="FFFFFF" w:themeFill="background1"/>
            <w:vAlign w:val="center"/>
          </w:tcPr>
          <w:p w14:paraId="34CC0A3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534" w:type="dxa"/>
            <w:shd w:val="clear" w:color="auto" w:fill="FFFFFF" w:themeFill="background1"/>
            <w:vAlign w:val="center"/>
          </w:tcPr>
          <w:p w14:paraId="12B0A58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5662FB1E" w14:textId="77777777" w:rsidTr="00926621">
        <w:trPr>
          <w:trHeight w:val="240"/>
        </w:trPr>
        <w:tc>
          <w:tcPr>
            <w:tcW w:w="1589" w:type="dxa"/>
            <w:shd w:val="clear" w:color="auto" w:fill="FFFFFF" w:themeFill="background1"/>
            <w:vAlign w:val="center"/>
          </w:tcPr>
          <w:p w14:paraId="7CEA646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山东腾晖新能源技术有限公司</w:t>
            </w:r>
          </w:p>
        </w:tc>
        <w:tc>
          <w:tcPr>
            <w:tcW w:w="1844" w:type="dxa"/>
            <w:shd w:val="clear" w:color="auto" w:fill="FFFFFF" w:themeFill="background1"/>
            <w:vAlign w:val="center"/>
          </w:tcPr>
          <w:p w14:paraId="471A05C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2021年01月06日</w:t>
            </w:r>
          </w:p>
        </w:tc>
        <w:tc>
          <w:tcPr>
            <w:tcW w:w="1114" w:type="dxa"/>
            <w:shd w:val="clear" w:color="auto" w:fill="FFFFFF" w:themeFill="background1"/>
            <w:vAlign w:val="center"/>
          </w:tcPr>
          <w:p w14:paraId="4C5B843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3,575.39</w:t>
            </w:r>
          </w:p>
        </w:tc>
        <w:tc>
          <w:tcPr>
            <w:tcW w:w="1881" w:type="dxa"/>
            <w:gridSpan w:val="2"/>
            <w:shd w:val="clear" w:color="auto" w:fill="FFFFFF" w:themeFill="background1"/>
            <w:vAlign w:val="center"/>
          </w:tcPr>
          <w:p w14:paraId="6DEC40A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2021年03月25日</w:t>
            </w:r>
          </w:p>
        </w:tc>
        <w:tc>
          <w:tcPr>
            <w:tcW w:w="1062" w:type="dxa"/>
            <w:shd w:val="clear" w:color="auto" w:fill="FFFFFF" w:themeFill="background1"/>
            <w:vAlign w:val="center"/>
          </w:tcPr>
          <w:p w14:paraId="1B78CDC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2,384.1</w:t>
            </w:r>
          </w:p>
        </w:tc>
        <w:tc>
          <w:tcPr>
            <w:tcW w:w="1188" w:type="dxa"/>
            <w:shd w:val="clear" w:color="auto" w:fill="FFFFFF" w:themeFill="background1"/>
            <w:vAlign w:val="center"/>
          </w:tcPr>
          <w:p w14:paraId="047B7BC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716" w:type="dxa"/>
            <w:gridSpan w:val="2"/>
            <w:shd w:val="clear" w:color="auto" w:fill="FFFFFF" w:themeFill="background1"/>
            <w:vAlign w:val="center"/>
          </w:tcPr>
          <w:p w14:paraId="10474587" w14:textId="77777777" w:rsidR="00632E5B" w:rsidRDefault="00632E5B">
            <w:pPr>
              <w:spacing w:line="240" w:lineRule="exact"/>
              <w:rPr>
                <w:rFonts w:ascii="宋体" w:eastAsia="宋体" w:hAnsi="宋体" w:cs="宋体" w:hint="eastAsia"/>
                <w:sz w:val="18"/>
                <w:szCs w:val="18"/>
              </w:rPr>
            </w:pPr>
          </w:p>
        </w:tc>
        <w:tc>
          <w:tcPr>
            <w:tcW w:w="876" w:type="dxa"/>
            <w:shd w:val="clear" w:color="auto" w:fill="FFFFFF" w:themeFill="background1"/>
            <w:vAlign w:val="center"/>
          </w:tcPr>
          <w:p w14:paraId="1942F82E" w14:textId="77777777" w:rsidR="00632E5B" w:rsidRDefault="00632E5B">
            <w:pPr>
              <w:spacing w:line="240" w:lineRule="exact"/>
              <w:rPr>
                <w:rFonts w:ascii="宋体" w:eastAsia="宋体" w:hAnsi="宋体" w:cs="宋体" w:hint="eastAsia"/>
                <w:sz w:val="18"/>
                <w:szCs w:val="18"/>
              </w:rPr>
            </w:pPr>
          </w:p>
        </w:tc>
        <w:tc>
          <w:tcPr>
            <w:tcW w:w="959" w:type="dxa"/>
            <w:shd w:val="clear" w:color="auto" w:fill="FFFFFF" w:themeFill="background1"/>
            <w:vAlign w:val="center"/>
          </w:tcPr>
          <w:p w14:paraId="3937AFA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债务履行完毕之日</w:t>
            </w:r>
          </w:p>
        </w:tc>
        <w:tc>
          <w:tcPr>
            <w:tcW w:w="876" w:type="dxa"/>
            <w:shd w:val="clear" w:color="auto" w:fill="FFFFFF" w:themeFill="background1"/>
            <w:vAlign w:val="center"/>
          </w:tcPr>
          <w:p w14:paraId="285AD40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534" w:type="dxa"/>
            <w:shd w:val="clear" w:color="auto" w:fill="FFFFFF" w:themeFill="background1"/>
            <w:vAlign w:val="center"/>
          </w:tcPr>
          <w:p w14:paraId="3F846D5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16B7D993" w14:textId="77777777" w:rsidTr="00926621">
        <w:trPr>
          <w:trHeight w:val="240"/>
        </w:trPr>
        <w:tc>
          <w:tcPr>
            <w:tcW w:w="1589" w:type="dxa"/>
            <w:shd w:val="clear" w:color="auto" w:fill="FFFFFF" w:themeFill="background1"/>
            <w:vAlign w:val="center"/>
          </w:tcPr>
          <w:p w14:paraId="2E48924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山东腾晖光电有限公司</w:t>
            </w:r>
          </w:p>
        </w:tc>
        <w:tc>
          <w:tcPr>
            <w:tcW w:w="1844" w:type="dxa"/>
            <w:shd w:val="clear" w:color="auto" w:fill="FFFFFF" w:themeFill="background1"/>
            <w:vAlign w:val="center"/>
          </w:tcPr>
          <w:p w14:paraId="31217D1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2021年01月06日</w:t>
            </w:r>
          </w:p>
        </w:tc>
        <w:tc>
          <w:tcPr>
            <w:tcW w:w="1114" w:type="dxa"/>
            <w:shd w:val="clear" w:color="auto" w:fill="FFFFFF" w:themeFill="background1"/>
            <w:vAlign w:val="center"/>
          </w:tcPr>
          <w:p w14:paraId="6CC8FBD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10,731.71</w:t>
            </w:r>
          </w:p>
        </w:tc>
        <w:tc>
          <w:tcPr>
            <w:tcW w:w="1881" w:type="dxa"/>
            <w:gridSpan w:val="2"/>
            <w:shd w:val="clear" w:color="auto" w:fill="FFFFFF" w:themeFill="background1"/>
            <w:vAlign w:val="center"/>
          </w:tcPr>
          <w:p w14:paraId="7572B6E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2021年03月25日</w:t>
            </w:r>
          </w:p>
        </w:tc>
        <w:tc>
          <w:tcPr>
            <w:tcW w:w="1062" w:type="dxa"/>
            <w:shd w:val="clear" w:color="auto" w:fill="FFFFFF" w:themeFill="background1"/>
            <w:vAlign w:val="center"/>
          </w:tcPr>
          <w:p w14:paraId="4CDECA1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6,233.27</w:t>
            </w:r>
          </w:p>
        </w:tc>
        <w:tc>
          <w:tcPr>
            <w:tcW w:w="1188" w:type="dxa"/>
            <w:shd w:val="clear" w:color="auto" w:fill="FFFFFF" w:themeFill="background1"/>
            <w:vAlign w:val="center"/>
          </w:tcPr>
          <w:p w14:paraId="19FC24B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716" w:type="dxa"/>
            <w:gridSpan w:val="2"/>
            <w:shd w:val="clear" w:color="auto" w:fill="FFFFFF" w:themeFill="background1"/>
            <w:vAlign w:val="center"/>
          </w:tcPr>
          <w:p w14:paraId="7919F93D" w14:textId="77777777" w:rsidR="00632E5B" w:rsidRDefault="00632E5B">
            <w:pPr>
              <w:spacing w:line="240" w:lineRule="exact"/>
              <w:rPr>
                <w:rFonts w:ascii="宋体" w:eastAsia="宋体" w:hAnsi="宋体" w:cs="宋体" w:hint="eastAsia"/>
                <w:sz w:val="18"/>
                <w:szCs w:val="18"/>
              </w:rPr>
            </w:pPr>
          </w:p>
        </w:tc>
        <w:tc>
          <w:tcPr>
            <w:tcW w:w="876" w:type="dxa"/>
            <w:shd w:val="clear" w:color="auto" w:fill="FFFFFF" w:themeFill="background1"/>
            <w:vAlign w:val="center"/>
          </w:tcPr>
          <w:p w14:paraId="747B9B28" w14:textId="77777777" w:rsidR="00632E5B" w:rsidRDefault="00632E5B">
            <w:pPr>
              <w:spacing w:line="240" w:lineRule="exact"/>
              <w:rPr>
                <w:rFonts w:ascii="宋体" w:eastAsia="宋体" w:hAnsi="宋体" w:cs="宋体" w:hint="eastAsia"/>
                <w:sz w:val="18"/>
                <w:szCs w:val="18"/>
              </w:rPr>
            </w:pPr>
          </w:p>
        </w:tc>
        <w:tc>
          <w:tcPr>
            <w:tcW w:w="959" w:type="dxa"/>
            <w:shd w:val="clear" w:color="auto" w:fill="FFFFFF" w:themeFill="background1"/>
            <w:vAlign w:val="center"/>
          </w:tcPr>
          <w:p w14:paraId="44FC536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债务履行完毕之日</w:t>
            </w:r>
          </w:p>
        </w:tc>
        <w:tc>
          <w:tcPr>
            <w:tcW w:w="876" w:type="dxa"/>
            <w:shd w:val="clear" w:color="auto" w:fill="FFFFFF" w:themeFill="background1"/>
            <w:vAlign w:val="center"/>
          </w:tcPr>
          <w:p w14:paraId="1F196D3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534" w:type="dxa"/>
            <w:shd w:val="clear" w:color="auto" w:fill="FFFFFF" w:themeFill="background1"/>
            <w:vAlign w:val="center"/>
          </w:tcPr>
          <w:p w14:paraId="2D7FB10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0BAFC644" w14:textId="77777777" w:rsidTr="00926621">
        <w:trPr>
          <w:trHeight w:val="240"/>
        </w:trPr>
        <w:tc>
          <w:tcPr>
            <w:tcW w:w="1589" w:type="dxa"/>
            <w:shd w:val="clear" w:color="auto" w:fill="FFFFFF" w:themeFill="background1"/>
            <w:vAlign w:val="center"/>
          </w:tcPr>
          <w:p w14:paraId="2622A96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泗阳腾晖光电有限公司</w:t>
            </w:r>
          </w:p>
        </w:tc>
        <w:tc>
          <w:tcPr>
            <w:tcW w:w="1844" w:type="dxa"/>
            <w:shd w:val="clear" w:color="auto" w:fill="FFFFFF" w:themeFill="background1"/>
            <w:vAlign w:val="center"/>
          </w:tcPr>
          <w:p w14:paraId="1ACAB05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2021年01月06日</w:t>
            </w:r>
          </w:p>
        </w:tc>
        <w:tc>
          <w:tcPr>
            <w:tcW w:w="1114" w:type="dxa"/>
            <w:shd w:val="clear" w:color="auto" w:fill="FFFFFF" w:themeFill="background1"/>
            <w:vAlign w:val="center"/>
          </w:tcPr>
          <w:p w14:paraId="6CDAAE3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30,771.44</w:t>
            </w:r>
          </w:p>
        </w:tc>
        <w:tc>
          <w:tcPr>
            <w:tcW w:w="1881" w:type="dxa"/>
            <w:gridSpan w:val="2"/>
            <w:shd w:val="clear" w:color="auto" w:fill="FFFFFF" w:themeFill="background1"/>
            <w:vAlign w:val="center"/>
          </w:tcPr>
          <w:p w14:paraId="1C5BA82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2021年03月03日</w:t>
            </w:r>
          </w:p>
        </w:tc>
        <w:tc>
          <w:tcPr>
            <w:tcW w:w="1062" w:type="dxa"/>
            <w:shd w:val="clear" w:color="auto" w:fill="FFFFFF" w:themeFill="background1"/>
            <w:vAlign w:val="center"/>
          </w:tcPr>
          <w:p w14:paraId="034E2D4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6,806.18</w:t>
            </w:r>
          </w:p>
        </w:tc>
        <w:tc>
          <w:tcPr>
            <w:tcW w:w="1188" w:type="dxa"/>
            <w:shd w:val="clear" w:color="auto" w:fill="FFFFFF" w:themeFill="background1"/>
            <w:vAlign w:val="center"/>
          </w:tcPr>
          <w:p w14:paraId="692C634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716" w:type="dxa"/>
            <w:gridSpan w:val="2"/>
            <w:shd w:val="clear" w:color="auto" w:fill="FFFFFF" w:themeFill="background1"/>
            <w:vAlign w:val="center"/>
          </w:tcPr>
          <w:p w14:paraId="66E943C7" w14:textId="77777777" w:rsidR="00632E5B" w:rsidRDefault="00632E5B">
            <w:pPr>
              <w:spacing w:line="240" w:lineRule="exact"/>
              <w:rPr>
                <w:rFonts w:ascii="宋体" w:eastAsia="宋体" w:hAnsi="宋体" w:cs="宋体" w:hint="eastAsia"/>
                <w:sz w:val="18"/>
                <w:szCs w:val="18"/>
              </w:rPr>
            </w:pPr>
          </w:p>
        </w:tc>
        <w:tc>
          <w:tcPr>
            <w:tcW w:w="876" w:type="dxa"/>
            <w:shd w:val="clear" w:color="auto" w:fill="FFFFFF" w:themeFill="background1"/>
            <w:vAlign w:val="center"/>
          </w:tcPr>
          <w:p w14:paraId="1DDA27D9" w14:textId="77777777" w:rsidR="00632E5B" w:rsidRDefault="00632E5B">
            <w:pPr>
              <w:spacing w:line="240" w:lineRule="exact"/>
              <w:rPr>
                <w:rFonts w:ascii="宋体" w:eastAsia="宋体" w:hAnsi="宋体" w:cs="宋体" w:hint="eastAsia"/>
                <w:sz w:val="18"/>
                <w:szCs w:val="18"/>
              </w:rPr>
            </w:pPr>
          </w:p>
        </w:tc>
        <w:tc>
          <w:tcPr>
            <w:tcW w:w="959" w:type="dxa"/>
            <w:shd w:val="clear" w:color="auto" w:fill="FFFFFF" w:themeFill="background1"/>
            <w:vAlign w:val="center"/>
          </w:tcPr>
          <w:p w14:paraId="553781A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债务履行完毕之日</w:t>
            </w:r>
          </w:p>
        </w:tc>
        <w:tc>
          <w:tcPr>
            <w:tcW w:w="876" w:type="dxa"/>
            <w:shd w:val="clear" w:color="auto" w:fill="FFFFFF" w:themeFill="background1"/>
            <w:vAlign w:val="center"/>
          </w:tcPr>
          <w:p w14:paraId="4D75CAF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534" w:type="dxa"/>
            <w:shd w:val="clear" w:color="auto" w:fill="FFFFFF" w:themeFill="background1"/>
            <w:vAlign w:val="center"/>
          </w:tcPr>
          <w:p w14:paraId="3AF95E9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7EF16D6B" w14:textId="77777777" w:rsidTr="00926621">
        <w:trPr>
          <w:trHeight w:val="240"/>
        </w:trPr>
        <w:tc>
          <w:tcPr>
            <w:tcW w:w="1589" w:type="dxa"/>
            <w:shd w:val="clear" w:color="auto" w:fill="FFFFFF" w:themeFill="background1"/>
            <w:vAlign w:val="center"/>
          </w:tcPr>
          <w:p w14:paraId="7155E3A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泗阳腾晖新能源技术有限公司</w:t>
            </w:r>
          </w:p>
        </w:tc>
        <w:tc>
          <w:tcPr>
            <w:tcW w:w="1844" w:type="dxa"/>
            <w:shd w:val="clear" w:color="auto" w:fill="FFFFFF" w:themeFill="background1"/>
            <w:vAlign w:val="center"/>
          </w:tcPr>
          <w:p w14:paraId="070AC24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2021年01月06日</w:t>
            </w:r>
          </w:p>
        </w:tc>
        <w:tc>
          <w:tcPr>
            <w:tcW w:w="1114" w:type="dxa"/>
            <w:shd w:val="clear" w:color="auto" w:fill="FFFFFF" w:themeFill="background1"/>
            <w:vAlign w:val="center"/>
          </w:tcPr>
          <w:p w14:paraId="42CAE99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6,045.18</w:t>
            </w:r>
          </w:p>
        </w:tc>
        <w:tc>
          <w:tcPr>
            <w:tcW w:w="1881" w:type="dxa"/>
            <w:gridSpan w:val="2"/>
            <w:shd w:val="clear" w:color="auto" w:fill="FFFFFF" w:themeFill="background1"/>
            <w:vAlign w:val="center"/>
          </w:tcPr>
          <w:p w14:paraId="7D70259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2021年03月03日</w:t>
            </w:r>
          </w:p>
        </w:tc>
        <w:tc>
          <w:tcPr>
            <w:tcW w:w="1062" w:type="dxa"/>
            <w:shd w:val="clear" w:color="auto" w:fill="FFFFFF" w:themeFill="background1"/>
            <w:vAlign w:val="center"/>
          </w:tcPr>
          <w:p w14:paraId="525FD71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1,121.55</w:t>
            </w:r>
          </w:p>
        </w:tc>
        <w:tc>
          <w:tcPr>
            <w:tcW w:w="1188" w:type="dxa"/>
            <w:shd w:val="clear" w:color="auto" w:fill="FFFFFF" w:themeFill="background1"/>
            <w:vAlign w:val="center"/>
          </w:tcPr>
          <w:p w14:paraId="41CC871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716" w:type="dxa"/>
            <w:gridSpan w:val="2"/>
            <w:shd w:val="clear" w:color="auto" w:fill="FFFFFF" w:themeFill="background1"/>
            <w:vAlign w:val="center"/>
          </w:tcPr>
          <w:p w14:paraId="5E6689F7" w14:textId="77777777" w:rsidR="00632E5B" w:rsidRDefault="00632E5B">
            <w:pPr>
              <w:spacing w:line="240" w:lineRule="exact"/>
              <w:rPr>
                <w:rFonts w:ascii="宋体" w:eastAsia="宋体" w:hAnsi="宋体" w:cs="宋体" w:hint="eastAsia"/>
                <w:sz w:val="18"/>
                <w:szCs w:val="18"/>
              </w:rPr>
            </w:pPr>
          </w:p>
        </w:tc>
        <w:tc>
          <w:tcPr>
            <w:tcW w:w="876" w:type="dxa"/>
            <w:shd w:val="clear" w:color="auto" w:fill="FFFFFF" w:themeFill="background1"/>
            <w:vAlign w:val="center"/>
          </w:tcPr>
          <w:p w14:paraId="1EC7AD10" w14:textId="77777777" w:rsidR="00632E5B" w:rsidRDefault="00632E5B">
            <w:pPr>
              <w:spacing w:line="240" w:lineRule="exact"/>
              <w:rPr>
                <w:rFonts w:ascii="宋体" w:eastAsia="宋体" w:hAnsi="宋体" w:cs="宋体" w:hint="eastAsia"/>
                <w:sz w:val="18"/>
                <w:szCs w:val="18"/>
              </w:rPr>
            </w:pPr>
          </w:p>
        </w:tc>
        <w:tc>
          <w:tcPr>
            <w:tcW w:w="959" w:type="dxa"/>
            <w:shd w:val="clear" w:color="auto" w:fill="FFFFFF" w:themeFill="background1"/>
            <w:vAlign w:val="center"/>
          </w:tcPr>
          <w:p w14:paraId="6D46FA9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债务履行完毕之日</w:t>
            </w:r>
          </w:p>
        </w:tc>
        <w:tc>
          <w:tcPr>
            <w:tcW w:w="876" w:type="dxa"/>
            <w:shd w:val="clear" w:color="auto" w:fill="FFFFFF" w:themeFill="background1"/>
            <w:vAlign w:val="center"/>
          </w:tcPr>
          <w:p w14:paraId="5708E43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534" w:type="dxa"/>
            <w:shd w:val="clear" w:color="auto" w:fill="FFFFFF" w:themeFill="background1"/>
            <w:vAlign w:val="center"/>
          </w:tcPr>
          <w:p w14:paraId="0B2754E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777B9438" w14:textId="77777777" w:rsidTr="00926621">
        <w:trPr>
          <w:trHeight w:val="240"/>
        </w:trPr>
        <w:tc>
          <w:tcPr>
            <w:tcW w:w="1589" w:type="dxa"/>
            <w:shd w:val="clear" w:color="auto" w:fill="FFFFFF" w:themeFill="background1"/>
            <w:vAlign w:val="center"/>
          </w:tcPr>
          <w:p w14:paraId="0EFFAEF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宿迁腾晖新能源技术有限公司</w:t>
            </w:r>
          </w:p>
        </w:tc>
        <w:tc>
          <w:tcPr>
            <w:tcW w:w="1844" w:type="dxa"/>
            <w:shd w:val="clear" w:color="auto" w:fill="FFFFFF" w:themeFill="background1"/>
            <w:vAlign w:val="center"/>
          </w:tcPr>
          <w:p w14:paraId="01E7EE6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2021年01月06日</w:t>
            </w:r>
          </w:p>
        </w:tc>
        <w:tc>
          <w:tcPr>
            <w:tcW w:w="1114" w:type="dxa"/>
            <w:shd w:val="clear" w:color="auto" w:fill="FFFFFF" w:themeFill="background1"/>
            <w:vAlign w:val="center"/>
          </w:tcPr>
          <w:p w14:paraId="39B1D9D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5,480.8</w:t>
            </w:r>
          </w:p>
        </w:tc>
        <w:tc>
          <w:tcPr>
            <w:tcW w:w="1881" w:type="dxa"/>
            <w:gridSpan w:val="2"/>
            <w:shd w:val="clear" w:color="auto" w:fill="FFFFFF" w:themeFill="background1"/>
            <w:vAlign w:val="center"/>
          </w:tcPr>
          <w:p w14:paraId="76FF8AB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2021年05月21日</w:t>
            </w:r>
          </w:p>
        </w:tc>
        <w:tc>
          <w:tcPr>
            <w:tcW w:w="1062" w:type="dxa"/>
            <w:shd w:val="clear" w:color="auto" w:fill="FFFFFF" w:themeFill="background1"/>
            <w:vAlign w:val="center"/>
          </w:tcPr>
          <w:p w14:paraId="447A5FE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2,579.43</w:t>
            </w:r>
          </w:p>
        </w:tc>
        <w:tc>
          <w:tcPr>
            <w:tcW w:w="1188" w:type="dxa"/>
            <w:shd w:val="clear" w:color="auto" w:fill="FFFFFF" w:themeFill="background1"/>
            <w:vAlign w:val="center"/>
          </w:tcPr>
          <w:p w14:paraId="25BD383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716" w:type="dxa"/>
            <w:gridSpan w:val="2"/>
            <w:shd w:val="clear" w:color="auto" w:fill="FFFFFF" w:themeFill="background1"/>
            <w:vAlign w:val="center"/>
          </w:tcPr>
          <w:p w14:paraId="672385E0" w14:textId="77777777" w:rsidR="00632E5B" w:rsidRDefault="00632E5B">
            <w:pPr>
              <w:spacing w:line="240" w:lineRule="exact"/>
              <w:rPr>
                <w:rFonts w:ascii="宋体" w:eastAsia="宋体" w:hAnsi="宋体" w:cs="宋体" w:hint="eastAsia"/>
                <w:sz w:val="18"/>
                <w:szCs w:val="18"/>
              </w:rPr>
            </w:pPr>
          </w:p>
        </w:tc>
        <w:tc>
          <w:tcPr>
            <w:tcW w:w="876" w:type="dxa"/>
            <w:shd w:val="clear" w:color="auto" w:fill="FFFFFF" w:themeFill="background1"/>
            <w:vAlign w:val="center"/>
          </w:tcPr>
          <w:p w14:paraId="58D3DD08" w14:textId="77777777" w:rsidR="00632E5B" w:rsidRDefault="00632E5B">
            <w:pPr>
              <w:spacing w:line="240" w:lineRule="exact"/>
              <w:rPr>
                <w:rFonts w:ascii="宋体" w:eastAsia="宋体" w:hAnsi="宋体" w:cs="宋体" w:hint="eastAsia"/>
                <w:sz w:val="18"/>
                <w:szCs w:val="18"/>
              </w:rPr>
            </w:pPr>
          </w:p>
        </w:tc>
        <w:tc>
          <w:tcPr>
            <w:tcW w:w="959" w:type="dxa"/>
            <w:shd w:val="clear" w:color="auto" w:fill="FFFFFF" w:themeFill="background1"/>
            <w:vAlign w:val="center"/>
          </w:tcPr>
          <w:p w14:paraId="52D3630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债务履行完毕之日</w:t>
            </w:r>
          </w:p>
        </w:tc>
        <w:tc>
          <w:tcPr>
            <w:tcW w:w="876" w:type="dxa"/>
            <w:shd w:val="clear" w:color="auto" w:fill="FFFFFF" w:themeFill="background1"/>
            <w:vAlign w:val="center"/>
          </w:tcPr>
          <w:p w14:paraId="128A1B2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534" w:type="dxa"/>
            <w:shd w:val="clear" w:color="auto" w:fill="FFFFFF" w:themeFill="background1"/>
            <w:vAlign w:val="center"/>
          </w:tcPr>
          <w:p w14:paraId="5741197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32F6D4D9" w14:textId="77777777" w:rsidTr="00926621">
        <w:trPr>
          <w:trHeight w:val="240"/>
        </w:trPr>
        <w:tc>
          <w:tcPr>
            <w:tcW w:w="1589" w:type="dxa"/>
            <w:shd w:val="clear" w:color="auto" w:fill="FFFFFF" w:themeFill="background1"/>
            <w:vAlign w:val="center"/>
          </w:tcPr>
          <w:p w14:paraId="5AF210F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沛县腾晖新能源技术有限公司</w:t>
            </w:r>
          </w:p>
        </w:tc>
        <w:tc>
          <w:tcPr>
            <w:tcW w:w="1844" w:type="dxa"/>
            <w:shd w:val="clear" w:color="auto" w:fill="FFFFFF" w:themeFill="background1"/>
            <w:vAlign w:val="center"/>
          </w:tcPr>
          <w:p w14:paraId="1380DD4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2021年01月06日</w:t>
            </w:r>
          </w:p>
        </w:tc>
        <w:tc>
          <w:tcPr>
            <w:tcW w:w="1114" w:type="dxa"/>
            <w:shd w:val="clear" w:color="auto" w:fill="FFFFFF" w:themeFill="background1"/>
            <w:vAlign w:val="center"/>
          </w:tcPr>
          <w:p w14:paraId="51B5733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7,350</w:t>
            </w:r>
          </w:p>
        </w:tc>
        <w:tc>
          <w:tcPr>
            <w:tcW w:w="1881" w:type="dxa"/>
            <w:gridSpan w:val="2"/>
            <w:shd w:val="clear" w:color="auto" w:fill="FFFFFF" w:themeFill="background1"/>
            <w:vAlign w:val="center"/>
          </w:tcPr>
          <w:p w14:paraId="3912B67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2021年07月20日</w:t>
            </w:r>
          </w:p>
        </w:tc>
        <w:tc>
          <w:tcPr>
            <w:tcW w:w="1062" w:type="dxa"/>
            <w:shd w:val="clear" w:color="auto" w:fill="FFFFFF" w:themeFill="background1"/>
            <w:vAlign w:val="center"/>
          </w:tcPr>
          <w:p w14:paraId="1DEEBBC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742.67</w:t>
            </w:r>
          </w:p>
        </w:tc>
        <w:tc>
          <w:tcPr>
            <w:tcW w:w="1188" w:type="dxa"/>
            <w:shd w:val="clear" w:color="auto" w:fill="FFFFFF" w:themeFill="background1"/>
            <w:vAlign w:val="center"/>
          </w:tcPr>
          <w:p w14:paraId="6AA5FB1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716" w:type="dxa"/>
            <w:gridSpan w:val="2"/>
            <w:shd w:val="clear" w:color="auto" w:fill="FFFFFF" w:themeFill="background1"/>
            <w:vAlign w:val="center"/>
          </w:tcPr>
          <w:p w14:paraId="7C9E4D43" w14:textId="77777777" w:rsidR="00632E5B" w:rsidRDefault="00632E5B">
            <w:pPr>
              <w:spacing w:line="240" w:lineRule="exact"/>
              <w:rPr>
                <w:rFonts w:ascii="宋体" w:eastAsia="宋体" w:hAnsi="宋体" w:cs="宋体" w:hint="eastAsia"/>
                <w:sz w:val="18"/>
                <w:szCs w:val="18"/>
              </w:rPr>
            </w:pPr>
          </w:p>
        </w:tc>
        <w:tc>
          <w:tcPr>
            <w:tcW w:w="876" w:type="dxa"/>
            <w:shd w:val="clear" w:color="auto" w:fill="FFFFFF" w:themeFill="background1"/>
            <w:vAlign w:val="center"/>
          </w:tcPr>
          <w:p w14:paraId="6006EE1C" w14:textId="77777777" w:rsidR="00632E5B" w:rsidRDefault="00632E5B">
            <w:pPr>
              <w:spacing w:line="240" w:lineRule="exact"/>
              <w:rPr>
                <w:rFonts w:ascii="宋体" w:eastAsia="宋体" w:hAnsi="宋体" w:cs="宋体" w:hint="eastAsia"/>
                <w:sz w:val="18"/>
                <w:szCs w:val="18"/>
              </w:rPr>
            </w:pPr>
          </w:p>
        </w:tc>
        <w:tc>
          <w:tcPr>
            <w:tcW w:w="959" w:type="dxa"/>
            <w:shd w:val="clear" w:color="auto" w:fill="FFFFFF" w:themeFill="background1"/>
            <w:vAlign w:val="center"/>
          </w:tcPr>
          <w:p w14:paraId="04E9A23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债务履行完毕之日</w:t>
            </w:r>
          </w:p>
        </w:tc>
        <w:tc>
          <w:tcPr>
            <w:tcW w:w="876" w:type="dxa"/>
            <w:shd w:val="clear" w:color="auto" w:fill="FFFFFF" w:themeFill="background1"/>
            <w:vAlign w:val="center"/>
          </w:tcPr>
          <w:p w14:paraId="1201872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534" w:type="dxa"/>
            <w:shd w:val="clear" w:color="auto" w:fill="FFFFFF" w:themeFill="background1"/>
            <w:vAlign w:val="center"/>
          </w:tcPr>
          <w:p w14:paraId="5FAAB53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68D1A639" w14:textId="77777777" w:rsidTr="00926621">
        <w:trPr>
          <w:trHeight w:val="240"/>
        </w:trPr>
        <w:tc>
          <w:tcPr>
            <w:tcW w:w="1589" w:type="dxa"/>
            <w:shd w:val="clear" w:color="auto" w:fill="FFFFFF" w:themeFill="background1"/>
            <w:vAlign w:val="center"/>
          </w:tcPr>
          <w:p w14:paraId="425068D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泗阳腾晖光电有限公司</w:t>
            </w:r>
          </w:p>
        </w:tc>
        <w:tc>
          <w:tcPr>
            <w:tcW w:w="1844" w:type="dxa"/>
            <w:shd w:val="clear" w:color="auto" w:fill="FFFFFF" w:themeFill="background1"/>
            <w:vAlign w:val="center"/>
          </w:tcPr>
          <w:p w14:paraId="21D1E78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2021年12月29日</w:t>
            </w:r>
          </w:p>
        </w:tc>
        <w:tc>
          <w:tcPr>
            <w:tcW w:w="1114" w:type="dxa"/>
            <w:shd w:val="clear" w:color="auto" w:fill="FFFFFF" w:themeFill="background1"/>
            <w:vAlign w:val="center"/>
          </w:tcPr>
          <w:p w14:paraId="0CACECF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5,480.19</w:t>
            </w:r>
          </w:p>
        </w:tc>
        <w:tc>
          <w:tcPr>
            <w:tcW w:w="1881" w:type="dxa"/>
            <w:gridSpan w:val="2"/>
            <w:shd w:val="clear" w:color="auto" w:fill="FFFFFF" w:themeFill="background1"/>
            <w:vAlign w:val="center"/>
          </w:tcPr>
          <w:p w14:paraId="610B399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2022年10月31日</w:t>
            </w:r>
          </w:p>
        </w:tc>
        <w:tc>
          <w:tcPr>
            <w:tcW w:w="1062" w:type="dxa"/>
            <w:shd w:val="clear" w:color="auto" w:fill="FFFFFF" w:themeFill="background1"/>
            <w:vAlign w:val="center"/>
          </w:tcPr>
          <w:p w14:paraId="06AD0D6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1,116.92</w:t>
            </w:r>
          </w:p>
        </w:tc>
        <w:tc>
          <w:tcPr>
            <w:tcW w:w="1188" w:type="dxa"/>
            <w:shd w:val="clear" w:color="auto" w:fill="FFFFFF" w:themeFill="background1"/>
            <w:vAlign w:val="center"/>
          </w:tcPr>
          <w:p w14:paraId="37E70C9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抵押</w:t>
            </w:r>
          </w:p>
        </w:tc>
        <w:tc>
          <w:tcPr>
            <w:tcW w:w="716" w:type="dxa"/>
            <w:gridSpan w:val="2"/>
            <w:shd w:val="clear" w:color="auto" w:fill="FFFFFF" w:themeFill="background1"/>
            <w:vAlign w:val="center"/>
          </w:tcPr>
          <w:p w14:paraId="35D9F7B5" w14:textId="77777777" w:rsidR="00632E5B" w:rsidRDefault="00632E5B">
            <w:pPr>
              <w:spacing w:line="240" w:lineRule="exact"/>
              <w:rPr>
                <w:rFonts w:ascii="宋体" w:eastAsia="宋体" w:hAnsi="宋体" w:cs="宋体" w:hint="eastAsia"/>
                <w:sz w:val="18"/>
                <w:szCs w:val="18"/>
              </w:rPr>
            </w:pPr>
          </w:p>
        </w:tc>
        <w:tc>
          <w:tcPr>
            <w:tcW w:w="876" w:type="dxa"/>
            <w:shd w:val="clear" w:color="auto" w:fill="FFFFFF" w:themeFill="background1"/>
            <w:vAlign w:val="center"/>
          </w:tcPr>
          <w:p w14:paraId="0600BD37" w14:textId="77777777" w:rsidR="00632E5B" w:rsidRDefault="00632E5B">
            <w:pPr>
              <w:spacing w:line="240" w:lineRule="exact"/>
              <w:rPr>
                <w:rFonts w:ascii="宋体" w:eastAsia="宋体" w:hAnsi="宋体" w:cs="宋体" w:hint="eastAsia"/>
                <w:sz w:val="18"/>
                <w:szCs w:val="18"/>
              </w:rPr>
            </w:pPr>
          </w:p>
        </w:tc>
        <w:tc>
          <w:tcPr>
            <w:tcW w:w="959" w:type="dxa"/>
            <w:shd w:val="clear" w:color="auto" w:fill="FFFFFF" w:themeFill="background1"/>
            <w:vAlign w:val="center"/>
          </w:tcPr>
          <w:p w14:paraId="65678E04" w14:textId="684BC1EA" w:rsidR="00632E5B" w:rsidRDefault="00A1342E">
            <w:pPr>
              <w:spacing w:line="240" w:lineRule="exact"/>
              <w:rPr>
                <w:rFonts w:ascii="宋体" w:eastAsia="宋体" w:hAnsi="宋体" w:cs="宋体" w:hint="eastAsia"/>
                <w:sz w:val="18"/>
                <w:szCs w:val="18"/>
              </w:rPr>
            </w:pPr>
            <w:r w:rsidRPr="00412B10">
              <w:rPr>
                <w:rFonts w:ascii="宋体" w:eastAsia="宋体" w:hAnsi="宋体" w:cs="宋体" w:hint="eastAsia"/>
                <w:sz w:val="18"/>
                <w:szCs w:val="18"/>
              </w:rPr>
              <w:t>债务履行完毕之日</w:t>
            </w:r>
          </w:p>
        </w:tc>
        <w:tc>
          <w:tcPr>
            <w:tcW w:w="876" w:type="dxa"/>
            <w:shd w:val="clear" w:color="auto" w:fill="FFFFFF" w:themeFill="background1"/>
            <w:vAlign w:val="center"/>
          </w:tcPr>
          <w:p w14:paraId="50C021A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534" w:type="dxa"/>
            <w:shd w:val="clear" w:color="auto" w:fill="FFFFFF" w:themeFill="background1"/>
            <w:vAlign w:val="center"/>
          </w:tcPr>
          <w:p w14:paraId="75D789E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558153E0" w14:textId="77777777" w:rsidTr="00926621">
        <w:trPr>
          <w:trHeight w:val="240"/>
        </w:trPr>
        <w:tc>
          <w:tcPr>
            <w:tcW w:w="1589" w:type="dxa"/>
            <w:shd w:val="clear" w:color="auto" w:fill="FFFFFF" w:themeFill="background1"/>
            <w:vAlign w:val="center"/>
          </w:tcPr>
          <w:p w14:paraId="4DE2D41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TS ENERGY ROOFTOPS S.R.L.</w:t>
            </w:r>
          </w:p>
        </w:tc>
        <w:tc>
          <w:tcPr>
            <w:tcW w:w="1844" w:type="dxa"/>
            <w:shd w:val="clear" w:color="auto" w:fill="FFFFFF" w:themeFill="background1"/>
            <w:vAlign w:val="center"/>
          </w:tcPr>
          <w:p w14:paraId="11F03C9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2020年01月07日</w:t>
            </w:r>
          </w:p>
        </w:tc>
        <w:tc>
          <w:tcPr>
            <w:tcW w:w="1114" w:type="dxa"/>
            <w:shd w:val="clear" w:color="auto" w:fill="FFFFFF" w:themeFill="background1"/>
            <w:vAlign w:val="center"/>
          </w:tcPr>
          <w:p w14:paraId="485167D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225.77</w:t>
            </w:r>
          </w:p>
        </w:tc>
        <w:tc>
          <w:tcPr>
            <w:tcW w:w="1881" w:type="dxa"/>
            <w:gridSpan w:val="2"/>
            <w:shd w:val="clear" w:color="auto" w:fill="FFFFFF" w:themeFill="background1"/>
            <w:vAlign w:val="center"/>
          </w:tcPr>
          <w:p w14:paraId="7608732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2020年12月23日</w:t>
            </w:r>
          </w:p>
        </w:tc>
        <w:tc>
          <w:tcPr>
            <w:tcW w:w="1062" w:type="dxa"/>
            <w:shd w:val="clear" w:color="auto" w:fill="FFFFFF" w:themeFill="background1"/>
            <w:vAlign w:val="center"/>
          </w:tcPr>
          <w:p w14:paraId="3D374C4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225.77</w:t>
            </w:r>
          </w:p>
        </w:tc>
        <w:tc>
          <w:tcPr>
            <w:tcW w:w="1188" w:type="dxa"/>
            <w:shd w:val="clear" w:color="auto" w:fill="FFFFFF" w:themeFill="background1"/>
            <w:vAlign w:val="center"/>
          </w:tcPr>
          <w:p w14:paraId="0D7726C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716" w:type="dxa"/>
            <w:gridSpan w:val="2"/>
            <w:shd w:val="clear" w:color="auto" w:fill="FFFFFF" w:themeFill="background1"/>
            <w:vAlign w:val="center"/>
          </w:tcPr>
          <w:p w14:paraId="2F175CFC" w14:textId="77777777" w:rsidR="00632E5B" w:rsidRDefault="00632E5B">
            <w:pPr>
              <w:spacing w:line="240" w:lineRule="exact"/>
              <w:rPr>
                <w:rFonts w:ascii="宋体" w:eastAsia="宋体" w:hAnsi="宋体" w:cs="宋体" w:hint="eastAsia"/>
                <w:sz w:val="18"/>
                <w:szCs w:val="18"/>
              </w:rPr>
            </w:pPr>
          </w:p>
        </w:tc>
        <w:tc>
          <w:tcPr>
            <w:tcW w:w="876" w:type="dxa"/>
            <w:shd w:val="clear" w:color="auto" w:fill="FFFFFF" w:themeFill="background1"/>
            <w:vAlign w:val="center"/>
          </w:tcPr>
          <w:p w14:paraId="2E570E55" w14:textId="77777777" w:rsidR="00632E5B" w:rsidRDefault="00632E5B">
            <w:pPr>
              <w:spacing w:line="240" w:lineRule="exact"/>
              <w:rPr>
                <w:rFonts w:ascii="宋体" w:eastAsia="宋体" w:hAnsi="宋体" w:cs="宋体" w:hint="eastAsia"/>
                <w:sz w:val="18"/>
                <w:szCs w:val="18"/>
              </w:rPr>
            </w:pPr>
          </w:p>
        </w:tc>
        <w:tc>
          <w:tcPr>
            <w:tcW w:w="959" w:type="dxa"/>
            <w:shd w:val="clear" w:color="auto" w:fill="FFFFFF" w:themeFill="background1"/>
            <w:vAlign w:val="center"/>
          </w:tcPr>
          <w:p w14:paraId="5CCDA41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十二年</w:t>
            </w:r>
          </w:p>
        </w:tc>
        <w:tc>
          <w:tcPr>
            <w:tcW w:w="876" w:type="dxa"/>
            <w:shd w:val="clear" w:color="auto" w:fill="FFFFFF" w:themeFill="background1"/>
            <w:vAlign w:val="center"/>
          </w:tcPr>
          <w:p w14:paraId="581D4F6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534" w:type="dxa"/>
            <w:shd w:val="clear" w:color="auto" w:fill="FFFFFF" w:themeFill="background1"/>
            <w:vAlign w:val="center"/>
          </w:tcPr>
          <w:p w14:paraId="777B6FE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161D3B65" w14:textId="77777777" w:rsidTr="00926621">
        <w:trPr>
          <w:trHeight w:val="240"/>
        </w:trPr>
        <w:tc>
          <w:tcPr>
            <w:tcW w:w="1589" w:type="dxa"/>
            <w:shd w:val="clear" w:color="auto" w:fill="FFFFFF" w:themeFill="background1"/>
            <w:vAlign w:val="center"/>
          </w:tcPr>
          <w:p w14:paraId="5D7B998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TS ENERGY EUROPE S.A.</w:t>
            </w:r>
          </w:p>
        </w:tc>
        <w:tc>
          <w:tcPr>
            <w:tcW w:w="1844" w:type="dxa"/>
            <w:shd w:val="clear" w:color="auto" w:fill="FFFFFF" w:themeFill="background1"/>
            <w:vAlign w:val="center"/>
          </w:tcPr>
          <w:p w14:paraId="69BECCF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2018年01月25日</w:t>
            </w:r>
          </w:p>
        </w:tc>
        <w:tc>
          <w:tcPr>
            <w:tcW w:w="1114" w:type="dxa"/>
            <w:shd w:val="clear" w:color="auto" w:fill="FFFFFF" w:themeFill="background1"/>
            <w:vAlign w:val="center"/>
          </w:tcPr>
          <w:p w14:paraId="57CA7E5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29,375.14</w:t>
            </w:r>
          </w:p>
        </w:tc>
        <w:tc>
          <w:tcPr>
            <w:tcW w:w="1881" w:type="dxa"/>
            <w:gridSpan w:val="2"/>
            <w:shd w:val="clear" w:color="auto" w:fill="FFFFFF" w:themeFill="background1"/>
            <w:vAlign w:val="center"/>
          </w:tcPr>
          <w:p w14:paraId="0E5DC28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2018年12月01日</w:t>
            </w:r>
          </w:p>
        </w:tc>
        <w:tc>
          <w:tcPr>
            <w:tcW w:w="1062" w:type="dxa"/>
            <w:shd w:val="clear" w:color="auto" w:fill="FFFFFF" w:themeFill="background1"/>
            <w:vAlign w:val="center"/>
          </w:tcPr>
          <w:p w14:paraId="3DFD40C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29,375.14</w:t>
            </w:r>
          </w:p>
        </w:tc>
        <w:tc>
          <w:tcPr>
            <w:tcW w:w="1188" w:type="dxa"/>
            <w:shd w:val="clear" w:color="auto" w:fill="FFFFFF" w:themeFill="background1"/>
            <w:vAlign w:val="center"/>
          </w:tcPr>
          <w:p w14:paraId="37AA52C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716" w:type="dxa"/>
            <w:gridSpan w:val="2"/>
            <w:shd w:val="clear" w:color="auto" w:fill="FFFFFF" w:themeFill="background1"/>
            <w:vAlign w:val="center"/>
          </w:tcPr>
          <w:p w14:paraId="1C358EC2" w14:textId="77777777" w:rsidR="00632E5B" w:rsidRDefault="00632E5B">
            <w:pPr>
              <w:spacing w:line="240" w:lineRule="exact"/>
              <w:rPr>
                <w:rFonts w:ascii="宋体" w:eastAsia="宋体" w:hAnsi="宋体" w:cs="宋体" w:hint="eastAsia"/>
                <w:sz w:val="18"/>
                <w:szCs w:val="18"/>
              </w:rPr>
            </w:pPr>
          </w:p>
        </w:tc>
        <w:tc>
          <w:tcPr>
            <w:tcW w:w="876" w:type="dxa"/>
            <w:shd w:val="clear" w:color="auto" w:fill="FFFFFF" w:themeFill="background1"/>
            <w:vAlign w:val="center"/>
          </w:tcPr>
          <w:p w14:paraId="4DB25762" w14:textId="77777777" w:rsidR="00632E5B" w:rsidRDefault="00632E5B">
            <w:pPr>
              <w:spacing w:line="240" w:lineRule="exact"/>
              <w:rPr>
                <w:rFonts w:ascii="宋体" w:eastAsia="宋体" w:hAnsi="宋体" w:cs="宋体" w:hint="eastAsia"/>
                <w:sz w:val="18"/>
                <w:szCs w:val="18"/>
              </w:rPr>
            </w:pPr>
          </w:p>
        </w:tc>
        <w:tc>
          <w:tcPr>
            <w:tcW w:w="959" w:type="dxa"/>
            <w:shd w:val="clear" w:color="auto" w:fill="FFFFFF" w:themeFill="background1"/>
            <w:vAlign w:val="center"/>
          </w:tcPr>
          <w:p w14:paraId="4DCF193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十年</w:t>
            </w:r>
          </w:p>
        </w:tc>
        <w:tc>
          <w:tcPr>
            <w:tcW w:w="876" w:type="dxa"/>
            <w:shd w:val="clear" w:color="auto" w:fill="FFFFFF" w:themeFill="background1"/>
            <w:vAlign w:val="center"/>
          </w:tcPr>
          <w:p w14:paraId="1D06A82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534" w:type="dxa"/>
            <w:shd w:val="clear" w:color="auto" w:fill="FFFFFF" w:themeFill="background1"/>
            <w:vAlign w:val="center"/>
          </w:tcPr>
          <w:p w14:paraId="236C8B0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37EA61F8" w14:textId="77777777" w:rsidTr="00926621">
        <w:trPr>
          <w:trHeight w:val="240"/>
        </w:trPr>
        <w:tc>
          <w:tcPr>
            <w:tcW w:w="3433" w:type="dxa"/>
            <w:gridSpan w:val="2"/>
            <w:shd w:val="clear" w:color="auto" w:fill="FFFFFF" w:themeFill="background1"/>
            <w:vAlign w:val="center"/>
          </w:tcPr>
          <w:p w14:paraId="7A7C5499"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报告期内审批的对外担保额度合计（A1）</w:t>
            </w:r>
          </w:p>
        </w:tc>
        <w:tc>
          <w:tcPr>
            <w:tcW w:w="2995" w:type="dxa"/>
            <w:gridSpan w:val="3"/>
            <w:shd w:val="clear" w:color="auto" w:fill="FFFFFF" w:themeFill="background1"/>
            <w:vAlign w:val="center"/>
          </w:tcPr>
          <w:p w14:paraId="0EC679A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2273" w:type="dxa"/>
            <w:gridSpan w:val="3"/>
            <w:shd w:val="clear" w:color="auto" w:fill="FFFFFF" w:themeFill="background1"/>
            <w:vAlign w:val="center"/>
          </w:tcPr>
          <w:p w14:paraId="6F35D01C"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报告期内对外担保实际发生额合计（A2）</w:t>
            </w:r>
          </w:p>
        </w:tc>
        <w:tc>
          <w:tcPr>
            <w:tcW w:w="4938" w:type="dxa"/>
            <w:gridSpan w:val="5"/>
            <w:shd w:val="clear" w:color="auto" w:fill="FFFFFF" w:themeFill="background1"/>
            <w:vAlign w:val="center"/>
          </w:tcPr>
          <w:p w14:paraId="7E7DB73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632E5B" w14:paraId="244289CA" w14:textId="77777777" w:rsidTr="00926621">
        <w:trPr>
          <w:trHeight w:val="240"/>
        </w:trPr>
        <w:tc>
          <w:tcPr>
            <w:tcW w:w="3433" w:type="dxa"/>
            <w:gridSpan w:val="2"/>
            <w:shd w:val="clear" w:color="auto" w:fill="FFFFFF" w:themeFill="background1"/>
            <w:vAlign w:val="center"/>
          </w:tcPr>
          <w:p w14:paraId="35BD285B"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lastRenderedPageBreak/>
              <w:t>报告期末已审批的对外担保额度合计（A3）</w:t>
            </w:r>
          </w:p>
        </w:tc>
        <w:tc>
          <w:tcPr>
            <w:tcW w:w="2995" w:type="dxa"/>
            <w:gridSpan w:val="3"/>
            <w:shd w:val="clear" w:color="auto" w:fill="FFFFFF" w:themeFill="background1"/>
            <w:vAlign w:val="center"/>
          </w:tcPr>
          <w:p w14:paraId="34C20CE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134,234.38</w:t>
            </w:r>
          </w:p>
        </w:tc>
        <w:tc>
          <w:tcPr>
            <w:tcW w:w="2273" w:type="dxa"/>
            <w:gridSpan w:val="3"/>
            <w:shd w:val="clear" w:color="auto" w:fill="FFFFFF" w:themeFill="background1"/>
            <w:vAlign w:val="center"/>
          </w:tcPr>
          <w:p w14:paraId="13764F64"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报告期末实际对外担保余额合计（A4）</w:t>
            </w:r>
          </w:p>
        </w:tc>
        <w:tc>
          <w:tcPr>
            <w:tcW w:w="4938" w:type="dxa"/>
            <w:gridSpan w:val="5"/>
            <w:shd w:val="clear" w:color="auto" w:fill="FFFFFF" w:themeFill="background1"/>
            <w:vAlign w:val="center"/>
          </w:tcPr>
          <w:p w14:paraId="3CD075C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85,783.8</w:t>
            </w:r>
          </w:p>
        </w:tc>
      </w:tr>
      <w:tr w:rsidR="00632E5B" w14:paraId="2DA55CED" w14:textId="77777777" w:rsidTr="00926621">
        <w:trPr>
          <w:trHeight w:val="240"/>
        </w:trPr>
        <w:tc>
          <w:tcPr>
            <w:tcW w:w="13639" w:type="dxa"/>
            <w:gridSpan w:val="13"/>
            <w:shd w:val="clear" w:color="auto" w:fill="FFFFFF" w:themeFill="background1"/>
            <w:vAlign w:val="center"/>
          </w:tcPr>
          <w:p w14:paraId="27ACDCF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公司对子公司的担保情况</w:t>
            </w:r>
          </w:p>
        </w:tc>
      </w:tr>
      <w:tr w:rsidR="00C91C3D" w14:paraId="0768D40F" w14:textId="77777777" w:rsidTr="00926621">
        <w:trPr>
          <w:trHeight w:val="240"/>
        </w:trPr>
        <w:tc>
          <w:tcPr>
            <w:tcW w:w="1589" w:type="dxa"/>
            <w:shd w:val="clear" w:color="auto" w:fill="FFFFFF" w:themeFill="background1"/>
            <w:vAlign w:val="center"/>
          </w:tcPr>
          <w:p w14:paraId="3BEAB33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担保对象名称</w:t>
            </w:r>
          </w:p>
        </w:tc>
        <w:tc>
          <w:tcPr>
            <w:tcW w:w="1844" w:type="dxa"/>
            <w:shd w:val="clear" w:color="auto" w:fill="FFFFFF" w:themeFill="background1"/>
            <w:vAlign w:val="center"/>
          </w:tcPr>
          <w:p w14:paraId="35EAD50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担保额度相关公告披露日期</w:t>
            </w:r>
          </w:p>
        </w:tc>
        <w:tc>
          <w:tcPr>
            <w:tcW w:w="1114" w:type="dxa"/>
            <w:shd w:val="clear" w:color="auto" w:fill="FFFFFF" w:themeFill="background1"/>
            <w:vAlign w:val="center"/>
          </w:tcPr>
          <w:p w14:paraId="0CFBF57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担保额度</w:t>
            </w:r>
          </w:p>
        </w:tc>
        <w:tc>
          <w:tcPr>
            <w:tcW w:w="1881" w:type="dxa"/>
            <w:gridSpan w:val="2"/>
            <w:shd w:val="clear" w:color="auto" w:fill="FFFFFF" w:themeFill="background1"/>
            <w:vAlign w:val="center"/>
          </w:tcPr>
          <w:p w14:paraId="3903BFD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实际发生日期</w:t>
            </w:r>
          </w:p>
        </w:tc>
        <w:tc>
          <w:tcPr>
            <w:tcW w:w="1062" w:type="dxa"/>
            <w:shd w:val="clear" w:color="auto" w:fill="FFFFFF" w:themeFill="background1"/>
            <w:vAlign w:val="center"/>
          </w:tcPr>
          <w:p w14:paraId="5FE3D2D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实际担保金额</w:t>
            </w:r>
          </w:p>
        </w:tc>
        <w:tc>
          <w:tcPr>
            <w:tcW w:w="1188" w:type="dxa"/>
            <w:shd w:val="clear" w:color="auto" w:fill="FFFFFF" w:themeFill="background1"/>
            <w:vAlign w:val="center"/>
          </w:tcPr>
          <w:p w14:paraId="421BF78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担保类型</w:t>
            </w:r>
          </w:p>
        </w:tc>
        <w:tc>
          <w:tcPr>
            <w:tcW w:w="716" w:type="dxa"/>
            <w:gridSpan w:val="2"/>
            <w:shd w:val="clear" w:color="auto" w:fill="FFFFFF" w:themeFill="background1"/>
            <w:vAlign w:val="center"/>
          </w:tcPr>
          <w:p w14:paraId="45F451E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担保物（如有）</w:t>
            </w:r>
          </w:p>
        </w:tc>
        <w:tc>
          <w:tcPr>
            <w:tcW w:w="876" w:type="dxa"/>
            <w:shd w:val="clear" w:color="auto" w:fill="FFFFFF" w:themeFill="background1"/>
            <w:vAlign w:val="center"/>
          </w:tcPr>
          <w:p w14:paraId="48F6226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反担保情况（如有）</w:t>
            </w:r>
          </w:p>
        </w:tc>
        <w:tc>
          <w:tcPr>
            <w:tcW w:w="959" w:type="dxa"/>
            <w:shd w:val="clear" w:color="auto" w:fill="FFFFFF" w:themeFill="background1"/>
            <w:vAlign w:val="center"/>
          </w:tcPr>
          <w:p w14:paraId="2592479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担保期</w:t>
            </w:r>
          </w:p>
        </w:tc>
        <w:tc>
          <w:tcPr>
            <w:tcW w:w="876" w:type="dxa"/>
            <w:shd w:val="clear" w:color="auto" w:fill="FFFFFF" w:themeFill="background1"/>
            <w:vAlign w:val="center"/>
          </w:tcPr>
          <w:p w14:paraId="77D26AD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是否履行完毕</w:t>
            </w:r>
          </w:p>
        </w:tc>
        <w:tc>
          <w:tcPr>
            <w:tcW w:w="1534" w:type="dxa"/>
            <w:shd w:val="clear" w:color="auto" w:fill="FFFFFF" w:themeFill="background1"/>
            <w:vAlign w:val="center"/>
          </w:tcPr>
          <w:p w14:paraId="5E58956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是否为关联方担保</w:t>
            </w:r>
          </w:p>
        </w:tc>
      </w:tr>
      <w:tr w:rsidR="00632E5B" w14:paraId="770E11A7" w14:textId="77777777" w:rsidTr="00926621">
        <w:trPr>
          <w:trHeight w:val="240"/>
        </w:trPr>
        <w:tc>
          <w:tcPr>
            <w:tcW w:w="1589" w:type="dxa"/>
            <w:shd w:val="clear" w:color="auto" w:fill="FFFFFF" w:themeFill="background1"/>
            <w:vAlign w:val="center"/>
          </w:tcPr>
          <w:p w14:paraId="5B9C010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常州船用电缆有限责任公司</w:t>
            </w:r>
          </w:p>
        </w:tc>
        <w:tc>
          <w:tcPr>
            <w:tcW w:w="1844" w:type="dxa"/>
            <w:shd w:val="clear" w:color="auto" w:fill="FFFFFF" w:themeFill="background1"/>
            <w:vAlign w:val="center"/>
          </w:tcPr>
          <w:p w14:paraId="0AE0C250" w14:textId="5F93E733"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w:t>
            </w:r>
            <w:r w:rsidR="00AB68F1">
              <w:rPr>
                <w:rFonts w:ascii="宋体" w:eastAsia="宋体" w:hAnsi="宋体" w:cs="宋体"/>
                <w:sz w:val="18"/>
                <w:szCs w:val="18"/>
              </w:rPr>
              <w:t>03</w:t>
            </w:r>
            <w:r>
              <w:rPr>
                <w:rFonts w:ascii="宋体" w:eastAsia="宋体" w:hAnsi="宋体" w:cs="宋体"/>
                <w:sz w:val="18"/>
                <w:szCs w:val="18"/>
              </w:rPr>
              <w:t>月</w:t>
            </w:r>
            <w:r w:rsidR="00AB68F1">
              <w:rPr>
                <w:rFonts w:ascii="宋体" w:eastAsia="宋体" w:hAnsi="宋体" w:cs="宋体"/>
                <w:sz w:val="18"/>
                <w:szCs w:val="18"/>
              </w:rPr>
              <w:t>01</w:t>
            </w:r>
            <w:r>
              <w:rPr>
                <w:rFonts w:ascii="宋体" w:eastAsia="宋体" w:hAnsi="宋体" w:cs="宋体"/>
                <w:sz w:val="18"/>
                <w:szCs w:val="18"/>
              </w:rPr>
              <w:t>日</w:t>
            </w:r>
          </w:p>
        </w:tc>
        <w:tc>
          <w:tcPr>
            <w:tcW w:w="1114" w:type="dxa"/>
            <w:shd w:val="clear" w:color="auto" w:fill="FFFFFF" w:themeFill="background1"/>
            <w:vAlign w:val="center"/>
          </w:tcPr>
          <w:p w14:paraId="6B8B3D3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252.74</w:t>
            </w:r>
          </w:p>
        </w:tc>
        <w:tc>
          <w:tcPr>
            <w:tcW w:w="1881" w:type="dxa"/>
            <w:gridSpan w:val="2"/>
            <w:shd w:val="clear" w:color="auto" w:fill="FFFFFF" w:themeFill="background1"/>
            <w:vAlign w:val="center"/>
          </w:tcPr>
          <w:p w14:paraId="57B7819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2024年12月12日</w:t>
            </w:r>
          </w:p>
        </w:tc>
        <w:tc>
          <w:tcPr>
            <w:tcW w:w="1062" w:type="dxa"/>
            <w:shd w:val="clear" w:color="auto" w:fill="FFFFFF" w:themeFill="background1"/>
            <w:vAlign w:val="center"/>
          </w:tcPr>
          <w:p w14:paraId="35F3D41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252.74</w:t>
            </w:r>
          </w:p>
        </w:tc>
        <w:tc>
          <w:tcPr>
            <w:tcW w:w="1188" w:type="dxa"/>
            <w:shd w:val="clear" w:color="auto" w:fill="FFFFFF" w:themeFill="background1"/>
            <w:vAlign w:val="center"/>
          </w:tcPr>
          <w:p w14:paraId="661BC2A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连带责任保证、抵押</w:t>
            </w:r>
          </w:p>
        </w:tc>
        <w:tc>
          <w:tcPr>
            <w:tcW w:w="716" w:type="dxa"/>
            <w:gridSpan w:val="2"/>
            <w:shd w:val="clear" w:color="auto" w:fill="FFFFFF" w:themeFill="background1"/>
            <w:vAlign w:val="center"/>
          </w:tcPr>
          <w:p w14:paraId="52077422" w14:textId="77777777" w:rsidR="00632E5B" w:rsidRDefault="00632E5B">
            <w:pPr>
              <w:spacing w:line="240" w:lineRule="exact"/>
              <w:rPr>
                <w:rFonts w:ascii="宋体" w:eastAsia="宋体" w:hAnsi="宋体" w:cs="宋体" w:hint="eastAsia"/>
                <w:sz w:val="18"/>
                <w:szCs w:val="18"/>
              </w:rPr>
            </w:pPr>
          </w:p>
        </w:tc>
        <w:tc>
          <w:tcPr>
            <w:tcW w:w="876" w:type="dxa"/>
            <w:shd w:val="clear" w:color="auto" w:fill="FFFFFF" w:themeFill="background1"/>
            <w:vAlign w:val="center"/>
          </w:tcPr>
          <w:p w14:paraId="02FF12AC" w14:textId="77777777" w:rsidR="00632E5B" w:rsidRDefault="00632E5B">
            <w:pPr>
              <w:spacing w:line="240" w:lineRule="exact"/>
              <w:rPr>
                <w:rFonts w:ascii="宋体" w:eastAsia="宋体" w:hAnsi="宋体" w:cs="宋体" w:hint="eastAsia"/>
                <w:sz w:val="18"/>
                <w:szCs w:val="18"/>
              </w:rPr>
            </w:pPr>
          </w:p>
        </w:tc>
        <w:tc>
          <w:tcPr>
            <w:tcW w:w="959" w:type="dxa"/>
            <w:shd w:val="clear" w:color="auto" w:fill="FFFFFF" w:themeFill="background1"/>
            <w:vAlign w:val="center"/>
          </w:tcPr>
          <w:p w14:paraId="0E7C0D8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八年</w:t>
            </w:r>
          </w:p>
        </w:tc>
        <w:tc>
          <w:tcPr>
            <w:tcW w:w="876" w:type="dxa"/>
            <w:shd w:val="clear" w:color="auto" w:fill="FFFFFF" w:themeFill="background1"/>
            <w:vAlign w:val="center"/>
          </w:tcPr>
          <w:p w14:paraId="4820B57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534" w:type="dxa"/>
            <w:shd w:val="clear" w:color="auto" w:fill="FFFFFF" w:themeFill="background1"/>
            <w:vAlign w:val="center"/>
          </w:tcPr>
          <w:p w14:paraId="29DF500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AB68F1" w14:paraId="770CF75E" w14:textId="77777777" w:rsidTr="00926621">
        <w:trPr>
          <w:trHeight w:val="240"/>
        </w:trPr>
        <w:tc>
          <w:tcPr>
            <w:tcW w:w="1589" w:type="dxa"/>
            <w:shd w:val="clear" w:color="auto" w:fill="FFFFFF" w:themeFill="background1"/>
            <w:vAlign w:val="center"/>
          </w:tcPr>
          <w:p w14:paraId="71C83032"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常州船用电缆有限责任公司</w:t>
            </w:r>
          </w:p>
        </w:tc>
        <w:tc>
          <w:tcPr>
            <w:tcW w:w="1844" w:type="dxa"/>
            <w:shd w:val="clear" w:color="auto" w:fill="FFFFFF" w:themeFill="background1"/>
            <w:vAlign w:val="center"/>
          </w:tcPr>
          <w:p w14:paraId="27EDEA2C" w14:textId="04EA2BA1"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2024年03月01日</w:t>
            </w:r>
          </w:p>
        </w:tc>
        <w:tc>
          <w:tcPr>
            <w:tcW w:w="1114" w:type="dxa"/>
            <w:shd w:val="clear" w:color="auto" w:fill="FFFFFF" w:themeFill="background1"/>
            <w:vAlign w:val="center"/>
          </w:tcPr>
          <w:p w14:paraId="6D3D6523" w14:textId="77777777" w:rsidR="00AB68F1" w:rsidRDefault="00AB68F1" w:rsidP="00AB68F1">
            <w:pPr>
              <w:spacing w:line="240" w:lineRule="exact"/>
              <w:jc w:val="right"/>
              <w:rPr>
                <w:rFonts w:ascii="宋体" w:eastAsia="宋体" w:hAnsi="宋体" w:cs="宋体" w:hint="eastAsia"/>
                <w:sz w:val="18"/>
                <w:szCs w:val="18"/>
              </w:rPr>
            </w:pPr>
            <w:r>
              <w:rPr>
                <w:rFonts w:ascii="宋体" w:eastAsia="宋体" w:hAnsi="宋体" w:cs="宋体"/>
                <w:sz w:val="18"/>
                <w:szCs w:val="18"/>
              </w:rPr>
              <w:t>540.58</w:t>
            </w:r>
          </w:p>
        </w:tc>
        <w:tc>
          <w:tcPr>
            <w:tcW w:w="1881" w:type="dxa"/>
            <w:gridSpan w:val="2"/>
            <w:shd w:val="clear" w:color="auto" w:fill="FFFFFF" w:themeFill="background1"/>
            <w:vAlign w:val="center"/>
          </w:tcPr>
          <w:p w14:paraId="675DD0AC"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2024年12月12日</w:t>
            </w:r>
          </w:p>
        </w:tc>
        <w:tc>
          <w:tcPr>
            <w:tcW w:w="1062" w:type="dxa"/>
            <w:shd w:val="clear" w:color="auto" w:fill="FFFFFF" w:themeFill="background1"/>
            <w:vAlign w:val="center"/>
          </w:tcPr>
          <w:p w14:paraId="151B3220" w14:textId="77777777" w:rsidR="00AB68F1" w:rsidRDefault="00AB68F1" w:rsidP="00AB68F1">
            <w:pPr>
              <w:spacing w:line="240" w:lineRule="exact"/>
              <w:jc w:val="right"/>
              <w:rPr>
                <w:rFonts w:ascii="宋体" w:eastAsia="宋体" w:hAnsi="宋体" w:cs="宋体" w:hint="eastAsia"/>
                <w:sz w:val="18"/>
                <w:szCs w:val="18"/>
              </w:rPr>
            </w:pPr>
            <w:r>
              <w:rPr>
                <w:rFonts w:ascii="宋体" w:eastAsia="宋体" w:hAnsi="宋体" w:cs="宋体"/>
                <w:sz w:val="18"/>
                <w:szCs w:val="18"/>
              </w:rPr>
              <w:t>540.58</w:t>
            </w:r>
          </w:p>
        </w:tc>
        <w:tc>
          <w:tcPr>
            <w:tcW w:w="1188" w:type="dxa"/>
            <w:shd w:val="clear" w:color="auto" w:fill="FFFFFF" w:themeFill="background1"/>
            <w:vAlign w:val="center"/>
          </w:tcPr>
          <w:p w14:paraId="4F5EAEB8"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连带责任保证、抵押</w:t>
            </w:r>
          </w:p>
        </w:tc>
        <w:tc>
          <w:tcPr>
            <w:tcW w:w="716" w:type="dxa"/>
            <w:gridSpan w:val="2"/>
            <w:shd w:val="clear" w:color="auto" w:fill="FFFFFF" w:themeFill="background1"/>
            <w:vAlign w:val="center"/>
          </w:tcPr>
          <w:p w14:paraId="7E61B26A" w14:textId="77777777" w:rsidR="00AB68F1" w:rsidRDefault="00AB68F1" w:rsidP="00AB68F1">
            <w:pPr>
              <w:spacing w:line="240" w:lineRule="exact"/>
              <w:rPr>
                <w:rFonts w:ascii="宋体" w:eastAsia="宋体" w:hAnsi="宋体" w:cs="宋体" w:hint="eastAsia"/>
                <w:sz w:val="18"/>
                <w:szCs w:val="18"/>
              </w:rPr>
            </w:pPr>
          </w:p>
        </w:tc>
        <w:tc>
          <w:tcPr>
            <w:tcW w:w="876" w:type="dxa"/>
            <w:shd w:val="clear" w:color="auto" w:fill="FFFFFF" w:themeFill="background1"/>
            <w:vAlign w:val="center"/>
          </w:tcPr>
          <w:p w14:paraId="05068A17" w14:textId="77777777" w:rsidR="00AB68F1" w:rsidRDefault="00AB68F1" w:rsidP="00AB68F1">
            <w:pPr>
              <w:spacing w:line="240" w:lineRule="exact"/>
              <w:rPr>
                <w:rFonts w:ascii="宋体" w:eastAsia="宋体" w:hAnsi="宋体" w:cs="宋体" w:hint="eastAsia"/>
                <w:sz w:val="18"/>
                <w:szCs w:val="18"/>
              </w:rPr>
            </w:pPr>
          </w:p>
        </w:tc>
        <w:tc>
          <w:tcPr>
            <w:tcW w:w="959" w:type="dxa"/>
            <w:shd w:val="clear" w:color="auto" w:fill="FFFFFF" w:themeFill="background1"/>
            <w:vAlign w:val="center"/>
          </w:tcPr>
          <w:p w14:paraId="66EC5850"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八年</w:t>
            </w:r>
          </w:p>
        </w:tc>
        <w:tc>
          <w:tcPr>
            <w:tcW w:w="876" w:type="dxa"/>
            <w:shd w:val="clear" w:color="auto" w:fill="FFFFFF" w:themeFill="background1"/>
            <w:vAlign w:val="center"/>
          </w:tcPr>
          <w:p w14:paraId="1404EB9A"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534" w:type="dxa"/>
            <w:shd w:val="clear" w:color="auto" w:fill="FFFFFF" w:themeFill="background1"/>
            <w:vAlign w:val="center"/>
          </w:tcPr>
          <w:p w14:paraId="1BCF340F"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AB68F1" w14:paraId="6C74AFBA" w14:textId="77777777" w:rsidTr="00926621">
        <w:trPr>
          <w:trHeight w:val="240"/>
        </w:trPr>
        <w:tc>
          <w:tcPr>
            <w:tcW w:w="1589" w:type="dxa"/>
            <w:shd w:val="clear" w:color="auto" w:fill="FFFFFF" w:themeFill="background1"/>
            <w:vAlign w:val="center"/>
          </w:tcPr>
          <w:p w14:paraId="477ABBC5"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辽宁中德电缆有限公司</w:t>
            </w:r>
          </w:p>
        </w:tc>
        <w:tc>
          <w:tcPr>
            <w:tcW w:w="1844" w:type="dxa"/>
            <w:shd w:val="clear" w:color="auto" w:fill="FFFFFF" w:themeFill="background1"/>
            <w:vAlign w:val="center"/>
          </w:tcPr>
          <w:p w14:paraId="4A8260B0" w14:textId="1B41748C"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2024年03月01日</w:t>
            </w:r>
          </w:p>
        </w:tc>
        <w:tc>
          <w:tcPr>
            <w:tcW w:w="1114" w:type="dxa"/>
            <w:shd w:val="clear" w:color="auto" w:fill="FFFFFF" w:themeFill="background1"/>
            <w:vAlign w:val="center"/>
          </w:tcPr>
          <w:p w14:paraId="06C41DE7" w14:textId="6E2AF3C1" w:rsidR="00AB68F1" w:rsidRDefault="00AB68F1" w:rsidP="00AB68F1">
            <w:pPr>
              <w:spacing w:line="240" w:lineRule="exact"/>
              <w:jc w:val="right"/>
              <w:rPr>
                <w:rFonts w:ascii="宋体" w:eastAsia="宋体" w:hAnsi="宋体" w:cs="宋体" w:hint="eastAsia"/>
                <w:sz w:val="18"/>
                <w:szCs w:val="18"/>
              </w:rPr>
            </w:pPr>
            <w:r>
              <w:rPr>
                <w:rFonts w:ascii="宋体" w:eastAsia="宋体" w:hAnsi="宋体" w:cs="宋体"/>
                <w:sz w:val="18"/>
                <w:szCs w:val="18"/>
              </w:rPr>
              <w:t>1,300.00</w:t>
            </w:r>
          </w:p>
        </w:tc>
        <w:tc>
          <w:tcPr>
            <w:tcW w:w="1881" w:type="dxa"/>
            <w:gridSpan w:val="2"/>
            <w:shd w:val="clear" w:color="auto" w:fill="FFFFFF" w:themeFill="background1"/>
            <w:vAlign w:val="center"/>
          </w:tcPr>
          <w:p w14:paraId="2CBBD1DA"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2024年12月12日</w:t>
            </w:r>
          </w:p>
        </w:tc>
        <w:tc>
          <w:tcPr>
            <w:tcW w:w="1062" w:type="dxa"/>
            <w:shd w:val="clear" w:color="auto" w:fill="FFFFFF" w:themeFill="background1"/>
            <w:vAlign w:val="center"/>
          </w:tcPr>
          <w:p w14:paraId="3C6E751B" w14:textId="5EFFEC43" w:rsidR="00AB68F1" w:rsidRDefault="00AB68F1" w:rsidP="00AB68F1">
            <w:pPr>
              <w:spacing w:line="240" w:lineRule="exact"/>
              <w:jc w:val="right"/>
              <w:rPr>
                <w:rFonts w:ascii="宋体" w:eastAsia="宋体" w:hAnsi="宋体" w:cs="宋体" w:hint="eastAsia"/>
                <w:sz w:val="18"/>
                <w:szCs w:val="18"/>
              </w:rPr>
            </w:pPr>
            <w:r>
              <w:rPr>
                <w:rFonts w:ascii="宋体" w:eastAsia="宋体" w:hAnsi="宋体" w:cs="宋体"/>
                <w:sz w:val="18"/>
                <w:szCs w:val="18"/>
              </w:rPr>
              <w:t>1,300.00</w:t>
            </w:r>
          </w:p>
        </w:tc>
        <w:tc>
          <w:tcPr>
            <w:tcW w:w="1188" w:type="dxa"/>
            <w:shd w:val="clear" w:color="auto" w:fill="FFFFFF" w:themeFill="background1"/>
            <w:vAlign w:val="center"/>
          </w:tcPr>
          <w:p w14:paraId="748F6FA3"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716" w:type="dxa"/>
            <w:gridSpan w:val="2"/>
            <w:shd w:val="clear" w:color="auto" w:fill="FFFFFF" w:themeFill="background1"/>
            <w:vAlign w:val="center"/>
          </w:tcPr>
          <w:p w14:paraId="3DBAB075" w14:textId="77777777" w:rsidR="00AB68F1" w:rsidRDefault="00AB68F1" w:rsidP="00AB68F1">
            <w:pPr>
              <w:spacing w:line="240" w:lineRule="exact"/>
              <w:rPr>
                <w:rFonts w:ascii="宋体" w:eastAsia="宋体" w:hAnsi="宋体" w:cs="宋体" w:hint="eastAsia"/>
                <w:sz w:val="18"/>
                <w:szCs w:val="18"/>
              </w:rPr>
            </w:pPr>
          </w:p>
        </w:tc>
        <w:tc>
          <w:tcPr>
            <w:tcW w:w="876" w:type="dxa"/>
            <w:shd w:val="clear" w:color="auto" w:fill="FFFFFF" w:themeFill="background1"/>
            <w:vAlign w:val="center"/>
          </w:tcPr>
          <w:p w14:paraId="3E10563D" w14:textId="77777777" w:rsidR="00AB68F1" w:rsidRDefault="00AB68F1" w:rsidP="00AB68F1">
            <w:pPr>
              <w:spacing w:line="240" w:lineRule="exact"/>
              <w:rPr>
                <w:rFonts w:ascii="宋体" w:eastAsia="宋体" w:hAnsi="宋体" w:cs="宋体" w:hint="eastAsia"/>
                <w:sz w:val="18"/>
                <w:szCs w:val="18"/>
              </w:rPr>
            </w:pPr>
          </w:p>
        </w:tc>
        <w:tc>
          <w:tcPr>
            <w:tcW w:w="959" w:type="dxa"/>
            <w:shd w:val="clear" w:color="auto" w:fill="FFFFFF" w:themeFill="background1"/>
            <w:vAlign w:val="center"/>
          </w:tcPr>
          <w:p w14:paraId="13C944EB"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三年</w:t>
            </w:r>
          </w:p>
        </w:tc>
        <w:tc>
          <w:tcPr>
            <w:tcW w:w="876" w:type="dxa"/>
            <w:shd w:val="clear" w:color="auto" w:fill="FFFFFF" w:themeFill="background1"/>
            <w:vAlign w:val="center"/>
          </w:tcPr>
          <w:p w14:paraId="2B65AE49"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534" w:type="dxa"/>
            <w:shd w:val="clear" w:color="auto" w:fill="FFFFFF" w:themeFill="background1"/>
            <w:vAlign w:val="center"/>
          </w:tcPr>
          <w:p w14:paraId="76DBE1DC"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AB68F1" w14:paraId="1918D5F0" w14:textId="77777777" w:rsidTr="00926621">
        <w:trPr>
          <w:trHeight w:val="240"/>
        </w:trPr>
        <w:tc>
          <w:tcPr>
            <w:tcW w:w="1589" w:type="dxa"/>
            <w:shd w:val="clear" w:color="auto" w:fill="FFFFFF" w:themeFill="background1"/>
            <w:vAlign w:val="center"/>
          </w:tcPr>
          <w:p w14:paraId="538667AF"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辽宁中德电缆有限公司</w:t>
            </w:r>
          </w:p>
        </w:tc>
        <w:tc>
          <w:tcPr>
            <w:tcW w:w="1844" w:type="dxa"/>
            <w:shd w:val="clear" w:color="auto" w:fill="FFFFFF" w:themeFill="background1"/>
            <w:vAlign w:val="center"/>
          </w:tcPr>
          <w:p w14:paraId="66447AD1" w14:textId="63C91953"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2024年03月01日</w:t>
            </w:r>
          </w:p>
        </w:tc>
        <w:tc>
          <w:tcPr>
            <w:tcW w:w="1114" w:type="dxa"/>
            <w:shd w:val="clear" w:color="auto" w:fill="FFFFFF" w:themeFill="background1"/>
            <w:vAlign w:val="center"/>
          </w:tcPr>
          <w:p w14:paraId="6C288063" w14:textId="0C4266A2" w:rsidR="00AB68F1" w:rsidRDefault="00AB68F1" w:rsidP="00AB68F1">
            <w:pPr>
              <w:spacing w:line="240" w:lineRule="exact"/>
              <w:jc w:val="right"/>
              <w:rPr>
                <w:rFonts w:ascii="宋体" w:eastAsia="宋体" w:hAnsi="宋体" w:cs="宋体" w:hint="eastAsia"/>
                <w:sz w:val="18"/>
                <w:szCs w:val="18"/>
              </w:rPr>
            </w:pPr>
            <w:r>
              <w:rPr>
                <w:rFonts w:ascii="宋体" w:eastAsia="宋体" w:hAnsi="宋体" w:cs="宋体"/>
                <w:sz w:val="18"/>
                <w:szCs w:val="18"/>
              </w:rPr>
              <w:t>640.00</w:t>
            </w:r>
          </w:p>
        </w:tc>
        <w:tc>
          <w:tcPr>
            <w:tcW w:w="1881" w:type="dxa"/>
            <w:gridSpan w:val="2"/>
            <w:shd w:val="clear" w:color="auto" w:fill="FFFFFF" w:themeFill="background1"/>
            <w:vAlign w:val="center"/>
          </w:tcPr>
          <w:p w14:paraId="68D23559"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2024年09月02日</w:t>
            </w:r>
          </w:p>
        </w:tc>
        <w:tc>
          <w:tcPr>
            <w:tcW w:w="1062" w:type="dxa"/>
            <w:shd w:val="clear" w:color="auto" w:fill="FFFFFF" w:themeFill="background1"/>
            <w:vAlign w:val="center"/>
          </w:tcPr>
          <w:p w14:paraId="63557A03" w14:textId="77777777" w:rsidR="00AB68F1" w:rsidRDefault="00AB68F1" w:rsidP="00AB68F1">
            <w:pPr>
              <w:spacing w:line="240" w:lineRule="exact"/>
              <w:jc w:val="right"/>
              <w:rPr>
                <w:rFonts w:ascii="宋体" w:eastAsia="宋体" w:hAnsi="宋体" w:cs="宋体" w:hint="eastAsia"/>
                <w:sz w:val="18"/>
                <w:szCs w:val="18"/>
              </w:rPr>
            </w:pPr>
            <w:r>
              <w:rPr>
                <w:rFonts w:ascii="宋体" w:eastAsia="宋体" w:hAnsi="宋体" w:cs="宋体"/>
                <w:sz w:val="18"/>
                <w:szCs w:val="18"/>
              </w:rPr>
              <w:t>620.88</w:t>
            </w:r>
          </w:p>
        </w:tc>
        <w:tc>
          <w:tcPr>
            <w:tcW w:w="1188" w:type="dxa"/>
            <w:shd w:val="clear" w:color="auto" w:fill="FFFFFF" w:themeFill="background1"/>
            <w:vAlign w:val="center"/>
          </w:tcPr>
          <w:p w14:paraId="6136A765"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连带责任保证、抵押</w:t>
            </w:r>
          </w:p>
        </w:tc>
        <w:tc>
          <w:tcPr>
            <w:tcW w:w="716" w:type="dxa"/>
            <w:gridSpan w:val="2"/>
            <w:shd w:val="clear" w:color="auto" w:fill="FFFFFF" w:themeFill="background1"/>
            <w:vAlign w:val="center"/>
          </w:tcPr>
          <w:p w14:paraId="08C0B386" w14:textId="77777777" w:rsidR="00AB68F1" w:rsidRDefault="00AB68F1" w:rsidP="00AB68F1">
            <w:pPr>
              <w:spacing w:line="240" w:lineRule="exact"/>
              <w:rPr>
                <w:rFonts w:ascii="宋体" w:eastAsia="宋体" w:hAnsi="宋体" w:cs="宋体" w:hint="eastAsia"/>
                <w:sz w:val="18"/>
                <w:szCs w:val="18"/>
              </w:rPr>
            </w:pPr>
          </w:p>
        </w:tc>
        <w:tc>
          <w:tcPr>
            <w:tcW w:w="876" w:type="dxa"/>
            <w:shd w:val="clear" w:color="auto" w:fill="FFFFFF" w:themeFill="background1"/>
            <w:vAlign w:val="center"/>
          </w:tcPr>
          <w:p w14:paraId="63B3C962" w14:textId="77777777" w:rsidR="00AB68F1" w:rsidRDefault="00AB68F1" w:rsidP="00AB68F1">
            <w:pPr>
              <w:spacing w:line="240" w:lineRule="exact"/>
              <w:rPr>
                <w:rFonts w:ascii="宋体" w:eastAsia="宋体" w:hAnsi="宋体" w:cs="宋体" w:hint="eastAsia"/>
                <w:sz w:val="18"/>
                <w:szCs w:val="18"/>
              </w:rPr>
            </w:pPr>
          </w:p>
        </w:tc>
        <w:tc>
          <w:tcPr>
            <w:tcW w:w="959" w:type="dxa"/>
            <w:shd w:val="clear" w:color="auto" w:fill="FFFFFF" w:themeFill="background1"/>
            <w:vAlign w:val="center"/>
          </w:tcPr>
          <w:p w14:paraId="0341AD2A"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履行债务期限届满之日起三年</w:t>
            </w:r>
          </w:p>
        </w:tc>
        <w:tc>
          <w:tcPr>
            <w:tcW w:w="876" w:type="dxa"/>
            <w:shd w:val="clear" w:color="auto" w:fill="FFFFFF" w:themeFill="background1"/>
            <w:vAlign w:val="center"/>
          </w:tcPr>
          <w:p w14:paraId="099CE1B4"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534" w:type="dxa"/>
            <w:shd w:val="clear" w:color="auto" w:fill="FFFFFF" w:themeFill="background1"/>
            <w:vAlign w:val="center"/>
          </w:tcPr>
          <w:p w14:paraId="628B67C5"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AB68F1" w14:paraId="1094828F" w14:textId="77777777" w:rsidTr="00926621">
        <w:trPr>
          <w:trHeight w:val="240"/>
        </w:trPr>
        <w:tc>
          <w:tcPr>
            <w:tcW w:w="1589" w:type="dxa"/>
            <w:shd w:val="clear" w:color="auto" w:fill="FFFFFF" w:themeFill="background1"/>
            <w:vAlign w:val="center"/>
          </w:tcPr>
          <w:p w14:paraId="68D41986"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宁夏中盛电缆技术有限公司</w:t>
            </w:r>
          </w:p>
        </w:tc>
        <w:tc>
          <w:tcPr>
            <w:tcW w:w="1844" w:type="dxa"/>
            <w:shd w:val="clear" w:color="auto" w:fill="FFFFFF" w:themeFill="background1"/>
            <w:vAlign w:val="center"/>
          </w:tcPr>
          <w:p w14:paraId="2BE41282" w14:textId="31862CAB"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2024年03月01日</w:t>
            </w:r>
          </w:p>
        </w:tc>
        <w:tc>
          <w:tcPr>
            <w:tcW w:w="1114" w:type="dxa"/>
            <w:shd w:val="clear" w:color="auto" w:fill="FFFFFF" w:themeFill="background1"/>
            <w:vAlign w:val="center"/>
          </w:tcPr>
          <w:p w14:paraId="67A6BD1F" w14:textId="70AEE57B" w:rsidR="00AB68F1" w:rsidRDefault="00AB68F1" w:rsidP="00AB68F1">
            <w:pPr>
              <w:spacing w:line="240" w:lineRule="exact"/>
              <w:jc w:val="right"/>
              <w:rPr>
                <w:rFonts w:ascii="宋体" w:eastAsia="宋体" w:hAnsi="宋体" w:cs="宋体" w:hint="eastAsia"/>
                <w:sz w:val="18"/>
                <w:szCs w:val="18"/>
              </w:rPr>
            </w:pPr>
            <w:r>
              <w:rPr>
                <w:rFonts w:ascii="宋体" w:eastAsia="宋体" w:hAnsi="宋体" w:cs="宋体"/>
                <w:sz w:val="18"/>
                <w:szCs w:val="18"/>
              </w:rPr>
              <w:t>1,000.00</w:t>
            </w:r>
          </w:p>
        </w:tc>
        <w:tc>
          <w:tcPr>
            <w:tcW w:w="1881" w:type="dxa"/>
            <w:gridSpan w:val="2"/>
            <w:shd w:val="clear" w:color="auto" w:fill="FFFFFF" w:themeFill="background1"/>
            <w:vAlign w:val="center"/>
          </w:tcPr>
          <w:p w14:paraId="02B23B70"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2024年12月12日</w:t>
            </w:r>
          </w:p>
        </w:tc>
        <w:tc>
          <w:tcPr>
            <w:tcW w:w="1062" w:type="dxa"/>
            <w:shd w:val="clear" w:color="auto" w:fill="FFFFFF" w:themeFill="background1"/>
            <w:vAlign w:val="center"/>
          </w:tcPr>
          <w:p w14:paraId="0A9EDDC1" w14:textId="227F94D2" w:rsidR="00AB68F1" w:rsidRDefault="00AB68F1" w:rsidP="00AB68F1">
            <w:pPr>
              <w:spacing w:line="240" w:lineRule="exact"/>
              <w:jc w:val="right"/>
              <w:rPr>
                <w:rFonts w:ascii="宋体" w:eastAsia="宋体" w:hAnsi="宋体" w:cs="宋体" w:hint="eastAsia"/>
                <w:sz w:val="18"/>
                <w:szCs w:val="18"/>
              </w:rPr>
            </w:pPr>
            <w:r>
              <w:rPr>
                <w:rFonts w:ascii="宋体" w:eastAsia="宋体" w:hAnsi="宋体" w:cs="宋体"/>
                <w:sz w:val="18"/>
                <w:szCs w:val="18"/>
              </w:rPr>
              <w:t>1,000.00</w:t>
            </w:r>
          </w:p>
        </w:tc>
        <w:tc>
          <w:tcPr>
            <w:tcW w:w="1188" w:type="dxa"/>
            <w:shd w:val="clear" w:color="auto" w:fill="FFFFFF" w:themeFill="background1"/>
            <w:vAlign w:val="center"/>
          </w:tcPr>
          <w:p w14:paraId="0BADF316"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716" w:type="dxa"/>
            <w:gridSpan w:val="2"/>
            <w:shd w:val="clear" w:color="auto" w:fill="FFFFFF" w:themeFill="background1"/>
            <w:vAlign w:val="center"/>
          </w:tcPr>
          <w:p w14:paraId="2B533F6B" w14:textId="77777777" w:rsidR="00AB68F1" w:rsidRDefault="00AB68F1" w:rsidP="00AB68F1">
            <w:pPr>
              <w:spacing w:line="240" w:lineRule="exact"/>
              <w:rPr>
                <w:rFonts w:ascii="宋体" w:eastAsia="宋体" w:hAnsi="宋体" w:cs="宋体" w:hint="eastAsia"/>
                <w:sz w:val="18"/>
                <w:szCs w:val="18"/>
              </w:rPr>
            </w:pPr>
          </w:p>
        </w:tc>
        <w:tc>
          <w:tcPr>
            <w:tcW w:w="876" w:type="dxa"/>
            <w:shd w:val="clear" w:color="auto" w:fill="FFFFFF" w:themeFill="background1"/>
            <w:vAlign w:val="center"/>
          </w:tcPr>
          <w:p w14:paraId="33B4AB71" w14:textId="77777777" w:rsidR="00AB68F1" w:rsidRDefault="00AB68F1" w:rsidP="00AB68F1">
            <w:pPr>
              <w:spacing w:line="240" w:lineRule="exact"/>
              <w:rPr>
                <w:rFonts w:ascii="宋体" w:eastAsia="宋体" w:hAnsi="宋体" w:cs="宋体" w:hint="eastAsia"/>
                <w:sz w:val="18"/>
                <w:szCs w:val="18"/>
              </w:rPr>
            </w:pPr>
          </w:p>
        </w:tc>
        <w:tc>
          <w:tcPr>
            <w:tcW w:w="959" w:type="dxa"/>
            <w:shd w:val="clear" w:color="auto" w:fill="FFFFFF" w:themeFill="background1"/>
            <w:vAlign w:val="center"/>
          </w:tcPr>
          <w:p w14:paraId="3521CA25"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三年</w:t>
            </w:r>
          </w:p>
        </w:tc>
        <w:tc>
          <w:tcPr>
            <w:tcW w:w="876" w:type="dxa"/>
            <w:shd w:val="clear" w:color="auto" w:fill="FFFFFF" w:themeFill="background1"/>
            <w:vAlign w:val="center"/>
          </w:tcPr>
          <w:p w14:paraId="6C54BAD7"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534" w:type="dxa"/>
            <w:shd w:val="clear" w:color="auto" w:fill="FFFFFF" w:themeFill="background1"/>
            <w:vAlign w:val="center"/>
          </w:tcPr>
          <w:p w14:paraId="0990BC4D"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AB68F1" w14:paraId="332A747B" w14:textId="77777777" w:rsidTr="00926621">
        <w:trPr>
          <w:trHeight w:val="240"/>
        </w:trPr>
        <w:tc>
          <w:tcPr>
            <w:tcW w:w="1589" w:type="dxa"/>
            <w:shd w:val="clear" w:color="auto" w:fill="FFFFFF" w:themeFill="background1"/>
            <w:vAlign w:val="center"/>
          </w:tcPr>
          <w:p w14:paraId="2C615E59"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青海中利光纤技术有限公司</w:t>
            </w:r>
          </w:p>
        </w:tc>
        <w:tc>
          <w:tcPr>
            <w:tcW w:w="1844" w:type="dxa"/>
            <w:shd w:val="clear" w:color="auto" w:fill="FFFFFF" w:themeFill="background1"/>
            <w:vAlign w:val="center"/>
          </w:tcPr>
          <w:p w14:paraId="2E6D513A" w14:textId="02FF30FF"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2024年03月01日</w:t>
            </w:r>
          </w:p>
        </w:tc>
        <w:tc>
          <w:tcPr>
            <w:tcW w:w="1114" w:type="dxa"/>
            <w:shd w:val="clear" w:color="auto" w:fill="FFFFFF" w:themeFill="background1"/>
            <w:vAlign w:val="center"/>
          </w:tcPr>
          <w:p w14:paraId="32D1F031" w14:textId="77777777" w:rsidR="00AB68F1" w:rsidRDefault="00AB68F1" w:rsidP="00AB68F1">
            <w:pPr>
              <w:spacing w:line="240" w:lineRule="exact"/>
              <w:jc w:val="right"/>
              <w:rPr>
                <w:rFonts w:ascii="宋体" w:eastAsia="宋体" w:hAnsi="宋体" w:cs="宋体" w:hint="eastAsia"/>
                <w:sz w:val="18"/>
                <w:szCs w:val="18"/>
              </w:rPr>
            </w:pPr>
            <w:r>
              <w:rPr>
                <w:rFonts w:ascii="宋体" w:eastAsia="宋体" w:hAnsi="宋体" w:cs="宋体"/>
                <w:sz w:val="18"/>
                <w:szCs w:val="18"/>
              </w:rPr>
              <w:t>611.88</w:t>
            </w:r>
          </w:p>
        </w:tc>
        <w:tc>
          <w:tcPr>
            <w:tcW w:w="1881" w:type="dxa"/>
            <w:gridSpan w:val="2"/>
            <w:shd w:val="clear" w:color="auto" w:fill="FFFFFF" w:themeFill="background1"/>
            <w:vAlign w:val="center"/>
          </w:tcPr>
          <w:p w14:paraId="3AF864A3"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2024年12月12日</w:t>
            </w:r>
          </w:p>
        </w:tc>
        <w:tc>
          <w:tcPr>
            <w:tcW w:w="1062" w:type="dxa"/>
            <w:shd w:val="clear" w:color="auto" w:fill="FFFFFF" w:themeFill="background1"/>
            <w:vAlign w:val="center"/>
          </w:tcPr>
          <w:p w14:paraId="66399D13" w14:textId="77777777" w:rsidR="00AB68F1" w:rsidRDefault="00AB68F1" w:rsidP="00AB68F1">
            <w:pPr>
              <w:spacing w:line="240" w:lineRule="exact"/>
              <w:jc w:val="right"/>
              <w:rPr>
                <w:rFonts w:ascii="宋体" w:eastAsia="宋体" w:hAnsi="宋体" w:cs="宋体" w:hint="eastAsia"/>
                <w:sz w:val="18"/>
                <w:szCs w:val="18"/>
              </w:rPr>
            </w:pPr>
            <w:r>
              <w:rPr>
                <w:rFonts w:ascii="宋体" w:eastAsia="宋体" w:hAnsi="宋体" w:cs="宋体"/>
                <w:sz w:val="18"/>
                <w:szCs w:val="18"/>
              </w:rPr>
              <w:t>611.88</w:t>
            </w:r>
          </w:p>
        </w:tc>
        <w:tc>
          <w:tcPr>
            <w:tcW w:w="1188" w:type="dxa"/>
            <w:shd w:val="clear" w:color="auto" w:fill="FFFFFF" w:themeFill="background1"/>
            <w:vAlign w:val="center"/>
          </w:tcPr>
          <w:p w14:paraId="4B4BD644"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连带责任保证、抵押、质押</w:t>
            </w:r>
          </w:p>
        </w:tc>
        <w:tc>
          <w:tcPr>
            <w:tcW w:w="716" w:type="dxa"/>
            <w:gridSpan w:val="2"/>
            <w:shd w:val="clear" w:color="auto" w:fill="FFFFFF" w:themeFill="background1"/>
            <w:vAlign w:val="center"/>
          </w:tcPr>
          <w:p w14:paraId="3767CBEA" w14:textId="77777777" w:rsidR="00AB68F1" w:rsidRDefault="00AB68F1" w:rsidP="00AB68F1">
            <w:pPr>
              <w:spacing w:line="240" w:lineRule="exact"/>
              <w:rPr>
                <w:rFonts w:ascii="宋体" w:eastAsia="宋体" w:hAnsi="宋体" w:cs="宋体" w:hint="eastAsia"/>
                <w:sz w:val="18"/>
                <w:szCs w:val="18"/>
              </w:rPr>
            </w:pPr>
          </w:p>
        </w:tc>
        <w:tc>
          <w:tcPr>
            <w:tcW w:w="876" w:type="dxa"/>
            <w:shd w:val="clear" w:color="auto" w:fill="FFFFFF" w:themeFill="background1"/>
            <w:vAlign w:val="center"/>
          </w:tcPr>
          <w:p w14:paraId="2406A85A" w14:textId="77777777" w:rsidR="00AB68F1" w:rsidRDefault="00AB68F1" w:rsidP="00AB68F1">
            <w:pPr>
              <w:spacing w:line="240" w:lineRule="exact"/>
              <w:rPr>
                <w:rFonts w:ascii="宋体" w:eastAsia="宋体" w:hAnsi="宋体" w:cs="宋体" w:hint="eastAsia"/>
                <w:sz w:val="18"/>
                <w:szCs w:val="18"/>
              </w:rPr>
            </w:pPr>
          </w:p>
        </w:tc>
        <w:tc>
          <w:tcPr>
            <w:tcW w:w="959" w:type="dxa"/>
            <w:shd w:val="clear" w:color="auto" w:fill="FFFFFF" w:themeFill="background1"/>
            <w:vAlign w:val="center"/>
          </w:tcPr>
          <w:p w14:paraId="2E753E17"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三年</w:t>
            </w:r>
          </w:p>
        </w:tc>
        <w:tc>
          <w:tcPr>
            <w:tcW w:w="876" w:type="dxa"/>
            <w:shd w:val="clear" w:color="auto" w:fill="FFFFFF" w:themeFill="background1"/>
            <w:vAlign w:val="center"/>
          </w:tcPr>
          <w:p w14:paraId="62DBD770"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534" w:type="dxa"/>
            <w:shd w:val="clear" w:color="auto" w:fill="FFFFFF" w:themeFill="background1"/>
            <w:vAlign w:val="center"/>
          </w:tcPr>
          <w:p w14:paraId="26E4D0C9"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AB68F1" w14:paraId="1AA9EF9F" w14:textId="77777777" w:rsidTr="00926621">
        <w:trPr>
          <w:trHeight w:val="240"/>
        </w:trPr>
        <w:tc>
          <w:tcPr>
            <w:tcW w:w="1589" w:type="dxa"/>
            <w:shd w:val="clear" w:color="auto" w:fill="FFFFFF" w:themeFill="background1"/>
            <w:vAlign w:val="center"/>
          </w:tcPr>
          <w:p w14:paraId="7EC354C4"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青海中利光纤技术有限公司</w:t>
            </w:r>
          </w:p>
        </w:tc>
        <w:tc>
          <w:tcPr>
            <w:tcW w:w="1844" w:type="dxa"/>
            <w:shd w:val="clear" w:color="auto" w:fill="FFFFFF" w:themeFill="background1"/>
            <w:vAlign w:val="center"/>
          </w:tcPr>
          <w:p w14:paraId="2697EB5A" w14:textId="52A651AB"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2024年03月01日</w:t>
            </w:r>
          </w:p>
        </w:tc>
        <w:tc>
          <w:tcPr>
            <w:tcW w:w="1114" w:type="dxa"/>
            <w:shd w:val="clear" w:color="auto" w:fill="FFFFFF" w:themeFill="background1"/>
            <w:vAlign w:val="center"/>
          </w:tcPr>
          <w:p w14:paraId="2D2C90D2" w14:textId="77777777" w:rsidR="00AB68F1" w:rsidRDefault="00AB68F1" w:rsidP="00AB68F1">
            <w:pPr>
              <w:spacing w:line="240" w:lineRule="exact"/>
              <w:jc w:val="right"/>
              <w:rPr>
                <w:rFonts w:ascii="宋体" w:eastAsia="宋体" w:hAnsi="宋体" w:cs="宋体" w:hint="eastAsia"/>
                <w:sz w:val="18"/>
                <w:szCs w:val="18"/>
              </w:rPr>
            </w:pPr>
            <w:r>
              <w:rPr>
                <w:rFonts w:ascii="宋体" w:eastAsia="宋体" w:hAnsi="宋体" w:cs="宋体"/>
                <w:sz w:val="18"/>
                <w:szCs w:val="18"/>
              </w:rPr>
              <w:t>7,120.47</w:t>
            </w:r>
          </w:p>
        </w:tc>
        <w:tc>
          <w:tcPr>
            <w:tcW w:w="1881" w:type="dxa"/>
            <w:gridSpan w:val="2"/>
            <w:shd w:val="clear" w:color="auto" w:fill="FFFFFF" w:themeFill="background1"/>
            <w:vAlign w:val="center"/>
          </w:tcPr>
          <w:p w14:paraId="21BC99D0"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2024年12月12日</w:t>
            </w:r>
          </w:p>
        </w:tc>
        <w:tc>
          <w:tcPr>
            <w:tcW w:w="1062" w:type="dxa"/>
            <w:shd w:val="clear" w:color="auto" w:fill="FFFFFF" w:themeFill="background1"/>
            <w:vAlign w:val="center"/>
          </w:tcPr>
          <w:p w14:paraId="5B658C04" w14:textId="77777777" w:rsidR="00AB68F1" w:rsidRDefault="00AB68F1" w:rsidP="00AB68F1">
            <w:pPr>
              <w:spacing w:line="240" w:lineRule="exact"/>
              <w:jc w:val="right"/>
              <w:rPr>
                <w:rFonts w:ascii="宋体" w:eastAsia="宋体" w:hAnsi="宋体" w:cs="宋体" w:hint="eastAsia"/>
                <w:sz w:val="18"/>
                <w:szCs w:val="18"/>
              </w:rPr>
            </w:pPr>
            <w:r>
              <w:rPr>
                <w:rFonts w:ascii="宋体" w:eastAsia="宋体" w:hAnsi="宋体" w:cs="宋体"/>
                <w:sz w:val="18"/>
                <w:szCs w:val="18"/>
              </w:rPr>
              <w:t>7,120.47</w:t>
            </w:r>
          </w:p>
        </w:tc>
        <w:tc>
          <w:tcPr>
            <w:tcW w:w="1188" w:type="dxa"/>
            <w:shd w:val="clear" w:color="auto" w:fill="FFFFFF" w:themeFill="background1"/>
            <w:vAlign w:val="center"/>
          </w:tcPr>
          <w:p w14:paraId="61B94BEB"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连带责任保证、抵押、质押</w:t>
            </w:r>
          </w:p>
        </w:tc>
        <w:tc>
          <w:tcPr>
            <w:tcW w:w="716" w:type="dxa"/>
            <w:gridSpan w:val="2"/>
            <w:shd w:val="clear" w:color="auto" w:fill="FFFFFF" w:themeFill="background1"/>
            <w:vAlign w:val="center"/>
          </w:tcPr>
          <w:p w14:paraId="1CA267BD" w14:textId="77777777" w:rsidR="00AB68F1" w:rsidRDefault="00AB68F1" w:rsidP="00AB68F1">
            <w:pPr>
              <w:spacing w:line="240" w:lineRule="exact"/>
              <w:rPr>
                <w:rFonts w:ascii="宋体" w:eastAsia="宋体" w:hAnsi="宋体" w:cs="宋体" w:hint="eastAsia"/>
                <w:sz w:val="18"/>
                <w:szCs w:val="18"/>
              </w:rPr>
            </w:pPr>
          </w:p>
        </w:tc>
        <w:tc>
          <w:tcPr>
            <w:tcW w:w="876" w:type="dxa"/>
            <w:shd w:val="clear" w:color="auto" w:fill="FFFFFF" w:themeFill="background1"/>
            <w:vAlign w:val="center"/>
          </w:tcPr>
          <w:p w14:paraId="1D7290AF" w14:textId="77777777" w:rsidR="00AB68F1" w:rsidRDefault="00AB68F1" w:rsidP="00AB68F1">
            <w:pPr>
              <w:spacing w:line="240" w:lineRule="exact"/>
              <w:rPr>
                <w:rFonts w:ascii="宋体" w:eastAsia="宋体" w:hAnsi="宋体" w:cs="宋体" w:hint="eastAsia"/>
                <w:sz w:val="18"/>
                <w:szCs w:val="18"/>
              </w:rPr>
            </w:pPr>
          </w:p>
        </w:tc>
        <w:tc>
          <w:tcPr>
            <w:tcW w:w="959" w:type="dxa"/>
            <w:shd w:val="clear" w:color="auto" w:fill="FFFFFF" w:themeFill="background1"/>
            <w:vAlign w:val="center"/>
          </w:tcPr>
          <w:p w14:paraId="4F2546F1"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三年</w:t>
            </w:r>
          </w:p>
        </w:tc>
        <w:tc>
          <w:tcPr>
            <w:tcW w:w="876" w:type="dxa"/>
            <w:shd w:val="clear" w:color="auto" w:fill="FFFFFF" w:themeFill="background1"/>
            <w:vAlign w:val="center"/>
          </w:tcPr>
          <w:p w14:paraId="641F5C52"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534" w:type="dxa"/>
            <w:shd w:val="clear" w:color="auto" w:fill="FFFFFF" w:themeFill="background1"/>
            <w:vAlign w:val="center"/>
          </w:tcPr>
          <w:p w14:paraId="2225AEA7"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AB68F1" w14:paraId="17E59726" w14:textId="77777777" w:rsidTr="00926621">
        <w:trPr>
          <w:trHeight w:val="240"/>
        </w:trPr>
        <w:tc>
          <w:tcPr>
            <w:tcW w:w="1589" w:type="dxa"/>
            <w:shd w:val="clear" w:color="auto" w:fill="FFFFFF" w:themeFill="background1"/>
            <w:vAlign w:val="center"/>
          </w:tcPr>
          <w:p w14:paraId="045A6E06"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青海中利光纤技术有限公司</w:t>
            </w:r>
          </w:p>
        </w:tc>
        <w:tc>
          <w:tcPr>
            <w:tcW w:w="1844" w:type="dxa"/>
            <w:shd w:val="clear" w:color="auto" w:fill="FFFFFF" w:themeFill="background1"/>
            <w:vAlign w:val="center"/>
          </w:tcPr>
          <w:p w14:paraId="1C3B85B1" w14:textId="57FBD2A8"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2024年03月01日</w:t>
            </w:r>
          </w:p>
        </w:tc>
        <w:tc>
          <w:tcPr>
            <w:tcW w:w="1114" w:type="dxa"/>
            <w:shd w:val="clear" w:color="auto" w:fill="FFFFFF" w:themeFill="background1"/>
            <w:vAlign w:val="center"/>
          </w:tcPr>
          <w:p w14:paraId="3284A2E8" w14:textId="77777777" w:rsidR="00AB68F1" w:rsidRDefault="00AB68F1" w:rsidP="00AB68F1">
            <w:pPr>
              <w:spacing w:line="240" w:lineRule="exact"/>
              <w:jc w:val="right"/>
              <w:rPr>
                <w:rFonts w:ascii="宋体" w:eastAsia="宋体" w:hAnsi="宋体" w:cs="宋体" w:hint="eastAsia"/>
                <w:sz w:val="18"/>
                <w:szCs w:val="18"/>
              </w:rPr>
            </w:pPr>
            <w:r>
              <w:rPr>
                <w:rFonts w:ascii="宋体" w:eastAsia="宋体" w:hAnsi="宋体" w:cs="宋体"/>
                <w:sz w:val="18"/>
                <w:szCs w:val="18"/>
              </w:rPr>
              <w:t>20,899.39</w:t>
            </w:r>
          </w:p>
        </w:tc>
        <w:tc>
          <w:tcPr>
            <w:tcW w:w="1881" w:type="dxa"/>
            <w:gridSpan w:val="2"/>
            <w:shd w:val="clear" w:color="auto" w:fill="FFFFFF" w:themeFill="background1"/>
            <w:vAlign w:val="center"/>
          </w:tcPr>
          <w:p w14:paraId="256A5C53"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2024年12月12日</w:t>
            </w:r>
          </w:p>
        </w:tc>
        <w:tc>
          <w:tcPr>
            <w:tcW w:w="1062" w:type="dxa"/>
            <w:shd w:val="clear" w:color="auto" w:fill="FFFFFF" w:themeFill="background1"/>
            <w:vAlign w:val="center"/>
          </w:tcPr>
          <w:p w14:paraId="7C649EE9" w14:textId="77777777" w:rsidR="00AB68F1" w:rsidRDefault="00AB68F1" w:rsidP="00AB68F1">
            <w:pPr>
              <w:spacing w:line="240" w:lineRule="exact"/>
              <w:jc w:val="right"/>
              <w:rPr>
                <w:rFonts w:ascii="宋体" w:eastAsia="宋体" w:hAnsi="宋体" w:cs="宋体" w:hint="eastAsia"/>
                <w:sz w:val="18"/>
                <w:szCs w:val="18"/>
              </w:rPr>
            </w:pPr>
            <w:r>
              <w:rPr>
                <w:rFonts w:ascii="宋体" w:eastAsia="宋体" w:hAnsi="宋体" w:cs="宋体"/>
                <w:sz w:val="18"/>
                <w:szCs w:val="18"/>
              </w:rPr>
              <w:t>20,899.39</w:t>
            </w:r>
          </w:p>
        </w:tc>
        <w:tc>
          <w:tcPr>
            <w:tcW w:w="1188" w:type="dxa"/>
            <w:shd w:val="clear" w:color="auto" w:fill="FFFFFF" w:themeFill="background1"/>
            <w:vAlign w:val="center"/>
          </w:tcPr>
          <w:p w14:paraId="3B314AC7"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连带责任保证、抵押、质押</w:t>
            </w:r>
          </w:p>
        </w:tc>
        <w:tc>
          <w:tcPr>
            <w:tcW w:w="716" w:type="dxa"/>
            <w:gridSpan w:val="2"/>
            <w:shd w:val="clear" w:color="auto" w:fill="FFFFFF" w:themeFill="background1"/>
            <w:vAlign w:val="center"/>
          </w:tcPr>
          <w:p w14:paraId="6D0E9120" w14:textId="77777777" w:rsidR="00AB68F1" w:rsidRDefault="00AB68F1" w:rsidP="00AB68F1">
            <w:pPr>
              <w:spacing w:line="240" w:lineRule="exact"/>
              <w:rPr>
                <w:rFonts w:ascii="宋体" w:eastAsia="宋体" w:hAnsi="宋体" w:cs="宋体" w:hint="eastAsia"/>
                <w:sz w:val="18"/>
                <w:szCs w:val="18"/>
              </w:rPr>
            </w:pPr>
          </w:p>
        </w:tc>
        <w:tc>
          <w:tcPr>
            <w:tcW w:w="876" w:type="dxa"/>
            <w:shd w:val="clear" w:color="auto" w:fill="FFFFFF" w:themeFill="background1"/>
            <w:vAlign w:val="center"/>
          </w:tcPr>
          <w:p w14:paraId="62E27AD9" w14:textId="77777777" w:rsidR="00AB68F1" w:rsidRDefault="00AB68F1" w:rsidP="00AB68F1">
            <w:pPr>
              <w:spacing w:line="240" w:lineRule="exact"/>
              <w:rPr>
                <w:rFonts w:ascii="宋体" w:eastAsia="宋体" w:hAnsi="宋体" w:cs="宋体" w:hint="eastAsia"/>
                <w:sz w:val="18"/>
                <w:szCs w:val="18"/>
              </w:rPr>
            </w:pPr>
          </w:p>
        </w:tc>
        <w:tc>
          <w:tcPr>
            <w:tcW w:w="959" w:type="dxa"/>
            <w:shd w:val="clear" w:color="auto" w:fill="FFFFFF" w:themeFill="background1"/>
            <w:vAlign w:val="center"/>
          </w:tcPr>
          <w:p w14:paraId="258FCB59"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三年</w:t>
            </w:r>
          </w:p>
        </w:tc>
        <w:tc>
          <w:tcPr>
            <w:tcW w:w="876" w:type="dxa"/>
            <w:shd w:val="clear" w:color="auto" w:fill="FFFFFF" w:themeFill="background1"/>
            <w:vAlign w:val="center"/>
          </w:tcPr>
          <w:p w14:paraId="1878DA1E"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534" w:type="dxa"/>
            <w:shd w:val="clear" w:color="auto" w:fill="FFFFFF" w:themeFill="background1"/>
            <w:vAlign w:val="center"/>
          </w:tcPr>
          <w:p w14:paraId="6F5480FF"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AB68F1" w14:paraId="7C4FDBF4" w14:textId="77777777" w:rsidTr="00926621">
        <w:trPr>
          <w:trHeight w:val="240"/>
        </w:trPr>
        <w:tc>
          <w:tcPr>
            <w:tcW w:w="1589" w:type="dxa"/>
            <w:shd w:val="clear" w:color="auto" w:fill="FFFFFF" w:themeFill="background1"/>
            <w:vAlign w:val="center"/>
          </w:tcPr>
          <w:p w14:paraId="5DE43E7B"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常熟盛晖光伏技术有限公司</w:t>
            </w:r>
          </w:p>
        </w:tc>
        <w:tc>
          <w:tcPr>
            <w:tcW w:w="1844" w:type="dxa"/>
            <w:shd w:val="clear" w:color="auto" w:fill="FFFFFF" w:themeFill="background1"/>
            <w:vAlign w:val="center"/>
          </w:tcPr>
          <w:p w14:paraId="183DDEEF" w14:textId="42D06FDC"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2024年03月01日</w:t>
            </w:r>
          </w:p>
        </w:tc>
        <w:tc>
          <w:tcPr>
            <w:tcW w:w="1114" w:type="dxa"/>
            <w:shd w:val="clear" w:color="auto" w:fill="FFFFFF" w:themeFill="background1"/>
            <w:vAlign w:val="center"/>
          </w:tcPr>
          <w:p w14:paraId="189E4008" w14:textId="77777777" w:rsidR="00AB68F1" w:rsidRDefault="00AB68F1" w:rsidP="00AB68F1">
            <w:pPr>
              <w:spacing w:line="240" w:lineRule="exact"/>
              <w:jc w:val="right"/>
              <w:rPr>
                <w:rFonts w:ascii="宋体" w:eastAsia="宋体" w:hAnsi="宋体" w:cs="宋体" w:hint="eastAsia"/>
                <w:sz w:val="18"/>
                <w:szCs w:val="18"/>
              </w:rPr>
            </w:pPr>
            <w:r>
              <w:rPr>
                <w:rFonts w:ascii="宋体" w:eastAsia="宋体" w:hAnsi="宋体" w:cs="宋体"/>
                <w:sz w:val="18"/>
                <w:szCs w:val="18"/>
              </w:rPr>
              <w:t>986.59</w:t>
            </w:r>
          </w:p>
        </w:tc>
        <w:tc>
          <w:tcPr>
            <w:tcW w:w="1881" w:type="dxa"/>
            <w:gridSpan w:val="2"/>
            <w:shd w:val="clear" w:color="auto" w:fill="FFFFFF" w:themeFill="background1"/>
            <w:vAlign w:val="center"/>
          </w:tcPr>
          <w:p w14:paraId="0A0B3825"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2024年12月12日</w:t>
            </w:r>
          </w:p>
        </w:tc>
        <w:tc>
          <w:tcPr>
            <w:tcW w:w="1062" w:type="dxa"/>
            <w:shd w:val="clear" w:color="auto" w:fill="FFFFFF" w:themeFill="background1"/>
            <w:vAlign w:val="center"/>
          </w:tcPr>
          <w:p w14:paraId="6B75909F" w14:textId="77777777" w:rsidR="00AB68F1" w:rsidRDefault="00AB68F1" w:rsidP="00AB68F1">
            <w:pPr>
              <w:spacing w:line="240" w:lineRule="exact"/>
              <w:jc w:val="right"/>
              <w:rPr>
                <w:rFonts w:ascii="宋体" w:eastAsia="宋体" w:hAnsi="宋体" w:cs="宋体" w:hint="eastAsia"/>
                <w:sz w:val="18"/>
                <w:szCs w:val="18"/>
              </w:rPr>
            </w:pPr>
            <w:r>
              <w:rPr>
                <w:rFonts w:ascii="宋体" w:eastAsia="宋体" w:hAnsi="宋体" w:cs="宋体"/>
                <w:sz w:val="18"/>
                <w:szCs w:val="18"/>
              </w:rPr>
              <w:t>986.59</w:t>
            </w:r>
          </w:p>
        </w:tc>
        <w:tc>
          <w:tcPr>
            <w:tcW w:w="1188" w:type="dxa"/>
            <w:shd w:val="clear" w:color="auto" w:fill="FFFFFF" w:themeFill="background1"/>
            <w:vAlign w:val="center"/>
          </w:tcPr>
          <w:p w14:paraId="183A11E9" w14:textId="77777777" w:rsidR="00AB68F1" w:rsidRDefault="00AB68F1" w:rsidP="00926621">
            <w:pPr>
              <w:spacing w:line="276" w:lineRule="auto"/>
              <w:rPr>
                <w:rFonts w:ascii="宋体" w:eastAsia="宋体" w:hAnsi="宋体" w:cs="宋体" w:hint="eastAsia"/>
                <w:sz w:val="18"/>
                <w:szCs w:val="18"/>
              </w:rPr>
            </w:pPr>
            <w:r>
              <w:rPr>
                <w:rFonts w:ascii="宋体" w:eastAsia="宋体" w:hAnsi="宋体" w:cs="宋体"/>
                <w:sz w:val="18"/>
                <w:szCs w:val="18"/>
              </w:rPr>
              <w:t>连带责任保证、抵押、质押</w:t>
            </w:r>
          </w:p>
        </w:tc>
        <w:tc>
          <w:tcPr>
            <w:tcW w:w="716" w:type="dxa"/>
            <w:gridSpan w:val="2"/>
            <w:shd w:val="clear" w:color="auto" w:fill="FFFFFF" w:themeFill="background1"/>
            <w:vAlign w:val="center"/>
          </w:tcPr>
          <w:p w14:paraId="06CDCBB9" w14:textId="77777777" w:rsidR="00AB68F1" w:rsidRDefault="00AB68F1" w:rsidP="00AB68F1">
            <w:pPr>
              <w:spacing w:line="240" w:lineRule="exact"/>
              <w:rPr>
                <w:rFonts w:ascii="宋体" w:eastAsia="宋体" w:hAnsi="宋体" w:cs="宋体" w:hint="eastAsia"/>
                <w:sz w:val="18"/>
                <w:szCs w:val="18"/>
              </w:rPr>
            </w:pPr>
          </w:p>
        </w:tc>
        <w:tc>
          <w:tcPr>
            <w:tcW w:w="876" w:type="dxa"/>
            <w:shd w:val="clear" w:color="auto" w:fill="FFFFFF" w:themeFill="background1"/>
            <w:vAlign w:val="center"/>
          </w:tcPr>
          <w:p w14:paraId="200D34E7" w14:textId="77777777" w:rsidR="00AB68F1" w:rsidRDefault="00AB68F1" w:rsidP="00AB68F1">
            <w:pPr>
              <w:spacing w:line="240" w:lineRule="exact"/>
              <w:rPr>
                <w:rFonts w:ascii="宋体" w:eastAsia="宋体" w:hAnsi="宋体" w:cs="宋体" w:hint="eastAsia"/>
                <w:sz w:val="18"/>
                <w:szCs w:val="18"/>
              </w:rPr>
            </w:pPr>
          </w:p>
        </w:tc>
        <w:tc>
          <w:tcPr>
            <w:tcW w:w="959" w:type="dxa"/>
            <w:shd w:val="clear" w:color="auto" w:fill="FFFFFF" w:themeFill="background1"/>
            <w:vAlign w:val="center"/>
          </w:tcPr>
          <w:p w14:paraId="35B33A57"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三年</w:t>
            </w:r>
          </w:p>
        </w:tc>
        <w:tc>
          <w:tcPr>
            <w:tcW w:w="876" w:type="dxa"/>
            <w:shd w:val="clear" w:color="auto" w:fill="FFFFFF" w:themeFill="background1"/>
            <w:vAlign w:val="center"/>
          </w:tcPr>
          <w:p w14:paraId="37D1ECD4"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534" w:type="dxa"/>
            <w:shd w:val="clear" w:color="auto" w:fill="FFFFFF" w:themeFill="background1"/>
            <w:vAlign w:val="center"/>
          </w:tcPr>
          <w:p w14:paraId="0B7756F6"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AB68F1" w14:paraId="34BEC226" w14:textId="77777777" w:rsidTr="00926621">
        <w:trPr>
          <w:trHeight w:val="240"/>
        </w:trPr>
        <w:tc>
          <w:tcPr>
            <w:tcW w:w="1589" w:type="dxa"/>
            <w:shd w:val="clear" w:color="auto" w:fill="FFFFFF" w:themeFill="background1"/>
            <w:vAlign w:val="center"/>
          </w:tcPr>
          <w:p w14:paraId="1EB60F83"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南昌讯晖光伏技术有限公司</w:t>
            </w:r>
          </w:p>
        </w:tc>
        <w:tc>
          <w:tcPr>
            <w:tcW w:w="1844" w:type="dxa"/>
            <w:shd w:val="clear" w:color="auto" w:fill="FFFFFF" w:themeFill="background1"/>
            <w:vAlign w:val="center"/>
          </w:tcPr>
          <w:p w14:paraId="497DCF69" w14:textId="5E813C2F"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2024年03月01日</w:t>
            </w:r>
          </w:p>
        </w:tc>
        <w:tc>
          <w:tcPr>
            <w:tcW w:w="1114" w:type="dxa"/>
            <w:shd w:val="clear" w:color="auto" w:fill="FFFFFF" w:themeFill="background1"/>
            <w:vAlign w:val="center"/>
          </w:tcPr>
          <w:p w14:paraId="7A8AB92C" w14:textId="77777777" w:rsidR="00AB68F1" w:rsidRDefault="00AB68F1" w:rsidP="00AB68F1">
            <w:pPr>
              <w:spacing w:line="240" w:lineRule="exact"/>
              <w:jc w:val="right"/>
              <w:rPr>
                <w:rFonts w:ascii="宋体" w:eastAsia="宋体" w:hAnsi="宋体" w:cs="宋体" w:hint="eastAsia"/>
                <w:sz w:val="18"/>
                <w:szCs w:val="18"/>
              </w:rPr>
            </w:pPr>
            <w:r>
              <w:rPr>
                <w:rFonts w:ascii="宋体" w:eastAsia="宋体" w:hAnsi="宋体" w:cs="宋体"/>
                <w:sz w:val="18"/>
                <w:szCs w:val="18"/>
              </w:rPr>
              <w:t>590.57</w:t>
            </w:r>
          </w:p>
        </w:tc>
        <w:tc>
          <w:tcPr>
            <w:tcW w:w="1881" w:type="dxa"/>
            <w:gridSpan w:val="2"/>
            <w:shd w:val="clear" w:color="auto" w:fill="FFFFFF" w:themeFill="background1"/>
            <w:vAlign w:val="center"/>
          </w:tcPr>
          <w:p w14:paraId="36EEB882"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2024年12月12日</w:t>
            </w:r>
          </w:p>
        </w:tc>
        <w:tc>
          <w:tcPr>
            <w:tcW w:w="1062" w:type="dxa"/>
            <w:shd w:val="clear" w:color="auto" w:fill="FFFFFF" w:themeFill="background1"/>
            <w:vAlign w:val="center"/>
          </w:tcPr>
          <w:p w14:paraId="7F291FE0" w14:textId="77777777" w:rsidR="00AB68F1" w:rsidRDefault="00AB68F1" w:rsidP="00AB68F1">
            <w:pPr>
              <w:spacing w:line="240" w:lineRule="exact"/>
              <w:jc w:val="right"/>
              <w:rPr>
                <w:rFonts w:ascii="宋体" w:eastAsia="宋体" w:hAnsi="宋体" w:cs="宋体" w:hint="eastAsia"/>
                <w:sz w:val="18"/>
                <w:szCs w:val="18"/>
              </w:rPr>
            </w:pPr>
            <w:r>
              <w:rPr>
                <w:rFonts w:ascii="宋体" w:eastAsia="宋体" w:hAnsi="宋体" w:cs="宋体"/>
                <w:sz w:val="18"/>
                <w:szCs w:val="18"/>
              </w:rPr>
              <w:t>590.57</w:t>
            </w:r>
          </w:p>
        </w:tc>
        <w:tc>
          <w:tcPr>
            <w:tcW w:w="1188" w:type="dxa"/>
            <w:shd w:val="clear" w:color="auto" w:fill="FFFFFF" w:themeFill="background1"/>
            <w:vAlign w:val="center"/>
          </w:tcPr>
          <w:p w14:paraId="67B8CD9B" w14:textId="77777777" w:rsidR="00AB68F1" w:rsidRDefault="00AB68F1" w:rsidP="00926621">
            <w:pPr>
              <w:spacing w:line="276" w:lineRule="auto"/>
              <w:rPr>
                <w:rFonts w:ascii="宋体" w:eastAsia="宋体" w:hAnsi="宋体" w:cs="宋体" w:hint="eastAsia"/>
                <w:sz w:val="18"/>
                <w:szCs w:val="18"/>
              </w:rPr>
            </w:pPr>
            <w:r>
              <w:rPr>
                <w:rFonts w:ascii="宋体" w:eastAsia="宋体" w:hAnsi="宋体" w:cs="宋体"/>
                <w:sz w:val="18"/>
                <w:szCs w:val="18"/>
              </w:rPr>
              <w:t>连带责任保证、抵押、质押</w:t>
            </w:r>
          </w:p>
        </w:tc>
        <w:tc>
          <w:tcPr>
            <w:tcW w:w="716" w:type="dxa"/>
            <w:gridSpan w:val="2"/>
            <w:shd w:val="clear" w:color="auto" w:fill="FFFFFF" w:themeFill="background1"/>
            <w:vAlign w:val="center"/>
          </w:tcPr>
          <w:p w14:paraId="37B4AF9E" w14:textId="77777777" w:rsidR="00AB68F1" w:rsidRDefault="00AB68F1" w:rsidP="00AB68F1">
            <w:pPr>
              <w:spacing w:line="240" w:lineRule="exact"/>
              <w:rPr>
                <w:rFonts w:ascii="宋体" w:eastAsia="宋体" w:hAnsi="宋体" w:cs="宋体" w:hint="eastAsia"/>
                <w:sz w:val="18"/>
                <w:szCs w:val="18"/>
              </w:rPr>
            </w:pPr>
          </w:p>
        </w:tc>
        <w:tc>
          <w:tcPr>
            <w:tcW w:w="876" w:type="dxa"/>
            <w:shd w:val="clear" w:color="auto" w:fill="FFFFFF" w:themeFill="background1"/>
            <w:vAlign w:val="center"/>
          </w:tcPr>
          <w:p w14:paraId="29C200FD" w14:textId="77777777" w:rsidR="00AB68F1" w:rsidRDefault="00AB68F1" w:rsidP="00AB68F1">
            <w:pPr>
              <w:spacing w:line="240" w:lineRule="exact"/>
              <w:rPr>
                <w:rFonts w:ascii="宋体" w:eastAsia="宋体" w:hAnsi="宋体" w:cs="宋体" w:hint="eastAsia"/>
                <w:sz w:val="18"/>
                <w:szCs w:val="18"/>
              </w:rPr>
            </w:pPr>
          </w:p>
        </w:tc>
        <w:tc>
          <w:tcPr>
            <w:tcW w:w="959" w:type="dxa"/>
            <w:shd w:val="clear" w:color="auto" w:fill="FFFFFF" w:themeFill="background1"/>
            <w:vAlign w:val="center"/>
          </w:tcPr>
          <w:p w14:paraId="12ACB36B"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三年</w:t>
            </w:r>
          </w:p>
        </w:tc>
        <w:tc>
          <w:tcPr>
            <w:tcW w:w="876" w:type="dxa"/>
            <w:shd w:val="clear" w:color="auto" w:fill="FFFFFF" w:themeFill="background1"/>
            <w:vAlign w:val="center"/>
          </w:tcPr>
          <w:p w14:paraId="066BCA9E"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534" w:type="dxa"/>
            <w:shd w:val="clear" w:color="auto" w:fill="FFFFFF" w:themeFill="background1"/>
            <w:vAlign w:val="center"/>
          </w:tcPr>
          <w:p w14:paraId="7048D275"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AB68F1" w14:paraId="69C8263E" w14:textId="77777777" w:rsidTr="00926621">
        <w:trPr>
          <w:trHeight w:val="240"/>
        </w:trPr>
        <w:tc>
          <w:tcPr>
            <w:tcW w:w="1589" w:type="dxa"/>
            <w:shd w:val="clear" w:color="auto" w:fill="FFFFFF" w:themeFill="background1"/>
            <w:vAlign w:val="center"/>
          </w:tcPr>
          <w:p w14:paraId="152AF829"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中旭光伏发电（兴化）有限公司</w:t>
            </w:r>
          </w:p>
        </w:tc>
        <w:tc>
          <w:tcPr>
            <w:tcW w:w="1844" w:type="dxa"/>
            <w:shd w:val="clear" w:color="auto" w:fill="FFFFFF" w:themeFill="background1"/>
            <w:vAlign w:val="center"/>
          </w:tcPr>
          <w:p w14:paraId="2C7EF3E5" w14:textId="0F97DD6D"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2024年03月01日</w:t>
            </w:r>
          </w:p>
        </w:tc>
        <w:tc>
          <w:tcPr>
            <w:tcW w:w="1114" w:type="dxa"/>
            <w:shd w:val="clear" w:color="auto" w:fill="FFFFFF" w:themeFill="background1"/>
            <w:vAlign w:val="center"/>
          </w:tcPr>
          <w:p w14:paraId="1D5F581C" w14:textId="77777777" w:rsidR="00AB68F1" w:rsidRDefault="00AB68F1" w:rsidP="00AB68F1">
            <w:pPr>
              <w:spacing w:line="240" w:lineRule="exact"/>
              <w:jc w:val="right"/>
              <w:rPr>
                <w:rFonts w:ascii="宋体" w:eastAsia="宋体" w:hAnsi="宋体" w:cs="宋体" w:hint="eastAsia"/>
                <w:sz w:val="18"/>
                <w:szCs w:val="18"/>
              </w:rPr>
            </w:pPr>
            <w:r>
              <w:rPr>
                <w:rFonts w:ascii="宋体" w:eastAsia="宋体" w:hAnsi="宋体" w:cs="宋体"/>
                <w:sz w:val="18"/>
                <w:szCs w:val="18"/>
              </w:rPr>
              <w:t>3,098.07</w:t>
            </w:r>
          </w:p>
        </w:tc>
        <w:tc>
          <w:tcPr>
            <w:tcW w:w="1881" w:type="dxa"/>
            <w:gridSpan w:val="2"/>
            <w:shd w:val="clear" w:color="auto" w:fill="FFFFFF" w:themeFill="background1"/>
            <w:vAlign w:val="center"/>
          </w:tcPr>
          <w:p w14:paraId="6DC3DB53"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2024年12月12日</w:t>
            </w:r>
          </w:p>
        </w:tc>
        <w:tc>
          <w:tcPr>
            <w:tcW w:w="1062" w:type="dxa"/>
            <w:shd w:val="clear" w:color="auto" w:fill="FFFFFF" w:themeFill="background1"/>
            <w:vAlign w:val="center"/>
          </w:tcPr>
          <w:p w14:paraId="0DC1DEFD" w14:textId="77777777" w:rsidR="00AB68F1" w:rsidRDefault="00AB68F1" w:rsidP="00AB68F1">
            <w:pPr>
              <w:spacing w:line="240" w:lineRule="exact"/>
              <w:jc w:val="right"/>
              <w:rPr>
                <w:rFonts w:ascii="宋体" w:eastAsia="宋体" w:hAnsi="宋体" w:cs="宋体" w:hint="eastAsia"/>
                <w:sz w:val="18"/>
                <w:szCs w:val="18"/>
              </w:rPr>
            </w:pPr>
            <w:r>
              <w:rPr>
                <w:rFonts w:ascii="宋体" w:eastAsia="宋体" w:hAnsi="宋体" w:cs="宋体"/>
                <w:sz w:val="18"/>
                <w:szCs w:val="18"/>
              </w:rPr>
              <w:t>3,098.07</w:t>
            </w:r>
          </w:p>
        </w:tc>
        <w:tc>
          <w:tcPr>
            <w:tcW w:w="1188" w:type="dxa"/>
            <w:shd w:val="clear" w:color="auto" w:fill="FFFFFF" w:themeFill="background1"/>
            <w:vAlign w:val="center"/>
          </w:tcPr>
          <w:p w14:paraId="61944FAC" w14:textId="77777777" w:rsidR="00AB68F1" w:rsidRDefault="00AB68F1" w:rsidP="00926621">
            <w:pPr>
              <w:spacing w:line="276" w:lineRule="auto"/>
              <w:rPr>
                <w:rFonts w:ascii="宋体" w:eastAsia="宋体" w:hAnsi="宋体" w:cs="宋体" w:hint="eastAsia"/>
                <w:sz w:val="18"/>
                <w:szCs w:val="18"/>
              </w:rPr>
            </w:pPr>
            <w:r>
              <w:rPr>
                <w:rFonts w:ascii="宋体" w:eastAsia="宋体" w:hAnsi="宋体" w:cs="宋体"/>
                <w:sz w:val="18"/>
                <w:szCs w:val="18"/>
              </w:rPr>
              <w:t>连带责任保证、抵押、质押</w:t>
            </w:r>
          </w:p>
        </w:tc>
        <w:tc>
          <w:tcPr>
            <w:tcW w:w="716" w:type="dxa"/>
            <w:gridSpan w:val="2"/>
            <w:shd w:val="clear" w:color="auto" w:fill="FFFFFF" w:themeFill="background1"/>
            <w:vAlign w:val="center"/>
          </w:tcPr>
          <w:p w14:paraId="11C1696E" w14:textId="77777777" w:rsidR="00AB68F1" w:rsidRDefault="00AB68F1" w:rsidP="00AB68F1">
            <w:pPr>
              <w:spacing w:line="240" w:lineRule="exact"/>
              <w:rPr>
                <w:rFonts w:ascii="宋体" w:eastAsia="宋体" w:hAnsi="宋体" w:cs="宋体" w:hint="eastAsia"/>
                <w:sz w:val="18"/>
                <w:szCs w:val="18"/>
              </w:rPr>
            </w:pPr>
          </w:p>
        </w:tc>
        <w:tc>
          <w:tcPr>
            <w:tcW w:w="876" w:type="dxa"/>
            <w:shd w:val="clear" w:color="auto" w:fill="FFFFFF" w:themeFill="background1"/>
            <w:vAlign w:val="center"/>
          </w:tcPr>
          <w:p w14:paraId="43F662AC" w14:textId="77777777" w:rsidR="00AB68F1" w:rsidRDefault="00AB68F1" w:rsidP="00AB68F1">
            <w:pPr>
              <w:spacing w:line="240" w:lineRule="exact"/>
              <w:rPr>
                <w:rFonts w:ascii="宋体" w:eastAsia="宋体" w:hAnsi="宋体" w:cs="宋体" w:hint="eastAsia"/>
                <w:sz w:val="18"/>
                <w:szCs w:val="18"/>
              </w:rPr>
            </w:pPr>
          </w:p>
        </w:tc>
        <w:tc>
          <w:tcPr>
            <w:tcW w:w="959" w:type="dxa"/>
            <w:shd w:val="clear" w:color="auto" w:fill="FFFFFF" w:themeFill="background1"/>
            <w:vAlign w:val="center"/>
          </w:tcPr>
          <w:p w14:paraId="5E3445C9"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三年</w:t>
            </w:r>
          </w:p>
        </w:tc>
        <w:tc>
          <w:tcPr>
            <w:tcW w:w="876" w:type="dxa"/>
            <w:shd w:val="clear" w:color="auto" w:fill="FFFFFF" w:themeFill="background1"/>
            <w:vAlign w:val="center"/>
          </w:tcPr>
          <w:p w14:paraId="1666200A"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534" w:type="dxa"/>
            <w:shd w:val="clear" w:color="auto" w:fill="FFFFFF" w:themeFill="background1"/>
            <w:vAlign w:val="center"/>
          </w:tcPr>
          <w:p w14:paraId="66E7E850"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AB68F1" w14:paraId="22A27692" w14:textId="77777777" w:rsidTr="00926621">
        <w:trPr>
          <w:trHeight w:val="240"/>
        </w:trPr>
        <w:tc>
          <w:tcPr>
            <w:tcW w:w="1589" w:type="dxa"/>
            <w:shd w:val="clear" w:color="auto" w:fill="FFFFFF" w:themeFill="background1"/>
            <w:vAlign w:val="center"/>
          </w:tcPr>
          <w:p w14:paraId="3E7008EB"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lastRenderedPageBreak/>
              <w:t>兴化市戴南辉腾光伏发电有限公司</w:t>
            </w:r>
          </w:p>
        </w:tc>
        <w:tc>
          <w:tcPr>
            <w:tcW w:w="1844" w:type="dxa"/>
            <w:shd w:val="clear" w:color="auto" w:fill="FFFFFF" w:themeFill="background1"/>
            <w:vAlign w:val="center"/>
          </w:tcPr>
          <w:p w14:paraId="6B12E487" w14:textId="7713811D"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2024年03月01日</w:t>
            </w:r>
          </w:p>
        </w:tc>
        <w:tc>
          <w:tcPr>
            <w:tcW w:w="1114" w:type="dxa"/>
            <w:shd w:val="clear" w:color="auto" w:fill="FFFFFF" w:themeFill="background1"/>
            <w:vAlign w:val="center"/>
          </w:tcPr>
          <w:p w14:paraId="4ED601FB" w14:textId="77777777" w:rsidR="00AB68F1" w:rsidRDefault="00AB68F1" w:rsidP="00AB68F1">
            <w:pPr>
              <w:spacing w:line="240" w:lineRule="exact"/>
              <w:jc w:val="right"/>
              <w:rPr>
                <w:rFonts w:ascii="宋体" w:eastAsia="宋体" w:hAnsi="宋体" w:cs="宋体" w:hint="eastAsia"/>
                <w:sz w:val="18"/>
                <w:szCs w:val="18"/>
              </w:rPr>
            </w:pPr>
            <w:r>
              <w:rPr>
                <w:rFonts w:ascii="宋体" w:eastAsia="宋体" w:hAnsi="宋体" w:cs="宋体"/>
                <w:sz w:val="18"/>
                <w:szCs w:val="18"/>
              </w:rPr>
              <w:t>915.93</w:t>
            </w:r>
          </w:p>
        </w:tc>
        <w:tc>
          <w:tcPr>
            <w:tcW w:w="1881" w:type="dxa"/>
            <w:gridSpan w:val="2"/>
            <w:shd w:val="clear" w:color="auto" w:fill="FFFFFF" w:themeFill="background1"/>
            <w:vAlign w:val="center"/>
          </w:tcPr>
          <w:p w14:paraId="0316EC9A"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2024年12月12日</w:t>
            </w:r>
          </w:p>
        </w:tc>
        <w:tc>
          <w:tcPr>
            <w:tcW w:w="1062" w:type="dxa"/>
            <w:shd w:val="clear" w:color="auto" w:fill="FFFFFF" w:themeFill="background1"/>
            <w:vAlign w:val="center"/>
          </w:tcPr>
          <w:p w14:paraId="217F916F" w14:textId="77777777" w:rsidR="00AB68F1" w:rsidRDefault="00AB68F1" w:rsidP="00AB68F1">
            <w:pPr>
              <w:spacing w:line="240" w:lineRule="exact"/>
              <w:jc w:val="right"/>
              <w:rPr>
                <w:rFonts w:ascii="宋体" w:eastAsia="宋体" w:hAnsi="宋体" w:cs="宋体" w:hint="eastAsia"/>
                <w:sz w:val="18"/>
                <w:szCs w:val="18"/>
              </w:rPr>
            </w:pPr>
            <w:r>
              <w:rPr>
                <w:rFonts w:ascii="宋体" w:eastAsia="宋体" w:hAnsi="宋体" w:cs="宋体"/>
                <w:sz w:val="18"/>
                <w:szCs w:val="18"/>
              </w:rPr>
              <w:t>915.93</w:t>
            </w:r>
          </w:p>
        </w:tc>
        <w:tc>
          <w:tcPr>
            <w:tcW w:w="1188" w:type="dxa"/>
            <w:shd w:val="clear" w:color="auto" w:fill="FFFFFF" w:themeFill="background1"/>
            <w:vAlign w:val="center"/>
          </w:tcPr>
          <w:p w14:paraId="35FB1FBA"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连带责任保证、抵押、质押</w:t>
            </w:r>
          </w:p>
        </w:tc>
        <w:tc>
          <w:tcPr>
            <w:tcW w:w="716" w:type="dxa"/>
            <w:gridSpan w:val="2"/>
            <w:shd w:val="clear" w:color="auto" w:fill="FFFFFF" w:themeFill="background1"/>
            <w:vAlign w:val="center"/>
          </w:tcPr>
          <w:p w14:paraId="7DFCE939" w14:textId="77777777" w:rsidR="00AB68F1" w:rsidRDefault="00AB68F1" w:rsidP="00AB68F1">
            <w:pPr>
              <w:spacing w:line="240" w:lineRule="exact"/>
              <w:rPr>
                <w:rFonts w:ascii="宋体" w:eastAsia="宋体" w:hAnsi="宋体" w:cs="宋体" w:hint="eastAsia"/>
                <w:sz w:val="18"/>
                <w:szCs w:val="18"/>
              </w:rPr>
            </w:pPr>
          </w:p>
        </w:tc>
        <w:tc>
          <w:tcPr>
            <w:tcW w:w="876" w:type="dxa"/>
            <w:shd w:val="clear" w:color="auto" w:fill="FFFFFF" w:themeFill="background1"/>
            <w:vAlign w:val="center"/>
          </w:tcPr>
          <w:p w14:paraId="6A8C3AEC" w14:textId="77777777" w:rsidR="00AB68F1" w:rsidRDefault="00AB68F1" w:rsidP="00AB68F1">
            <w:pPr>
              <w:spacing w:line="240" w:lineRule="exact"/>
              <w:rPr>
                <w:rFonts w:ascii="宋体" w:eastAsia="宋体" w:hAnsi="宋体" w:cs="宋体" w:hint="eastAsia"/>
                <w:sz w:val="18"/>
                <w:szCs w:val="18"/>
              </w:rPr>
            </w:pPr>
          </w:p>
        </w:tc>
        <w:tc>
          <w:tcPr>
            <w:tcW w:w="959" w:type="dxa"/>
            <w:shd w:val="clear" w:color="auto" w:fill="FFFFFF" w:themeFill="background1"/>
            <w:vAlign w:val="center"/>
          </w:tcPr>
          <w:p w14:paraId="20BD5C75"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三年</w:t>
            </w:r>
          </w:p>
        </w:tc>
        <w:tc>
          <w:tcPr>
            <w:tcW w:w="876" w:type="dxa"/>
            <w:shd w:val="clear" w:color="auto" w:fill="FFFFFF" w:themeFill="background1"/>
            <w:vAlign w:val="center"/>
          </w:tcPr>
          <w:p w14:paraId="1B90BD7D"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534" w:type="dxa"/>
            <w:shd w:val="clear" w:color="auto" w:fill="FFFFFF" w:themeFill="background1"/>
            <w:vAlign w:val="center"/>
          </w:tcPr>
          <w:p w14:paraId="1AC214BE"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AB68F1" w14:paraId="57941504" w14:textId="77777777" w:rsidTr="00926621">
        <w:trPr>
          <w:trHeight w:val="240"/>
        </w:trPr>
        <w:tc>
          <w:tcPr>
            <w:tcW w:w="1589" w:type="dxa"/>
            <w:shd w:val="clear" w:color="auto" w:fill="FFFFFF" w:themeFill="background1"/>
            <w:vAlign w:val="center"/>
          </w:tcPr>
          <w:p w14:paraId="4DAB85B2"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腾晖技术（泰国）有限公司</w:t>
            </w:r>
          </w:p>
        </w:tc>
        <w:tc>
          <w:tcPr>
            <w:tcW w:w="1844" w:type="dxa"/>
            <w:shd w:val="clear" w:color="auto" w:fill="FFFFFF" w:themeFill="background1"/>
            <w:vAlign w:val="center"/>
          </w:tcPr>
          <w:p w14:paraId="4834E284" w14:textId="0652EE5F"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2024年03月01日</w:t>
            </w:r>
          </w:p>
        </w:tc>
        <w:tc>
          <w:tcPr>
            <w:tcW w:w="1114" w:type="dxa"/>
            <w:shd w:val="clear" w:color="auto" w:fill="FFFFFF" w:themeFill="background1"/>
            <w:vAlign w:val="center"/>
          </w:tcPr>
          <w:p w14:paraId="2FE2CE87" w14:textId="77777777" w:rsidR="00AB68F1" w:rsidRDefault="00AB68F1" w:rsidP="00AB68F1">
            <w:pPr>
              <w:spacing w:line="240" w:lineRule="exact"/>
              <w:jc w:val="right"/>
              <w:rPr>
                <w:rFonts w:ascii="宋体" w:eastAsia="宋体" w:hAnsi="宋体" w:cs="宋体" w:hint="eastAsia"/>
                <w:sz w:val="18"/>
                <w:szCs w:val="18"/>
              </w:rPr>
            </w:pPr>
            <w:r>
              <w:rPr>
                <w:rFonts w:ascii="宋体" w:eastAsia="宋体" w:hAnsi="宋体" w:cs="宋体"/>
                <w:sz w:val="18"/>
                <w:szCs w:val="18"/>
              </w:rPr>
              <w:t>6,504.22</w:t>
            </w:r>
          </w:p>
        </w:tc>
        <w:tc>
          <w:tcPr>
            <w:tcW w:w="1881" w:type="dxa"/>
            <w:gridSpan w:val="2"/>
            <w:shd w:val="clear" w:color="auto" w:fill="FFFFFF" w:themeFill="background1"/>
            <w:vAlign w:val="center"/>
          </w:tcPr>
          <w:p w14:paraId="2B19CC17"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2024年12月12日</w:t>
            </w:r>
          </w:p>
        </w:tc>
        <w:tc>
          <w:tcPr>
            <w:tcW w:w="1062" w:type="dxa"/>
            <w:shd w:val="clear" w:color="auto" w:fill="FFFFFF" w:themeFill="background1"/>
            <w:vAlign w:val="center"/>
          </w:tcPr>
          <w:p w14:paraId="17B746EE" w14:textId="77777777" w:rsidR="00AB68F1" w:rsidRDefault="00AB68F1" w:rsidP="00AB68F1">
            <w:pPr>
              <w:spacing w:line="240" w:lineRule="exact"/>
              <w:jc w:val="right"/>
              <w:rPr>
                <w:rFonts w:ascii="宋体" w:eastAsia="宋体" w:hAnsi="宋体" w:cs="宋体" w:hint="eastAsia"/>
                <w:sz w:val="18"/>
                <w:szCs w:val="18"/>
              </w:rPr>
            </w:pPr>
            <w:r>
              <w:rPr>
                <w:rFonts w:ascii="宋体" w:eastAsia="宋体" w:hAnsi="宋体" w:cs="宋体"/>
                <w:sz w:val="18"/>
                <w:szCs w:val="18"/>
              </w:rPr>
              <w:t>6,504.22</w:t>
            </w:r>
          </w:p>
        </w:tc>
        <w:tc>
          <w:tcPr>
            <w:tcW w:w="1188" w:type="dxa"/>
            <w:shd w:val="clear" w:color="auto" w:fill="FFFFFF" w:themeFill="background1"/>
            <w:vAlign w:val="center"/>
          </w:tcPr>
          <w:p w14:paraId="6D28D141"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连带责任保证、抵押</w:t>
            </w:r>
          </w:p>
        </w:tc>
        <w:tc>
          <w:tcPr>
            <w:tcW w:w="716" w:type="dxa"/>
            <w:gridSpan w:val="2"/>
            <w:shd w:val="clear" w:color="auto" w:fill="FFFFFF" w:themeFill="background1"/>
            <w:vAlign w:val="center"/>
          </w:tcPr>
          <w:p w14:paraId="51F09EAD" w14:textId="77777777" w:rsidR="00AB68F1" w:rsidRDefault="00AB68F1" w:rsidP="00AB68F1">
            <w:pPr>
              <w:spacing w:line="240" w:lineRule="exact"/>
              <w:rPr>
                <w:rFonts w:ascii="宋体" w:eastAsia="宋体" w:hAnsi="宋体" w:cs="宋体" w:hint="eastAsia"/>
                <w:sz w:val="18"/>
                <w:szCs w:val="18"/>
              </w:rPr>
            </w:pPr>
          </w:p>
        </w:tc>
        <w:tc>
          <w:tcPr>
            <w:tcW w:w="876" w:type="dxa"/>
            <w:shd w:val="clear" w:color="auto" w:fill="FFFFFF" w:themeFill="background1"/>
            <w:vAlign w:val="center"/>
          </w:tcPr>
          <w:p w14:paraId="17043AA0" w14:textId="77777777" w:rsidR="00AB68F1" w:rsidRDefault="00AB68F1" w:rsidP="00AB68F1">
            <w:pPr>
              <w:spacing w:line="240" w:lineRule="exact"/>
              <w:rPr>
                <w:rFonts w:ascii="宋体" w:eastAsia="宋体" w:hAnsi="宋体" w:cs="宋体" w:hint="eastAsia"/>
                <w:sz w:val="18"/>
                <w:szCs w:val="18"/>
              </w:rPr>
            </w:pPr>
          </w:p>
        </w:tc>
        <w:tc>
          <w:tcPr>
            <w:tcW w:w="959" w:type="dxa"/>
            <w:shd w:val="clear" w:color="auto" w:fill="FFFFFF" w:themeFill="background1"/>
            <w:vAlign w:val="center"/>
          </w:tcPr>
          <w:p w14:paraId="1849D58F"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三年</w:t>
            </w:r>
          </w:p>
        </w:tc>
        <w:tc>
          <w:tcPr>
            <w:tcW w:w="876" w:type="dxa"/>
            <w:shd w:val="clear" w:color="auto" w:fill="FFFFFF" w:themeFill="background1"/>
            <w:vAlign w:val="center"/>
          </w:tcPr>
          <w:p w14:paraId="639282B9"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534" w:type="dxa"/>
            <w:shd w:val="clear" w:color="auto" w:fill="FFFFFF" w:themeFill="background1"/>
            <w:vAlign w:val="center"/>
          </w:tcPr>
          <w:p w14:paraId="06ADE0C2"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AB68F1" w14:paraId="06DEA3CE" w14:textId="77777777" w:rsidTr="00926621">
        <w:trPr>
          <w:trHeight w:val="240"/>
        </w:trPr>
        <w:tc>
          <w:tcPr>
            <w:tcW w:w="1589" w:type="dxa"/>
            <w:shd w:val="clear" w:color="auto" w:fill="FFFFFF" w:themeFill="background1"/>
            <w:vAlign w:val="center"/>
          </w:tcPr>
          <w:p w14:paraId="66F7308A"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腾晖技术（泰国）有限公司</w:t>
            </w:r>
          </w:p>
        </w:tc>
        <w:tc>
          <w:tcPr>
            <w:tcW w:w="1844" w:type="dxa"/>
            <w:shd w:val="clear" w:color="auto" w:fill="FFFFFF" w:themeFill="background1"/>
            <w:vAlign w:val="center"/>
          </w:tcPr>
          <w:p w14:paraId="340E022A" w14:textId="3B1A789E"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2024年03月01日</w:t>
            </w:r>
          </w:p>
        </w:tc>
        <w:tc>
          <w:tcPr>
            <w:tcW w:w="1114" w:type="dxa"/>
            <w:shd w:val="clear" w:color="auto" w:fill="FFFFFF" w:themeFill="background1"/>
            <w:vAlign w:val="center"/>
          </w:tcPr>
          <w:p w14:paraId="1875CB8B" w14:textId="77777777" w:rsidR="00AB68F1" w:rsidRDefault="00AB68F1" w:rsidP="00AB68F1">
            <w:pPr>
              <w:spacing w:line="240" w:lineRule="exact"/>
              <w:jc w:val="right"/>
              <w:rPr>
                <w:rFonts w:ascii="宋体" w:eastAsia="宋体" w:hAnsi="宋体" w:cs="宋体" w:hint="eastAsia"/>
                <w:sz w:val="18"/>
                <w:szCs w:val="18"/>
              </w:rPr>
            </w:pPr>
            <w:r>
              <w:rPr>
                <w:rFonts w:ascii="宋体" w:eastAsia="宋体" w:hAnsi="宋体" w:cs="宋体"/>
                <w:sz w:val="18"/>
                <w:szCs w:val="18"/>
              </w:rPr>
              <w:t>797.25</w:t>
            </w:r>
          </w:p>
        </w:tc>
        <w:tc>
          <w:tcPr>
            <w:tcW w:w="1881" w:type="dxa"/>
            <w:gridSpan w:val="2"/>
            <w:shd w:val="clear" w:color="auto" w:fill="FFFFFF" w:themeFill="background1"/>
            <w:vAlign w:val="center"/>
          </w:tcPr>
          <w:p w14:paraId="7A0E5581"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2024年12月12日</w:t>
            </w:r>
          </w:p>
        </w:tc>
        <w:tc>
          <w:tcPr>
            <w:tcW w:w="1062" w:type="dxa"/>
            <w:shd w:val="clear" w:color="auto" w:fill="FFFFFF" w:themeFill="background1"/>
            <w:vAlign w:val="center"/>
          </w:tcPr>
          <w:p w14:paraId="12F3370B" w14:textId="77777777" w:rsidR="00AB68F1" w:rsidRDefault="00AB68F1" w:rsidP="00AB68F1">
            <w:pPr>
              <w:spacing w:line="240" w:lineRule="exact"/>
              <w:jc w:val="right"/>
              <w:rPr>
                <w:rFonts w:ascii="宋体" w:eastAsia="宋体" w:hAnsi="宋体" w:cs="宋体" w:hint="eastAsia"/>
                <w:sz w:val="18"/>
                <w:szCs w:val="18"/>
              </w:rPr>
            </w:pPr>
            <w:r>
              <w:rPr>
                <w:rFonts w:ascii="宋体" w:eastAsia="宋体" w:hAnsi="宋体" w:cs="宋体"/>
                <w:sz w:val="18"/>
                <w:szCs w:val="18"/>
              </w:rPr>
              <w:t>797.25</w:t>
            </w:r>
          </w:p>
        </w:tc>
        <w:tc>
          <w:tcPr>
            <w:tcW w:w="1188" w:type="dxa"/>
            <w:shd w:val="clear" w:color="auto" w:fill="FFFFFF" w:themeFill="background1"/>
            <w:vAlign w:val="center"/>
          </w:tcPr>
          <w:p w14:paraId="17935A2B"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连带责任保证、抵押</w:t>
            </w:r>
          </w:p>
        </w:tc>
        <w:tc>
          <w:tcPr>
            <w:tcW w:w="716" w:type="dxa"/>
            <w:gridSpan w:val="2"/>
            <w:shd w:val="clear" w:color="auto" w:fill="FFFFFF" w:themeFill="background1"/>
            <w:vAlign w:val="center"/>
          </w:tcPr>
          <w:p w14:paraId="0AF6EDCE" w14:textId="77777777" w:rsidR="00AB68F1" w:rsidRDefault="00AB68F1" w:rsidP="00AB68F1">
            <w:pPr>
              <w:spacing w:line="240" w:lineRule="exact"/>
              <w:rPr>
                <w:rFonts w:ascii="宋体" w:eastAsia="宋体" w:hAnsi="宋体" w:cs="宋体" w:hint="eastAsia"/>
                <w:sz w:val="18"/>
                <w:szCs w:val="18"/>
              </w:rPr>
            </w:pPr>
          </w:p>
        </w:tc>
        <w:tc>
          <w:tcPr>
            <w:tcW w:w="876" w:type="dxa"/>
            <w:shd w:val="clear" w:color="auto" w:fill="FFFFFF" w:themeFill="background1"/>
            <w:vAlign w:val="center"/>
          </w:tcPr>
          <w:p w14:paraId="3E0DA492" w14:textId="77777777" w:rsidR="00AB68F1" w:rsidRDefault="00AB68F1" w:rsidP="00AB68F1">
            <w:pPr>
              <w:spacing w:line="240" w:lineRule="exact"/>
              <w:rPr>
                <w:rFonts w:ascii="宋体" w:eastAsia="宋体" w:hAnsi="宋体" w:cs="宋体" w:hint="eastAsia"/>
                <w:sz w:val="18"/>
                <w:szCs w:val="18"/>
              </w:rPr>
            </w:pPr>
          </w:p>
        </w:tc>
        <w:tc>
          <w:tcPr>
            <w:tcW w:w="959" w:type="dxa"/>
            <w:shd w:val="clear" w:color="auto" w:fill="FFFFFF" w:themeFill="background1"/>
            <w:vAlign w:val="center"/>
          </w:tcPr>
          <w:p w14:paraId="2C6F3960"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三年</w:t>
            </w:r>
          </w:p>
        </w:tc>
        <w:tc>
          <w:tcPr>
            <w:tcW w:w="876" w:type="dxa"/>
            <w:shd w:val="clear" w:color="auto" w:fill="FFFFFF" w:themeFill="background1"/>
            <w:vAlign w:val="center"/>
          </w:tcPr>
          <w:p w14:paraId="41F8E487"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534" w:type="dxa"/>
            <w:shd w:val="clear" w:color="auto" w:fill="FFFFFF" w:themeFill="background1"/>
            <w:vAlign w:val="center"/>
          </w:tcPr>
          <w:p w14:paraId="0463E1EB"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AB68F1" w14:paraId="2250EDA1" w14:textId="77777777" w:rsidTr="00926621">
        <w:trPr>
          <w:trHeight w:val="240"/>
        </w:trPr>
        <w:tc>
          <w:tcPr>
            <w:tcW w:w="1589" w:type="dxa"/>
            <w:shd w:val="clear" w:color="auto" w:fill="FFFFFF" w:themeFill="background1"/>
            <w:vAlign w:val="center"/>
          </w:tcPr>
          <w:p w14:paraId="263EC87D"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苏州腾晖光伏技术有限公司</w:t>
            </w:r>
          </w:p>
        </w:tc>
        <w:tc>
          <w:tcPr>
            <w:tcW w:w="1844" w:type="dxa"/>
            <w:shd w:val="clear" w:color="auto" w:fill="FFFFFF" w:themeFill="background1"/>
            <w:vAlign w:val="center"/>
          </w:tcPr>
          <w:p w14:paraId="519E3528" w14:textId="50CE7ECE"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2024年03月01日</w:t>
            </w:r>
          </w:p>
        </w:tc>
        <w:tc>
          <w:tcPr>
            <w:tcW w:w="1114" w:type="dxa"/>
            <w:shd w:val="clear" w:color="auto" w:fill="FFFFFF" w:themeFill="background1"/>
            <w:vAlign w:val="center"/>
          </w:tcPr>
          <w:p w14:paraId="3D6A1FE4" w14:textId="77777777" w:rsidR="00AB68F1" w:rsidRDefault="00AB68F1" w:rsidP="00AB68F1">
            <w:pPr>
              <w:spacing w:line="240" w:lineRule="exact"/>
              <w:jc w:val="right"/>
              <w:rPr>
                <w:rFonts w:ascii="宋体" w:eastAsia="宋体" w:hAnsi="宋体" w:cs="宋体" w:hint="eastAsia"/>
                <w:sz w:val="18"/>
                <w:szCs w:val="18"/>
              </w:rPr>
            </w:pPr>
            <w:r>
              <w:rPr>
                <w:rFonts w:ascii="宋体" w:eastAsia="宋体" w:hAnsi="宋体" w:cs="宋体"/>
                <w:sz w:val="18"/>
                <w:szCs w:val="18"/>
              </w:rPr>
              <w:t>1,874.08</w:t>
            </w:r>
          </w:p>
        </w:tc>
        <w:tc>
          <w:tcPr>
            <w:tcW w:w="1881" w:type="dxa"/>
            <w:gridSpan w:val="2"/>
            <w:shd w:val="clear" w:color="auto" w:fill="FFFFFF" w:themeFill="background1"/>
            <w:vAlign w:val="center"/>
          </w:tcPr>
          <w:p w14:paraId="2B5637EF"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2024年12月12日</w:t>
            </w:r>
          </w:p>
        </w:tc>
        <w:tc>
          <w:tcPr>
            <w:tcW w:w="1062" w:type="dxa"/>
            <w:shd w:val="clear" w:color="auto" w:fill="FFFFFF" w:themeFill="background1"/>
            <w:vAlign w:val="center"/>
          </w:tcPr>
          <w:p w14:paraId="25AC97F4" w14:textId="77777777" w:rsidR="00AB68F1" w:rsidRDefault="00AB68F1" w:rsidP="00AB68F1">
            <w:pPr>
              <w:spacing w:line="240" w:lineRule="exact"/>
              <w:jc w:val="right"/>
              <w:rPr>
                <w:rFonts w:ascii="宋体" w:eastAsia="宋体" w:hAnsi="宋体" w:cs="宋体" w:hint="eastAsia"/>
                <w:sz w:val="18"/>
                <w:szCs w:val="18"/>
              </w:rPr>
            </w:pPr>
            <w:r>
              <w:rPr>
                <w:rFonts w:ascii="宋体" w:eastAsia="宋体" w:hAnsi="宋体" w:cs="宋体"/>
                <w:sz w:val="18"/>
                <w:szCs w:val="18"/>
              </w:rPr>
              <w:t>1,874.08</w:t>
            </w:r>
          </w:p>
        </w:tc>
        <w:tc>
          <w:tcPr>
            <w:tcW w:w="1188" w:type="dxa"/>
            <w:shd w:val="clear" w:color="auto" w:fill="FFFFFF" w:themeFill="background1"/>
            <w:vAlign w:val="center"/>
          </w:tcPr>
          <w:p w14:paraId="694E3418"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连带责任保证、抵押、质押</w:t>
            </w:r>
          </w:p>
        </w:tc>
        <w:tc>
          <w:tcPr>
            <w:tcW w:w="716" w:type="dxa"/>
            <w:gridSpan w:val="2"/>
            <w:shd w:val="clear" w:color="auto" w:fill="FFFFFF" w:themeFill="background1"/>
            <w:vAlign w:val="center"/>
          </w:tcPr>
          <w:p w14:paraId="78316F5B" w14:textId="77777777" w:rsidR="00AB68F1" w:rsidRDefault="00AB68F1" w:rsidP="00AB68F1">
            <w:pPr>
              <w:spacing w:line="240" w:lineRule="exact"/>
              <w:rPr>
                <w:rFonts w:ascii="宋体" w:eastAsia="宋体" w:hAnsi="宋体" w:cs="宋体" w:hint="eastAsia"/>
                <w:sz w:val="18"/>
                <w:szCs w:val="18"/>
              </w:rPr>
            </w:pPr>
          </w:p>
        </w:tc>
        <w:tc>
          <w:tcPr>
            <w:tcW w:w="876" w:type="dxa"/>
            <w:shd w:val="clear" w:color="auto" w:fill="FFFFFF" w:themeFill="background1"/>
            <w:vAlign w:val="center"/>
          </w:tcPr>
          <w:p w14:paraId="1B89F2D1" w14:textId="77777777" w:rsidR="00AB68F1" w:rsidRDefault="00AB68F1" w:rsidP="00AB68F1">
            <w:pPr>
              <w:spacing w:line="240" w:lineRule="exact"/>
              <w:rPr>
                <w:rFonts w:ascii="宋体" w:eastAsia="宋体" w:hAnsi="宋体" w:cs="宋体" w:hint="eastAsia"/>
                <w:sz w:val="18"/>
                <w:szCs w:val="18"/>
              </w:rPr>
            </w:pPr>
          </w:p>
        </w:tc>
        <w:tc>
          <w:tcPr>
            <w:tcW w:w="959" w:type="dxa"/>
            <w:shd w:val="clear" w:color="auto" w:fill="FFFFFF" w:themeFill="background1"/>
            <w:vAlign w:val="center"/>
          </w:tcPr>
          <w:p w14:paraId="1635000A"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八年</w:t>
            </w:r>
          </w:p>
        </w:tc>
        <w:tc>
          <w:tcPr>
            <w:tcW w:w="876" w:type="dxa"/>
            <w:shd w:val="clear" w:color="auto" w:fill="FFFFFF" w:themeFill="background1"/>
            <w:vAlign w:val="center"/>
          </w:tcPr>
          <w:p w14:paraId="0A4F3762"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534" w:type="dxa"/>
            <w:shd w:val="clear" w:color="auto" w:fill="FFFFFF" w:themeFill="background1"/>
            <w:vAlign w:val="center"/>
          </w:tcPr>
          <w:p w14:paraId="1C0C637A"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AB68F1" w14:paraId="3FE6F94C" w14:textId="77777777" w:rsidTr="00926621">
        <w:trPr>
          <w:trHeight w:val="240"/>
        </w:trPr>
        <w:tc>
          <w:tcPr>
            <w:tcW w:w="1589" w:type="dxa"/>
            <w:shd w:val="clear" w:color="auto" w:fill="FFFFFF" w:themeFill="background1"/>
            <w:vAlign w:val="center"/>
          </w:tcPr>
          <w:p w14:paraId="15B8F6B5"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苏州腾晖光伏技术有限公司</w:t>
            </w:r>
          </w:p>
        </w:tc>
        <w:tc>
          <w:tcPr>
            <w:tcW w:w="1844" w:type="dxa"/>
            <w:shd w:val="clear" w:color="auto" w:fill="FFFFFF" w:themeFill="background1"/>
            <w:vAlign w:val="center"/>
          </w:tcPr>
          <w:p w14:paraId="73DD4096" w14:textId="67D4E5FE"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2024年03月01日</w:t>
            </w:r>
          </w:p>
        </w:tc>
        <w:tc>
          <w:tcPr>
            <w:tcW w:w="1114" w:type="dxa"/>
            <w:shd w:val="clear" w:color="auto" w:fill="FFFFFF" w:themeFill="background1"/>
            <w:vAlign w:val="center"/>
          </w:tcPr>
          <w:p w14:paraId="0A03BB99" w14:textId="77777777" w:rsidR="00AB68F1" w:rsidRDefault="00AB68F1" w:rsidP="00AB68F1">
            <w:pPr>
              <w:spacing w:line="240" w:lineRule="exact"/>
              <w:jc w:val="right"/>
              <w:rPr>
                <w:rFonts w:ascii="宋体" w:eastAsia="宋体" w:hAnsi="宋体" w:cs="宋体" w:hint="eastAsia"/>
                <w:sz w:val="18"/>
                <w:szCs w:val="18"/>
              </w:rPr>
            </w:pPr>
            <w:r>
              <w:rPr>
                <w:rFonts w:ascii="宋体" w:eastAsia="宋体" w:hAnsi="宋体" w:cs="宋体"/>
                <w:sz w:val="18"/>
                <w:szCs w:val="18"/>
              </w:rPr>
              <w:t>19,169.89</w:t>
            </w:r>
          </w:p>
        </w:tc>
        <w:tc>
          <w:tcPr>
            <w:tcW w:w="1881" w:type="dxa"/>
            <w:gridSpan w:val="2"/>
            <w:shd w:val="clear" w:color="auto" w:fill="FFFFFF" w:themeFill="background1"/>
            <w:vAlign w:val="center"/>
          </w:tcPr>
          <w:p w14:paraId="4C408EDC"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2024年12月12日</w:t>
            </w:r>
          </w:p>
        </w:tc>
        <w:tc>
          <w:tcPr>
            <w:tcW w:w="1062" w:type="dxa"/>
            <w:shd w:val="clear" w:color="auto" w:fill="FFFFFF" w:themeFill="background1"/>
            <w:vAlign w:val="center"/>
          </w:tcPr>
          <w:p w14:paraId="63B56330" w14:textId="77777777" w:rsidR="00AB68F1" w:rsidRDefault="00AB68F1" w:rsidP="00AB68F1">
            <w:pPr>
              <w:spacing w:line="240" w:lineRule="exact"/>
              <w:jc w:val="right"/>
              <w:rPr>
                <w:rFonts w:ascii="宋体" w:eastAsia="宋体" w:hAnsi="宋体" w:cs="宋体" w:hint="eastAsia"/>
                <w:sz w:val="18"/>
                <w:szCs w:val="18"/>
              </w:rPr>
            </w:pPr>
            <w:r>
              <w:rPr>
                <w:rFonts w:ascii="宋体" w:eastAsia="宋体" w:hAnsi="宋体" w:cs="宋体"/>
                <w:sz w:val="18"/>
                <w:szCs w:val="18"/>
              </w:rPr>
              <w:t>19,169.89</w:t>
            </w:r>
          </w:p>
        </w:tc>
        <w:tc>
          <w:tcPr>
            <w:tcW w:w="1188" w:type="dxa"/>
            <w:shd w:val="clear" w:color="auto" w:fill="FFFFFF" w:themeFill="background1"/>
            <w:vAlign w:val="center"/>
          </w:tcPr>
          <w:p w14:paraId="40AB1D67"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连带责任保证、抵押</w:t>
            </w:r>
          </w:p>
        </w:tc>
        <w:tc>
          <w:tcPr>
            <w:tcW w:w="716" w:type="dxa"/>
            <w:gridSpan w:val="2"/>
            <w:shd w:val="clear" w:color="auto" w:fill="FFFFFF" w:themeFill="background1"/>
            <w:vAlign w:val="center"/>
          </w:tcPr>
          <w:p w14:paraId="7F93C0A5" w14:textId="77777777" w:rsidR="00AB68F1" w:rsidRDefault="00AB68F1" w:rsidP="00AB68F1">
            <w:pPr>
              <w:spacing w:line="240" w:lineRule="exact"/>
              <w:rPr>
                <w:rFonts w:ascii="宋体" w:eastAsia="宋体" w:hAnsi="宋体" w:cs="宋体" w:hint="eastAsia"/>
                <w:sz w:val="18"/>
                <w:szCs w:val="18"/>
              </w:rPr>
            </w:pPr>
          </w:p>
        </w:tc>
        <w:tc>
          <w:tcPr>
            <w:tcW w:w="876" w:type="dxa"/>
            <w:shd w:val="clear" w:color="auto" w:fill="FFFFFF" w:themeFill="background1"/>
            <w:vAlign w:val="center"/>
          </w:tcPr>
          <w:p w14:paraId="62527E0A" w14:textId="77777777" w:rsidR="00AB68F1" w:rsidRDefault="00AB68F1" w:rsidP="00AB68F1">
            <w:pPr>
              <w:spacing w:line="240" w:lineRule="exact"/>
              <w:rPr>
                <w:rFonts w:ascii="宋体" w:eastAsia="宋体" w:hAnsi="宋体" w:cs="宋体" w:hint="eastAsia"/>
                <w:sz w:val="18"/>
                <w:szCs w:val="18"/>
              </w:rPr>
            </w:pPr>
          </w:p>
        </w:tc>
        <w:tc>
          <w:tcPr>
            <w:tcW w:w="959" w:type="dxa"/>
            <w:shd w:val="clear" w:color="auto" w:fill="FFFFFF" w:themeFill="background1"/>
            <w:vAlign w:val="center"/>
          </w:tcPr>
          <w:p w14:paraId="11BA2877"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八年</w:t>
            </w:r>
          </w:p>
        </w:tc>
        <w:tc>
          <w:tcPr>
            <w:tcW w:w="876" w:type="dxa"/>
            <w:shd w:val="clear" w:color="auto" w:fill="FFFFFF" w:themeFill="background1"/>
            <w:vAlign w:val="center"/>
          </w:tcPr>
          <w:p w14:paraId="2DAF271C"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534" w:type="dxa"/>
            <w:shd w:val="clear" w:color="auto" w:fill="FFFFFF" w:themeFill="background1"/>
            <w:vAlign w:val="center"/>
          </w:tcPr>
          <w:p w14:paraId="337C3AC2" w14:textId="77777777" w:rsidR="00AB68F1" w:rsidRDefault="00AB68F1" w:rsidP="00AB68F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1959142F" w14:textId="77777777" w:rsidTr="00926621">
        <w:trPr>
          <w:trHeight w:val="240"/>
        </w:trPr>
        <w:tc>
          <w:tcPr>
            <w:tcW w:w="1589" w:type="dxa"/>
            <w:shd w:val="clear" w:color="auto" w:fill="FFFFFF" w:themeFill="background1"/>
            <w:vAlign w:val="center"/>
          </w:tcPr>
          <w:p w14:paraId="1AF6A3C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腾晖技术（泰国）有限公司</w:t>
            </w:r>
          </w:p>
        </w:tc>
        <w:tc>
          <w:tcPr>
            <w:tcW w:w="1844" w:type="dxa"/>
            <w:shd w:val="clear" w:color="auto" w:fill="FFFFFF" w:themeFill="background1"/>
            <w:vAlign w:val="center"/>
          </w:tcPr>
          <w:p w14:paraId="02F550C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2021年01月06日</w:t>
            </w:r>
          </w:p>
        </w:tc>
        <w:tc>
          <w:tcPr>
            <w:tcW w:w="1114" w:type="dxa"/>
            <w:shd w:val="clear" w:color="auto" w:fill="FFFFFF" w:themeFill="background1"/>
            <w:vAlign w:val="center"/>
          </w:tcPr>
          <w:p w14:paraId="18297D9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28,753.6</w:t>
            </w:r>
          </w:p>
        </w:tc>
        <w:tc>
          <w:tcPr>
            <w:tcW w:w="1881" w:type="dxa"/>
            <w:gridSpan w:val="2"/>
            <w:shd w:val="clear" w:color="auto" w:fill="FFFFFF" w:themeFill="background1"/>
            <w:vAlign w:val="center"/>
          </w:tcPr>
          <w:p w14:paraId="0AC4281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2021年07月15日</w:t>
            </w:r>
          </w:p>
        </w:tc>
        <w:tc>
          <w:tcPr>
            <w:tcW w:w="1062" w:type="dxa"/>
            <w:shd w:val="clear" w:color="auto" w:fill="FFFFFF" w:themeFill="background1"/>
            <w:vAlign w:val="center"/>
          </w:tcPr>
          <w:p w14:paraId="2243764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13,286.32</w:t>
            </w:r>
          </w:p>
        </w:tc>
        <w:tc>
          <w:tcPr>
            <w:tcW w:w="1188" w:type="dxa"/>
            <w:shd w:val="clear" w:color="auto" w:fill="FFFFFF" w:themeFill="background1"/>
            <w:vAlign w:val="center"/>
          </w:tcPr>
          <w:p w14:paraId="111CDC1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716" w:type="dxa"/>
            <w:gridSpan w:val="2"/>
            <w:shd w:val="clear" w:color="auto" w:fill="FFFFFF" w:themeFill="background1"/>
            <w:vAlign w:val="center"/>
          </w:tcPr>
          <w:p w14:paraId="1B34C3A3" w14:textId="77777777" w:rsidR="00632E5B" w:rsidRDefault="00632E5B">
            <w:pPr>
              <w:spacing w:line="240" w:lineRule="exact"/>
              <w:rPr>
                <w:rFonts w:ascii="宋体" w:eastAsia="宋体" w:hAnsi="宋体" w:cs="宋体" w:hint="eastAsia"/>
                <w:sz w:val="18"/>
                <w:szCs w:val="18"/>
              </w:rPr>
            </w:pPr>
          </w:p>
        </w:tc>
        <w:tc>
          <w:tcPr>
            <w:tcW w:w="876" w:type="dxa"/>
            <w:shd w:val="clear" w:color="auto" w:fill="FFFFFF" w:themeFill="background1"/>
            <w:vAlign w:val="center"/>
          </w:tcPr>
          <w:p w14:paraId="52421729" w14:textId="77777777" w:rsidR="00632E5B" w:rsidRDefault="00632E5B">
            <w:pPr>
              <w:spacing w:line="240" w:lineRule="exact"/>
              <w:rPr>
                <w:rFonts w:ascii="宋体" w:eastAsia="宋体" w:hAnsi="宋体" w:cs="宋体" w:hint="eastAsia"/>
                <w:sz w:val="18"/>
                <w:szCs w:val="18"/>
              </w:rPr>
            </w:pPr>
          </w:p>
        </w:tc>
        <w:tc>
          <w:tcPr>
            <w:tcW w:w="959" w:type="dxa"/>
            <w:shd w:val="clear" w:color="auto" w:fill="FFFFFF" w:themeFill="background1"/>
            <w:vAlign w:val="center"/>
          </w:tcPr>
          <w:p w14:paraId="4C7F5CA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一年</w:t>
            </w:r>
          </w:p>
        </w:tc>
        <w:tc>
          <w:tcPr>
            <w:tcW w:w="876" w:type="dxa"/>
            <w:shd w:val="clear" w:color="auto" w:fill="FFFFFF" w:themeFill="background1"/>
            <w:vAlign w:val="center"/>
          </w:tcPr>
          <w:p w14:paraId="4D126DE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534" w:type="dxa"/>
            <w:shd w:val="clear" w:color="auto" w:fill="FFFFFF" w:themeFill="background1"/>
            <w:vAlign w:val="center"/>
          </w:tcPr>
          <w:p w14:paraId="570FEF3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2F800014" w14:textId="77777777" w:rsidTr="00926621">
        <w:trPr>
          <w:trHeight w:val="240"/>
        </w:trPr>
        <w:tc>
          <w:tcPr>
            <w:tcW w:w="1589" w:type="dxa"/>
            <w:shd w:val="clear" w:color="auto" w:fill="FFFFFF" w:themeFill="background1"/>
            <w:vAlign w:val="center"/>
          </w:tcPr>
          <w:p w14:paraId="0968049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苏州腾晖光伏技术有限公司</w:t>
            </w:r>
          </w:p>
        </w:tc>
        <w:tc>
          <w:tcPr>
            <w:tcW w:w="1844" w:type="dxa"/>
            <w:shd w:val="clear" w:color="auto" w:fill="FFFFFF" w:themeFill="background1"/>
            <w:vAlign w:val="center"/>
          </w:tcPr>
          <w:p w14:paraId="7684496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2023年02月10日</w:t>
            </w:r>
          </w:p>
        </w:tc>
        <w:tc>
          <w:tcPr>
            <w:tcW w:w="1114" w:type="dxa"/>
            <w:shd w:val="clear" w:color="auto" w:fill="FFFFFF" w:themeFill="background1"/>
            <w:vAlign w:val="center"/>
          </w:tcPr>
          <w:p w14:paraId="4C00D1A1" w14:textId="418AAACC"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8,000</w:t>
            </w:r>
            <w:r w:rsidR="00774DD7">
              <w:rPr>
                <w:rFonts w:ascii="宋体" w:eastAsia="宋体" w:hAnsi="宋体" w:cs="宋体"/>
                <w:sz w:val="18"/>
                <w:szCs w:val="18"/>
              </w:rPr>
              <w:t>.00</w:t>
            </w:r>
          </w:p>
        </w:tc>
        <w:tc>
          <w:tcPr>
            <w:tcW w:w="1881" w:type="dxa"/>
            <w:gridSpan w:val="2"/>
            <w:shd w:val="clear" w:color="auto" w:fill="FFFFFF" w:themeFill="background1"/>
            <w:vAlign w:val="center"/>
          </w:tcPr>
          <w:p w14:paraId="5676E5D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2023年07月22日</w:t>
            </w:r>
          </w:p>
        </w:tc>
        <w:tc>
          <w:tcPr>
            <w:tcW w:w="1062" w:type="dxa"/>
            <w:shd w:val="clear" w:color="auto" w:fill="FFFFFF" w:themeFill="background1"/>
            <w:vAlign w:val="center"/>
          </w:tcPr>
          <w:p w14:paraId="2A5BD5C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2,667.81</w:t>
            </w:r>
          </w:p>
        </w:tc>
        <w:tc>
          <w:tcPr>
            <w:tcW w:w="1188" w:type="dxa"/>
            <w:shd w:val="clear" w:color="auto" w:fill="FFFFFF" w:themeFill="background1"/>
            <w:vAlign w:val="center"/>
          </w:tcPr>
          <w:p w14:paraId="2024EC0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716" w:type="dxa"/>
            <w:gridSpan w:val="2"/>
            <w:shd w:val="clear" w:color="auto" w:fill="FFFFFF" w:themeFill="background1"/>
            <w:vAlign w:val="center"/>
          </w:tcPr>
          <w:p w14:paraId="437F1C30" w14:textId="77777777" w:rsidR="00632E5B" w:rsidRDefault="00632E5B">
            <w:pPr>
              <w:spacing w:line="240" w:lineRule="exact"/>
              <w:rPr>
                <w:rFonts w:ascii="宋体" w:eastAsia="宋体" w:hAnsi="宋体" w:cs="宋体" w:hint="eastAsia"/>
                <w:sz w:val="18"/>
                <w:szCs w:val="18"/>
              </w:rPr>
            </w:pPr>
          </w:p>
        </w:tc>
        <w:tc>
          <w:tcPr>
            <w:tcW w:w="876" w:type="dxa"/>
            <w:shd w:val="clear" w:color="auto" w:fill="FFFFFF" w:themeFill="background1"/>
            <w:vAlign w:val="center"/>
          </w:tcPr>
          <w:p w14:paraId="7E6922E4" w14:textId="77777777" w:rsidR="00632E5B" w:rsidRDefault="00632E5B">
            <w:pPr>
              <w:spacing w:line="240" w:lineRule="exact"/>
              <w:rPr>
                <w:rFonts w:ascii="宋体" w:eastAsia="宋体" w:hAnsi="宋体" w:cs="宋体" w:hint="eastAsia"/>
                <w:sz w:val="18"/>
                <w:szCs w:val="18"/>
              </w:rPr>
            </w:pPr>
          </w:p>
        </w:tc>
        <w:tc>
          <w:tcPr>
            <w:tcW w:w="959" w:type="dxa"/>
            <w:shd w:val="clear" w:color="auto" w:fill="FFFFFF" w:themeFill="background1"/>
            <w:vAlign w:val="center"/>
          </w:tcPr>
          <w:p w14:paraId="226C93A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一年</w:t>
            </w:r>
          </w:p>
        </w:tc>
        <w:tc>
          <w:tcPr>
            <w:tcW w:w="876" w:type="dxa"/>
            <w:shd w:val="clear" w:color="auto" w:fill="FFFFFF" w:themeFill="background1"/>
            <w:vAlign w:val="center"/>
          </w:tcPr>
          <w:p w14:paraId="3A68DC8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534" w:type="dxa"/>
            <w:shd w:val="clear" w:color="auto" w:fill="FFFFFF" w:themeFill="background1"/>
            <w:vAlign w:val="center"/>
          </w:tcPr>
          <w:p w14:paraId="63E0509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0658D86C" w14:textId="77777777" w:rsidTr="00926621">
        <w:trPr>
          <w:trHeight w:val="240"/>
        </w:trPr>
        <w:tc>
          <w:tcPr>
            <w:tcW w:w="1589" w:type="dxa"/>
            <w:shd w:val="clear" w:color="auto" w:fill="FFFFFF" w:themeFill="background1"/>
            <w:vAlign w:val="center"/>
          </w:tcPr>
          <w:p w14:paraId="5C8FCF9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苏州腾晖光伏技术有限公司</w:t>
            </w:r>
          </w:p>
        </w:tc>
        <w:tc>
          <w:tcPr>
            <w:tcW w:w="1844" w:type="dxa"/>
            <w:shd w:val="clear" w:color="auto" w:fill="FFFFFF" w:themeFill="background1"/>
            <w:vAlign w:val="center"/>
          </w:tcPr>
          <w:p w14:paraId="141BA2E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2021年12月29日</w:t>
            </w:r>
          </w:p>
        </w:tc>
        <w:tc>
          <w:tcPr>
            <w:tcW w:w="1114" w:type="dxa"/>
            <w:shd w:val="clear" w:color="auto" w:fill="FFFFFF" w:themeFill="background1"/>
            <w:vAlign w:val="center"/>
          </w:tcPr>
          <w:p w14:paraId="034569F6" w14:textId="37388D18"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8,000</w:t>
            </w:r>
            <w:r w:rsidR="00774DD7">
              <w:rPr>
                <w:rFonts w:ascii="宋体" w:eastAsia="宋体" w:hAnsi="宋体" w:cs="宋体"/>
                <w:sz w:val="18"/>
                <w:szCs w:val="18"/>
              </w:rPr>
              <w:t>.00</w:t>
            </w:r>
          </w:p>
        </w:tc>
        <w:tc>
          <w:tcPr>
            <w:tcW w:w="1881" w:type="dxa"/>
            <w:gridSpan w:val="2"/>
            <w:shd w:val="clear" w:color="auto" w:fill="FFFFFF" w:themeFill="background1"/>
            <w:vAlign w:val="center"/>
          </w:tcPr>
          <w:p w14:paraId="18FEC76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2022年05月01日</w:t>
            </w:r>
          </w:p>
        </w:tc>
        <w:tc>
          <w:tcPr>
            <w:tcW w:w="1062" w:type="dxa"/>
            <w:shd w:val="clear" w:color="auto" w:fill="FFFFFF" w:themeFill="background1"/>
            <w:vAlign w:val="center"/>
          </w:tcPr>
          <w:p w14:paraId="013392E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845.18</w:t>
            </w:r>
          </w:p>
        </w:tc>
        <w:tc>
          <w:tcPr>
            <w:tcW w:w="1188" w:type="dxa"/>
            <w:shd w:val="clear" w:color="auto" w:fill="FFFFFF" w:themeFill="background1"/>
            <w:vAlign w:val="center"/>
          </w:tcPr>
          <w:p w14:paraId="3296ACE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连带责任保证</w:t>
            </w:r>
          </w:p>
        </w:tc>
        <w:tc>
          <w:tcPr>
            <w:tcW w:w="716" w:type="dxa"/>
            <w:gridSpan w:val="2"/>
            <w:shd w:val="clear" w:color="auto" w:fill="FFFFFF" w:themeFill="background1"/>
            <w:vAlign w:val="center"/>
          </w:tcPr>
          <w:p w14:paraId="59735090" w14:textId="77777777" w:rsidR="00632E5B" w:rsidRDefault="00632E5B">
            <w:pPr>
              <w:spacing w:line="240" w:lineRule="exact"/>
              <w:rPr>
                <w:rFonts w:ascii="宋体" w:eastAsia="宋体" w:hAnsi="宋体" w:cs="宋体" w:hint="eastAsia"/>
                <w:sz w:val="18"/>
                <w:szCs w:val="18"/>
              </w:rPr>
            </w:pPr>
          </w:p>
        </w:tc>
        <w:tc>
          <w:tcPr>
            <w:tcW w:w="876" w:type="dxa"/>
            <w:shd w:val="clear" w:color="auto" w:fill="FFFFFF" w:themeFill="background1"/>
            <w:vAlign w:val="center"/>
          </w:tcPr>
          <w:p w14:paraId="37E69053" w14:textId="77777777" w:rsidR="00632E5B" w:rsidRDefault="00632E5B">
            <w:pPr>
              <w:spacing w:line="240" w:lineRule="exact"/>
              <w:rPr>
                <w:rFonts w:ascii="宋体" w:eastAsia="宋体" w:hAnsi="宋体" w:cs="宋体" w:hint="eastAsia"/>
                <w:sz w:val="18"/>
                <w:szCs w:val="18"/>
              </w:rPr>
            </w:pPr>
          </w:p>
        </w:tc>
        <w:tc>
          <w:tcPr>
            <w:tcW w:w="959" w:type="dxa"/>
            <w:shd w:val="clear" w:color="auto" w:fill="FFFFFF" w:themeFill="background1"/>
            <w:vAlign w:val="center"/>
          </w:tcPr>
          <w:p w14:paraId="233B807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一年</w:t>
            </w:r>
          </w:p>
        </w:tc>
        <w:tc>
          <w:tcPr>
            <w:tcW w:w="876" w:type="dxa"/>
            <w:shd w:val="clear" w:color="auto" w:fill="FFFFFF" w:themeFill="background1"/>
            <w:vAlign w:val="center"/>
          </w:tcPr>
          <w:p w14:paraId="3CBB430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534" w:type="dxa"/>
            <w:shd w:val="clear" w:color="auto" w:fill="FFFFFF" w:themeFill="background1"/>
            <w:vAlign w:val="center"/>
          </w:tcPr>
          <w:p w14:paraId="7707EE9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3EA88B6C" w14:textId="77777777" w:rsidTr="00926621">
        <w:trPr>
          <w:trHeight w:val="240"/>
        </w:trPr>
        <w:tc>
          <w:tcPr>
            <w:tcW w:w="3433" w:type="dxa"/>
            <w:gridSpan w:val="2"/>
            <w:shd w:val="clear" w:color="auto" w:fill="FFFFFF" w:themeFill="background1"/>
            <w:vAlign w:val="center"/>
          </w:tcPr>
          <w:p w14:paraId="19735851"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报告期内审批对子公司担保额度合计（B1）</w:t>
            </w:r>
          </w:p>
        </w:tc>
        <w:tc>
          <w:tcPr>
            <w:tcW w:w="2995" w:type="dxa"/>
            <w:gridSpan w:val="3"/>
            <w:shd w:val="clear" w:color="auto" w:fill="FFFFFF" w:themeFill="background1"/>
            <w:vAlign w:val="center"/>
          </w:tcPr>
          <w:p w14:paraId="790FCDED" w14:textId="2484DB0D"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640</w:t>
            </w:r>
            <w:r w:rsidR="00774DD7">
              <w:rPr>
                <w:rFonts w:ascii="宋体" w:eastAsia="宋体" w:hAnsi="宋体" w:cs="宋体"/>
                <w:sz w:val="18"/>
                <w:szCs w:val="18"/>
              </w:rPr>
              <w:t>.00</w:t>
            </w:r>
          </w:p>
        </w:tc>
        <w:tc>
          <w:tcPr>
            <w:tcW w:w="2273" w:type="dxa"/>
            <w:gridSpan w:val="3"/>
            <w:shd w:val="clear" w:color="auto" w:fill="FFFFFF" w:themeFill="background1"/>
            <w:vAlign w:val="center"/>
          </w:tcPr>
          <w:p w14:paraId="6E5BE745"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报告期内对子公司担保实际发生额合计（B2）</w:t>
            </w:r>
          </w:p>
        </w:tc>
        <w:tc>
          <w:tcPr>
            <w:tcW w:w="4938" w:type="dxa"/>
            <w:gridSpan w:val="5"/>
            <w:shd w:val="clear" w:color="auto" w:fill="FFFFFF" w:themeFill="background1"/>
            <w:vAlign w:val="center"/>
          </w:tcPr>
          <w:p w14:paraId="56C42AB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1,649.85</w:t>
            </w:r>
          </w:p>
        </w:tc>
      </w:tr>
      <w:tr w:rsidR="00632E5B" w14:paraId="55A12364" w14:textId="77777777" w:rsidTr="00926621">
        <w:trPr>
          <w:trHeight w:val="240"/>
        </w:trPr>
        <w:tc>
          <w:tcPr>
            <w:tcW w:w="3433" w:type="dxa"/>
            <w:gridSpan w:val="2"/>
            <w:shd w:val="clear" w:color="auto" w:fill="FFFFFF" w:themeFill="background1"/>
            <w:vAlign w:val="center"/>
          </w:tcPr>
          <w:p w14:paraId="62F98440"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报告期末已审批的对子公司担保额度合计（B3）</w:t>
            </w:r>
          </w:p>
        </w:tc>
        <w:tc>
          <w:tcPr>
            <w:tcW w:w="2995" w:type="dxa"/>
            <w:gridSpan w:val="3"/>
            <w:shd w:val="clear" w:color="auto" w:fill="FFFFFF" w:themeFill="background1"/>
            <w:vAlign w:val="center"/>
          </w:tcPr>
          <w:p w14:paraId="1953792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111,055.27</w:t>
            </w:r>
          </w:p>
        </w:tc>
        <w:tc>
          <w:tcPr>
            <w:tcW w:w="2273" w:type="dxa"/>
            <w:gridSpan w:val="3"/>
            <w:shd w:val="clear" w:color="auto" w:fill="FFFFFF" w:themeFill="background1"/>
            <w:vAlign w:val="center"/>
          </w:tcPr>
          <w:p w14:paraId="325C525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报告期末对子公司实际担保余额合计（B4）</w:t>
            </w:r>
          </w:p>
        </w:tc>
        <w:tc>
          <w:tcPr>
            <w:tcW w:w="4938" w:type="dxa"/>
            <w:gridSpan w:val="5"/>
            <w:shd w:val="clear" w:color="auto" w:fill="FFFFFF" w:themeFill="background1"/>
            <w:vAlign w:val="center"/>
          </w:tcPr>
          <w:p w14:paraId="1AD0C1A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83,081.87</w:t>
            </w:r>
          </w:p>
        </w:tc>
      </w:tr>
      <w:tr w:rsidR="00632E5B" w14:paraId="657D7A39" w14:textId="77777777" w:rsidTr="00926621">
        <w:trPr>
          <w:trHeight w:val="240"/>
        </w:trPr>
        <w:tc>
          <w:tcPr>
            <w:tcW w:w="13639" w:type="dxa"/>
            <w:gridSpan w:val="13"/>
            <w:shd w:val="clear" w:color="auto" w:fill="FFFFFF" w:themeFill="background1"/>
            <w:vAlign w:val="center"/>
          </w:tcPr>
          <w:p w14:paraId="21D78E5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子公司对子公司的担保情况</w:t>
            </w:r>
          </w:p>
        </w:tc>
      </w:tr>
      <w:tr w:rsidR="00C91C3D" w14:paraId="4708E919" w14:textId="77777777" w:rsidTr="00926621">
        <w:trPr>
          <w:trHeight w:val="240"/>
        </w:trPr>
        <w:tc>
          <w:tcPr>
            <w:tcW w:w="1589" w:type="dxa"/>
            <w:shd w:val="clear" w:color="auto" w:fill="FFFFFF" w:themeFill="background1"/>
            <w:vAlign w:val="center"/>
          </w:tcPr>
          <w:p w14:paraId="19C6C0E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担保对象名称</w:t>
            </w:r>
          </w:p>
        </w:tc>
        <w:tc>
          <w:tcPr>
            <w:tcW w:w="1844" w:type="dxa"/>
            <w:shd w:val="clear" w:color="auto" w:fill="FFFFFF" w:themeFill="background1"/>
            <w:vAlign w:val="center"/>
          </w:tcPr>
          <w:p w14:paraId="78E298A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担保额度相关公告披露日期</w:t>
            </w:r>
          </w:p>
        </w:tc>
        <w:tc>
          <w:tcPr>
            <w:tcW w:w="1114" w:type="dxa"/>
            <w:shd w:val="clear" w:color="auto" w:fill="FFFFFF" w:themeFill="background1"/>
            <w:vAlign w:val="center"/>
          </w:tcPr>
          <w:p w14:paraId="280851B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担保额度</w:t>
            </w:r>
          </w:p>
        </w:tc>
        <w:tc>
          <w:tcPr>
            <w:tcW w:w="1881" w:type="dxa"/>
            <w:gridSpan w:val="2"/>
            <w:shd w:val="clear" w:color="auto" w:fill="FFFFFF" w:themeFill="background1"/>
            <w:vAlign w:val="center"/>
          </w:tcPr>
          <w:p w14:paraId="6233686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实际发生日期</w:t>
            </w:r>
          </w:p>
        </w:tc>
        <w:tc>
          <w:tcPr>
            <w:tcW w:w="1062" w:type="dxa"/>
            <w:shd w:val="clear" w:color="auto" w:fill="FFFFFF" w:themeFill="background1"/>
            <w:vAlign w:val="center"/>
          </w:tcPr>
          <w:p w14:paraId="6938A3C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实际担保金额</w:t>
            </w:r>
          </w:p>
        </w:tc>
        <w:tc>
          <w:tcPr>
            <w:tcW w:w="1188" w:type="dxa"/>
            <w:shd w:val="clear" w:color="auto" w:fill="FFFFFF" w:themeFill="background1"/>
            <w:vAlign w:val="center"/>
          </w:tcPr>
          <w:p w14:paraId="3CF03F9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担保类型</w:t>
            </w:r>
          </w:p>
        </w:tc>
        <w:tc>
          <w:tcPr>
            <w:tcW w:w="716" w:type="dxa"/>
            <w:gridSpan w:val="2"/>
            <w:shd w:val="clear" w:color="auto" w:fill="FFFFFF" w:themeFill="background1"/>
            <w:vAlign w:val="center"/>
          </w:tcPr>
          <w:p w14:paraId="67C4816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担保物（如有）</w:t>
            </w:r>
          </w:p>
        </w:tc>
        <w:tc>
          <w:tcPr>
            <w:tcW w:w="876" w:type="dxa"/>
            <w:shd w:val="clear" w:color="auto" w:fill="FFFFFF" w:themeFill="background1"/>
            <w:vAlign w:val="center"/>
          </w:tcPr>
          <w:p w14:paraId="78A669A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反担保情况（如有）</w:t>
            </w:r>
          </w:p>
        </w:tc>
        <w:tc>
          <w:tcPr>
            <w:tcW w:w="959" w:type="dxa"/>
            <w:shd w:val="clear" w:color="auto" w:fill="FFFFFF" w:themeFill="background1"/>
            <w:vAlign w:val="center"/>
          </w:tcPr>
          <w:p w14:paraId="232FD57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担保期</w:t>
            </w:r>
          </w:p>
        </w:tc>
        <w:tc>
          <w:tcPr>
            <w:tcW w:w="876" w:type="dxa"/>
            <w:shd w:val="clear" w:color="auto" w:fill="FFFFFF" w:themeFill="background1"/>
            <w:vAlign w:val="center"/>
          </w:tcPr>
          <w:p w14:paraId="7D1D90F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是否履行完毕</w:t>
            </w:r>
          </w:p>
        </w:tc>
        <w:tc>
          <w:tcPr>
            <w:tcW w:w="1534" w:type="dxa"/>
            <w:shd w:val="clear" w:color="auto" w:fill="FFFFFF" w:themeFill="background1"/>
            <w:vAlign w:val="center"/>
          </w:tcPr>
          <w:p w14:paraId="724E75C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是否为关联方担保</w:t>
            </w:r>
          </w:p>
        </w:tc>
      </w:tr>
      <w:tr w:rsidR="00632E5B" w14:paraId="48D3AB9E" w14:textId="77777777" w:rsidTr="00926621">
        <w:trPr>
          <w:trHeight w:val="240"/>
        </w:trPr>
        <w:tc>
          <w:tcPr>
            <w:tcW w:w="1589" w:type="dxa"/>
            <w:shd w:val="clear" w:color="auto" w:fill="FFFFFF" w:themeFill="background1"/>
            <w:vAlign w:val="center"/>
          </w:tcPr>
          <w:p w14:paraId="3BE3388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辽宁中德电缆有限公司</w:t>
            </w:r>
          </w:p>
        </w:tc>
        <w:tc>
          <w:tcPr>
            <w:tcW w:w="1844" w:type="dxa"/>
            <w:shd w:val="clear" w:color="auto" w:fill="FFFFFF" w:themeFill="background1"/>
            <w:vAlign w:val="center"/>
          </w:tcPr>
          <w:p w14:paraId="16FC61B8" w14:textId="34BE6BC1"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2021年12月</w:t>
            </w:r>
            <w:r w:rsidR="00AB68F1">
              <w:rPr>
                <w:rFonts w:ascii="宋体" w:eastAsia="宋体" w:hAnsi="宋体" w:cs="宋体"/>
                <w:sz w:val="18"/>
                <w:szCs w:val="18"/>
              </w:rPr>
              <w:t>29</w:t>
            </w:r>
            <w:r>
              <w:rPr>
                <w:rFonts w:ascii="宋体" w:eastAsia="宋体" w:hAnsi="宋体" w:cs="宋体"/>
                <w:sz w:val="18"/>
                <w:szCs w:val="18"/>
              </w:rPr>
              <w:t>日</w:t>
            </w:r>
          </w:p>
        </w:tc>
        <w:tc>
          <w:tcPr>
            <w:tcW w:w="1114" w:type="dxa"/>
            <w:shd w:val="clear" w:color="auto" w:fill="FFFFFF" w:themeFill="background1"/>
            <w:vAlign w:val="center"/>
          </w:tcPr>
          <w:p w14:paraId="6B3D9F0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3,643.03</w:t>
            </w:r>
          </w:p>
        </w:tc>
        <w:tc>
          <w:tcPr>
            <w:tcW w:w="1881" w:type="dxa"/>
            <w:gridSpan w:val="2"/>
            <w:shd w:val="clear" w:color="auto" w:fill="FFFFFF" w:themeFill="background1"/>
            <w:vAlign w:val="center"/>
          </w:tcPr>
          <w:p w14:paraId="360B429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2022年11月09日</w:t>
            </w:r>
          </w:p>
        </w:tc>
        <w:tc>
          <w:tcPr>
            <w:tcW w:w="1062" w:type="dxa"/>
            <w:shd w:val="clear" w:color="auto" w:fill="FFFFFF" w:themeFill="background1"/>
            <w:vAlign w:val="center"/>
          </w:tcPr>
          <w:p w14:paraId="69073DC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1,104.67</w:t>
            </w:r>
          </w:p>
        </w:tc>
        <w:tc>
          <w:tcPr>
            <w:tcW w:w="1188" w:type="dxa"/>
            <w:shd w:val="clear" w:color="auto" w:fill="FFFFFF" w:themeFill="background1"/>
            <w:vAlign w:val="center"/>
          </w:tcPr>
          <w:p w14:paraId="55DAC73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抵押</w:t>
            </w:r>
          </w:p>
        </w:tc>
        <w:tc>
          <w:tcPr>
            <w:tcW w:w="716" w:type="dxa"/>
            <w:gridSpan w:val="2"/>
            <w:shd w:val="clear" w:color="auto" w:fill="FFFFFF" w:themeFill="background1"/>
            <w:vAlign w:val="center"/>
          </w:tcPr>
          <w:p w14:paraId="4519C92C" w14:textId="77777777" w:rsidR="00632E5B" w:rsidRDefault="00632E5B">
            <w:pPr>
              <w:spacing w:line="240" w:lineRule="exact"/>
              <w:rPr>
                <w:rFonts w:ascii="宋体" w:eastAsia="宋体" w:hAnsi="宋体" w:cs="宋体" w:hint="eastAsia"/>
                <w:sz w:val="18"/>
                <w:szCs w:val="18"/>
              </w:rPr>
            </w:pPr>
          </w:p>
        </w:tc>
        <w:tc>
          <w:tcPr>
            <w:tcW w:w="876" w:type="dxa"/>
            <w:shd w:val="clear" w:color="auto" w:fill="FFFFFF" w:themeFill="background1"/>
            <w:vAlign w:val="center"/>
          </w:tcPr>
          <w:p w14:paraId="0947734E" w14:textId="77777777" w:rsidR="00632E5B" w:rsidRDefault="00632E5B">
            <w:pPr>
              <w:spacing w:line="240" w:lineRule="exact"/>
              <w:rPr>
                <w:rFonts w:ascii="宋体" w:eastAsia="宋体" w:hAnsi="宋体" w:cs="宋体" w:hint="eastAsia"/>
                <w:sz w:val="18"/>
                <w:szCs w:val="18"/>
              </w:rPr>
            </w:pPr>
          </w:p>
        </w:tc>
        <w:tc>
          <w:tcPr>
            <w:tcW w:w="959" w:type="dxa"/>
            <w:shd w:val="clear" w:color="auto" w:fill="FFFFFF" w:themeFill="background1"/>
            <w:vAlign w:val="center"/>
          </w:tcPr>
          <w:p w14:paraId="151F346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三年</w:t>
            </w:r>
          </w:p>
        </w:tc>
        <w:tc>
          <w:tcPr>
            <w:tcW w:w="876" w:type="dxa"/>
            <w:shd w:val="clear" w:color="auto" w:fill="FFFFFF" w:themeFill="background1"/>
            <w:vAlign w:val="center"/>
          </w:tcPr>
          <w:p w14:paraId="692A2EA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534" w:type="dxa"/>
            <w:shd w:val="clear" w:color="auto" w:fill="FFFFFF" w:themeFill="background1"/>
            <w:vAlign w:val="center"/>
          </w:tcPr>
          <w:p w14:paraId="124DAC3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0FB68157" w14:textId="77777777" w:rsidTr="00926621">
        <w:trPr>
          <w:trHeight w:val="240"/>
        </w:trPr>
        <w:tc>
          <w:tcPr>
            <w:tcW w:w="1589" w:type="dxa"/>
            <w:shd w:val="clear" w:color="auto" w:fill="FFFFFF" w:themeFill="background1"/>
            <w:vAlign w:val="center"/>
          </w:tcPr>
          <w:p w14:paraId="7B6BA1B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腾晖技术（泰国）有限公司</w:t>
            </w:r>
          </w:p>
        </w:tc>
        <w:tc>
          <w:tcPr>
            <w:tcW w:w="1844" w:type="dxa"/>
            <w:shd w:val="clear" w:color="auto" w:fill="FFFFFF" w:themeFill="background1"/>
            <w:vAlign w:val="center"/>
          </w:tcPr>
          <w:p w14:paraId="6B28CB9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2021年01月06日</w:t>
            </w:r>
          </w:p>
        </w:tc>
        <w:tc>
          <w:tcPr>
            <w:tcW w:w="1114" w:type="dxa"/>
            <w:shd w:val="clear" w:color="auto" w:fill="FFFFFF" w:themeFill="background1"/>
            <w:vAlign w:val="center"/>
          </w:tcPr>
          <w:p w14:paraId="17174A7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2,308.19</w:t>
            </w:r>
          </w:p>
        </w:tc>
        <w:tc>
          <w:tcPr>
            <w:tcW w:w="1881" w:type="dxa"/>
            <w:gridSpan w:val="2"/>
            <w:shd w:val="clear" w:color="auto" w:fill="FFFFFF" w:themeFill="background1"/>
            <w:vAlign w:val="center"/>
          </w:tcPr>
          <w:p w14:paraId="7391167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2021年11月17日</w:t>
            </w:r>
          </w:p>
        </w:tc>
        <w:tc>
          <w:tcPr>
            <w:tcW w:w="1062" w:type="dxa"/>
            <w:shd w:val="clear" w:color="auto" w:fill="FFFFFF" w:themeFill="background1"/>
            <w:vAlign w:val="center"/>
          </w:tcPr>
          <w:p w14:paraId="2016CB0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517.97</w:t>
            </w:r>
          </w:p>
        </w:tc>
        <w:tc>
          <w:tcPr>
            <w:tcW w:w="1188" w:type="dxa"/>
            <w:shd w:val="clear" w:color="auto" w:fill="FFFFFF" w:themeFill="background1"/>
            <w:vAlign w:val="center"/>
          </w:tcPr>
          <w:p w14:paraId="2577038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连带责任保证、抵押</w:t>
            </w:r>
          </w:p>
        </w:tc>
        <w:tc>
          <w:tcPr>
            <w:tcW w:w="716" w:type="dxa"/>
            <w:gridSpan w:val="2"/>
            <w:shd w:val="clear" w:color="auto" w:fill="FFFFFF" w:themeFill="background1"/>
            <w:vAlign w:val="center"/>
          </w:tcPr>
          <w:p w14:paraId="61CF899E" w14:textId="77777777" w:rsidR="00632E5B" w:rsidRDefault="00632E5B">
            <w:pPr>
              <w:spacing w:line="240" w:lineRule="exact"/>
              <w:rPr>
                <w:rFonts w:ascii="宋体" w:eastAsia="宋体" w:hAnsi="宋体" w:cs="宋体" w:hint="eastAsia"/>
                <w:sz w:val="18"/>
                <w:szCs w:val="18"/>
              </w:rPr>
            </w:pPr>
          </w:p>
        </w:tc>
        <w:tc>
          <w:tcPr>
            <w:tcW w:w="876" w:type="dxa"/>
            <w:shd w:val="clear" w:color="auto" w:fill="FFFFFF" w:themeFill="background1"/>
            <w:vAlign w:val="center"/>
          </w:tcPr>
          <w:p w14:paraId="71DF4CFC" w14:textId="77777777" w:rsidR="00632E5B" w:rsidRDefault="00632E5B">
            <w:pPr>
              <w:spacing w:line="240" w:lineRule="exact"/>
              <w:rPr>
                <w:rFonts w:ascii="宋体" w:eastAsia="宋体" w:hAnsi="宋体" w:cs="宋体" w:hint="eastAsia"/>
                <w:sz w:val="18"/>
                <w:szCs w:val="18"/>
              </w:rPr>
            </w:pPr>
          </w:p>
        </w:tc>
        <w:tc>
          <w:tcPr>
            <w:tcW w:w="959" w:type="dxa"/>
            <w:shd w:val="clear" w:color="auto" w:fill="FFFFFF" w:themeFill="background1"/>
            <w:vAlign w:val="center"/>
          </w:tcPr>
          <w:p w14:paraId="1E99508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四年</w:t>
            </w:r>
          </w:p>
        </w:tc>
        <w:tc>
          <w:tcPr>
            <w:tcW w:w="876" w:type="dxa"/>
            <w:shd w:val="clear" w:color="auto" w:fill="FFFFFF" w:themeFill="background1"/>
            <w:vAlign w:val="center"/>
          </w:tcPr>
          <w:p w14:paraId="7AB394A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c>
          <w:tcPr>
            <w:tcW w:w="1534" w:type="dxa"/>
            <w:shd w:val="clear" w:color="auto" w:fill="FFFFFF" w:themeFill="background1"/>
            <w:vAlign w:val="center"/>
          </w:tcPr>
          <w:p w14:paraId="565B82D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5E2C491A" w14:textId="77777777" w:rsidTr="00926621">
        <w:trPr>
          <w:trHeight w:val="240"/>
        </w:trPr>
        <w:tc>
          <w:tcPr>
            <w:tcW w:w="3433" w:type="dxa"/>
            <w:gridSpan w:val="2"/>
            <w:shd w:val="clear" w:color="auto" w:fill="FFFFFF" w:themeFill="background1"/>
            <w:vAlign w:val="center"/>
          </w:tcPr>
          <w:p w14:paraId="678CB24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报告期内审批对子公司担保额度合计（C1）</w:t>
            </w:r>
          </w:p>
        </w:tc>
        <w:tc>
          <w:tcPr>
            <w:tcW w:w="2995" w:type="dxa"/>
            <w:gridSpan w:val="3"/>
            <w:shd w:val="clear" w:color="auto" w:fill="FFFFFF" w:themeFill="background1"/>
            <w:vAlign w:val="center"/>
          </w:tcPr>
          <w:p w14:paraId="1BA05F8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2273" w:type="dxa"/>
            <w:gridSpan w:val="3"/>
            <w:shd w:val="clear" w:color="auto" w:fill="FFFFFF" w:themeFill="background1"/>
            <w:vAlign w:val="center"/>
          </w:tcPr>
          <w:p w14:paraId="727DA30B"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报告期内对子公司担保实际发生额合计（C2）</w:t>
            </w:r>
          </w:p>
        </w:tc>
        <w:tc>
          <w:tcPr>
            <w:tcW w:w="4938" w:type="dxa"/>
            <w:gridSpan w:val="5"/>
            <w:shd w:val="clear" w:color="auto" w:fill="FFFFFF" w:themeFill="background1"/>
            <w:vAlign w:val="center"/>
          </w:tcPr>
          <w:p w14:paraId="58E4D78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632E5B" w14:paraId="1BA24965" w14:textId="77777777" w:rsidTr="00926621">
        <w:trPr>
          <w:trHeight w:val="240"/>
        </w:trPr>
        <w:tc>
          <w:tcPr>
            <w:tcW w:w="3433" w:type="dxa"/>
            <w:gridSpan w:val="2"/>
            <w:shd w:val="clear" w:color="auto" w:fill="FFFFFF" w:themeFill="background1"/>
            <w:vAlign w:val="center"/>
          </w:tcPr>
          <w:p w14:paraId="63FD511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报告期末已审批的对子公司担保额度合计（C3）</w:t>
            </w:r>
          </w:p>
        </w:tc>
        <w:tc>
          <w:tcPr>
            <w:tcW w:w="2995" w:type="dxa"/>
            <w:gridSpan w:val="3"/>
            <w:shd w:val="clear" w:color="auto" w:fill="FFFFFF" w:themeFill="background1"/>
            <w:vAlign w:val="center"/>
          </w:tcPr>
          <w:p w14:paraId="081D001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5,951.22</w:t>
            </w:r>
          </w:p>
        </w:tc>
        <w:tc>
          <w:tcPr>
            <w:tcW w:w="2273" w:type="dxa"/>
            <w:gridSpan w:val="3"/>
            <w:shd w:val="clear" w:color="auto" w:fill="FFFFFF" w:themeFill="background1"/>
            <w:vAlign w:val="center"/>
          </w:tcPr>
          <w:p w14:paraId="5B98CA7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报告期末对子公司实际担保余额合计（C4）</w:t>
            </w:r>
          </w:p>
        </w:tc>
        <w:tc>
          <w:tcPr>
            <w:tcW w:w="4938" w:type="dxa"/>
            <w:gridSpan w:val="5"/>
            <w:shd w:val="clear" w:color="auto" w:fill="FFFFFF" w:themeFill="background1"/>
            <w:vAlign w:val="center"/>
          </w:tcPr>
          <w:p w14:paraId="0F9D2BB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1,622.64</w:t>
            </w:r>
          </w:p>
        </w:tc>
      </w:tr>
      <w:tr w:rsidR="00632E5B" w14:paraId="13D35DCA" w14:textId="77777777" w:rsidTr="00926621">
        <w:trPr>
          <w:trHeight w:val="240"/>
        </w:trPr>
        <w:tc>
          <w:tcPr>
            <w:tcW w:w="13639" w:type="dxa"/>
            <w:gridSpan w:val="13"/>
            <w:shd w:val="clear" w:color="auto" w:fill="FFFFFF" w:themeFill="background1"/>
            <w:vAlign w:val="center"/>
          </w:tcPr>
          <w:p w14:paraId="3BE6799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公司担保总额（即前三大项的合计）</w:t>
            </w:r>
          </w:p>
        </w:tc>
      </w:tr>
      <w:tr w:rsidR="00632E5B" w14:paraId="03A49E29" w14:textId="77777777" w:rsidTr="00926621">
        <w:trPr>
          <w:trHeight w:val="240"/>
        </w:trPr>
        <w:tc>
          <w:tcPr>
            <w:tcW w:w="3433" w:type="dxa"/>
            <w:gridSpan w:val="2"/>
            <w:shd w:val="clear" w:color="auto" w:fill="FFFFFF" w:themeFill="background1"/>
            <w:vAlign w:val="center"/>
          </w:tcPr>
          <w:p w14:paraId="2EC1D03F"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lastRenderedPageBreak/>
              <w:t>报告期内审批担保额度合计（A1+B1+C1）</w:t>
            </w:r>
          </w:p>
        </w:tc>
        <w:tc>
          <w:tcPr>
            <w:tcW w:w="2995" w:type="dxa"/>
            <w:gridSpan w:val="3"/>
            <w:shd w:val="clear" w:color="auto" w:fill="FFFFFF" w:themeFill="background1"/>
            <w:vAlign w:val="center"/>
          </w:tcPr>
          <w:p w14:paraId="5C5ECDC3" w14:textId="1311722D"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640</w:t>
            </w:r>
            <w:r w:rsidR="00774DD7">
              <w:rPr>
                <w:rFonts w:ascii="宋体" w:eastAsia="宋体" w:hAnsi="宋体" w:cs="宋体"/>
                <w:sz w:val="18"/>
                <w:szCs w:val="18"/>
              </w:rPr>
              <w:t>.00</w:t>
            </w:r>
          </w:p>
        </w:tc>
        <w:tc>
          <w:tcPr>
            <w:tcW w:w="2273" w:type="dxa"/>
            <w:gridSpan w:val="3"/>
            <w:shd w:val="clear" w:color="auto" w:fill="FFFFFF" w:themeFill="background1"/>
            <w:vAlign w:val="center"/>
          </w:tcPr>
          <w:p w14:paraId="3C08999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报告期内担保实际发生额合计（A2+B2+C2）</w:t>
            </w:r>
          </w:p>
        </w:tc>
        <w:tc>
          <w:tcPr>
            <w:tcW w:w="4938" w:type="dxa"/>
            <w:gridSpan w:val="5"/>
            <w:shd w:val="clear" w:color="auto" w:fill="FFFFFF" w:themeFill="background1"/>
            <w:vAlign w:val="center"/>
          </w:tcPr>
          <w:p w14:paraId="30FA0BD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1,649.85</w:t>
            </w:r>
          </w:p>
        </w:tc>
      </w:tr>
      <w:tr w:rsidR="00632E5B" w14:paraId="282203FE" w14:textId="77777777" w:rsidTr="00926621">
        <w:trPr>
          <w:trHeight w:val="240"/>
        </w:trPr>
        <w:tc>
          <w:tcPr>
            <w:tcW w:w="3433" w:type="dxa"/>
            <w:gridSpan w:val="2"/>
            <w:shd w:val="clear" w:color="auto" w:fill="FFFFFF" w:themeFill="background1"/>
            <w:vAlign w:val="center"/>
          </w:tcPr>
          <w:p w14:paraId="5D542BB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报告期末已审批的担保额度合计（A3+B3+C3）</w:t>
            </w:r>
          </w:p>
        </w:tc>
        <w:tc>
          <w:tcPr>
            <w:tcW w:w="2995" w:type="dxa"/>
            <w:gridSpan w:val="3"/>
            <w:shd w:val="clear" w:color="auto" w:fill="FFFFFF" w:themeFill="background1"/>
            <w:vAlign w:val="center"/>
          </w:tcPr>
          <w:p w14:paraId="011DD46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251,240.87</w:t>
            </w:r>
          </w:p>
        </w:tc>
        <w:tc>
          <w:tcPr>
            <w:tcW w:w="2273" w:type="dxa"/>
            <w:gridSpan w:val="3"/>
            <w:shd w:val="clear" w:color="auto" w:fill="FFFFFF" w:themeFill="background1"/>
            <w:vAlign w:val="center"/>
          </w:tcPr>
          <w:p w14:paraId="7069A9B0"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报告期末实际担保余额合计（A4+B4+C4）</w:t>
            </w:r>
          </w:p>
        </w:tc>
        <w:tc>
          <w:tcPr>
            <w:tcW w:w="4938" w:type="dxa"/>
            <w:gridSpan w:val="5"/>
            <w:shd w:val="clear" w:color="auto" w:fill="FFFFFF" w:themeFill="background1"/>
            <w:vAlign w:val="center"/>
          </w:tcPr>
          <w:p w14:paraId="209FA8F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170,488.31</w:t>
            </w:r>
          </w:p>
        </w:tc>
      </w:tr>
      <w:tr w:rsidR="00632E5B" w14:paraId="648DF9C6" w14:textId="77777777" w:rsidTr="00926621">
        <w:trPr>
          <w:trHeight w:val="240"/>
        </w:trPr>
        <w:tc>
          <w:tcPr>
            <w:tcW w:w="6410" w:type="dxa"/>
            <w:gridSpan w:val="4"/>
            <w:shd w:val="clear" w:color="auto" w:fill="FFFFFF" w:themeFill="background1"/>
            <w:vAlign w:val="center"/>
          </w:tcPr>
          <w:p w14:paraId="3BFFEF35"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实际担保总额（即A4+B4+C4）占公司净资产的比例</w:t>
            </w:r>
          </w:p>
        </w:tc>
        <w:tc>
          <w:tcPr>
            <w:tcW w:w="7229" w:type="dxa"/>
            <w:gridSpan w:val="9"/>
            <w:shd w:val="clear" w:color="auto" w:fill="FFFFFF" w:themeFill="background1"/>
            <w:vAlign w:val="center"/>
          </w:tcPr>
          <w:p w14:paraId="6488861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120.05%</w:t>
            </w:r>
          </w:p>
        </w:tc>
      </w:tr>
      <w:tr w:rsidR="00632E5B" w14:paraId="56BED12F" w14:textId="77777777" w:rsidTr="00926621">
        <w:trPr>
          <w:trHeight w:val="240"/>
        </w:trPr>
        <w:tc>
          <w:tcPr>
            <w:tcW w:w="13639" w:type="dxa"/>
            <w:gridSpan w:val="13"/>
            <w:shd w:val="clear" w:color="auto" w:fill="FFFFFF" w:themeFill="background1"/>
            <w:vAlign w:val="center"/>
          </w:tcPr>
          <w:p w14:paraId="35B408B5"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其中：</w:t>
            </w:r>
          </w:p>
        </w:tc>
      </w:tr>
    </w:tbl>
    <w:p w14:paraId="716BD236"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采用复合方式担保的具体情况说明</w:t>
      </w:r>
    </w:p>
    <w:p w14:paraId="506C4F29" w14:textId="5141CF88" w:rsidR="00E72F0C" w:rsidRDefault="00107901" w:rsidP="00A07887">
      <w:pPr>
        <w:pStyle w:val="a3"/>
        <w:spacing w:before="0" w:beforeAutospacing="0" w:after="0" w:afterAutospacing="0"/>
        <w:divId w:val="2023970791"/>
        <w:rPr>
          <w:rFonts w:hint="eastAsia"/>
          <w:sz w:val="18"/>
          <w:szCs w:val="18"/>
        </w:rPr>
      </w:pPr>
      <w:r>
        <w:rPr>
          <w:rFonts w:hint="eastAsia"/>
          <w:sz w:val="18"/>
          <w:szCs w:val="18"/>
        </w:rPr>
        <w:t>不适用</w:t>
      </w:r>
      <w:r w:rsidR="007235ED">
        <w:rPr>
          <w:rFonts w:hint="eastAsia"/>
          <w:sz w:val="18"/>
          <w:szCs w:val="18"/>
        </w:rPr>
        <w:t>。</w:t>
      </w:r>
    </w:p>
    <w:p w14:paraId="1B2350B2" w14:textId="77777777" w:rsidR="00E77829" w:rsidRDefault="00E77829">
      <w:pPr>
        <w:pStyle w:val="3"/>
        <w:spacing w:line="280" w:lineRule="exact"/>
        <w:jc w:val="left"/>
        <w:rPr>
          <w:rFonts w:ascii="宋体" w:hAnsi="宋体" w:cs="宋体" w:hint="eastAsia"/>
          <w:b/>
          <w:bCs/>
        </w:rPr>
        <w:sectPr w:rsidR="00E77829" w:rsidSect="00E77829">
          <w:pgSz w:w="16840" w:h="11905" w:orient="landscape"/>
          <w:pgMar w:top="1134" w:right="1440" w:bottom="1134" w:left="1440" w:header="851" w:footer="992" w:gutter="0"/>
          <w:cols w:space="720"/>
          <w:docGrid w:type="lines" w:linePitch="312"/>
        </w:sectPr>
      </w:pPr>
      <w:bookmarkStart w:id="123" w:name="_Toc989012"/>
    </w:p>
    <w:p w14:paraId="6625C750" w14:textId="77777777" w:rsidR="00632E5B" w:rsidRDefault="00107901">
      <w:pPr>
        <w:pStyle w:val="3"/>
        <w:spacing w:line="280" w:lineRule="exact"/>
        <w:jc w:val="left"/>
        <w:rPr>
          <w:rFonts w:ascii="宋体" w:hAnsi="宋体" w:cs="宋体" w:hint="eastAsia"/>
          <w:b/>
          <w:bCs/>
        </w:rPr>
      </w:pPr>
      <w:r>
        <w:rPr>
          <w:rFonts w:ascii="宋体" w:hAnsi="宋体" w:cs="宋体"/>
          <w:b/>
          <w:bCs/>
        </w:rPr>
        <w:lastRenderedPageBreak/>
        <w:t>3、委托他人进行现金资产管理情况</w:t>
      </w:r>
      <w:bookmarkEnd w:id="123"/>
    </w:p>
    <w:p w14:paraId="525C25B9" w14:textId="77777777" w:rsidR="00632E5B" w:rsidRDefault="00107901">
      <w:pPr>
        <w:keepNext/>
        <w:keepLines/>
        <w:spacing w:before="300" w:after="300" w:line="280" w:lineRule="exact"/>
        <w:outlineLvl w:val="3"/>
        <w:rPr>
          <w:rFonts w:ascii="宋体" w:eastAsia="宋体" w:hAnsi="宋体" w:cs="宋体" w:hint="eastAsia"/>
          <w:b/>
          <w:bCs/>
          <w:sz w:val="18"/>
          <w:szCs w:val="18"/>
        </w:rPr>
      </w:pPr>
      <w:bookmarkStart w:id="124" w:name="_Toc989013"/>
      <w:r>
        <w:rPr>
          <w:rFonts w:ascii="宋体" w:eastAsia="宋体" w:hAnsi="宋体" w:cs="宋体"/>
          <w:b/>
          <w:bCs/>
          <w:sz w:val="18"/>
          <w:szCs w:val="18"/>
        </w:rPr>
        <w:t>（1） 委托理财情况</w:t>
      </w:r>
      <w:bookmarkEnd w:id="124"/>
    </w:p>
    <w:p w14:paraId="342005FF"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B92CEAB"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公司报告期不存在委托理财。</w:t>
      </w:r>
    </w:p>
    <w:p w14:paraId="5A0F5774" w14:textId="77777777" w:rsidR="00632E5B" w:rsidRDefault="00107901">
      <w:pPr>
        <w:keepNext/>
        <w:keepLines/>
        <w:spacing w:before="300" w:after="300" w:line="280" w:lineRule="exact"/>
        <w:outlineLvl w:val="3"/>
        <w:rPr>
          <w:rFonts w:ascii="宋体" w:eastAsia="宋体" w:hAnsi="宋体" w:cs="宋体" w:hint="eastAsia"/>
          <w:b/>
          <w:bCs/>
          <w:sz w:val="18"/>
          <w:szCs w:val="18"/>
        </w:rPr>
      </w:pPr>
      <w:bookmarkStart w:id="125" w:name="_Toc989014"/>
      <w:r>
        <w:rPr>
          <w:rFonts w:ascii="宋体" w:eastAsia="宋体" w:hAnsi="宋体" w:cs="宋体"/>
          <w:b/>
          <w:bCs/>
          <w:sz w:val="18"/>
          <w:szCs w:val="18"/>
        </w:rPr>
        <w:t>（2） 委托贷款情况</w:t>
      </w:r>
      <w:bookmarkEnd w:id="125"/>
    </w:p>
    <w:p w14:paraId="199AD51C"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63EE5016"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公司报告期不存在委托贷款。</w:t>
      </w:r>
    </w:p>
    <w:p w14:paraId="48834FAE" w14:textId="77777777" w:rsidR="00632E5B" w:rsidRDefault="00107901">
      <w:pPr>
        <w:pStyle w:val="3"/>
        <w:spacing w:line="280" w:lineRule="exact"/>
        <w:jc w:val="left"/>
        <w:rPr>
          <w:rFonts w:ascii="宋体" w:hAnsi="宋体" w:cs="宋体" w:hint="eastAsia"/>
          <w:b/>
          <w:bCs/>
        </w:rPr>
      </w:pPr>
      <w:bookmarkStart w:id="126" w:name="_Toc989015"/>
      <w:r>
        <w:rPr>
          <w:rFonts w:ascii="宋体" w:hAnsi="宋体" w:cs="宋体"/>
          <w:b/>
          <w:bCs/>
        </w:rPr>
        <w:t>4、其他重大合同</w:t>
      </w:r>
      <w:bookmarkEnd w:id="126"/>
    </w:p>
    <w:p w14:paraId="7094B16E"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1367C665"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公司报告期不存在其他重大合同。</w:t>
      </w:r>
    </w:p>
    <w:p w14:paraId="0F32C6DE" w14:textId="77777777" w:rsidR="00632E5B" w:rsidRDefault="00107901">
      <w:pPr>
        <w:pStyle w:val="2"/>
        <w:spacing w:before="300" w:after="300" w:line="320" w:lineRule="exact"/>
        <w:rPr>
          <w:rFonts w:ascii="宋体" w:eastAsia="宋体" w:hAnsi="宋体" w:cs="宋体" w:hint="eastAsia"/>
          <w:b/>
          <w:bCs/>
          <w:sz w:val="24"/>
          <w:szCs w:val="24"/>
        </w:rPr>
      </w:pPr>
      <w:bookmarkStart w:id="127" w:name="_Toc989016"/>
      <w:r>
        <w:rPr>
          <w:rFonts w:ascii="宋体" w:eastAsia="宋体" w:hAnsi="宋体" w:cs="宋体"/>
          <w:b/>
          <w:bCs/>
          <w:sz w:val="24"/>
          <w:szCs w:val="24"/>
        </w:rPr>
        <w:t>十六、其他重大事项的说明</w:t>
      </w:r>
      <w:bookmarkEnd w:id="127"/>
    </w:p>
    <w:p w14:paraId="2A03F2A4"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748035B2" w14:textId="742DF1A9" w:rsidR="00E72F0C" w:rsidRDefault="00107901">
      <w:pPr>
        <w:pStyle w:val="a3"/>
        <w:spacing w:before="0" w:beforeAutospacing="0" w:after="0" w:afterAutospacing="0" w:line="400" w:lineRule="atLeast"/>
        <w:ind w:firstLine="440"/>
        <w:jc w:val="both"/>
        <w:divId w:val="1738867500"/>
        <w:rPr>
          <w:rFonts w:hint="eastAsia"/>
        </w:rPr>
      </w:pPr>
      <w:r>
        <w:rPr>
          <w:rFonts w:hint="eastAsia"/>
          <w:sz w:val="21"/>
          <w:szCs w:val="21"/>
        </w:rPr>
        <w:t>1</w:t>
      </w:r>
      <w:r w:rsidR="00076A77">
        <w:rPr>
          <w:sz w:val="21"/>
          <w:szCs w:val="21"/>
        </w:rPr>
        <w:t>.</w:t>
      </w:r>
      <w:r>
        <w:rPr>
          <w:rFonts w:hint="eastAsia"/>
          <w:sz w:val="21"/>
          <w:szCs w:val="21"/>
        </w:rPr>
        <w:t>公司分别于2024年1月5日、5月16日、6月5日在巨潮资讯网披露了关于公司及子公司部分银行账户被冻结以及部分银行账户解除冻结的相关公告（公告编号2024-001、2024-053、2024-059）。</w:t>
      </w:r>
    </w:p>
    <w:p w14:paraId="7598EFBD" w14:textId="39E78829" w:rsidR="00E72F0C" w:rsidRDefault="00107901">
      <w:pPr>
        <w:pStyle w:val="a3"/>
        <w:spacing w:before="0" w:beforeAutospacing="0" w:after="0" w:afterAutospacing="0" w:line="400" w:lineRule="atLeast"/>
        <w:ind w:firstLine="442"/>
        <w:jc w:val="both"/>
        <w:divId w:val="1738867500"/>
        <w:rPr>
          <w:rFonts w:hint="eastAsia"/>
        </w:rPr>
      </w:pPr>
      <w:r>
        <w:rPr>
          <w:rFonts w:hint="eastAsia"/>
          <w:sz w:val="21"/>
          <w:szCs w:val="21"/>
        </w:rPr>
        <w:t>2</w:t>
      </w:r>
      <w:r w:rsidR="00076A77">
        <w:rPr>
          <w:sz w:val="21"/>
          <w:szCs w:val="21"/>
        </w:rPr>
        <w:t>.</w:t>
      </w:r>
      <w:r>
        <w:rPr>
          <w:rFonts w:hint="eastAsia"/>
          <w:sz w:val="21"/>
          <w:szCs w:val="21"/>
        </w:rPr>
        <w:t>2024年1月20日，因常州船缆拟与中利集团协同重整，且中利集团进入正式重整尚需要时间，故常州船缆重整计划草案提交期限延长（公告编号：2024-003）；公司于2024年7月18日在巨潮资讯网披露了《关于全资子公司常州船缆〈共益债务方案〉的公告》(公告编号2024-069)；</w:t>
      </w:r>
    </w:p>
    <w:p w14:paraId="07320C17" w14:textId="77777777" w:rsidR="00E72F0C" w:rsidRDefault="00107901">
      <w:pPr>
        <w:pStyle w:val="a3"/>
        <w:spacing w:before="0" w:beforeAutospacing="0" w:after="0" w:afterAutospacing="0" w:line="400" w:lineRule="atLeast"/>
        <w:ind w:firstLine="442"/>
        <w:jc w:val="both"/>
        <w:divId w:val="1738867500"/>
        <w:rPr>
          <w:rFonts w:hint="eastAsia"/>
        </w:rPr>
      </w:pPr>
      <w:r>
        <w:rPr>
          <w:rFonts w:hint="eastAsia"/>
          <w:sz w:val="21"/>
          <w:szCs w:val="21"/>
        </w:rPr>
        <w:t>2024年2月20日，苏州中院裁定受理四家子公司宿迁新能源、沛县新能源、泗阳新能源、泗阳光电的重整申请，并同时指定由中利集团清算组担任上述四家公司的管理人（公告编号2024-010）；2024年8月10日，因上述四家子公司拟与中利集团协同重整，且中利集团进入正式重整尚需要时间，故重整计划草案提交期限延长（公告编号2024-073）；</w:t>
      </w:r>
    </w:p>
    <w:p w14:paraId="26068D86" w14:textId="77777777" w:rsidR="00E72F0C" w:rsidRDefault="00107901">
      <w:pPr>
        <w:pStyle w:val="a3"/>
        <w:spacing w:before="0" w:beforeAutospacing="0" w:after="0" w:afterAutospacing="0" w:line="400" w:lineRule="atLeast"/>
        <w:ind w:firstLine="442"/>
        <w:jc w:val="both"/>
        <w:divId w:val="1738867500"/>
        <w:rPr>
          <w:rFonts w:hint="eastAsia"/>
        </w:rPr>
      </w:pPr>
      <w:r>
        <w:rPr>
          <w:rFonts w:hint="eastAsia"/>
          <w:sz w:val="21"/>
          <w:szCs w:val="21"/>
        </w:rPr>
        <w:t>公司于2024年9月26日在巨潮资讯网披露了《关于苏州中院裁定受理全资子公司腾晖光伏重整的公告》(公告编号2024-094)。</w:t>
      </w:r>
    </w:p>
    <w:p w14:paraId="647005E0" w14:textId="169B38E2" w:rsidR="00E72F0C" w:rsidRDefault="00107901">
      <w:pPr>
        <w:pStyle w:val="a3"/>
        <w:spacing w:before="0" w:beforeAutospacing="0" w:after="0" w:afterAutospacing="0" w:line="400" w:lineRule="atLeast"/>
        <w:ind w:firstLine="440"/>
        <w:jc w:val="both"/>
        <w:divId w:val="1738867500"/>
        <w:rPr>
          <w:rFonts w:hint="eastAsia"/>
        </w:rPr>
      </w:pPr>
      <w:r>
        <w:rPr>
          <w:rFonts w:hint="eastAsia"/>
          <w:sz w:val="21"/>
          <w:szCs w:val="21"/>
        </w:rPr>
        <w:t>3</w:t>
      </w:r>
      <w:r w:rsidR="00076A77">
        <w:rPr>
          <w:rFonts w:hint="eastAsia"/>
          <w:sz w:val="21"/>
          <w:szCs w:val="21"/>
        </w:rPr>
        <w:t>.</w:t>
      </w:r>
      <w:r>
        <w:rPr>
          <w:rFonts w:hint="eastAsia"/>
          <w:sz w:val="21"/>
          <w:szCs w:val="21"/>
        </w:rPr>
        <w:t>由于公司2023年末净资产为负数，公司分别于2024年1月31日、4月19日、4月20日在巨潮资讯网披露了《关于公司股票交易可能被实施退市风险警示的提示性公告》（公告编号2024-007、2024-026、2024-027）；</w:t>
      </w:r>
    </w:p>
    <w:p w14:paraId="389E450E" w14:textId="5CF9D095" w:rsidR="00E72F0C" w:rsidRDefault="00107901">
      <w:pPr>
        <w:pStyle w:val="a3"/>
        <w:spacing w:before="0" w:beforeAutospacing="0" w:after="0" w:afterAutospacing="0" w:line="400" w:lineRule="atLeast"/>
        <w:ind w:firstLine="440"/>
        <w:jc w:val="both"/>
        <w:divId w:val="1738867500"/>
        <w:rPr>
          <w:rFonts w:hint="eastAsia"/>
        </w:rPr>
      </w:pPr>
      <w:r>
        <w:rPr>
          <w:rFonts w:hint="eastAsia"/>
          <w:sz w:val="21"/>
          <w:szCs w:val="21"/>
        </w:rPr>
        <w:t>4</w:t>
      </w:r>
      <w:r w:rsidR="00076A77">
        <w:rPr>
          <w:rFonts w:hint="eastAsia"/>
          <w:sz w:val="21"/>
          <w:szCs w:val="21"/>
        </w:rPr>
        <w:t>.</w:t>
      </w:r>
      <w:r>
        <w:rPr>
          <w:rFonts w:hint="eastAsia"/>
          <w:sz w:val="21"/>
          <w:szCs w:val="21"/>
        </w:rPr>
        <w:t>公司分别于2024年1月31日、3月1日、3月30日、4月30日、6月1日、6月29日、8月1日、8月31日、10月8日在巨潮资讯网披露了《关于被债权人申请重整及预重整的进展公告》（公告编号：2024-004、2024-018、2024-021、2024-046、2024-058、2024-065、2024-071、2024-085、2024-095、2024-106）。</w:t>
      </w:r>
    </w:p>
    <w:p w14:paraId="2ACC0C65" w14:textId="55AC37FA" w:rsidR="00E72F0C" w:rsidRDefault="00107901">
      <w:pPr>
        <w:pStyle w:val="a3"/>
        <w:spacing w:before="0" w:beforeAutospacing="0" w:after="0" w:afterAutospacing="0" w:line="400" w:lineRule="atLeast"/>
        <w:ind w:firstLine="440"/>
        <w:jc w:val="both"/>
        <w:divId w:val="1738867500"/>
        <w:rPr>
          <w:rFonts w:hint="eastAsia"/>
        </w:rPr>
      </w:pPr>
      <w:r>
        <w:rPr>
          <w:rFonts w:hint="eastAsia"/>
          <w:sz w:val="21"/>
          <w:szCs w:val="21"/>
        </w:rPr>
        <w:t>5</w:t>
      </w:r>
      <w:r w:rsidR="00076A77">
        <w:rPr>
          <w:rFonts w:hint="eastAsia"/>
          <w:sz w:val="21"/>
          <w:szCs w:val="21"/>
        </w:rPr>
        <w:t>.</w:t>
      </w:r>
      <w:r>
        <w:rPr>
          <w:rFonts w:hint="eastAsia"/>
          <w:sz w:val="21"/>
          <w:szCs w:val="21"/>
        </w:rPr>
        <w:t>公司分别于2024年1月31日、3月1日、3月30日、4月30日在巨潮资讯网披露了《关于实施其他风险警示期间所采取的措施及进展情况的公告》（公告编号2024-005、2024-019、2024-022、2024-</w:t>
      </w:r>
      <w:r>
        <w:rPr>
          <w:rFonts w:hint="eastAsia"/>
          <w:sz w:val="21"/>
          <w:szCs w:val="21"/>
        </w:rPr>
        <w:lastRenderedPageBreak/>
        <w:t>045）；公司于2024年5月11日在巨潮资讯网披露了《关于收到江苏证监局责令改正措施决定暨风险提示的公告》（公告编号2024-048），并于收到后每十个交易日披露一次进展及风险提示（公告编号2024-056、2024-060、2024-064、2024-067、2024-070、2024-072、2024-078、2024-086、2024-088、2024-098、2024-101、2024-107、2024-108、2024-109）。</w:t>
      </w:r>
    </w:p>
    <w:p w14:paraId="71043E27" w14:textId="067A409E" w:rsidR="00E72F0C" w:rsidRDefault="00107901">
      <w:pPr>
        <w:pStyle w:val="a3"/>
        <w:spacing w:before="0" w:beforeAutospacing="0" w:after="0" w:afterAutospacing="0" w:line="400" w:lineRule="atLeast"/>
        <w:ind w:firstLine="440"/>
        <w:jc w:val="both"/>
        <w:divId w:val="1738867500"/>
        <w:rPr>
          <w:rFonts w:hint="eastAsia"/>
        </w:rPr>
      </w:pPr>
      <w:r>
        <w:rPr>
          <w:rFonts w:hint="eastAsia"/>
          <w:sz w:val="21"/>
          <w:szCs w:val="21"/>
        </w:rPr>
        <w:t>6</w:t>
      </w:r>
      <w:r w:rsidR="00076A77">
        <w:rPr>
          <w:rFonts w:hint="eastAsia"/>
          <w:sz w:val="21"/>
          <w:szCs w:val="21"/>
        </w:rPr>
        <w:t>.</w:t>
      </w:r>
      <w:r>
        <w:rPr>
          <w:rFonts w:hint="eastAsia"/>
          <w:sz w:val="21"/>
          <w:szCs w:val="21"/>
        </w:rPr>
        <w:t>公司分别于2024年2月6日、2月8日、4月9日、5月16日、5月31日、10月22日、11月11日在巨潮资讯网披露了关于公司及子公司涉及诉讼、仲裁的相关公告（公告编号2024-008、2024-009、2024-024、2024-054、2024-057、2024-099、2024-110）。</w:t>
      </w:r>
    </w:p>
    <w:p w14:paraId="4AD1589A" w14:textId="6291F24C" w:rsidR="00E72F0C" w:rsidRDefault="00107901">
      <w:pPr>
        <w:pStyle w:val="a3"/>
        <w:spacing w:before="0" w:beforeAutospacing="0" w:after="0" w:afterAutospacing="0" w:line="400" w:lineRule="atLeast"/>
        <w:ind w:firstLine="440"/>
        <w:jc w:val="both"/>
        <w:divId w:val="1738867500"/>
        <w:rPr>
          <w:rFonts w:hint="eastAsia"/>
        </w:rPr>
      </w:pPr>
      <w:r>
        <w:rPr>
          <w:rFonts w:hint="eastAsia"/>
          <w:sz w:val="21"/>
          <w:szCs w:val="21"/>
        </w:rPr>
        <w:t>7</w:t>
      </w:r>
      <w:r w:rsidR="00076A77">
        <w:rPr>
          <w:rFonts w:hint="eastAsia"/>
          <w:sz w:val="21"/>
          <w:szCs w:val="21"/>
        </w:rPr>
        <w:t>.</w:t>
      </w:r>
      <w:r>
        <w:rPr>
          <w:rFonts w:hint="eastAsia"/>
          <w:sz w:val="21"/>
          <w:szCs w:val="21"/>
        </w:rPr>
        <w:t>公司于2024年3月1日在巨潮资讯网披露了《第六届董事会2024年第一次临时会议决议公告》（公告编号：2024-011），审议通过了《关于公司及控股子公司开展2024年度期货套期保值业务的议案》、《关于公司及控股子公司开展2024年度外汇套期保值业务的议案》《关于2024年向银行申请综合授信额度的议案》《关于为控股子公司提供日常经营担保的议案》《关于预计公司及子公司融资担保额度的议案》《关于提请召开2024年第一次临时股东大会的议案》。</w:t>
      </w:r>
    </w:p>
    <w:p w14:paraId="5C40DE4A" w14:textId="704573E7" w:rsidR="00E72F0C" w:rsidRDefault="00107901">
      <w:pPr>
        <w:pStyle w:val="a3"/>
        <w:spacing w:before="0" w:beforeAutospacing="0" w:after="0" w:afterAutospacing="0" w:line="400" w:lineRule="atLeast"/>
        <w:ind w:firstLine="440"/>
        <w:jc w:val="both"/>
        <w:divId w:val="1738867500"/>
        <w:rPr>
          <w:rFonts w:hint="eastAsia"/>
        </w:rPr>
      </w:pPr>
      <w:r>
        <w:rPr>
          <w:rFonts w:hint="eastAsia"/>
          <w:sz w:val="21"/>
          <w:szCs w:val="21"/>
        </w:rPr>
        <w:t>8</w:t>
      </w:r>
      <w:r w:rsidR="00076A77">
        <w:rPr>
          <w:rFonts w:hint="eastAsia"/>
          <w:sz w:val="21"/>
          <w:szCs w:val="21"/>
        </w:rPr>
        <w:t>.</w:t>
      </w:r>
      <w:r>
        <w:rPr>
          <w:rFonts w:hint="eastAsia"/>
          <w:sz w:val="21"/>
          <w:szCs w:val="21"/>
        </w:rPr>
        <w:t>公司分别于2024年4月4日、4月30日巨潮资讯网披露了关于公司募集资金账户部分资金被划扣的公告并销户的公告（公告编号2024-023、2024-028）。</w:t>
      </w:r>
    </w:p>
    <w:p w14:paraId="3F9CAEA0" w14:textId="73A91BD5" w:rsidR="00E72F0C" w:rsidRDefault="00107901">
      <w:pPr>
        <w:pStyle w:val="a3"/>
        <w:spacing w:before="0" w:beforeAutospacing="0" w:after="0" w:afterAutospacing="0" w:line="400" w:lineRule="atLeast"/>
        <w:ind w:firstLine="440"/>
        <w:jc w:val="both"/>
        <w:divId w:val="1738867500"/>
        <w:rPr>
          <w:rFonts w:hint="eastAsia"/>
        </w:rPr>
      </w:pPr>
      <w:r>
        <w:rPr>
          <w:rFonts w:hint="eastAsia"/>
          <w:sz w:val="21"/>
          <w:szCs w:val="21"/>
        </w:rPr>
        <w:t>9</w:t>
      </w:r>
      <w:r w:rsidR="00076A77">
        <w:rPr>
          <w:rFonts w:hint="eastAsia"/>
          <w:sz w:val="21"/>
          <w:szCs w:val="21"/>
        </w:rPr>
        <w:t>.</w:t>
      </w:r>
      <w:r>
        <w:rPr>
          <w:rFonts w:hint="eastAsia"/>
          <w:sz w:val="21"/>
          <w:szCs w:val="21"/>
        </w:rPr>
        <w:t>公司分别于2024年4月24日、4月30日、8月21日、10月29日在巨潮资讯网披露了公司2023年度报告、2024年一季度报告、2024年半年度报告和2024年三季度报告。</w:t>
      </w:r>
    </w:p>
    <w:p w14:paraId="78E3FF9F" w14:textId="1D6D4685" w:rsidR="00E72F0C" w:rsidRDefault="00107901">
      <w:pPr>
        <w:pStyle w:val="a3"/>
        <w:spacing w:before="0" w:beforeAutospacing="0" w:after="0" w:afterAutospacing="0" w:line="400" w:lineRule="atLeast"/>
        <w:ind w:firstLine="440"/>
        <w:jc w:val="both"/>
        <w:divId w:val="1738867500"/>
        <w:rPr>
          <w:rFonts w:hint="eastAsia"/>
        </w:rPr>
      </w:pPr>
      <w:r>
        <w:rPr>
          <w:rFonts w:hint="eastAsia"/>
          <w:sz w:val="21"/>
          <w:szCs w:val="21"/>
        </w:rPr>
        <w:t>10</w:t>
      </w:r>
      <w:r w:rsidR="00076A77">
        <w:rPr>
          <w:rFonts w:hint="eastAsia"/>
          <w:sz w:val="21"/>
          <w:szCs w:val="21"/>
        </w:rPr>
        <w:t>.</w:t>
      </w:r>
      <w:r>
        <w:rPr>
          <w:rFonts w:hint="eastAsia"/>
          <w:sz w:val="21"/>
          <w:szCs w:val="21"/>
        </w:rPr>
        <w:t>公司分别于2024年5月14日、7月6日在巨潮资讯网披露了《关于收到中国证券监督管理委员会〈行政处罚及市场禁入事先告知书〉的公告》（公告编号2024-050）、《关于收到中国证券监督管理委员会〈行政处罚决定书〉的公告》（公告编号2024-066）。</w:t>
      </w:r>
    </w:p>
    <w:p w14:paraId="5DD26C3F" w14:textId="4048AB70" w:rsidR="00E72F0C" w:rsidRDefault="00107901">
      <w:pPr>
        <w:pStyle w:val="a3"/>
        <w:spacing w:before="0" w:beforeAutospacing="0" w:after="0" w:afterAutospacing="0" w:line="400" w:lineRule="atLeast"/>
        <w:ind w:firstLine="440"/>
        <w:jc w:val="both"/>
        <w:divId w:val="1738867500"/>
        <w:rPr>
          <w:rFonts w:hint="eastAsia"/>
        </w:rPr>
      </w:pPr>
      <w:r>
        <w:rPr>
          <w:rFonts w:hint="eastAsia"/>
          <w:sz w:val="21"/>
          <w:szCs w:val="21"/>
        </w:rPr>
        <w:t>11</w:t>
      </w:r>
      <w:r w:rsidR="00076A77">
        <w:rPr>
          <w:rFonts w:hint="eastAsia"/>
          <w:sz w:val="21"/>
          <w:szCs w:val="21"/>
        </w:rPr>
        <w:t>.</w:t>
      </w:r>
      <w:r>
        <w:rPr>
          <w:rFonts w:hint="eastAsia"/>
          <w:sz w:val="21"/>
          <w:szCs w:val="21"/>
        </w:rPr>
        <w:t>公司分别于2024年6月18日、8月13日、9月20日与债权人常熟奥杰等债权人签订了债务代偿协议（公告编号：2024-063、2024-077、2024-091、2024-105），约定自法院裁定受理公司重整申请日起生效；于2024年11月18日和债权人交通银行签订了债务代偿协议（公告编号：2024-122）。上述债权人自愿以其债权111,296.98万元帮助公司原控股股东及其关联方等额代偿对公司的非经营性资金占用金额，相关代偿债务不再向公司子公司追偿。</w:t>
      </w:r>
    </w:p>
    <w:p w14:paraId="6C8FA5E5" w14:textId="15A8DC57" w:rsidR="00E72F0C" w:rsidRDefault="00107901">
      <w:pPr>
        <w:pStyle w:val="a3"/>
        <w:spacing w:before="0" w:beforeAutospacing="0" w:after="0" w:afterAutospacing="0" w:line="400" w:lineRule="atLeast"/>
        <w:ind w:firstLine="440"/>
        <w:jc w:val="both"/>
        <w:divId w:val="1738867500"/>
        <w:rPr>
          <w:rFonts w:hint="eastAsia"/>
        </w:rPr>
      </w:pPr>
      <w:r>
        <w:rPr>
          <w:rFonts w:hint="eastAsia"/>
          <w:sz w:val="21"/>
          <w:szCs w:val="21"/>
        </w:rPr>
        <w:t>12</w:t>
      </w:r>
      <w:r w:rsidR="00076A77">
        <w:rPr>
          <w:rFonts w:hint="eastAsia"/>
          <w:sz w:val="21"/>
          <w:szCs w:val="21"/>
        </w:rPr>
        <w:t>.</w:t>
      </w:r>
      <w:r>
        <w:rPr>
          <w:rFonts w:hint="eastAsia"/>
          <w:sz w:val="21"/>
          <w:szCs w:val="21"/>
        </w:rPr>
        <w:t>公司于2024年11月11日披露了《关于法院裁定受理公司重整并指定管理人暨叠加退市风险警示的公告》，同日披露《关于启动重整阶段债权申报及召开第一次债权人会议通知的公告》《关于与产业投资人签署〈预重整投资协议〉的公告》《关于与牵头财务投资人签署〈预重整投资协议〉的公告》《关于拟在破产重整程序中完成资金占用整改暨股票停牌的公告》（公告编号：2024-112、2024-113、2024-115、2024-116、2024-117）。并于2024年11月14日披露了《关于法院准许公司及全资子公司在重整期间继续营业及自行管理财产和营业事务的公告》（公告编号：2024-118）。</w:t>
      </w:r>
    </w:p>
    <w:p w14:paraId="5DDC2971" w14:textId="1F51272B" w:rsidR="00E72F0C" w:rsidRDefault="00107901">
      <w:pPr>
        <w:pStyle w:val="a3"/>
        <w:spacing w:before="0" w:beforeAutospacing="0" w:after="0" w:afterAutospacing="0" w:line="400" w:lineRule="atLeast"/>
        <w:ind w:firstLine="440"/>
        <w:jc w:val="both"/>
        <w:divId w:val="1738867500"/>
        <w:rPr>
          <w:rFonts w:hint="eastAsia"/>
        </w:rPr>
      </w:pPr>
      <w:r>
        <w:rPr>
          <w:rFonts w:hint="eastAsia"/>
          <w:sz w:val="21"/>
          <w:szCs w:val="21"/>
        </w:rPr>
        <w:t>13</w:t>
      </w:r>
      <w:r w:rsidR="00076A77">
        <w:rPr>
          <w:rFonts w:hint="eastAsia"/>
          <w:sz w:val="21"/>
          <w:szCs w:val="21"/>
        </w:rPr>
        <w:t>.</w:t>
      </w:r>
      <w:r>
        <w:rPr>
          <w:rFonts w:hint="eastAsia"/>
          <w:sz w:val="21"/>
          <w:szCs w:val="21"/>
        </w:rPr>
        <w:t>公司于2024年11月19日披露了《关于召开出资人组会议及2024年第二次临时股东大会通知的公告》《关于召开第一次债权人会议的提示性公告》《江苏中利集团股份有限公司重整计划（草案）摘要》《江苏中利集团股份有限公司重整计划（草案）之经营方案》《关于江苏中利集团股份有限公司重</w:t>
      </w:r>
      <w:r>
        <w:rPr>
          <w:rFonts w:hint="eastAsia"/>
          <w:sz w:val="21"/>
          <w:szCs w:val="21"/>
        </w:rPr>
        <w:lastRenderedPageBreak/>
        <w:t>整计划（草案）之出资人权益调整方案》（公告编号：2024-123、2024-124）。于2024年12月5日披露了《出资人组会议及2024年第二次临时股东大会决议公告》（公告编号：2024-127）。</w:t>
      </w:r>
    </w:p>
    <w:p w14:paraId="622EB994" w14:textId="7B2E6D7D" w:rsidR="00E72F0C" w:rsidRDefault="00107901">
      <w:pPr>
        <w:pStyle w:val="a3"/>
        <w:spacing w:before="0" w:beforeAutospacing="0" w:after="0" w:afterAutospacing="0" w:line="400" w:lineRule="atLeast"/>
        <w:ind w:firstLine="440"/>
        <w:jc w:val="both"/>
        <w:divId w:val="1738867500"/>
        <w:rPr>
          <w:rFonts w:hint="eastAsia"/>
        </w:rPr>
      </w:pPr>
      <w:r>
        <w:rPr>
          <w:rFonts w:hint="eastAsia"/>
          <w:sz w:val="21"/>
          <w:szCs w:val="21"/>
        </w:rPr>
        <w:t>14</w:t>
      </w:r>
      <w:r w:rsidR="00076A77">
        <w:rPr>
          <w:rFonts w:hint="eastAsia"/>
          <w:sz w:val="21"/>
          <w:szCs w:val="21"/>
        </w:rPr>
        <w:t>.</w:t>
      </w:r>
      <w:r>
        <w:rPr>
          <w:rFonts w:hint="eastAsia"/>
          <w:sz w:val="21"/>
          <w:szCs w:val="21"/>
        </w:rPr>
        <w:t>公司于2024年12月6日披露了《关于与产业投资人签署重整投资协议的公告》《关于与财务投资人签署重整投资协议的公告》《关于第一次债权人会议召开情况的公告》（公告编号：2024-128、2024-129、2024-130）。</w:t>
      </w:r>
    </w:p>
    <w:p w14:paraId="35924153" w14:textId="6982F4E8" w:rsidR="00E72F0C" w:rsidRDefault="00107901">
      <w:pPr>
        <w:pStyle w:val="a3"/>
        <w:spacing w:before="0" w:beforeAutospacing="0" w:after="0" w:afterAutospacing="0" w:line="400" w:lineRule="atLeast"/>
        <w:ind w:firstLine="440"/>
        <w:jc w:val="both"/>
        <w:divId w:val="1738867500"/>
        <w:rPr>
          <w:rFonts w:hint="eastAsia"/>
        </w:rPr>
      </w:pPr>
      <w:r>
        <w:rPr>
          <w:rFonts w:hint="eastAsia"/>
          <w:sz w:val="21"/>
          <w:szCs w:val="21"/>
        </w:rPr>
        <w:t>15</w:t>
      </w:r>
      <w:r w:rsidR="00076A77">
        <w:rPr>
          <w:rFonts w:hint="eastAsia"/>
          <w:sz w:val="21"/>
          <w:szCs w:val="21"/>
        </w:rPr>
        <w:t>.</w:t>
      </w:r>
      <w:r>
        <w:rPr>
          <w:rFonts w:hint="eastAsia"/>
          <w:sz w:val="21"/>
          <w:szCs w:val="21"/>
        </w:rPr>
        <w:t>公司于2024年12月12日披露了《关于第一次债权人会议表决结果的公告》《关于公司重整计划获得法院裁定批准的公告》《江苏中利集团股份有限公司重整计划》（公告编号：2024-132、2024-133）。于2024年12月13日披露了《关于全资子公司重整计划获得法院裁定批准的公告》（公告编号：2024-134）。</w:t>
      </w:r>
    </w:p>
    <w:p w14:paraId="46E0EFD5" w14:textId="00806839" w:rsidR="00E72F0C" w:rsidRDefault="00107901">
      <w:pPr>
        <w:pStyle w:val="a3"/>
        <w:spacing w:before="0" w:beforeAutospacing="0" w:after="0" w:afterAutospacing="0" w:line="400" w:lineRule="atLeast"/>
        <w:ind w:firstLine="440"/>
        <w:jc w:val="both"/>
        <w:divId w:val="1738867500"/>
        <w:rPr>
          <w:rFonts w:hint="eastAsia"/>
        </w:rPr>
      </w:pPr>
      <w:r>
        <w:rPr>
          <w:rFonts w:hint="eastAsia"/>
          <w:sz w:val="21"/>
          <w:szCs w:val="21"/>
        </w:rPr>
        <w:t>16</w:t>
      </w:r>
      <w:r w:rsidR="00076A77">
        <w:rPr>
          <w:rFonts w:hint="eastAsia"/>
          <w:sz w:val="21"/>
          <w:szCs w:val="21"/>
        </w:rPr>
        <w:t>.</w:t>
      </w:r>
      <w:r>
        <w:rPr>
          <w:rFonts w:hint="eastAsia"/>
          <w:sz w:val="21"/>
          <w:szCs w:val="21"/>
        </w:rPr>
        <w:t>公司于2024年12月13日披露了《关于重整计划资本公积金转增股本事项实施的公告》（公告编号：2024-138）、《申万宏源证券承销保荐有限责任公司关于中利集团股份有限公司调整资本公积转增股本除权参考价格计算公式的专项意见》。</w:t>
      </w:r>
    </w:p>
    <w:p w14:paraId="3E5DA0AF" w14:textId="1E8A20E6" w:rsidR="00E72F0C" w:rsidRDefault="00107901">
      <w:pPr>
        <w:pStyle w:val="a3"/>
        <w:spacing w:before="0" w:beforeAutospacing="0" w:after="0" w:afterAutospacing="0" w:line="400" w:lineRule="atLeast"/>
        <w:ind w:firstLine="440"/>
        <w:jc w:val="both"/>
        <w:divId w:val="1738867500"/>
        <w:rPr>
          <w:rFonts w:hint="eastAsia"/>
        </w:rPr>
      </w:pPr>
      <w:r>
        <w:rPr>
          <w:rFonts w:hint="eastAsia"/>
          <w:sz w:val="21"/>
          <w:szCs w:val="21"/>
        </w:rPr>
        <w:t>17</w:t>
      </w:r>
      <w:r w:rsidR="00076A77">
        <w:rPr>
          <w:sz w:val="21"/>
          <w:szCs w:val="21"/>
        </w:rPr>
        <w:t>.</w:t>
      </w:r>
      <w:r>
        <w:rPr>
          <w:rFonts w:hint="eastAsia"/>
          <w:sz w:val="21"/>
          <w:szCs w:val="21"/>
        </w:rPr>
        <w:t>公司于2024年12月18日披露了《关于股东权益变动暨控股股东和实际控制人拟发生变更的提示性公告》（公告编号：2024-134）。</w:t>
      </w:r>
    </w:p>
    <w:p w14:paraId="28EA3F67" w14:textId="2F9B7A5B" w:rsidR="00E72F0C" w:rsidRDefault="00107901">
      <w:pPr>
        <w:pStyle w:val="a3"/>
        <w:spacing w:before="0" w:beforeAutospacing="0" w:after="0" w:afterAutospacing="0" w:line="400" w:lineRule="atLeast"/>
        <w:ind w:firstLine="440"/>
        <w:jc w:val="both"/>
        <w:divId w:val="1738867500"/>
        <w:rPr>
          <w:rFonts w:hint="eastAsia"/>
        </w:rPr>
      </w:pPr>
      <w:r>
        <w:rPr>
          <w:rFonts w:hint="eastAsia"/>
          <w:sz w:val="21"/>
          <w:szCs w:val="21"/>
        </w:rPr>
        <w:t>18</w:t>
      </w:r>
      <w:r w:rsidR="00076A77">
        <w:rPr>
          <w:sz w:val="21"/>
          <w:szCs w:val="21"/>
        </w:rPr>
        <w:t>.</w:t>
      </w:r>
      <w:r>
        <w:rPr>
          <w:rFonts w:hint="eastAsia"/>
          <w:sz w:val="21"/>
          <w:szCs w:val="21"/>
        </w:rPr>
        <w:t>公司于2024年12月20日披露了《关于收到重整投资人重整投资款的公告》（公告编号：2024-139），包含解决原控股股东及其关联方非经营性占用的资金。</w:t>
      </w:r>
    </w:p>
    <w:p w14:paraId="3D8F267D" w14:textId="42966DAF" w:rsidR="00E72F0C" w:rsidRDefault="00107901">
      <w:pPr>
        <w:pStyle w:val="a3"/>
        <w:spacing w:before="0" w:beforeAutospacing="0" w:after="0" w:afterAutospacing="0" w:line="400" w:lineRule="atLeast"/>
        <w:ind w:firstLine="440"/>
        <w:jc w:val="both"/>
        <w:divId w:val="1738867500"/>
        <w:rPr>
          <w:rFonts w:hint="eastAsia"/>
        </w:rPr>
      </w:pPr>
      <w:r>
        <w:rPr>
          <w:rFonts w:hint="eastAsia"/>
          <w:sz w:val="21"/>
          <w:szCs w:val="21"/>
        </w:rPr>
        <w:t>19</w:t>
      </w:r>
      <w:r w:rsidR="00076A77">
        <w:rPr>
          <w:sz w:val="21"/>
          <w:szCs w:val="21"/>
        </w:rPr>
        <w:t>.</w:t>
      </w:r>
      <w:r>
        <w:rPr>
          <w:rFonts w:hint="eastAsia"/>
          <w:sz w:val="21"/>
          <w:szCs w:val="21"/>
        </w:rPr>
        <w:t>公司于2024年12月21日披露了《关于不调整资本公积转增股本实施后首个交易日开盘参考价事项的提示性公告》（公告编号：2024-141）、《申万宏源证券承销保荐有限责任公司关于江苏中利集团股份有限公司调整资本公积转增股本除权参考价格的计算结果的专项意见》。</w:t>
      </w:r>
    </w:p>
    <w:p w14:paraId="37C45B9B" w14:textId="31D9802F" w:rsidR="00E72F0C" w:rsidRDefault="00107901">
      <w:pPr>
        <w:pStyle w:val="a3"/>
        <w:spacing w:before="0" w:beforeAutospacing="0" w:after="0" w:afterAutospacing="0" w:line="400" w:lineRule="atLeast"/>
        <w:ind w:firstLine="440"/>
        <w:jc w:val="both"/>
        <w:divId w:val="1738867500"/>
        <w:rPr>
          <w:rFonts w:hint="eastAsia"/>
        </w:rPr>
      </w:pPr>
      <w:r>
        <w:rPr>
          <w:rFonts w:hint="eastAsia"/>
          <w:sz w:val="21"/>
          <w:szCs w:val="21"/>
        </w:rPr>
        <w:t>20</w:t>
      </w:r>
      <w:r w:rsidR="00076A77">
        <w:rPr>
          <w:rFonts w:hint="eastAsia"/>
          <w:sz w:val="21"/>
          <w:szCs w:val="21"/>
        </w:rPr>
        <w:t>.</w:t>
      </w:r>
      <w:r>
        <w:rPr>
          <w:rFonts w:hint="eastAsia"/>
          <w:sz w:val="21"/>
          <w:szCs w:val="21"/>
        </w:rPr>
        <w:t>公司于2024年12月28日披露了《关于法院裁定公司重整计划执行完毕的公告》（公告编号：2024-142）。</w:t>
      </w:r>
    </w:p>
    <w:p w14:paraId="02FB2D1E" w14:textId="0FEBF8F7" w:rsidR="00E72F0C" w:rsidRDefault="00107901">
      <w:pPr>
        <w:pStyle w:val="a3"/>
        <w:spacing w:before="0" w:beforeAutospacing="0" w:after="0" w:afterAutospacing="0" w:line="400" w:lineRule="atLeast"/>
        <w:ind w:firstLine="440"/>
        <w:jc w:val="both"/>
        <w:divId w:val="1738867500"/>
        <w:rPr>
          <w:rFonts w:hint="eastAsia"/>
        </w:rPr>
      </w:pPr>
      <w:r>
        <w:rPr>
          <w:rFonts w:hint="eastAsia"/>
          <w:sz w:val="21"/>
          <w:szCs w:val="21"/>
        </w:rPr>
        <w:t>21</w:t>
      </w:r>
      <w:r w:rsidR="00076A77">
        <w:rPr>
          <w:sz w:val="21"/>
          <w:szCs w:val="21"/>
        </w:rPr>
        <w:t>.</w:t>
      </w:r>
      <w:r>
        <w:rPr>
          <w:rFonts w:hint="eastAsia"/>
          <w:sz w:val="21"/>
          <w:szCs w:val="21"/>
        </w:rPr>
        <w:t>公司于2025年1月2日披露了《关于向全体重整投资人指定证券账户完成股票过户暨控股股东变更生效的公告》（公告编号：2024-143）。</w:t>
      </w:r>
    </w:p>
    <w:p w14:paraId="78FE8946" w14:textId="77777777" w:rsidR="00632E5B" w:rsidRDefault="00107901">
      <w:pPr>
        <w:pStyle w:val="2"/>
        <w:spacing w:before="300" w:after="300" w:line="320" w:lineRule="exact"/>
        <w:rPr>
          <w:rFonts w:ascii="宋体" w:eastAsia="宋体" w:hAnsi="宋体" w:cs="宋体" w:hint="eastAsia"/>
          <w:b/>
          <w:bCs/>
          <w:sz w:val="24"/>
          <w:szCs w:val="24"/>
        </w:rPr>
      </w:pPr>
      <w:bookmarkStart w:id="128" w:name="_Toc989017"/>
      <w:r>
        <w:rPr>
          <w:rFonts w:ascii="宋体" w:eastAsia="宋体" w:hAnsi="宋体" w:cs="宋体"/>
          <w:b/>
          <w:bCs/>
          <w:sz w:val="24"/>
          <w:szCs w:val="24"/>
        </w:rPr>
        <w:t>十七、公司子公司重大事项</w:t>
      </w:r>
      <w:bookmarkEnd w:id="128"/>
    </w:p>
    <w:p w14:paraId="57E5372B"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0F825D64" w14:textId="1DD2F3C3" w:rsidR="00E72F0C" w:rsidRDefault="00107901" w:rsidP="00076A77">
      <w:pPr>
        <w:pStyle w:val="a3"/>
        <w:spacing w:before="0" w:beforeAutospacing="0" w:after="0" w:afterAutospacing="0" w:line="360" w:lineRule="auto"/>
        <w:ind w:firstLine="482"/>
        <w:jc w:val="both"/>
        <w:divId w:val="760754657"/>
        <w:rPr>
          <w:rFonts w:hint="eastAsia"/>
        </w:rPr>
      </w:pPr>
      <w:r>
        <w:rPr>
          <w:rFonts w:hint="eastAsia"/>
          <w:color w:val="000000"/>
          <w:sz w:val="21"/>
          <w:szCs w:val="21"/>
        </w:rPr>
        <w:t>1</w:t>
      </w:r>
      <w:r w:rsidR="00076A77">
        <w:rPr>
          <w:rFonts w:hint="eastAsia"/>
          <w:color w:val="000000"/>
          <w:sz w:val="21"/>
          <w:szCs w:val="21"/>
        </w:rPr>
        <w:t>.</w:t>
      </w:r>
      <w:r>
        <w:rPr>
          <w:rFonts w:hint="eastAsia"/>
          <w:color w:val="000000"/>
          <w:sz w:val="21"/>
          <w:szCs w:val="21"/>
        </w:rPr>
        <w:t>2024年1月20日，公司在披露了《关于全资子公司常州船缆重整的进展公告》（公告编号：2024-003）。常州船缆拟与中利集团协同重整。</w:t>
      </w:r>
    </w:p>
    <w:p w14:paraId="174586F8" w14:textId="77777777" w:rsidR="00E72F0C" w:rsidRDefault="00107901" w:rsidP="00076A77">
      <w:pPr>
        <w:pStyle w:val="a3"/>
        <w:spacing w:before="0" w:beforeAutospacing="0" w:after="0" w:afterAutospacing="0" w:line="360" w:lineRule="auto"/>
        <w:ind w:firstLine="482"/>
        <w:jc w:val="both"/>
        <w:divId w:val="760754657"/>
        <w:rPr>
          <w:rFonts w:hint="eastAsia"/>
        </w:rPr>
      </w:pPr>
      <w:r>
        <w:rPr>
          <w:rFonts w:hint="eastAsia"/>
          <w:color w:val="000000"/>
          <w:sz w:val="21"/>
          <w:szCs w:val="21"/>
        </w:rPr>
        <w:t>2024年7月18日，公司披露了《关于全资子公司常州船缆〈共益债务方案〉的公告》（公告编号：2024-069）。常州船缆债权人会议表决通过了《共益债务方案（二）》，同意常州船缆与厦门建发新兴能源有限公司通过共益债务方式开展铜材等原材料采购方面的合作，将在不超过5,000万元范围内滚动，本次共益债方案已经过苏州中院书面批复同意。</w:t>
      </w:r>
    </w:p>
    <w:p w14:paraId="61579010" w14:textId="3C924D70" w:rsidR="00E72F0C" w:rsidRDefault="00107901" w:rsidP="00076A77">
      <w:pPr>
        <w:pStyle w:val="a3"/>
        <w:spacing w:before="0" w:beforeAutospacing="0" w:after="0" w:afterAutospacing="0" w:line="360" w:lineRule="auto"/>
        <w:ind w:firstLine="482"/>
        <w:jc w:val="both"/>
        <w:divId w:val="760754657"/>
        <w:rPr>
          <w:rFonts w:hint="eastAsia"/>
        </w:rPr>
      </w:pPr>
      <w:r>
        <w:rPr>
          <w:rFonts w:hint="eastAsia"/>
          <w:color w:val="000000"/>
          <w:sz w:val="21"/>
          <w:szCs w:val="21"/>
        </w:rPr>
        <w:lastRenderedPageBreak/>
        <w:t>2</w:t>
      </w:r>
      <w:r w:rsidR="00076A77">
        <w:rPr>
          <w:rFonts w:hint="eastAsia"/>
          <w:color w:val="000000"/>
          <w:sz w:val="21"/>
          <w:szCs w:val="21"/>
        </w:rPr>
        <w:t>.</w:t>
      </w:r>
      <w:r>
        <w:rPr>
          <w:rFonts w:hint="eastAsia"/>
          <w:color w:val="000000"/>
          <w:sz w:val="21"/>
          <w:szCs w:val="21"/>
        </w:rPr>
        <w:t>2024年2月20日，公司披露了《关于前期已启动预重整的四家全资子公司转入重整程序的公告》（公告编号：2024-010）。苏州中院裁定受理四家子公司宿迁新能源、沛县新能源、泗阳新能源、泗阳光电的重整申请，并同时指定由中利集团清算组担任上述四家公司的管理人。</w:t>
      </w:r>
    </w:p>
    <w:p w14:paraId="773EA9F3" w14:textId="77777777" w:rsidR="00E72F0C" w:rsidRDefault="00107901" w:rsidP="00076A77">
      <w:pPr>
        <w:pStyle w:val="a3"/>
        <w:spacing w:before="0" w:beforeAutospacing="0" w:after="0" w:afterAutospacing="0" w:line="360" w:lineRule="auto"/>
        <w:ind w:firstLine="482"/>
        <w:jc w:val="both"/>
        <w:divId w:val="760754657"/>
        <w:rPr>
          <w:rFonts w:hint="eastAsia"/>
        </w:rPr>
      </w:pPr>
      <w:r>
        <w:rPr>
          <w:rFonts w:hint="eastAsia"/>
          <w:color w:val="000000"/>
          <w:sz w:val="21"/>
          <w:szCs w:val="21"/>
        </w:rPr>
        <w:t>8月10日，公司披露了《关于四家全资子公司重整延期的公告》（公告编号：2024-073），宿迁新能源、沛县新能源、泗阳新能源、泗阳光电均拟与中利集团协同重整，且中利集团进入正式重整尚需要时间，故重整计划草案提交期限延长至2024年11月8日。</w:t>
      </w:r>
    </w:p>
    <w:p w14:paraId="3A0ABDF2" w14:textId="1B470E56" w:rsidR="00E72F0C" w:rsidRDefault="00107901" w:rsidP="00076A77">
      <w:pPr>
        <w:pStyle w:val="a3"/>
        <w:spacing w:before="0" w:beforeAutospacing="0" w:after="0" w:afterAutospacing="0" w:line="360" w:lineRule="auto"/>
        <w:ind w:firstLine="482"/>
        <w:jc w:val="both"/>
        <w:divId w:val="760754657"/>
        <w:rPr>
          <w:rFonts w:hint="eastAsia"/>
        </w:rPr>
      </w:pPr>
      <w:r>
        <w:rPr>
          <w:rFonts w:hint="eastAsia"/>
          <w:color w:val="000000"/>
          <w:sz w:val="21"/>
          <w:szCs w:val="21"/>
        </w:rPr>
        <w:t>3</w:t>
      </w:r>
      <w:r w:rsidR="00076A77">
        <w:rPr>
          <w:color w:val="000000"/>
          <w:sz w:val="21"/>
          <w:szCs w:val="21"/>
        </w:rPr>
        <w:t>.</w:t>
      </w:r>
      <w:r>
        <w:rPr>
          <w:rFonts w:hint="eastAsia"/>
          <w:color w:val="000000"/>
          <w:sz w:val="21"/>
          <w:szCs w:val="21"/>
        </w:rPr>
        <w:t>2024年9月26日，公司披露了《关于苏州中院裁定受理全资子公司腾晖光伏重整的公告》，苏州中院裁定受理对腾晖光伏的重整申请。</w:t>
      </w:r>
    </w:p>
    <w:p w14:paraId="4925D1B1" w14:textId="1C78A506" w:rsidR="00E72F0C" w:rsidRDefault="00107901" w:rsidP="00076A77">
      <w:pPr>
        <w:pStyle w:val="a3"/>
        <w:spacing w:before="0" w:beforeAutospacing="0" w:after="0" w:afterAutospacing="0" w:line="360" w:lineRule="auto"/>
        <w:ind w:firstLine="482"/>
        <w:jc w:val="both"/>
        <w:divId w:val="760754657"/>
        <w:rPr>
          <w:rFonts w:hint="eastAsia"/>
        </w:rPr>
      </w:pPr>
      <w:r>
        <w:rPr>
          <w:rFonts w:hint="eastAsia"/>
          <w:color w:val="000000"/>
          <w:sz w:val="21"/>
          <w:szCs w:val="21"/>
        </w:rPr>
        <w:t>4</w:t>
      </w:r>
      <w:r w:rsidR="00076A77">
        <w:rPr>
          <w:rFonts w:hint="eastAsia"/>
          <w:color w:val="000000"/>
          <w:sz w:val="21"/>
          <w:szCs w:val="21"/>
        </w:rPr>
        <w:t>.</w:t>
      </w:r>
      <w:r>
        <w:rPr>
          <w:rFonts w:hint="eastAsia"/>
          <w:color w:val="000000"/>
          <w:sz w:val="21"/>
          <w:szCs w:val="21"/>
        </w:rPr>
        <w:t>2024年11月11日，公司披露了《关于苏州中院裁定受理全资子公司中联光电重整的公告》（公告编号：2024-114），苏州中院裁定受理对中联光电的重整申请。</w:t>
      </w:r>
    </w:p>
    <w:p w14:paraId="4AEA58E7" w14:textId="1B2BF738" w:rsidR="00E72F0C" w:rsidRDefault="00107901" w:rsidP="00076A77">
      <w:pPr>
        <w:pStyle w:val="a3"/>
        <w:spacing w:before="0" w:beforeAutospacing="0" w:after="0" w:afterAutospacing="0" w:line="360" w:lineRule="auto"/>
        <w:ind w:firstLine="482"/>
        <w:jc w:val="both"/>
        <w:divId w:val="760754657"/>
        <w:rPr>
          <w:rFonts w:hint="eastAsia"/>
        </w:rPr>
      </w:pPr>
      <w:r>
        <w:rPr>
          <w:rFonts w:hint="eastAsia"/>
          <w:color w:val="000000"/>
          <w:sz w:val="21"/>
          <w:szCs w:val="21"/>
        </w:rPr>
        <w:t>5</w:t>
      </w:r>
      <w:r w:rsidR="00076A77">
        <w:rPr>
          <w:rFonts w:hint="eastAsia"/>
          <w:color w:val="000000"/>
          <w:sz w:val="21"/>
          <w:szCs w:val="21"/>
        </w:rPr>
        <w:t>.</w:t>
      </w:r>
      <w:r>
        <w:rPr>
          <w:rFonts w:hint="eastAsia"/>
          <w:color w:val="000000"/>
          <w:sz w:val="21"/>
          <w:szCs w:val="21"/>
        </w:rPr>
        <w:t>2024年11月15日，公司披露了《关于法院准许公司及全资子公司在重整期间继续营业及自行管理财产和营业事务的公告》（公告编号：2024-118），苏州中院准许公司及全资子公司腾晖光伏、中联光电在重整期间继续营业，并准许上述公司在其管理人的监督下自行管理财产和营业事务。</w:t>
      </w:r>
    </w:p>
    <w:p w14:paraId="1B617B73" w14:textId="750D957A" w:rsidR="00E72F0C" w:rsidRDefault="00076A77" w:rsidP="00076A77">
      <w:pPr>
        <w:pStyle w:val="a3"/>
        <w:spacing w:before="0" w:beforeAutospacing="0" w:after="0" w:afterAutospacing="0" w:line="360" w:lineRule="auto"/>
        <w:ind w:firstLine="482"/>
        <w:jc w:val="both"/>
        <w:divId w:val="760754657"/>
        <w:rPr>
          <w:rFonts w:hint="eastAsia"/>
        </w:rPr>
      </w:pPr>
      <w:r>
        <w:rPr>
          <w:color w:val="000000"/>
          <w:sz w:val="21"/>
          <w:szCs w:val="21"/>
        </w:rPr>
        <w:t>6</w:t>
      </w:r>
      <w:r>
        <w:rPr>
          <w:rFonts w:hint="eastAsia"/>
          <w:color w:val="000000"/>
          <w:sz w:val="21"/>
          <w:szCs w:val="21"/>
        </w:rPr>
        <w:t>.</w:t>
      </w:r>
      <w:r w:rsidR="00107901">
        <w:rPr>
          <w:rFonts w:hint="eastAsia"/>
          <w:color w:val="000000"/>
          <w:sz w:val="21"/>
          <w:szCs w:val="21"/>
        </w:rPr>
        <w:t>2024年12月13日，公司披露了《关于全资子公司重整计划获得法院裁定批准的公告》（公告编号：2024-134），苏州中院裁定批准沛县腾晖新能源技术有限公司、泗阳腾晖新能源技术有限公司、泗阳腾晖光电有限公司、苏州腾晖光伏技术有限公司、常熟市中联光电新材料有限责任公司、常州船用电缆有限责任公司共六家全资子公司的重整计划并终止重整程序。</w:t>
      </w:r>
    </w:p>
    <w:p w14:paraId="05C9A2FA" w14:textId="77777777" w:rsidR="00E72F0C" w:rsidRDefault="00107901">
      <w:pPr>
        <w:pStyle w:val="a3"/>
        <w:spacing w:before="0" w:beforeAutospacing="0" w:after="0" w:afterAutospacing="0"/>
        <w:jc w:val="both"/>
        <w:divId w:val="760754657"/>
        <w:rPr>
          <w:rFonts w:ascii="Calibri" w:hAnsi="Calibri" w:cs="Calibri"/>
          <w:sz w:val="21"/>
          <w:szCs w:val="21"/>
        </w:rPr>
      </w:pPr>
      <w:r>
        <w:rPr>
          <w:rFonts w:ascii="Calibri" w:hAnsi="Calibri" w:cs="Calibri"/>
          <w:sz w:val="21"/>
          <w:szCs w:val="21"/>
        </w:rPr>
        <w:t> </w:t>
      </w:r>
    </w:p>
    <w:p w14:paraId="237E0D24" w14:textId="77777777" w:rsidR="00632E5B" w:rsidRDefault="00107901">
      <w:r>
        <w:br w:type="page"/>
      </w:r>
    </w:p>
    <w:p w14:paraId="35CADA06" w14:textId="1FF1C638" w:rsidR="00632E5B" w:rsidRDefault="00107901">
      <w:pPr>
        <w:pStyle w:val="headingh1"/>
        <w:spacing w:before="340" w:after="330" w:line="773" w:lineRule="exact"/>
        <w:jc w:val="center"/>
        <w:rPr>
          <w:rFonts w:ascii="宋体" w:eastAsia="宋体" w:hAnsi="宋体" w:cs="宋体" w:hint="eastAsia"/>
          <w:b/>
          <w:bCs/>
          <w:sz w:val="32"/>
          <w:szCs w:val="32"/>
        </w:rPr>
      </w:pPr>
      <w:bookmarkStart w:id="129" w:name="_Toc989018"/>
      <w:r>
        <w:rPr>
          <w:rFonts w:ascii="宋体" w:eastAsia="宋体" w:hAnsi="宋体" w:cs="宋体"/>
          <w:b/>
          <w:bCs/>
          <w:sz w:val="32"/>
          <w:szCs w:val="32"/>
        </w:rPr>
        <w:lastRenderedPageBreak/>
        <w:t>第七节 股份变动及股东情况</w:t>
      </w:r>
      <w:bookmarkEnd w:id="129"/>
    </w:p>
    <w:p w14:paraId="421AD7A5" w14:textId="77777777" w:rsidR="00632E5B" w:rsidRDefault="00107901" w:rsidP="00C8117C">
      <w:pPr>
        <w:pStyle w:val="2"/>
        <w:spacing w:before="300" w:after="300"/>
        <w:rPr>
          <w:rFonts w:ascii="宋体" w:eastAsia="宋体" w:hAnsi="宋体" w:cs="宋体" w:hint="eastAsia"/>
          <w:b/>
          <w:bCs/>
          <w:sz w:val="24"/>
          <w:szCs w:val="24"/>
        </w:rPr>
      </w:pPr>
      <w:bookmarkStart w:id="130" w:name="_Toc989019"/>
      <w:r>
        <w:rPr>
          <w:rFonts w:ascii="宋体" w:eastAsia="宋体" w:hAnsi="宋体" w:cs="宋体"/>
          <w:b/>
          <w:bCs/>
          <w:sz w:val="24"/>
          <w:szCs w:val="24"/>
        </w:rPr>
        <w:t>一、股份变动情况</w:t>
      </w:r>
      <w:bookmarkEnd w:id="130"/>
    </w:p>
    <w:p w14:paraId="1ACFA903" w14:textId="77777777" w:rsidR="00632E5B" w:rsidRDefault="00107901" w:rsidP="00C8117C">
      <w:pPr>
        <w:pStyle w:val="3"/>
        <w:spacing w:line="240" w:lineRule="auto"/>
        <w:jc w:val="left"/>
        <w:rPr>
          <w:rFonts w:ascii="宋体" w:hAnsi="宋体" w:cs="宋体" w:hint="eastAsia"/>
          <w:b/>
          <w:bCs/>
        </w:rPr>
      </w:pPr>
      <w:bookmarkStart w:id="131" w:name="_Toc989020"/>
      <w:r>
        <w:rPr>
          <w:rFonts w:ascii="宋体" w:hAnsi="宋体" w:cs="宋体"/>
          <w:b/>
          <w:bCs/>
        </w:rPr>
        <w:t>1、股份变动情况</w:t>
      </w:r>
      <w:bookmarkEnd w:id="131"/>
    </w:p>
    <w:p w14:paraId="2B93AA4A"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单位：股</w:t>
      </w:r>
    </w:p>
    <w:tbl>
      <w:tblPr>
        <w:tblW w:w="1020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131"/>
        <w:gridCol w:w="1168"/>
        <w:gridCol w:w="851"/>
        <w:gridCol w:w="705"/>
        <w:gridCol w:w="570"/>
        <w:gridCol w:w="1418"/>
        <w:gridCol w:w="425"/>
        <w:gridCol w:w="1443"/>
        <w:gridCol w:w="1534"/>
        <w:gridCol w:w="958"/>
      </w:tblGrid>
      <w:tr w:rsidR="00632E5B" w14:paraId="30C7CDE3" w14:textId="77777777" w:rsidTr="0013487C">
        <w:trPr>
          <w:trHeight w:val="240"/>
          <w:jc w:val="center"/>
        </w:trPr>
        <w:tc>
          <w:tcPr>
            <w:tcW w:w="1131" w:type="dxa"/>
            <w:vMerge w:val="restart"/>
            <w:shd w:val="clear" w:color="auto" w:fill="FFFFFF" w:themeFill="background1"/>
            <w:vAlign w:val="center"/>
          </w:tcPr>
          <w:p w14:paraId="5AF89653" w14:textId="77777777" w:rsidR="00632E5B" w:rsidRDefault="00632E5B"/>
        </w:tc>
        <w:tc>
          <w:tcPr>
            <w:tcW w:w="2019" w:type="dxa"/>
            <w:gridSpan w:val="2"/>
            <w:shd w:val="clear" w:color="auto" w:fill="FFFFFF" w:themeFill="background1"/>
            <w:vAlign w:val="center"/>
          </w:tcPr>
          <w:p w14:paraId="0DABC5E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本次变动前</w:t>
            </w:r>
          </w:p>
        </w:tc>
        <w:tc>
          <w:tcPr>
            <w:tcW w:w="4561" w:type="dxa"/>
            <w:gridSpan w:val="5"/>
            <w:shd w:val="clear" w:color="auto" w:fill="FFFFFF" w:themeFill="background1"/>
            <w:vAlign w:val="center"/>
          </w:tcPr>
          <w:p w14:paraId="11D3B09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本次变动增减（＋，－）</w:t>
            </w:r>
          </w:p>
        </w:tc>
        <w:tc>
          <w:tcPr>
            <w:tcW w:w="2492" w:type="dxa"/>
            <w:gridSpan w:val="2"/>
            <w:shd w:val="clear" w:color="auto" w:fill="FFFFFF" w:themeFill="background1"/>
            <w:vAlign w:val="center"/>
          </w:tcPr>
          <w:p w14:paraId="0129845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本次变动后</w:t>
            </w:r>
          </w:p>
        </w:tc>
      </w:tr>
      <w:tr w:rsidR="00632E5B" w14:paraId="011BD75A" w14:textId="77777777" w:rsidTr="0013487C">
        <w:trPr>
          <w:trHeight w:val="240"/>
          <w:jc w:val="center"/>
        </w:trPr>
        <w:tc>
          <w:tcPr>
            <w:tcW w:w="1131" w:type="dxa"/>
            <w:vMerge/>
            <w:shd w:val="clear" w:color="auto" w:fill="FFFFFF" w:themeFill="background1"/>
            <w:vAlign w:val="center"/>
          </w:tcPr>
          <w:p w14:paraId="7C3238BB" w14:textId="77777777" w:rsidR="00632E5B" w:rsidRDefault="00632E5B"/>
        </w:tc>
        <w:tc>
          <w:tcPr>
            <w:tcW w:w="1168" w:type="dxa"/>
            <w:shd w:val="clear" w:color="auto" w:fill="FFFFFF" w:themeFill="background1"/>
            <w:vAlign w:val="center"/>
          </w:tcPr>
          <w:p w14:paraId="2DB75D4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数量</w:t>
            </w:r>
          </w:p>
        </w:tc>
        <w:tc>
          <w:tcPr>
            <w:tcW w:w="851" w:type="dxa"/>
            <w:shd w:val="clear" w:color="auto" w:fill="FFFFFF" w:themeFill="background1"/>
            <w:vAlign w:val="center"/>
          </w:tcPr>
          <w:p w14:paraId="6E8227E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比例</w:t>
            </w:r>
          </w:p>
        </w:tc>
        <w:tc>
          <w:tcPr>
            <w:tcW w:w="705" w:type="dxa"/>
            <w:shd w:val="clear" w:color="auto" w:fill="FFFFFF" w:themeFill="background1"/>
            <w:vAlign w:val="center"/>
          </w:tcPr>
          <w:p w14:paraId="1241FB8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发行新股</w:t>
            </w:r>
          </w:p>
        </w:tc>
        <w:tc>
          <w:tcPr>
            <w:tcW w:w="570" w:type="dxa"/>
            <w:shd w:val="clear" w:color="auto" w:fill="FFFFFF" w:themeFill="background1"/>
            <w:vAlign w:val="center"/>
          </w:tcPr>
          <w:p w14:paraId="085C04E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送股</w:t>
            </w:r>
          </w:p>
        </w:tc>
        <w:tc>
          <w:tcPr>
            <w:tcW w:w="1418" w:type="dxa"/>
            <w:shd w:val="clear" w:color="auto" w:fill="FFFFFF" w:themeFill="background1"/>
            <w:vAlign w:val="center"/>
          </w:tcPr>
          <w:p w14:paraId="4D34B9A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公积金转股</w:t>
            </w:r>
          </w:p>
        </w:tc>
        <w:tc>
          <w:tcPr>
            <w:tcW w:w="425" w:type="dxa"/>
            <w:shd w:val="clear" w:color="auto" w:fill="FFFFFF" w:themeFill="background1"/>
            <w:vAlign w:val="center"/>
          </w:tcPr>
          <w:p w14:paraId="7AC239A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1443" w:type="dxa"/>
            <w:shd w:val="clear" w:color="auto" w:fill="FFFFFF" w:themeFill="background1"/>
            <w:vAlign w:val="center"/>
          </w:tcPr>
          <w:p w14:paraId="082B295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小计</w:t>
            </w:r>
          </w:p>
        </w:tc>
        <w:tc>
          <w:tcPr>
            <w:tcW w:w="1534" w:type="dxa"/>
            <w:shd w:val="clear" w:color="auto" w:fill="FFFFFF" w:themeFill="background1"/>
            <w:vAlign w:val="center"/>
          </w:tcPr>
          <w:p w14:paraId="7ADDCEB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数量</w:t>
            </w:r>
          </w:p>
        </w:tc>
        <w:tc>
          <w:tcPr>
            <w:tcW w:w="958" w:type="dxa"/>
            <w:shd w:val="clear" w:color="auto" w:fill="FFFFFF" w:themeFill="background1"/>
            <w:vAlign w:val="center"/>
          </w:tcPr>
          <w:p w14:paraId="2A51043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比例</w:t>
            </w:r>
          </w:p>
        </w:tc>
      </w:tr>
      <w:tr w:rsidR="00632E5B" w14:paraId="7B1516E2" w14:textId="77777777" w:rsidTr="0013487C">
        <w:trPr>
          <w:trHeight w:val="240"/>
          <w:jc w:val="center"/>
        </w:trPr>
        <w:tc>
          <w:tcPr>
            <w:tcW w:w="1131" w:type="dxa"/>
            <w:shd w:val="clear" w:color="auto" w:fill="FFFFFF" w:themeFill="background1"/>
            <w:vAlign w:val="center"/>
          </w:tcPr>
          <w:p w14:paraId="2421469A"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一、有限售条件股份</w:t>
            </w:r>
          </w:p>
        </w:tc>
        <w:tc>
          <w:tcPr>
            <w:tcW w:w="1168" w:type="dxa"/>
            <w:shd w:val="clear" w:color="auto" w:fill="FFFFFF" w:themeFill="background1"/>
            <w:vAlign w:val="center"/>
          </w:tcPr>
          <w:p w14:paraId="2B9E508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4,029,869</w:t>
            </w:r>
          </w:p>
        </w:tc>
        <w:tc>
          <w:tcPr>
            <w:tcW w:w="851" w:type="dxa"/>
            <w:shd w:val="clear" w:color="auto" w:fill="FFFFFF" w:themeFill="background1"/>
            <w:vAlign w:val="center"/>
          </w:tcPr>
          <w:p w14:paraId="7384DE9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0.46%</w:t>
            </w:r>
          </w:p>
        </w:tc>
        <w:tc>
          <w:tcPr>
            <w:tcW w:w="705" w:type="dxa"/>
            <w:shd w:val="clear" w:color="auto" w:fill="FFFFFF" w:themeFill="background1"/>
            <w:vAlign w:val="center"/>
          </w:tcPr>
          <w:p w14:paraId="4B5C333D" w14:textId="77777777" w:rsidR="00632E5B" w:rsidRDefault="00632E5B">
            <w:pPr>
              <w:spacing w:line="240" w:lineRule="exact"/>
              <w:jc w:val="right"/>
              <w:rPr>
                <w:rFonts w:ascii="宋体" w:eastAsia="宋体" w:hAnsi="宋体" w:cs="宋体" w:hint="eastAsia"/>
                <w:sz w:val="18"/>
                <w:szCs w:val="18"/>
              </w:rPr>
            </w:pPr>
          </w:p>
        </w:tc>
        <w:tc>
          <w:tcPr>
            <w:tcW w:w="570" w:type="dxa"/>
            <w:shd w:val="clear" w:color="auto" w:fill="FFFFFF" w:themeFill="background1"/>
            <w:vAlign w:val="center"/>
          </w:tcPr>
          <w:p w14:paraId="2B268E71" w14:textId="77777777" w:rsidR="00632E5B" w:rsidRDefault="00632E5B">
            <w:pPr>
              <w:spacing w:line="240" w:lineRule="exact"/>
              <w:jc w:val="right"/>
              <w:rPr>
                <w:rFonts w:ascii="宋体" w:eastAsia="宋体" w:hAnsi="宋体" w:cs="宋体" w:hint="eastAsia"/>
                <w:sz w:val="18"/>
                <w:szCs w:val="18"/>
              </w:rPr>
            </w:pPr>
          </w:p>
        </w:tc>
        <w:tc>
          <w:tcPr>
            <w:tcW w:w="1418" w:type="dxa"/>
            <w:shd w:val="clear" w:color="auto" w:fill="FFFFFF" w:themeFill="background1"/>
            <w:vAlign w:val="center"/>
          </w:tcPr>
          <w:p w14:paraId="0133526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1,788,013,739</w:t>
            </w:r>
          </w:p>
        </w:tc>
        <w:tc>
          <w:tcPr>
            <w:tcW w:w="425" w:type="dxa"/>
            <w:shd w:val="clear" w:color="auto" w:fill="FFFFFF" w:themeFill="background1"/>
            <w:vAlign w:val="center"/>
          </w:tcPr>
          <w:p w14:paraId="28EC1819" w14:textId="77777777" w:rsidR="00632E5B" w:rsidRDefault="00632E5B">
            <w:pPr>
              <w:spacing w:line="240" w:lineRule="exact"/>
              <w:jc w:val="right"/>
              <w:rPr>
                <w:rFonts w:ascii="宋体" w:eastAsia="宋体" w:hAnsi="宋体" w:cs="宋体" w:hint="eastAsia"/>
                <w:sz w:val="18"/>
                <w:szCs w:val="18"/>
              </w:rPr>
            </w:pPr>
          </w:p>
        </w:tc>
        <w:tc>
          <w:tcPr>
            <w:tcW w:w="1443" w:type="dxa"/>
            <w:shd w:val="clear" w:color="auto" w:fill="FFFFFF" w:themeFill="background1"/>
            <w:vAlign w:val="center"/>
          </w:tcPr>
          <w:p w14:paraId="04654E2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1,788,013,739</w:t>
            </w:r>
          </w:p>
        </w:tc>
        <w:tc>
          <w:tcPr>
            <w:tcW w:w="1534" w:type="dxa"/>
            <w:shd w:val="clear" w:color="auto" w:fill="FFFFFF" w:themeFill="background1"/>
            <w:vAlign w:val="center"/>
          </w:tcPr>
          <w:p w14:paraId="3D73EFB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1,792,043,608</w:t>
            </w:r>
          </w:p>
        </w:tc>
        <w:tc>
          <w:tcPr>
            <w:tcW w:w="958" w:type="dxa"/>
            <w:shd w:val="clear" w:color="auto" w:fill="FFFFFF" w:themeFill="background1"/>
            <w:vAlign w:val="center"/>
          </w:tcPr>
          <w:p w14:paraId="23BF405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59.58%</w:t>
            </w:r>
          </w:p>
        </w:tc>
      </w:tr>
      <w:tr w:rsidR="00632E5B" w14:paraId="6E98931B" w14:textId="77777777" w:rsidTr="0013487C">
        <w:trPr>
          <w:trHeight w:val="240"/>
          <w:jc w:val="center"/>
        </w:trPr>
        <w:tc>
          <w:tcPr>
            <w:tcW w:w="1131" w:type="dxa"/>
            <w:shd w:val="clear" w:color="auto" w:fill="FFFFFF" w:themeFill="background1"/>
            <w:vAlign w:val="center"/>
          </w:tcPr>
          <w:p w14:paraId="731BD9E7" w14:textId="77777777" w:rsidR="00632E5B" w:rsidRDefault="00107901">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1、国家持股</w:t>
            </w:r>
          </w:p>
        </w:tc>
        <w:tc>
          <w:tcPr>
            <w:tcW w:w="1168" w:type="dxa"/>
            <w:shd w:val="clear" w:color="auto" w:fill="FFFFFF" w:themeFill="background1"/>
            <w:vAlign w:val="center"/>
          </w:tcPr>
          <w:p w14:paraId="0E83723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851" w:type="dxa"/>
            <w:shd w:val="clear" w:color="auto" w:fill="FFFFFF" w:themeFill="background1"/>
            <w:vAlign w:val="center"/>
          </w:tcPr>
          <w:p w14:paraId="63C1BF8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705" w:type="dxa"/>
            <w:shd w:val="clear" w:color="auto" w:fill="FFFFFF" w:themeFill="background1"/>
            <w:vAlign w:val="center"/>
          </w:tcPr>
          <w:p w14:paraId="1ADEBC66" w14:textId="77777777" w:rsidR="00632E5B" w:rsidRDefault="00632E5B">
            <w:pPr>
              <w:spacing w:line="240" w:lineRule="exact"/>
              <w:jc w:val="right"/>
              <w:rPr>
                <w:rFonts w:ascii="宋体" w:eastAsia="宋体" w:hAnsi="宋体" w:cs="宋体" w:hint="eastAsia"/>
                <w:sz w:val="18"/>
                <w:szCs w:val="18"/>
              </w:rPr>
            </w:pPr>
          </w:p>
        </w:tc>
        <w:tc>
          <w:tcPr>
            <w:tcW w:w="570" w:type="dxa"/>
            <w:shd w:val="clear" w:color="auto" w:fill="FFFFFF" w:themeFill="background1"/>
            <w:vAlign w:val="center"/>
          </w:tcPr>
          <w:p w14:paraId="6DEE5AA9" w14:textId="77777777" w:rsidR="00632E5B" w:rsidRDefault="00632E5B">
            <w:pPr>
              <w:spacing w:line="240" w:lineRule="exact"/>
              <w:jc w:val="right"/>
              <w:rPr>
                <w:rFonts w:ascii="宋体" w:eastAsia="宋体" w:hAnsi="宋体" w:cs="宋体" w:hint="eastAsia"/>
                <w:sz w:val="18"/>
                <w:szCs w:val="18"/>
              </w:rPr>
            </w:pPr>
          </w:p>
        </w:tc>
        <w:tc>
          <w:tcPr>
            <w:tcW w:w="1418" w:type="dxa"/>
            <w:shd w:val="clear" w:color="auto" w:fill="FFFFFF" w:themeFill="background1"/>
            <w:vAlign w:val="center"/>
          </w:tcPr>
          <w:p w14:paraId="6C18FBC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85,746,303</w:t>
            </w:r>
          </w:p>
        </w:tc>
        <w:tc>
          <w:tcPr>
            <w:tcW w:w="425" w:type="dxa"/>
            <w:shd w:val="clear" w:color="auto" w:fill="FFFFFF" w:themeFill="background1"/>
            <w:vAlign w:val="center"/>
          </w:tcPr>
          <w:p w14:paraId="15800133" w14:textId="77777777" w:rsidR="00632E5B" w:rsidRDefault="00632E5B">
            <w:pPr>
              <w:spacing w:line="240" w:lineRule="exact"/>
              <w:jc w:val="right"/>
              <w:rPr>
                <w:rFonts w:ascii="宋体" w:eastAsia="宋体" w:hAnsi="宋体" w:cs="宋体" w:hint="eastAsia"/>
                <w:sz w:val="18"/>
                <w:szCs w:val="18"/>
              </w:rPr>
            </w:pPr>
          </w:p>
        </w:tc>
        <w:tc>
          <w:tcPr>
            <w:tcW w:w="1443" w:type="dxa"/>
            <w:shd w:val="clear" w:color="auto" w:fill="FFFFFF" w:themeFill="background1"/>
            <w:vAlign w:val="center"/>
          </w:tcPr>
          <w:p w14:paraId="6ABAB76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85,746,303</w:t>
            </w:r>
          </w:p>
        </w:tc>
        <w:tc>
          <w:tcPr>
            <w:tcW w:w="1534" w:type="dxa"/>
            <w:shd w:val="clear" w:color="auto" w:fill="FFFFFF" w:themeFill="background1"/>
            <w:vAlign w:val="center"/>
          </w:tcPr>
          <w:p w14:paraId="181AB4E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85,746,303</w:t>
            </w:r>
          </w:p>
        </w:tc>
        <w:tc>
          <w:tcPr>
            <w:tcW w:w="958" w:type="dxa"/>
            <w:shd w:val="clear" w:color="auto" w:fill="FFFFFF" w:themeFill="background1"/>
            <w:vAlign w:val="center"/>
          </w:tcPr>
          <w:p w14:paraId="539AA42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2.85%</w:t>
            </w:r>
          </w:p>
        </w:tc>
      </w:tr>
      <w:tr w:rsidR="00632E5B" w14:paraId="19C561E2" w14:textId="77777777" w:rsidTr="0013487C">
        <w:trPr>
          <w:trHeight w:val="240"/>
          <w:jc w:val="center"/>
        </w:trPr>
        <w:tc>
          <w:tcPr>
            <w:tcW w:w="1131" w:type="dxa"/>
            <w:shd w:val="clear" w:color="auto" w:fill="FFFFFF" w:themeFill="background1"/>
            <w:vAlign w:val="center"/>
          </w:tcPr>
          <w:p w14:paraId="6E506752" w14:textId="77777777" w:rsidR="00632E5B" w:rsidRDefault="00107901">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2、国有法人持股</w:t>
            </w:r>
          </w:p>
        </w:tc>
        <w:tc>
          <w:tcPr>
            <w:tcW w:w="1168" w:type="dxa"/>
            <w:shd w:val="clear" w:color="auto" w:fill="FFFFFF" w:themeFill="background1"/>
            <w:vAlign w:val="center"/>
          </w:tcPr>
          <w:p w14:paraId="1D98A00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851" w:type="dxa"/>
            <w:shd w:val="clear" w:color="auto" w:fill="FFFFFF" w:themeFill="background1"/>
            <w:vAlign w:val="center"/>
          </w:tcPr>
          <w:p w14:paraId="033F6A3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705" w:type="dxa"/>
            <w:shd w:val="clear" w:color="auto" w:fill="FFFFFF" w:themeFill="background1"/>
            <w:vAlign w:val="center"/>
          </w:tcPr>
          <w:p w14:paraId="32DB3CCA" w14:textId="77777777" w:rsidR="00632E5B" w:rsidRDefault="00632E5B">
            <w:pPr>
              <w:spacing w:line="240" w:lineRule="exact"/>
              <w:jc w:val="right"/>
              <w:rPr>
                <w:rFonts w:ascii="宋体" w:eastAsia="宋体" w:hAnsi="宋体" w:cs="宋体" w:hint="eastAsia"/>
                <w:sz w:val="18"/>
                <w:szCs w:val="18"/>
              </w:rPr>
            </w:pPr>
          </w:p>
        </w:tc>
        <w:tc>
          <w:tcPr>
            <w:tcW w:w="570" w:type="dxa"/>
            <w:shd w:val="clear" w:color="auto" w:fill="FFFFFF" w:themeFill="background1"/>
            <w:vAlign w:val="center"/>
          </w:tcPr>
          <w:p w14:paraId="1FB7E5AF" w14:textId="77777777" w:rsidR="00632E5B" w:rsidRDefault="00632E5B">
            <w:pPr>
              <w:spacing w:line="240" w:lineRule="exact"/>
              <w:jc w:val="right"/>
              <w:rPr>
                <w:rFonts w:ascii="宋体" w:eastAsia="宋体" w:hAnsi="宋体" w:cs="宋体" w:hint="eastAsia"/>
                <w:sz w:val="18"/>
                <w:szCs w:val="18"/>
              </w:rPr>
            </w:pPr>
          </w:p>
        </w:tc>
        <w:tc>
          <w:tcPr>
            <w:tcW w:w="1418" w:type="dxa"/>
            <w:shd w:val="clear" w:color="auto" w:fill="FFFFFF" w:themeFill="background1"/>
            <w:vAlign w:val="center"/>
          </w:tcPr>
          <w:p w14:paraId="6CF31BF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1,080,204,573</w:t>
            </w:r>
          </w:p>
        </w:tc>
        <w:tc>
          <w:tcPr>
            <w:tcW w:w="425" w:type="dxa"/>
            <w:shd w:val="clear" w:color="auto" w:fill="FFFFFF" w:themeFill="background1"/>
            <w:vAlign w:val="center"/>
          </w:tcPr>
          <w:p w14:paraId="45842E04" w14:textId="77777777" w:rsidR="00632E5B" w:rsidRDefault="00632E5B">
            <w:pPr>
              <w:spacing w:line="240" w:lineRule="exact"/>
              <w:jc w:val="right"/>
              <w:rPr>
                <w:rFonts w:ascii="宋体" w:eastAsia="宋体" w:hAnsi="宋体" w:cs="宋体" w:hint="eastAsia"/>
                <w:sz w:val="18"/>
                <w:szCs w:val="18"/>
              </w:rPr>
            </w:pPr>
          </w:p>
        </w:tc>
        <w:tc>
          <w:tcPr>
            <w:tcW w:w="1443" w:type="dxa"/>
            <w:shd w:val="clear" w:color="auto" w:fill="FFFFFF" w:themeFill="background1"/>
            <w:vAlign w:val="center"/>
          </w:tcPr>
          <w:p w14:paraId="7AE6294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1,080,204,573</w:t>
            </w:r>
          </w:p>
        </w:tc>
        <w:tc>
          <w:tcPr>
            <w:tcW w:w="1534" w:type="dxa"/>
            <w:shd w:val="clear" w:color="auto" w:fill="FFFFFF" w:themeFill="background1"/>
            <w:vAlign w:val="center"/>
          </w:tcPr>
          <w:p w14:paraId="6ACAF3E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1,080,204,573</w:t>
            </w:r>
          </w:p>
        </w:tc>
        <w:tc>
          <w:tcPr>
            <w:tcW w:w="958" w:type="dxa"/>
            <w:shd w:val="clear" w:color="auto" w:fill="FFFFFF" w:themeFill="background1"/>
            <w:vAlign w:val="center"/>
          </w:tcPr>
          <w:p w14:paraId="06FC57E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35.92%</w:t>
            </w:r>
          </w:p>
        </w:tc>
      </w:tr>
      <w:tr w:rsidR="00632E5B" w14:paraId="6C21DE73" w14:textId="77777777" w:rsidTr="0013487C">
        <w:trPr>
          <w:trHeight w:val="240"/>
          <w:jc w:val="center"/>
        </w:trPr>
        <w:tc>
          <w:tcPr>
            <w:tcW w:w="1131" w:type="dxa"/>
            <w:shd w:val="clear" w:color="auto" w:fill="FFFFFF" w:themeFill="background1"/>
            <w:vAlign w:val="center"/>
          </w:tcPr>
          <w:p w14:paraId="4448E595" w14:textId="77777777" w:rsidR="00632E5B" w:rsidRDefault="00107901">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3、其他内资持股</w:t>
            </w:r>
          </w:p>
        </w:tc>
        <w:tc>
          <w:tcPr>
            <w:tcW w:w="1168" w:type="dxa"/>
            <w:shd w:val="clear" w:color="auto" w:fill="FFFFFF" w:themeFill="background1"/>
            <w:vAlign w:val="center"/>
          </w:tcPr>
          <w:p w14:paraId="3B9C4DB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4,029,869</w:t>
            </w:r>
          </w:p>
        </w:tc>
        <w:tc>
          <w:tcPr>
            <w:tcW w:w="851" w:type="dxa"/>
            <w:shd w:val="clear" w:color="auto" w:fill="FFFFFF" w:themeFill="background1"/>
            <w:vAlign w:val="center"/>
          </w:tcPr>
          <w:p w14:paraId="765EFF8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0.46%</w:t>
            </w:r>
          </w:p>
        </w:tc>
        <w:tc>
          <w:tcPr>
            <w:tcW w:w="705" w:type="dxa"/>
            <w:shd w:val="clear" w:color="auto" w:fill="FFFFFF" w:themeFill="background1"/>
            <w:vAlign w:val="center"/>
          </w:tcPr>
          <w:p w14:paraId="357D12BE" w14:textId="77777777" w:rsidR="00632E5B" w:rsidRDefault="00632E5B">
            <w:pPr>
              <w:spacing w:line="240" w:lineRule="exact"/>
              <w:jc w:val="right"/>
              <w:rPr>
                <w:rFonts w:ascii="宋体" w:eastAsia="宋体" w:hAnsi="宋体" w:cs="宋体" w:hint="eastAsia"/>
                <w:sz w:val="18"/>
                <w:szCs w:val="18"/>
              </w:rPr>
            </w:pPr>
          </w:p>
        </w:tc>
        <w:tc>
          <w:tcPr>
            <w:tcW w:w="570" w:type="dxa"/>
            <w:shd w:val="clear" w:color="auto" w:fill="FFFFFF" w:themeFill="background1"/>
            <w:vAlign w:val="center"/>
          </w:tcPr>
          <w:p w14:paraId="1A44C7E3" w14:textId="77777777" w:rsidR="00632E5B" w:rsidRDefault="00632E5B">
            <w:pPr>
              <w:spacing w:line="240" w:lineRule="exact"/>
              <w:jc w:val="right"/>
              <w:rPr>
                <w:rFonts w:ascii="宋体" w:eastAsia="宋体" w:hAnsi="宋体" w:cs="宋体" w:hint="eastAsia"/>
                <w:sz w:val="18"/>
                <w:szCs w:val="18"/>
              </w:rPr>
            </w:pPr>
          </w:p>
        </w:tc>
        <w:tc>
          <w:tcPr>
            <w:tcW w:w="1418" w:type="dxa"/>
            <w:shd w:val="clear" w:color="auto" w:fill="FFFFFF" w:themeFill="background1"/>
            <w:vAlign w:val="center"/>
          </w:tcPr>
          <w:p w14:paraId="5BB5002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475,934,531</w:t>
            </w:r>
          </w:p>
        </w:tc>
        <w:tc>
          <w:tcPr>
            <w:tcW w:w="425" w:type="dxa"/>
            <w:shd w:val="clear" w:color="auto" w:fill="FFFFFF" w:themeFill="background1"/>
            <w:vAlign w:val="center"/>
          </w:tcPr>
          <w:p w14:paraId="49D44E02" w14:textId="77777777" w:rsidR="00632E5B" w:rsidRDefault="00632E5B">
            <w:pPr>
              <w:spacing w:line="240" w:lineRule="exact"/>
              <w:jc w:val="right"/>
              <w:rPr>
                <w:rFonts w:ascii="宋体" w:eastAsia="宋体" w:hAnsi="宋体" w:cs="宋体" w:hint="eastAsia"/>
                <w:sz w:val="18"/>
                <w:szCs w:val="18"/>
              </w:rPr>
            </w:pPr>
          </w:p>
        </w:tc>
        <w:tc>
          <w:tcPr>
            <w:tcW w:w="1443" w:type="dxa"/>
            <w:shd w:val="clear" w:color="auto" w:fill="FFFFFF" w:themeFill="background1"/>
            <w:vAlign w:val="center"/>
          </w:tcPr>
          <w:p w14:paraId="70C17B2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475,934,531</w:t>
            </w:r>
          </w:p>
        </w:tc>
        <w:tc>
          <w:tcPr>
            <w:tcW w:w="1534" w:type="dxa"/>
            <w:shd w:val="clear" w:color="auto" w:fill="FFFFFF" w:themeFill="background1"/>
            <w:vAlign w:val="center"/>
          </w:tcPr>
          <w:p w14:paraId="499DFAC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479,964,400</w:t>
            </w:r>
          </w:p>
        </w:tc>
        <w:tc>
          <w:tcPr>
            <w:tcW w:w="958" w:type="dxa"/>
            <w:shd w:val="clear" w:color="auto" w:fill="FFFFFF" w:themeFill="background1"/>
            <w:vAlign w:val="center"/>
          </w:tcPr>
          <w:p w14:paraId="4CAB8BE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15.96%</w:t>
            </w:r>
          </w:p>
        </w:tc>
      </w:tr>
      <w:tr w:rsidR="00632E5B" w14:paraId="0B2485C8" w14:textId="77777777" w:rsidTr="0013487C">
        <w:trPr>
          <w:trHeight w:val="240"/>
          <w:jc w:val="center"/>
        </w:trPr>
        <w:tc>
          <w:tcPr>
            <w:tcW w:w="1131" w:type="dxa"/>
            <w:shd w:val="clear" w:color="auto" w:fill="FFFFFF" w:themeFill="background1"/>
            <w:vAlign w:val="center"/>
          </w:tcPr>
          <w:p w14:paraId="6A5FC5F4"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其中：境内法人持股</w:t>
            </w:r>
          </w:p>
        </w:tc>
        <w:tc>
          <w:tcPr>
            <w:tcW w:w="1168" w:type="dxa"/>
            <w:shd w:val="clear" w:color="auto" w:fill="FFFFFF" w:themeFill="background1"/>
            <w:vAlign w:val="center"/>
          </w:tcPr>
          <w:p w14:paraId="773A1C4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851" w:type="dxa"/>
            <w:shd w:val="clear" w:color="auto" w:fill="FFFFFF" w:themeFill="background1"/>
            <w:vAlign w:val="center"/>
          </w:tcPr>
          <w:p w14:paraId="0B5C76B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705" w:type="dxa"/>
            <w:shd w:val="clear" w:color="auto" w:fill="FFFFFF" w:themeFill="background1"/>
            <w:vAlign w:val="center"/>
          </w:tcPr>
          <w:p w14:paraId="7542FB8E" w14:textId="77777777" w:rsidR="00632E5B" w:rsidRDefault="00632E5B">
            <w:pPr>
              <w:spacing w:line="240" w:lineRule="exact"/>
              <w:jc w:val="right"/>
              <w:rPr>
                <w:rFonts w:ascii="宋体" w:eastAsia="宋体" w:hAnsi="宋体" w:cs="宋体" w:hint="eastAsia"/>
                <w:sz w:val="18"/>
                <w:szCs w:val="18"/>
              </w:rPr>
            </w:pPr>
          </w:p>
        </w:tc>
        <w:tc>
          <w:tcPr>
            <w:tcW w:w="570" w:type="dxa"/>
            <w:shd w:val="clear" w:color="auto" w:fill="FFFFFF" w:themeFill="background1"/>
            <w:vAlign w:val="center"/>
          </w:tcPr>
          <w:p w14:paraId="25B975D1" w14:textId="77777777" w:rsidR="00632E5B" w:rsidRDefault="00632E5B">
            <w:pPr>
              <w:spacing w:line="240" w:lineRule="exact"/>
              <w:jc w:val="right"/>
              <w:rPr>
                <w:rFonts w:ascii="宋体" w:eastAsia="宋体" w:hAnsi="宋体" w:cs="宋体" w:hint="eastAsia"/>
                <w:sz w:val="18"/>
                <w:szCs w:val="18"/>
              </w:rPr>
            </w:pPr>
          </w:p>
        </w:tc>
        <w:tc>
          <w:tcPr>
            <w:tcW w:w="1418" w:type="dxa"/>
            <w:shd w:val="clear" w:color="auto" w:fill="FFFFFF" w:themeFill="background1"/>
            <w:vAlign w:val="center"/>
          </w:tcPr>
          <w:p w14:paraId="56E996E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94,892,182</w:t>
            </w:r>
          </w:p>
        </w:tc>
        <w:tc>
          <w:tcPr>
            <w:tcW w:w="425" w:type="dxa"/>
            <w:shd w:val="clear" w:color="auto" w:fill="FFFFFF" w:themeFill="background1"/>
            <w:vAlign w:val="center"/>
          </w:tcPr>
          <w:p w14:paraId="5A4E52A3" w14:textId="77777777" w:rsidR="00632E5B" w:rsidRDefault="00632E5B">
            <w:pPr>
              <w:spacing w:line="240" w:lineRule="exact"/>
              <w:jc w:val="right"/>
              <w:rPr>
                <w:rFonts w:ascii="宋体" w:eastAsia="宋体" w:hAnsi="宋体" w:cs="宋体" w:hint="eastAsia"/>
                <w:sz w:val="18"/>
                <w:szCs w:val="18"/>
              </w:rPr>
            </w:pPr>
          </w:p>
        </w:tc>
        <w:tc>
          <w:tcPr>
            <w:tcW w:w="1443" w:type="dxa"/>
            <w:shd w:val="clear" w:color="auto" w:fill="FFFFFF" w:themeFill="background1"/>
            <w:vAlign w:val="center"/>
          </w:tcPr>
          <w:p w14:paraId="09C51EB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94,892,182</w:t>
            </w:r>
          </w:p>
        </w:tc>
        <w:tc>
          <w:tcPr>
            <w:tcW w:w="1534" w:type="dxa"/>
            <w:shd w:val="clear" w:color="auto" w:fill="FFFFFF" w:themeFill="background1"/>
            <w:vAlign w:val="center"/>
          </w:tcPr>
          <w:p w14:paraId="6A37403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94,892,182</w:t>
            </w:r>
          </w:p>
        </w:tc>
        <w:tc>
          <w:tcPr>
            <w:tcW w:w="958" w:type="dxa"/>
            <w:shd w:val="clear" w:color="auto" w:fill="FFFFFF" w:themeFill="background1"/>
            <w:vAlign w:val="center"/>
          </w:tcPr>
          <w:p w14:paraId="64A78EF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3.16%</w:t>
            </w:r>
          </w:p>
        </w:tc>
      </w:tr>
      <w:tr w:rsidR="00632E5B" w14:paraId="137C017C" w14:textId="77777777" w:rsidTr="0013487C">
        <w:trPr>
          <w:trHeight w:val="240"/>
          <w:jc w:val="center"/>
        </w:trPr>
        <w:tc>
          <w:tcPr>
            <w:tcW w:w="1131" w:type="dxa"/>
            <w:shd w:val="clear" w:color="auto" w:fill="FFFFFF" w:themeFill="background1"/>
            <w:vAlign w:val="center"/>
          </w:tcPr>
          <w:p w14:paraId="132CFA4A"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境内自然人持股</w:t>
            </w:r>
          </w:p>
        </w:tc>
        <w:tc>
          <w:tcPr>
            <w:tcW w:w="1168" w:type="dxa"/>
            <w:shd w:val="clear" w:color="auto" w:fill="FFFFFF" w:themeFill="background1"/>
            <w:vAlign w:val="center"/>
          </w:tcPr>
          <w:p w14:paraId="3F8A97F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4,029,869</w:t>
            </w:r>
          </w:p>
        </w:tc>
        <w:tc>
          <w:tcPr>
            <w:tcW w:w="851" w:type="dxa"/>
            <w:shd w:val="clear" w:color="auto" w:fill="FFFFFF" w:themeFill="background1"/>
            <w:vAlign w:val="center"/>
          </w:tcPr>
          <w:p w14:paraId="42F3AEB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0.46%</w:t>
            </w:r>
          </w:p>
        </w:tc>
        <w:tc>
          <w:tcPr>
            <w:tcW w:w="705" w:type="dxa"/>
            <w:shd w:val="clear" w:color="auto" w:fill="FFFFFF" w:themeFill="background1"/>
            <w:vAlign w:val="center"/>
          </w:tcPr>
          <w:p w14:paraId="1982D590" w14:textId="77777777" w:rsidR="00632E5B" w:rsidRDefault="00632E5B">
            <w:pPr>
              <w:spacing w:line="240" w:lineRule="exact"/>
              <w:jc w:val="right"/>
              <w:rPr>
                <w:rFonts w:ascii="宋体" w:eastAsia="宋体" w:hAnsi="宋体" w:cs="宋体" w:hint="eastAsia"/>
                <w:sz w:val="18"/>
                <w:szCs w:val="18"/>
              </w:rPr>
            </w:pPr>
          </w:p>
        </w:tc>
        <w:tc>
          <w:tcPr>
            <w:tcW w:w="570" w:type="dxa"/>
            <w:shd w:val="clear" w:color="auto" w:fill="FFFFFF" w:themeFill="background1"/>
            <w:vAlign w:val="center"/>
          </w:tcPr>
          <w:p w14:paraId="4B47AD6F" w14:textId="77777777" w:rsidR="00632E5B" w:rsidRDefault="00632E5B">
            <w:pPr>
              <w:spacing w:line="240" w:lineRule="exact"/>
              <w:jc w:val="right"/>
              <w:rPr>
                <w:rFonts w:ascii="宋体" w:eastAsia="宋体" w:hAnsi="宋体" w:cs="宋体" w:hint="eastAsia"/>
                <w:sz w:val="18"/>
                <w:szCs w:val="18"/>
              </w:rPr>
            </w:pPr>
          </w:p>
        </w:tc>
        <w:tc>
          <w:tcPr>
            <w:tcW w:w="1418" w:type="dxa"/>
            <w:shd w:val="clear" w:color="auto" w:fill="FFFFFF" w:themeFill="background1"/>
            <w:vAlign w:val="center"/>
          </w:tcPr>
          <w:p w14:paraId="17D5570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381,042,349</w:t>
            </w:r>
          </w:p>
        </w:tc>
        <w:tc>
          <w:tcPr>
            <w:tcW w:w="425" w:type="dxa"/>
            <w:shd w:val="clear" w:color="auto" w:fill="FFFFFF" w:themeFill="background1"/>
            <w:vAlign w:val="center"/>
          </w:tcPr>
          <w:p w14:paraId="6E78DAB2" w14:textId="77777777" w:rsidR="00632E5B" w:rsidRDefault="00632E5B">
            <w:pPr>
              <w:spacing w:line="240" w:lineRule="exact"/>
              <w:jc w:val="right"/>
              <w:rPr>
                <w:rFonts w:ascii="宋体" w:eastAsia="宋体" w:hAnsi="宋体" w:cs="宋体" w:hint="eastAsia"/>
                <w:sz w:val="18"/>
                <w:szCs w:val="18"/>
              </w:rPr>
            </w:pPr>
          </w:p>
        </w:tc>
        <w:tc>
          <w:tcPr>
            <w:tcW w:w="1443" w:type="dxa"/>
            <w:shd w:val="clear" w:color="auto" w:fill="FFFFFF" w:themeFill="background1"/>
            <w:vAlign w:val="center"/>
          </w:tcPr>
          <w:p w14:paraId="2D6AC41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381,042,349</w:t>
            </w:r>
          </w:p>
        </w:tc>
        <w:tc>
          <w:tcPr>
            <w:tcW w:w="1534" w:type="dxa"/>
            <w:shd w:val="clear" w:color="auto" w:fill="FFFFFF" w:themeFill="background1"/>
            <w:vAlign w:val="center"/>
          </w:tcPr>
          <w:p w14:paraId="73F28AA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385,072,218</w:t>
            </w:r>
          </w:p>
        </w:tc>
        <w:tc>
          <w:tcPr>
            <w:tcW w:w="958" w:type="dxa"/>
            <w:shd w:val="clear" w:color="auto" w:fill="FFFFFF" w:themeFill="background1"/>
            <w:vAlign w:val="center"/>
          </w:tcPr>
          <w:p w14:paraId="3ABD83F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12.80%</w:t>
            </w:r>
          </w:p>
        </w:tc>
      </w:tr>
      <w:tr w:rsidR="00632E5B" w14:paraId="4DF17B21" w14:textId="77777777" w:rsidTr="0013487C">
        <w:trPr>
          <w:trHeight w:val="240"/>
          <w:jc w:val="center"/>
        </w:trPr>
        <w:tc>
          <w:tcPr>
            <w:tcW w:w="1131" w:type="dxa"/>
            <w:shd w:val="clear" w:color="auto" w:fill="FFFFFF" w:themeFill="background1"/>
            <w:vAlign w:val="center"/>
          </w:tcPr>
          <w:p w14:paraId="17519D5C" w14:textId="77777777" w:rsidR="00632E5B" w:rsidRDefault="00107901">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4、外资持股</w:t>
            </w:r>
          </w:p>
        </w:tc>
        <w:tc>
          <w:tcPr>
            <w:tcW w:w="1168" w:type="dxa"/>
            <w:shd w:val="clear" w:color="auto" w:fill="FFFFFF" w:themeFill="background1"/>
            <w:vAlign w:val="center"/>
          </w:tcPr>
          <w:p w14:paraId="310E857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851" w:type="dxa"/>
            <w:shd w:val="clear" w:color="auto" w:fill="FFFFFF" w:themeFill="background1"/>
            <w:vAlign w:val="center"/>
          </w:tcPr>
          <w:p w14:paraId="15225B0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705" w:type="dxa"/>
            <w:shd w:val="clear" w:color="auto" w:fill="FFFFFF" w:themeFill="background1"/>
            <w:vAlign w:val="center"/>
          </w:tcPr>
          <w:p w14:paraId="620A011D" w14:textId="77777777" w:rsidR="00632E5B" w:rsidRDefault="00632E5B">
            <w:pPr>
              <w:spacing w:line="240" w:lineRule="exact"/>
              <w:jc w:val="right"/>
              <w:rPr>
                <w:rFonts w:ascii="宋体" w:eastAsia="宋体" w:hAnsi="宋体" w:cs="宋体" w:hint="eastAsia"/>
                <w:sz w:val="18"/>
                <w:szCs w:val="18"/>
              </w:rPr>
            </w:pPr>
          </w:p>
        </w:tc>
        <w:tc>
          <w:tcPr>
            <w:tcW w:w="570" w:type="dxa"/>
            <w:shd w:val="clear" w:color="auto" w:fill="FFFFFF" w:themeFill="background1"/>
            <w:vAlign w:val="center"/>
          </w:tcPr>
          <w:p w14:paraId="34D9A7E0" w14:textId="77777777" w:rsidR="00632E5B" w:rsidRDefault="00632E5B">
            <w:pPr>
              <w:spacing w:line="240" w:lineRule="exact"/>
              <w:jc w:val="right"/>
              <w:rPr>
                <w:rFonts w:ascii="宋体" w:eastAsia="宋体" w:hAnsi="宋体" w:cs="宋体" w:hint="eastAsia"/>
                <w:sz w:val="18"/>
                <w:szCs w:val="18"/>
              </w:rPr>
            </w:pPr>
          </w:p>
        </w:tc>
        <w:tc>
          <w:tcPr>
            <w:tcW w:w="1418" w:type="dxa"/>
            <w:shd w:val="clear" w:color="auto" w:fill="FFFFFF" w:themeFill="background1"/>
            <w:vAlign w:val="center"/>
          </w:tcPr>
          <w:p w14:paraId="1D0A1D4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146,128,332</w:t>
            </w:r>
          </w:p>
        </w:tc>
        <w:tc>
          <w:tcPr>
            <w:tcW w:w="425" w:type="dxa"/>
            <w:shd w:val="clear" w:color="auto" w:fill="FFFFFF" w:themeFill="background1"/>
            <w:vAlign w:val="center"/>
          </w:tcPr>
          <w:p w14:paraId="2811417F" w14:textId="77777777" w:rsidR="00632E5B" w:rsidRDefault="00632E5B">
            <w:pPr>
              <w:spacing w:line="240" w:lineRule="exact"/>
              <w:jc w:val="right"/>
              <w:rPr>
                <w:rFonts w:ascii="宋体" w:eastAsia="宋体" w:hAnsi="宋体" w:cs="宋体" w:hint="eastAsia"/>
                <w:sz w:val="18"/>
                <w:szCs w:val="18"/>
              </w:rPr>
            </w:pPr>
          </w:p>
        </w:tc>
        <w:tc>
          <w:tcPr>
            <w:tcW w:w="1443" w:type="dxa"/>
            <w:shd w:val="clear" w:color="auto" w:fill="FFFFFF" w:themeFill="background1"/>
            <w:vAlign w:val="center"/>
          </w:tcPr>
          <w:p w14:paraId="390A7AC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146,128,332</w:t>
            </w:r>
          </w:p>
        </w:tc>
        <w:tc>
          <w:tcPr>
            <w:tcW w:w="1534" w:type="dxa"/>
            <w:shd w:val="clear" w:color="auto" w:fill="FFFFFF" w:themeFill="background1"/>
            <w:vAlign w:val="center"/>
          </w:tcPr>
          <w:p w14:paraId="621515B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146,128,332</w:t>
            </w:r>
          </w:p>
        </w:tc>
        <w:tc>
          <w:tcPr>
            <w:tcW w:w="958" w:type="dxa"/>
            <w:shd w:val="clear" w:color="auto" w:fill="FFFFFF" w:themeFill="background1"/>
            <w:vAlign w:val="center"/>
          </w:tcPr>
          <w:p w14:paraId="5DEFA74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4.86%</w:t>
            </w:r>
          </w:p>
        </w:tc>
      </w:tr>
      <w:tr w:rsidR="00632E5B" w14:paraId="48607306" w14:textId="77777777" w:rsidTr="0013487C">
        <w:trPr>
          <w:trHeight w:val="240"/>
          <w:jc w:val="center"/>
        </w:trPr>
        <w:tc>
          <w:tcPr>
            <w:tcW w:w="1131" w:type="dxa"/>
            <w:shd w:val="clear" w:color="auto" w:fill="FFFFFF" w:themeFill="background1"/>
            <w:vAlign w:val="center"/>
          </w:tcPr>
          <w:p w14:paraId="440D7223"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其中：境外法人持股</w:t>
            </w:r>
          </w:p>
        </w:tc>
        <w:tc>
          <w:tcPr>
            <w:tcW w:w="1168" w:type="dxa"/>
            <w:shd w:val="clear" w:color="auto" w:fill="FFFFFF" w:themeFill="background1"/>
            <w:vAlign w:val="center"/>
          </w:tcPr>
          <w:p w14:paraId="52E077B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851" w:type="dxa"/>
            <w:shd w:val="clear" w:color="auto" w:fill="FFFFFF" w:themeFill="background1"/>
            <w:vAlign w:val="center"/>
          </w:tcPr>
          <w:p w14:paraId="085C860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705" w:type="dxa"/>
            <w:shd w:val="clear" w:color="auto" w:fill="FFFFFF" w:themeFill="background1"/>
            <w:vAlign w:val="center"/>
          </w:tcPr>
          <w:p w14:paraId="608DEA38" w14:textId="77777777" w:rsidR="00632E5B" w:rsidRDefault="00632E5B">
            <w:pPr>
              <w:spacing w:line="240" w:lineRule="exact"/>
              <w:jc w:val="right"/>
              <w:rPr>
                <w:rFonts w:ascii="宋体" w:eastAsia="宋体" w:hAnsi="宋体" w:cs="宋体" w:hint="eastAsia"/>
                <w:sz w:val="18"/>
                <w:szCs w:val="18"/>
              </w:rPr>
            </w:pPr>
          </w:p>
        </w:tc>
        <w:tc>
          <w:tcPr>
            <w:tcW w:w="570" w:type="dxa"/>
            <w:shd w:val="clear" w:color="auto" w:fill="FFFFFF" w:themeFill="background1"/>
            <w:vAlign w:val="center"/>
          </w:tcPr>
          <w:p w14:paraId="3F5F4AF9" w14:textId="77777777" w:rsidR="00632E5B" w:rsidRDefault="00632E5B">
            <w:pPr>
              <w:spacing w:line="240" w:lineRule="exact"/>
              <w:jc w:val="right"/>
              <w:rPr>
                <w:rFonts w:ascii="宋体" w:eastAsia="宋体" w:hAnsi="宋体" w:cs="宋体" w:hint="eastAsia"/>
                <w:sz w:val="18"/>
                <w:szCs w:val="18"/>
              </w:rPr>
            </w:pPr>
          </w:p>
        </w:tc>
        <w:tc>
          <w:tcPr>
            <w:tcW w:w="1418" w:type="dxa"/>
            <w:shd w:val="clear" w:color="auto" w:fill="FFFFFF" w:themeFill="background1"/>
            <w:vAlign w:val="center"/>
          </w:tcPr>
          <w:p w14:paraId="45CC0A2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146,128,332</w:t>
            </w:r>
          </w:p>
        </w:tc>
        <w:tc>
          <w:tcPr>
            <w:tcW w:w="425" w:type="dxa"/>
            <w:shd w:val="clear" w:color="auto" w:fill="FFFFFF" w:themeFill="background1"/>
            <w:vAlign w:val="center"/>
          </w:tcPr>
          <w:p w14:paraId="3FAD3508" w14:textId="77777777" w:rsidR="00632E5B" w:rsidRDefault="00632E5B">
            <w:pPr>
              <w:spacing w:line="240" w:lineRule="exact"/>
              <w:jc w:val="right"/>
              <w:rPr>
                <w:rFonts w:ascii="宋体" w:eastAsia="宋体" w:hAnsi="宋体" w:cs="宋体" w:hint="eastAsia"/>
                <w:sz w:val="18"/>
                <w:szCs w:val="18"/>
              </w:rPr>
            </w:pPr>
          </w:p>
        </w:tc>
        <w:tc>
          <w:tcPr>
            <w:tcW w:w="1443" w:type="dxa"/>
            <w:shd w:val="clear" w:color="auto" w:fill="FFFFFF" w:themeFill="background1"/>
            <w:vAlign w:val="center"/>
          </w:tcPr>
          <w:p w14:paraId="72D851B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146,128,332</w:t>
            </w:r>
          </w:p>
        </w:tc>
        <w:tc>
          <w:tcPr>
            <w:tcW w:w="1534" w:type="dxa"/>
            <w:shd w:val="clear" w:color="auto" w:fill="FFFFFF" w:themeFill="background1"/>
            <w:vAlign w:val="center"/>
          </w:tcPr>
          <w:p w14:paraId="6FC3C33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146,128,332</w:t>
            </w:r>
          </w:p>
        </w:tc>
        <w:tc>
          <w:tcPr>
            <w:tcW w:w="958" w:type="dxa"/>
            <w:shd w:val="clear" w:color="auto" w:fill="FFFFFF" w:themeFill="background1"/>
            <w:vAlign w:val="center"/>
          </w:tcPr>
          <w:p w14:paraId="4424871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4.86%</w:t>
            </w:r>
          </w:p>
        </w:tc>
      </w:tr>
      <w:tr w:rsidR="00632E5B" w14:paraId="2CD4AB6F" w14:textId="77777777" w:rsidTr="0013487C">
        <w:trPr>
          <w:trHeight w:val="240"/>
          <w:jc w:val="center"/>
        </w:trPr>
        <w:tc>
          <w:tcPr>
            <w:tcW w:w="1131" w:type="dxa"/>
            <w:shd w:val="clear" w:color="auto" w:fill="FFFFFF" w:themeFill="background1"/>
            <w:vAlign w:val="center"/>
          </w:tcPr>
          <w:p w14:paraId="372980F3"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境外自然人持股</w:t>
            </w:r>
          </w:p>
        </w:tc>
        <w:tc>
          <w:tcPr>
            <w:tcW w:w="1168" w:type="dxa"/>
            <w:shd w:val="clear" w:color="auto" w:fill="FFFFFF" w:themeFill="background1"/>
            <w:vAlign w:val="center"/>
          </w:tcPr>
          <w:p w14:paraId="4E44C6F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851" w:type="dxa"/>
            <w:shd w:val="clear" w:color="auto" w:fill="FFFFFF" w:themeFill="background1"/>
            <w:vAlign w:val="center"/>
          </w:tcPr>
          <w:p w14:paraId="3F91BFA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705" w:type="dxa"/>
            <w:shd w:val="clear" w:color="auto" w:fill="FFFFFF" w:themeFill="background1"/>
            <w:vAlign w:val="center"/>
          </w:tcPr>
          <w:p w14:paraId="55726646" w14:textId="77777777" w:rsidR="00632E5B" w:rsidRDefault="00632E5B">
            <w:pPr>
              <w:spacing w:line="240" w:lineRule="exact"/>
              <w:jc w:val="right"/>
              <w:rPr>
                <w:rFonts w:ascii="宋体" w:eastAsia="宋体" w:hAnsi="宋体" w:cs="宋体" w:hint="eastAsia"/>
                <w:sz w:val="18"/>
                <w:szCs w:val="18"/>
              </w:rPr>
            </w:pPr>
          </w:p>
        </w:tc>
        <w:tc>
          <w:tcPr>
            <w:tcW w:w="570" w:type="dxa"/>
            <w:shd w:val="clear" w:color="auto" w:fill="FFFFFF" w:themeFill="background1"/>
            <w:vAlign w:val="center"/>
          </w:tcPr>
          <w:p w14:paraId="20CA67E5" w14:textId="77777777" w:rsidR="00632E5B" w:rsidRDefault="00632E5B">
            <w:pPr>
              <w:spacing w:line="240" w:lineRule="exact"/>
              <w:jc w:val="right"/>
              <w:rPr>
                <w:rFonts w:ascii="宋体" w:eastAsia="宋体" w:hAnsi="宋体" w:cs="宋体" w:hint="eastAsia"/>
                <w:sz w:val="18"/>
                <w:szCs w:val="18"/>
              </w:rPr>
            </w:pPr>
          </w:p>
        </w:tc>
        <w:tc>
          <w:tcPr>
            <w:tcW w:w="1418" w:type="dxa"/>
            <w:shd w:val="clear" w:color="auto" w:fill="FFFFFF" w:themeFill="background1"/>
            <w:vAlign w:val="center"/>
          </w:tcPr>
          <w:p w14:paraId="1000753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425" w:type="dxa"/>
            <w:shd w:val="clear" w:color="auto" w:fill="FFFFFF" w:themeFill="background1"/>
            <w:vAlign w:val="center"/>
          </w:tcPr>
          <w:p w14:paraId="7C9D7B38" w14:textId="77777777" w:rsidR="00632E5B" w:rsidRDefault="00632E5B">
            <w:pPr>
              <w:spacing w:line="240" w:lineRule="exact"/>
              <w:jc w:val="right"/>
              <w:rPr>
                <w:rFonts w:ascii="宋体" w:eastAsia="宋体" w:hAnsi="宋体" w:cs="宋体" w:hint="eastAsia"/>
                <w:sz w:val="18"/>
                <w:szCs w:val="18"/>
              </w:rPr>
            </w:pPr>
          </w:p>
        </w:tc>
        <w:tc>
          <w:tcPr>
            <w:tcW w:w="1443" w:type="dxa"/>
            <w:shd w:val="clear" w:color="auto" w:fill="FFFFFF" w:themeFill="background1"/>
            <w:vAlign w:val="center"/>
          </w:tcPr>
          <w:p w14:paraId="408D150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534" w:type="dxa"/>
            <w:shd w:val="clear" w:color="auto" w:fill="FFFFFF" w:themeFill="background1"/>
            <w:vAlign w:val="center"/>
          </w:tcPr>
          <w:p w14:paraId="7F6D310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58" w:type="dxa"/>
            <w:shd w:val="clear" w:color="auto" w:fill="FFFFFF" w:themeFill="background1"/>
            <w:vAlign w:val="center"/>
          </w:tcPr>
          <w:p w14:paraId="1AFE677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r>
      <w:tr w:rsidR="00632E5B" w14:paraId="7354DEBD" w14:textId="77777777" w:rsidTr="0013487C">
        <w:trPr>
          <w:trHeight w:val="240"/>
          <w:jc w:val="center"/>
        </w:trPr>
        <w:tc>
          <w:tcPr>
            <w:tcW w:w="1131" w:type="dxa"/>
            <w:shd w:val="clear" w:color="auto" w:fill="FFFFFF" w:themeFill="background1"/>
            <w:vAlign w:val="center"/>
          </w:tcPr>
          <w:p w14:paraId="75C17B51"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二、无限售条件股份</w:t>
            </w:r>
          </w:p>
        </w:tc>
        <w:tc>
          <w:tcPr>
            <w:tcW w:w="1168" w:type="dxa"/>
            <w:shd w:val="clear" w:color="auto" w:fill="FFFFFF" w:themeFill="background1"/>
            <w:vAlign w:val="center"/>
          </w:tcPr>
          <w:p w14:paraId="1AA4C2E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867,757,199</w:t>
            </w:r>
          </w:p>
        </w:tc>
        <w:tc>
          <w:tcPr>
            <w:tcW w:w="851" w:type="dxa"/>
            <w:shd w:val="clear" w:color="auto" w:fill="FFFFFF" w:themeFill="background1"/>
            <w:vAlign w:val="center"/>
          </w:tcPr>
          <w:p w14:paraId="3DD5976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99.54%</w:t>
            </w:r>
          </w:p>
        </w:tc>
        <w:tc>
          <w:tcPr>
            <w:tcW w:w="705" w:type="dxa"/>
            <w:shd w:val="clear" w:color="auto" w:fill="FFFFFF" w:themeFill="background1"/>
            <w:vAlign w:val="center"/>
          </w:tcPr>
          <w:p w14:paraId="461DCD1E" w14:textId="77777777" w:rsidR="00632E5B" w:rsidRDefault="00632E5B">
            <w:pPr>
              <w:spacing w:line="240" w:lineRule="exact"/>
              <w:jc w:val="right"/>
              <w:rPr>
                <w:rFonts w:ascii="宋体" w:eastAsia="宋体" w:hAnsi="宋体" w:cs="宋体" w:hint="eastAsia"/>
                <w:sz w:val="18"/>
                <w:szCs w:val="18"/>
              </w:rPr>
            </w:pPr>
          </w:p>
        </w:tc>
        <w:tc>
          <w:tcPr>
            <w:tcW w:w="570" w:type="dxa"/>
            <w:shd w:val="clear" w:color="auto" w:fill="FFFFFF" w:themeFill="background1"/>
            <w:vAlign w:val="center"/>
          </w:tcPr>
          <w:p w14:paraId="0052C00F" w14:textId="77777777" w:rsidR="00632E5B" w:rsidRDefault="00632E5B">
            <w:pPr>
              <w:spacing w:line="240" w:lineRule="exact"/>
              <w:jc w:val="right"/>
              <w:rPr>
                <w:rFonts w:ascii="宋体" w:eastAsia="宋体" w:hAnsi="宋体" w:cs="宋体" w:hint="eastAsia"/>
                <w:sz w:val="18"/>
                <w:szCs w:val="18"/>
              </w:rPr>
            </w:pPr>
          </w:p>
        </w:tc>
        <w:tc>
          <w:tcPr>
            <w:tcW w:w="1418" w:type="dxa"/>
            <w:shd w:val="clear" w:color="auto" w:fill="FFFFFF" w:themeFill="background1"/>
            <w:vAlign w:val="center"/>
          </w:tcPr>
          <w:p w14:paraId="019EAFD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347,864,578</w:t>
            </w:r>
          </w:p>
        </w:tc>
        <w:tc>
          <w:tcPr>
            <w:tcW w:w="425" w:type="dxa"/>
            <w:shd w:val="clear" w:color="auto" w:fill="FFFFFF" w:themeFill="background1"/>
            <w:vAlign w:val="center"/>
          </w:tcPr>
          <w:p w14:paraId="3FCD2513" w14:textId="77777777" w:rsidR="00632E5B" w:rsidRDefault="00632E5B">
            <w:pPr>
              <w:spacing w:line="240" w:lineRule="exact"/>
              <w:jc w:val="right"/>
              <w:rPr>
                <w:rFonts w:ascii="宋体" w:eastAsia="宋体" w:hAnsi="宋体" w:cs="宋体" w:hint="eastAsia"/>
                <w:sz w:val="18"/>
                <w:szCs w:val="18"/>
              </w:rPr>
            </w:pPr>
          </w:p>
        </w:tc>
        <w:tc>
          <w:tcPr>
            <w:tcW w:w="1443" w:type="dxa"/>
            <w:shd w:val="clear" w:color="auto" w:fill="FFFFFF" w:themeFill="background1"/>
            <w:vAlign w:val="center"/>
          </w:tcPr>
          <w:p w14:paraId="3C141AD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347,864,578</w:t>
            </w:r>
          </w:p>
        </w:tc>
        <w:tc>
          <w:tcPr>
            <w:tcW w:w="1534" w:type="dxa"/>
            <w:shd w:val="clear" w:color="auto" w:fill="FFFFFF" w:themeFill="background1"/>
            <w:vAlign w:val="center"/>
          </w:tcPr>
          <w:p w14:paraId="6A55729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1,215,621,777</w:t>
            </w:r>
          </w:p>
        </w:tc>
        <w:tc>
          <w:tcPr>
            <w:tcW w:w="958" w:type="dxa"/>
            <w:shd w:val="clear" w:color="auto" w:fill="FFFFFF" w:themeFill="background1"/>
            <w:vAlign w:val="center"/>
          </w:tcPr>
          <w:p w14:paraId="6B1A845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40.42%</w:t>
            </w:r>
          </w:p>
        </w:tc>
      </w:tr>
      <w:tr w:rsidR="00632E5B" w14:paraId="6A6FFE8E" w14:textId="77777777" w:rsidTr="0013487C">
        <w:trPr>
          <w:trHeight w:val="240"/>
          <w:jc w:val="center"/>
        </w:trPr>
        <w:tc>
          <w:tcPr>
            <w:tcW w:w="1131" w:type="dxa"/>
            <w:shd w:val="clear" w:color="auto" w:fill="FFFFFF" w:themeFill="background1"/>
            <w:vAlign w:val="center"/>
          </w:tcPr>
          <w:p w14:paraId="19F1FBB6" w14:textId="77777777" w:rsidR="00632E5B" w:rsidRDefault="00107901">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1、人民币普通股</w:t>
            </w:r>
          </w:p>
        </w:tc>
        <w:tc>
          <w:tcPr>
            <w:tcW w:w="1168" w:type="dxa"/>
            <w:shd w:val="clear" w:color="auto" w:fill="FFFFFF" w:themeFill="background1"/>
            <w:vAlign w:val="center"/>
          </w:tcPr>
          <w:p w14:paraId="7352431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867,757,199</w:t>
            </w:r>
          </w:p>
        </w:tc>
        <w:tc>
          <w:tcPr>
            <w:tcW w:w="851" w:type="dxa"/>
            <w:shd w:val="clear" w:color="auto" w:fill="FFFFFF" w:themeFill="background1"/>
            <w:vAlign w:val="center"/>
          </w:tcPr>
          <w:p w14:paraId="35E5B31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99.54%</w:t>
            </w:r>
          </w:p>
        </w:tc>
        <w:tc>
          <w:tcPr>
            <w:tcW w:w="705" w:type="dxa"/>
            <w:shd w:val="clear" w:color="auto" w:fill="FFFFFF" w:themeFill="background1"/>
            <w:vAlign w:val="center"/>
          </w:tcPr>
          <w:p w14:paraId="48151183" w14:textId="77777777" w:rsidR="00632E5B" w:rsidRDefault="00632E5B">
            <w:pPr>
              <w:spacing w:line="240" w:lineRule="exact"/>
              <w:jc w:val="right"/>
              <w:rPr>
                <w:rFonts w:ascii="宋体" w:eastAsia="宋体" w:hAnsi="宋体" w:cs="宋体" w:hint="eastAsia"/>
                <w:sz w:val="18"/>
                <w:szCs w:val="18"/>
              </w:rPr>
            </w:pPr>
          </w:p>
        </w:tc>
        <w:tc>
          <w:tcPr>
            <w:tcW w:w="570" w:type="dxa"/>
            <w:shd w:val="clear" w:color="auto" w:fill="FFFFFF" w:themeFill="background1"/>
            <w:vAlign w:val="center"/>
          </w:tcPr>
          <w:p w14:paraId="6B4DAE59" w14:textId="77777777" w:rsidR="00632E5B" w:rsidRDefault="00632E5B">
            <w:pPr>
              <w:spacing w:line="240" w:lineRule="exact"/>
              <w:jc w:val="right"/>
              <w:rPr>
                <w:rFonts w:ascii="宋体" w:eastAsia="宋体" w:hAnsi="宋体" w:cs="宋体" w:hint="eastAsia"/>
                <w:sz w:val="18"/>
                <w:szCs w:val="18"/>
              </w:rPr>
            </w:pPr>
          </w:p>
        </w:tc>
        <w:tc>
          <w:tcPr>
            <w:tcW w:w="1418" w:type="dxa"/>
            <w:shd w:val="clear" w:color="auto" w:fill="FFFFFF" w:themeFill="background1"/>
            <w:vAlign w:val="center"/>
          </w:tcPr>
          <w:p w14:paraId="1E266B6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347,864,578</w:t>
            </w:r>
          </w:p>
        </w:tc>
        <w:tc>
          <w:tcPr>
            <w:tcW w:w="425" w:type="dxa"/>
            <w:shd w:val="clear" w:color="auto" w:fill="FFFFFF" w:themeFill="background1"/>
            <w:vAlign w:val="center"/>
          </w:tcPr>
          <w:p w14:paraId="42F3AEAE" w14:textId="77777777" w:rsidR="00632E5B" w:rsidRDefault="00632E5B">
            <w:pPr>
              <w:spacing w:line="240" w:lineRule="exact"/>
              <w:jc w:val="right"/>
              <w:rPr>
                <w:rFonts w:ascii="宋体" w:eastAsia="宋体" w:hAnsi="宋体" w:cs="宋体" w:hint="eastAsia"/>
                <w:sz w:val="18"/>
                <w:szCs w:val="18"/>
              </w:rPr>
            </w:pPr>
          </w:p>
        </w:tc>
        <w:tc>
          <w:tcPr>
            <w:tcW w:w="1443" w:type="dxa"/>
            <w:shd w:val="clear" w:color="auto" w:fill="FFFFFF" w:themeFill="background1"/>
            <w:vAlign w:val="center"/>
          </w:tcPr>
          <w:p w14:paraId="198115A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347,864,578</w:t>
            </w:r>
          </w:p>
        </w:tc>
        <w:tc>
          <w:tcPr>
            <w:tcW w:w="1534" w:type="dxa"/>
            <w:shd w:val="clear" w:color="auto" w:fill="FFFFFF" w:themeFill="background1"/>
            <w:vAlign w:val="center"/>
          </w:tcPr>
          <w:p w14:paraId="0827F28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1,215,621,777</w:t>
            </w:r>
          </w:p>
        </w:tc>
        <w:tc>
          <w:tcPr>
            <w:tcW w:w="958" w:type="dxa"/>
            <w:shd w:val="clear" w:color="auto" w:fill="FFFFFF" w:themeFill="background1"/>
            <w:vAlign w:val="center"/>
          </w:tcPr>
          <w:p w14:paraId="7F90A0A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40.42%</w:t>
            </w:r>
          </w:p>
        </w:tc>
      </w:tr>
      <w:tr w:rsidR="00632E5B" w14:paraId="592945E1" w14:textId="77777777" w:rsidTr="0013487C">
        <w:trPr>
          <w:trHeight w:val="240"/>
          <w:jc w:val="center"/>
        </w:trPr>
        <w:tc>
          <w:tcPr>
            <w:tcW w:w="1131" w:type="dxa"/>
            <w:shd w:val="clear" w:color="auto" w:fill="FFFFFF" w:themeFill="background1"/>
            <w:vAlign w:val="center"/>
          </w:tcPr>
          <w:p w14:paraId="65859055" w14:textId="77777777" w:rsidR="00632E5B" w:rsidRDefault="00107901">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2、境内上市的外资股</w:t>
            </w:r>
          </w:p>
        </w:tc>
        <w:tc>
          <w:tcPr>
            <w:tcW w:w="1168" w:type="dxa"/>
            <w:shd w:val="clear" w:color="auto" w:fill="FFFFFF" w:themeFill="background1"/>
            <w:vAlign w:val="center"/>
          </w:tcPr>
          <w:p w14:paraId="4FFF0BA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851" w:type="dxa"/>
            <w:shd w:val="clear" w:color="auto" w:fill="FFFFFF" w:themeFill="background1"/>
            <w:vAlign w:val="center"/>
          </w:tcPr>
          <w:p w14:paraId="066F12C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705" w:type="dxa"/>
            <w:shd w:val="clear" w:color="auto" w:fill="FFFFFF" w:themeFill="background1"/>
            <w:vAlign w:val="center"/>
          </w:tcPr>
          <w:p w14:paraId="6E2F7770" w14:textId="77777777" w:rsidR="00632E5B" w:rsidRDefault="00632E5B">
            <w:pPr>
              <w:spacing w:line="240" w:lineRule="exact"/>
              <w:jc w:val="right"/>
              <w:rPr>
                <w:rFonts w:ascii="宋体" w:eastAsia="宋体" w:hAnsi="宋体" w:cs="宋体" w:hint="eastAsia"/>
                <w:sz w:val="18"/>
                <w:szCs w:val="18"/>
              </w:rPr>
            </w:pPr>
          </w:p>
        </w:tc>
        <w:tc>
          <w:tcPr>
            <w:tcW w:w="570" w:type="dxa"/>
            <w:shd w:val="clear" w:color="auto" w:fill="FFFFFF" w:themeFill="background1"/>
            <w:vAlign w:val="center"/>
          </w:tcPr>
          <w:p w14:paraId="2E05F129" w14:textId="77777777" w:rsidR="00632E5B" w:rsidRDefault="00632E5B">
            <w:pPr>
              <w:spacing w:line="240" w:lineRule="exact"/>
              <w:jc w:val="right"/>
              <w:rPr>
                <w:rFonts w:ascii="宋体" w:eastAsia="宋体" w:hAnsi="宋体" w:cs="宋体" w:hint="eastAsia"/>
                <w:sz w:val="18"/>
                <w:szCs w:val="18"/>
              </w:rPr>
            </w:pPr>
          </w:p>
        </w:tc>
        <w:tc>
          <w:tcPr>
            <w:tcW w:w="1418" w:type="dxa"/>
            <w:shd w:val="clear" w:color="auto" w:fill="FFFFFF" w:themeFill="background1"/>
            <w:vAlign w:val="center"/>
          </w:tcPr>
          <w:p w14:paraId="350173E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425" w:type="dxa"/>
            <w:shd w:val="clear" w:color="auto" w:fill="FFFFFF" w:themeFill="background1"/>
            <w:vAlign w:val="center"/>
          </w:tcPr>
          <w:p w14:paraId="13C86619" w14:textId="77777777" w:rsidR="00632E5B" w:rsidRDefault="00632E5B">
            <w:pPr>
              <w:spacing w:line="240" w:lineRule="exact"/>
              <w:jc w:val="right"/>
              <w:rPr>
                <w:rFonts w:ascii="宋体" w:eastAsia="宋体" w:hAnsi="宋体" w:cs="宋体" w:hint="eastAsia"/>
                <w:sz w:val="18"/>
                <w:szCs w:val="18"/>
              </w:rPr>
            </w:pPr>
          </w:p>
        </w:tc>
        <w:tc>
          <w:tcPr>
            <w:tcW w:w="1443" w:type="dxa"/>
            <w:shd w:val="clear" w:color="auto" w:fill="FFFFFF" w:themeFill="background1"/>
            <w:vAlign w:val="center"/>
          </w:tcPr>
          <w:p w14:paraId="0A01864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534" w:type="dxa"/>
            <w:shd w:val="clear" w:color="auto" w:fill="FFFFFF" w:themeFill="background1"/>
            <w:vAlign w:val="center"/>
          </w:tcPr>
          <w:p w14:paraId="778835C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58" w:type="dxa"/>
            <w:shd w:val="clear" w:color="auto" w:fill="FFFFFF" w:themeFill="background1"/>
            <w:vAlign w:val="center"/>
          </w:tcPr>
          <w:p w14:paraId="3F847FD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r>
      <w:tr w:rsidR="00632E5B" w14:paraId="15EC9A08" w14:textId="77777777" w:rsidTr="0013487C">
        <w:trPr>
          <w:trHeight w:val="240"/>
          <w:jc w:val="center"/>
        </w:trPr>
        <w:tc>
          <w:tcPr>
            <w:tcW w:w="1131" w:type="dxa"/>
            <w:shd w:val="clear" w:color="auto" w:fill="FFFFFF" w:themeFill="background1"/>
            <w:vAlign w:val="center"/>
          </w:tcPr>
          <w:p w14:paraId="1F6A9C5C" w14:textId="77777777" w:rsidR="00632E5B" w:rsidRDefault="00107901">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3、境外上市的外资股</w:t>
            </w:r>
          </w:p>
        </w:tc>
        <w:tc>
          <w:tcPr>
            <w:tcW w:w="1168" w:type="dxa"/>
            <w:shd w:val="clear" w:color="auto" w:fill="FFFFFF" w:themeFill="background1"/>
            <w:vAlign w:val="center"/>
          </w:tcPr>
          <w:p w14:paraId="57FD442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851" w:type="dxa"/>
            <w:shd w:val="clear" w:color="auto" w:fill="FFFFFF" w:themeFill="background1"/>
            <w:vAlign w:val="center"/>
          </w:tcPr>
          <w:p w14:paraId="2A2D222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705" w:type="dxa"/>
            <w:shd w:val="clear" w:color="auto" w:fill="FFFFFF" w:themeFill="background1"/>
            <w:vAlign w:val="center"/>
          </w:tcPr>
          <w:p w14:paraId="208407AA" w14:textId="77777777" w:rsidR="00632E5B" w:rsidRDefault="00632E5B">
            <w:pPr>
              <w:spacing w:line="240" w:lineRule="exact"/>
              <w:jc w:val="right"/>
              <w:rPr>
                <w:rFonts w:ascii="宋体" w:eastAsia="宋体" w:hAnsi="宋体" w:cs="宋体" w:hint="eastAsia"/>
                <w:sz w:val="18"/>
                <w:szCs w:val="18"/>
              </w:rPr>
            </w:pPr>
          </w:p>
        </w:tc>
        <w:tc>
          <w:tcPr>
            <w:tcW w:w="570" w:type="dxa"/>
            <w:shd w:val="clear" w:color="auto" w:fill="FFFFFF" w:themeFill="background1"/>
            <w:vAlign w:val="center"/>
          </w:tcPr>
          <w:p w14:paraId="0426C1E7" w14:textId="77777777" w:rsidR="00632E5B" w:rsidRDefault="00632E5B">
            <w:pPr>
              <w:spacing w:line="240" w:lineRule="exact"/>
              <w:jc w:val="right"/>
              <w:rPr>
                <w:rFonts w:ascii="宋体" w:eastAsia="宋体" w:hAnsi="宋体" w:cs="宋体" w:hint="eastAsia"/>
                <w:sz w:val="18"/>
                <w:szCs w:val="18"/>
              </w:rPr>
            </w:pPr>
          </w:p>
        </w:tc>
        <w:tc>
          <w:tcPr>
            <w:tcW w:w="1418" w:type="dxa"/>
            <w:shd w:val="clear" w:color="auto" w:fill="FFFFFF" w:themeFill="background1"/>
            <w:vAlign w:val="center"/>
          </w:tcPr>
          <w:p w14:paraId="5DE976C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425" w:type="dxa"/>
            <w:shd w:val="clear" w:color="auto" w:fill="FFFFFF" w:themeFill="background1"/>
            <w:vAlign w:val="center"/>
          </w:tcPr>
          <w:p w14:paraId="607EDBE1" w14:textId="77777777" w:rsidR="00632E5B" w:rsidRDefault="00632E5B">
            <w:pPr>
              <w:spacing w:line="240" w:lineRule="exact"/>
              <w:jc w:val="right"/>
              <w:rPr>
                <w:rFonts w:ascii="宋体" w:eastAsia="宋体" w:hAnsi="宋体" w:cs="宋体" w:hint="eastAsia"/>
                <w:sz w:val="18"/>
                <w:szCs w:val="18"/>
              </w:rPr>
            </w:pPr>
          </w:p>
        </w:tc>
        <w:tc>
          <w:tcPr>
            <w:tcW w:w="1443" w:type="dxa"/>
            <w:shd w:val="clear" w:color="auto" w:fill="FFFFFF" w:themeFill="background1"/>
            <w:vAlign w:val="center"/>
          </w:tcPr>
          <w:p w14:paraId="7DC61EE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534" w:type="dxa"/>
            <w:shd w:val="clear" w:color="auto" w:fill="FFFFFF" w:themeFill="background1"/>
            <w:vAlign w:val="center"/>
          </w:tcPr>
          <w:p w14:paraId="349D624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58" w:type="dxa"/>
            <w:shd w:val="clear" w:color="auto" w:fill="FFFFFF" w:themeFill="background1"/>
            <w:vAlign w:val="center"/>
          </w:tcPr>
          <w:p w14:paraId="14D04B7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r>
      <w:tr w:rsidR="00632E5B" w14:paraId="2C80814A" w14:textId="77777777" w:rsidTr="0013487C">
        <w:trPr>
          <w:trHeight w:val="240"/>
          <w:jc w:val="center"/>
        </w:trPr>
        <w:tc>
          <w:tcPr>
            <w:tcW w:w="1131" w:type="dxa"/>
            <w:shd w:val="clear" w:color="auto" w:fill="FFFFFF" w:themeFill="background1"/>
            <w:vAlign w:val="center"/>
          </w:tcPr>
          <w:p w14:paraId="30DDF169" w14:textId="77777777" w:rsidR="00632E5B" w:rsidRDefault="00107901">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4、其他</w:t>
            </w:r>
          </w:p>
        </w:tc>
        <w:tc>
          <w:tcPr>
            <w:tcW w:w="1168" w:type="dxa"/>
            <w:shd w:val="clear" w:color="auto" w:fill="FFFFFF" w:themeFill="background1"/>
            <w:vAlign w:val="center"/>
          </w:tcPr>
          <w:p w14:paraId="4D830E1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851" w:type="dxa"/>
            <w:shd w:val="clear" w:color="auto" w:fill="FFFFFF" w:themeFill="background1"/>
            <w:vAlign w:val="center"/>
          </w:tcPr>
          <w:p w14:paraId="37BFF34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705" w:type="dxa"/>
            <w:shd w:val="clear" w:color="auto" w:fill="FFFFFF" w:themeFill="background1"/>
            <w:vAlign w:val="center"/>
          </w:tcPr>
          <w:p w14:paraId="59E5A93D" w14:textId="77777777" w:rsidR="00632E5B" w:rsidRDefault="00632E5B">
            <w:pPr>
              <w:spacing w:line="240" w:lineRule="exact"/>
              <w:jc w:val="right"/>
              <w:rPr>
                <w:rFonts w:ascii="宋体" w:eastAsia="宋体" w:hAnsi="宋体" w:cs="宋体" w:hint="eastAsia"/>
                <w:sz w:val="18"/>
                <w:szCs w:val="18"/>
              </w:rPr>
            </w:pPr>
          </w:p>
        </w:tc>
        <w:tc>
          <w:tcPr>
            <w:tcW w:w="570" w:type="dxa"/>
            <w:shd w:val="clear" w:color="auto" w:fill="FFFFFF" w:themeFill="background1"/>
            <w:vAlign w:val="center"/>
          </w:tcPr>
          <w:p w14:paraId="5A9A61F3" w14:textId="77777777" w:rsidR="00632E5B" w:rsidRDefault="00632E5B">
            <w:pPr>
              <w:spacing w:line="240" w:lineRule="exact"/>
              <w:jc w:val="right"/>
              <w:rPr>
                <w:rFonts w:ascii="宋体" w:eastAsia="宋体" w:hAnsi="宋体" w:cs="宋体" w:hint="eastAsia"/>
                <w:sz w:val="18"/>
                <w:szCs w:val="18"/>
              </w:rPr>
            </w:pPr>
          </w:p>
        </w:tc>
        <w:tc>
          <w:tcPr>
            <w:tcW w:w="1418" w:type="dxa"/>
            <w:shd w:val="clear" w:color="auto" w:fill="FFFFFF" w:themeFill="background1"/>
            <w:vAlign w:val="center"/>
          </w:tcPr>
          <w:p w14:paraId="6FAC8A7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425" w:type="dxa"/>
            <w:shd w:val="clear" w:color="auto" w:fill="FFFFFF" w:themeFill="background1"/>
            <w:vAlign w:val="center"/>
          </w:tcPr>
          <w:p w14:paraId="49497D68" w14:textId="77777777" w:rsidR="00632E5B" w:rsidRDefault="00632E5B">
            <w:pPr>
              <w:spacing w:line="240" w:lineRule="exact"/>
              <w:jc w:val="right"/>
              <w:rPr>
                <w:rFonts w:ascii="宋体" w:eastAsia="宋体" w:hAnsi="宋体" w:cs="宋体" w:hint="eastAsia"/>
                <w:sz w:val="18"/>
                <w:szCs w:val="18"/>
              </w:rPr>
            </w:pPr>
          </w:p>
        </w:tc>
        <w:tc>
          <w:tcPr>
            <w:tcW w:w="1443" w:type="dxa"/>
            <w:shd w:val="clear" w:color="auto" w:fill="FFFFFF" w:themeFill="background1"/>
            <w:vAlign w:val="center"/>
          </w:tcPr>
          <w:p w14:paraId="235CC7D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534" w:type="dxa"/>
            <w:shd w:val="clear" w:color="auto" w:fill="FFFFFF" w:themeFill="background1"/>
            <w:vAlign w:val="center"/>
          </w:tcPr>
          <w:p w14:paraId="396B3A6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958" w:type="dxa"/>
            <w:shd w:val="clear" w:color="auto" w:fill="FFFFFF" w:themeFill="background1"/>
            <w:vAlign w:val="center"/>
          </w:tcPr>
          <w:p w14:paraId="61AC5D3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r>
      <w:tr w:rsidR="00632E5B" w14:paraId="63E36EE7" w14:textId="77777777" w:rsidTr="0013487C">
        <w:trPr>
          <w:trHeight w:val="240"/>
          <w:jc w:val="center"/>
        </w:trPr>
        <w:tc>
          <w:tcPr>
            <w:tcW w:w="1131" w:type="dxa"/>
            <w:shd w:val="clear" w:color="auto" w:fill="FFFFFF" w:themeFill="background1"/>
            <w:vAlign w:val="center"/>
          </w:tcPr>
          <w:p w14:paraId="58ECAEDA"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三、股份总数</w:t>
            </w:r>
          </w:p>
        </w:tc>
        <w:tc>
          <w:tcPr>
            <w:tcW w:w="1168" w:type="dxa"/>
            <w:shd w:val="clear" w:color="auto" w:fill="FFFFFF" w:themeFill="background1"/>
            <w:vAlign w:val="center"/>
          </w:tcPr>
          <w:p w14:paraId="0AFCB92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871,787,068</w:t>
            </w:r>
          </w:p>
        </w:tc>
        <w:tc>
          <w:tcPr>
            <w:tcW w:w="851" w:type="dxa"/>
            <w:shd w:val="clear" w:color="auto" w:fill="FFFFFF" w:themeFill="background1"/>
            <w:vAlign w:val="center"/>
          </w:tcPr>
          <w:p w14:paraId="1C583D2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5" w:type="dxa"/>
            <w:shd w:val="clear" w:color="auto" w:fill="FFFFFF" w:themeFill="background1"/>
            <w:vAlign w:val="center"/>
          </w:tcPr>
          <w:p w14:paraId="002FB4AE" w14:textId="77777777" w:rsidR="00632E5B" w:rsidRDefault="00632E5B">
            <w:pPr>
              <w:spacing w:line="240" w:lineRule="exact"/>
              <w:jc w:val="right"/>
              <w:rPr>
                <w:rFonts w:ascii="宋体" w:eastAsia="宋体" w:hAnsi="宋体" w:cs="宋体" w:hint="eastAsia"/>
                <w:sz w:val="18"/>
                <w:szCs w:val="18"/>
              </w:rPr>
            </w:pPr>
          </w:p>
        </w:tc>
        <w:tc>
          <w:tcPr>
            <w:tcW w:w="570" w:type="dxa"/>
            <w:shd w:val="clear" w:color="auto" w:fill="FFFFFF" w:themeFill="background1"/>
            <w:vAlign w:val="center"/>
          </w:tcPr>
          <w:p w14:paraId="413315B5" w14:textId="77777777" w:rsidR="00632E5B" w:rsidRDefault="00632E5B">
            <w:pPr>
              <w:spacing w:line="240" w:lineRule="exact"/>
              <w:jc w:val="right"/>
              <w:rPr>
                <w:rFonts w:ascii="宋体" w:eastAsia="宋体" w:hAnsi="宋体" w:cs="宋体" w:hint="eastAsia"/>
                <w:sz w:val="18"/>
                <w:szCs w:val="18"/>
              </w:rPr>
            </w:pPr>
          </w:p>
        </w:tc>
        <w:tc>
          <w:tcPr>
            <w:tcW w:w="1418" w:type="dxa"/>
            <w:shd w:val="clear" w:color="auto" w:fill="FFFFFF" w:themeFill="background1"/>
            <w:vAlign w:val="center"/>
          </w:tcPr>
          <w:p w14:paraId="5FD497D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2,135,878,317</w:t>
            </w:r>
          </w:p>
        </w:tc>
        <w:tc>
          <w:tcPr>
            <w:tcW w:w="425" w:type="dxa"/>
            <w:shd w:val="clear" w:color="auto" w:fill="FFFFFF" w:themeFill="background1"/>
            <w:vAlign w:val="center"/>
          </w:tcPr>
          <w:p w14:paraId="79D13E0F" w14:textId="77777777" w:rsidR="00632E5B" w:rsidRDefault="00632E5B">
            <w:pPr>
              <w:spacing w:line="240" w:lineRule="exact"/>
              <w:jc w:val="right"/>
              <w:rPr>
                <w:rFonts w:ascii="宋体" w:eastAsia="宋体" w:hAnsi="宋体" w:cs="宋体" w:hint="eastAsia"/>
                <w:sz w:val="18"/>
                <w:szCs w:val="18"/>
              </w:rPr>
            </w:pPr>
          </w:p>
        </w:tc>
        <w:tc>
          <w:tcPr>
            <w:tcW w:w="1443" w:type="dxa"/>
            <w:shd w:val="clear" w:color="auto" w:fill="FFFFFF" w:themeFill="background1"/>
            <w:vAlign w:val="center"/>
          </w:tcPr>
          <w:p w14:paraId="6B46BF6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2,135,878,317</w:t>
            </w:r>
          </w:p>
        </w:tc>
        <w:tc>
          <w:tcPr>
            <w:tcW w:w="1534" w:type="dxa"/>
            <w:shd w:val="clear" w:color="auto" w:fill="FFFFFF" w:themeFill="background1"/>
            <w:vAlign w:val="center"/>
          </w:tcPr>
          <w:p w14:paraId="142AD41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3,007,665,385</w:t>
            </w:r>
          </w:p>
        </w:tc>
        <w:tc>
          <w:tcPr>
            <w:tcW w:w="958" w:type="dxa"/>
            <w:shd w:val="clear" w:color="auto" w:fill="FFFFFF" w:themeFill="background1"/>
            <w:vAlign w:val="center"/>
          </w:tcPr>
          <w:p w14:paraId="4A16B32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r>
    </w:tbl>
    <w:p w14:paraId="2722734E"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股份变动的原因</w:t>
      </w:r>
    </w:p>
    <w:p w14:paraId="6FAE3393"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08FD901B" w14:textId="60BA0F26" w:rsidR="00E72F0C" w:rsidRDefault="00107901" w:rsidP="009E4220">
      <w:pPr>
        <w:pStyle w:val="a3"/>
        <w:spacing w:before="0" w:beforeAutospacing="0" w:after="0" w:afterAutospacing="0" w:line="360" w:lineRule="auto"/>
        <w:ind w:firstLineChars="200" w:firstLine="420"/>
        <w:jc w:val="both"/>
        <w:divId w:val="324163489"/>
        <w:rPr>
          <w:rFonts w:hint="eastAsia"/>
          <w:sz w:val="18"/>
          <w:szCs w:val="18"/>
        </w:rPr>
      </w:pPr>
      <w:r>
        <w:rPr>
          <w:rFonts w:hint="eastAsia"/>
          <w:sz w:val="21"/>
          <w:szCs w:val="21"/>
        </w:rPr>
        <w:lastRenderedPageBreak/>
        <w:t>公司因执行重整计划进行资本公积金转增股本，以总股本871,787,068股为基数，按照每10股转增24.50股的比例实施资本公积金转增股本，共计转增2,135,878,317股股票。转增后，公司总股本由871,787,068股增加至3,007,665,385股。前述资本公积金转增形成的2,135,878,317股股票不向原股东分配，全部用于清偿债务和引入重整投资人。</w:t>
      </w:r>
    </w:p>
    <w:p w14:paraId="028E1F79"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股份变动的批准情况</w:t>
      </w:r>
    </w:p>
    <w:p w14:paraId="215A1942"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1887CA94" w14:textId="77777777" w:rsidR="00E72F0C" w:rsidRDefault="00107901" w:rsidP="009E4220">
      <w:pPr>
        <w:pStyle w:val="a3"/>
        <w:spacing w:before="0" w:beforeAutospacing="0" w:after="0" w:afterAutospacing="0" w:line="360" w:lineRule="auto"/>
        <w:ind w:firstLine="442"/>
        <w:jc w:val="both"/>
        <w:divId w:val="1506242295"/>
        <w:rPr>
          <w:rFonts w:hint="eastAsia"/>
        </w:rPr>
      </w:pPr>
      <w:r>
        <w:rPr>
          <w:rFonts w:hint="eastAsia"/>
          <w:color w:val="000000"/>
          <w:sz w:val="21"/>
          <w:szCs w:val="21"/>
        </w:rPr>
        <w:t>公司于2024年11月11日披露了《关于法院裁定受理公司重整并指定管理人暨叠加退市风险警示的公告》（公告编号：2024-113），苏州中院裁定受理对公司的重整申请。</w:t>
      </w:r>
    </w:p>
    <w:p w14:paraId="2C7352D4" w14:textId="77777777" w:rsidR="00E72F0C" w:rsidRDefault="00107901" w:rsidP="009E4220">
      <w:pPr>
        <w:pStyle w:val="a3"/>
        <w:spacing w:before="0" w:beforeAutospacing="0" w:after="0" w:afterAutospacing="0" w:line="360" w:lineRule="auto"/>
        <w:ind w:firstLine="442"/>
        <w:jc w:val="both"/>
        <w:divId w:val="1506242295"/>
        <w:rPr>
          <w:rFonts w:hint="eastAsia"/>
        </w:rPr>
      </w:pPr>
      <w:r>
        <w:rPr>
          <w:rFonts w:hint="eastAsia"/>
          <w:color w:val="000000"/>
          <w:sz w:val="21"/>
          <w:szCs w:val="21"/>
        </w:rPr>
        <w:t>公司于2024年11月19日披露了《关于召开出资人组会议及2024年第二次临时股东大会通知的公告》《关于召开第一次债权人会议的提示性公告》《江苏中利集团股份有限公司重整计划（草案）摘要》《江苏中利集团股份有限公司重整计划（草案）之经营方案》《关于江苏中利集团股份有限公司重整计划（草案）之出资人权益调整方案》（公告编号：2024-123、2024-124）。</w:t>
      </w:r>
    </w:p>
    <w:p w14:paraId="5F3D584B" w14:textId="77777777" w:rsidR="00E72F0C" w:rsidRDefault="00107901" w:rsidP="009E4220">
      <w:pPr>
        <w:pStyle w:val="a3"/>
        <w:spacing w:before="0" w:beforeAutospacing="0" w:after="0" w:afterAutospacing="0" w:line="360" w:lineRule="auto"/>
        <w:ind w:firstLine="442"/>
        <w:jc w:val="both"/>
        <w:divId w:val="1506242295"/>
        <w:rPr>
          <w:rFonts w:hint="eastAsia"/>
        </w:rPr>
      </w:pPr>
      <w:r>
        <w:rPr>
          <w:rFonts w:hint="eastAsia"/>
          <w:color w:val="000000"/>
          <w:sz w:val="21"/>
          <w:szCs w:val="21"/>
        </w:rPr>
        <w:t>公司于2024年12月5日披露了《出资人组会议及2024年第二次临时股东大会决议公告》（公告编号：2024-127）。</w:t>
      </w:r>
    </w:p>
    <w:p w14:paraId="4F7127D0" w14:textId="77777777" w:rsidR="00E72F0C" w:rsidRDefault="00107901" w:rsidP="009E4220">
      <w:pPr>
        <w:pStyle w:val="a3"/>
        <w:spacing w:before="0" w:beforeAutospacing="0" w:after="0" w:afterAutospacing="0" w:line="360" w:lineRule="auto"/>
        <w:ind w:firstLine="442"/>
        <w:jc w:val="both"/>
        <w:divId w:val="1506242295"/>
        <w:rPr>
          <w:rFonts w:hint="eastAsia"/>
        </w:rPr>
      </w:pPr>
      <w:r>
        <w:rPr>
          <w:rFonts w:hint="eastAsia"/>
          <w:color w:val="000000"/>
          <w:sz w:val="21"/>
          <w:szCs w:val="21"/>
        </w:rPr>
        <w:t>公司于2024年12月6日披露了《关于与产业投资人签署重整投资协议的公告》《关于与财务投资人签署重整投资协议的公告》《关于第一次债权人会议召开情况的公告》（公告编号：2024-128、2024-129、2024-130）。</w:t>
      </w:r>
    </w:p>
    <w:p w14:paraId="431125FD" w14:textId="77777777" w:rsidR="00E72F0C" w:rsidRDefault="00107901" w:rsidP="009E4220">
      <w:pPr>
        <w:pStyle w:val="a3"/>
        <w:spacing w:before="0" w:beforeAutospacing="0" w:after="0" w:afterAutospacing="0" w:line="360" w:lineRule="auto"/>
        <w:ind w:firstLine="442"/>
        <w:jc w:val="both"/>
        <w:divId w:val="1506242295"/>
        <w:rPr>
          <w:rFonts w:hint="eastAsia"/>
        </w:rPr>
      </w:pPr>
      <w:r>
        <w:rPr>
          <w:rFonts w:hint="eastAsia"/>
          <w:color w:val="000000"/>
          <w:sz w:val="21"/>
          <w:szCs w:val="21"/>
        </w:rPr>
        <w:t>公司于2024年12月12日披露了《关于第一次债权人会议表决结果的公告》《关于公司重整计划获得法院裁定批准的公告》《江苏中利集团股份有限公司重整计划》（公告编号：2024-132、2024-133），苏州中院裁定批准公司《重整计划》，并终止公司的重整程序。</w:t>
      </w:r>
    </w:p>
    <w:p w14:paraId="03EB2312" w14:textId="77777777" w:rsidR="00E72F0C" w:rsidRDefault="00107901" w:rsidP="009E4220">
      <w:pPr>
        <w:pStyle w:val="a3"/>
        <w:spacing w:before="0" w:beforeAutospacing="0" w:after="0" w:afterAutospacing="0" w:line="360" w:lineRule="auto"/>
        <w:ind w:firstLine="442"/>
        <w:jc w:val="both"/>
        <w:divId w:val="1506242295"/>
        <w:rPr>
          <w:rFonts w:hint="eastAsia"/>
        </w:rPr>
      </w:pPr>
      <w:r>
        <w:rPr>
          <w:rFonts w:hint="eastAsia"/>
          <w:color w:val="000000"/>
          <w:sz w:val="21"/>
          <w:szCs w:val="21"/>
        </w:rPr>
        <w:t>公司于2024年12月13日披露了《关于重整计划资本公积金转增股本事项实施的公告》（公告编号：2024-138）、《申万宏源证券承销保荐有限责任公司关于中利集团股份有限公司调整资本公积转增股本除权参考价格计算公式的专项意见》。</w:t>
      </w:r>
    </w:p>
    <w:p w14:paraId="6EAD19F1" w14:textId="77777777" w:rsidR="00E72F0C" w:rsidRDefault="00107901" w:rsidP="009E4220">
      <w:pPr>
        <w:pStyle w:val="a3"/>
        <w:spacing w:before="0" w:beforeAutospacing="0" w:after="0" w:afterAutospacing="0" w:line="360" w:lineRule="auto"/>
        <w:ind w:firstLine="442"/>
        <w:jc w:val="both"/>
        <w:divId w:val="1506242295"/>
        <w:rPr>
          <w:rFonts w:hint="eastAsia"/>
        </w:rPr>
      </w:pPr>
      <w:r>
        <w:rPr>
          <w:rFonts w:hint="eastAsia"/>
          <w:color w:val="000000"/>
          <w:sz w:val="21"/>
          <w:szCs w:val="21"/>
        </w:rPr>
        <w:t>公司于2024年12月21日披露了《关于不调整资本公积转增股本实施后首个交易日开盘参考价事项的提示性公告》（公告编号：2024-141）、《申万宏源证券承销保荐有限责任公司关于江苏中利集团股份有限公司调整资本公积转增股本除权参考价格的计算结果的专项意见》。</w:t>
      </w:r>
    </w:p>
    <w:p w14:paraId="01C9196E" w14:textId="77777777" w:rsidR="00E72F0C" w:rsidRDefault="00107901" w:rsidP="009E4220">
      <w:pPr>
        <w:pStyle w:val="a3"/>
        <w:spacing w:before="0" w:beforeAutospacing="0" w:after="0" w:afterAutospacing="0" w:line="360" w:lineRule="auto"/>
        <w:ind w:firstLine="442"/>
        <w:jc w:val="both"/>
        <w:divId w:val="1506242295"/>
        <w:rPr>
          <w:rFonts w:hint="eastAsia"/>
        </w:rPr>
      </w:pPr>
      <w:r>
        <w:rPr>
          <w:rFonts w:hint="eastAsia"/>
          <w:color w:val="000000"/>
          <w:sz w:val="21"/>
          <w:szCs w:val="21"/>
        </w:rPr>
        <w:t>公司于2024年12月28日披露了《关于法院裁定公司重整计划执行完毕的公告》（公告编号：2024-142），公司重整计划已全部执行完毕。</w:t>
      </w:r>
    </w:p>
    <w:p w14:paraId="1AE15393"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股份变动的过户情况</w:t>
      </w:r>
    </w:p>
    <w:p w14:paraId="514FF43D"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03599DBB" w14:textId="3CCCA2D2" w:rsidR="00E72F0C" w:rsidRDefault="00107901" w:rsidP="009E4220">
      <w:pPr>
        <w:pStyle w:val="a3"/>
        <w:spacing w:before="0" w:beforeAutospacing="0" w:after="0" w:afterAutospacing="0" w:line="360" w:lineRule="auto"/>
        <w:ind w:firstLineChars="200" w:firstLine="420"/>
        <w:jc w:val="both"/>
        <w:divId w:val="432438360"/>
        <w:rPr>
          <w:rFonts w:hint="eastAsia"/>
          <w:sz w:val="18"/>
          <w:szCs w:val="18"/>
        </w:rPr>
      </w:pPr>
      <w:r>
        <w:rPr>
          <w:rFonts w:hint="eastAsia"/>
          <w:sz w:val="21"/>
          <w:szCs w:val="21"/>
        </w:rPr>
        <w:lastRenderedPageBreak/>
        <w:t>中国证券登记结算有限责任公司深圳分公司按照苏州中院出具的《协助执行通知》办理公司股票的转增手续。转增股份先全部登记至公司管理人开立的江苏中利集团股份有限公司破产企业财产处置专用账户，由管理人根据规定，陆续按照相应数量比例向公司的债权人和重整投资人证券账户分配。</w:t>
      </w:r>
    </w:p>
    <w:p w14:paraId="2004D30C"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股份变动对最近一年和最近一期基本每股收益和稀释每股收益、归属于公司普通股股东的每股净资产等财务指标的影响</w:t>
      </w:r>
    </w:p>
    <w:p w14:paraId="74212B1A"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377F8A0B" w14:textId="3EB422FF" w:rsidR="00E72F0C" w:rsidRPr="009E4220" w:rsidRDefault="00107901" w:rsidP="009E4220">
      <w:pPr>
        <w:pStyle w:val="a3"/>
        <w:spacing w:before="0" w:beforeAutospacing="0" w:after="0" w:afterAutospacing="0" w:line="360" w:lineRule="auto"/>
        <w:ind w:firstLineChars="200" w:firstLine="420"/>
        <w:jc w:val="both"/>
        <w:divId w:val="1756197948"/>
        <w:rPr>
          <w:rFonts w:hint="eastAsia"/>
          <w:sz w:val="21"/>
          <w:szCs w:val="21"/>
        </w:rPr>
      </w:pPr>
      <w:r>
        <w:rPr>
          <w:rFonts w:hint="eastAsia"/>
          <w:sz w:val="21"/>
          <w:szCs w:val="21"/>
        </w:rPr>
        <w:t>根据《重整计划》，通过实施资本公积转增股本方案，清偿债权人并引入重整投资人，实现公司债务化解和历史遗留问题解决。重整后，公司净资产转正，增加了每股净资产，有效改善了公司财务状况。</w:t>
      </w:r>
    </w:p>
    <w:p w14:paraId="32DF9CBE"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公司认为必要或证券监管机构要求披露的其他内容</w:t>
      </w:r>
    </w:p>
    <w:p w14:paraId="478CE935"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03DB7B56" w14:textId="77777777" w:rsidR="00632E5B" w:rsidRDefault="00107901" w:rsidP="0013487C">
      <w:pPr>
        <w:pStyle w:val="3"/>
        <w:spacing w:before="240" w:after="240" w:line="280" w:lineRule="exact"/>
        <w:jc w:val="left"/>
        <w:rPr>
          <w:rFonts w:ascii="宋体" w:hAnsi="宋体" w:cs="宋体" w:hint="eastAsia"/>
          <w:b/>
          <w:bCs/>
        </w:rPr>
      </w:pPr>
      <w:bookmarkStart w:id="132" w:name="_Toc989021"/>
      <w:r>
        <w:rPr>
          <w:rFonts w:ascii="宋体" w:hAnsi="宋体" w:cs="宋体"/>
          <w:b/>
          <w:bCs/>
        </w:rPr>
        <w:t>2、限售股份变动情况</w:t>
      </w:r>
      <w:bookmarkEnd w:id="132"/>
    </w:p>
    <w:p w14:paraId="161746FF" w14:textId="77777777" w:rsidR="00632E5B" w:rsidRDefault="00107901" w:rsidP="0013487C">
      <w:pPr>
        <w:spacing w:after="100"/>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160B5352" w14:textId="77777777" w:rsidR="00632E5B" w:rsidRDefault="00107901">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单位：股</w:t>
      </w:r>
    </w:p>
    <w:tbl>
      <w:tblPr>
        <w:tblW w:w="100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840"/>
        <w:gridCol w:w="992"/>
        <w:gridCol w:w="1417"/>
        <w:gridCol w:w="1134"/>
        <w:gridCol w:w="1418"/>
        <w:gridCol w:w="1836"/>
        <w:gridCol w:w="1377"/>
      </w:tblGrid>
      <w:tr w:rsidR="00632E5B" w14:paraId="6B613399" w14:textId="77777777" w:rsidTr="0013487C">
        <w:trPr>
          <w:trHeight w:val="240"/>
          <w:jc w:val="center"/>
        </w:trPr>
        <w:tc>
          <w:tcPr>
            <w:tcW w:w="1840" w:type="dxa"/>
            <w:shd w:val="clear" w:color="auto" w:fill="FFFFFF" w:themeFill="background1"/>
            <w:vAlign w:val="center"/>
          </w:tcPr>
          <w:p w14:paraId="4B882A7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股东名称</w:t>
            </w:r>
          </w:p>
        </w:tc>
        <w:tc>
          <w:tcPr>
            <w:tcW w:w="992" w:type="dxa"/>
            <w:shd w:val="clear" w:color="auto" w:fill="FFFFFF" w:themeFill="background1"/>
            <w:vAlign w:val="center"/>
          </w:tcPr>
          <w:p w14:paraId="41D2ABA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期初限售股数</w:t>
            </w:r>
          </w:p>
        </w:tc>
        <w:tc>
          <w:tcPr>
            <w:tcW w:w="1417" w:type="dxa"/>
            <w:shd w:val="clear" w:color="auto" w:fill="FFFFFF" w:themeFill="background1"/>
            <w:vAlign w:val="center"/>
          </w:tcPr>
          <w:p w14:paraId="4A0F8F3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本期增加限售股数</w:t>
            </w:r>
          </w:p>
        </w:tc>
        <w:tc>
          <w:tcPr>
            <w:tcW w:w="1134" w:type="dxa"/>
            <w:shd w:val="clear" w:color="auto" w:fill="FFFFFF" w:themeFill="background1"/>
            <w:vAlign w:val="center"/>
          </w:tcPr>
          <w:p w14:paraId="51F511C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本期解除限售股数</w:t>
            </w:r>
          </w:p>
        </w:tc>
        <w:tc>
          <w:tcPr>
            <w:tcW w:w="1418" w:type="dxa"/>
            <w:shd w:val="clear" w:color="auto" w:fill="FFFFFF" w:themeFill="background1"/>
            <w:vAlign w:val="center"/>
          </w:tcPr>
          <w:p w14:paraId="41B719D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期末限售股数</w:t>
            </w:r>
          </w:p>
        </w:tc>
        <w:tc>
          <w:tcPr>
            <w:tcW w:w="1836" w:type="dxa"/>
            <w:shd w:val="clear" w:color="auto" w:fill="FFFFFF" w:themeFill="background1"/>
            <w:vAlign w:val="center"/>
          </w:tcPr>
          <w:p w14:paraId="2867293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限售原因</w:t>
            </w:r>
          </w:p>
        </w:tc>
        <w:tc>
          <w:tcPr>
            <w:tcW w:w="1377" w:type="dxa"/>
            <w:shd w:val="clear" w:color="auto" w:fill="FFFFFF" w:themeFill="background1"/>
            <w:vAlign w:val="center"/>
          </w:tcPr>
          <w:p w14:paraId="18A41FB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解除限售日期</w:t>
            </w:r>
          </w:p>
        </w:tc>
      </w:tr>
      <w:tr w:rsidR="00632E5B" w14:paraId="1555E79B" w14:textId="77777777" w:rsidTr="0013487C">
        <w:trPr>
          <w:trHeight w:val="240"/>
          <w:jc w:val="center"/>
        </w:trPr>
        <w:tc>
          <w:tcPr>
            <w:tcW w:w="1840" w:type="dxa"/>
            <w:shd w:val="clear" w:color="auto" w:fill="FFFFFF" w:themeFill="background1"/>
            <w:vAlign w:val="center"/>
          </w:tcPr>
          <w:p w14:paraId="0B05746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常熟光晟新能源有限公司</w:t>
            </w:r>
          </w:p>
        </w:tc>
        <w:tc>
          <w:tcPr>
            <w:tcW w:w="992" w:type="dxa"/>
            <w:shd w:val="clear" w:color="auto" w:fill="FFFFFF" w:themeFill="background1"/>
            <w:vAlign w:val="center"/>
          </w:tcPr>
          <w:p w14:paraId="6B4FB57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17" w:type="dxa"/>
            <w:shd w:val="clear" w:color="auto" w:fill="FFFFFF" w:themeFill="background1"/>
            <w:vAlign w:val="center"/>
          </w:tcPr>
          <w:p w14:paraId="6BF251F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601,533,077</w:t>
            </w:r>
          </w:p>
        </w:tc>
        <w:tc>
          <w:tcPr>
            <w:tcW w:w="1134" w:type="dxa"/>
            <w:shd w:val="clear" w:color="auto" w:fill="FFFFFF" w:themeFill="background1"/>
            <w:vAlign w:val="center"/>
          </w:tcPr>
          <w:p w14:paraId="4A3FCE7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18" w:type="dxa"/>
            <w:shd w:val="clear" w:color="auto" w:fill="FFFFFF" w:themeFill="background1"/>
            <w:vAlign w:val="center"/>
          </w:tcPr>
          <w:p w14:paraId="0CDFB12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601,533,077</w:t>
            </w:r>
          </w:p>
        </w:tc>
        <w:tc>
          <w:tcPr>
            <w:tcW w:w="1836" w:type="dxa"/>
            <w:shd w:val="clear" w:color="auto" w:fill="FFFFFF" w:themeFill="background1"/>
            <w:vAlign w:val="center"/>
          </w:tcPr>
          <w:p w14:paraId="7C9CC2F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《重整投资协议》中对限售期的承诺</w:t>
            </w:r>
          </w:p>
        </w:tc>
        <w:tc>
          <w:tcPr>
            <w:tcW w:w="1377" w:type="dxa"/>
            <w:shd w:val="clear" w:color="auto" w:fill="FFFFFF" w:themeFill="background1"/>
            <w:vAlign w:val="center"/>
          </w:tcPr>
          <w:p w14:paraId="24EF8F3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2027年12月31日</w:t>
            </w:r>
          </w:p>
        </w:tc>
      </w:tr>
      <w:tr w:rsidR="00632E5B" w14:paraId="68BCDD83" w14:textId="77777777" w:rsidTr="0013487C">
        <w:trPr>
          <w:trHeight w:val="240"/>
          <w:jc w:val="center"/>
        </w:trPr>
        <w:tc>
          <w:tcPr>
            <w:tcW w:w="1840" w:type="dxa"/>
            <w:shd w:val="clear" w:color="auto" w:fill="FFFFFF" w:themeFill="background1"/>
            <w:vAlign w:val="center"/>
          </w:tcPr>
          <w:p w14:paraId="1BA2E8B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杜月姣</w:t>
            </w:r>
          </w:p>
        </w:tc>
        <w:tc>
          <w:tcPr>
            <w:tcW w:w="992" w:type="dxa"/>
            <w:shd w:val="clear" w:color="auto" w:fill="FFFFFF" w:themeFill="background1"/>
            <w:vAlign w:val="center"/>
          </w:tcPr>
          <w:p w14:paraId="53C7AD2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17" w:type="dxa"/>
            <w:shd w:val="clear" w:color="auto" w:fill="FFFFFF" w:themeFill="background1"/>
            <w:vAlign w:val="center"/>
          </w:tcPr>
          <w:p w14:paraId="2E4A426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150,000,000</w:t>
            </w:r>
          </w:p>
        </w:tc>
        <w:tc>
          <w:tcPr>
            <w:tcW w:w="1134" w:type="dxa"/>
            <w:shd w:val="clear" w:color="auto" w:fill="FFFFFF" w:themeFill="background1"/>
            <w:vAlign w:val="center"/>
          </w:tcPr>
          <w:p w14:paraId="71E23AB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18" w:type="dxa"/>
            <w:shd w:val="clear" w:color="auto" w:fill="FFFFFF" w:themeFill="background1"/>
            <w:vAlign w:val="center"/>
          </w:tcPr>
          <w:p w14:paraId="0EF35B6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150,000,000</w:t>
            </w:r>
          </w:p>
        </w:tc>
        <w:tc>
          <w:tcPr>
            <w:tcW w:w="1836" w:type="dxa"/>
            <w:shd w:val="clear" w:color="auto" w:fill="FFFFFF" w:themeFill="background1"/>
            <w:vAlign w:val="center"/>
          </w:tcPr>
          <w:p w14:paraId="2905EE2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《重整投资协议》中对限售期的承诺</w:t>
            </w:r>
          </w:p>
        </w:tc>
        <w:tc>
          <w:tcPr>
            <w:tcW w:w="1377" w:type="dxa"/>
            <w:shd w:val="clear" w:color="auto" w:fill="FFFFFF" w:themeFill="background1"/>
            <w:vAlign w:val="center"/>
          </w:tcPr>
          <w:p w14:paraId="638E64C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2025年12月31日</w:t>
            </w:r>
          </w:p>
        </w:tc>
      </w:tr>
      <w:tr w:rsidR="00632E5B" w14:paraId="772FD335" w14:textId="77777777" w:rsidTr="0013487C">
        <w:trPr>
          <w:trHeight w:val="240"/>
          <w:jc w:val="center"/>
        </w:trPr>
        <w:tc>
          <w:tcPr>
            <w:tcW w:w="1840" w:type="dxa"/>
            <w:shd w:val="clear" w:color="auto" w:fill="FFFFFF" w:themeFill="background1"/>
            <w:vAlign w:val="center"/>
          </w:tcPr>
          <w:p w14:paraId="308AE5C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刘青科</w:t>
            </w:r>
          </w:p>
        </w:tc>
        <w:tc>
          <w:tcPr>
            <w:tcW w:w="992" w:type="dxa"/>
            <w:shd w:val="clear" w:color="auto" w:fill="FFFFFF" w:themeFill="background1"/>
            <w:vAlign w:val="center"/>
          </w:tcPr>
          <w:p w14:paraId="5B9DA81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17" w:type="dxa"/>
            <w:shd w:val="clear" w:color="auto" w:fill="FFFFFF" w:themeFill="background1"/>
            <w:vAlign w:val="center"/>
          </w:tcPr>
          <w:p w14:paraId="4A460E9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88,014,147</w:t>
            </w:r>
          </w:p>
        </w:tc>
        <w:tc>
          <w:tcPr>
            <w:tcW w:w="1134" w:type="dxa"/>
            <w:shd w:val="clear" w:color="auto" w:fill="FFFFFF" w:themeFill="background1"/>
            <w:vAlign w:val="center"/>
          </w:tcPr>
          <w:p w14:paraId="7CAA6BF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18" w:type="dxa"/>
            <w:shd w:val="clear" w:color="auto" w:fill="FFFFFF" w:themeFill="background1"/>
            <w:vAlign w:val="center"/>
          </w:tcPr>
          <w:p w14:paraId="30FD4DB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88,014,147</w:t>
            </w:r>
          </w:p>
        </w:tc>
        <w:tc>
          <w:tcPr>
            <w:tcW w:w="1836" w:type="dxa"/>
            <w:shd w:val="clear" w:color="auto" w:fill="FFFFFF" w:themeFill="background1"/>
            <w:vAlign w:val="center"/>
          </w:tcPr>
          <w:p w14:paraId="009AE43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《重整投资协议》中对限售期的承诺</w:t>
            </w:r>
          </w:p>
        </w:tc>
        <w:tc>
          <w:tcPr>
            <w:tcW w:w="1377" w:type="dxa"/>
            <w:shd w:val="clear" w:color="auto" w:fill="FFFFFF" w:themeFill="background1"/>
            <w:vAlign w:val="center"/>
          </w:tcPr>
          <w:p w14:paraId="51319BB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2025年12月31日</w:t>
            </w:r>
          </w:p>
        </w:tc>
      </w:tr>
      <w:tr w:rsidR="00632E5B" w14:paraId="1DEDAF15" w14:textId="77777777" w:rsidTr="0013487C">
        <w:trPr>
          <w:trHeight w:val="240"/>
          <w:jc w:val="center"/>
        </w:trPr>
        <w:tc>
          <w:tcPr>
            <w:tcW w:w="1840" w:type="dxa"/>
            <w:shd w:val="clear" w:color="auto" w:fill="FFFFFF" w:themeFill="background1"/>
            <w:vAlign w:val="center"/>
          </w:tcPr>
          <w:p w14:paraId="00C69D1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中国东方国际资产管理有限公司－中国东</w:t>
            </w:r>
          </w:p>
          <w:p w14:paraId="5E85CA3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方收益增强基金</w:t>
            </w:r>
          </w:p>
        </w:tc>
        <w:tc>
          <w:tcPr>
            <w:tcW w:w="992" w:type="dxa"/>
            <w:shd w:val="clear" w:color="auto" w:fill="FFFFFF" w:themeFill="background1"/>
            <w:vAlign w:val="center"/>
          </w:tcPr>
          <w:p w14:paraId="4DAC26D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17" w:type="dxa"/>
            <w:shd w:val="clear" w:color="auto" w:fill="FFFFFF" w:themeFill="background1"/>
            <w:vAlign w:val="center"/>
          </w:tcPr>
          <w:p w14:paraId="605A7FC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85,280,657</w:t>
            </w:r>
          </w:p>
        </w:tc>
        <w:tc>
          <w:tcPr>
            <w:tcW w:w="1134" w:type="dxa"/>
            <w:shd w:val="clear" w:color="auto" w:fill="FFFFFF" w:themeFill="background1"/>
            <w:vAlign w:val="center"/>
          </w:tcPr>
          <w:p w14:paraId="0AE61E8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18" w:type="dxa"/>
            <w:shd w:val="clear" w:color="auto" w:fill="FFFFFF" w:themeFill="background1"/>
            <w:vAlign w:val="center"/>
          </w:tcPr>
          <w:p w14:paraId="392D5A2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85,280,657</w:t>
            </w:r>
          </w:p>
        </w:tc>
        <w:tc>
          <w:tcPr>
            <w:tcW w:w="1836" w:type="dxa"/>
            <w:shd w:val="clear" w:color="auto" w:fill="FFFFFF" w:themeFill="background1"/>
            <w:vAlign w:val="center"/>
          </w:tcPr>
          <w:p w14:paraId="1BE8B72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《重整投资协议》中对限售期的承诺</w:t>
            </w:r>
          </w:p>
        </w:tc>
        <w:tc>
          <w:tcPr>
            <w:tcW w:w="1377" w:type="dxa"/>
            <w:shd w:val="clear" w:color="auto" w:fill="FFFFFF" w:themeFill="background1"/>
            <w:vAlign w:val="center"/>
          </w:tcPr>
          <w:p w14:paraId="49C822D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2025年12月31日</w:t>
            </w:r>
          </w:p>
        </w:tc>
      </w:tr>
      <w:tr w:rsidR="00632E5B" w14:paraId="45EE0437" w14:textId="77777777" w:rsidTr="0013487C">
        <w:trPr>
          <w:trHeight w:val="240"/>
          <w:jc w:val="center"/>
        </w:trPr>
        <w:tc>
          <w:tcPr>
            <w:tcW w:w="1840" w:type="dxa"/>
            <w:shd w:val="clear" w:color="auto" w:fill="FFFFFF" w:themeFill="background1"/>
            <w:vAlign w:val="center"/>
          </w:tcPr>
          <w:p w14:paraId="426280B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江苏中利集团股份有限公司破产企业财产</w:t>
            </w:r>
          </w:p>
          <w:p w14:paraId="57F095E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处置专用账户</w:t>
            </w:r>
          </w:p>
        </w:tc>
        <w:tc>
          <w:tcPr>
            <w:tcW w:w="992" w:type="dxa"/>
            <w:shd w:val="clear" w:color="auto" w:fill="FFFFFF" w:themeFill="background1"/>
            <w:vAlign w:val="center"/>
          </w:tcPr>
          <w:p w14:paraId="43B41D0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17" w:type="dxa"/>
            <w:shd w:val="clear" w:color="auto" w:fill="FFFFFF" w:themeFill="background1"/>
            <w:vAlign w:val="center"/>
          </w:tcPr>
          <w:p w14:paraId="6FC997E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79,415,468</w:t>
            </w:r>
          </w:p>
        </w:tc>
        <w:tc>
          <w:tcPr>
            <w:tcW w:w="1134" w:type="dxa"/>
            <w:shd w:val="clear" w:color="auto" w:fill="FFFFFF" w:themeFill="background1"/>
            <w:vAlign w:val="center"/>
          </w:tcPr>
          <w:p w14:paraId="23D4C83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18" w:type="dxa"/>
            <w:shd w:val="clear" w:color="auto" w:fill="FFFFFF" w:themeFill="background1"/>
            <w:vAlign w:val="center"/>
          </w:tcPr>
          <w:p w14:paraId="3511BD6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79,415,468</w:t>
            </w:r>
          </w:p>
        </w:tc>
        <w:tc>
          <w:tcPr>
            <w:tcW w:w="1836" w:type="dxa"/>
            <w:shd w:val="clear" w:color="auto" w:fill="FFFFFF" w:themeFill="background1"/>
            <w:vAlign w:val="center"/>
          </w:tcPr>
          <w:p w14:paraId="049CB11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执行公司重整计划</w:t>
            </w:r>
          </w:p>
        </w:tc>
        <w:tc>
          <w:tcPr>
            <w:tcW w:w="1377" w:type="dxa"/>
            <w:shd w:val="clear" w:color="auto" w:fill="FFFFFF" w:themeFill="background1"/>
            <w:vAlign w:val="center"/>
          </w:tcPr>
          <w:p w14:paraId="0A42F64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2025年12月31日</w:t>
            </w:r>
          </w:p>
        </w:tc>
      </w:tr>
      <w:tr w:rsidR="00632E5B" w14:paraId="509CD88D" w14:textId="77777777" w:rsidTr="0013487C">
        <w:trPr>
          <w:trHeight w:val="240"/>
          <w:jc w:val="center"/>
        </w:trPr>
        <w:tc>
          <w:tcPr>
            <w:tcW w:w="1840" w:type="dxa"/>
            <w:shd w:val="clear" w:color="auto" w:fill="FFFFFF" w:themeFill="background1"/>
            <w:vAlign w:val="center"/>
          </w:tcPr>
          <w:p w14:paraId="57247B5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深圳市招平三号投资中心（有限合伙）</w:t>
            </w:r>
          </w:p>
        </w:tc>
        <w:tc>
          <w:tcPr>
            <w:tcW w:w="992" w:type="dxa"/>
            <w:shd w:val="clear" w:color="auto" w:fill="FFFFFF" w:themeFill="background1"/>
            <w:vAlign w:val="center"/>
          </w:tcPr>
          <w:p w14:paraId="2D9C656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17" w:type="dxa"/>
            <w:shd w:val="clear" w:color="auto" w:fill="FFFFFF" w:themeFill="background1"/>
            <w:vAlign w:val="center"/>
          </w:tcPr>
          <w:p w14:paraId="63EB5EC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75,092,013</w:t>
            </w:r>
          </w:p>
        </w:tc>
        <w:tc>
          <w:tcPr>
            <w:tcW w:w="1134" w:type="dxa"/>
            <w:shd w:val="clear" w:color="auto" w:fill="FFFFFF" w:themeFill="background1"/>
            <w:vAlign w:val="center"/>
          </w:tcPr>
          <w:p w14:paraId="57A11A1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18" w:type="dxa"/>
            <w:shd w:val="clear" w:color="auto" w:fill="FFFFFF" w:themeFill="background1"/>
            <w:vAlign w:val="center"/>
          </w:tcPr>
          <w:p w14:paraId="5A72DDF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75,092,013</w:t>
            </w:r>
          </w:p>
        </w:tc>
        <w:tc>
          <w:tcPr>
            <w:tcW w:w="1836" w:type="dxa"/>
            <w:shd w:val="clear" w:color="auto" w:fill="FFFFFF" w:themeFill="background1"/>
            <w:vAlign w:val="center"/>
          </w:tcPr>
          <w:p w14:paraId="03BA1F0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《重整投资协议》中对限售期的承诺</w:t>
            </w:r>
          </w:p>
        </w:tc>
        <w:tc>
          <w:tcPr>
            <w:tcW w:w="1377" w:type="dxa"/>
            <w:shd w:val="clear" w:color="auto" w:fill="FFFFFF" w:themeFill="background1"/>
            <w:vAlign w:val="center"/>
          </w:tcPr>
          <w:p w14:paraId="16442DC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2025年12月31日</w:t>
            </w:r>
          </w:p>
        </w:tc>
      </w:tr>
      <w:tr w:rsidR="00632E5B" w14:paraId="11EFC769" w14:textId="77777777" w:rsidTr="0013487C">
        <w:trPr>
          <w:trHeight w:val="240"/>
          <w:jc w:val="center"/>
        </w:trPr>
        <w:tc>
          <w:tcPr>
            <w:tcW w:w="1840" w:type="dxa"/>
            <w:shd w:val="clear" w:color="auto" w:fill="FFFFFF" w:themeFill="background1"/>
            <w:vAlign w:val="center"/>
          </w:tcPr>
          <w:p w14:paraId="2C2C67F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湖北华楚国科十一号投资合伙企业（有限</w:t>
            </w:r>
          </w:p>
          <w:p w14:paraId="3E9D91A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合伙）</w:t>
            </w:r>
          </w:p>
        </w:tc>
        <w:tc>
          <w:tcPr>
            <w:tcW w:w="992" w:type="dxa"/>
            <w:shd w:val="clear" w:color="auto" w:fill="FFFFFF" w:themeFill="background1"/>
            <w:vAlign w:val="center"/>
          </w:tcPr>
          <w:p w14:paraId="3DE87C9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17" w:type="dxa"/>
            <w:shd w:val="clear" w:color="auto" w:fill="FFFFFF" w:themeFill="background1"/>
            <w:vAlign w:val="center"/>
          </w:tcPr>
          <w:p w14:paraId="1B019CE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70,411,318</w:t>
            </w:r>
          </w:p>
        </w:tc>
        <w:tc>
          <w:tcPr>
            <w:tcW w:w="1134" w:type="dxa"/>
            <w:shd w:val="clear" w:color="auto" w:fill="FFFFFF" w:themeFill="background1"/>
            <w:vAlign w:val="center"/>
          </w:tcPr>
          <w:p w14:paraId="27ED2C2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18" w:type="dxa"/>
            <w:shd w:val="clear" w:color="auto" w:fill="FFFFFF" w:themeFill="background1"/>
            <w:vAlign w:val="center"/>
          </w:tcPr>
          <w:p w14:paraId="50C38CA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70,411,318</w:t>
            </w:r>
          </w:p>
        </w:tc>
        <w:tc>
          <w:tcPr>
            <w:tcW w:w="1836" w:type="dxa"/>
            <w:shd w:val="clear" w:color="auto" w:fill="FFFFFF" w:themeFill="background1"/>
            <w:vAlign w:val="center"/>
          </w:tcPr>
          <w:p w14:paraId="78F82DF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《重整投资协议》中对限售期的承诺</w:t>
            </w:r>
          </w:p>
        </w:tc>
        <w:tc>
          <w:tcPr>
            <w:tcW w:w="1377" w:type="dxa"/>
            <w:shd w:val="clear" w:color="auto" w:fill="FFFFFF" w:themeFill="background1"/>
            <w:vAlign w:val="center"/>
          </w:tcPr>
          <w:p w14:paraId="6407951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2025年12月31日</w:t>
            </w:r>
          </w:p>
        </w:tc>
      </w:tr>
      <w:tr w:rsidR="00632E5B" w14:paraId="7740027B" w14:textId="77777777" w:rsidTr="0013487C">
        <w:trPr>
          <w:trHeight w:val="240"/>
          <w:jc w:val="center"/>
        </w:trPr>
        <w:tc>
          <w:tcPr>
            <w:tcW w:w="1840" w:type="dxa"/>
            <w:shd w:val="clear" w:color="auto" w:fill="FFFFFF" w:themeFill="background1"/>
            <w:vAlign w:val="center"/>
          </w:tcPr>
          <w:p w14:paraId="36C1CD2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中国东方国际资产管理有限公司－稳健收</w:t>
            </w:r>
          </w:p>
          <w:p w14:paraId="43E7377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益基金1号</w:t>
            </w:r>
          </w:p>
        </w:tc>
        <w:tc>
          <w:tcPr>
            <w:tcW w:w="992" w:type="dxa"/>
            <w:shd w:val="clear" w:color="auto" w:fill="FFFFFF" w:themeFill="background1"/>
            <w:vAlign w:val="center"/>
          </w:tcPr>
          <w:p w14:paraId="1848A1B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17" w:type="dxa"/>
            <w:shd w:val="clear" w:color="auto" w:fill="FFFFFF" w:themeFill="background1"/>
            <w:vAlign w:val="center"/>
          </w:tcPr>
          <w:p w14:paraId="35707AC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60,847,675</w:t>
            </w:r>
          </w:p>
        </w:tc>
        <w:tc>
          <w:tcPr>
            <w:tcW w:w="1134" w:type="dxa"/>
            <w:shd w:val="clear" w:color="auto" w:fill="FFFFFF" w:themeFill="background1"/>
            <w:vAlign w:val="center"/>
          </w:tcPr>
          <w:p w14:paraId="37236FA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18" w:type="dxa"/>
            <w:shd w:val="clear" w:color="auto" w:fill="FFFFFF" w:themeFill="background1"/>
            <w:vAlign w:val="center"/>
          </w:tcPr>
          <w:p w14:paraId="657F0C1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60,847,675</w:t>
            </w:r>
          </w:p>
        </w:tc>
        <w:tc>
          <w:tcPr>
            <w:tcW w:w="1836" w:type="dxa"/>
            <w:shd w:val="clear" w:color="auto" w:fill="FFFFFF" w:themeFill="background1"/>
            <w:vAlign w:val="center"/>
          </w:tcPr>
          <w:p w14:paraId="55FFD7E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《重整投资协议》中对限售期的承诺</w:t>
            </w:r>
          </w:p>
        </w:tc>
        <w:tc>
          <w:tcPr>
            <w:tcW w:w="1377" w:type="dxa"/>
            <w:shd w:val="clear" w:color="auto" w:fill="FFFFFF" w:themeFill="background1"/>
            <w:vAlign w:val="center"/>
          </w:tcPr>
          <w:p w14:paraId="530B657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2025年12月31日</w:t>
            </w:r>
          </w:p>
        </w:tc>
      </w:tr>
      <w:tr w:rsidR="00632E5B" w14:paraId="32526053" w14:textId="77777777" w:rsidTr="0013487C">
        <w:trPr>
          <w:trHeight w:val="240"/>
          <w:jc w:val="center"/>
        </w:trPr>
        <w:tc>
          <w:tcPr>
            <w:tcW w:w="1840" w:type="dxa"/>
            <w:shd w:val="clear" w:color="auto" w:fill="FFFFFF" w:themeFill="background1"/>
            <w:vAlign w:val="center"/>
          </w:tcPr>
          <w:p w14:paraId="6DAC25B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农银企航（苏州）私募基金管理有限公司</w:t>
            </w:r>
          </w:p>
        </w:tc>
        <w:tc>
          <w:tcPr>
            <w:tcW w:w="992" w:type="dxa"/>
            <w:shd w:val="clear" w:color="auto" w:fill="FFFFFF" w:themeFill="background1"/>
            <w:vAlign w:val="center"/>
          </w:tcPr>
          <w:p w14:paraId="0030A3A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17" w:type="dxa"/>
            <w:shd w:val="clear" w:color="auto" w:fill="FFFFFF" w:themeFill="background1"/>
            <w:vAlign w:val="center"/>
          </w:tcPr>
          <w:p w14:paraId="6502BEA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60,000,000</w:t>
            </w:r>
          </w:p>
        </w:tc>
        <w:tc>
          <w:tcPr>
            <w:tcW w:w="1134" w:type="dxa"/>
            <w:shd w:val="clear" w:color="auto" w:fill="FFFFFF" w:themeFill="background1"/>
            <w:vAlign w:val="center"/>
          </w:tcPr>
          <w:p w14:paraId="3558814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18" w:type="dxa"/>
            <w:shd w:val="clear" w:color="auto" w:fill="FFFFFF" w:themeFill="background1"/>
            <w:vAlign w:val="center"/>
          </w:tcPr>
          <w:p w14:paraId="1F64780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60,000,000</w:t>
            </w:r>
          </w:p>
        </w:tc>
        <w:tc>
          <w:tcPr>
            <w:tcW w:w="1836" w:type="dxa"/>
            <w:shd w:val="clear" w:color="auto" w:fill="FFFFFF" w:themeFill="background1"/>
            <w:vAlign w:val="center"/>
          </w:tcPr>
          <w:p w14:paraId="6C5C97D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《重整投资协议》中对限售期的承诺</w:t>
            </w:r>
          </w:p>
        </w:tc>
        <w:tc>
          <w:tcPr>
            <w:tcW w:w="1377" w:type="dxa"/>
            <w:shd w:val="clear" w:color="auto" w:fill="FFFFFF" w:themeFill="background1"/>
            <w:vAlign w:val="center"/>
          </w:tcPr>
          <w:p w14:paraId="3739753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2025年12月31日</w:t>
            </w:r>
          </w:p>
        </w:tc>
      </w:tr>
      <w:tr w:rsidR="00632E5B" w14:paraId="159F8D36" w14:textId="77777777" w:rsidTr="0013487C">
        <w:trPr>
          <w:trHeight w:val="240"/>
          <w:jc w:val="center"/>
        </w:trPr>
        <w:tc>
          <w:tcPr>
            <w:tcW w:w="1840" w:type="dxa"/>
            <w:shd w:val="clear" w:color="auto" w:fill="FFFFFF" w:themeFill="background1"/>
            <w:vAlign w:val="center"/>
          </w:tcPr>
          <w:p w14:paraId="1D46237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阎蕊</w:t>
            </w:r>
          </w:p>
        </w:tc>
        <w:tc>
          <w:tcPr>
            <w:tcW w:w="992" w:type="dxa"/>
            <w:shd w:val="clear" w:color="auto" w:fill="FFFFFF" w:themeFill="background1"/>
            <w:vAlign w:val="center"/>
          </w:tcPr>
          <w:p w14:paraId="26CBB23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17" w:type="dxa"/>
            <w:shd w:val="clear" w:color="auto" w:fill="FFFFFF" w:themeFill="background1"/>
            <w:vAlign w:val="center"/>
          </w:tcPr>
          <w:p w14:paraId="6F800ED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58,676,098</w:t>
            </w:r>
          </w:p>
        </w:tc>
        <w:tc>
          <w:tcPr>
            <w:tcW w:w="1134" w:type="dxa"/>
            <w:shd w:val="clear" w:color="auto" w:fill="FFFFFF" w:themeFill="background1"/>
            <w:vAlign w:val="center"/>
          </w:tcPr>
          <w:p w14:paraId="1EC53BE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18" w:type="dxa"/>
            <w:shd w:val="clear" w:color="auto" w:fill="FFFFFF" w:themeFill="background1"/>
            <w:vAlign w:val="center"/>
          </w:tcPr>
          <w:p w14:paraId="0F98980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58,676,098</w:t>
            </w:r>
          </w:p>
        </w:tc>
        <w:tc>
          <w:tcPr>
            <w:tcW w:w="1836" w:type="dxa"/>
            <w:shd w:val="clear" w:color="auto" w:fill="FFFFFF" w:themeFill="background1"/>
            <w:vAlign w:val="center"/>
          </w:tcPr>
          <w:p w14:paraId="6C0D802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《重整投资协议》中对限售期的承诺</w:t>
            </w:r>
          </w:p>
        </w:tc>
        <w:tc>
          <w:tcPr>
            <w:tcW w:w="1377" w:type="dxa"/>
            <w:shd w:val="clear" w:color="auto" w:fill="FFFFFF" w:themeFill="background1"/>
            <w:vAlign w:val="center"/>
          </w:tcPr>
          <w:p w14:paraId="5CFA9E8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2025年12月31日</w:t>
            </w:r>
          </w:p>
        </w:tc>
      </w:tr>
      <w:tr w:rsidR="00632E5B" w14:paraId="272965D9" w14:textId="77777777" w:rsidTr="0013487C">
        <w:trPr>
          <w:trHeight w:val="240"/>
          <w:jc w:val="center"/>
        </w:trPr>
        <w:tc>
          <w:tcPr>
            <w:tcW w:w="1840" w:type="dxa"/>
            <w:shd w:val="clear" w:color="auto" w:fill="FFFFFF" w:themeFill="background1"/>
            <w:vAlign w:val="center"/>
          </w:tcPr>
          <w:p w14:paraId="24F91BF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其他限售股份变动</w:t>
            </w:r>
          </w:p>
        </w:tc>
        <w:tc>
          <w:tcPr>
            <w:tcW w:w="992" w:type="dxa"/>
            <w:shd w:val="clear" w:color="auto" w:fill="FFFFFF" w:themeFill="background1"/>
            <w:vAlign w:val="center"/>
          </w:tcPr>
          <w:p w14:paraId="03B3D52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17" w:type="dxa"/>
            <w:shd w:val="clear" w:color="auto" w:fill="FFFFFF" w:themeFill="background1"/>
            <w:vAlign w:val="center"/>
          </w:tcPr>
          <w:p w14:paraId="25046ED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458,743,286</w:t>
            </w:r>
          </w:p>
        </w:tc>
        <w:tc>
          <w:tcPr>
            <w:tcW w:w="1134" w:type="dxa"/>
            <w:shd w:val="clear" w:color="auto" w:fill="FFFFFF" w:themeFill="background1"/>
            <w:vAlign w:val="center"/>
          </w:tcPr>
          <w:p w14:paraId="361D00C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18" w:type="dxa"/>
            <w:shd w:val="clear" w:color="auto" w:fill="FFFFFF" w:themeFill="background1"/>
            <w:vAlign w:val="center"/>
          </w:tcPr>
          <w:p w14:paraId="11B2AD0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458,743,286</w:t>
            </w:r>
          </w:p>
        </w:tc>
        <w:tc>
          <w:tcPr>
            <w:tcW w:w="1836" w:type="dxa"/>
            <w:shd w:val="clear" w:color="auto" w:fill="FFFFFF" w:themeFill="background1"/>
            <w:vAlign w:val="center"/>
          </w:tcPr>
          <w:p w14:paraId="0EA3BE6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《重整投资协议》中对限售期的承诺</w:t>
            </w:r>
          </w:p>
        </w:tc>
        <w:tc>
          <w:tcPr>
            <w:tcW w:w="1377" w:type="dxa"/>
            <w:shd w:val="clear" w:color="auto" w:fill="FFFFFF" w:themeFill="background1"/>
            <w:vAlign w:val="center"/>
          </w:tcPr>
          <w:p w14:paraId="3ACB5FD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2025年12月31日</w:t>
            </w:r>
          </w:p>
        </w:tc>
      </w:tr>
      <w:tr w:rsidR="00632E5B" w14:paraId="7E7B9EDF" w14:textId="77777777" w:rsidTr="0013487C">
        <w:trPr>
          <w:trHeight w:val="240"/>
          <w:jc w:val="center"/>
        </w:trPr>
        <w:tc>
          <w:tcPr>
            <w:tcW w:w="1840" w:type="dxa"/>
            <w:shd w:val="clear" w:color="auto" w:fill="FFFFFF" w:themeFill="background1"/>
            <w:vAlign w:val="center"/>
          </w:tcPr>
          <w:p w14:paraId="7A34F10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992" w:type="dxa"/>
            <w:shd w:val="clear" w:color="auto" w:fill="FFFFFF" w:themeFill="background1"/>
            <w:vAlign w:val="center"/>
          </w:tcPr>
          <w:p w14:paraId="5C0F600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17" w:type="dxa"/>
            <w:shd w:val="clear" w:color="auto" w:fill="FFFFFF" w:themeFill="background1"/>
            <w:vAlign w:val="center"/>
          </w:tcPr>
          <w:p w14:paraId="54E4A9B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1,788,013,739</w:t>
            </w:r>
          </w:p>
        </w:tc>
        <w:tc>
          <w:tcPr>
            <w:tcW w:w="1134" w:type="dxa"/>
            <w:shd w:val="clear" w:color="auto" w:fill="FFFFFF" w:themeFill="background1"/>
            <w:vAlign w:val="center"/>
          </w:tcPr>
          <w:p w14:paraId="634FA6E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418" w:type="dxa"/>
            <w:shd w:val="clear" w:color="auto" w:fill="FFFFFF" w:themeFill="background1"/>
            <w:vAlign w:val="center"/>
          </w:tcPr>
          <w:p w14:paraId="01C2A21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1,788,013,739</w:t>
            </w:r>
          </w:p>
        </w:tc>
        <w:tc>
          <w:tcPr>
            <w:tcW w:w="1836" w:type="dxa"/>
            <w:shd w:val="clear" w:color="auto" w:fill="FFFFFF" w:themeFill="background1"/>
            <w:vAlign w:val="center"/>
          </w:tcPr>
          <w:p w14:paraId="22D132B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1377" w:type="dxa"/>
            <w:shd w:val="clear" w:color="auto" w:fill="FFFFFF" w:themeFill="background1"/>
            <w:vAlign w:val="center"/>
          </w:tcPr>
          <w:p w14:paraId="4E93283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r>
    </w:tbl>
    <w:p w14:paraId="678AD4BC" w14:textId="77777777" w:rsidR="00632E5B" w:rsidRDefault="00107901">
      <w:pPr>
        <w:pStyle w:val="2"/>
        <w:spacing w:before="300" w:after="300" w:line="320" w:lineRule="exact"/>
        <w:rPr>
          <w:rFonts w:ascii="宋体" w:eastAsia="宋体" w:hAnsi="宋体" w:cs="宋体" w:hint="eastAsia"/>
          <w:b/>
          <w:bCs/>
          <w:sz w:val="24"/>
          <w:szCs w:val="24"/>
        </w:rPr>
      </w:pPr>
      <w:bookmarkStart w:id="133" w:name="_Toc989022"/>
      <w:r>
        <w:rPr>
          <w:rFonts w:ascii="宋体" w:eastAsia="宋体" w:hAnsi="宋体" w:cs="宋体"/>
          <w:b/>
          <w:bCs/>
          <w:sz w:val="24"/>
          <w:szCs w:val="24"/>
        </w:rPr>
        <w:lastRenderedPageBreak/>
        <w:t>二、证券发行与上市情况</w:t>
      </w:r>
      <w:bookmarkEnd w:id="133"/>
    </w:p>
    <w:p w14:paraId="541016B9" w14:textId="77777777" w:rsidR="00632E5B" w:rsidRDefault="00107901">
      <w:pPr>
        <w:pStyle w:val="3"/>
        <w:spacing w:line="280" w:lineRule="exact"/>
        <w:jc w:val="left"/>
        <w:rPr>
          <w:rFonts w:ascii="宋体" w:hAnsi="宋体" w:cs="宋体" w:hint="eastAsia"/>
          <w:b/>
          <w:bCs/>
        </w:rPr>
      </w:pPr>
      <w:bookmarkStart w:id="134" w:name="_Toc989023"/>
      <w:r>
        <w:rPr>
          <w:rFonts w:ascii="宋体" w:hAnsi="宋体" w:cs="宋体"/>
          <w:b/>
          <w:bCs/>
        </w:rPr>
        <w:t>1、报告期内证券发行（不含优先股）情况</w:t>
      </w:r>
      <w:bookmarkEnd w:id="134"/>
    </w:p>
    <w:p w14:paraId="08449CAA"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B3AD6FC" w14:textId="77777777" w:rsidR="00632E5B" w:rsidRDefault="00107901">
      <w:pPr>
        <w:pStyle w:val="3"/>
        <w:spacing w:line="280" w:lineRule="exact"/>
        <w:jc w:val="left"/>
        <w:rPr>
          <w:rFonts w:ascii="宋体" w:hAnsi="宋体" w:cs="宋体" w:hint="eastAsia"/>
          <w:b/>
          <w:bCs/>
        </w:rPr>
      </w:pPr>
      <w:bookmarkStart w:id="135" w:name="_Toc989024"/>
      <w:r>
        <w:rPr>
          <w:rFonts w:ascii="宋体" w:hAnsi="宋体" w:cs="宋体"/>
          <w:b/>
          <w:bCs/>
        </w:rPr>
        <w:t>2、公司股份总数及股东结构的变动、公司资产和负债结构的变动情况说明</w:t>
      </w:r>
      <w:bookmarkEnd w:id="135"/>
    </w:p>
    <w:p w14:paraId="2B56685A"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2CEE0044" w14:textId="77777777" w:rsidR="00632E5B" w:rsidRDefault="00107901">
      <w:pPr>
        <w:pStyle w:val="3"/>
        <w:spacing w:line="280" w:lineRule="exact"/>
        <w:jc w:val="left"/>
        <w:rPr>
          <w:rFonts w:ascii="宋体" w:hAnsi="宋体" w:cs="宋体" w:hint="eastAsia"/>
          <w:b/>
          <w:bCs/>
        </w:rPr>
      </w:pPr>
      <w:bookmarkStart w:id="136" w:name="_Toc989025"/>
      <w:r>
        <w:rPr>
          <w:rFonts w:ascii="宋体" w:hAnsi="宋体" w:cs="宋体"/>
          <w:b/>
          <w:bCs/>
        </w:rPr>
        <w:t>3、现存的内部职工股情况</w:t>
      </w:r>
      <w:bookmarkEnd w:id="136"/>
    </w:p>
    <w:p w14:paraId="418CF3B0"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576D8F9C" w14:textId="77777777" w:rsidR="00632E5B" w:rsidRDefault="00107901">
      <w:pPr>
        <w:pStyle w:val="2"/>
        <w:spacing w:before="300" w:after="300" w:line="320" w:lineRule="exact"/>
        <w:rPr>
          <w:rFonts w:ascii="宋体" w:eastAsia="宋体" w:hAnsi="宋体" w:cs="宋体" w:hint="eastAsia"/>
          <w:b/>
          <w:bCs/>
          <w:sz w:val="24"/>
          <w:szCs w:val="24"/>
        </w:rPr>
      </w:pPr>
      <w:bookmarkStart w:id="137" w:name="_Toc989026"/>
      <w:r>
        <w:rPr>
          <w:rFonts w:ascii="宋体" w:eastAsia="宋体" w:hAnsi="宋体" w:cs="宋体"/>
          <w:b/>
          <w:bCs/>
          <w:sz w:val="24"/>
          <w:szCs w:val="24"/>
        </w:rPr>
        <w:t>三、股东和实际控制人情况</w:t>
      </w:r>
      <w:bookmarkEnd w:id="137"/>
    </w:p>
    <w:p w14:paraId="212B4A5C" w14:textId="77777777" w:rsidR="00632E5B" w:rsidRDefault="00107901">
      <w:pPr>
        <w:pStyle w:val="3"/>
        <w:spacing w:line="280" w:lineRule="exact"/>
        <w:jc w:val="left"/>
        <w:rPr>
          <w:rFonts w:ascii="宋体" w:hAnsi="宋体" w:cs="宋体" w:hint="eastAsia"/>
          <w:b/>
          <w:bCs/>
        </w:rPr>
      </w:pPr>
      <w:bookmarkStart w:id="138" w:name="_Toc989027"/>
      <w:r>
        <w:rPr>
          <w:rFonts w:ascii="宋体" w:hAnsi="宋体" w:cs="宋体"/>
          <w:b/>
          <w:bCs/>
        </w:rPr>
        <w:t>1、公司股东数量及持股情况</w:t>
      </w:r>
      <w:bookmarkEnd w:id="138"/>
    </w:p>
    <w:p w14:paraId="14D07A79" w14:textId="77777777" w:rsidR="00632E5B" w:rsidRDefault="00107901">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单位：股</w:t>
      </w:r>
    </w:p>
    <w:tbl>
      <w:tblPr>
        <w:tblW w:w="99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071"/>
        <w:gridCol w:w="945"/>
        <w:gridCol w:w="992"/>
        <w:gridCol w:w="1276"/>
        <w:gridCol w:w="1275"/>
        <w:gridCol w:w="1276"/>
        <w:gridCol w:w="1242"/>
        <w:gridCol w:w="709"/>
        <w:gridCol w:w="7"/>
        <w:gridCol w:w="1127"/>
      </w:tblGrid>
      <w:tr w:rsidR="00632E5B" w14:paraId="128D29EF" w14:textId="77777777" w:rsidTr="0013487C">
        <w:trPr>
          <w:trHeight w:val="240"/>
          <w:jc w:val="center"/>
        </w:trPr>
        <w:tc>
          <w:tcPr>
            <w:tcW w:w="1071" w:type="dxa"/>
            <w:shd w:val="clear" w:color="auto" w:fill="FFFFFF" w:themeFill="background1"/>
            <w:vAlign w:val="center"/>
          </w:tcPr>
          <w:p w14:paraId="1CF73FA3"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报告期末普通股股东总数</w:t>
            </w:r>
          </w:p>
        </w:tc>
        <w:tc>
          <w:tcPr>
            <w:tcW w:w="945" w:type="dxa"/>
            <w:shd w:val="clear" w:color="auto" w:fill="FFFFFF" w:themeFill="background1"/>
            <w:vAlign w:val="center"/>
          </w:tcPr>
          <w:p w14:paraId="5451153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25,868</w:t>
            </w:r>
          </w:p>
        </w:tc>
        <w:tc>
          <w:tcPr>
            <w:tcW w:w="992" w:type="dxa"/>
            <w:shd w:val="clear" w:color="auto" w:fill="FFFFFF" w:themeFill="background1"/>
            <w:vAlign w:val="center"/>
          </w:tcPr>
          <w:p w14:paraId="45A810B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年度报告披露日前上一月末普通股股东总数</w:t>
            </w:r>
          </w:p>
        </w:tc>
        <w:tc>
          <w:tcPr>
            <w:tcW w:w="1276" w:type="dxa"/>
            <w:shd w:val="clear" w:color="auto" w:fill="FFFFFF" w:themeFill="background1"/>
            <w:vAlign w:val="center"/>
          </w:tcPr>
          <w:p w14:paraId="5B95EA4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25,101</w:t>
            </w:r>
          </w:p>
        </w:tc>
        <w:tc>
          <w:tcPr>
            <w:tcW w:w="1275" w:type="dxa"/>
            <w:shd w:val="clear" w:color="auto" w:fill="FFFFFF" w:themeFill="background1"/>
            <w:vAlign w:val="center"/>
          </w:tcPr>
          <w:p w14:paraId="2148E582"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报告期末表决权恢复的优先股股东总数（如有）（参见注8）</w:t>
            </w:r>
          </w:p>
        </w:tc>
        <w:tc>
          <w:tcPr>
            <w:tcW w:w="1276" w:type="dxa"/>
            <w:shd w:val="clear" w:color="auto" w:fill="FFFFFF" w:themeFill="background1"/>
            <w:vAlign w:val="center"/>
          </w:tcPr>
          <w:p w14:paraId="0499658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1958" w:type="dxa"/>
            <w:gridSpan w:val="3"/>
            <w:shd w:val="clear" w:color="auto" w:fill="FFFFFF" w:themeFill="background1"/>
            <w:vAlign w:val="center"/>
          </w:tcPr>
          <w:p w14:paraId="0BD983FB"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年度报告披露日前上一月末表决权恢复的优先股股东总数（如有）（参见注8）</w:t>
            </w:r>
          </w:p>
        </w:tc>
        <w:tc>
          <w:tcPr>
            <w:tcW w:w="1127" w:type="dxa"/>
            <w:shd w:val="clear" w:color="auto" w:fill="FFFFFF" w:themeFill="background1"/>
            <w:vAlign w:val="center"/>
          </w:tcPr>
          <w:p w14:paraId="32A8D8A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632E5B" w14:paraId="1122215A" w14:textId="77777777" w:rsidTr="0013487C">
        <w:trPr>
          <w:trHeight w:val="240"/>
          <w:jc w:val="center"/>
        </w:trPr>
        <w:tc>
          <w:tcPr>
            <w:tcW w:w="9920" w:type="dxa"/>
            <w:gridSpan w:val="10"/>
            <w:shd w:val="clear" w:color="auto" w:fill="FFFFFF" w:themeFill="background1"/>
            <w:vAlign w:val="center"/>
          </w:tcPr>
          <w:p w14:paraId="4C8E7B6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持股5%以上的股东或前10名股东持股情况（不含通过转融通出借股份）</w:t>
            </w:r>
          </w:p>
        </w:tc>
      </w:tr>
      <w:tr w:rsidR="00632E5B" w14:paraId="1042B5E8" w14:textId="77777777" w:rsidTr="0013487C">
        <w:trPr>
          <w:trHeight w:val="240"/>
          <w:jc w:val="center"/>
        </w:trPr>
        <w:tc>
          <w:tcPr>
            <w:tcW w:w="1071" w:type="dxa"/>
            <w:vMerge w:val="restart"/>
            <w:shd w:val="clear" w:color="auto" w:fill="FFFFFF" w:themeFill="background1"/>
            <w:vAlign w:val="center"/>
          </w:tcPr>
          <w:p w14:paraId="65662CD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股东名称</w:t>
            </w:r>
          </w:p>
        </w:tc>
        <w:tc>
          <w:tcPr>
            <w:tcW w:w="945" w:type="dxa"/>
            <w:vMerge w:val="restart"/>
            <w:shd w:val="clear" w:color="auto" w:fill="FFFFFF" w:themeFill="background1"/>
            <w:vAlign w:val="center"/>
          </w:tcPr>
          <w:p w14:paraId="1BD4432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股东性质</w:t>
            </w:r>
          </w:p>
        </w:tc>
        <w:tc>
          <w:tcPr>
            <w:tcW w:w="992" w:type="dxa"/>
            <w:vMerge w:val="restart"/>
            <w:shd w:val="clear" w:color="auto" w:fill="FFFFFF" w:themeFill="background1"/>
            <w:vAlign w:val="center"/>
          </w:tcPr>
          <w:p w14:paraId="3921D8D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持股比例</w:t>
            </w:r>
          </w:p>
        </w:tc>
        <w:tc>
          <w:tcPr>
            <w:tcW w:w="1276" w:type="dxa"/>
            <w:vMerge w:val="restart"/>
            <w:shd w:val="clear" w:color="auto" w:fill="FFFFFF" w:themeFill="background1"/>
            <w:vAlign w:val="center"/>
          </w:tcPr>
          <w:p w14:paraId="62893CA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报告期末持股数量</w:t>
            </w:r>
          </w:p>
        </w:tc>
        <w:tc>
          <w:tcPr>
            <w:tcW w:w="1275" w:type="dxa"/>
            <w:vMerge w:val="restart"/>
            <w:shd w:val="clear" w:color="auto" w:fill="FFFFFF" w:themeFill="background1"/>
            <w:vAlign w:val="center"/>
          </w:tcPr>
          <w:p w14:paraId="45E8862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报告期内增减变动情况</w:t>
            </w:r>
          </w:p>
        </w:tc>
        <w:tc>
          <w:tcPr>
            <w:tcW w:w="1276" w:type="dxa"/>
            <w:vMerge w:val="restart"/>
            <w:shd w:val="clear" w:color="auto" w:fill="FFFFFF" w:themeFill="background1"/>
            <w:vAlign w:val="center"/>
          </w:tcPr>
          <w:p w14:paraId="046F0B1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持有有限售条件的股份数量</w:t>
            </w:r>
          </w:p>
        </w:tc>
        <w:tc>
          <w:tcPr>
            <w:tcW w:w="1242" w:type="dxa"/>
            <w:vMerge w:val="restart"/>
            <w:shd w:val="clear" w:color="auto" w:fill="FFFFFF" w:themeFill="background1"/>
            <w:vAlign w:val="center"/>
          </w:tcPr>
          <w:p w14:paraId="330A30E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持有无限售条件的股份数量</w:t>
            </w:r>
          </w:p>
        </w:tc>
        <w:tc>
          <w:tcPr>
            <w:tcW w:w="1843" w:type="dxa"/>
            <w:gridSpan w:val="3"/>
            <w:shd w:val="clear" w:color="auto" w:fill="FFFFFF" w:themeFill="background1"/>
            <w:vAlign w:val="center"/>
          </w:tcPr>
          <w:p w14:paraId="2903C25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质押、标记或冻结情况</w:t>
            </w:r>
          </w:p>
        </w:tc>
      </w:tr>
      <w:tr w:rsidR="00632E5B" w14:paraId="1276BB24" w14:textId="77777777" w:rsidTr="0013487C">
        <w:trPr>
          <w:trHeight w:val="240"/>
          <w:jc w:val="center"/>
        </w:trPr>
        <w:tc>
          <w:tcPr>
            <w:tcW w:w="1071" w:type="dxa"/>
            <w:vMerge/>
            <w:shd w:val="clear" w:color="auto" w:fill="FFFFFF" w:themeFill="background1"/>
            <w:vAlign w:val="center"/>
          </w:tcPr>
          <w:p w14:paraId="6A495142" w14:textId="77777777" w:rsidR="00632E5B" w:rsidRDefault="00632E5B"/>
        </w:tc>
        <w:tc>
          <w:tcPr>
            <w:tcW w:w="945" w:type="dxa"/>
            <w:vMerge/>
            <w:shd w:val="clear" w:color="auto" w:fill="FFFFFF" w:themeFill="background1"/>
            <w:vAlign w:val="center"/>
          </w:tcPr>
          <w:p w14:paraId="19BF31DD" w14:textId="77777777" w:rsidR="00632E5B" w:rsidRDefault="00632E5B"/>
        </w:tc>
        <w:tc>
          <w:tcPr>
            <w:tcW w:w="992" w:type="dxa"/>
            <w:vMerge/>
            <w:shd w:val="clear" w:color="auto" w:fill="FFFFFF" w:themeFill="background1"/>
            <w:vAlign w:val="center"/>
          </w:tcPr>
          <w:p w14:paraId="56E89971" w14:textId="77777777" w:rsidR="00632E5B" w:rsidRDefault="00632E5B"/>
        </w:tc>
        <w:tc>
          <w:tcPr>
            <w:tcW w:w="1276" w:type="dxa"/>
            <w:vMerge/>
            <w:shd w:val="clear" w:color="auto" w:fill="FFFFFF" w:themeFill="background1"/>
            <w:vAlign w:val="center"/>
          </w:tcPr>
          <w:p w14:paraId="345359B2" w14:textId="77777777" w:rsidR="00632E5B" w:rsidRDefault="00632E5B"/>
        </w:tc>
        <w:tc>
          <w:tcPr>
            <w:tcW w:w="1275" w:type="dxa"/>
            <w:vMerge/>
            <w:shd w:val="clear" w:color="auto" w:fill="FFFFFF" w:themeFill="background1"/>
            <w:vAlign w:val="center"/>
          </w:tcPr>
          <w:p w14:paraId="7CA4CCBD" w14:textId="77777777" w:rsidR="00632E5B" w:rsidRDefault="00632E5B"/>
        </w:tc>
        <w:tc>
          <w:tcPr>
            <w:tcW w:w="1276" w:type="dxa"/>
            <w:vMerge/>
            <w:shd w:val="clear" w:color="auto" w:fill="FFFFFF" w:themeFill="background1"/>
            <w:vAlign w:val="center"/>
          </w:tcPr>
          <w:p w14:paraId="594F6F03" w14:textId="77777777" w:rsidR="00632E5B" w:rsidRDefault="00632E5B"/>
        </w:tc>
        <w:tc>
          <w:tcPr>
            <w:tcW w:w="1242" w:type="dxa"/>
            <w:vMerge/>
            <w:shd w:val="clear" w:color="auto" w:fill="FFFFFF" w:themeFill="background1"/>
            <w:vAlign w:val="center"/>
          </w:tcPr>
          <w:p w14:paraId="5762A5C6" w14:textId="77777777" w:rsidR="00632E5B" w:rsidRDefault="00632E5B"/>
        </w:tc>
        <w:tc>
          <w:tcPr>
            <w:tcW w:w="709" w:type="dxa"/>
            <w:shd w:val="clear" w:color="auto" w:fill="FFFFFF" w:themeFill="background1"/>
            <w:vAlign w:val="center"/>
          </w:tcPr>
          <w:p w14:paraId="7E7E750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股份状态</w:t>
            </w:r>
          </w:p>
        </w:tc>
        <w:tc>
          <w:tcPr>
            <w:tcW w:w="1134" w:type="dxa"/>
            <w:gridSpan w:val="2"/>
            <w:shd w:val="clear" w:color="auto" w:fill="FFFFFF" w:themeFill="background1"/>
            <w:vAlign w:val="center"/>
          </w:tcPr>
          <w:p w14:paraId="545D183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数量</w:t>
            </w:r>
          </w:p>
        </w:tc>
      </w:tr>
      <w:tr w:rsidR="00632E5B" w14:paraId="47A76C91" w14:textId="77777777" w:rsidTr="0013487C">
        <w:trPr>
          <w:trHeight w:val="240"/>
          <w:jc w:val="center"/>
        </w:trPr>
        <w:tc>
          <w:tcPr>
            <w:tcW w:w="1071" w:type="dxa"/>
            <w:shd w:val="clear" w:color="auto" w:fill="FFFFFF" w:themeFill="background1"/>
            <w:vAlign w:val="center"/>
          </w:tcPr>
          <w:p w14:paraId="6FF620A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常熟光晟新能源有限公司</w:t>
            </w:r>
          </w:p>
        </w:tc>
        <w:tc>
          <w:tcPr>
            <w:tcW w:w="945" w:type="dxa"/>
            <w:shd w:val="clear" w:color="auto" w:fill="FFFFFF" w:themeFill="background1"/>
            <w:vAlign w:val="center"/>
          </w:tcPr>
          <w:p w14:paraId="504F98E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国有法人</w:t>
            </w:r>
          </w:p>
        </w:tc>
        <w:tc>
          <w:tcPr>
            <w:tcW w:w="992" w:type="dxa"/>
            <w:shd w:val="clear" w:color="auto" w:fill="FFFFFF" w:themeFill="background1"/>
            <w:vAlign w:val="center"/>
          </w:tcPr>
          <w:p w14:paraId="18AAE2D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20.00%</w:t>
            </w:r>
          </w:p>
        </w:tc>
        <w:tc>
          <w:tcPr>
            <w:tcW w:w="1276" w:type="dxa"/>
            <w:shd w:val="clear" w:color="auto" w:fill="FFFFFF" w:themeFill="background1"/>
            <w:vAlign w:val="center"/>
          </w:tcPr>
          <w:p w14:paraId="6ECC252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601,533,077</w:t>
            </w:r>
          </w:p>
        </w:tc>
        <w:tc>
          <w:tcPr>
            <w:tcW w:w="1275" w:type="dxa"/>
            <w:shd w:val="clear" w:color="auto" w:fill="FFFFFF" w:themeFill="background1"/>
            <w:vAlign w:val="center"/>
          </w:tcPr>
          <w:p w14:paraId="28BADA2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601,533,077</w:t>
            </w:r>
          </w:p>
        </w:tc>
        <w:tc>
          <w:tcPr>
            <w:tcW w:w="1276" w:type="dxa"/>
            <w:shd w:val="clear" w:color="auto" w:fill="FFFFFF" w:themeFill="background1"/>
            <w:vAlign w:val="center"/>
          </w:tcPr>
          <w:p w14:paraId="234F196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601,533,077</w:t>
            </w:r>
          </w:p>
        </w:tc>
        <w:tc>
          <w:tcPr>
            <w:tcW w:w="1242" w:type="dxa"/>
            <w:shd w:val="clear" w:color="auto" w:fill="FFFFFF" w:themeFill="background1"/>
            <w:vAlign w:val="center"/>
          </w:tcPr>
          <w:p w14:paraId="2C8E501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09" w:type="dxa"/>
            <w:shd w:val="clear" w:color="auto" w:fill="FFFFFF" w:themeFill="background1"/>
            <w:vAlign w:val="center"/>
          </w:tcPr>
          <w:p w14:paraId="6AA3941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134" w:type="dxa"/>
            <w:gridSpan w:val="2"/>
            <w:shd w:val="clear" w:color="auto" w:fill="FFFFFF" w:themeFill="background1"/>
            <w:vAlign w:val="center"/>
          </w:tcPr>
          <w:p w14:paraId="20751B5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632E5B" w14:paraId="04A6772B" w14:textId="77777777" w:rsidTr="0013487C">
        <w:trPr>
          <w:trHeight w:val="240"/>
          <w:jc w:val="center"/>
        </w:trPr>
        <w:tc>
          <w:tcPr>
            <w:tcW w:w="1071" w:type="dxa"/>
            <w:shd w:val="clear" w:color="auto" w:fill="FFFFFF" w:themeFill="background1"/>
            <w:vAlign w:val="center"/>
          </w:tcPr>
          <w:p w14:paraId="7CFCCFD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江苏中利集团股份有限公司破产企业财产处置专用账户</w:t>
            </w:r>
          </w:p>
        </w:tc>
        <w:tc>
          <w:tcPr>
            <w:tcW w:w="945" w:type="dxa"/>
            <w:shd w:val="clear" w:color="auto" w:fill="FFFFFF" w:themeFill="background1"/>
            <w:vAlign w:val="center"/>
          </w:tcPr>
          <w:p w14:paraId="09BE4AC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992" w:type="dxa"/>
            <w:shd w:val="clear" w:color="auto" w:fill="FFFFFF" w:themeFill="background1"/>
            <w:vAlign w:val="center"/>
          </w:tcPr>
          <w:p w14:paraId="6447FF9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14.21%</w:t>
            </w:r>
          </w:p>
        </w:tc>
        <w:tc>
          <w:tcPr>
            <w:tcW w:w="1276" w:type="dxa"/>
            <w:shd w:val="clear" w:color="auto" w:fill="FFFFFF" w:themeFill="background1"/>
            <w:vAlign w:val="center"/>
          </w:tcPr>
          <w:p w14:paraId="39247C3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427,280,046</w:t>
            </w:r>
          </w:p>
        </w:tc>
        <w:tc>
          <w:tcPr>
            <w:tcW w:w="1275" w:type="dxa"/>
            <w:shd w:val="clear" w:color="auto" w:fill="FFFFFF" w:themeFill="background1"/>
            <w:vAlign w:val="center"/>
          </w:tcPr>
          <w:p w14:paraId="47BE7E0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427,280,046</w:t>
            </w:r>
          </w:p>
        </w:tc>
        <w:tc>
          <w:tcPr>
            <w:tcW w:w="1276" w:type="dxa"/>
            <w:shd w:val="clear" w:color="auto" w:fill="FFFFFF" w:themeFill="background1"/>
            <w:vAlign w:val="center"/>
          </w:tcPr>
          <w:p w14:paraId="71F5E54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79,415,468</w:t>
            </w:r>
          </w:p>
        </w:tc>
        <w:tc>
          <w:tcPr>
            <w:tcW w:w="1242" w:type="dxa"/>
            <w:shd w:val="clear" w:color="auto" w:fill="FFFFFF" w:themeFill="background1"/>
            <w:vAlign w:val="center"/>
          </w:tcPr>
          <w:p w14:paraId="0168BB1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347,864,578</w:t>
            </w:r>
          </w:p>
        </w:tc>
        <w:tc>
          <w:tcPr>
            <w:tcW w:w="709" w:type="dxa"/>
            <w:shd w:val="clear" w:color="auto" w:fill="FFFFFF" w:themeFill="background1"/>
            <w:vAlign w:val="center"/>
          </w:tcPr>
          <w:p w14:paraId="29DF32E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134" w:type="dxa"/>
            <w:gridSpan w:val="2"/>
            <w:shd w:val="clear" w:color="auto" w:fill="FFFFFF" w:themeFill="background1"/>
            <w:vAlign w:val="center"/>
          </w:tcPr>
          <w:p w14:paraId="72B0D34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632E5B" w14:paraId="344531BD" w14:textId="77777777" w:rsidTr="0013487C">
        <w:trPr>
          <w:trHeight w:val="240"/>
          <w:jc w:val="center"/>
        </w:trPr>
        <w:tc>
          <w:tcPr>
            <w:tcW w:w="1071" w:type="dxa"/>
            <w:shd w:val="clear" w:color="auto" w:fill="FFFFFF" w:themeFill="background1"/>
            <w:vAlign w:val="center"/>
          </w:tcPr>
          <w:p w14:paraId="01366E3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杜月姣</w:t>
            </w:r>
          </w:p>
        </w:tc>
        <w:tc>
          <w:tcPr>
            <w:tcW w:w="945" w:type="dxa"/>
            <w:shd w:val="clear" w:color="auto" w:fill="FFFFFF" w:themeFill="background1"/>
            <w:vAlign w:val="center"/>
          </w:tcPr>
          <w:p w14:paraId="202DD87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境内自然人</w:t>
            </w:r>
          </w:p>
        </w:tc>
        <w:tc>
          <w:tcPr>
            <w:tcW w:w="992" w:type="dxa"/>
            <w:shd w:val="clear" w:color="auto" w:fill="FFFFFF" w:themeFill="background1"/>
            <w:vAlign w:val="center"/>
          </w:tcPr>
          <w:p w14:paraId="19D538F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4.99%</w:t>
            </w:r>
          </w:p>
        </w:tc>
        <w:tc>
          <w:tcPr>
            <w:tcW w:w="1276" w:type="dxa"/>
            <w:shd w:val="clear" w:color="auto" w:fill="FFFFFF" w:themeFill="background1"/>
            <w:vAlign w:val="center"/>
          </w:tcPr>
          <w:p w14:paraId="23F695B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150,000,000</w:t>
            </w:r>
          </w:p>
        </w:tc>
        <w:tc>
          <w:tcPr>
            <w:tcW w:w="1275" w:type="dxa"/>
            <w:shd w:val="clear" w:color="auto" w:fill="FFFFFF" w:themeFill="background1"/>
            <w:vAlign w:val="center"/>
          </w:tcPr>
          <w:p w14:paraId="45DA37A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150,000,000</w:t>
            </w:r>
          </w:p>
        </w:tc>
        <w:tc>
          <w:tcPr>
            <w:tcW w:w="1276" w:type="dxa"/>
            <w:shd w:val="clear" w:color="auto" w:fill="FFFFFF" w:themeFill="background1"/>
            <w:vAlign w:val="center"/>
          </w:tcPr>
          <w:p w14:paraId="5F94E8C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150,000,000</w:t>
            </w:r>
          </w:p>
        </w:tc>
        <w:tc>
          <w:tcPr>
            <w:tcW w:w="1242" w:type="dxa"/>
            <w:shd w:val="clear" w:color="auto" w:fill="FFFFFF" w:themeFill="background1"/>
            <w:vAlign w:val="center"/>
          </w:tcPr>
          <w:p w14:paraId="6EB2EEC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09" w:type="dxa"/>
            <w:shd w:val="clear" w:color="auto" w:fill="FFFFFF" w:themeFill="background1"/>
            <w:vAlign w:val="center"/>
          </w:tcPr>
          <w:p w14:paraId="6180773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134" w:type="dxa"/>
            <w:gridSpan w:val="2"/>
            <w:shd w:val="clear" w:color="auto" w:fill="FFFFFF" w:themeFill="background1"/>
            <w:vAlign w:val="center"/>
          </w:tcPr>
          <w:p w14:paraId="1869F76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632E5B" w14:paraId="66332486" w14:textId="77777777" w:rsidTr="0013487C">
        <w:trPr>
          <w:trHeight w:val="240"/>
          <w:jc w:val="center"/>
        </w:trPr>
        <w:tc>
          <w:tcPr>
            <w:tcW w:w="1071" w:type="dxa"/>
            <w:shd w:val="clear" w:color="auto" w:fill="FFFFFF" w:themeFill="background1"/>
            <w:vAlign w:val="center"/>
          </w:tcPr>
          <w:p w14:paraId="5D91FB2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刘青科</w:t>
            </w:r>
          </w:p>
        </w:tc>
        <w:tc>
          <w:tcPr>
            <w:tcW w:w="945" w:type="dxa"/>
            <w:shd w:val="clear" w:color="auto" w:fill="FFFFFF" w:themeFill="background1"/>
            <w:vAlign w:val="center"/>
          </w:tcPr>
          <w:p w14:paraId="445CB25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境内自然人</w:t>
            </w:r>
          </w:p>
        </w:tc>
        <w:tc>
          <w:tcPr>
            <w:tcW w:w="992" w:type="dxa"/>
            <w:shd w:val="clear" w:color="auto" w:fill="FFFFFF" w:themeFill="background1"/>
            <w:vAlign w:val="center"/>
          </w:tcPr>
          <w:p w14:paraId="33320BF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2.93%</w:t>
            </w:r>
          </w:p>
        </w:tc>
        <w:tc>
          <w:tcPr>
            <w:tcW w:w="1276" w:type="dxa"/>
            <w:shd w:val="clear" w:color="auto" w:fill="FFFFFF" w:themeFill="background1"/>
            <w:vAlign w:val="center"/>
          </w:tcPr>
          <w:p w14:paraId="2201FF9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88,014,147</w:t>
            </w:r>
          </w:p>
        </w:tc>
        <w:tc>
          <w:tcPr>
            <w:tcW w:w="1275" w:type="dxa"/>
            <w:shd w:val="clear" w:color="auto" w:fill="FFFFFF" w:themeFill="background1"/>
            <w:vAlign w:val="center"/>
          </w:tcPr>
          <w:p w14:paraId="41B6025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88,014,147</w:t>
            </w:r>
          </w:p>
        </w:tc>
        <w:tc>
          <w:tcPr>
            <w:tcW w:w="1276" w:type="dxa"/>
            <w:shd w:val="clear" w:color="auto" w:fill="FFFFFF" w:themeFill="background1"/>
            <w:vAlign w:val="center"/>
          </w:tcPr>
          <w:p w14:paraId="7E83B07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88,014,147</w:t>
            </w:r>
          </w:p>
        </w:tc>
        <w:tc>
          <w:tcPr>
            <w:tcW w:w="1242" w:type="dxa"/>
            <w:shd w:val="clear" w:color="auto" w:fill="FFFFFF" w:themeFill="background1"/>
            <w:vAlign w:val="center"/>
          </w:tcPr>
          <w:p w14:paraId="1D14E92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09" w:type="dxa"/>
            <w:shd w:val="clear" w:color="auto" w:fill="FFFFFF" w:themeFill="background1"/>
            <w:vAlign w:val="center"/>
          </w:tcPr>
          <w:p w14:paraId="4641014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134" w:type="dxa"/>
            <w:gridSpan w:val="2"/>
            <w:shd w:val="clear" w:color="auto" w:fill="FFFFFF" w:themeFill="background1"/>
            <w:vAlign w:val="center"/>
          </w:tcPr>
          <w:p w14:paraId="46DB4D5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632E5B" w14:paraId="3808CA39" w14:textId="77777777" w:rsidTr="0013487C">
        <w:trPr>
          <w:trHeight w:val="240"/>
          <w:jc w:val="center"/>
        </w:trPr>
        <w:tc>
          <w:tcPr>
            <w:tcW w:w="1071" w:type="dxa"/>
            <w:shd w:val="clear" w:color="auto" w:fill="FFFFFF" w:themeFill="background1"/>
            <w:vAlign w:val="center"/>
          </w:tcPr>
          <w:p w14:paraId="530D16A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中国东方国际资产管理有限公司－中国东方收益增强基金</w:t>
            </w:r>
          </w:p>
        </w:tc>
        <w:tc>
          <w:tcPr>
            <w:tcW w:w="945" w:type="dxa"/>
            <w:shd w:val="clear" w:color="auto" w:fill="FFFFFF" w:themeFill="background1"/>
            <w:vAlign w:val="center"/>
          </w:tcPr>
          <w:p w14:paraId="382BB73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境外法人</w:t>
            </w:r>
          </w:p>
        </w:tc>
        <w:tc>
          <w:tcPr>
            <w:tcW w:w="992" w:type="dxa"/>
            <w:shd w:val="clear" w:color="auto" w:fill="FFFFFF" w:themeFill="background1"/>
            <w:vAlign w:val="center"/>
          </w:tcPr>
          <w:p w14:paraId="001FFCE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2.84%</w:t>
            </w:r>
          </w:p>
        </w:tc>
        <w:tc>
          <w:tcPr>
            <w:tcW w:w="1276" w:type="dxa"/>
            <w:shd w:val="clear" w:color="auto" w:fill="FFFFFF" w:themeFill="background1"/>
            <w:vAlign w:val="center"/>
          </w:tcPr>
          <w:p w14:paraId="663576B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85,280,657</w:t>
            </w:r>
          </w:p>
        </w:tc>
        <w:tc>
          <w:tcPr>
            <w:tcW w:w="1275" w:type="dxa"/>
            <w:shd w:val="clear" w:color="auto" w:fill="FFFFFF" w:themeFill="background1"/>
            <w:vAlign w:val="center"/>
          </w:tcPr>
          <w:p w14:paraId="2C192E8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85,280,657</w:t>
            </w:r>
          </w:p>
        </w:tc>
        <w:tc>
          <w:tcPr>
            <w:tcW w:w="1276" w:type="dxa"/>
            <w:shd w:val="clear" w:color="auto" w:fill="FFFFFF" w:themeFill="background1"/>
            <w:vAlign w:val="center"/>
          </w:tcPr>
          <w:p w14:paraId="5D1B525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85,280,657</w:t>
            </w:r>
          </w:p>
        </w:tc>
        <w:tc>
          <w:tcPr>
            <w:tcW w:w="1242" w:type="dxa"/>
            <w:shd w:val="clear" w:color="auto" w:fill="FFFFFF" w:themeFill="background1"/>
            <w:vAlign w:val="center"/>
          </w:tcPr>
          <w:p w14:paraId="7C3327F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09" w:type="dxa"/>
            <w:shd w:val="clear" w:color="auto" w:fill="FFFFFF" w:themeFill="background1"/>
            <w:vAlign w:val="center"/>
          </w:tcPr>
          <w:p w14:paraId="51908CA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134" w:type="dxa"/>
            <w:gridSpan w:val="2"/>
            <w:shd w:val="clear" w:color="auto" w:fill="FFFFFF" w:themeFill="background1"/>
            <w:vAlign w:val="center"/>
          </w:tcPr>
          <w:p w14:paraId="317030B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632E5B" w14:paraId="74F2FE85" w14:textId="77777777" w:rsidTr="0013487C">
        <w:trPr>
          <w:trHeight w:val="240"/>
          <w:jc w:val="center"/>
        </w:trPr>
        <w:tc>
          <w:tcPr>
            <w:tcW w:w="1071" w:type="dxa"/>
            <w:shd w:val="clear" w:color="auto" w:fill="FFFFFF" w:themeFill="background1"/>
            <w:vAlign w:val="center"/>
          </w:tcPr>
          <w:p w14:paraId="4442B0F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深圳市招平三号投</w:t>
            </w:r>
            <w:r>
              <w:rPr>
                <w:rFonts w:ascii="宋体" w:eastAsia="宋体" w:hAnsi="宋体" w:cs="宋体"/>
                <w:sz w:val="18"/>
                <w:szCs w:val="18"/>
              </w:rPr>
              <w:lastRenderedPageBreak/>
              <w:t>资中心（有限合伙）</w:t>
            </w:r>
          </w:p>
        </w:tc>
        <w:tc>
          <w:tcPr>
            <w:tcW w:w="945" w:type="dxa"/>
            <w:shd w:val="clear" w:color="auto" w:fill="FFFFFF" w:themeFill="background1"/>
            <w:vAlign w:val="center"/>
          </w:tcPr>
          <w:p w14:paraId="4D8BDFC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lastRenderedPageBreak/>
              <w:t>境内非国有法人</w:t>
            </w:r>
          </w:p>
        </w:tc>
        <w:tc>
          <w:tcPr>
            <w:tcW w:w="992" w:type="dxa"/>
            <w:shd w:val="clear" w:color="auto" w:fill="FFFFFF" w:themeFill="background1"/>
            <w:vAlign w:val="center"/>
          </w:tcPr>
          <w:p w14:paraId="0A14AC4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2.50%</w:t>
            </w:r>
          </w:p>
        </w:tc>
        <w:tc>
          <w:tcPr>
            <w:tcW w:w="1276" w:type="dxa"/>
            <w:shd w:val="clear" w:color="auto" w:fill="FFFFFF" w:themeFill="background1"/>
            <w:vAlign w:val="center"/>
          </w:tcPr>
          <w:p w14:paraId="562241F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75,092,013</w:t>
            </w:r>
          </w:p>
        </w:tc>
        <w:tc>
          <w:tcPr>
            <w:tcW w:w="1275" w:type="dxa"/>
            <w:shd w:val="clear" w:color="auto" w:fill="FFFFFF" w:themeFill="background1"/>
            <w:vAlign w:val="center"/>
          </w:tcPr>
          <w:p w14:paraId="7B4870B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75,092,013</w:t>
            </w:r>
          </w:p>
        </w:tc>
        <w:tc>
          <w:tcPr>
            <w:tcW w:w="1276" w:type="dxa"/>
            <w:shd w:val="clear" w:color="auto" w:fill="FFFFFF" w:themeFill="background1"/>
            <w:vAlign w:val="center"/>
          </w:tcPr>
          <w:p w14:paraId="25194F9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75,092,013</w:t>
            </w:r>
          </w:p>
        </w:tc>
        <w:tc>
          <w:tcPr>
            <w:tcW w:w="1242" w:type="dxa"/>
            <w:shd w:val="clear" w:color="auto" w:fill="FFFFFF" w:themeFill="background1"/>
            <w:vAlign w:val="center"/>
          </w:tcPr>
          <w:p w14:paraId="570DFF9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09" w:type="dxa"/>
            <w:shd w:val="clear" w:color="auto" w:fill="FFFFFF" w:themeFill="background1"/>
            <w:vAlign w:val="center"/>
          </w:tcPr>
          <w:p w14:paraId="4F12E0C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134" w:type="dxa"/>
            <w:gridSpan w:val="2"/>
            <w:shd w:val="clear" w:color="auto" w:fill="FFFFFF" w:themeFill="background1"/>
            <w:vAlign w:val="center"/>
          </w:tcPr>
          <w:p w14:paraId="2246107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632E5B" w14:paraId="63F2CC76" w14:textId="77777777" w:rsidTr="0013487C">
        <w:trPr>
          <w:trHeight w:val="240"/>
          <w:jc w:val="center"/>
        </w:trPr>
        <w:tc>
          <w:tcPr>
            <w:tcW w:w="1071" w:type="dxa"/>
            <w:shd w:val="clear" w:color="auto" w:fill="FFFFFF" w:themeFill="background1"/>
            <w:vAlign w:val="center"/>
          </w:tcPr>
          <w:p w14:paraId="291B2B3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湖北华楚国科十一号投资合伙企业（有限合伙）</w:t>
            </w:r>
          </w:p>
        </w:tc>
        <w:tc>
          <w:tcPr>
            <w:tcW w:w="945" w:type="dxa"/>
            <w:shd w:val="clear" w:color="auto" w:fill="FFFFFF" w:themeFill="background1"/>
            <w:vAlign w:val="center"/>
          </w:tcPr>
          <w:p w14:paraId="1256341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境内非国有法人</w:t>
            </w:r>
          </w:p>
        </w:tc>
        <w:tc>
          <w:tcPr>
            <w:tcW w:w="992" w:type="dxa"/>
            <w:shd w:val="clear" w:color="auto" w:fill="FFFFFF" w:themeFill="background1"/>
            <w:vAlign w:val="center"/>
          </w:tcPr>
          <w:p w14:paraId="10198FB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2.34%</w:t>
            </w:r>
          </w:p>
        </w:tc>
        <w:tc>
          <w:tcPr>
            <w:tcW w:w="1276" w:type="dxa"/>
            <w:shd w:val="clear" w:color="auto" w:fill="FFFFFF" w:themeFill="background1"/>
            <w:vAlign w:val="center"/>
          </w:tcPr>
          <w:p w14:paraId="3FABBAF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70,411,318</w:t>
            </w:r>
          </w:p>
        </w:tc>
        <w:tc>
          <w:tcPr>
            <w:tcW w:w="1275" w:type="dxa"/>
            <w:shd w:val="clear" w:color="auto" w:fill="FFFFFF" w:themeFill="background1"/>
            <w:vAlign w:val="center"/>
          </w:tcPr>
          <w:p w14:paraId="3A2FB0B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70,411,318</w:t>
            </w:r>
          </w:p>
        </w:tc>
        <w:tc>
          <w:tcPr>
            <w:tcW w:w="1276" w:type="dxa"/>
            <w:shd w:val="clear" w:color="auto" w:fill="FFFFFF" w:themeFill="background1"/>
            <w:vAlign w:val="center"/>
          </w:tcPr>
          <w:p w14:paraId="529BAF1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70,411,318</w:t>
            </w:r>
          </w:p>
        </w:tc>
        <w:tc>
          <w:tcPr>
            <w:tcW w:w="1242" w:type="dxa"/>
            <w:shd w:val="clear" w:color="auto" w:fill="FFFFFF" w:themeFill="background1"/>
            <w:vAlign w:val="center"/>
          </w:tcPr>
          <w:p w14:paraId="399968F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09" w:type="dxa"/>
            <w:shd w:val="clear" w:color="auto" w:fill="FFFFFF" w:themeFill="background1"/>
            <w:vAlign w:val="center"/>
          </w:tcPr>
          <w:p w14:paraId="4D5D850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134" w:type="dxa"/>
            <w:gridSpan w:val="2"/>
            <w:shd w:val="clear" w:color="auto" w:fill="FFFFFF" w:themeFill="background1"/>
            <w:vAlign w:val="center"/>
          </w:tcPr>
          <w:p w14:paraId="17C4621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632E5B" w14:paraId="174353FB" w14:textId="77777777" w:rsidTr="0013487C">
        <w:trPr>
          <w:trHeight w:val="240"/>
          <w:jc w:val="center"/>
        </w:trPr>
        <w:tc>
          <w:tcPr>
            <w:tcW w:w="1071" w:type="dxa"/>
            <w:shd w:val="clear" w:color="auto" w:fill="FFFFFF" w:themeFill="background1"/>
            <w:vAlign w:val="center"/>
          </w:tcPr>
          <w:p w14:paraId="749AC41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中国东方国际资产管理有限公司－稳健收益基金1号</w:t>
            </w:r>
          </w:p>
        </w:tc>
        <w:tc>
          <w:tcPr>
            <w:tcW w:w="945" w:type="dxa"/>
            <w:shd w:val="clear" w:color="auto" w:fill="FFFFFF" w:themeFill="background1"/>
            <w:vAlign w:val="center"/>
          </w:tcPr>
          <w:p w14:paraId="7061EF3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境外法人</w:t>
            </w:r>
          </w:p>
        </w:tc>
        <w:tc>
          <w:tcPr>
            <w:tcW w:w="992" w:type="dxa"/>
            <w:shd w:val="clear" w:color="auto" w:fill="FFFFFF" w:themeFill="background1"/>
            <w:vAlign w:val="center"/>
          </w:tcPr>
          <w:p w14:paraId="7823D03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2.02%</w:t>
            </w:r>
          </w:p>
        </w:tc>
        <w:tc>
          <w:tcPr>
            <w:tcW w:w="1276" w:type="dxa"/>
            <w:shd w:val="clear" w:color="auto" w:fill="FFFFFF" w:themeFill="background1"/>
            <w:vAlign w:val="center"/>
          </w:tcPr>
          <w:p w14:paraId="10F9000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60,847,675</w:t>
            </w:r>
          </w:p>
        </w:tc>
        <w:tc>
          <w:tcPr>
            <w:tcW w:w="1275" w:type="dxa"/>
            <w:shd w:val="clear" w:color="auto" w:fill="FFFFFF" w:themeFill="background1"/>
            <w:vAlign w:val="center"/>
          </w:tcPr>
          <w:p w14:paraId="3B8362E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60,847,675</w:t>
            </w:r>
          </w:p>
        </w:tc>
        <w:tc>
          <w:tcPr>
            <w:tcW w:w="1276" w:type="dxa"/>
            <w:shd w:val="clear" w:color="auto" w:fill="FFFFFF" w:themeFill="background1"/>
            <w:vAlign w:val="center"/>
          </w:tcPr>
          <w:p w14:paraId="3A76785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60,847,675</w:t>
            </w:r>
          </w:p>
        </w:tc>
        <w:tc>
          <w:tcPr>
            <w:tcW w:w="1242" w:type="dxa"/>
            <w:shd w:val="clear" w:color="auto" w:fill="FFFFFF" w:themeFill="background1"/>
            <w:vAlign w:val="center"/>
          </w:tcPr>
          <w:p w14:paraId="6DF3401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09" w:type="dxa"/>
            <w:shd w:val="clear" w:color="auto" w:fill="FFFFFF" w:themeFill="background1"/>
            <w:vAlign w:val="center"/>
          </w:tcPr>
          <w:p w14:paraId="27EEFC8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134" w:type="dxa"/>
            <w:gridSpan w:val="2"/>
            <w:shd w:val="clear" w:color="auto" w:fill="FFFFFF" w:themeFill="background1"/>
            <w:vAlign w:val="center"/>
          </w:tcPr>
          <w:p w14:paraId="165A0A2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632E5B" w14:paraId="6705257C" w14:textId="77777777" w:rsidTr="0013487C">
        <w:trPr>
          <w:trHeight w:val="240"/>
          <w:jc w:val="center"/>
        </w:trPr>
        <w:tc>
          <w:tcPr>
            <w:tcW w:w="1071" w:type="dxa"/>
            <w:shd w:val="clear" w:color="auto" w:fill="FFFFFF" w:themeFill="background1"/>
            <w:vAlign w:val="center"/>
          </w:tcPr>
          <w:p w14:paraId="0CF97C4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农银企航（苏州）私募基金管理有限公司</w:t>
            </w:r>
          </w:p>
        </w:tc>
        <w:tc>
          <w:tcPr>
            <w:tcW w:w="945" w:type="dxa"/>
            <w:shd w:val="clear" w:color="auto" w:fill="FFFFFF" w:themeFill="background1"/>
            <w:vAlign w:val="center"/>
          </w:tcPr>
          <w:p w14:paraId="5A22980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国有法人</w:t>
            </w:r>
          </w:p>
        </w:tc>
        <w:tc>
          <w:tcPr>
            <w:tcW w:w="992" w:type="dxa"/>
            <w:shd w:val="clear" w:color="auto" w:fill="FFFFFF" w:themeFill="background1"/>
            <w:vAlign w:val="center"/>
          </w:tcPr>
          <w:p w14:paraId="7C2FEAC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1.99%</w:t>
            </w:r>
          </w:p>
        </w:tc>
        <w:tc>
          <w:tcPr>
            <w:tcW w:w="1276" w:type="dxa"/>
            <w:shd w:val="clear" w:color="auto" w:fill="FFFFFF" w:themeFill="background1"/>
            <w:vAlign w:val="center"/>
          </w:tcPr>
          <w:p w14:paraId="554F067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60,000,000</w:t>
            </w:r>
          </w:p>
        </w:tc>
        <w:tc>
          <w:tcPr>
            <w:tcW w:w="1275" w:type="dxa"/>
            <w:shd w:val="clear" w:color="auto" w:fill="FFFFFF" w:themeFill="background1"/>
            <w:vAlign w:val="center"/>
          </w:tcPr>
          <w:p w14:paraId="53B827B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60,000,000</w:t>
            </w:r>
          </w:p>
        </w:tc>
        <w:tc>
          <w:tcPr>
            <w:tcW w:w="1276" w:type="dxa"/>
            <w:shd w:val="clear" w:color="auto" w:fill="FFFFFF" w:themeFill="background1"/>
            <w:vAlign w:val="center"/>
          </w:tcPr>
          <w:p w14:paraId="5AD7CC6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60,000,000</w:t>
            </w:r>
          </w:p>
        </w:tc>
        <w:tc>
          <w:tcPr>
            <w:tcW w:w="1242" w:type="dxa"/>
            <w:shd w:val="clear" w:color="auto" w:fill="FFFFFF" w:themeFill="background1"/>
            <w:vAlign w:val="center"/>
          </w:tcPr>
          <w:p w14:paraId="23C9651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09" w:type="dxa"/>
            <w:shd w:val="clear" w:color="auto" w:fill="FFFFFF" w:themeFill="background1"/>
            <w:vAlign w:val="center"/>
          </w:tcPr>
          <w:p w14:paraId="0038A6E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134" w:type="dxa"/>
            <w:gridSpan w:val="2"/>
            <w:shd w:val="clear" w:color="auto" w:fill="FFFFFF" w:themeFill="background1"/>
            <w:vAlign w:val="center"/>
          </w:tcPr>
          <w:p w14:paraId="1867F3E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632E5B" w14:paraId="3A6AEA89" w14:textId="77777777" w:rsidTr="0013487C">
        <w:trPr>
          <w:trHeight w:val="240"/>
          <w:jc w:val="center"/>
        </w:trPr>
        <w:tc>
          <w:tcPr>
            <w:tcW w:w="1071" w:type="dxa"/>
            <w:shd w:val="clear" w:color="auto" w:fill="FFFFFF" w:themeFill="background1"/>
            <w:vAlign w:val="center"/>
          </w:tcPr>
          <w:p w14:paraId="4B7BE73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阎蕊</w:t>
            </w:r>
          </w:p>
        </w:tc>
        <w:tc>
          <w:tcPr>
            <w:tcW w:w="945" w:type="dxa"/>
            <w:shd w:val="clear" w:color="auto" w:fill="FFFFFF" w:themeFill="background1"/>
            <w:vAlign w:val="center"/>
          </w:tcPr>
          <w:p w14:paraId="6B61D48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境内自然人</w:t>
            </w:r>
          </w:p>
        </w:tc>
        <w:tc>
          <w:tcPr>
            <w:tcW w:w="992" w:type="dxa"/>
            <w:shd w:val="clear" w:color="auto" w:fill="FFFFFF" w:themeFill="background1"/>
            <w:vAlign w:val="center"/>
          </w:tcPr>
          <w:p w14:paraId="232293E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1.95%</w:t>
            </w:r>
          </w:p>
        </w:tc>
        <w:tc>
          <w:tcPr>
            <w:tcW w:w="1276" w:type="dxa"/>
            <w:shd w:val="clear" w:color="auto" w:fill="FFFFFF" w:themeFill="background1"/>
            <w:vAlign w:val="center"/>
          </w:tcPr>
          <w:p w14:paraId="00902D5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58,676,098</w:t>
            </w:r>
          </w:p>
        </w:tc>
        <w:tc>
          <w:tcPr>
            <w:tcW w:w="1275" w:type="dxa"/>
            <w:shd w:val="clear" w:color="auto" w:fill="FFFFFF" w:themeFill="background1"/>
            <w:vAlign w:val="center"/>
          </w:tcPr>
          <w:p w14:paraId="3627BC6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58,676,098</w:t>
            </w:r>
          </w:p>
        </w:tc>
        <w:tc>
          <w:tcPr>
            <w:tcW w:w="1276" w:type="dxa"/>
            <w:shd w:val="clear" w:color="auto" w:fill="FFFFFF" w:themeFill="background1"/>
            <w:vAlign w:val="center"/>
          </w:tcPr>
          <w:p w14:paraId="2D73301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58,676,098</w:t>
            </w:r>
          </w:p>
        </w:tc>
        <w:tc>
          <w:tcPr>
            <w:tcW w:w="1242" w:type="dxa"/>
            <w:shd w:val="clear" w:color="auto" w:fill="FFFFFF" w:themeFill="background1"/>
            <w:vAlign w:val="center"/>
          </w:tcPr>
          <w:p w14:paraId="370950B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c>
          <w:tcPr>
            <w:tcW w:w="709" w:type="dxa"/>
            <w:shd w:val="clear" w:color="auto" w:fill="FFFFFF" w:themeFill="background1"/>
            <w:vAlign w:val="center"/>
          </w:tcPr>
          <w:p w14:paraId="7B69DB8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c>
          <w:tcPr>
            <w:tcW w:w="1134" w:type="dxa"/>
            <w:gridSpan w:val="2"/>
            <w:shd w:val="clear" w:color="auto" w:fill="FFFFFF" w:themeFill="background1"/>
            <w:vAlign w:val="center"/>
          </w:tcPr>
          <w:p w14:paraId="27170D6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w:t>
            </w:r>
          </w:p>
        </w:tc>
      </w:tr>
      <w:tr w:rsidR="00632E5B" w14:paraId="30840B77" w14:textId="77777777" w:rsidTr="0013487C">
        <w:trPr>
          <w:trHeight w:val="240"/>
          <w:jc w:val="center"/>
        </w:trPr>
        <w:tc>
          <w:tcPr>
            <w:tcW w:w="2016" w:type="dxa"/>
            <w:gridSpan w:val="2"/>
            <w:shd w:val="clear" w:color="auto" w:fill="FFFFFF" w:themeFill="background1"/>
            <w:vAlign w:val="center"/>
          </w:tcPr>
          <w:p w14:paraId="32B45EBD"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战略投资者或一般法人因配售新股成为前10名股东的情况（如有）（参见注3）</w:t>
            </w:r>
          </w:p>
        </w:tc>
        <w:tc>
          <w:tcPr>
            <w:tcW w:w="7904" w:type="dxa"/>
            <w:gridSpan w:val="8"/>
            <w:shd w:val="clear" w:color="auto" w:fill="FFFFFF" w:themeFill="background1"/>
            <w:vAlign w:val="center"/>
          </w:tcPr>
          <w:p w14:paraId="4CA351C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因执行《重整计划》进行资本公积金转增股本，共计转增2,135,878,317股股票，截至2024年12月31日，已对产业投资人和财务投资人的股票进行分配。其余转增待分配股票由公司管理人开立的江苏中利集团股份有限公司破产企业财产处置专用账户根据实际情况陆续分配。</w:t>
            </w:r>
          </w:p>
        </w:tc>
      </w:tr>
      <w:tr w:rsidR="00632E5B" w14:paraId="3593BF82" w14:textId="77777777" w:rsidTr="0013487C">
        <w:trPr>
          <w:trHeight w:val="240"/>
          <w:jc w:val="center"/>
        </w:trPr>
        <w:tc>
          <w:tcPr>
            <w:tcW w:w="2016" w:type="dxa"/>
            <w:gridSpan w:val="2"/>
            <w:shd w:val="clear" w:color="auto" w:fill="FFFFFF" w:themeFill="background1"/>
            <w:vAlign w:val="center"/>
          </w:tcPr>
          <w:p w14:paraId="54B8B077"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上述股东关联关系或一致行动的说明</w:t>
            </w:r>
          </w:p>
        </w:tc>
        <w:tc>
          <w:tcPr>
            <w:tcW w:w="7904" w:type="dxa"/>
            <w:gridSpan w:val="8"/>
            <w:shd w:val="clear" w:color="auto" w:fill="FFFFFF" w:themeFill="background1"/>
            <w:vAlign w:val="center"/>
          </w:tcPr>
          <w:p w14:paraId="4C56B61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公司未知上述股东之间是否存在关联关系，也未知上述股东之间是否属于《上市公司收购管理办法》中规定的一致行动人。</w:t>
            </w:r>
          </w:p>
        </w:tc>
      </w:tr>
      <w:tr w:rsidR="00632E5B" w14:paraId="5B2EB0AD" w14:textId="77777777" w:rsidTr="0013487C">
        <w:trPr>
          <w:trHeight w:val="240"/>
          <w:jc w:val="center"/>
        </w:trPr>
        <w:tc>
          <w:tcPr>
            <w:tcW w:w="2016" w:type="dxa"/>
            <w:gridSpan w:val="2"/>
            <w:shd w:val="clear" w:color="auto" w:fill="FFFFFF" w:themeFill="background1"/>
            <w:vAlign w:val="center"/>
          </w:tcPr>
          <w:p w14:paraId="0026B872"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上述股东涉及委托/受托表决权、放弃表决权情况的说明</w:t>
            </w:r>
          </w:p>
        </w:tc>
        <w:tc>
          <w:tcPr>
            <w:tcW w:w="7904" w:type="dxa"/>
            <w:gridSpan w:val="8"/>
            <w:shd w:val="clear" w:color="auto" w:fill="FFFFFF" w:themeFill="background1"/>
            <w:vAlign w:val="center"/>
          </w:tcPr>
          <w:p w14:paraId="687E9533" w14:textId="77777777" w:rsidR="00632E5B" w:rsidRDefault="00107901" w:rsidP="0013487C">
            <w:pPr>
              <w:spacing w:line="276" w:lineRule="auto"/>
              <w:rPr>
                <w:rFonts w:ascii="宋体" w:eastAsia="宋体" w:hAnsi="宋体" w:cs="宋体" w:hint="eastAsia"/>
                <w:sz w:val="18"/>
                <w:szCs w:val="18"/>
              </w:rPr>
            </w:pPr>
            <w:r>
              <w:rPr>
                <w:rFonts w:ascii="宋体" w:eastAsia="宋体" w:hAnsi="宋体" w:cs="宋体"/>
                <w:sz w:val="18"/>
                <w:szCs w:val="18"/>
              </w:rPr>
              <w:t>杜月姣、刘青科、湖北华楚国科十一号投资合伙企业（有限合伙）、农银企航(苏州)私募基金管理有限公司、阎蕊自中利集团转增的股票过户至名下之日起至不再持有中利集团的股份，此期间不可撤销地放弃持有的中利集团全部股份所对应的股东表决权及提名权、提案权等除收益权和股份转让权等财产性权利之外的权利。放弃根据法律、法规规章及规范性文件或上市公司章程需要股东大会讨论、决议的事项的表决权，但涉及股份所有权、股份转让、股份质押等直接涉及所持股份处分事宜的事项除外。</w:t>
            </w:r>
          </w:p>
        </w:tc>
      </w:tr>
      <w:tr w:rsidR="00632E5B" w14:paraId="7BBD9247" w14:textId="77777777" w:rsidTr="0013487C">
        <w:trPr>
          <w:trHeight w:val="240"/>
          <w:jc w:val="center"/>
        </w:trPr>
        <w:tc>
          <w:tcPr>
            <w:tcW w:w="2016" w:type="dxa"/>
            <w:gridSpan w:val="2"/>
            <w:shd w:val="clear" w:color="auto" w:fill="FFFFFF" w:themeFill="background1"/>
            <w:vAlign w:val="center"/>
          </w:tcPr>
          <w:p w14:paraId="293CBB55"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前10名股东中存在回购专户的特别说明（如有）（参见注10）</w:t>
            </w:r>
          </w:p>
        </w:tc>
        <w:tc>
          <w:tcPr>
            <w:tcW w:w="7904" w:type="dxa"/>
            <w:gridSpan w:val="8"/>
            <w:shd w:val="clear" w:color="auto" w:fill="FFFFFF" w:themeFill="background1"/>
            <w:vAlign w:val="center"/>
          </w:tcPr>
          <w:p w14:paraId="19EB879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32E5B" w14:paraId="015A6D6B" w14:textId="77777777" w:rsidTr="00BA1A6A">
        <w:trPr>
          <w:trHeight w:val="595"/>
          <w:jc w:val="center"/>
        </w:trPr>
        <w:tc>
          <w:tcPr>
            <w:tcW w:w="9920" w:type="dxa"/>
            <w:gridSpan w:val="10"/>
            <w:shd w:val="clear" w:color="auto" w:fill="FFFFFF" w:themeFill="background1"/>
            <w:vAlign w:val="center"/>
          </w:tcPr>
          <w:p w14:paraId="32A1B99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前10名无限售条件股东持股情况（不含通过转融通出借股份、高管锁定股）</w:t>
            </w:r>
          </w:p>
        </w:tc>
      </w:tr>
      <w:tr w:rsidR="00632E5B" w14:paraId="60088D7E" w14:textId="77777777" w:rsidTr="0013487C">
        <w:trPr>
          <w:trHeight w:val="240"/>
          <w:jc w:val="center"/>
        </w:trPr>
        <w:tc>
          <w:tcPr>
            <w:tcW w:w="2016" w:type="dxa"/>
            <w:gridSpan w:val="2"/>
            <w:vMerge w:val="restart"/>
            <w:shd w:val="clear" w:color="auto" w:fill="FFFFFF" w:themeFill="background1"/>
            <w:vAlign w:val="center"/>
          </w:tcPr>
          <w:p w14:paraId="052449E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股东名称</w:t>
            </w:r>
          </w:p>
        </w:tc>
        <w:tc>
          <w:tcPr>
            <w:tcW w:w="6061" w:type="dxa"/>
            <w:gridSpan w:val="5"/>
            <w:vMerge w:val="restart"/>
            <w:shd w:val="clear" w:color="auto" w:fill="FFFFFF" w:themeFill="background1"/>
            <w:vAlign w:val="center"/>
          </w:tcPr>
          <w:p w14:paraId="5C333CC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报告期末持有无限售条件股份数量</w:t>
            </w:r>
          </w:p>
        </w:tc>
        <w:tc>
          <w:tcPr>
            <w:tcW w:w="1843" w:type="dxa"/>
            <w:gridSpan w:val="3"/>
            <w:shd w:val="clear" w:color="auto" w:fill="FFFFFF" w:themeFill="background1"/>
            <w:vAlign w:val="center"/>
          </w:tcPr>
          <w:p w14:paraId="34B006F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股份种类</w:t>
            </w:r>
          </w:p>
        </w:tc>
      </w:tr>
      <w:tr w:rsidR="00632E5B" w14:paraId="013312F1" w14:textId="77777777" w:rsidTr="0013487C">
        <w:trPr>
          <w:trHeight w:val="240"/>
          <w:jc w:val="center"/>
        </w:trPr>
        <w:tc>
          <w:tcPr>
            <w:tcW w:w="2016" w:type="dxa"/>
            <w:gridSpan w:val="2"/>
            <w:vMerge/>
            <w:shd w:val="clear" w:color="auto" w:fill="FFFFFF" w:themeFill="background1"/>
            <w:vAlign w:val="center"/>
          </w:tcPr>
          <w:p w14:paraId="43291176" w14:textId="77777777" w:rsidR="00632E5B" w:rsidRDefault="00632E5B"/>
        </w:tc>
        <w:tc>
          <w:tcPr>
            <w:tcW w:w="6061" w:type="dxa"/>
            <w:gridSpan w:val="5"/>
            <w:vMerge/>
            <w:shd w:val="clear" w:color="auto" w:fill="FFFFFF" w:themeFill="background1"/>
            <w:vAlign w:val="center"/>
          </w:tcPr>
          <w:p w14:paraId="198FAAEB" w14:textId="77777777" w:rsidR="00632E5B" w:rsidRDefault="00632E5B"/>
        </w:tc>
        <w:tc>
          <w:tcPr>
            <w:tcW w:w="709" w:type="dxa"/>
            <w:shd w:val="clear" w:color="auto" w:fill="FFFFFF" w:themeFill="background1"/>
            <w:vAlign w:val="center"/>
          </w:tcPr>
          <w:p w14:paraId="379CC50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股份种类</w:t>
            </w:r>
          </w:p>
        </w:tc>
        <w:tc>
          <w:tcPr>
            <w:tcW w:w="1134" w:type="dxa"/>
            <w:gridSpan w:val="2"/>
            <w:shd w:val="clear" w:color="auto" w:fill="FFFFFF" w:themeFill="background1"/>
            <w:vAlign w:val="center"/>
          </w:tcPr>
          <w:p w14:paraId="144048B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数量</w:t>
            </w:r>
          </w:p>
        </w:tc>
      </w:tr>
      <w:tr w:rsidR="00632E5B" w14:paraId="44A26E85" w14:textId="77777777" w:rsidTr="0013487C">
        <w:trPr>
          <w:trHeight w:val="240"/>
          <w:jc w:val="center"/>
        </w:trPr>
        <w:tc>
          <w:tcPr>
            <w:tcW w:w="2016" w:type="dxa"/>
            <w:gridSpan w:val="2"/>
            <w:shd w:val="clear" w:color="auto" w:fill="FFFFFF" w:themeFill="background1"/>
            <w:vAlign w:val="center"/>
          </w:tcPr>
          <w:p w14:paraId="1F6A555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江苏中利集团股份有限公司破产企业财产处置专用账户</w:t>
            </w:r>
          </w:p>
        </w:tc>
        <w:tc>
          <w:tcPr>
            <w:tcW w:w="6061" w:type="dxa"/>
            <w:gridSpan w:val="5"/>
            <w:shd w:val="clear" w:color="auto" w:fill="FFFFFF" w:themeFill="background1"/>
            <w:vAlign w:val="center"/>
          </w:tcPr>
          <w:p w14:paraId="4D58770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347,864,578</w:t>
            </w:r>
          </w:p>
        </w:tc>
        <w:tc>
          <w:tcPr>
            <w:tcW w:w="709" w:type="dxa"/>
            <w:shd w:val="clear" w:color="auto" w:fill="FFFFFF" w:themeFill="background1"/>
            <w:vAlign w:val="center"/>
          </w:tcPr>
          <w:p w14:paraId="55DBCC2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人民币普通股</w:t>
            </w:r>
          </w:p>
        </w:tc>
        <w:tc>
          <w:tcPr>
            <w:tcW w:w="1134" w:type="dxa"/>
            <w:gridSpan w:val="2"/>
            <w:shd w:val="clear" w:color="auto" w:fill="FFFFFF" w:themeFill="background1"/>
            <w:vAlign w:val="center"/>
          </w:tcPr>
          <w:p w14:paraId="6C34E78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347,864,578</w:t>
            </w:r>
          </w:p>
        </w:tc>
      </w:tr>
      <w:tr w:rsidR="00632E5B" w14:paraId="4976A21B" w14:textId="77777777" w:rsidTr="0013487C">
        <w:trPr>
          <w:trHeight w:val="240"/>
          <w:jc w:val="center"/>
        </w:trPr>
        <w:tc>
          <w:tcPr>
            <w:tcW w:w="2016" w:type="dxa"/>
            <w:gridSpan w:val="2"/>
            <w:shd w:val="clear" w:color="auto" w:fill="FFFFFF" w:themeFill="background1"/>
            <w:vAlign w:val="center"/>
          </w:tcPr>
          <w:p w14:paraId="2676CDB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王柏兴</w:t>
            </w:r>
          </w:p>
        </w:tc>
        <w:tc>
          <w:tcPr>
            <w:tcW w:w="6061" w:type="dxa"/>
            <w:gridSpan w:val="5"/>
            <w:shd w:val="clear" w:color="auto" w:fill="FFFFFF" w:themeFill="background1"/>
            <w:vAlign w:val="center"/>
          </w:tcPr>
          <w:p w14:paraId="36BFBB4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48,300,300</w:t>
            </w:r>
          </w:p>
        </w:tc>
        <w:tc>
          <w:tcPr>
            <w:tcW w:w="709" w:type="dxa"/>
            <w:shd w:val="clear" w:color="auto" w:fill="FFFFFF" w:themeFill="background1"/>
            <w:vAlign w:val="center"/>
          </w:tcPr>
          <w:p w14:paraId="74816B8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人民币普通股</w:t>
            </w:r>
          </w:p>
        </w:tc>
        <w:tc>
          <w:tcPr>
            <w:tcW w:w="1134" w:type="dxa"/>
            <w:gridSpan w:val="2"/>
            <w:shd w:val="clear" w:color="auto" w:fill="FFFFFF" w:themeFill="background1"/>
            <w:vAlign w:val="center"/>
          </w:tcPr>
          <w:p w14:paraId="24075C8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48,300,300</w:t>
            </w:r>
          </w:p>
        </w:tc>
      </w:tr>
      <w:tr w:rsidR="00632E5B" w14:paraId="4B4F1118" w14:textId="77777777" w:rsidTr="0013487C">
        <w:trPr>
          <w:trHeight w:val="240"/>
          <w:jc w:val="center"/>
        </w:trPr>
        <w:tc>
          <w:tcPr>
            <w:tcW w:w="2016" w:type="dxa"/>
            <w:gridSpan w:val="2"/>
            <w:shd w:val="clear" w:color="auto" w:fill="FFFFFF" w:themeFill="background1"/>
            <w:vAlign w:val="center"/>
          </w:tcPr>
          <w:p w14:paraId="6735BC9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江苏新扬子造船有限公司</w:t>
            </w:r>
          </w:p>
        </w:tc>
        <w:tc>
          <w:tcPr>
            <w:tcW w:w="6061" w:type="dxa"/>
            <w:gridSpan w:val="5"/>
            <w:shd w:val="clear" w:color="auto" w:fill="FFFFFF" w:themeFill="background1"/>
            <w:vAlign w:val="center"/>
          </w:tcPr>
          <w:p w14:paraId="13903A4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43,780,203</w:t>
            </w:r>
          </w:p>
        </w:tc>
        <w:tc>
          <w:tcPr>
            <w:tcW w:w="709" w:type="dxa"/>
            <w:shd w:val="clear" w:color="auto" w:fill="FFFFFF" w:themeFill="background1"/>
            <w:vAlign w:val="center"/>
          </w:tcPr>
          <w:p w14:paraId="1F189EB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人民币普通股</w:t>
            </w:r>
          </w:p>
        </w:tc>
        <w:tc>
          <w:tcPr>
            <w:tcW w:w="1134" w:type="dxa"/>
            <w:gridSpan w:val="2"/>
            <w:shd w:val="clear" w:color="auto" w:fill="FFFFFF" w:themeFill="background1"/>
            <w:vAlign w:val="center"/>
          </w:tcPr>
          <w:p w14:paraId="0E8CD18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43,780,203</w:t>
            </w:r>
          </w:p>
        </w:tc>
      </w:tr>
      <w:tr w:rsidR="00632E5B" w14:paraId="2D95B93D" w14:textId="77777777" w:rsidTr="0013487C">
        <w:trPr>
          <w:trHeight w:val="240"/>
          <w:jc w:val="center"/>
        </w:trPr>
        <w:tc>
          <w:tcPr>
            <w:tcW w:w="2016" w:type="dxa"/>
            <w:gridSpan w:val="2"/>
            <w:shd w:val="clear" w:color="auto" w:fill="FFFFFF" w:themeFill="background1"/>
            <w:vAlign w:val="center"/>
          </w:tcPr>
          <w:p w14:paraId="334F928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东方证券股份有限公司</w:t>
            </w:r>
          </w:p>
        </w:tc>
        <w:tc>
          <w:tcPr>
            <w:tcW w:w="6061" w:type="dxa"/>
            <w:gridSpan w:val="5"/>
            <w:shd w:val="clear" w:color="auto" w:fill="FFFFFF" w:themeFill="background1"/>
            <w:vAlign w:val="center"/>
          </w:tcPr>
          <w:p w14:paraId="0EB4D92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34,780,000</w:t>
            </w:r>
          </w:p>
        </w:tc>
        <w:tc>
          <w:tcPr>
            <w:tcW w:w="709" w:type="dxa"/>
            <w:shd w:val="clear" w:color="auto" w:fill="FFFFFF" w:themeFill="background1"/>
            <w:vAlign w:val="center"/>
          </w:tcPr>
          <w:p w14:paraId="4AFA6E2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人民币普通股</w:t>
            </w:r>
          </w:p>
        </w:tc>
        <w:tc>
          <w:tcPr>
            <w:tcW w:w="1134" w:type="dxa"/>
            <w:gridSpan w:val="2"/>
            <w:shd w:val="clear" w:color="auto" w:fill="FFFFFF" w:themeFill="background1"/>
            <w:vAlign w:val="center"/>
          </w:tcPr>
          <w:p w14:paraId="04618E1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34,780,000</w:t>
            </w:r>
          </w:p>
        </w:tc>
      </w:tr>
      <w:tr w:rsidR="00632E5B" w14:paraId="00BC2AC8" w14:textId="77777777" w:rsidTr="0013487C">
        <w:trPr>
          <w:trHeight w:val="240"/>
          <w:jc w:val="center"/>
        </w:trPr>
        <w:tc>
          <w:tcPr>
            <w:tcW w:w="2016" w:type="dxa"/>
            <w:gridSpan w:val="2"/>
            <w:shd w:val="clear" w:color="auto" w:fill="FFFFFF" w:themeFill="background1"/>
            <w:vAlign w:val="center"/>
          </w:tcPr>
          <w:p w14:paraId="63F036A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lastRenderedPageBreak/>
              <w:t>常熟市发展投资有限公司</w:t>
            </w:r>
          </w:p>
        </w:tc>
        <w:tc>
          <w:tcPr>
            <w:tcW w:w="6061" w:type="dxa"/>
            <w:gridSpan w:val="5"/>
            <w:shd w:val="clear" w:color="auto" w:fill="FFFFFF" w:themeFill="background1"/>
            <w:vAlign w:val="center"/>
          </w:tcPr>
          <w:p w14:paraId="116E325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26,966,292</w:t>
            </w:r>
          </w:p>
        </w:tc>
        <w:tc>
          <w:tcPr>
            <w:tcW w:w="709" w:type="dxa"/>
            <w:shd w:val="clear" w:color="auto" w:fill="FFFFFF" w:themeFill="background1"/>
            <w:vAlign w:val="center"/>
          </w:tcPr>
          <w:p w14:paraId="4B8DDC8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人民币普通股</w:t>
            </w:r>
          </w:p>
        </w:tc>
        <w:tc>
          <w:tcPr>
            <w:tcW w:w="1134" w:type="dxa"/>
            <w:gridSpan w:val="2"/>
            <w:shd w:val="clear" w:color="auto" w:fill="FFFFFF" w:themeFill="background1"/>
            <w:vAlign w:val="center"/>
          </w:tcPr>
          <w:p w14:paraId="1C51948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26,966,292</w:t>
            </w:r>
          </w:p>
        </w:tc>
      </w:tr>
      <w:tr w:rsidR="00632E5B" w14:paraId="4ED6A83E" w14:textId="77777777" w:rsidTr="0013487C">
        <w:trPr>
          <w:trHeight w:val="240"/>
          <w:jc w:val="center"/>
        </w:trPr>
        <w:tc>
          <w:tcPr>
            <w:tcW w:w="2016" w:type="dxa"/>
            <w:gridSpan w:val="2"/>
            <w:shd w:val="clear" w:color="auto" w:fill="FFFFFF" w:themeFill="background1"/>
            <w:vAlign w:val="center"/>
          </w:tcPr>
          <w:p w14:paraId="4DC1FA6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国开金融有限责任公司</w:t>
            </w:r>
          </w:p>
        </w:tc>
        <w:tc>
          <w:tcPr>
            <w:tcW w:w="6061" w:type="dxa"/>
            <w:gridSpan w:val="5"/>
            <w:shd w:val="clear" w:color="auto" w:fill="FFFFFF" w:themeFill="background1"/>
            <w:vAlign w:val="center"/>
          </w:tcPr>
          <w:p w14:paraId="25B0CAD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19,243,445</w:t>
            </w:r>
          </w:p>
        </w:tc>
        <w:tc>
          <w:tcPr>
            <w:tcW w:w="709" w:type="dxa"/>
            <w:shd w:val="clear" w:color="auto" w:fill="FFFFFF" w:themeFill="background1"/>
            <w:vAlign w:val="center"/>
          </w:tcPr>
          <w:p w14:paraId="0A61811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人民币普通股</w:t>
            </w:r>
          </w:p>
        </w:tc>
        <w:tc>
          <w:tcPr>
            <w:tcW w:w="1134" w:type="dxa"/>
            <w:gridSpan w:val="2"/>
            <w:shd w:val="clear" w:color="auto" w:fill="FFFFFF" w:themeFill="background1"/>
            <w:vAlign w:val="center"/>
          </w:tcPr>
          <w:p w14:paraId="59A29FB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19,243,445</w:t>
            </w:r>
          </w:p>
        </w:tc>
      </w:tr>
      <w:tr w:rsidR="00632E5B" w14:paraId="075A026E" w14:textId="77777777" w:rsidTr="0013487C">
        <w:trPr>
          <w:trHeight w:val="240"/>
          <w:jc w:val="center"/>
        </w:trPr>
        <w:tc>
          <w:tcPr>
            <w:tcW w:w="2016" w:type="dxa"/>
            <w:gridSpan w:val="2"/>
            <w:shd w:val="clear" w:color="auto" w:fill="FFFFFF" w:themeFill="background1"/>
            <w:vAlign w:val="center"/>
          </w:tcPr>
          <w:p w14:paraId="1C012E2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陈笑慧</w:t>
            </w:r>
          </w:p>
        </w:tc>
        <w:tc>
          <w:tcPr>
            <w:tcW w:w="6061" w:type="dxa"/>
            <w:gridSpan w:val="5"/>
            <w:shd w:val="clear" w:color="auto" w:fill="FFFFFF" w:themeFill="background1"/>
            <w:vAlign w:val="center"/>
          </w:tcPr>
          <w:p w14:paraId="7454BA5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13,461,200</w:t>
            </w:r>
          </w:p>
        </w:tc>
        <w:tc>
          <w:tcPr>
            <w:tcW w:w="709" w:type="dxa"/>
            <w:shd w:val="clear" w:color="auto" w:fill="FFFFFF" w:themeFill="background1"/>
            <w:vAlign w:val="center"/>
          </w:tcPr>
          <w:p w14:paraId="717DF84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人民币普通股</w:t>
            </w:r>
          </w:p>
        </w:tc>
        <w:tc>
          <w:tcPr>
            <w:tcW w:w="1134" w:type="dxa"/>
            <w:gridSpan w:val="2"/>
            <w:shd w:val="clear" w:color="auto" w:fill="FFFFFF" w:themeFill="background1"/>
            <w:vAlign w:val="center"/>
          </w:tcPr>
          <w:p w14:paraId="08AA465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13,461,200</w:t>
            </w:r>
          </w:p>
        </w:tc>
      </w:tr>
      <w:tr w:rsidR="00632E5B" w14:paraId="0FE3244D" w14:textId="77777777" w:rsidTr="0013487C">
        <w:trPr>
          <w:trHeight w:val="240"/>
          <w:jc w:val="center"/>
        </w:trPr>
        <w:tc>
          <w:tcPr>
            <w:tcW w:w="2016" w:type="dxa"/>
            <w:gridSpan w:val="2"/>
            <w:shd w:val="clear" w:color="auto" w:fill="FFFFFF" w:themeFill="background1"/>
            <w:vAlign w:val="center"/>
          </w:tcPr>
          <w:p w14:paraId="231BE29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陈小芬</w:t>
            </w:r>
          </w:p>
        </w:tc>
        <w:tc>
          <w:tcPr>
            <w:tcW w:w="6061" w:type="dxa"/>
            <w:gridSpan w:val="5"/>
            <w:shd w:val="clear" w:color="auto" w:fill="FFFFFF" w:themeFill="background1"/>
            <w:vAlign w:val="center"/>
          </w:tcPr>
          <w:p w14:paraId="7FD1AB2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11,633,600</w:t>
            </w:r>
          </w:p>
        </w:tc>
        <w:tc>
          <w:tcPr>
            <w:tcW w:w="709" w:type="dxa"/>
            <w:shd w:val="clear" w:color="auto" w:fill="FFFFFF" w:themeFill="background1"/>
            <w:vAlign w:val="center"/>
          </w:tcPr>
          <w:p w14:paraId="299EE1C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人民币普通股</w:t>
            </w:r>
          </w:p>
        </w:tc>
        <w:tc>
          <w:tcPr>
            <w:tcW w:w="1134" w:type="dxa"/>
            <w:gridSpan w:val="2"/>
            <w:shd w:val="clear" w:color="auto" w:fill="FFFFFF" w:themeFill="background1"/>
            <w:vAlign w:val="center"/>
          </w:tcPr>
          <w:p w14:paraId="4F47C87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11,633,600</w:t>
            </w:r>
          </w:p>
        </w:tc>
      </w:tr>
      <w:tr w:rsidR="00632E5B" w14:paraId="2831A169" w14:textId="77777777" w:rsidTr="0013487C">
        <w:trPr>
          <w:trHeight w:val="240"/>
          <w:jc w:val="center"/>
        </w:trPr>
        <w:tc>
          <w:tcPr>
            <w:tcW w:w="2016" w:type="dxa"/>
            <w:gridSpan w:val="2"/>
            <w:shd w:val="clear" w:color="auto" w:fill="FFFFFF" w:themeFill="background1"/>
            <w:vAlign w:val="center"/>
          </w:tcPr>
          <w:p w14:paraId="17F45CF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堆龙德庆中立创业投资管理有限公司</w:t>
            </w:r>
          </w:p>
        </w:tc>
        <w:tc>
          <w:tcPr>
            <w:tcW w:w="6061" w:type="dxa"/>
            <w:gridSpan w:val="5"/>
            <w:shd w:val="clear" w:color="auto" w:fill="FFFFFF" w:themeFill="background1"/>
            <w:vAlign w:val="center"/>
          </w:tcPr>
          <w:p w14:paraId="14A0268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11,543,000</w:t>
            </w:r>
          </w:p>
        </w:tc>
        <w:tc>
          <w:tcPr>
            <w:tcW w:w="709" w:type="dxa"/>
            <w:shd w:val="clear" w:color="auto" w:fill="FFFFFF" w:themeFill="background1"/>
            <w:vAlign w:val="center"/>
          </w:tcPr>
          <w:p w14:paraId="5EF31A5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人民币普通股</w:t>
            </w:r>
          </w:p>
        </w:tc>
        <w:tc>
          <w:tcPr>
            <w:tcW w:w="1134" w:type="dxa"/>
            <w:gridSpan w:val="2"/>
            <w:shd w:val="clear" w:color="auto" w:fill="FFFFFF" w:themeFill="background1"/>
            <w:vAlign w:val="center"/>
          </w:tcPr>
          <w:p w14:paraId="2F45EA1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11,543,000</w:t>
            </w:r>
          </w:p>
        </w:tc>
      </w:tr>
      <w:tr w:rsidR="00632E5B" w14:paraId="3430630B" w14:textId="77777777" w:rsidTr="0013487C">
        <w:trPr>
          <w:trHeight w:val="240"/>
          <w:jc w:val="center"/>
        </w:trPr>
        <w:tc>
          <w:tcPr>
            <w:tcW w:w="2016" w:type="dxa"/>
            <w:gridSpan w:val="2"/>
            <w:shd w:val="clear" w:color="auto" w:fill="FFFFFF" w:themeFill="background1"/>
            <w:vAlign w:val="center"/>
          </w:tcPr>
          <w:p w14:paraId="130A101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曹险峰</w:t>
            </w:r>
          </w:p>
        </w:tc>
        <w:tc>
          <w:tcPr>
            <w:tcW w:w="6061" w:type="dxa"/>
            <w:gridSpan w:val="5"/>
            <w:shd w:val="clear" w:color="auto" w:fill="FFFFFF" w:themeFill="background1"/>
            <w:vAlign w:val="center"/>
          </w:tcPr>
          <w:p w14:paraId="0417044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10,425,900</w:t>
            </w:r>
          </w:p>
        </w:tc>
        <w:tc>
          <w:tcPr>
            <w:tcW w:w="709" w:type="dxa"/>
            <w:shd w:val="clear" w:color="auto" w:fill="FFFFFF" w:themeFill="background1"/>
            <w:vAlign w:val="center"/>
          </w:tcPr>
          <w:p w14:paraId="020B5F0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人民币普通股</w:t>
            </w:r>
          </w:p>
        </w:tc>
        <w:tc>
          <w:tcPr>
            <w:tcW w:w="1134" w:type="dxa"/>
            <w:gridSpan w:val="2"/>
            <w:shd w:val="clear" w:color="auto" w:fill="FFFFFF" w:themeFill="background1"/>
            <w:vAlign w:val="center"/>
          </w:tcPr>
          <w:p w14:paraId="0948429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10,425,900</w:t>
            </w:r>
          </w:p>
        </w:tc>
      </w:tr>
      <w:tr w:rsidR="00632E5B" w14:paraId="20E4B339" w14:textId="77777777" w:rsidTr="0013487C">
        <w:trPr>
          <w:trHeight w:val="240"/>
          <w:jc w:val="center"/>
        </w:trPr>
        <w:tc>
          <w:tcPr>
            <w:tcW w:w="2016" w:type="dxa"/>
            <w:gridSpan w:val="2"/>
            <w:shd w:val="clear" w:color="auto" w:fill="FFFFFF" w:themeFill="background1"/>
            <w:vAlign w:val="center"/>
          </w:tcPr>
          <w:p w14:paraId="3F547DF2"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前10名无限售流通股股东之间，以及前10名无限售流通股股东和前10名股东之间关联关系或一致行动的说明</w:t>
            </w:r>
          </w:p>
        </w:tc>
        <w:tc>
          <w:tcPr>
            <w:tcW w:w="7904" w:type="dxa"/>
            <w:gridSpan w:val="8"/>
            <w:shd w:val="clear" w:color="auto" w:fill="FFFFFF" w:themeFill="background1"/>
            <w:vAlign w:val="center"/>
          </w:tcPr>
          <w:p w14:paraId="2770792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王柏兴持有堆龙德庆中立创业投资管理有限公司55%的股权，为一致行动人；除此之外，公司未知上述其他股东之间是否存在关联关系，也未知上述股东之间是否属于《上市公司收购管理办法》中规定的一致行动人。</w:t>
            </w:r>
          </w:p>
        </w:tc>
      </w:tr>
      <w:tr w:rsidR="00632E5B" w14:paraId="755B1FB0" w14:textId="77777777" w:rsidTr="0013487C">
        <w:trPr>
          <w:trHeight w:val="240"/>
          <w:jc w:val="center"/>
        </w:trPr>
        <w:tc>
          <w:tcPr>
            <w:tcW w:w="2016" w:type="dxa"/>
            <w:gridSpan w:val="2"/>
            <w:shd w:val="clear" w:color="auto" w:fill="FFFFFF" w:themeFill="background1"/>
            <w:vAlign w:val="center"/>
          </w:tcPr>
          <w:p w14:paraId="00BC5453"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前10名普通股股东参与融资融券业务情况说明（如有）（参见注4）</w:t>
            </w:r>
          </w:p>
        </w:tc>
        <w:tc>
          <w:tcPr>
            <w:tcW w:w="7904" w:type="dxa"/>
            <w:gridSpan w:val="8"/>
            <w:shd w:val="clear" w:color="auto" w:fill="FFFFFF" w:themeFill="background1"/>
            <w:vAlign w:val="center"/>
          </w:tcPr>
          <w:p w14:paraId="53FB939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bl>
    <w:p w14:paraId="43DBA1F1"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持股5%以上股东、前10名股东及前10名无限售流通股股东参与转融通业务出借股份情况</w:t>
      </w:r>
    </w:p>
    <w:p w14:paraId="5BE06FE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C3179C2"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前10名股东及前10名无限售流通股股东因转融通出借/归还原因导致较上期发生变化</w:t>
      </w:r>
    </w:p>
    <w:p w14:paraId="2118F1F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5506D563"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公司前10名普通股股东、前10名无限售条件普通股股东在报告期内是否进行约定购回交易</w:t>
      </w:r>
    </w:p>
    <w:p w14:paraId="02351634"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49A17732" w14:textId="7F95CA5A" w:rsidR="00247F56"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公司前10名普通股股东、前10名无限售条件普通股股东在报告期内未进行约定购回交易。</w:t>
      </w:r>
    </w:p>
    <w:p w14:paraId="3080E066" w14:textId="77777777" w:rsidR="00247F56" w:rsidRDefault="00247F56">
      <w:pPr>
        <w:widowControl/>
        <w:rPr>
          <w:rFonts w:ascii="宋体" w:eastAsia="宋体" w:hAnsi="宋体" w:cs="宋体" w:hint="eastAsia"/>
          <w:sz w:val="18"/>
          <w:szCs w:val="18"/>
        </w:rPr>
      </w:pPr>
      <w:r>
        <w:rPr>
          <w:rFonts w:ascii="宋体" w:eastAsia="宋体" w:hAnsi="宋体" w:cs="宋体" w:hint="eastAsia"/>
          <w:sz w:val="18"/>
          <w:szCs w:val="18"/>
        </w:rPr>
        <w:br w:type="page"/>
      </w:r>
    </w:p>
    <w:p w14:paraId="52669CBF" w14:textId="77777777" w:rsidR="00632E5B" w:rsidRDefault="00107901">
      <w:pPr>
        <w:pStyle w:val="3"/>
        <w:spacing w:line="280" w:lineRule="exact"/>
        <w:jc w:val="left"/>
        <w:rPr>
          <w:rFonts w:ascii="宋体" w:hAnsi="宋体" w:cs="宋体" w:hint="eastAsia"/>
          <w:b/>
          <w:bCs/>
        </w:rPr>
      </w:pPr>
      <w:bookmarkStart w:id="139" w:name="_Toc989028"/>
      <w:r>
        <w:rPr>
          <w:rFonts w:ascii="宋体" w:hAnsi="宋体" w:cs="宋体"/>
          <w:b/>
          <w:bCs/>
        </w:rPr>
        <w:lastRenderedPageBreak/>
        <w:t>2、公司控股股东情况</w:t>
      </w:r>
      <w:bookmarkEnd w:id="139"/>
    </w:p>
    <w:p w14:paraId="4598253A"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控股股东性质：地方国有控股</w:t>
      </w:r>
    </w:p>
    <w:p w14:paraId="78D8F3BD"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控股股东类型：法人</w:t>
      </w:r>
    </w:p>
    <w:tbl>
      <w:tblPr>
        <w:tblW w:w="92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927"/>
        <w:gridCol w:w="1364"/>
        <w:gridCol w:w="1418"/>
        <w:gridCol w:w="1417"/>
        <w:gridCol w:w="3119"/>
      </w:tblGrid>
      <w:tr w:rsidR="00632E5B" w14:paraId="7088F8AE" w14:textId="77777777" w:rsidTr="00247F56">
        <w:trPr>
          <w:trHeight w:val="240"/>
        </w:trPr>
        <w:tc>
          <w:tcPr>
            <w:tcW w:w="1927" w:type="dxa"/>
            <w:shd w:val="clear" w:color="auto" w:fill="FFFFFF" w:themeFill="background1"/>
            <w:vAlign w:val="center"/>
          </w:tcPr>
          <w:p w14:paraId="360B996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控股股东名称</w:t>
            </w:r>
          </w:p>
        </w:tc>
        <w:tc>
          <w:tcPr>
            <w:tcW w:w="1364" w:type="dxa"/>
            <w:shd w:val="clear" w:color="auto" w:fill="FFFFFF" w:themeFill="background1"/>
            <w:vAlign w:val="center"/>
          </w:tcPr>
          <w:p w14:paraId="760945C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法定代表人/单位负责人</w:t>
            </w:r>
          </w:p>
        </w:tc>
        <w:tc>
          <w:tcPr>
            <w:tcW w:w="1418" w:type="dxa"/>
            <w:shd w:val="clear" w:color="auto" w:fill="FFFFFF" w:themeFill="background1"/>
            <w:vAlign w:val="center"/>
          </w:tcPr>
          <w:p w14:paraId="5CC7E8E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成立日期</w:t>
            </w:r>
          </w:p>
        </w:tc>
        <w:tc>
          <w:tcPr>
            <w:tcW w:w="1417" w:type="dxa"/>
            <w:shd w:val="clear" w:color="auto" w:fill="FFFFFF" w:themeFill="background1"/>
            <w:vAlign w:val="center"/>
          </w:tcPr>
          <w:p w14:paraId="7C3F6D9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组织机构代码</w:t>
            </w:r>
          </w:p>
        </w:tc>
        <w:tc>
          <w:tcPr>
            <w:tcW w:w="3119" w:type="dxa"/>
            <w:shd w:val="clear" w:color="auto" w:fill="FFFFFF" w:themeFill="background1"/>
            <w:vAlign w:val="center"/>
          </w:tcPr>
          <w:p w14:paraId="285C1B1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主要经营业务</w:t>
            </w:r>
          </w:p>
        </w:tc>
      </w:tr>
      <w:tr w:rsidR="00632E5B" w14:paraId="7A4C1503" w14:textId="77777777" w:rsidTr="00247F56">
        <w:trPr>
          <w:trHeight w:val="240"/>
        </w:trPr>
        <w:tc>
          <w:tcPr>
            <w:tcW w:w="1927" w:type="dxa"/>
            <w:shd w:val="clear" w:color="auto" w:fill="FFFFFF" w:themeFill="background1"/>
            <w:vAlign w:val="center"/>
          </w:tcPr>
          <w:p w14:paraId="51B9208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常熟光晟新能源有限公司</w:t>
            </w:r>
          </w:p>
        </w:tc>
        <w:tc>
          <w:tcPr>
            <w:tcW w:w="1364" w:type="dxa"/>
            <w:shd w:val="clear" w:color="auto" w:fill="FFFFFF" w:themeFill="background1"/>
            <w:vAlign w:val="center"/>
          </w:tcPr>
          <w:p w14:paraId="4622861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许加纳</w:t>
            </w:r>
          </w:p>
        </w:tc>
        <w:tc>
          <w:tcPr>
            <w:tcW w:w="1418" w:type="dxa"/>
            <w:shd w:val="clear" w:color="auto" w:fill="FFFFFF" w:themeFill="background1"/>
            <w:vAlign w:val="center"/>
          </w:tcPr>
          <w:p w14:paraId="357EAAB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2023年08月18日</w:t>
            </w:r>
          </w:p>
        </w:tc>
        <w:tc>
          <w:tcPr>
            <w:tcW w:w="1417" w:type="dxa"/>
            <w:shd w:val="clear" w:color="auto" w:fill="FFFFFF" w:themeFill="background1"/>
            <w:vAlign w:val="center"/>
          </w:tcPr>
          <w:p w14:paraId="57674B0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91320581MACRDRXAX4</w:t>
            </w:r>
          </w:p>
        </w:tc>
        <w:tc>
          <w:tcPr>
            <w:tcW w:w="3119" w:type="dxa"/>
            <w:shd w:val="clear" w:color="auto" w:fill="FFFFFF" w:themeFill="background1"/>
            <w:vAlign w:val="center"/>
          </w:tcPr>
          <w:p w14:paraId="30B70A2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许可项目：电线、电缆制造；水产养殖；建设工程施工；建设工程勘察；建设工程设计（依法须经批准的项目，经相关部门批准后方可开展经营活动，具体经营项目以审批结果为准）</w:t>
            </w:r>
          </w:p>
          <w:p w14:paraId="790CC77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一般项目：新兴能源技术研发；新能源原动设备制造；新能源原动设备销售；太阳能热发电产品销售；技术服务、技术开发、技术咨询、技术交流、技术转让、技术推广；工程和技术研究和试验发展；光伏设备及元器件制造；光缆制造；有色金属铸造；通信设备制造；移动终端设备制造；电力电子元器件制造；太阳能热发电装备销售；太阳能热利用产品销售；太阳能热利用装备销售；光伏设备及元器件销售；光纤销售；光缆销售；电池销售；非金属矿及制品销售；煤炭及制品销售；仪器仪表销售；电力电子元器件销售；通信设备销售；金属矿石销售；机械设备销售；水产品零售；电线、电缆经营；有色金属压延加工；太阳能发电技术服务；工程管理服务；货物进出口；技术进出口（除依法须经批准的项目外，凭营业执照依法自主开展经营活动）</w:t>
            </w:r>
          </w:p>
        </w:tc>
      </w:tr>
      <w:tr w:rsidR="00632E5B" w14:paraId="4C2825BF" w14:textId="77777777" w:rsidTr="00247F56">
        <w:trPr>
          <w:trHeight w:val="240"/>
        </w:trPr>
        <w:tc>
          <w:tcPr>
            <w:tcW w:w="1927" w:type="dxa"/>
            <w:shd w:val="clear" w:color="auto" w:fill="FFFFFF" w:themeFill="background1"/>
            <w:vAlign w:val="center"/>
          </w:tcPr>
          <w:p w14:paraId="53CF01B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控股股东报告期内控股和参股的其他境内外上市公司的股权情况</w:t>
            </w:r>
          </w:p>
        </w:tc>
        <w:tc>
          <w:tcPr>
            <w:tcW w:w="7318" w:type="dxa"/>
            <w:gridSpan w:val="4"/>
            <w:shd w:val="clear" w:color="auto" w:fill="FFFFFF" w:themeFill="background1"/>
            <w:vAlign w:val="center"/>
          </w:tcPr>
          <w:p w14:paraId="4781731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w:t>
            </w:r>
          </w:p>
        </w:tc>
      </w:tr>
    </w:tbl>
    <w:p w14:paraId="3B3CF0AC"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控股股东报告期内变更</w:t>
      </w:r>
    </w:p>
    <w:p w14:paraId="2BE9B99F"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4820"/>
        <w:gridCol w:w="4819"/>
      </w:tblGrid>
      <w:tr w:rsidR="00632E5B" w14:paraId="0D9537C9" w14:textId="77777777" w:rsidTr="00247F56">
        <w:trPr>
          <w:trHeight w:val="240"/>
        </w:trPr>
        <w:tc>
          <w:tcPr>
            <w:tcW w:w="4820" w:type="dxa"/>
            <w:shd w:val="clear" w:color="auto" w:fill="FFFFFF" w:themeFill="background1"/>
            <w:vAlign w:val="center"/>
          </w:tcPr>
          <w:p w14:paraId="4082D903"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新控股股东名称</w:t>
            </w:r>
          </w:p>
        </w:tc>
        <w:tc>
          <w:tcPr>
            <w:tcW w:w="4820" w:type="dxa"/>
            <w:shd w:val="clear" w:color="auto" w:fill="FFFFFF" w:themeFill="background1"/>
            <w:vAlign w:val="center"/>
          </w:tcPr>
          <w:p w14:paraId="76CC102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常熟光晟新能源有限公司</w:t>
            </w:r>
          </w:p>
        </w:tc>
      </w:tr>
      <w:tr w:rsidR="00632E5B" w14:paraId="0EC1CB72" w14:textId="77777777" w:rsidTr="00247F56">
        <w:trPr>
          <w:trHeight w:val="240"/>
        </w:trPr>
        <w:tc>
          <w:tcPr>
            <w:tcW w:w="4820" w:type="dxa"/>
            <w:shd w:val="clear" w:color="auto" w:fill="FFFFFF" w:themeFill="background1"/>
            <w:vAlign w:val="center"/>
          </w:tcPr>
          <w:p w14:paraId="3089DEBB"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变更日期</w:t>
            </w:r>
          </w:p>
        </w:tc>
        <w:tc>
          <w:tcPr>
            <w:tcW w:w="4820" w:type="dxa"/>
            <w:shd w:val="clear" w:color="auto" w:fill="FFFFFF" w:themeFill="background1"/>
            <w:vAlign w:val="center"/>
          </w:tcPr>
          <w:p w14:paraId="3432751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2024年12月31日</w:t>
            </w:r>
          </w:p>
        </w:tc>
      </w:tr>
      <w:tr w:rsidR="00632E5B" w14:paraId="770A940F" w14:textId="77777777" w:rsidTr="00247F56">
        <w:trPr>
          <w:trHeight w:val="240"/>
        </w:trPr>
        <w:tc>
          <w:tcPr>
            <w:tcW w:w="4820" w:type="dxa"/>
            <w:shd w:val="clear" w:color="auto" w:fill="FFFFFF" w:themeFill="background1"/>
            <w:vAlign w:val="center"/>
          </w:tcPr>
          <w:p w14:paraId="3BA685B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指定网站查询索引</w:t>
            </w:r>
          </w:p>
        </w:tc>
        <w:tc>
          <w:tcPr>
            <w:tcW w:w="4820" w:type="dxa"/>
            <w:shd w:val="clear" w:color="auto" w:fill="FFFFFF" w:themeFill="background1"/>
            <w:vAlign w:val="center"/>
          </w:tcPr>
          <w:p w14:paraId="7E64AB3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632E5B" w14:paraId="6FB87EBD" w14:textId="77777777" w:rsidTr="00247F56">
        <w:trPr>
          <w:trHeight w:val="240"/>
        </w:trPr>
        <w:tc>
          <w:tcPr>
            <w:tcW w:w="4820" w:type="dxa"/>
            <w:shd w:val="clear" w:color="auto" w:fill="FFFFFF" w:themeFill="background1"/>
            <w:vAlign w:val="center"/>
          </w:tcPr>
          <w:p w14:paraId="6BDEED2C"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指定网站披露日期</w:t>
            </w:r>
          </w:p>
        </w:tc>
        <w:tc>
          <w:tcPr>
            <w:tcW w:w="4820" w:type="dxa"/>
            <w:shd w:val="clear" w:color="auto" w:fill="FFFFFF" w:themeFill="background1"/>
            <w:vAlign w:val="center"/>
          </w:tcPr>
          <w:p w14:paraId="623D963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2025年01月02日</w:t>
            </w:r>
          </w:p>
        </w:tc>
      </w:tr>
    </w:tbl>
    <w:p w14:paraId="20DC04FF" w14:textId="77777777" w:rsidR="00247F56" w:rsidRDefault="00247F56">
      <w:pPr>
        <w:pStyle w:val="3"/>
        <w:spacing w:line="280" w:lineRule="exact"/>
        <w:jc w:val="left"/>
        <w:rPr>
          <w:rFonts w:ascii="宋体" w:hAnsi="宋体" w:cs="宋体" w:hint="eastAsia"/>
          <w:b/>
          <w:bCs/>
        </w:rPr>
      </w:pPr>
      <w:bookmarkStart w:id="140" w:name="_Toc989029"/>
    </w:p>
    <w:p w14:paraId="4646AA72" w14:textId="77777777" w:rsidR="00247F56" w:rsidRDefault="00247F56">
      <w:pPr>
        <w:widowControl/>
        <w:rPr>
          <w:rFonts w:ascii="宋体" w:eastAsia="宋体" w:hAnsi="宋体" w:cs="宋体" w:hint="eastAsia"/>
          <w:b/>
          <w:bCs/>
          <w:szCs w:val="21"/>
        </w:rPr>
      </w:pPr>
      <w:r>
        <w:rPr>
          <w:rFonts w:ascii="宋体" w:hAnsi="宋体" w:cs="宋体" w:hint="eastAsia"/>
          <w:b/>
          <w:bCs/>
        </w:rPr>
        <w:br w:type="page"/>
      </w:r>
    </w:p>
    <w:p w14:paraId="13E312CC" w14:textId="33B873FE" w:rsidR="00632E5B" w:rsidRDefault="00107901">
      <w:pPr>
        <w:pStyle w:val="3"/>
        <w:spacing w:line="280" w:lineRule="exact"/>
        <w:jc w:val="left"/>
        <w:rPr>
          <w:rFonts w:ascii="宋体" w:hAnsi="宋体" w:cs="宋体" w:hint="eastAsia"/>
          <w:b/>
          <w:bCs/>
        </w:rPr>
      </w:pPr>
      <w:r>
        <w:rPr>
          <w:rFonts w:ascii="宋体" w:hAnsi="宋体" w:cs="宋体"/>
          <w:b/>
          <w:bCs/>
        </w:rPr>
        <w:lastRenderedPageBreak/>
        <w:t>3、公司实际控制人及其一致行动人</w:t>
      </w:r>
      <w:bookmarkEnd w:id="140"/>
    </w:p>
    <w:p w14:paraId="0954D296"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实际控制人性质：地方国资管理机构</w:t>
      </w:r>
    </w:p>
    <w:p w14:paraId="161F79FE"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实际控制人类型：法人</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927"/>
        <w:gridCol w:w="1928"/>
        <w:gridCol w:w="1928"/>
        <w:gridCol w:w="1928"/>
        <w:gridCol w:w="1928"/>
      </w:tblGrid>
      <w:tr w:rsidR="00632E5B" w14:paraId="43ADED87" w14:textId="77777777" w:rsidTr="00247F56">
        <w:trPr>
          <w:trHeight w:val="240"/>
        </w:trPr>
        <w:tc>
          <w:tcPr>
            <w:tcW w:w="1928" w:type="dxa"/>
            <w:shd w:val="clear" w:color="auto" w:fill="FFFFFF" w:themeFill="background1"/>
            <w:vAlign w:val="center"/>
          </w:tcPr>
          <w:p w14:paraId="5097D34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实际控制人名称</w:t>
            </w:r>
          </w:p>
        </w:tc>
        <w:tc>
          <w:tcPr>
            <w:tcW w:w="1928" w:type="dxa"/>
            <w:shd w:val="clear" w:color="auto" w:fill="FFFFFF" w:themeFill="background1"/>
            <w:vAlign w:val="center"/>
          </w:tcPr>
          <w:p w14:paraId="6B9101A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法定代表人/单位负责人</w:t>
            </w:r>
          </w:p>
        </w:tc>
        <w:tc>
          <w:tcPr>
            <w:tcW w:w="1928" w:type="dxa"/>
            <w:shd w:val="clear" w:color="auto" w:fill="FFFFFF" w:themeFill="background1"/>
            <w:vAlign w:val="center"/>
          </w:tcPr>
          <w:p w14:paraId="34F8C8E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成立日期</w:t>
            </w:r>
          </w:p>
        </w:tc>
        <w:tc>
          <w:tcPr>
            <w:tcW w:w="1928" w:type="dxa"/>
            <w:shd w:val="clear" w:color="auto" w:fill="FFFFFF" w:themeFill="background1"/>
            <w:vAlign w:val="center"/>
          </w:tcPr>
          <w:p w14:paraId="4740BF3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组织机构代码</w:t>
            </w:r>
          </w:p>
        </w:tc>
        <w:tc>
          <w:tcPr>
            <w:tcW w:w="1928" w:type="dxa"/>
            <w:shd w:val="clear" w:color="auto" w:fill="FFFFFF" w:themeFill="background1"/>
            <w:vAlign w:val="center"/>
          </w:tcPr>
          <w:p w14:paraId="19F413F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主要经营业务</w:t>
            </w:r>
          </w:p>
        </w:tc>
      </w:tr>
      <w:tr w:rsidR="00632E5B" w14:paraId="23439BB9" w14:textId="77777777" w:rsidTr="00247F56">
        <w:trPr>
          <w:trHeight w:val="240"/>
        </w:trPr>
        <w:tc>
          <w:tcPr>
            <w:tcW w:w="1928" w:type="dxa"/>
            <w:shd w:val="clear" w:color="auto" w:fill="FFFFFF" w:themeFill="background1"/>
            <w:vAlign w:val="center"/>
          </w:tcPr>
          <w:p w14:paraId="027E19E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厦门市人民政府国有资产监督管理委员会</w:t>
            </w:r>
          </w:p>
        </w:tc>
        <w:tc>
          <w:tcPr>
            <w:tcW w:w="1928" w:type="dxa"/>
            <w:shd w:val="clear" w:color="auto" w:fill="FFFFFF" w:themeFill="background1"/>
            <w:vAlign w:val="center"/>
          </w:tcPr>
          <w:p w14:paraId="3AB38B4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w:t>
            </w:r>
          </w:p>
        </w:tc>
        <w:tc>
          <w:tcPr>
            <w:tcW w:w="1928" w:type="dxa"/>
            <w:shd w:val="clear" w:color="auto" w:fill="FFFFFF" w:themeFill="background1"/>
            <w:vAlign w:val="center"/>
          </w:tcPr>
          <w:p w14:paraId="14F3FC84" w14:textId="77777777" w:rsidR="00632E5B" w:rsidRDefault="00632E5B">
            <w:pPr>
              <w:spacing w:line="240" w:lineRule="exact"/>
              <w:rPr>
                <w:rFonts w:ascii="宋体" w:eastAsia="宋体" w:hAnsi="宋体" w:cs="宋体" w:hint="eastAsia"/>
                <w:sz w:val="18"/>
                <w:szCs w:val="18"/>
              </w:rPr>
            </w:pPr>
          </w:p>
        </w:tc>
        <w:tc>
          <w:tcPr>
            <w:tcW w:w="1928" w:type="dxa"/>
            <w:shd w:val="clear" w:color="auto" w:fill="FFFFFF" w:themeFill="background1"/>
            <w:vAlign w:val="center"/>
          </w:tcPr>
          <w:p w14:paraId="6F2B21E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11350200776029740E</w:t>
            </w:r>
          </w:p>
        </w:tc>
        <w:tc>
          <w:tcPr>
            <w:tcW w:w="1928" w:type="dxa"/>
            <w:shd w:val="clear" w:color="auto" w:fill="FFFFFF" w:themeFill="background1"/>
            <w:vAlign w:val="center"/>
          </w:tcPr>
          <w:p w14:paraId="64BF8AF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不适用</w:t>
            </w:r>
          </w:p>
        </w:tc>
      </w:tr>
      <w:tr w:rsidR="00632E5B" w14:paraId="34B93018" w14:textId="77777777" w:rsidTr="00247F56">
        <w:trPr>
          <w:trHeight w:val="240"/>
        </w:trPr>
        <w:tc>
          <w:tcPr>
            <w:tcW w:w="1928" w:type="dxa"/>
            <w:shd w:val="clear" w:color="auto" w:fill="FFFFFF" w:themeFill="background1"/>
            <w:vAlign w:val="center"/>
          </w:tcPr>
          <w:p w14:paraId="73B9C831"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实际控制人报告期内控制的其他境内外上市公司的股权情况</w:t>
            </w:r>
          </w:p>
        </w:tc>
        <w:tc>
          <w:tcPr>
            <w:tcW w:w="7711" w:type="dxa"/>
            <w:gridSpan w:val="4"/>
            <w:shd w:val="clear" w:color="auto" w:fill="FFFFFF" w:themeFill="background1"/>
            <w:vAlign w:val="center"/>
          </w:tcPr>
          <w:p w14:paraId="394204A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厦门市人民政府国有资产监督管理委员会控制厦门建发股份有限公司（SH 600513）等多家上市公司。</w:t>
            </w:r>
          </w:p>
        </w:tc>
      </w:tr>
    </w:tbl>
    <w:p w14:paraId="3F76CFC0"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实际控制人报告期内变更</w:t>
      </w:r>
    </w:p>
    <w:p w14:paraId="4C0CDA15"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4820"/>
        <w:gridCol w:w="4819"/>
      </w:tblGrid>
      <w:tr w:rsidR="00632E5B" w14:paraId="4737A4D3" w14:textId="77777777" w:rsidTr="00247F56">
        <w:trPr>
          <w:trHeight w:val="240"/>
        </w:trPr>
        <w:tc>
          <w:tcPr>
            <w:tcW w:w="4820" w:type="dxa"/>
            <w:shd w:val="clear" w:color="auto" w:fill="FFFFFF" w:themeFill="background1"/>
            <w:vAlign w:val="center"/>
          </w:tcPr>
          <w:p w14:paraId="24172F99"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原实际控制人名称</w:t>
            </w:r>
          </w:p>
        </w:tc>
        <w:tc>
          <w:tcPr>
            <w:tcW w:w="4820" w:type="dxa"/>
            <w:shd w:val="clear" w:color="auto" w:fill="FFFFFF" w:themeFill="background1"/>
            <w:vAlign w:val="center"/>
          </w:tcPr>
          <w:p w14:paraId="2889BD8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王柏兴</w:t>
            </w:r>
          </w:p>
        </w:tc>
      </w:tr>
      <w:tr w:rsidR="00632E5B" w14:paraId="54BC5870" w14:textId="77777777" w:rsidTr="00247F56">
        <w:trPr>
          <w:trHeight w:val="240"/>
        </w:trPr>
        <w:tc>
          <w:tcPr>
            <w:tcW w:w="4820" w:type="dxa"/>
            <w:shd w:val="clear" w:color="auto" w:fill="FFFFFF" w:themeFill="background1"/>
            <w:vAlign w:val="center"/>
          </w:tcPr>
          <w:p w14:paraId="3CBB1DE0"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新实际控制人名称</w:t>
            </w:r>
          </w:p>
        </w:tc>
        <w:tc>
          <w:tcPr>
            <w:tcW w:w="4820" w:type="dxa"/>
            <w:shd w:val="clear" w:color="auto" w:fill="FFFFFF" w:themeFill="background1"/>
            <w:vAlign w:val="center"/>
          </w:tcPr>
          <w:p w14:paraId="7175F17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厦门市人民政府国有资产监督管理委员会</w:t>
            </w:r>
          </w:p>
        </w:tc>
      </w:tr>
      <w:tr w:rsidR="00632E5B" w14:paraId="7A4A19D6" w14:textId="77777777" w:rsidTr="00247F56">
        <w:trPr>
          <w:trHeight w:val="240"/>
        </w:trPr>
        <w:tc>
          <w:tcPr>
            <w:tcW w:w="4820" w:type="dxa"/>
            <w:shd w:val="clear" w:color="auto" w:fill="FFFFFF" w:themeFill="background1"/>
            <w:vAlign w:val="center"/>
          </w:tcPr>
          <w:p w14:paraId="5899992D"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变更日期</w:t>
            </w:r>
          </w:p>
        </w:tc>
        <w:tc>
          <w:tcPr>
            <w:tcW w:w="4820" w:type="dxa"/>
            <w:shd w:val="clear" w:color="auto" w:fill="FFFFFF" w:themeFill="background1"/>
            <w:vAlign w:val="center"/>
          </w:tcPr>
          <w:p w14:paraId="1796410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2025年02月06日</w:t>
            </w:r>
          </w:p>
        </w:tc>
      </w:tr>
      <w:tr w:rsidR="00632E5B" w14:paraId="68A23369" w14:textId="77777777" w:rsidTr="00247F56">
        <w:trPr>
          <w:trHeight w:val="240"/>
        </w:trPr>
        <w:tc>
          <w:tcPr>
            <w:tcW w:w="4820" w:type="dxa"/>
            <w:shd w:val="clear" w:color="auto" w:fill="FFFFFF" w:themeFill="background1"/>
            <w:vAlign w:val="center"/>
          </w:tcPr>
          <w:p w14:paraId="07CE1497"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指定网站查询索引</w:t>
            </w:r>
          </w:p>
        </w:tc>
        <w:tc>
          <w:tcPr>
            <w:tcW w:w="4820" w:type="dxa"/>
            <w:shd w:val="clear" w:color="auto" w:fill="FFFFFF" w:themeFill="background1"/>
            <w:vAlign w:val="center"/>
          </w:tcPr>
          <w:p w14:paraId="07F8A36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巨潮资讯网</w:t>
            </w:r>
          </w:p>
        </w:tc>
      </w:tr>
      <w:tr w:rsidR="00632E5B" w14:paraId="29AF61B5" w14:textId="77777777" w:rsidTr="00247F56">
        <w:trPr>
          <w:trHeight w:val="240"/>
        </w:trPr>
        <w:tc>
          <w:tcPr>
            <w:tcW w:w="4820" w:type="dxa"/>
            <w:shd w:val="clear" w:color="auto" w:fill="FFFFFF" w:themeFill="background1"/>
            <w:vAlign w:val="center"/>
          </w:tcPr>
          <w:p w14:paraId="319B206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指定网站披露日期</w:t>
            </w:r>
          </w:p>
        </w:tc>
        <w:tc>
          <w:tcPr>
            <w:tcW w:w="4820" w:type="dxa"/>
            <w:shd w:val="clear" w:color="auto" w:fill="FFFFFF" w:themeFill="background1"/>
            <w:vAlign w:val="center"/>
          </w:tcPr>
          <w:p w14:paraId="2737FB4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2025年02月07日</w:t>
            </w:r>
          </w:p>
        </w:tc>
      </w:tr>
    </w:tbl>
    <w:p w14:paraId="484415D9"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公司与实际控制人之间的产权及控制关系的方框图</w:t>
      </w:r>
    </w:p>
    <w:p w14:paraId="77070F67" w14:textId="77777777" w:rsidR="00632E5B" w:rsidRDefault="00107901">
      <w:pPr>
        <w:spacing w:before="40" w:after="40" w:line="0" w:lineRule="atLeast"/>
        <w:jc w:val="center"/>
        <w:rPr>
          <w:rFonts w:ascii="Times New Roman" w:eastAsia="宋体" w:hAnsi="Times New Roman" w:cs="Times New Roman"/>
        </w:rPr>
      </w:pPr>
      <w:r>
        <w:rPr>
          <w:rFonts w:ascii="Times New Roman" w:eastAsia="宋体" w:hAnsi="Times New Roman" w:cs="Times New Roman"/>
          <w:noProof/>
        </w:rPr>
        <w:drawing>
          <wp:inline distT="0" distB="0" distL="0" distR="0" wp14:anchorId="0176ACF9" wp14:editId="40D68687">
            <wp:extent cx="2614612" cy="27384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0" cstate="print"/>
                    <a:stretch>
                      <a:fillRect/>
                    </a:stretch>
                  </pic:blipFill>
                  <pic:spPr>
                    <a:xfrm>
                      <a:off x="0" y="0"/>
                      <a:ext cx="2614612" cy="2738438"/>
                    </a:xfrm>
                    <a:prstGeom prst="rect">
                      <a:avLst/>
                    </a:prstGeom>
                  </pic:spPr>
                </pic:pic>
              </a:graphicData>
            </a:graphic>
          </wp:inline>
        </w:drawing>
      </w:r>
    </w:p>
    <w:p w14:paraId="6B90633A" w14:textId="2C08CB36" w:rsidR="00E34341" w:rsidRPr="00E34341" w:rsidRDefault="00E34341" w:rsidP="00E34341">
      <w:pPr>
        <w:ind w:firstLineChars="200" w:firstLine="360"/>
        <w:rPr>
          <w:rFonts w:ascii="宋体" w:eastAsia="宋体" w:hAnsi="宋体" w:cs="宋体" w:hint="eastAsia"/>
          <w:sz w:val="18"/>
          <w:szCs w:val="18"/>
        </w:rPr>
      </w:pPr>
      <w:r w:rsidRPr="00E34341">
        <w:rPr>
          <w:rFonts w:ascii="宋体" w:eastAsia="宋体" w:hAnsi="宋体" w:cs="宋体" w:hint="eastAsia"/>
          <w:sz w:val="18"/>
          <w:szCs w:val="18"/>
        </w:rPr>
        <w:t>2024年12月30日，公司收到中国证券登记结算有限责任公司出具的《证券过户登记确认书》，管理人证券账户（江苏中利集团股份有限公司破产企业财产处置专用账户）已向产业投资人常熟光晟指定证券账户划转 601,533,077 股，占公司总股本 20%，其正式成为公司第一大股东暨控股股东。</w:t>
      </w:r>
    </w:p>
    <w:p w14:paraId="6D4D58DB" w14:textId="1D3B9CF6" w:rsidR="00E34341" w:rsidRDefault="00E34341" w:rsidP="00E34341">
      <w:pPr>
        <w:ind w:firstLineChars="200" w:firstLine="360"/>
        <w:rPr>
          <w:rFonts w:ascii="宋体" w:eastAsia="宋体" w:hAnsi="宋体" w:cs="宋体" w:hint="eastAsia"/>
          <w:sz w:val="18"/>
          <w:szCs w:val="18"/>
        </w:rPr>
      </w:pPr>
      <w:r w:rsidRPr="00E34341">
        <w:rPr>
          <w:rFonts w:ascii="宋体" w:eastAsia="宋体" w:hAnsi="宋体" w:cs="宋体" w:hint="eastAsia"/>
          <w:sz w:val="18"/>
          <w:szCs w:val="18"/>
        </w:rPr>
        <w:t>2025年2月6日，公司召开2025 年第一次临时股东大会审议通过选举产生了第七届董事会成员。根据《上市公司收购管理办法》的相关规定，公司控股股东常熟光晟已实际控制公司董事会并足以对股东大会的决议产生重大影响，常熟光晟的实际控制方厦门市人民政府国有资产监督管理委员会成为公司实际控制人。</w:t>
      </w:r>
    </w:p>
    <w:p w14:paraId="64E6DFFF" w14:textId="3E76C416"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实际控制人通过信托或其他资产管理方式控制公司</w:t>
      </w:r>
    </w:p>
    <w:p w14:paraId="082C23F7" w14:textId="56D9288E"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206C648B" w14:textId="77777777" w:rsidR="00632E5B" w:rsidRDefault="00107901">
      <w:pPr>
        <w:pStyle w:val="3"/>
        <w:spacing w:line="280" w:lineRule="exact"/>
        <w:jc w:val="left"/>
        <w:rPr>
          <w:rFonts w:ascii="宋体" w:hAnsi="宋体" w:cs="宋体" w:hint="eastAsia"/>
          <w:b/>
          <w:bCs/>
        </w:rPr>
      </w:pPr>
      <w:bookmarkStart w:id="141" w:name="_Toc989030"/>
      <w:r>
        <w:rPr>
          <w:rFonts w:ascii="宋体" w:hAnsi="宋体" w:cs="宋体"/>
          <w:b/>
          <w:bCs/>
        </w:rPr>
        <w:lastRenderedPageBreak/>
        <w:t>4、公司控股股东或第一大股东及其一致行动人累计质押股份数量占其所持公司股份数量比例达到80%</w:t>
      </w:r>
      <w:bookmarkEnd w:id="141"/>
    </w:p>
    <w:p w14:paraId="7959E99B"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0963D998" w14:textId="77777777" w:rsidR="00632E5B" w:rsidRDefault="00107901">
      <w:pPr>
        <w:pStyle w:val="3"/>
        <w:spacing w:line="280" w:lineRule="exact"/>
        <w:jc w:val="left"/>
        <w:rPr>
          <w:rFonts w:ascii="宋体" w:hAnsi="宋体" w:cs="宋体" w:hint="eastAsia"/>
          <w:b/>
          <w:bCs/>
        </w:rPr>
      </w:pPr>
      <w:bookmarkStart w:id="142" w:name="_Toc989031"/>
      <w:r>
        <w:rPr>
          <w:rFonts w:ascii="宋体" w:hAnsi="宋体" w:cs="宋体"/>
          <w:b/>
          <w:bCs/>
        </w:rPr>
        <w:t>5、其他持股在10%以上的法人股东</w:t>
      </w:r>
      <w:bookmarkEnd w:id="142"/>
    </w:p>
    <w:p w14:paraId="569F607A"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B45145E" w14:textId="77777777" w:rsidR="00632E5B" w:rsidRDefault="00107901">
      <w:pPr>
        <w:pStyle w:val="3"/>
        <w:spacing w:line="280" w:lineRule="exact"/>
        <w:jc w:val="left"/>
        <w:rPr>
          <w:rFonts w:ascii="宋体" w:hAnsi="宋体" w:cs="宋体" w:hint="eastAsia"/>
          <w:b/>
          <w:bCs/>
        </w:rPr>
      </w:pPr>
      <w:bookmarkStart w:id="143" w:name="_Toc989032"/>
      <w:r>
        <w:rPr>
          <w:rFonts w:ascii="宋体" w:hAnsi="宋体" w:cs="宋体"/>
          <w:b/>
          <w:bCs/>
        </w:rPr>
        <w:t>6、控股股东、实际控制人、重组方及其他承诺主体股份限制减持情况</w:t>
      </w:r>
      <w:bookmarkEnd w:id="143"/>
    </w:p>
    <w:p w14:paraId="642B3123"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6809077F" w14:textId="77777777" w:rsidR="00632E5B" w:rsidRDefault="00107901">
      <w:pPr>
        <w:pStyle w:val="2"/>
        <w:spacing w:before="300" w:after="300" w:line="320" w:lineRule="exact"/>
        <w:rPr>
          <w:rFonts w:ascii="宋体" w:eastAsia="宋体" w:hAnsi="宋体" w:cs="宋体" w:hint="eastAsia"/>
          <w:b/>
          <w:bCs/>
          <w:sz w:val="24"/>
          <w:szCs w:val="24"/>
        </w:rPr>
      </w:pPr>
      <w:bookmarkStart w:id="144" w:name="_Toc989033"/>
      <w:r>
        <w:rPr>
          <w:rFonts w:ascii="宋体" w:eastAsia="宋体" w:hAnsi="宋体" w:cs="宋体"/>
          <w:b/>
          <w:bCs/>
          <w:sz w:val="24"/>
          <w:szCs w:val="24"/>
        </w:rPr>
        <w:t>四、股份回购在报告期的具体实施情况</w:t>
      </w:r>
      <w:bookmarkEnd w:id="144"/>
    </w:p>
    <w:p w14:paraId="3D716FAC"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股份回购的实施进展情况</w:t>
      </w:r>
    </w:p>
    <w:p w14:paraId="43D5FFD6"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03C4933B"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采用集中竞价交易方式减持回购股份的实施进展情况</w:t>
      </w:r>
    </w:p>
    <w:p w14:paraId="2750F3C9"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67A52615" w14:textId="77777777" w:rsidR="00632E5B" w:rsidRDefault="00107901">
      <w:r>
        <w:br w:type="page"/>
      </w:r>
    </w:p>
    <w:p w14:paraId="45B2D915" w14:textId="7E73319F" w:rsidR="00632E5B" w:rsidRDefault="00107901">
      <w:pPr>
        <w:pStyle w:val="headingh1"/>
        <w:spacing w:before="340" w:after="330" w:line="773" w:lineRule="exact"/>
        <w:jc w:val="center"/>
        <w:rPr>
          <w:rFonts w:ascii="宋体" w:eastAsia="宋体" w:hAnsi="宋体" w:cs="宋体" w:hint="eastAsia"/>
          <w:b/>
          <w:bCs/>
          <w:sz w:val="32"/>
          <w:szCs w:val="32"/>
        </w:rPr>
      </w:pPr>
      <w:bookmarkStart w:id="145" w:name="_Toc989034"/>
      <w:r>
        <w:rPr>
          <w:rFonts w:ascii="宋体" w:eastAsia="宋体" w:hAnsi="宋体" w:cs="宋体"/>
          <w:b/>
          <w:bCs/>
          <w:sz w:val="32"/>
          <w:szCs w:val="32"/>
        </w:rPr>
        <w:lastRenderedPageBreak/>
        <w:t>第八节 优先股相关情况</w:t>
      </w:r>
      <w:bookmarkEnd w:id="145"/>
    </w:p>
    <w:p w14:paraId="793ED238"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A139524"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报告期公司不存在优先股。</w:t>
      </w:r>
    </w:p>
    <w:p w14:paraId="4C70A6D4" w14:textId="77777777" w:rsidR="00C8117C" w:rsidRDefault="00C8117C">
      <w:pPr>
        <w:widowControl/>
        <w:rPr>
          <w:rFonts w:ascii="宋体" w:eastAsia="宋体" w:hAnsi="宋体" w:cs="宋体" w:hint="eastAsia"/>
          <w:b/>
          <w:bCs/>
          <w:kern w:val="44"/>
          <w:sz w:val="32"/>
          <w:szCs w:val="32"/>
        </w:rPr>
      </w:pPr>
      <w:bookmarkStart w:id="146" w:name="_Toc989035"/>
      <w:r>
        <w:rPr>
          <w:rFonts w:ascii="宋体" w:eastAsia="宋体" w:hAnsi="宋体" w:cs="宋体"/>
          <w:b/>
          <w:bCs/>
          <w:sz w:val="32"/>
          <w:szCs w:val="32"/>
        </w:rPr>
        <w:br w:type="page"/>
      </w:r>
    </w:p>
    <w:p w14:paraId="5C4D8E5F" w14:textId="7BD8EFB3" w:rsidR="00632E5B" w:rsidRDefault="00107901">
      <w:pPr>
        <w:pStyle w:val="headingh1"/>
        <w:spacing w:before="340" w:after="330" w:line="773" w:lineRule="exact"/>
        <w:jc w:val="center"/>
        <w:rPr>
          <w:rFonts w:ascii="宋体" w:eastAsia="宋体" w:hAnsi="宋体" w:cs="宋体" w:hint="eastAsia"/>
          <w:b/>
          <w:bCs/>
          <w:sz w:val="32"/>
          <w:szCs w:val="32"/>
        </w:rPr>
      </w:pPr>
      <w:r>
        <w:rPr>
          <w:rFonts w:ascii="宋体" w:eastAsia="宋体" w:hAnsi="宋体" w:cs="宋体"/>
          <w:b/>
          <w:bCs/>
          <w:sz w:val="32"/>
          <w:szCs w:val="32"/>
        </w:rPr>
        <w:lastRenderedPageBreak/>
        <w:t>第九节 债券相关情况</w:t>
      </w:r>
      <w:bookmarkEnd w:id="146"/>
    </w:p>
    <w:p w14:paraId="265BBBF0"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2845AF78" w14:textId="77777777" w:rsidR="00632E5B" w:rsidRDefault="00107901">
      <w:r>
        <w:br w:type="page"/>
      </w:r>
    </w:p>
    <w:p w14:paraId="14695ACC" w14:textId="7DCF252F" w:rsidR="00632E5B" w:rsidRDefault="00107901">
      <w:pPr>
        <w:pStyle w:val="headingh1"/>
        <w:spacing w:before="340" w:after="330" w:line="773" w:lineRule="exact"/>
        <w:jc w:val="center"/>
        <w:rPr>
          <w:rFonts w:ascii="宋体" w:eastAsia="宋体" w:hAnsi="宋体" w:cs="宋体" w:hint="eastAsia"/>
          <w:b/>
          <w:bCs/>
          <w:sz w:val="32"/>
          <w:szCs w:val="32"/>
        </w:rPr>
      </w:pPr>
      <w:bookmarkStart w:id="147" w:name="_Toc989036"/>
      <w:r>
        <w:rPr>
          <w:rFonts w:ascii="宋体" w:eastAsia="宋体" w:hAnsi="宋体" w:cs="宋体"/>
          <w:b/>
          <w:bCs/>
          <w:sz w:val="32"/>
          <w:szCs w:val="32"/>
        </w:rPr>
        <w:lastRenderedPageBreak/>
        <w:t>第十节 财务报告</w:t>
      </w:r>
      <w:bookmarkEnd w:id="147"/>
    </w:p>
    <w:p w14:paraId="28CD1389" w14:textId="77777777" w:rsidR="00632E5B" w:rsidRDefault="00107901">
      <w:pPr>
        <w:pStyle w:val="2"/>
        <w:spacing w:before="300" w:after="300" w:line="320" w:lineRule="exact"/>
        <w:rPr>
          <w:rFonts w:ascii="宋体" w:eastAsia="宋体" w:hAnsi="宋体" w:cs="宋体" w:hint="eastAsia"/>
          <w:b/>
          <w:bCs/>
          <w:sz w:val="24"/>
          <w:szCs w:val="24"/>
        </w:rPr>
      </w:pPr>
      <w:bookmarkStart w:id="148" w:name="_Toc989037"/>
      <w:r>
        <w:rPr>
          <w:rFonts w:ascii="宋体" w:eastAsia="宋体" w:hAnsi="宋体" w:cs="宋体"/>
          <w:b/>
          <w:bCs/>
          <w:sz w:val="24"/>
          <w:szCs w:val="24"/>
        </w:rPr>
        <w:t>一、审计报告</w:t>
      </w:r>
      <w:bookmarkEnd w:id="148"/>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4820"/>
        <w:gridCol w:w="4819"/>
      </w:tblGrid>
      <w:tr w:rsidR="00632E5B" w14:paraId="2A6E1D2A" w14:textId="77777777" w:rsidTr="007F68CE">
        <w:trPr>
          <w:trHeight w:val="240"/>
        </w:trPr>
        <w:tc>
          <w:tcPr>
            <w:tcW w:w="4820" w:type="dxa"/>
            <w:shd w:val="clear" w:color="auto" w:fill="FFFFFF" w:themeFill="background1"/>
            <w:vAlign w:val="center"/>
          </w:tcPr>
          <w:p w14:paraId="5E7336ED"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审计意见类型</w:t>
            </w:r>
          </w:p>
        </w:tc>
        <w:tc>
          <w:tcPr>
            <w:tcW w:w="4820" w:type="dxa"/>
            <w:shd w:val="clear" w:color="auto" w:fill="FFFFFF" w:themeFill="background1"/>
            <w:vAlign w:val="center"/>
          </w:tcPr>
          <w:p w14:paraId="050EF8D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标准的无保留意见</w:t>
            </w:r>
          </w:p>
        </w:tc>
      </w:tr>
      <w:tr w:rsidR="00632E5B" w14:paraId="2F2B0F82" w14:textId="77777777" w:rsidTr="007F68CE">
        <w:trPr>
          <w:trHeight w:val="240"/>
        </w:trPr>
        <w:tc>
          <w:tcPr>
            <w:tcW w:w="4820" w:type="dxa"/>
            <w:shd w:val="clear" w:color="auto" w:fill="FFFFFF" w:themeFill="background1"/>
            <w:vAlign w:val="center"/>
          </w:tcPr>
          <w:p w14:paraId="5D6196CB"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审计报告签署日期</w:t>
            </w:r>
          </w:p>
        </w:tc>
        <w:tc>
          <w:tcPr>
            <w:tcW w:w="4820" w:type="dxa"/>
            <w:shd w:val="clear" w:color="auto" w:fill="FFFFFF" w:themeFill="background1"/>
            <w:vAlign w:val="center"/>
          </w:tcPr>
          <w:p w14:paraId="03E2CEF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2025年04月18日</w:t>
            </w:r>
          </w:p>
        </w:tc>
      </w:tr>
      <w:tr w:rsidR="00632E5B" w14:paraId="4667363F" w14:textId="77777777" w:rsidTr="007F68CE">
        <w:trPr>
          <w:trHeight w:val="240"/>
        </w:trPr>
        <w:tc>
          <w:tcPr>
            <w:tcW w:w="4820" w:type="dxa"/>
            <w:shd w:val="clear" w:color="auto" w:fill="FFFFFF" w:themeFill="background1"/>
            <w:vAlign w:val="center"/>
          </w:tcPr>
          <w:p w14:paraId="21FEBB0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审计机构名称</w:t>
            </w:r>
          </w:p>
        </w:tc>
        <w:tc>
          <w:tcPr>
            <w:tcW w:w="4820" w:type="dxa"/>
            <w:shd w:val="clear" w:color="auto" w:fill="FFFFFF" w:themeFill="background1"/>
            <w:vAlign w:val="center"/>
          </w:tcPr>
          <w:p w14:paraId="4459DC5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苏亚金诚会计师事务所（特殊普通合伙）</w:t>
            </w:r>
          </w:p>
        </w:tc>
      </w:tr>
      <w:tr w:rsidR="00632E5B" w14:paraId="08342F07" w14:textId="77777777" w:rsidTr="007F68CE">
        <w:trPr>
          <w:trHeight w:val="240"/>
        </w:trPr>
        <w:tc>
          <w:tcPr>
            <w:tcW w:w="4820" w:type="dxa"/>
            <w:shd w:val="clear" w:color="auto" w:fill="FFFFFF" w:themeFill="background1"/>
            <w:vAlign w:val="center"/>
          </w:tcPr>
          <w:p w14:paraId="0098E8A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审计报告文号</w:t>
            </w:r>
          </w:p>
        </w:tc>
        <w:tc>
          <w:tcPr>
            <w:tcW w:w="4820" w:type="dxa"/>
            <w:shd w:val="clear" w:color="auto" w:fill="FFFFFF" w:themeFill="background1"/>
            <w:vAlign w:val="center"/>
          </w:tcPr>
          <w:p w14:paraId="0522196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苏亚审(2025)118号</w:t>
            </w:r>
          </w:p>
        </w:tc>
      </w:tr>
      <w:tr w:rsidR="00632E5B" w14:paraId="6E2E03E6" w14:textId="77777777" w:rsidTr="007F68CE">
        <w:trPr>
          <w:trHeight w:val="240"/>
        </w:trPr>
        <w:tc>
          <w:tcPr>
            <w:tcW w:w="4820" w:type="dxa"/>
            <w:shd w:val="clear" w:color="auto" w:fill="FFFFFF" w:themeFill="background1"/>
            <w:vAlign w:val="center"/>
          </w:tcPr>
          <w:p w14:paraId="54FCD287"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注册会计师姓名</w:t>
            </w:r>
          </w:p>
        </w:tc>
        <w:tc>
          <w:tcPr>
            <w:tcW w:w="4820" w:type="dxa"/>
            <w:shd w:val="clear" w:color="auto" w:fill="FFFFFF" w:themeFill="background1"/>
            <w:vAlign w:val="center"/>
          </w:tcPr>
          <w:p w14:paraId="02255B5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徐长俄、许三春</w:t>
            </w:r>
          </w:p>
        </w:tc>
      </w:tr>
    </w:tbl>
    <w:p w14:paraId="765892F4" w14:textId="77777777" w:rsidR="00632E5B" w:rsidRDefault="00107901">
      <w:pPr>
        <w:spacing w:before="100" w:after="100" w:line="240" w:lineRule="exact"/>
        <w:jc w:val="center"/>
        <w:rPr>
          <w:rFonts w:ascii="宋体" w:eastAsia="宋体" w:hAnsi="宋体" w:cs="宋体" w:hint="eastAsia"/>
          <w:sz w:val="18"/>
          <w:szCs w:val="18"/>
        </w:rPr>
      </w:pPr>
      <w:r>
        <w:rPr>
          <w:rFonts w:ascii="宋体" w:eastAsia="宋体" w:hAnsi="宋体" w:cs="宋体"/>
          <w:sz w:val="18"/>
          <w:szCs w:val="18"/>
        </w:rPr>
        <w:t>审计报告正文</w:t>
      </w:r>
    </w:p>
    <w:p w14:paraId="3F0A89E9" w14:textId="77777777" w:rsidR="00E72F0C" w:rsidRPr="009E4220" w:rsidRDefault="00107901" w:rsidP="009E4220">
      <w:pPr>
        <w:pStyle w:val="a3"/>
        <w:spacing w:before="0" w:beforeAutospacing="0" w:after="0" w:afterAutospacing="0" w:line="360" w:lineRule="auto"/>
        <w:jc w:val="both"/>
        <w:divId w:val="1684552293"/>
        <w:rPr>
          <w:rFonts w:ascii="Times New Roman" w:hAnsi="Times New Roman" w:cs="Times New Roman"/>
          <w:sz w:val="21"/>
          <w:szCs w:val="21"/>
        </w:rPr>
      </w:pPr>
      <w:r w:rsidRPr="009E4220">
        <w:rPr>
          <w:rStyle w:val="a4"/>
          <w:rFonts w:cs="Times New Roman" w:hint="eastAsia"/>
          <w:b w:val="0"/>
          <w:sz w:val="21"/>
          <w:szCs w:val="21"/>
        </w:rPr>
        <w:t>江苏中利集团股份有限公司全体股东：</w:t>
      </w:r>
    </w:p>
    <w:p w14:paraId="12597F72" w14:textId="1DAD76C4" w:rsidR="00E72F0C" w:rsidRPr="009E4220" w:rsidRDefault="009E4220" w:rsidP="009E4220">
      <w:pPr>
        <w:widowControl/>
        <w:spacing w:line="360" w:lineRule="auto"/>
        <w:divId w:val="1684552293"/>
        <w:rPr>
          <w:rFonts w:ascii="宋体" w:hAnsi="宋体" w:cs="宋体" w:hint="eastAsia"/>
          <w:szCs w:val="21"/>
        </w:rPr>
      </w:pPr>
      <w:r>
        <w:rPr>
          <w:rStyle w:val="a4"/>
          <w:rFonts w:hint="eastAsia"/>
          <w:b w:val="0"/>
          <w:szCs w:val="21"/>
        </w:rPr>
        <w:t>（一）</w:t>
      </w:r>
      <w:r w:rsidR="00107901" w:rsidRPr="009E4220">
        <w:rPr>
          <w:rStyle w:val="a4"/>
          <w:rFonts w:hint="eastAsia"/>
          <w:b w:val="0"/>
          <w:szCs w:val="21"/>
        </w:rPr>
        <w:t>审计意见</w:t>
      </w:r>
    </w:p>
    <w:p w14:paraId="0E7AFD0D" w14:textId="77777777" w:rsidR="00E72F0C" w:rsidRPr="009E4220" w:rsidRDefault="00107901" w:rsidP="009E4220">
      <w:pPr>
        <w:pStyle w:val="a3"/>
        <w:spacing w:before="0" w:beforeAutospacing="0" w:after="0" w:afterAutospacing="0" w:line="360" w:lineRule="auto"/>
        <w:ind w:firstLine="480"/>
        <w:jc w:val="both"/>
        <w:divId w:val="1684552293"/>
        <w:rPr>
          <w:rFonts w:ascii="Times New Roman" w:hAnsi="Times New Roman" w:cs="Times New Roman"/>
          <w:sz w:val="21"/>
          <w:szCs w:val="21"/>
        </w:rPr>
      </w:pPr>
      <w:r w:rsidRPr="009E4220">
        <w:rPr>
          <w:rFonts w:cs="Times New Roman" w:hint="eastAsia"/>
          <w:sz w:val="21"/>
          <w:szCs w:val="21"/>
        </w:rPr>
        <w:t>我们审计了江苏中利集团股份有限公司（以下简称江苏中利）财务报表，包括2024年12月31日的合并资产负债表及资产负债表，2024年度的合并利润表及利润表、合并现金流量表及现金流量表、合并所有者权益变动表及所有者权益变动表以及相关财务报表附注。</w:t>
      </w:r>
    </w:p>
    <w:p w14:paraId="1F4A9DE3" w14:textId="77777777" w:rsidR="00E72F0C" w:rsidRPr="009E4220" w:rsidRDefault="00107901" w:rsidP="009E4220">
      <w:pPr>
        <w:pStyle w:val="a3"/>
        <w:spacing w:before="0" w:beforeAutospacing="0" w:after="0" w:afterAutospacing="0" w:line="360" w:lineRule="auto"/>
        <w:ind w:firstLine="480"/>
        <w:jc w:val="both"/>
        <w:divId w:val="1684552293"/>
        <w:rPr>
          <w:rFonts w:ascii="Times New Roman" w:hAnsi="Times New Roman" w:cs="Times New Roman"/>
          <w:sz w:val="21"/>
          <w:szCs w:val="21"/>
        </w:rPr>
      </w:pPr>
      <w:r w:rsidRPr="009E4220">
        <w:rPr>
          <w:rFonts w:cs="Times New Roman" w:hint="eastAsia"/>
          <w:sz w:val="21"/>
          <w:szCs w:val="21"/>
        </w:rPr>
        <w:t>我们认为，后附的财务报表在所有重大方面按照企业会计准则的规定编制，公允反映了江苏中利2024年12月31日的财务状况以及2024年度的经营成果和现金流量。</w:t>
      </w:r>
    </w:p>
    <w:p w14:paraId="0C97CFDB" w14:textId="571CBC15" w:rsidR="00E72F0C" w:rsidRPr="009E4220" w:rsidRDefault="009E4220" w:rsidP="009E4220">
      <w:pPr>
        <w:widowControl/>
        <w:spacing w:line="360" w:lineRule="auto"/>
        <w:divId w:val="1684552293"/>
        <w:rPr>
          <w:rFonts w:ascii="宋体" w:hAnsi="宋体" w:cs="宋体" w:hint="eastAsia"/>
          <w:b/>
          <w:szCs w:val="21"/>
        </w:rPr>
      </w:pPr>
      <w:r w:rsidRPr="009E4220">
        <w:rPr>
          <w:rStyle w:val="a4"/>
          <w:rFonts w:hint="eastAsia"/>
          <w:b w:val="0"/>
          <w:szCs w:val="21"/>
        </w:rPr>
        <w:t>（二）</w:t>
      </w:r>
      <w:r w:rsidR="00107901" w:rsidRPr="009E4220">
        <w:rPr>
          <w:rStyle w:val="a4"/>
          <w:rFonts w:hint="eastAsia"/>
          <w:b w:val="0"/>
          <w:szCs w:val="21"/>
        </w:rPr>
        <w:t>形成审计意见的基础</w:t>
      </w:r>
    </w:p>
    <w:p w14:paraId="370DB57D" w14:textId="77777777" w:rsidR="00E72F0C" w:rsidRPr="009E4220" w:rsidRDefault="00107901" w:rsidP="009E4220">
      <w:pPr>
        <w:pStyle w:val="a3"/>
        <w:spacing w:before="0" w:beforeAutospacing="0" w:after="0" w:afterAutospacing="0" w:line="360" w:lineRule="auto"/>
        <w:ind w:firstLine="480"/>
        <w:jc w:val="both"/>
        <w:divId w:val="1684552293"/>
        <w:rPr>
          <w:rFonts w:ascii="Times New Roman" w:hAnsi="Times New Roman" w:cs="Times New Roman"/>
          <w:sz w:val="21"/>
          <w:szCs w:val="21"/>
        </w:rPr>
      </w:pPr>
      <w:r w:rsidRPr="009E4220">
        <w:rPr>
          <w:rFonts w:cs="Times New Roman" w:hint="eastAsia"/>
          <w:sz w:val="21"/>
          <w:szCs w:val="21"/>
        </w:rPr>
        <w:t>我们按照中国注册会计师审计准则的规定执行了审计工作。审计报告的“注册会计师对财务报表审计的责任”部分进一步阐述了我们在这些准则下的责任。按照中国注册会计师职业道德守则，我们独立于江苏中利，并履行了职业道德方面的其他责任。我们相信，我们获取的审计证据是充分、适当的，为发表审计意见提供了基础。</w:t>
      </w:r>
    </w:p>
    <w:p w14:paraId="23F84757" w14:textId="5B3FE18B" w:rsidR="00E72F0C" w:rsidRPr="009E4220" w:rsidRDefault="009E4220" w:rsidP="009E4220">
      <w:pPr>
        <w:widowControl/>
        <w:spacing w:line="360" w:lineRule="auto"/>
        <w:divId w:val="1684552293"/>
        <w:rPr>
          <w:rFonts w:ascii="宋体" w:hAnsi="宋体" w:cs="宋体" w:hint="eastAsia"/>
          <w:b/>
          <w:szCs w:val="21"/>
        </w:rPr>
      </w:pPr>
      <w:r w:rsidRPr="009E4220">
        <w:rPr>
          <w:rStyle w:val="a4"/>
          <w:rFonts w:hint="eastAsia"/>
          <w:b w:val="0"/>
          <w:szCs w:val="21"/>
        </w:rPr>
        <w:t>（三）</w:t>
      </w:r>
      <w:r w:rsidR="00107901" w:rsidRPr="009E4220">
        <w:rPr>
          <w:rStyle w:val="a4"/>
          <w:rFonts w:hint="eastAsia"/>
          <w:b w:val="0"/>
          <w:szCs w:val="21"/>
        </w:rPr>
        <w:t>关键审计事项</w:t>
      </w:r>
    </w:p>
    <w:p w14:paraId="4C8134E2" w14:textId="0A7D42E0" w:rsidR="00E72F0C" w:rsidRPr="009E4220" w:rsidRDefault="00107901" w:rsidP="009E4220">
      <w:pPr>
        <w:pStyle w:val="a3"/>
        <w:spacing w:before="0" w:beforeAutospacing="0" w:after="0" w:afterAutospacing="0" w:line="360" w:lineRule="auto"/>
        <w:ind w:firstLine="480"/>
        <w:jc w:val="both"/>
        <w:divId w:val="1684552293"/>
        <w:rPr>
          <w:rFonts w:ascii="Times New Roman" w:hAnsi="Times New Roman" w:cs="Times New Roman"/>
          <w:sz w:val="21"/>
          <w:szCs w:val="21"/>
        </w:rPr>
      </w:pPr>
      <w:r w:rsidRPr="009E4220">
        <w:rPr>
          <w:rFonts w:cs="Times New Roman" w:hint="eastAsia"/>
          <w:sz w:val="21"/>
          <w:szCs w:val="21"/>
        </w:rPr>
        <w:t>关键审计事项是我们根据职业判断，认为对本期财务报表审计最为重要的事项。这些事项的应对以对财务报表整体进行审计并形成审计意见为背景，我们不对这些事项单独发表意见。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00"/>
        <w:gridCol w:w="696"/>
        <w:gridCol w:w="4531"/>
      </w:tblGrid>
      <w:tr w:rsidR="00E72F0C" w:rsidRPr="009E4220" w14:paraId="219CCBE0" w14:textId="77777777" w:rsidTr="009E4220">
        <w:trPr>
          <w:divId w:val="1684552293"/>
          <w:trHeight w:val="444"/>
        </w:trPr>
        <w:tc>
          <w:tcPr>
            <w:tcW w:w="2300" w:type="pct"/>
            <w:noWrap/>
            <w:tcMar>
              <w:top w:w="0" w:type="dxa"/>
              <w:left w:w="108" w:type="dxa"/>
              <w:bottom w:w="0" w:type="dxa"/>
              <w:right w:w="108" w:type="dxa"/>
            </w:tcMar>
            <w:vAlign w:val="center"/>
            <w:hideMark/>
          </w:tcPr>
          <w:p w14:paraId="13D69281" w14:textId="77777777" w:rsidR="00E72F0C" w:rsidRPr="009E4220" w:rsidRDefault="00107901">
            <w:pPr>
              <w:pStyle w:val="a3"/>
              <w:spacing w:before="0" w:beforeAutospacing="0" w:after="0" w:afterAutospacing="0"/>
              <w:rPr>
                <w:rFonts w:ascii="Times New Roman" w:hAnsi="Times New Roman" w:cs="Times New Roman"/>
                <w:sz w:val="21"/>
                <w:szCs w:val="21"/>
              </w:rPr>
            </w:pPr>
            <w:r w:rsidRPr="009E4220">
              <w:rPr>
                <w:rStyle w:val="a4"/>
                <w:rFonts w:cs="Times New Roman" w:hint="eastAsia"/>
                <w:b w:val="0"/>
                <w:sz w:val="21"/>
                <w:szCs w:val="21"/>
              </w:rPr>
              <w:t>关键审计事项</w:t>
            </w:r>
          </w:p>
        </w:tc>
        <w:tc>
          <w:tcPr>
            <w:tcW w:w="2700" w:type="pct"/>
            <w:gridSpan w:val="2"/>
            <w:noWrap/>
            <w:tcMar>
              <w:top w:w="0" w:type="dxa"/>
              <w:left w:w="108" w:type="dxa"/>
              <w:bottom w:w="0" w:type="dxa"/>
              <w:right w:w="108" w:type="dxa"/>
            </w:tcMar>
            <w:vAlign w:val="center"/>
            <w:hideMark/>
          </w:tcPr>
          <w:p w14:paraId="29BF0E85" w14:textId="77777777" w:rsidR="00E72F0C" w:rsidRPr="009E4220" w:rsidRDefault="00107901">
            <w:pPr>
              <w:pStyle w:val="a3"/>
              <w:spacing w:before="0" w:beforeAutospacing="0" w:after="0" w:afterAutospacing="0"/>
              <w:rPr>
                <w:rFonts w:ascii="Times New Roman" w:hAnsi="Times New Roman" w:cs="Times New Roman"/>
                <w:sz w:val="21"/>
                <w:szCs w:val="21"/>
              </w:rPr>
            </w:pPr>
            <w:r w:rsidRPr="009E4220">
              <w:rPr>
                <w:rStyle w:val="a4"/>
                <w:rFonts w:cs="Times New Roman" w:hint="eastAsia"/>
                <w:b w:val="0"/>
                <w:sz w:val="21"/>
                <w:szCs w:val="21"/>
              </w:rPr>
              <w:t>在审计中如何应对该事项</w:t>
            </w:r>
          </w:p>
        </w:tc>
      </w:tr>
      <w:tr w:rsidR="00E72F0C" w:rsidRPr="009E4220" w14:paraId="76BD94F5" w14:textId="77777777" w:rsidTr="009E4220">
        <w:trPr>
          <w:divId w:val="1684552293"/>
          <w:trHeight w:val="421"/>
        </w:trPr>
        <w:tc>
          <w:tcPr>
            <w:tcW w:w="5000" w:type="pct"/>
            <w:gridSpan w:val="3"/>
            <w:noWrap/>
            <w:tcMar>
              <w:top w:w="0" w:type="dxa"/>
              <w:left w:w="108" w:type="dxa"/>
              <w:bottom w:w="0" w:type="dxa"/>
              <w:right w:w="108" w:type="dxa"/>
            </w:tcMar>
            <w:vAlign w:val="center"/>
            <w:hideMark/>
          </w:tcPr>
          <w:p w14:paraId="174615C3" w14:textId="567D7456" w:rsidR="00E72F0C" w:rsidRPr="009E4220" w:rsidRDefault="00107901">
            <w:pPr>
              <w:pStyle w:val="a3"/>
              <w:spacing w:before="0" w:beforeAutospacing="0" w:after="0" w:afterAutospacing="0"/>
              <w:rPr>
                <w:rFonts w:ascii="Times New Roman" w:hAnsi="Times New Roman" w:cs="Times New Roman"/>
                <w:sz w:val="21"/>
                <w:szCs w:val="21"/>
              </w:rPr>
            </w:pPr>
            <w:r w:rsidRPr="009E4220">
              <w:rPr>
                <w:rStyle w:val="a4"/>
                <w:rFonts w:cs="Times New Roman" w:hint="eastAsia"/>
                <w:b w:val="0"/>
                <w:sz w:val="21"/>
                <w:szCs w:val="21"/>
              </w:rPr>
              <w:t>1</w:t>
            </w:r>
            <w:r w:rsidR="00A07887">
              <w:rPr>
                <w:rStyle w:val="a4"/>
                <w:rFonts w:cs="Times New Roman" w:hint="eastAsia"/>
                <w:b w:val="0"/>
                <w:sz w:val="21"/>
                <w:szCs w:val="21"/>
              </w:rPr>
              <w:t>.</w:t>
            </w:r>
            <w:r w:rsidRPr="009E4220">
              <w:rPr>
                <w:rStyle w:val="a4"/>
                <w:rFonts w:cs="Times New Roman" w:hint="eastAsia"/>
                <w:b w:val="0"/>
                <w:sz w:val="21"/>
                <w:szCs w:val="21"/>
              </w:rPr>
              <w:t>收入确认</w:t>
            </w:r>
          </w:p>
        </w:tc>
      </w:tr>
      <w:tr w:rsidR="00E72F0C" w:rsidRPr="009E4220" w14:paraId="767A7F51" w14:textId="77777777" w:rsidTr="009E4220">
        <w:trPr>
          <w:divId w:val="1684552293"/>
          <w:trHeight w:val="725"/>
        </w:trPr>
        <w:tc>
          <w:tcPr>
            <w:tcW w:w="5000" w:type="pct"/>
            <w:gridSpan w:val="3"/>
            <w:noWrap/>
            <w:tcMar>
              <w:top w:w="0" w:type="dxa"/>
              <w:left w:w="108" w:type="dxa"/>
              <w:bottom w:w="0" w:type="dxa"/>
              <w:right w:w="108" w:type="dxa"/>
            </w:tcMar>
            <w:vAlign w:val="center"/>
            <w:hideMark/>
          </w:tcPr>
          <w:p w14:paraId="620860E8" w14:textId="77777777" w:rsidR="00E72F0C" w:rsidRPr="009E4220" w:rsidRDefault="00107901">
            <w:pPr>
              <w:pStyle w:val="a3"/>
              <w:spacing w:before="0" w:beforeAutospacing="0" w:after="0" w:afterAutospacing="0"/>
              <w:rPr>
                <w:rFonts w:ascii="Times New Roman" w:hAnsi="Times New Roman" w:cs="Times New Roman"/>
                <w:sz w:val="21"/>
                <w:szCs w:val="21"/>
              </w:rPr>
            </w:pPr>
            <w:r w:rsidRPr="009E4220">
              <w:rPr>
                <w:rFonts w:cs="Times New Roman" w:hint="eastAsia"/>
                <w:sz w:val="21"/>
                <w:szCs w:val="21"/>
              </w:rPr>
              <w:t>请参阅财务报表附注三“重要会计政策和会计估计”注释二十四所述的会计政策及附注五“合并财务报表主要项目注释”注释42。</w:t>
            </w:r>
          </w:p>
        </w:tc>
      </w:tr>
      <w:tr w:rsidR="00E72F0C" w:rsidRPr="009E4220" w14:paraId="32561127" w14:textId="77777777" w:rsidTr="009E4220">
        <w:trPr>
          <w:divId w:val="1684552293"/>
          <w:trHeight w:val="557"/>
        </w:trPr>
        <w:tc>
          <w:tcPr>
            <w:tcW w:w="2300" w:type="pct"/>
            <w:noWrap/>
            <w:tcMar>
              <w:top w:w="0" w:type="dxa"/>
              <w:left w:w="108" w:type="dxa"/>
              <w:bottom w:w="0" w:type="dxa"/>
              <w:right w:w="108" w:type="dxa"/>
            </w:tcMar>
            <w:vAlign w:val="center"/>
            <w:hideMark/>
          </w:tcPr>
          <w:p w14:paraId="54733ADD" w14:textId="77777777" w:rsidR="00E72F0C" w:rsidRPr="009E4220" w:rsidRDefault="00107901">
            <w:pPr>
              <w:pStyle w:val="a3"/>
              <w:spacing w:before="156" w:beforeAutospacing="0" w:after="0" w:afterAutospacing="0" w:line="460" w:lineRule="atLeast"/>
              <w:ind w:firstLine="480"/>
              <w:jc w:val="both"/>
              <w:rPr>
                <w:rFonts w:ascii="Times New Roman" w:hAnsi="Times New Roman" w:cs="Times New Roman"/>
                <w:sz w:val="21"/>
                <w:szCs w:val="21"/>
              </w:rPr>
            </w:pPr>
            <w:r w:rsidRPr="009E4220">
              <w:rPr>
                <w:rFonts w:cs="Times New Roman" w:hint="eastAsia"/>
                <w:sz w:val="21"/>
                <w:szCs w:val="21"/>
              </w:rPr>
              <w:t>2024年度江苏中利收入235,797.97万元，较2023年度下降41.80%。收入是衡量江</w:t>
            </w:r>
            <w:r w:rsidRPr="009E4220">
              <w:rPr>
                <w:rFonts w:cs="Times New Roman" w:hint="eastAsia"/>
                <w:sz w:val="21"/>
                <w:szCs w:val="21"/>
              </w:rPr>
              <w:lastRenderedPageBreak/>
              <w:t>苏中利业绩表现的重要指标，使得收入可能存在被确认于不正确的期间或被操控以达到目标或预期水平的固有风险。因此，我们将收入确认确定为关键审计事项。</w:t>
            </w:r>
          </w:p>
        </w:tc>
        <w:tc>
          <w:tcPr>
            <w:tcW w:w="2700" w:type="pct"/>
            <w:gridSpan w:val="2"/>
            <w:noWrap/>
            <w:tcMar>
              <w:top w:w="0" w:type="dxa"/>
              <w:left w:w="108" w:type="dxa"/>
              <w:bottom w:w="0" w:type="dxa"/>
              <w:right w:w="108" w:type="dxa"/>
            </w:tcMar>
            <w:vAlign w:val="center"/>
            <w:hideMark/>
          </w:tcPr>
          <w:p w14:paraId="63A6149D" w14:textId="77777777" w:rsidR="00E72F0C" w:rsidRPr="009E4220" w:rsidRDefault="00107901">
            <w:pPr>
              <w:pStyle w:val="a3"/>
              <w:spacing w:before="0" w:beforeAutospacing="0" w:after="0" w:afterAutospacing="0" w:line="400" w:lineRule="atLeast"/>
              <w:ind w:firstLine="480"/>
              <w:jc w:val="both"/>
              <w:rPr>
                <w:rFonts w:ascii="Times New Roman" w:hAnsi="Times New Roman" w:cs="Times New Roman"/>
                <w:sz w:val="21"/>
                <w:szCs w:val="21"/>
              </w:rPr>
            </w:pPr>
            <w:r w:rsidRPr="009E4220">
              <w:rPr>
                <w:rFonts w:cs="Times New Roman" w:hint="eastAsia"/>
                <w:sz w:val="21"/>
                <w:szCs w:val="21"/>
              </w:rPr>
              <w:lastRenderedPageBreak/>
              <w:t>我们针对收入确认执行的主要审计程序包括：</w:t>
            </w:r>
          </w:p>
          <w:p w14:paraId="7571AD30" w14:textId="77777777" w:rsidR="00E72F0C" w:rsidRPr="009E4220" w:rsidRDefault="00107901">
            <w:pPr>
              <w:pStyle w:val="a3"/>
              <w:spacing w:before="0" w:beforeAutospacing="0" w:after="0" w:afterAutospacing="0" w:line="400" w:lineRule="atLeast"/>
              <w:ind w:firstLine="480"/>
              <w:jc w:val="both"/>
              <w:rPr>
                <w:rFonts w:ascii="Times New Roman" w:hAnsi="Times New Roman" w:cs="Times New Roman"/>
                <w:sz w:val="21"/>
                <w:szCs w:val="21"/>
              </w:rPr>
            </w:pPr>
            <w:r w:rsidRPr="009E4220">
              <w:rPr>
                <w:rFonts w:cs="Times New Roman" w:hint="eastAsia"/>
                <w:sz w:val="21"/>
                <w:szCs w:val="21"/>
              </w:rPr>
              <w:t>（1）了解和评价管理层与收入确认相关的关键内部控制的设计和运行有效性；</w:t>
            </w:r>
          </w:p>
          <w:p w14:paraId="250E08B2" w14:textId="77777777" w:rsidR="00E72F0C" w:rsidRPr="009E4220" w:rsidRDefault="00107901">
            <w:pPr>
              <w:pStyle w:val="a3"/>
              <w:spacing w:before="0" w:beforeAutospacing="0" w:after="0" w:afterAutospacing="0" w:line="400" w:lineRule="atLeast"/>
              <w:ind w:firstLine="480"/>
              <w:jc w:val="both"/>
              <w:rPr>
                <w:rFonts w:ascii="Times New Roman" w:hAnsi="Times New Roman" w:cs="Times New Roman"/>
                <w:sz w:val="21"/>
                <w:szCs w:val="21"/>
              </w:rPr>
            </w:pPr>
            <w:r w:rsidRPr="009E4220">
              <w:rPr>
                <w:rFonts w:cs="Times New Roman" w:hint="eastAsia"/>
                <w:sz w:val="21"/>
                <w:szCs w:val="21"/>
              </w:rPr>
              <w:lastRenderedPageBreak/>
              <w:t>（2）选取销售合同，识别合同中包含的各项履约义务，确认并评价履约义务的履约时点是否符合企业会计准则规定，并复核相关会计政策是否得到一贯执行；</w:t>
            </w:r>
          </w:p>
          <w:p w14:paraId="26704AB0" w14:textId="77777777" w:rsidR="00E72F0C" w:rsidRPr="009E4220" w:rsidRDefault="00107901">
            <w:pPr>
              <w:pStyle w:val="a3"/>
              <w:spacing w:before="0" w:beforeAutospacing="0" w:after="0" w:afterAutospacing="0" w:line="400" w:lineRule="atLeast"/>
              <w:ind w:firstLine="480"/>
              <w:jc w:val="both"/>
              <w:rPr>
                <w:rFonts w:ascii="Times New Roman" w:hAnsi="Times New Roman" w:cs="Times New Roman"/>
                <w:sz w:val="21"/>
                <w:szCs w:val="21"/>
              </w:rPr>
            </w:pPr>
            <w:r w:rsidRPr="009E4220">
              <w:rPr>
                <w:rFonts w:cs="Times New Roman" w:hint="eastAsia"/>
                <w:sz w:val="21"/>
                <w:szCs w:val="21"/>
              </w:rPr>
              <w:t>（3）对营业收入执行细节测试，对收入的真实性、完整性、准确性进行检查，评价相关收入确认是否符合公司收入确认的会计政策。从营业收入明细账选取样本执行发生测试，核对产品销售合同、销售订单、出库单、签收单、报关单、提货单、发票等支持性证据；从出库单选取样本执行完整性测试，核对产品销售合同、销售订单、签收单、报关单、提货单、发票等支持性证据，确认交易是否完整、准确记录于企业账面；</w:t>
            </w:r>
          </w:p>
          <w:p w14:paraId="3CEE1A5A" w14:textId="77777777" w:rsidR="00E72F0C" w:rsidRPr="009E4220" w:rsidRDefault="00107901">
            <w:pPr>
              <w:pStyle w:val="a3"/>
              <w:spacing w:before="0" w:beforeAutospacing="0" w:after="0" w:afterAutospacing="0" w:line="400" w:lineRule="atLeast"/>
              <w:ind w:firstLine="480"/>
              <w:jc w:val="both"/>
              <w:rPr>
                <w:rFonts w:ascii="Times New Roman" w:hAnsi="Times New Roman" w:cs="Times New Roman"/>
                <w:sz w:val="21"/>
                <w:szCs w:val="21"/>
              </w:rPr>
            </w:pPr>
            <w:r w:rsidRPr="009E4220">
              <w:rPr>
                <w:rFonts w:cs="Times New Roman" w:hint="eastAsia"/>
                <w:sz w:val="21"/>
                <w:szCs w:val="21"/>
              </w:rPr>
              <w:t xml:space="preserve">（4）分业务类型或产品类型，对收入及毛利率执行分析程序，对本期和上期毛利率进行比较分析，判断收入及毛利率变动的合理性； </w:t>
            </w:r>
          </w:p>
          <w:p w14:paraId="1575D56D" w14:textId="77777777" w:rsidR="00E72F0C" w:rsidRPr="009E4220" w:rsidRDefault="00107901">
            <w:pPr>
              <w:pStyle w:val="a3"/>
              <w:spacing w:before="0" w:beforeAutospacing="0" w:after="0" w:afterAutospacing="0" w:line="400" w:lineRule="atLeast"/>
              <w:ind w:firstLine="480"/>
              <w:jc w:val="both"/>
              <w:rPr>
                <w:rFonts w:ascii="Times New Roman" w:hAnsi="Times New Roman" w:cs="Times New Roman"/>
                <w:sz w:val="21"/>
                <w:szCs w:val="21"/>
              </w:rPr>
            </w:pPr>
            <w:r w:rsidRPr="009E4220">
              <w:rPr>
                <w:rFonts w:cs="Times New Roman" w:hint="eastAsia"/>
                <w:sz w:val="21"/>
                <w:szCs w:val="21"/>
              </w:rPr>
              <w:t>（5）对主要客户的资信状况进行核查，以判断是否存在异常交易；</w:t>
            </w:r>
          </w:p>
          <w:p w14:paraId="64896B32" w14:textId="77777777" w:rsidR="00E72F0C" w:rsidRPr="009E4220" w:rsidRDefault="00107901">
            <w:pPr>
              <w:pStyle w:val="a3"/>
              <w:spacing w:before="0" w:beforeAutospacing="0" w:after="0" w:afterAutospacing="0" w:line="400" w:lineRule="atLeast"/>
              <w:ind w:firstLine="480"/>
              <w:jc w:val="both"/>
              <w:rPr>
                <w:rFonts w:ascii="Times New Roman" w:hAnsi="Times New Roman" w:cs="Times New Roman"/>
                <w:sz w:val="21"/>
                <w:szCs w:val="21"/>
              </w:rPr>
            </w:pPr>
            <w:r w:rsidRPr="009E4220">
              <w:rPr>
                <w:rFonts w:cs="Times New Roman" w:hint="eastAsia"/>
                <w:sz w:val="21"/>
                <w:szCs w:val="21"/>
              </w:rPr>
              <w:t>（6）对资产负债表日前后记录的收入，选取样本，实施截止测试，核对出库单、签收单等其他支持性文件，评价收入是否被记录于恰当的会计期间；</w:t>
            </w:r>
          </w:p>
          <w:p w14:paraId="06E24AA3" w14:textId="77777777" w:rsidR="00E72F0C" w:rsidRPr="009E4220" w:rsidRDefault="00107901">
            <w:pPr>
              <w:pStyle w:val="a3"/>
              <w:spacing w:before="0" w:beforeAutospacing="0" w:after="0" w:afterAutospacing="0" w:line="400" w:lineRule="atLeast"/>
              <w:ind w:firstLine="480"/>
              <w:jc w:val="both"/>
              <w:rPr>
                <w:rFonts w:ascii="Times New Roman" w:hAnsi="Times New Roman" w:cs="Times New Roman"/>
                <w:sz w:val="21"/>
                <w:szCs w:val="21"/>
              </w:rPr>
            </w:pPr>
            <w:r w:rsidRPr="009E4220">
              <w:rPr>
                <w:rFonts w:cs="Times New Roman" w:hint="eastAsia"/>
                <w:sz w:val="21"/>
                <w:szCs w:val="21"/>
              </w:rPr>
              <w:t>（7）根据客户交易的金额，选取样本执行函证程序；分析并核查江苏中利的主要客户及变化情况。</w:t>
            </w:r>
          </w:p>
        </w:tc>
      </w:tr>
      <w:tr w:rsidR="00E72F0C" w:rsidRPr="009E4220" w14:paraId="04610832" w14:textId="77777777" w:rsidTr="009E4220">
        <w:trPr>
          <w:divId w:val="1684552293"/>
          <w:trHeight w:val="693"/>
        </w:trPr>
        <w:tc>
          <w:tcPr>
            <w:tcW w:w="5000" w:type="pct"/>
            <w:gridSpan w:val="3"/>
            <w:noWrap/>
            <w:tcMar>
              <w:top w:w="0" w:type="dxa"/>
              <w:left w:w="108" w:type="dxa"/>
              <w:bottom w:w="0" w:type="dxa"/>
              <w:right w:w="108" w:type="dxa"/>
            </w:tcMar>
            <w:vAlign w:val="center"/>
            <w:hideMark/>
          </w:tcPr>
          <w:p w14:paraId="2ADCD904" w14:textId="042439FC" w:rsidR="00E72F0C" w:rsidRPr="009E4220" w:rsidRDefault="00107901">
            <w:pPr>
              <w:pStyle w:val="a3"/>
              <w:spacing w:before="0" w:beforeAutospacing="0" w:after="0" w:afterAutospacing="0" w:line="460" w:lineRule="atLeast"/>
              <w:jc w:val="both"/>
              <w:rPr>
                <w:rFonts w:asciiTheme="minorEastAsia" w:eastAsiaTheme="minorEastAsia" w:hAnsiTheme="minorEastAsia" w:cs="Times New Roman" w:hint="eastAsia"/>
                <w:sz w:val="21"/>
                <w:szCs w:val="21"/>
              </w:rPr>
            </w:pPr>
            <w:r w:rsidRPr="009E4220">
              <w:rPr>
                <w:rStyle w:val="a4"/>
                <w:rFonts w:asciiTheme="minorEastAsia" w:eastAsiaTheme="minorEastAsia" w:hAnsiTheme="minorEastAsia" w:cs="Times New Roman" w:hint="eastAsia"/>
                <w:b w:val="0"/>
                <w:sz w:val="21"/>
                <w:szCs w:val="21"/>
              </w:rPr>
              <w:lastRenderedPageBreak/>
              <w:t>2</w:t>
            </w:r>
            <w:r w:rsidR="00A07887">
              <w:rPr>
                <w:rStyle w:val="a4"/>
                <w:rFonts w:asciiTheme="minorEastAsia" w:eastAsiaTheme="minorEastAsia" w:hAnsiTheme="minorEastAsia" w:cs="Times New Roman" w:hint="eastAsia"/>
                <w:b w:val="0"/>
                <w:sz w:val="21"/>
                <w:szCs w:val="21"/>
              </w:rPr>
              <w:t>.</w:t>
            </w:r>
            <w:r w:rsidRPr="009E4220">
              <w:rPr>
                <w:rFonts w:asciiTheme="minorEastAsia" w:eastAsiaTheme="minorEastAsia" w:hAnsiTheme="minorEastAsia" w:cs="Times New Roman" w:hint="eastAsia"/>
                <w:sz w:val="21"/>
                <w:szCs w:val="21"/>
              </w:rPr>
              <w:t>破产重整事项</w:t>
            </w:r>
          </w:p>
          <w:p w14:paraId="757E2BBE" w14:textId="77777777" w:rsidR="00E72F0C" w:rsidRPr="009E4220" w:rsidRDefault="00107901">
            <w:pPr>
              <w:pStyle w:val="a3"/>
              <w:spacing w:before="0" w:beforeAutospacing="0" w:after="0" w:afterAutospacing="0" w:line="460" w:lineRule="atLeast"/>
              <w:jc w:val="both"/>
              <w:rPr>
                <w:rFonts w:asciiTheme="minorEastAsia" w:eastAsiaTheme="minorEastAsia" w:hAnsiTheme="minorEastAsia" w:cs="Times New Roman" w:hint="eastAsia"/>
                <w:sz w:val="21"/>
                <w:szCs w:val="21"/>
              </w:rPr>
            </w:pPr>
            <w:r w:rsidRPr="009E4220">
              <w:rPr>
                <w:rFonts w:asciiTheme="minorEastAsia" w:eastAsiaTheme="minorEastAsia" w:hAnsiTheme="minorEastAsia" w:cs="Times New Roman" w:hint="eastAsia"/>
                <w:sz w:val="21"/>
                <w:szCs w:val="21"/>
              </w:rPr>
              <w:t>请参阅财务报表附注十三、2.破产重整事项。</w:t>
            </w:r>
          </w:p>
        </w:tc>
      </w:tr>
      <w:tr w:rsidR="00E72F0C" w:rsidRPr="009E4220" w14:paraId="0FC61D9B" w14:textId="77777777" w:rsidTr="009E4220">
        <w:trPr>
          <w:divId w:val="1684552293"/>
          <w:trHeight w:val="4379"/>
        </w:trPr>
        <w:tc>
          <w:tcPr>
            <w:tcW w:w="2580" w:type="pct"/>
            <w:gridSpan w:val="2"/>
            <w:noWrap/>
            <w:tcMar>
              <w:top w:w="0" w:type="dxa"/>
              <w:left w:w="108" w:type="dxa"/>
              <w:bottom w:w="0" w:type="dxa"/>
              <w:right w:w="108" w:type="dxa"/>
            </w:tcMar>
            <w:vAlign w:val="center"/>
            <w:hideMark/>
          </w:tcPr>
          <w:p w14:paraId="1984167F" w14:textId="77777777" w:rsidR="00E72F0C" w:rsidRPr="009E4220" w:rsidRDefault="00107901">
            <w:pPr>
              <w:pStyle w:val="a3"/>
              <w:spacing w:before="156" w:beforeAutospacing="0" w:after="0" w:afterAutospacing="0" w:line="460" w:lineRule="atLeast"/>
              <w:ind w:firstLine="480"/>
              <w:rPr>
                <w:rFonts w:ascii="Times New Roman" w:hAnsi="Times New Roman" w:cs="Times New Roman"/>
                <w:sz w:val="21"/>
                <w:szCs w:val="21"/>
              </w:rPr>
            </w:pPr>
            <w:r w:rsidRPr="009E4220">
              <w:rPr>
                <w:rFonts w:cs="Times New Roman" w:hint="eastAsia"/>
                <w:sz w:val="21"/>
                <w:szCs w:val="21"/>
              </w:rPr>
              <w:lastRenderedPageBreak/>
              <w:t>江苏中利于2024年11月08日被裁定重整,在2024年12月27日公司重整计划执行完毕，2024年根据重整计划确认债务重组收益172,578.22万元,所确认债务重组收益对公司的净利润、净资产及公司的持续经营能力产生重大影响，因此，我们将其确认为关键审计事项。</w:t>
            </w:r>
          </w:p>
        </w:tc>
        <w:tc>
          <w:tcPr>
            <w:tcW w:w="2420" w:type="pct"/>
            <w:noWrap/>
            <w:tcMar>
              <w:top w:w="0" w:type="dxa"/>
              <w:left w:w="108" w:type="dxa"/>
              <w:bottom w:w="0" w:type="dxa"/>
              <w:right w:w="108" w:type="dxa"/>
            </w:tcMar>
            <w:vAlign w:val="center"/>
            <w:hideMark/>
          </w:tcPr>
          <w:p w14:paraId="7B5FBFAE" w14:textId="77777777" w:rsidR="00E72F0C" w:rsidRPr="009E4220" w:rsidRDefault="00107901">
            <w:pPr>
              <w:pStyle w:val="a3"/>
              <w:spacing w:before="0" w:beforeAutospacing="0" w:after="0" w:afterAutospacing="0" w:line="420" w:lineRule="atLeast"/>
              <w:ind w:firstLine="480"/>
              <w:jc w:val="both"/>
              <w:rPr>
                <w:rFonts w:ascii="Times New Roman" w:hAnsi="Times New Roman" w:cs="Times New Roman"/>
                <w:sz w:val="21"/>
                <w:szCs w:val="21"/>
              </w:rPr>
            </w:pPr>
            <w:r w:rsidRPr="009E4220">
              <w:rPr>
                <w:rFonts w:cs="Times New Roman" w:hint="eastAsia"/>
                <w:sz w:val="21"/>
                <w:szCs w:val="21"/>
              </w:rPr>
              <w:t>我们针对破产重整事项执行的主要审计程序包括：</w:t>
            </w:r>
          </w:p>
          <w:p w14:paraId="2349633C" w14:textId="77777777" w:rsidR="00E72F0C" w:rsidRPr="009E4220" w:rsidRDefault="00107901">
            <w:pPr>
              <w:pStyle w:val="a3"/>
              <w:spacing w:before="0" w:beforeAutospacing="0" w:after="0" w:afterAutospacing="0" w:line="420" w:lineRule="atLeast"/>
              <w:ind w:firstLine="480"/>
              <w:jc w:val="both"/>
              <w:rPr>
                <w:rFonts w:ascii="Times New Roman" w:hAnsi="Times New Roman" w:cs="Times New Roman"/>
                <w:sz w:val="21"/>
                <w:szCs w:val="21"/>
              </w:rPr>
            </w:pPr>
            <w:r w:rsidRPr="009E4220">
              <w:rPr>
                <w:rFonts w:cs="Times New Roman" w:hint="eastAsia"/>
                <w:sz w:val="21"/>
                <w:szCs w:val="21"/>
              </w:rPr>
              <w:t xml:space="preserve">（1）获取并检查公司破产重整计划，以及与重整相关的《民事裁定书》等； </w:t>
            </w:r>
          </w:p>
          <w:p w14:paraId="5170B35C" w14:textId="77777777" w:rsidR="00E72F0C" w:rsidRPr="009E4220" w:rsidRDefault="00107901">
            <w:pPr>
              <w:pStyle w:val="a3"/>
              <w:spacing w:before="0" w:beforeAutospacing="0" w:after="0" w:afterAutospacing="0" w:line="420" w:lineRule="atLeast"/>
              <w:ind w:firstLine="480"/>
              <w:jc w:val="both"/>
              <w:rPr>
                <w:rFonts w:ascii="Times New Roman" w:hAnsi="Times New Roman" w:cs="Times New Roman"/>
                <w:sz w:val="21"/>
                <w:szCs w:val="21"/>
              </w:rPr>
            </w:pPr>
            <w:r w:rsidRPr="009E4220">
              <w:rPr>
                <w:rFonts w:cs="Times New Roman" w:hint="eastAsia"/>
                <w:sz w:val="21"/>
                <w:szCs w:val="21"/>
              </w:rPr>
              <w:t>（2）获取债务重组清偿计算表，根据不同的清偿方式重新计算清偿金额，复核债务重组收益计算的准确性及会计处理准确性；</w:t>
            </w:r>
          </w:p>
          <w:p w14:paraId="6B9DC3F5" w14:textId="77777777" w:rsidR="00E72F0C" w:rsidRPr="009E4220" w:rsidRDefault="00107901">
            <w:pPr>
              <w:pStyle w:val="a3"/>
              <w:spacing w:before="0" w:beforeAutospacing="0" w:after="0" w:afterAutospacing="0" w:line="420" w:lineRule="atLeast"/>
              <w:ind w:firstLine="480"/>
              <w:jc w:val="both"/>
              <w:rPr>
                <w:rFonts w:ascii="Times New Roman" w:hAnsi="Times New Roman" w:cs="Times New Roman"/>
                <w:sz w:val="21"/>
                <w:szCs w:val="21"/>
              </w:rPr>
            </w:pPr>
            <w:r w:rsidRPr="009E4220">
              <w:rPr>
                <w:rFonts w:cs="Times New Roman" w:hint="eastAsia"/>
                <w:sz w:val="21"/>
                <w:szCs w:val="21"/>
              </w:rPr>
              <w:t>（3）结合终结重整程序的日期，评价重整相关不确定性消除的时点，判断债务重组利得是否记录在恰当的会计期间；</w:t>
            </w:r>
          </w:p>
          <w:p w14:paraId="1E7391A8" w14:textId="77777777" w:rsidR="00E72F0C" w:rsidRPr="009E4220" w:rsidRDefault="00107901">
            <w:pPr>
              <w:pStyle w:val="a3"/>
              <w:spacing w:before="0" w:beforeAutospacing="0" w:after="0" w:afterAutospacing="0" w:line="420" w:lineRule="atLeast"/>
              <w:ind w:firstLine="480"/>
              <w:jc w:val="both"/>
              <w:rPr>
                <w:rFonts w:ascii="Times New Roman" w:hAnsi="Times New Roman" w:cs="Times New Roman"/>
                <w:sz w:val="21"/>
                <w:szCs w:val="21"/>
              </w:rPr>
            </w:pPr>
            <w:r w:rsidRPr="009E4220">
              <w:rPr>
                <w:rFonts w:cs="Times New Roman" w:hint="eastAsia"/>
                <w:sz w:val="21"/>
                <w:szCs w:val="21"/>
              </w:rPr>
              <w:t>（4）复核破产重整涉及的账务处理，检查破产重整相关信息的列报和披露；</w:t>
            </w:r>
          </w:p>
          <w:p w14:paraId="52A7930D" w14:textId="77777777" w:rsidR="00E72F0C" w:rsidRPr="009E4220" w:rsidRDefault="00107901">
            <w:pPr>
              <w:pStyle w:val="a3"/>
              <w:spacing w:before="0" w:beforeAutospacing="0" w:after="0" w:afterAutospacing="0" w:line="420" w:lineRule="atLeast"/>
              <w:ind w:firstLine="480"/>
              <w:jc w:val="both"/>
              <w:rPr>
                <w:rFonts w:ascii="Times New Roman" w:hAnsi="Times New Roman" w:cs="Times New Roman"/>
                <w:sz w:val="21"/>
                <w:szCs w:val="21"/>
              </w:rPr>
            </w:pPr>
            <w:r w:rsidRPr="009E4220">
              <w:rPr>
                <w:rFonts w:cs="Times New Roman" w:hint="eastAsia"/>
                <w:sz w:val="21"/>
                <w:szCs w:val="21"/>
              </w:rPr>
              <w:t>（5）了解公司在财务、经营以及其他方面是否存在可能导致对持续经营能力产生重大疑虑的事项或情况, 询问管理层，是否存在超出评估期间可能对持续经营能力存在重大疑虑的事项或情况。</w:t>
            </w:r>
          </w:p>
          <w:p w14:paraId="01C13C55" w14:textId="77777777" w:rsidR="00E72F0C" w:rsidRPr="009E4220" w:rsidRDefault="00107901">
            <w:pPr>
              <w:pStyle w:val="a3"/>
              <w:spacing w:before="0" w:beforeAutospacing="0" w:after="0" w:afterAutospacing="0" w:line="420" w:lineRule="atLeast"/>
              <w:ind w:firstLine="480"/>
              <w:jc w:val="both"/>
              <w:rPr>
                <w:rFonts w:ascii="Times New Roman" w:hAnsi="Times New Roman" w:cs="Times New Roman"/>
                <w:sz w:val="21"/>
                <w:szCs w:val="21"/>
              </w:rPr>
            </w:pPr>
            <w:r w:rsidRPr="009E4220">
              <w:rPr>
                <w:rFonts w:cs="Times New Roman" w:hint="eastAsia"/>
                <w:sz w:val="21"/>
                <w:szCs w:val="21"/>
              </w:rPr>
              <w:t>（6）评价管理层对持续经营作出的评估，包括考虑管理层作出评估的过程、依据的假设、管理层的应对计划以及管理层的计划在当前的情况下是否可行；</w:t>
            </w:r>
          </w:p>
          <w:p w14:paraId="6D343DDA" w14:textId="77777777" w:rsidR="00E72F0C" w:rsidRPr="009E4220" w:rsidRDefault="00107901">
            <w:pPr>
              <w:pStyle w:val="a3"/>
              <w:spacing w:before="0" w:beforeAutospacing="0" w:after="0" w:afterAutospacing="0" w:line="420" w:lineRule="atLeast"/>
              <w:ind w:firstLine="480"/>
              <w:jc w:val="both"/>
              <w:rPr>
                <w:rFonts w:ascii="Times New Roman" w:hAnsi="Times New Roman" w:cs="Times New Roman"/>
                <w:sz w:val="21"/>
                <w:szCs w:val="21"/>
              </w:rPr>
            </w:pPr>
            <w:r w:rsidRPr="009E4220">
              <w:rPr>
                <w:rFonts w:cs="Times New Roman" w:hint="eastAsia"/>
                <w:sz w:val="21"/>
                <w:szCs w:val="21"/>
              </w:rPr>
              <w:t>（7）检查涉及控股股东资金占用解决的豁免协议及银行回单，确认豁免生效日期及资金划转日期，核实资金占用的整改情况，评价相关会计处理是否准确，是否记录于正确的会计期间；</w:t>
            </w:r>
          </w:p>
          <w:p w14:paraId="0835BE26" w14:textId="77777777" w:rsidR="00E72F0C" w:rsidRPr="009E4220" w:rsidRDefault="00107901">
            <w:pPr>
              <w:pStyle w:val="a3"/>
              <w:spacing w:before="0" w:beforeAutospacing="0" w:after="0" w:afterAutospacing="0" w:line="420" w:lineRule="atLeast"/>
              <w:ind w:firstLine="480"/>
              <w:jc w:val="both"/>
              <w:rPr>
                <w:rFonts w:ascii="Times New Roman" w:hAnsi="Times New Roman" w:cs="Times New Roman"/>
                <w:sz w:val="21"/>
                <w:szCs w:val="21"/>
              </w:rPr>
            </w:pPr>
            <w:r w:rsidRPr="009E4220">
              <w:rPr>
                <w:rFonts w:cs="Times New Roman" w:hint="eastAsia"/>
                <w:sz w:val="21"/>
                <w:szCs w:val="21"/>
              </w:rPr>
              <w:t>（8）检查相关违规担保是否已经解除，对公司的影响是否已经消除；</w:t>
            </w:r>
          </w:p>
          <w:p w14:paraId="10CC7C38" w14:textId="77777777" w:rsidR="00E72F0C" w:rsidRPr="009E4220" w:rsidRDefault="00107901">
            <w:pPr>
              <w:pStyle w:val="a3"/>
              <w:spacing w:before="0" w:beforeAutospacing="0" w:after="0" w:afterAutospacing="0" w:line="420" w:lineRule="atLeast"/>
              <w:ind w:firstLine="480"/>
              <w:jc w:val="both"/>
              <w:rPr>
                <w:rFonts w:ascii="Times New Roman" w:hAnsi="Times New Roman" w:cs="Times New Roman"/>
                <w:sz w:val="21"/>
                <w:szCs w:val="21"/>
              </w:rPr>
            </w:pPr>
            <w:r w:rsidRPr="009E4220">
              <w:rPr>
                <w:rFonts w:cs="Times New Roman" w:hint="eastAsia"/>
                <w:sz w:val="21"/>
                <w:szCs w:val="21"/>
              </w:rPr>
              <w:t>（9）检查公司重整完成后实际控制人的变化情况，是否在财务报告中充分披露。</w:t>
            </w:r>
          </w:p>
        </w:tc>
      </w:tr>
      <w:tr w:rsidR="00E72F0C" w:rsidRPr="009E4220" w14:paraId="13B261D6" w14:textId="77777777" w:rsidTr="009E4220">
        <w:trPr>
          <w:divId w:val="1684552293"/>
          <w:trHeight w:val="693"/>
        </w:trPr>
        <w:tc>
          <w:tcPr>
            <w:tcW w:w="5000" w:type="pct"/>
            <w:gridSpan w:val="3"/>
            <w:noWrap/>
            <w:tcMar>
              <w:top w:w="0" w:type="dxa"/>
              <w:left w:w="108" w:type="dxa"/>
              <w:bottom w:w="0" w:type="dxa"/>
              <w:right w:w="108" w:type="dxa"/>
            </w:tcMar>
            <w:vAlign w:val="center"/>
            <w:hideMark/>
          </w:tcPr>
          <w:p w14:paraId="3E6A6BB2" w14:textId="2B93CD5A" w:rsidR="00E72F0C" w:rsidRPr="009E4220" w:rsidRDefault="00107901">
            <w:pPr>
              <w:pStyle w:val="a3"/>
              <w:spacing w:before="0" w:beforeAutospacing="0" w:after="0" w:afterAutospacing="0" w:line="460" w:lineRule="atLeast"/>
              <w:jc w:val="both"/>
              <w:rPr>
                <w:rFonts w:asciiTheme="minorEastAsia" w:eastAsiaTheme="minorEastAsia" w:hAnsiTheme="minorEastAsia" w:cs="Times New Roman" w:hint="eastAsia"/>
                <w:sz w:val="21"/>
                <w:szCs w:val="21"/>
              </w:rPr>
            </w:pPr>
            <w:r w:rsidRPr="009E4220">
              <w:rPr>
                <w:rStyle w:val="a4"/>
                <w:rFonts w:asciiTheme="minorEastAsia" w:eastAsiaTheme="minorEastAsia" w:hAnsiTheme="minorEastAsia" w:cs="Times New Roman" w:hint="eastAsia"/>
                <w:b w:val="0"/>
                <w:sz w:val="21"/>
                <w:szCs w:val="21"/>
              </w:rPr>
              <w:t>3</w:t>
            </w:r>
            <w:r w:rsidR="00A07887">
              <w:rPr>
                <w:rStyle w:val="a4"/>
                <w:rFonts w:asciiTheme="minorEastAsia" w:eastAsiaTheme="minorEastAsia" w:hAnsiTheme="minorEastAsia" w:cs="Times New Roman" w:hint="eastAsia"/>
                <w:b w:val="0"/>
                <w:sz w:val="21"/>
                <w:szCs w:val="21"/>
              </w:rPr>
              <w:t>.</w:t>
            </w:r>
            <w:r w:rsidRPr="009E4220">
              <w:rPr>
                <w:rFonts w:asciiTheme="minorEastAsia" w:eastAsiaTheme="minorEastAsia" w:hAnsiTheme="minorEastAsia" w:cs="Times New Roman" w:hint="eastAsia"/>
                <w:sz w:val="21"/>
                <w:szCs w:val="21"/>
              </w:rPr>
              <w:t>固定资产、在建工程减值</w:t>
            </w:r>
          </w:p>
        </w:tc>
      </w:tr>
      <w:tr w:rsidR="00E72F0C" w:rsidRPr="009E4220" w14:paraId="269B3785" w14:textId="77777777" w:rsidTr="009E4220">
        <w:trPr>
          <w:divId w:val="1684552293"/>
          <w:trHeight w:val="1260"/>
        </w:trPr>
        <w:tc>
          <w:tcPr>
            <w:tcW w:w="5000" w:type="pct"/>
            <w:gridSpan w:val="3"/>
            <w:noWrap/>
            <w:tcMar>
              <w:top w:w="0" w:type="dxa"/>
              <w:left w:w="108" w:type="dxa"/>
              <w:bottom w:w="0" w:type="dxa"/>
              <w:right w:w="108" w:type="dxa"/>
            </w:tcMar>
            <w:vAlign w:val="center"/>
            <w:hideMark/>
          </w:tcPr>
          <w:p w14:paraId="3D5FFDDF" w14:textId="77777777" w:rsidR="00E72F0C" w:rsidRPr="009E4220" w:rsidRDefault="00107901">
            <w:pPr>
              <w:pStyle w:val="a3"/>
              <w:spacing w:before="0" w:beforeAutospacing="0" w:after="0" w:afterAutospacing="0" w:line="460" w:lineRule="atLeast"/>
              <w:jc w:val="both"/>
              <w:rPr>
                <w:rFonts w:ascii="Times New Roman" w:hAnsi="Times New Roman" w:cs="Times New Roman"/>
                <w:sz w:val="21"/>
                <w:szCs w:val="21"/>
              </w:rPr>
            </w:pPr>
            <w:r w:rsidRPr="009E4220">
              <w:rPr>
                <w:rFonts w:cs="Times New Roman" w:hint="eastAsia"/>
                <w:sz w:val="21"/>
                <w:szCs w:val="21"/>
              </w:rPr>
              <w:lastRenderedPageBreak/>
              <w:t>请参阅财务报表附注三“重要会计政策和会计估计”注释十九所述的会计政策及附注五“合并财务报表主要项目注释”注释五十二。</w:t>
            </w:r>
          </w:p>
        </w:tc>
      </w:tr>
      <w:tr w:rsidR="00E72F0C" w:rsidRPr="009E4220" w14:paraId="4F1EE10B" w14:textId="77777777" w:rsidTr="009E4220">
        <w:trPr>
          <w:divId w:val="1684552293"/>
          <w:trHeight w:val="4379"/>
        </w:trPr>
        <w:tc>
          <w:tcPr>
            <w:tcW w:w="2580" w:type="pct"/>
            <w:gridSpan w:val="2"/>
            <w:noWrap/>
            <w:tcMar>
              <w:top w:w="0" w:type="dxa"/>
              <w:left w:w="108" w:type="dxa"/>
              <w:bottom w:w="0" w:type="dxa"/>
              <w:right w:w="108" w:type="dxa"/>
            </w:tcMar>
            <w:vAlign w:val="center"/>
            <w:hideMark/>
          </w:tcPr>
          <w:p w14:paraId="2BADA530" w14:textId="77777777" w:rsidR="00E72F0C" w:rsidRPr="009E4220" w:rsidRDefault="00107901">
            <w:pPr>
              <w:pStyle w:val="a3"/>
              <w:spacing w:before="156" w:beforeAutospacing="0" w:after="0" w:afterAutospacing="0" w:line="460" w:lineRule="atLeast"/>
              <w:ind w:firstLine="480"/>
              <w:rPr>
                <w:rFonts w:ascii="Times New Roman" w:hAnsi="Times New Roman" w:cs="Times New Roman"/>
                <w:sz w:val="21"/>
                <w:szCs w:val="21"/>
              </w:rPr>
            </w:pPr>
            <w:r w:rsidRPr="009E4220">
              <w:rPr>
                <w:rFonts w:cs="Times New Roman" w:hint="eastAsia"/>
                <w:sz w:val="21"/>
                <w:szCs w:val="21"/>
              </w:rPr>
              <w:t>江苏中利2024年度计提固定资产减值56,285.22万元，在建工程减值 21,581.36万元，合计计提77,866.58万元。在确定固定资产及在建工程减值准备时涉及重大的管理层判断，尤其在预计未来现金流量和估计资产可收回金额方面存在固有不确定性，以及有可能受到管理层偏向的影响，因此，我们将其确认为关键审计事项。</w:t>
            </w:r>
          </w:p>
        </w:tc>
        <w:tc>
          <w:tcPr>
            <w:tcW w:w="2420" w:type="pct"/>
            <w:noWrap/>
            <w:tcMar>
              <w:top w:w="0" w:type="dxa"/>
              <w:left w:w="108" w:type="dxa"/>
              <w:bottom w:w="0" w:type="dxa"/>
              <w:right w:w="108" w:type="dxa"/>
            </w:tcMar>
            <w:vAlign w:val="center"/>
            <w:hideMark/>
          </w:tcPr>
          <w:p w14:paraId="3FA6DAEF" w14:textId="77777777" w:rsidR="00E72F0C" w:rsidRPr="009E4220" w:rsidRDefault="00107901">
            <w:pPr>
              <w:pStyle w:val="a3"/>
              <w:spacing w:before="0" w:beforeAutospacing="0" w:after="0" w:afterAutospacing="0" w:line="420" w:lineRule="atLeast"/>
              <w:ind w:firstLine="480"/>
              <w:jc w:val="both"/>
              <w:rPr>
                <w:rFonts w:ascii="Times New Roman" w:hAnsi="Times New Roman" w:cs="Times New Roman"/>
                <w:sz w:val="21"/>
                <w:szCs w:val="21"/>
              </w:rPr>
            </w:pPr>
            <w:r w:rsidRPr="009E4220">
              <w:rPr>
                <w:rFonts w:cs="Times New Roman" w:hint="eastAsia"/>
                <w:sz w:val="21"/>
                <w:szCs w:val="21"/>
              </w:rPr>
              <w:t>我们针对固定资产、在建工程减值执行的主要审计程序包括：</w:t>
            </w:r>
          </w:p>
          <w:p w14:paraId="7F29DB03" w14:textId="77777777" w:rsidR="00E72F0C" w:rsidRPr="009E4220" w:rsidRDefault="00107901">
            <w:pPr>
              <w:pStyle w:val="a3"/>
              <w:spacing w:before="0" w:beforeAutospacing="0" w:after="0" w:afterAutospacing="0" w:line="420" w:lineRule="atLeast"/>
              <w:ind w:firstLine="480"/>
              <w:jc w:val="both"/>
              <w:rPr>
                <w:rFonts w:ascii="Times New Roman" w:hAnsi="Times New Roman" w:cs="Times New Roman"/>
                <w:sz w:val="21"/>
                <w:szCs w:val="21"/>
              </w:rPr>
            </w:pPr>
            <w:r w:rsidRPr="009E4220">
              <w:rPr>
                <w:rFonts w:cs="Times New Roman" w:hint="eastAsia"/>
                <w:sz w:val="21"/>
                <w:szCs w:val="21"/>
              </w:rPr>
              <w:t xml:space="preserve">（1）了解、测试和评价与资产减值测试相关内部控制的设计和执行的有效性； </w:t>
            </w:r>
          </w:p>
          <w:p w14:paraId="03C3FA47" w14:textId="77777777" w:rsidR="00E72F0C" w:rsidRPr="009E4220" w:rsidRDefault="00107901">
            <w:pPr>
              <w:pStyle w:val="a3"/>
              <w:spacing w:before="0" w:beforeAutospacing="0" w:after="0" w:afterAutospacing="0" w:line="420" w:lineRule="atLeast"/>
              <w:ind w:firstLine="480"/>
              <w:jc w:val="both"/>
              <w:rPr>
                <w:rFonts w:ascii="Times New Roman" w:hAnsi="Times New Roman" w:cs="Times New Roman"/>
                <w:sz w:val="21"/>
                <w:szCs w:val="21"/>
              </w:rPr>
            </w:pPr>
            <w:r w:rsidRPr="009E4220">
              <w:rPr>
                <w:rFonts w:cs="Times New Roman" w:hint="eastAsia"/>
                <w:sz w:val="21"/>
                <w:szCs w:val="21"/>
              </w:rPr>
              <w:t>（2）获取管理层对资产是否存在减值迹象的判断依据，并复核管理层的判断是否与实际情况一致；</w:t>
            </w:r>
          </w:p>
          <w:p w14:paraId="106536C2" w14:textId="77777777" w:rsidR="00E72F0C" w:rsidRPr="009E4220" w:rsidRDefault="00107901">
            <w:pPr>
              <w:pStyle w:val="a3"/>
              <w:spacing w:before="0" w:beforeAutospacing="0" w:after="0" w:afterAutospacing="0" w:line="420" w:lineRule="atLeast"/>
              <w:ind w:firstLine="480"/>
              <w:jc w:val="both"/>
              <w:rPr>
                <w:rFonts w:ascii="Times New Roman" w:hAnsi="Times New Roman" w:cs="Times New Roman"/>
                <w:sz w:val="21"/>
                <w:szCs w:val="21"/>
              </w:rPr>
            </w:pPr>
            <w:r w:rsidRPr="009E4220">
              <w:rPr>
                <w:rFonts w:cs="Times New Roman" w:hint="eastAsia"/>
                <w:sz w:val="21"/>
                <w:szCs w:val="21"/>
              </w:rPr>
              <w:t>（3）获取并复核管理层对存在减值迹象的资产或资产组的可回收金额估计明细表，判断管理层在做出会计估计时采用的关键参数的合理性，主要包括:</w:t>
            </w:r>
          </w:p>
          <w:p w14:paraId="15F27676" w14:textId="77777777" w:rsidR="00E72F0C" w:rsidRPr="009E4220" w:rsidRDefault="00107901">
            <w:pPr>
              <w:pStyle w:val="a3"/>
              <w:spacing w:before="0" w:beforeAutospacing="0" w:after="0" w:afterAutospacing="0" w:line="420" w:lineRule="atLeast"/>
              <w:ind w:firstLine="480"/>
              <w:jc w:val="both"/>
              <w:rPr>
                <w:rFonts w:ascii="Times New Roman" w:hAnsi="Times New Roman" w:cs="Times New Roman"/>
                <w:sz w:val="21"/>
                <w:szCs w:val="21"/>
              </w:rPr>
            </w:pPr>
            <w:r w:rsidRPr="009E4220">
              <w:rPr>
                <w:rFonts w:cs="Times New Roman" w:hint="eastAsia"/>
                <w:sz w:val="21"/>
                <w:szCs w:val="21"/>
              </w:rPr>
              <w:t>①评价外部评估专家的独立性和专业胜任能力，以及减值测试方法选取的适当性；②测试管理层减值测试所依据的基础数据，包括利用外部评估专家评估减值测试中所采用关键假设及关键参数选取的合理性；</w:t>
            </w:r>
          </w:p>
          <w:p w14:paraId="11B7595F" w14:textId="77777777" w:rsidR="00E72F0C" w:rsidRPr="009E4220" w:rsidRDefault="00107901">
            <w:pPr>
              <w:pStyle w:val="a3"/>
              <w:spacing w:before="0" w:beforeAutospacing="0" w:after="0" w:afterAutospacing="0" w:line="420" w:lineRule="atLeast"/>
              <w:ind w:firstLine="480"/>
              <w:jc w:val="both"/>
              <w:rPr>
                <w:rFonts w:ascii="Times New Roman" w:hAnsi="Times New Roman" w:cs="Times New Roman"/>
                <w:sz w:val="21"/>
                <w:szCs w:val="21"/>
              </w:rPr>
            </w:pPr>
            <w:r w:rsidRPr="009E4220">
              <w:rPr>
                <w:rFonts w:cs="Times New Roman" w:hint="eastAsia"/>
                <w:sz w:val="21"/>
                <w:szCs w:val="21"/>
              </w:rPr>
              <w:t>（4）重新计算资产减值的金额，以确定其准确性；</w:t>
            </w:r>
          </w:p>
          <w:p w14:paraId="41EC5672" w14:textId="77777777" w:rsidR="00E72F0C" w:rsidRPr="009E4220" w:rsidRDefault="00107901">
            <w:pPr>
              <w:pStyle w:val="a3"/>
              <w:spacing w:before="0" w:beforeAutospacing="0" w:after="0" w:afterAutospacing="0" w:line="420" w:lineRule="atLeast"/>
              <w:ind w:firstLine="480"/>
              <w:jc w:val="both"/>
              <w:rPr>
                <w:rFonts w:ascii="Times New Roman" w:hAnsi="Times New Roman" w:cs="Times New Roman"/>
                <w:sz w:val="21"/>
                <w:szCs w:val="21"/>
              </w:rPr>
            </w:pPr>
            <w:r w:rsidRPr="009E4220">
              <w:rPr>
                <w:rFonts w:cs="Times New Roman" w:hint="eastAsia"/>
                <w:sz w:val="21"/>
                <w:szCs w:val="21"/>
              </w:rPr>
              <w:t xml:space="preserve">（5）检查财务报告中与资产减值有关的披露。 </w:t>
            </w:r>
          </w:p>
          <w:p w14:paraId="22BD3174" w14:textId="77777777" w:rsidR="00E72F0C" w:rsidRPr="009E4220" w:rsidRDefault="00107901">
            <w:pPr>
              <w:pStyle w:val="a3"/>
              <w:spacing w:before="0" w:beforeAutospacing="0" w:after="0" w:afterAutospacing="0" w:line="420" w:lineRule="atLeast"/>
              <w:ind w:firstLine="480"/>
              <w:jc w:val="both"/>
              <w:rPr>
                <w:rFonts w:ascii="Times New Roman" w:hAnsi="Times New Roman" w:cs="Times New Roman"/>
                <w:sz w:val="21"/>
                <w:szCs w:val="21"/>
              </w:rPr>
            </w:pPr>
            <w:r w:rsidRPr="009E4220">
              <w:rPr>
                <w:rFonts w:cs="Times New Roman" w:hint="eastAsia"/>
                <w:sz w:val="21"/>
                <w:szCs w:val="21"/>
              </w:rPr>
              <w:t> </w:t>
            </w:r>
          </w:p>
        </w:tc>
      </w:tr>
    </w:tbl>
    <w:p w14:paraId="095F862D" w14:textId="7BC90C53" w:rsidR="00E72F0C" w:rsidRPr="009E4220" w:rsidRDefault="009E4220" w:rsidP="009E4220">
      <w:pPr>
        <w:widowControl/>
        <w:spacing w:line="360" w:lineRule="auto"/>
        <w:divId w:val="1684552293"/>
        <w:rPr>
          <w:rFonts w:ascii="宋体" w:hAnsi="宋体" w:cs="宋体" w:hint="eastAsia"/>
          <w:b/>
          <w:szCs w:val="21"/>
        </w:rPr>
      </w:pPr>
      <w:r w:rsidRPr="009E4220">
        <w:rPr>
          <w:rStyle w:val="a4"/>
          <w:rFonts w:hint="eastAsia"/>
          <w:b w:val="0"/>
          <w:szCs w:val="21"/>
        </w:rPr>
        <w:t>（四）</w:t>
      </w:r>
      <w:r w:rsidR="00107901" w:rsidRPr="009E4220">
        <w:rPr>
          <w:rStyle w:val="a4"/>
          <w:rFonts w:hint="eastAsia"/>
          <w:b w:val="0"/>
          <w:szCs w:val="21"/>
        </w:rPr>
        <w:t>其他信息</w:t>
      </w:r>
    </w:p>
    <w:p w14:paraId="30AB2AC4" w14:textId="77777777" w:rsidR="00E72F0C" w:rsidRPr="009E4220" w:rsidRDefault="00107901" w:rsidP="009E4220">
      <w:pPr>
        <w:pStyle w:val="a3"/>
        <w:spacing w:before="0" w:beforeAutospacing="0" w:after="0" w:afterAutospacing="0" w:line="360" w:lineRule="auto"/>
        <w:ind w:firstLine="480"/>
        <w:jc w:val="both"/>
        <w:divId w:val="1684552293"/>
        <w:rPr>
          <w:rFonts w:ascii="Times New Roman" w:hAnsi="Times New Roman" w:cs="Times New Roman"/>
          <w:sz w:val="21"/>
          <w:szCs w:val="21"/>
        </w:rPr>
      </w:pPr>
      <w:r w:rsidRPr="009E4220">
        <w:rPr>
          <w:rFonts w:cs="Times New Roman" w:hint="eastAsia"/>
          <w:sz w:val="21"/>
          <w:szCs w:val="21"/>
        </w:rPr>
        <w:t>江苏中利管理层（以下简称管理层）对其他信息负责。其他信息包括江苏中利2024年度报告中涵盖的信息，但不包括财务报表和我们的审计报告。</w:t>
      </w:r>
    </w:p>
    <w:p w14:paraId="31946ED2" w14:textId="77777777" w:rsidR="00E72F0C" w:rsidRPr="009E4220" w:rsidRDefault="00107901" w:rsidP="009E4220">
      <w:pPr>
        <w:pStyle w:val="a3"/>
        <w:spacing w:before="0" w:beforeAutospacing="0" w:after="0" w:afterAutospacing="0" w:line="360" w:lineRule="auto"/>
        <w:ind w:firstLine="480"/>
        <w:jc w:val="both"/>
        <w:divId w:val="1684552293"/>
        <w:rPr>
          <w:rFonts w:ascii="Times New Roman" w:hAnsi="Times New Roman" w:cs="Times New Roman"/>
          <w:sz w:val="21"/>
          <w:szCs w:val="21"/>
        </w:rPr>
      </w:pPr>
      <w:r w:rsidRPr="009E4220">
        <w:rPr>
          <w:rFonts w:cs="Times New Roman" w:hint="eastAsia"/>
          <w:sz w:val="21"/>
          <w:szCs w:val="21"/>
        </w:rPr>
        <w:t>我们对财务报表发表的审计意见不涵盖其他信息，我们也不对其他信息发表任何形式的鉴证结论。</w:t>
      </w:r>
    </w:p>
    <w:p w14:paraId="266C3FC7" w14:textId="77777777" w:rsidR="00E72F0C" w:rsidRPr="009E4220" w:rsidRDefault="00107901" w:rsidP="009E4220">
      <w:pPr>
        <w:pStyle w:val="a3"/>
        <w:spacing w:before="0" w:beforeAutospacing="0" w:after="0" w:afterAutospacing="0" w:line="360" w:lineRule="auto"/>
        <w:ind w:firstLine="480"/>
        <w:jc w:val="both"/>
        <w:divId w:val="1684552293"/>
        <w:rPr>
          <w:rFonts w:ascii="Times New Roman" w:hAnsi="Times New Roman" w:cs="Times New Roman"/>
          <w:sz w:val="21"/>
          <w:szCs w:val="21"/>
        </w:rPr>
      </w:pPr>
      <w:r w:rsidRPr="009E4220">
        <w:rPr>
          <w:rFonts w:cs="Times New Roman" w:hint="eastAsia"/>
          <w:sz w:val="21"/>
          <w:szCs w:val="21"/>
        </w:rPr>
        <w:t>结合我们对财务报表的审计，我们的责任是阅读其他信息，在此过程中，考虑其他信息是否与财务报表或我们在审计过程中了解到的情况存在重大不一致或者似乎存在重大错报。</w:t>
      </w:r>
    </w:p>
    <w:p w14:paraId="21D76A15" w14:textId="77777777" w:rsidR="00E72F0C" w:rsidRPr="009E4220" w:rsidRDefault="00107901" w:rsidP="009E4220">
      <w:pPr>
        <w:pStyle w:val="a3"/>
        <w:spacing w:before="0" w:beforeAutospacing="0" w:after="0" w:afterAutospacing="0" w:line="360" w:lineRule="auto"/>
        <w:ind w:firstLine="480"/>
        <w:jc w:val="both"/>
        <w:divId w:val="1684552293"/>
        <w:rPr>
          <w:rFonts w:ascii="Times New Roman" w:hAnsi="Times New Roman" w:cs="Times New Roman"/>
          <w:sz w:val="21"/>
          <w:szCs w:val="21"/>
        </w:rPr>
      </w:pPr>
      <w:r w:rsidRPr="009E4220">
        <w:rPr>
          <w:rFonts w:cs="Times New Roman" w:hint="eastAsia"/>
          <w:sz w:val="21"/>
          <w:szCs w:val="21"/>
        </w:rPr>
        <w:t>基于我们已执行的工作，如果我们确定其他信息存在重大错报，我们应当报告该事实。在这方面，我们无任何事项需要报告。</w:t>
      </w:r>
    </w:p>
    <w:p w14:paraId="600D6CF9" w14:textId="3F27AAAE" w:rsidR="00E72F0C" w:rsidRPr="009E4220" w:rsidRDefault="009E4220" w:rsidP="009E4220">
      <w:pPr>
        <w:widowControl/>
        <w:spacing w:line="360" w:lineRule="auto"/>
        <w:divId w:val="1684552293"/>
        <w:rPr>
          <w:rFonts w:ascii="宋体" w:hAnsi="宋体" w:cs="宋体" w:hint="eastAsia"/>
          <w:b/>
          <w:szCs w:val="21"/>
        </w:rPr>
      </w:pPr>
      <w:r w:rsidRPr="009E4220">
        <w:rPr>
          <w:rStyle w:val="a4"/>
          <w:rFonts w:hint="eastAsia"/>
          <w:b w:val="0"/>
          <w:szCs w:val="21"/>
        </w:rPr>
        <w:lastRenderedPageBreak/>
        <w:t>（五）</w:t>
      </w:r>
      <w:r w:rsidR="00107901" w:rsidRPr="009E4220">
        <w:rPr>
          <w:rStyle w:val="a4"/>
          <w:rFonts w:hint="eastAsia"/>
          <w:b w:val="0"/>
          <w:szCs w:val="21"/>
        </w:rPr>
        <w:t>管理层和治理层对财务报表的责任</w:t>
      </w:r>
    </w:p>
    <w:p w14:paraId="7E1A7DA2" w14:textId="77777777" w:rsidR="00E72F0C" w:rsidRPr="009E4220" w:rsidRDefault="00107901" w:rsidP="009E4220">
      <w:pPr>
        <w:pStyle w:val="a3"/>
        <w:spacing w:before="0" w:beforeAutospacing="0" w:after="0" w:afterAutospacing="0" w:line="360" w:lineRule="auto"/>
        <w:ind w:firstLine="480"/>
        <w:jc w:val="both"/>
        <w:divId w:val="1684552293"/>
        <w:rPr>
          <w:rFonts w:ascii="Times New Roman" w:hAnsi="Times New Roman" w:cs="Times New Roman"/>
          <w:sz w:val="21"/>
          <w:szCs w:val="21"/>
        </w:rPr>
      </w:pPr>
      <w:r w:rsidRPr="009E4220">
        <w:rPr>
          <w:rFonts w:cs="Times New Roman" w:hint="eastAsia"/>
          <w:sz w:val="21"/>
          <w:szCs w:val="21"/>
        </w:rPr>
        <w:t>管理层负责按照企业会计准则的规定编制财务报表，使其实现公允反映，并设计、执行和维护必要的内部控制，以使财务报表不存在由于舞弊或错误导致的重大错报。</w:t>
      </w:r>
    </w:p>
    <w:p w14:paraId="5952AB08" w14:textId="77777777" w:rsidR="00E72F0C" w:rsidRPr="009E4220" w:rsidRDefault="00107901" w:rsidP="009E4220">
      <w:pPr>
        <w:pStyle w:val="a3"/>
        <w:spacing w:before="0" w:beforeAutospacing="0" w:after="0" w:afterAutospacing="0" w:line="360" w:lineRule="auto"/>
        <w:ind w:firstLine="480"/>
        <w:jc w:val="both"/>
        <w:divId w:val="1684552293"/>
        <w:rPr>
          <w:rFonts w:ascii="Times New Roman" w:hAnsi="Times New Roman" w:cs="Times New Roman"/>
          <w:sz w:val="21"/>
          <w:szCs w:val="21"/>
        </w:rPr>
      </w:pPr>
      <w:r w:rsidRPr="009E4220">
        <w:rPr>
          <w:rFonts w:cs="Times New Roman" w:hint="eastAsia"/>
          <w:sz w:val="21"/>
          <w:szCs w:val="21"/>
        </w:rPr>
        <w:t>在编制财务报表时，管理层负责评估江苏中利的持续经营能力，披露与持续经营相关的事项，并运用持续经营假设，除非管理层计划清算江苏中利、终止运营或别无其他现实的选择。</w:t>
      </w:r>
    </w:p>
    <w:p w14:paraId="5378436C" w14:textId="77777777" w:rsidR="00E72F0C" w:rsidRPr="009E4220" w:rsidRDefault="00107901" w:rsidP="009E4220">
      <w:pPr>
        <w:pStyle w:val="a3"/>
        <w:spacing w:before="0" w:beforeAutospacing="0" w:after="0" w:afterAutospacing="0" w:line="360" w:lineRule="auto"/>
        <w:ind w:firstLine="480"/>
        <w:jc w:val="both"/>
        <w:divId w:val="1684552293"/>
        <w:rPr>
          <w:rFonts w:ascii="Times New Roman" w:hAnsi="Times New Roman" w:cs="Times New Roman"/>
          <w:sz w:val="21"/>
          <w:szCs w:val="21"/>
        </w:rPr>
      </w:pPr>
      <w:r w:rsidRPr="009E4220">
        <w:rPr>
          <w:rFonts w:cs="Times New Roman" w:hint="eastAsia"/>
          <w:sz w:val="21"/>
          <w:szCs w:val="21"/>
        </w:rPr>
        <w:t>治理层负责监督江苏中利的财务报告过程。</w:t>
      </w:r>
    </w:p>
    <w:p w14:paraId="47BF6731" w14:textId="7EB6A983" w:rsidR="00E72F0C" w:rsidRPr="009E4220" w:rsidRDefault="009E4220" w:rsidP="009E4220">
      <w:pPr>
        <w:widowControl/>
        <w:spacing w:line="360" w:lineRule="auto"/>
        <w:divId w:val="1684552293"/>
        <w:rPr>
          <w:rFonts w:ascii="宋体" w:hAnsi="宋体" w:cs="宋体" w:hint="eastAsia"/>
          <w:b/>
          <w:szCs w:val="21"/>
        </w:rPr>
      </w:pPr>
      <w:r w:rsidRPr="009E4220">
        <w:rPr>
          <w:rStyle w:val="a4"/>
          <w:rFonts w:hint="eastAsia"/>
          <w:b w:val="0"/>
          <w:szCs w:val="21"/>
        </w:rPr>
        <w:t>（六）</w:t>
      </w:r>
      <w:r w:rsidR="00107901" w:rsidRPr="009E4220">
        <w:rPr>
          <w:rStyle w:val="a4"/>
          <w:rFonts w:hint="eastAsia"/>
          <w:b w:val="0"/>
          <w:szCs w:val="21"/>
        </w:rPr>
        <w:t>注册会计师对财务报表审计的责任</w:t>
      </w:r>
    </w:p>
    <w:p w14:paraId="14E69E4B" w14:textId="77777777" w:rsidR="00E72F0C" w:rsidRPr="009E4220" w:rsidRDefault="00107901" w:rsidP="009E4220">
      <w:pPr>
        <w:pStyle w:val="a3"/>
        <w:spacing w:before="0" w:beforeAutospacing="0" w:after="0" w:afterAutospacing="0" w:line="360" w:lineRule="auto"/>
        <w:ind w:firstLine="480"/>
        <w:jc w:val="both"/>
        <w:divId w:val="1684552293"/>
        <w:rPr>
          <w:rFonts w:ascii="Times New Roman" w:hAnsi="Times New Roman" w:cs="Times New Roman"/>
          <w:sz w:val="21"/>
          <w:szCs w:val="21"/>
        </w:rPr>
      </w:pPr>
      <w:r w:rsidRPr="009E4220">
        <w:rPr>
          <w:rFonts w:cs="Times New Roman" w:hint="eastAsia"/>
          <w:sz w:val="21"/>
          <w:szCs w:val="21"/>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14:paraId="6E534E67" w14:textId="77777777" w:rsidR="00E72F0C" w:rsidRPr="009E4220" w:rsidRDefault="00107901" w:rsidP="009E4220">
      <w:pPr>
        <w:pStyle w:val="a3"/>
        <w:spacing w:before="0" w:beforeAutospacing="0" w:after="0" w:afterAutospacing="0" w:line="360" w:lineRule="auto"/>
        <w:ind w:firstLine="480"/>
        <w:jc w:val="both"/>
        <w:divId w:val="1684552293"/>
        <w:rPr>
          <w:rFonts w:ascii="Times New Roman" w:hAnsi="Times New Roman" w:cs="Times New Roman"/>
          <w:sz w:val="21"/>
          <w:szCs w:val="21"/>
        </w:rPr>
      </w:pPr>
      <w:r w:rsidRPr="009E4220">
        <w:rPr>
          <w:rFonts w:cs="Times New Roman" w:hint="eastAsia"/>
          <w:sz w:val="21"/>
          <w:szCs w:val="21"/>
        </w:rPr>
        <w:t>在按照审计准则执行审计工作的过程中，我们运用职业判断，并保持职业怀疑。同时，我们也执行以下工作：</w:t>
      </w:r>
    </w:p>
    <w:p w14:paraId="0CF3B73D" w14:textId="77777777" w:rsidR="00E72F0C" w:rsidRPr="009E4220" w:rsidRDefault="00107901" w:rsidP="009E4220">
      <w:pPr>
        <w:pStyle w:val="a3"/>
        <w:spacing w:before="0" w:beforeAutospacing="0" w:after="0" w:afterAutospacing="0" w:line="360" w:lineRule="auto"/>
        <w:ind w:firstLine="480"/>
        <w:jc w:val="both"/>
        <w:divId w:val="1684552293"/>
        <w:rPr>
          <w:rFonts w:ascii="Times New Roman" w:hAnsi="Times New Roman" w:cs="Times New Roman"/>
          <w:sz w:val="21"/>
          <w:szCs w:val="21"/>
        </w:rPr>
      </w:pPr>
      <w:r w:rsidRPr="009E4220">
        <w:rPr>
          <w:rFonts w:cs="Times New Roman" w:hint="eastAsia"/>
          <w:sz w:val="21"/>
          <w:szCs w:val="21"/>
        </w:rPr>
        <w:t>（1）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14:paraId="7CC94F56" w14:textId="77777777" w:rsidR="00E72F0C" w:rsidRPr="009E4220" w:rsidRDefault="00107901" w:rsidP="009E4220">
      <w:pPr>
        <w:pStyle w:val="a3"/>
        <w:spacing w:before="0" w:beforeAutospacing="0" w:after="0" w:afterAutospacing="0" w:line="360" w:lineRule="auto"/>
        <w:ind w:firstLine="480"/>
        <w:jc w:val="both"/>
        <w:divId w:val="1684552293"/>
        <w:rPr>
          <w:rFonts w:ascii="Times New Roman" w:hAnsi="Times New Roman" w:cs="Times New Roman"/>
          <w:sz w:val="21"/>
          <w:szCs w:val="21"/>
        </w:rPr>
      </w:pPr>
      <w:r w:rsidRPr="009E4220">
        <w:rPr>
          <w:rFonts w:cs="Times New Roman" w:hint="eastAsia"/>
          <w:sz w:val="21"/>
          <w:szCs w:val="21"/>
        </w:rPr>
        <w:t>（2）了解与审计相关的内部控制，以设计恰当的审计程序。</w:t>
      </w:r>
    </w:p>
    <w:p w14:paraId="51F58E94" w14:textId="77777777" w:rsidR="00E72F0C" w:rsidRPr="009E4220" w:rsidRDefault="00107901" w:rsidP="009E4220">
      <w:pPr>
        <w:pStyle w:val="a3"/>
        <w:spacing w:before="0" w:beforeAutospacing="0" w:after="0" w:afterAutospacing="0" w:line="360" w:lineRule="auto"/>
        <w:ind w:firstLine="480"/>
        <w:jc w:val="both"/>
        <w:divId w:val="1684552293"/>
        <w:rPr>
          <w:rFonts w:ascii="Times New Roman" w:hAnsi="Times New Roman" w:cs="Times New Roman"/>
          <w:sz w:val="21"/>
          <w:szCs w:val="21"/>
        </w:rPr>
      </w:pPr>
      <w:r w:rsidRPr="009E4220">
        <w:rPr>
          <w:rFonts w:cs="Times New Roman" w:hint="eastAsia"/>
          <w:sz w:val="21"/>
          <w:szCs w:val="21"/>
        </w:rPr>
        <w:t>（3）评价管理层选用会计政策的恰当性和作出会计估计及相关披露的合理性。</w:t>
      </w:r>
    </w:p>
    <w:p w14:paraId="546B92D0" w14:textId="77777777" w:rsidR="00E72F0C" w:rsidRPr="009E4220" w:rsidRDefault="00107901" w:rsidP="009E4220">
      <w:pPr>
        <w:pStyle w:val="a3"/>
        <w:spacing w:before="0" w:beforeAutospacing="0" w:after="0" w:afterAutospacing="0" w:line="360" w:lineRule="auto"/>
        <w:ind w:firstLine="480"/>
        <w:jc w:val="both"/>
        <w:divId w:val="1684552293"/>
        <w:rPr>
          <w:rFonts w:ascii="Times New Roman" w:hAnsi="Times New Roman" w:cs="Times New Roman"/>
          <w:sz w:val="21"/>
          <w:szCs w:val="21"/>
        </w:rPr>
      </w:pPr>
      <w:r w:rsidRPr="009E4220">
        <w:rPr>
          <w:rFonts w:cs="Times New Roman" w:hint="eastAsia"/>
          <w:sz w:val="21"/>
          <w:szCs w:val="21"/>
        </w:rPr>
        <w:t>（4）对管理层使用持续经营假设的恰当性得出结论。同时，根据获取的审计证据，就可能导致对江苏中利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江苏中利不能持续经营。</w:t>
      </w:r>
    </w:p>
    <w:p w14:paraId="3DEC279B" w14:textId="77777777" w:rsidR="00E72F0C" w:rsidRPr="009E4220" w:rsidRDefault="00107901" w:rsidP="009E4220">
      <w:pPr>
        <w:pStyle w:val="a3"/>
        <w:spacing w:before="0" w:beforeAutospacing="0" w:after="0" w:afterAutospacing="0" w:line="360" w:lineRule="auto"/>
        <w:ind w:firstLine="480"/>
        <w:jc w:val="both"/>
        <w:divId w:val="1684552293"/>
        <w:rPr>
          <w:rFonts w:ascii="Times New Roman" w:hAnsi="Times New Roman" w:cs="Times New Roman"/>
          <w:sz w:val="21"/>
          <w:szCs w:val="21"/>
        </w:rPr>
      </w:pPr>
      <w:r w:rsidRPr="009E4220">
        <w:rPr>
          <w:rFonts w:cs="Times New Roman" w:hint="eastAsia"/>
          <w:sz w:val="21"/>
          <w:szCs w:val="21"/>
        </w:rPr>
        <w:t>（5）评价财务报表的总体列报、结构和内容（包括披露），并评价财务报表是否公允反映相关交易和事项。</w:t>
      </w:r>
    </w:p>
    <w:p w14:paraId="27B82A52" w14:textId="77777777" w:rsidR="00E72F0C" w:rsidRPr="009E4220" w:rsidRDefault="00107901" w:rsidP="009E4220">
      <w:pPr>
        <w:pStyle w:val="a3"/>
        <w:spacing w:before="0" w:beforeAutospacing="0" w:after="0" w:afterAutospacing="0" w:line="360" w:lineRule="auto"/>
        <w:ind w:firstLine="480"/>
        <w:jc w:val="both"/>
        <w:divId w:val="1684552293"/>
        <w:rPr>
          <w:rFonts w:ascii="Times New Roman" w:hAnsi="Times New Roman" w:cs="Times New Roman"/>
          <w:sz w:val="21"/>
          <w:szCs w:val="21"/>
        </w:rPr>
      </w:pPr>
      <w:r w:rsidRPr="009E4220">
        <w:rPr>
          <w:rFonts w:cs="Times New Roman" w:hint="eastAsia"/>
          <w:sz w:val="21"/>
          <w:szCs w:val="21"/>
        </w:rPr>
        <w:t>（6）就江苏中利中实体或业务活动的财务信息获取充分、适当的审计证据，以对财务报表发表审计意见。我们负责指导、监督和执行集团审计，并对审计意见承担全部责任。</w:t>
      </w:r>
    </w:p>
    <w:p w14:paraId="5F3C4A6D" w14:textId="77777777" w:rsidR="00E72F0C" w:rsidRPr="009E4220" w:rsidRDefault="00107901" w:rsidP="009E4220">
      <w:pPr>
        <w:pStyle w:val="a3"/>
        <w:spacing w:before="0" w:beforeAutospacing="0" w:after="0" w:afterAutospacing="0" w:line="360" w:lineRule="auto"/>
        <w:ind w:firstLine="480"/>
        <w:jc w:val="both"/>
        <w:divId w:val="1684552293"/>
        <w:rPr>
          <w:rFonts w:ascii="Times New Roman" w:hAnsi="Times New Roman" w:cs="Times New Roman"/>
          <w:sz w:val="21"/>
          <w:szCs w:val="21"/>
        </w:rPr>
      </w:pPr>
      <w:r w:rsidRPr="009E4220">
        <w:rPr>
          <w:rFonts w:cs="Times New Roman" w:hint="eastAsia"/>
          <w:sz w:val="21"/>
          <w:szCs w:val="21"/>
        </w:rPr>
        <w:t>我们与治理层就计划的审计范围、时间安排和重大审计发现等事项进行沟通，包括沟通我们在审计中识别出的值得关注的内部控制缺陷。</w:t>
      </w:r>
    </w:p>
    <w:p w14:paraId="2700321B" w14:textId="77777777" w:rsidR="00E72F0C" w:rsidRPr="009E4220" w:rsidRDefault="00107901" w:rsidP="009E4220">
      <w:pPr>
        <w:pStyle w:val="a3"/>
        <w:spacing w:before="0" w:beforeAutospacing="0" w:after="0" w:afterAutospacing="0" w:line="360" w:lineRule="auto"/>
        <w:ind w:firstLine="480"/>
        <w:jc w:val="both"/>
        <w:divId w:val="1684552293"/>
        <w:rPr>
          <w:rFonts w:ascii="Times New Roman" w:hAnsi="Times New Roman" w:cs="Times New Roman"/>
          <w:sz w:val="21"/>
          <w:szCs w:val="21"/>
        </w:rPr>
      </w:pPr>
      <w:r w:rsidRPr="009E4220">
        <w:rPr>
          <w:rFonts w:cs="Times New Roman" w:hint="eastAsia"/>
          <w:sz w:val="21"/>
          <w:szCs w:val="21"/>
        </w:rPr>
        <w:lastRenderedPageBreak/>
        <w:t>我们还就已遵守与独立性相关的职业道德要求向治理层提供声明，并与治理层沟通可能被合理认为影响我们独立性的所有关系和其他事项，以及相关的防范措施。</w:t>
      </w:r>
    </w:p>
    <w:p w14:paraId="4D8F0EF9" w14:textId="77777777" w:rsidR="00E72F0C" w:rsidRPr="009E4220" w:rsidRDefault="00107901" w:rsidP="009E4220">
      <w:pPr>
        <w:pStyle w:val="a3"/>
        <w:spacing w:before="0" w:beforeAutospacing="0" w:after="0" w:afterAutospacing="0" w:line="360" w:lineRule="auto"/>
        <w:ind w:firstLine="480"/>
        <w:jc w:val="both"/>
        <w:divId w:val="1684552293"/>
        <w:rPr>
          <w:rFonts w:ascii="Times New Roman" w:hAnsi="Times New Roman" w:cs="Times New Roman"/>
          <w:sz w:val="21"/>
          <w:szCs w:val="21"/>
        </w:rPr>
      </w:pPr>
      <w:r w:rsidRPr="009E4220">
        <w:rPr>
          <w:rFonts w:cs="Times New Roman" w:hint="eastAsia"/>
          <w:sz w:val="21"/>
          <w:szCs w:val="21"/>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p w14:paraId="043E4625" w14:textId="77777777" w:rsidR="00E72F0C" w:rsidRPr="009E4220" w:rsidRDefault="00107901">
      <w:pPr>
        <w:pStyle w:val="a3"/>
        <w:spacing w:before="156" w:beforeAutospacing="0" w:after="0" w:afterAutospacing="0" w:line="480" w:lineRule="atLeast"/>
        <w:jc w:val="both"/>
        <w:divId w:val="1684552293"/>
        <w:rPr>
          <w:rFonts w:ascii="Times New Roman" w:hAnsi="Times New Roman" w:cs="Times New Roman"/>
          <w:sz w:val="21"/>
          <w:szCs w:val="21"/>
        </w:rPr>
      </w:pPr>
      <w:r w:rsidRPr="009E4220">
        <w:rPr>
          <w:rFonts w:cs="Times New Roman" w:hint="eastAsia"/>
          <w:sz w:val="21"/>
          <w:szCs w:val="21"/>
        </w:rPr>
        <w:t> </w:t>
      </w:r>
    </w:p>
    <w:p w14:paraId="6415AB31" w14:textId="77777777" w:rsidR="00E72F0C" w:rsidRPr="009E4220" w:rsidRDefault="00107901" w:rsidP="009E4220">
      <w:pPr>
        <w:pStyle w:val="a3"/>
        <w:spacing w:before="156" w:beforeAutospacing="0" w:after="0" w:afterAutospacing="0" w:line="460" w:lineRule="atLeast"/>
        <w:jc w:val="both"/>
        <w:divId w:val="1684552293"/>
        <w:rPr>
          <w:rFonts w:ascii="Times New Roman" w:hAnsi="Times New Roman" w:cs="Times New Roman"/>
          <w:sz w:val="21"/>
          <w:szCs w:val="21"/>
        </w:rPr>
      </w:pPr>
      <w:r w:rsidRPr="009E4220">
        <w:rPr>
          <w:rFonts w:cs="Times New Roman" w:hint="eastAsia"/>
          <w:sz w:val="21"/>
          <w:szCs w:val="21"/>
        </w:rPr>
        <w:t xml:space="preserve">苏亚金诚会计师事务所                    中国注册会计师：       </w:t>
      </w:r>
    </w:p>
    <w:p w14:paraId="2E556805" w14:textId="7F73AAA1" w:rsidR="00E72F0C" w:rsidRPr="009E4220" w:rsidRDefault="00107901" w:rsidP="00BA1A31">
      <w:pPr>
        <w:pStyle w:val="a3"/>
        <w:spacing w:before="0" w:beforeAutospacing="0" w:after="0" w:afterAutospacing="0" w:line="460" w:lineRule="atLeast"/>
        <w:ind w:firstLineChars="100" w:firstLine="210"/>
        <w:jc w:val="both"/>
        <w:divId w:val="1684552293"/>
        <w:rPr>
          <w:rFonts w:ascii="Times New Roman" w:hAnsi="Times New Roman" w:cs="Times New Roman"/>
          <w:sz w:val="21"/>
          <w:szCs w:val="21"/>
        </w:rPr>
      </w:pPr>
      <w:r w:rsidRPr="009E4220">
        <w:rPr>
          <w:rFonts w:cs="Times New Roman" w:hint="eastAsia"/>
          <w:sz w:val="21"/>
          <w:szCs w:val="21"/>
        </w:rPr>
        <w:t>（特殊普通合伙）</w:t>
      </w:r>
      <w:r w:rsidR="009E4220">
        <w:rPr>
          <w:rFonts w:cs="Times New Roman" w:hint="eastAsia"/>
          <w:sz w:val="21"/>
          <w:szCs w:val="21"/>
        </w:rPr>
        <w:t>                 </w:t>
      </w:r>
      <w:r w:rsidR="00BA1A31">
        <w:rPr>
          <w:rFonts w:cs="Times New Roman"/>
          <w:sz w:val="21"/>
          <w:szCs w:val="21"/>
        </w:rPr>
        <w:t xml:space="preserve">        </w:t>
      </w:r>
      <w:r w:rsidRPr="009E4220">
        <w:rPr>
          <w:rFonts w:cs="Times New Roman" w:hint="eastAsia"/>
          <w:sz w:val="21"/>
          <w:szCs w:val="21"/>
        </w:rPr>
        <w:t>(项目合伙人)</w:t>
      </w:r>
    </w:p>
    <w:p w14:paraId="1D844CE7" w14:textId="77777777" w:rsidR="00E72F0C" w:rsidRPr="009E4220" w:rsidRDefault="00107901">
      <w:pPr>
        <w:pStyle w:val="a3"/>
        <w:spacing w:before="0" w:beforeAutospacing="0" w:after="0" w:afterAutospacing="0" w:line="240" w:lineRule="atLeast"/>
        <w:ind w:firstLine="960"/>
        <w:jc w:val="both"/>
        <w:divId w:val="1684552293"/>
        <w:rPr>
          <w:rFonts w:ascii="Times New Roman" w:hAnsi="Times New Roman" w:cs="Times New Roman"/>
          <w:sz w:val="21"/>
          <w:szCs w:val="21"/>
        </w:rPr>
      </w:pPr>
      <w:r w:rsidRPr="009E4220">
        <w:rPr>
          <w:rFonts w:cs="Times New Roman" w:hint="eastAsia"/>
          <w:sz w:val="21"/>
          <w:szCs w:val="21"/>
        </w:rPr>
        <w:t xml:space="preserve">                                  </w:t>
      </w:r>
    </w:p>
    <w:p w14:paraId="7786FF86" w14:textId="79CD6101" w:rsidR="00E72F0C" w:rsidRPr="009E4220" w:rsidRDefault="009E4220">
      <w:pPr>
        <w:pStyle w:val="a3"/>
        <w:spacing w:before="156" w:beforeAutospacing="0" w:after="0" w:afterAutospacing="0" w:line="460" w:lineRule="atLeast"/>
        <w:ind w:firstLine="5400"/>
        <w:jc w:val="both"/>
        <w:divId w:val="1684552293"/>
        <w:rPr>
          <w:rFonts w:ascii="Times New Roman" w:hAnsi="Times New Roman" w:cs="Times New Roman"/>
          <w:sz w:val="21"/>
          <w:szCs w:val="21"/>
        </w:rPr>
      </w:pPr>
      <w:r>
        <w:rPr>
          <w:rFonts w:cs="Times New Roman" w:hint="eastAsia"/>
          <w:sz w:val="21"/>
          <w:szCs w:val="21"/>
        </w:rPr>
        <w:t>     </w:t>
      </w:r>
      <w:r w:rsidR="00107901" w:rsidRPr="009E4220">
        <w:rPr>
          <w:rFonts w:cs="Times New Roman" w:hint="eastAsia"/>
          <w:sz w:val="21"/>
          <w:szCs w:val="21"/>
        </w:rPr>
        <w:t>中国注册会计师：</w:t>
      </w:r>
    </w:p>
    <w:p w14:paraId="1105AE12" w14:textId="77777777" w:rsidR="00E72F0C" w:rsidRPr="009E4220" w:rsidRDefault="00107901">
      <w:pPr>
        <w:pStyle w:val="a3"/>
        <w:spacing w:before="156" w:beforeAutospacing="0" w:after="0" w:afterAutospacing="0" w:line="200" w:lineRule="atLeast"/>
        <w:ind w:firstLine="5520"/>
        <w:jc w:val="both"/>
        <w:divId w:val="1684552293"/>
        <w:rPr>
          <w:rFonts w:ascii="Times New Roman" w:hAnsi="Times New Roman" w:cs="Times New Roman"/>
          <w:sz w:val="21"/>
          <w:szCs w:val="21"/>
        </w:rPr>
      </w:pPr>
      <w:r w:rsidRPr="009E4220">
        <w:rPr>
          <w:rFonts w:cs="Times New Roman" w:hint="eastAsia"/>
          <w:sz w:val="21"/>
          <w:szCs w:val="21"/>
        </w:rPr>
        <w:t> </w:t>
      </w:r>
    </w:p>
    <w:p w14:paraId="21F39BB8" w14:textId="5480EEA5" w:rsidR="00E72F0C" w:rsidRDefault="00107901" w:rsidP="009E4220">
      <w:pPr>
        <w:pStyle w:val="a3"/>
        <w:spacing w:before="156" w:beforeAutospacing="0" w:after="0" w:afterAutospacing="0" w:line="460" w:lineRule="atLeast"/>
        <w:jc w:val="both"/>
        <w:divId w:val="1684552293"/>
        <w:rPr>
          <w:rFonts w:cs="Times New Roman" w:hint="eastAsia"/>
          <w:sz w:val="21"/>
          <w:szCs w:val="21"/>
        </w:rPr>
      </w:pPr>
      <w:r w:rsidRPr="009E4220">
        <w:rPr>
          <w:rFonts w:cs="Times New Roman" w:hint="eastAsia"/>
          <w:sz w:val="21"/>
          <w:szCs w:val="21"/>
        </w:rPr>
        <w:t>中国     南京市</w:t>
      </w:r>
      <w:r w:rsidR="009E4220">
        <w:rPr>
          <w:rFonts w:cs="Times New Roman" w:hint="eastAsia"/>
          <w:sz w:val="21"/>
          <w:szCs w:val="21"/>
        </w:rPr>
        <w:t>                    </w:t>
      </w:r>
      <w:r w:rsidRPr="009E4220">
        <w:rPr>
          <w:rFonts w:cs="Times New Roman" w:hint="eastAsia"/>
          <w:sz w:val="21"/>
          <w:szCs w:val="21"/>
        </w:rPr>
        <w:t>二○二五年四月十八日</w:t>
      </w:r>
    </w:p>
    <w:p w14:paraId="7150044F" w14:textId="6CED8027" w:rsidR="00924E45" w:rsidRDefault="00924E45">
      <w:pPr>
        <w:widowControl/>
        <w:rPr>
          <w:rFonts w:ascii="宋体" w:eastAsia="宋体" w:hAnsi="宋体" w:cs="Times New Roman" w:hint="eastAsia"/>
          <w:kern w:val="0"/>
          <w:szCs w:val="21"/>
        </w:rPr>
      </w:pPr>
      <w:r>
        <w:rPr>
          <w:rFonts w:cs="Times New Roman"/>
          <w:szCs w:val="21"/>
        </w:rPr>
        <w:br w:type="page"/>
      </w:r>
    </w:p>
    <w:p w14:paraId="19A997A5" w14:textId="4ACC4CC4" w:rsidR="00632E5B" w:rsidRDefault="00107901" w:rsidP="00A73CAC">
      <w:pPr>
        <w:pStyle w:val="2"/>
        <w:tabs>
          <w:tab w:val="center" w:pos="4818"/>
        </w:tabs>
        <w:spacing w:before="300" w:after="300" w:line="320" w:lineRule="exact"/>
        <w:rPr>
          <w:rFonts w:ascii="宋体" w:eastAsia="宋体" w:hAnsi="宋体" w:cs="宋体" w:hint="eastAsia"/>
          <w:b/>
          <w:bCs/>
          <w:sz w:val="24"/>
          <w:szCs w:val="24"/>
        </w:rPr>
      </w:pPr>
      <w:bookmarkStart w:id="149" w:name="_Toc989038"/>
      <w:r>
        <w:rPr>
          <w:rFonts w:ascii="宋体" w:eastAsia="宋体" w:hAnsi="宋体" w:cs="宋体"/>
          <w:b/>
          <w:bCs/>
          <w:sz w:val="24"/>
          <w:szCs w:val="24"/>
        </w:rPr>
        <w:lastRenderedPageBreak/>
        <w:t>二、财务报表</w:t>
      </w:r>
      <w:bookmarkEnd w:id="149"/>
      <w:r w:rsidR="00A73CAC">
        <w:rPr>
          <w:rFonts w:ascii="宋体" w:eastAsia="宋体" w:hAnsi="宋体" w:cs="宋体"/>
          <w:b/>
          <w:bCs/>
          <w:sz w:val="24"/>
          <w:szCs w:val="24"/>
        </w:rPr>
        <w:tab/>
      </w:r>
    </w:p>
    <w:p w14:paraId="0BED26DF" w14:textId="441A7F01" w:rsidR="00632E5B" w:rsidRDefault="00107901">
      <w:pPr>
        <w:pStyle w:val="3"/>
        <w:spacing w:line="280" w:lineRule="exact"/>
        <w:jc w:val="left"/>
        <w:rPr>
          <w:rFonts w:ascii="宋体" w:hAnsi="宋体" w:cs="宋体" w:hint="eastAsia"/>
          <w:b/>
          <w:bCs/>
        </w:rPr>
      </w:pPr>
      <w:bookmarkStart w:id="150" w:name="_Toc989039"/>
      <w:r>
        <w:rPr>
          <w:rFonts w:ascii="宋体" w:hAnsi="宋体" w:cs="宋体"/>
          <w:b/>
          <w:bCs/>
        </w:rPr>
        <w:t>1、合并资产负债表</w:t>
      </w:r>
      <w:bookmarkEnd w:id="150"/>
    </w:p>
    <w:p w14:paraId="47872DC4" w14:textId="7641196F" w:rsidR="00126FF3" w:rsidRPr="00126FF3" w:rsidRDefault="00126FF3" w:rsidP="00126FF3">
      <w:r w:rsidRPr="00126FF3">
        <w:rPr>
          <w:rFonts w:hint="eastAsia"/>
          <w:noProof/>
        </w:rPr>
        <w:drawing>
          <wp:inline distT="0" distB="0" distL="0" distR="0" wp14:anchorId="06B43539" wp14:editId="6FD62442">
            <wp:extent cx="6119495" cy="7205212"/>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9495" cy="7205212"/>
                    </a:xfrm>
                    <a:prstGeom prst="rect">
                      <a:avLst/>
                    </a:prstGeom>
                    <a:noFill/>
                    <a:ln>
                      <a:noFill/>
                    </a:ln>
                  </pic:spPr>
                </pic:pic>
              </a:graphicData>
            </a:graphic>
          </wp:inline>
        </w:drawing>
      </w:r>
    </w:p>
    <w:p w14:paraId="197EE9A3" w14:textId="36A88A3E" w:rsidR="00126FF3" w:rsidRDefault="00126FF3">
      <w:pPr>
        <w:widowControl/>
        <w:rPr>
          <w:rFonts w:ascii="宋体" w:eastAsia="宋体" w:hAnsi="宋体" w:cs="宋体" w:hint="eastAsia"/>
          <w:sz w:val="18"/>
          <w:szCs w:val="18"/>
        </w:rPr>
      </w:pPr>
      <w:r>
        <w:rPr>
          <w:rFonts w:ascii="宋体" w:eastAsia="宋体" w:hAnsi="宋体" w:cs="宋体"/>
          <w:sz w:val="18"/>
          <w:szCs w:val="18"/>
        </w:rPr>
        <w:br w:type="page"/>
      </w:r>
    </w:p>
    <w:p w14:paraId="547CC368" w14:textId="70C59844" w:rsidR="00632E5B" w:rsidRDefault="00107901">
      <w:pPr>
        <w:pStyle w:val="3"/>
        <w:spacing w:line="280" w:lineRule="exact"/>
        <w:jc w:val="left"/>
        <w:rPr>
          <w:rFonts w:ascii="宋体" w:hAnsi="宋体" w:cs="宋体" w:hint="eastAsia"/>
          <w:b/>
          <w:bCs/>
        </w:rPr>
      </w:pPr>
      <w:bookmarkStart w:id="151" w:name="_Toc989040"/>
      <w:r>
        <w:rPr>
          <w:rFonts w:ascii="宋体" w:hAnsi="宋体" w:cs="宋体"/>
          <w:b/>
          <w:bCs/>
        </w:rPr>
        <w:lastRenderedPageBreak/>
        <w:t>2、母公司资产负债表</w:t>
      </w:r>
      <w:bookmarkEnd w:id="151"/>
    </w:p>
    <w:p w14:paraId="676F54BF" w14:textId="0DE77E7B" w:rsidR="000D793C" w:rsidRPr="000D793C" w:rsidRDefault="00112538" w:rsidP="000D793C">
      <w:r w:rsidRPr="00112538">
        <w:rPr>
          <w:rFonts w:hint="eastAsia"/>
          <w:noProof/>
        </w:rPr>
        <w:drawing>
          <wp:inline distT="0" distB="0" distL="0" distR="0" wp14:anchorId="65648C61" wp14:editId="6E9EEA6D">
            <wp:extent cx="6119495" cy="7485380"/>
            <wp:effectExtent l="0" t="0" r="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9495" cy="7485380"/>
                    </a:xfrm>
                    <a:prstGeom prst="rect">
                      <a:avLst/>
                    </a:prstGeom>
                    <a:noFill/>
                    <a:ln>
                      <a:noFill/>
                    </a:ln>
                  </pic:spPr>
                </pic:pic>
              </a:graphicData>
            </a:graphic>
          </wp:inline>
        </w:drawing>
      </w:r>
    </w:p>
    <w:p w14:paraId="51613DC7" w14:textId="41F1A59D" w:rsidR="000D793C" w:rsidRDefault="000D793C">
      <w:pPr>
        <w:widowControl/>
        <w:rPr>
          <w:rFonts w:ascii="宋体" w:eastAsia="宋体" w:hAnsi="宋体" w:cs="宋体" w:hint="eastAsia"/>
          <w:sz w:val="18"/>
          <w:szCs w:val="18"/>
        </w:rPr>
      </w:pPr>
      <w:r>
        <w:rPr>
          <w:rFonts w:ascii="宋体" w:eastAsia="宋体" w:hAnsi="宋体" w:cs="宋体"/>
          <w:sz w:val="18"/>
          <w:szCs w:val="18"/>
        </w:rPr>
        <w:br w:type="page"/>
      </w:r>
    </w:p>
    <w:p w14:paraId="02234E8A" w14:textId="2C737547" w:rsidR="00112538" w:rsidRDefault="00107901" w:rsidP="00112538">
      <w:pPr>
        <w:pStyle w:val="3"/>
        <w:spacing w:line="280" w:lineRule="exact"/>
        <w:jc w:val="left"/>
      </w:pPr>
      <w:bookmarkStart w:id="152" w:name="_Toc989041"/>
      <w:r>
        <w:rPr>
          <w:rFonts w:ascii="宋体" w:hAnsi="宋体" w:cs="宋体"/>
          <w:b/>
          <w:bCs/>
        </w:rPr>
        <w:lastRenderedPageBreak/>
        <w:t>3、合并利润表</w:t>
      </w:r>
      <w:bookmarkEnd w:id="152"/>
    </w:p>
    <w:p w14:paraId="6466E24F" w14:textId="0839EAF0" w:rsidR="00112538" w:rsidRPr="00112538" w:rsidRDefault="00112538" w:rsidP="00112538">
      <w:r w:rsidRPr="00112538">
        <w:rPr>
          <w:rFonts w:hint="eastAsia"/>
          <w:noProof/>
        </w:rPr>
        <w:drawing>
          <wp:inline distT="0" distB="0" distL="0" distR="0" wp14:anchorId="1C6A3F24" wp14:editId="06CAB70E">
            <wp:extent cx="6119495" cy="7802088"/>
            <wp:effectExtent l="0" t="0" r="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7802088"/>
                    </a:xfrm>
                    <a:prstGeom prst="rect">
                      <a:avLst/>
                    </a:prstGeom>
                    <a:noFill/>
                    <a:ln>
                      <a:noFill/>
                    </a:ln>
                  </pic:spPr>
                </pic:pic>
              </a:graphicData>
            </a:graphic>
          </wp:inline>
        </w:drawing>
      </w:r>
    </w:p>
    <w:p w14:paraId="42CB3592" w14:textId="7DB45181" w:rsidR="00112538" w:rsidRDefault="00112538">
      <w:pPr>
        <w:widowControl/>
        <w:rPr>
          <w:rFonts w:ascii="宋体" w:eastAsia="宋体" w:hAnsi="宋体" w:cs="宋体" w:hint="eastAsia"/>
          <w:sz w:val="18"/>
          <w:szCs w:val="18"/>
        </w:rPr>
      </w:pPr>
      <w:r>
        <w:rPr>
          <w:rFonts w:ascii="宋体" w:eastAsia="宋体" w:hAnsi="宋体" w:cs="宋体"/>
          <w:sz w:val="18"/>
          <w:szCs w:val="18"/>
        </w:rPr>
        <w:br w:type="page"/>
      </w:r>
    </w:p>
    <w:p w14:paraId="79942574" w14:textId="06DF4435" w:rsidR="00632E5B" w:rsidRDefault="00107901" w:rsidP="00112538">
      <w:pPr>
        <w:pStyle w:val="3"/>
        <w:spacing w:line="280" w:lineRule="exact"/>
        <w:jc w:val="left"/>
        <w:rPr>
          <w:rFonts w:ascii="宋体" w:hAnsi="宋体" w:cs="宋体" w:hint="eastAsia"/>
          <w:b/>
          <w:bCs/>
        </w:rPr>
      </w:pPr>
      <w:bookmarkStart w:id="153" w:name="_Toc989042"/>
      <w:r>
        <w:rPr>
          <w:rFonts w:ascii="宋体" w:hAnsi="宋体" w:cs="宋体"/>
          <w:b/>
          <w:bCs/>
        </w:rPr>
        <w:lastRenderedPageBreak/>
        <w:t>4、母公司利润表</w:t>
      </w:r>
      <w:bookmarkEnd w:id="153"/>
    </w:p>
    <w:p w14:paraId="3E486BB0" w14:textId="5E972C6F" w:rsidR="00112538" w:rsidRDefault="00112538" w:rsidP="00112538">
      <w:r w:rsidRPr="00112538">
        <w:rPr>
          <w:noProof/>
        </w:rPr>
        <w:drawing>
          <wp:inline distT="0" distB="0" distL="0" distR="0" wp14:anchorId="4616B6BF" wp14:editId="289F0D0C">
            <wp:extent cx="6119495" cy="7374776"/>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9495" cy="7374776"/>
                    </a:xfrm>
                    <a:prstGeom prst="rect">
                      <a:avLst/>
                    </a:prstGeom>
                    <a:noFill/>
                    <a:ln>
                      <a:noFill/>
                    </a:ln>
                  </pic:spPr>
                </pic:pic>
              </a:graphicData>
            </a:graphic>
          </wp:inline>
        </w:drawing>
      </w:r>
    </w:p>
    <w:p w14:paraId="727772B7" w14:textId="47E36F41" w:rsidR="00112538" w:rsidRDefault="00112538">
      <w:pPr>
        <w:widowControl/>
      </w:pPr>
      <w:r>
        <w:br w:type="page"/>
      </w:r>
    </w:p>
    <w:p w14:paraId="6FF1FE74" w14:textId="2CD690CD" w:rsidR="00632E5B" w:rsidRDefault="00107901" w:rsidP="00112538">
      <w:pPr>
        <w:pStyle w:val="3"/>
        <w:spacing w:line="280" w:lineRule="exact"/>
        <w:jc w:val="left"/>
        <w:rPr>
          <w:rFonts w:ascii="宋体" w:hAnsi="宋体" w:cs="宋体" w:hint="eastAsia"/>
          <w:b/>
          <w:bCs/>
        </w:rPr>
      </w:pPr>
      <w:bookmarkStart w:id="154" w:name="_Toc989043"/>
      <w:r>
        <w:rPr>
          <w:rFonts w:ascii="宋体" w:hAnsi="宋体" w:cs="宋体"/>
          <w:b/>
          <w:bCs/>
        </w:rPr>
        <w:lastRenderedPageBreak/>
        <w:t>5、合并现金流量表</w:t>
      </w:r>
      <w:bookmarkEnd w:id="154"/>
    </w:p>
    <w:p w14:paraId="3E7DE216" w14:textId="2BD65D01" w:rsidR="00112538" w:rsidRDefault="00112538" w:rsidP="00112538">
      <w:r w:rsidRPr="00112538">
        <w:rPr>
          <w:noProof/>
        </w:rPr>
        <w:drawing>
          <wp:inline distT="0" distB="0" distL="0" distR="0" wp14:anchorId="0A86C527" wp14:editId="2598578A">
            <wp:extent cx="6119495" cy="8050825"/>
            <wp:effectExtent l="0" t="0" r="0" b="762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9495" cy="8050825"/>
                    </a:xfrm>
                    <a:prstGeom prst="rect">
                      <a:avLst/>
                    </a:prstGeom>
                    <a:noFill/>
                    <a:ln>
                      <a:noFill/>
                    </a:ln>
                  </pic:spPr>
                </pic:pic>
              </a:graphicData>
            </a:graphic>
          </wp:inline>
        </w:drawing>
      </w:r>
    </w:p>
    <w:p w14:paraId="0992ACCE" w14:textId="7E8F7E59" w:rsidR="00112538" w:rsidRDefault="00112538">
      <w:pPr>
        <w:widowControl/>
      </w:pPr>
      <w:r>
        <w:br w:type="page"/>
      </w:r>
    </w:p>
    <w:p w14:paraId="3D54BA59" w14:textId="4F86F6FB" w:rsidR="00112538" w:rsidRDefault="00107901" w:rsidP="00112538">
      <w:pPr>
        <w:pStyle w:val="3"/>
        <w:spacing w:line="280" w:lineRule="exact"/>
        <w:jc w:val="left"/>
        <w:rPr>
          <w:rFonts w:ascii="宋体" w:hAnsi="宋体" w:cs="宋体" w:hint="eastAsia"/>
          <w:b/>
          <w:bCs/>
        </w:rPr>
      </w:pPr>
      <w:bookmarkStart w:id="155" w:name="_Toc989044"/>
      <w:r>
        <w:rPr>
          <w:rFonts w:ascii="宋体" w:hAnsi="宋体" w:cs="宋体"/>
          <w:b/>
          <w:bCs/>
        </w:rPr>
        <w:lastRenderedPageBreak/>
        <w:t>6、母公司现金流量表</w:t>
      </w:r>
      <w:bookmarkStart w:id="156" w:name="_Toc989045"/>
      <w:bookmarkEnd w:id="155"/>
    </w:p>
    <w:p w14:paraId="7E026CB5" w14:textId="0A88C98A" w:rsidR="00112538" w:rsidRDefault="00112538" w:rsidP="00112538">
      <w:r w:rsidRPr="00112538">
        <w:rPr>
          <w:noProof/>
        </w:rPr>
        <w:drawing>
          <wp:inline distT="0" distB="0" distL="0" distR="0" wp14:anchorId="4C0D7DC9" wp14:editId="4BBFCFA3">
            <wp:extent cx="6118860" cy="82296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43" cy="8231326"/>
                    </a:xfrm>
                    <a:prstGeom prst="rect">
                      <a:avLst/>
                    </a:prstGeom>
                    <a:noFill/>
                    <a:ln>
                      <a:noFill/>
                    </a:ln>
                  </pic:spPr>
                </pic:pic>
              </a:graphicData>
            </a:graphic>
          </wp:inline>
        </w:drawing>
      </w:r>
    </w:p>
    <w:p w14:paraId="261B4E72" w14:textId="77777777" w:rsidR="00112538" w:rsidRPr="00112538" w:rsidRDefault="00112538" w:rsidP="00112538">
      <w:pPr>
        <w:sectPr w:rsidR="00112538" w:rsidRPr="00112538" w:rsidSect="00E90C20">
          <w:pgSz w:w="11905" w:h="16840"/>
          <w:pgMar w:top="1440" w:right="1134" w:bottom="1440" w:left="1134" w:header="850" w:footer="992" w:gutter="0"/>
          <w:cols w:space="720"/>
          <w:docGrid w:type="linesAndChars" w:linePitch="312"/>
        </w:sectPr>
      </w:pPr>
    </w:p>
    <w:p w14:paraId="03632087" w14:textId="184D6494" w:rsidR="00632E5B" w:rsidRDefault="00107901" w:rsidP="003874E9">
      <w:pPr>
        <w:pStyle w:val="3"/>
        <w:spacing w:line="280" w:lineRule="exact"/>
        <w:jc w:val="left"/>
        <w:rPr>
          <w:rFonts w:ascii="宋体" w:hAnsi="宋体" w:cs="宋体" w:hint="eastAsia"/>
          <w:b/>
          <w:bCs/>
        </w:rPr>
      </w:pPr>
      <w:r>
        <w:rPr>
          <w:rFonts w:ascii="宋体" w:hAnsi="宋体" w:cs="宋体"/>
          <w:b/>
          <w:bCs/>
        </w:rPr>
        <w:lastRenderedPageBreak/>
        <w:t>7、合并所有者权益变动表</w:t>
      </w:r>
      <w:bookmarkEnd w:id="156"/>
    </w:p>
    <w:p w14:paraId="6C182FEB" w14:textId="319C2969" w:rsidR="003874E9" w:rsidRDefault="003874E9" w:rsidP="003874E9">
      <w:r w:rsidRPr="003874E9">
        <w:rPr>
          <w:noProof/>
        </w:rPr>
        <w:drawing>
          <wp:anchor distT="0" distB="0" distL="114300" distR="114300" simplePos="0" relativeHeight="251658240" behindDoc="0" locked="0" layoutInCell="1" allowOverlap="1" wp14:anchorId="70DD078E" wp14:editId="474F65CD">
            <wp:simplePos x="0" y="0"/>
            <wp:positionH relativeFrom="column">
              <wp:posOffset>0</wp:posOffset>
            </wp:positionH>
            <wp:positionV relativeFrom="paragraph">
              <wp:posOffset>43014</wp:posOffset>
            </wp:positionV>
            <wp:extent cx="8864600" cy="5266697"/>
            <wp:effectExtent l="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64600" cy="52666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D00B22" w14:textId="35E4552E" w:rsidR="003874E9" w:rsidRDefault="003874E9" w:rsidP="003874E9">
      <w:r w:rsidRPr="003874E9">
        <w:rPr>
          <w:noProof/>
        </w:rPr>
        <w:lastRenderedPageBreak/>
        <w:drawing>
          <wp:inline distT="0" distB="0" distL="0" distR="0" wp14:anchorId="64AC2D53" wp14:editId="605847DC">
            <wp:extent cx="8864600" cy="5336424"/>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64600" cy="5336424"/>
                    </a:xfrm>
                    <a:prstGeom prst="rect">
                      <a:avLst/>
                    </a:prstGeom>
                    <a:noFill/>
                    <a:ln>
                      <a:noFill/>
                    </a:ln>
                  </pic:spPr>
                </pic:pic>
              </a:graphicData>
            </a:graphic>
          </wp:inline>
        </w:drawing>
      </w:r>
    </w:p>
    <w:p w14:paraId="628753B0" w14:textId="77777777" w:rsidR="003874E9" w:rsidRPr="003874E9" w:rsidRDefault="003874E9" w:rsidP="003874E9"/>
    <w:p w14:paraId="7024A9BA" w14:textId="4AB31275" w:rsidR="003874E9" w:rsidRDefault="003874E9">
      <w:pPr>
        <w:widowControl/>
        <w:rPr>
          <w:rFonts w:ascii="宋体" w:eastAsia="宋体" w:hAnsi="宋体" w:cs="宋体" w:hint="eastAsia"/>
          <w:sz w:val="18"/>
          <w:szCs w:val="18"/>
        </w:rPr>
      </w:pPr>
      <w:r>
        <w:rPr>
          <w:rFonts w:ascii="宋体" w:eastAsia="宋体" w:hAnsi="宋体" w:cs="宋体"/>
          <w:sz w:val="18"/>
          <w:szCs w:val="18"/>
        </w:rPr>
        <w:br w:type="page"/>
      </w:r>
    </w:p>
    <w:p w14:paraId="2E5D974F" w14:textId="1D4F2774" w:rsidR="00632E5B" w:rsidRDefault="00107901" w:rsidP="003874E9">
      <w:pPr>
        <w:pStyle w:val="3"/>
        <w:spacing w:line="280" w:lineRule="exact"/>
        <w:jc w:val="left"/>
        <w:rPr>
          <w:rFonts w:ascii="宋体" w:hAnsi="宋体" w:cs="宋体" w:hint="eastAsia"/>
          <w:b/>
          <w:bCs/>
        </w:rPr>
      </w:pPr>
      <w:bookmarkStart w:id="157" w:name="_Toc989046"/>
      <w:r>
        <w:rPr>
          <w:rFonts w:ascii="宋体" w:hAnsi="宋体" w:cs="宋体"/>
          <w:b/>
          <w:bCs/>
        </w:rPr>
        <w:lastRenderedPageBreak/>
        <w:t>8、母公司所有者权益变动表</w:t>
      </w:r>
      <w:bookmarkEnd w:id="157"/>
    </w:p>
    <w:p w14:paraId="00A949B0" w14:textId="695CD8CB" w:rsidR="003874E9" w:rsidRDefault="003874E9" w:rsidP="003874E9">
      <w:r w:rsidRPr="003874E9">
        <w:rPr>
          <w:noProof/>
        </w:rPr>
        <w:drawing>
          <wp:inline distT="0" distB="0" distL="0" distR="0" wp14:anchorId="1A06CB11" wp14:editId="66B4D6A5">
            <wp:extent cx="8864600" cy="4619447"/>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64600" cy="4619447"/>
                    </a:xfrm>
                    <a:prstGeom prst="rect">
                      <a:avLst/>
                    </a:prstGeom>
                    <a:noFill/>
                    <a:ln>
                      <a:noFill/>
                    </a:ln>
                  </pic:spPr>
                </pic:pic>
              </a:graphicData>
            </a:graphic>
          </wp:inline>
        </w:drawing>
      </w:r>
    </w:p>
    <w:p w14:paraId="2AA4E126" w14:textId="7D9CFA2F" w:rsidR="003F2EA9" w:rsidRDefault="003F2EA9">
      <w:pPr>
        <w:widowControl/>
      </w:pPr>
      <w:r>
        <w:br w:type="page"/>
      </w:r>
    </w:p>
    <w:p w14:paraId="0A36E705" w14:textId="4B88C65E" w:rsidR="003874E9" w:rsidRDefault="003F2EA9" w:rsidP="003874E9">
      <w:r w:rsidRPr="003F2EA9">
        <w:rPr>
          <w:noProof/>
        </w:rPr>
        <w:lastRenderedPageBreak/>
        <w:drawing>
          <wp:inline distT="0" distB="0" distL="0" distR="0" wp14:anchorId="2F65D68C" wp14:editId="5DA3AFD8">
            <wp:extent cx="8864600" cy="4553116"/>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64600" cy="4553116"/>
                    </a:xfrm>
                    <a:prstGeom prst="rect">
                      <a:avLst/>
                    </a:prstGeom>
                    <a:noFill/>
                    <a:ln>
                      <a:noFill/>
                    </a:ln>
                  </pic:spPr>
                </pic:pic>
              </a:graphicData>
            </a:graphic>
          </wp:inline>
        </w:drawing>
      </w:r>
    </w:p>
    <w:p w14:paraId="68E0D7AB" w14:textId="77777777" w:rsidR="003F2EA9" w:rsidRDefault="003F2EA9" w:rsidP="003874E9">
      <w:pPr>
        <w:sectPr w:rsidR="003F2EA9" w:rsidSect="00E90C20">
          <w:pgSz w:w="16840" w:h="11905" w:orient="landscape"/>
          <w:pgMar w:top="1134" w:right="1440" w:bottom="1134" w:left="1440" w:header="850" w:footer="992" w:gutter="0"/>
          <w:cols w:space="720"/>
          <w:docGrid w:type="linesAndChars" w:linePitch="312"/>
        </w:sectPr>
      </w:pPr>
      <w:r>
        <w:br w:type="page"/>
      </w:r>
    </w:p>
    <w:p w14:paraId="0B4FCE2B" w14:textId="77777777" w:rsidR="00632E5B" w:rsidRDefault="00107901">
      <w:pPr>
        <w:pStyle w:val="2"/>
        <w:spacing w:before="300" w:after="300" w:line="320" w:lineRule="exact"/>
        <w:rPr>
          <w:rFonts w:ascii="宋体" w:eastAsia="宋体" w:hAnsi="宋体" w:cs="宋体" w:hint="eastAsia"/>
          <w:b/>
          <w:bCs/>
          <w:sz w:val="24"/>
          <w:szCs w:val="24"/>
        </w:rPr>
      </w:pPr>
      <w:bookmarkStart w:id="158" w:name="_Toc989047"/>
      <w:r>
        <w:rPr>
          <w:rFonts w:ascii="宋体" w:eastAsia="宋体" w:hAnsi="宋体" w:cs="宋体"/>
          <w:b/>
          <w:bCs/>
          <w:sz w:val="24"/>
          <w:szCs w:val="24"/>
        </w:rPr>
        <w:lastRenderedPageBreak/>
        <w:t>三、公司基本情况</w:t>
      </w:r>
      <w:bookmarkEnd w:id="158"/>
    </w:p>
    <w:p w14:paraId="0FA50152" w14:textId="77777777" w:rsidR="00E72F0C" w:rsidRDefault="00107901">
      <w:pPr>
        <w:pStyle w:val="a3"/>
        <w:divId w:val="1455640134"/>
        <w:rPr>
          <w:rFonts w:hint="eastAsia"/>
          <w:sz w:val="18"/>
          <w:szCs w:val="18"/>
        </w:rPr>
      </w:pPr>
      <w:r>
        <w:rPr>
          <w:rFonts w:hint="eastAsia"/>
          <w:sz w:val="18"/>
          <w:szCs w:val="18"/>
        </w:rPr>
        <w:t> </w:t>
      </w:r>
      <w:r>
        <w:rPr>
          <w:rStyle w:val="a4"/>
          <w:rFonts w:hint="eastAsia"/>
          <w:sz w:val="18"/>
          <w:szCs w:val="18"/>
        </w:rPr>
        <w:t>一、公司概况 </w:t>
      </w:r>
    </w:p>
    <w:p w14:paraId="48305505" w14:textId="135F492D" w:rsidR="00E72F0C" w:rsidRDefault="00107901" w:rsidP="00FA17B7">
      <w:pPr>
        <w:pStyle w:val="a3"/>
        <w:ind w:firstLineChars="200" w:firstLine="360"/>
        <w:divId w:val="1455640134"/>
        <w:rPr>
          <w:rFonts w:hint="eastAsia"/>
          <w:sz w:val="18"/>
          <w:szCs w:val="18"/>
        </w:rPr>
      </w:pPr>
      <w:r>
        <w:rPr>
          <w:rFonts w:hint="eastAsia"/>
          <w:sz w:val="18"/>
          <w:szCs w:val="18"/>
        </w:rPr>
        <w:t>江苏中利集团股份有限公司（以下简称“本公司”或“公司”）是一家在中华人民共和国江苏省注册的股份有限公司，于 1988年5月9日成立。本公司所发行的人民币普通股 A 股股票，已在深圳证券交易所上市。本公司总部位于江苏省常熟东南经济开发区。</w:t>
      </w:r>
      <w:r w:rsidR="00FA17B7">
        <w:rPr>
          <w:rFonts w:hint="eastAsia"/>
          <w:sz w:val="18"/>
          <w:szCs w:val="18"/>
        </w:rPr>
        <w:br/>
      </w:r>
      <w:r w:rsidR="00FA17B7">
        <w:rPr>
          <w:sz w:val="18"/>
          <w:szCs w:val="18"/>
        </w:rPr>
        <w:t xml:space="preserve">    </w:t>
      </w:r>
      <w:r>
        <w:rPr>
          <w:rFonts w:hint="eastAsia"/>
          <w:sz w:val="18"/>
          <w:szCs w:val="18"/>
        </w:rPr>
        <w:t>公司主要产品包括阻燃耐火软电缆、铜导体、电缆料等，属于电缆行业。主要子公司苏州腾晖光伏技术有限公司产品为晶体硅太阳能电池片、电池组件及太阳能电站，属于太阳能光伏行业。</w:t>
      </w:r>
      <w:r w:rsidR="00FA17B7">
        <w:rPr>
          <w:rFonts w:hint="eastAsia"/>
          <w:sz w:val="18"/>
          <w:szCs w:val="18"/>
        </w:rPr>
        <w:br/>
      </w:r>
      <w:r w:rsidR="00FA17B7">
        <w:rPr>
          <w:sz w:val="18"/>
          <w:szCs w:val="18"/>
        </w:rPr>
        <w:t xml:space="preserve">    </w:t>
      </w:r>
      <w:r>
        <w:rPr>
          <w:rFonts w:hint="eastAsia"/>
          <w:sz w:val="18"/>
          <w:szCs w:val="18"/>
        </w:rPr>
        <w:t>截至2024年12月31日，本公司的第一大股东为常熟光晟新能源有限公司（以下简称“常熟光晟”，厦门建发股份有限公司全资子公司）。根据江苏省苏州市中级人民法院于2024年12月11日裁定批准的《江苏中利集团股份有限公司重整计划》，常熟光晟作为产业投资人受让601,533,077股转增股份，合计占本公司总股本比例的20%。上述交易股权已于2024年12月30日完成过户登记，因此本公司的第一大股东变更为常熟光晟。2025年2月6日，公司完成第七届董事会换届选举工作，常熟光晟已实际控制公司董事会并足以对股东大会的决议产生重大影响，常熟光晟的实际控制方厦门市人民政府国有资产监督管理委员会成为公司实际控制人。</w:t>
      </w:r>
      <w:r w:rsidR="00FA17B7">
        <w:rPr>
          <w:rFonts w:hint="eastAsia"/>
          <w:sz w:val="18"/>
          <w:szCs w:val="18"/>
        </w:rPr>
        <w:br/>
      </w:r>
      <w:r w:rsidR="00FA17B7">
        <w:rPr>
          <w:sz w:val="18"/>
          <w:szCs w:val="18"/>
        </w:rPr>
        <w:t xml:space="preserve">    </w:t>
      </w:r>
      <w:r>
        <w:rPr>
          <w:rFonts w:hint="eastAsia"/>
          <w:sz w:val="18"/>
          <w:szCs w:val="18"/>
        </w:rPr>
        <w:t>本财务报表业经本公司董事会于2025年4月18日决议批准报出。</w:t>
      </w:r>
    </w:p>
    <w:p w14:paraId="013A7D6F" w14:textId="77777777" w:rsidR="00E72F0C" w:rsidRDefault="00107901">
      <w:pPr>
        <w:pStyle w:val="a3"/>
        <w:divId w:val="1455640134"/>
        <w:rPr>
          <w:rFonts w:hint="eastAsia"/>
          <w:sz w:val="18"/>
          <w:szCs w:val="18"/>
        </w:rPr>
      </w:pPr>
      <w:r>
        <w:rPr>
          <w:rFonts w:hint="eastAsia"/>
          <w:sz w:val="18"/>
          <w:szCs w:val="18"/>
        </w:rPr>
        <w:t> </w:t>
      </w:r>
      <w:r>
        <w:rPr>
          <w:rStyle w:val="a4"/>
          <w:rFonts w:hint="eastAsia"/>
          <w:sz w:val="18"/>
          <w:szCs w:val="18"/>
        </w:rPr>
        <w:t xml:space="preserve"> 二、合并财务报表范围</w:t>
      </w:r>
      <w:r>
        <w:rPr>
          <w:rFonts w:hint="eastAsia"/>
          <w:sz w:val="18"/>
          <w:szCs w:val="18"/>
        </w:rPr>
        <w:br/>
        <w:t>  本报告期纳入合并财务报表范围的子公司情况详见本节“附注九之1.在子公司中的权益”；合并范围的变化情况详见“附注八、合并范围的变更”。</w:t>
      </w:r>
    </w:p>
    <w:p w14:paraId="3BEAABEB" w14:textId="77777777" w:rsidR="00632E5B" w:rsidRDefault="00107901">
      <w:pPr>
        <w:pStyle w:val="2"/>
        <w:spacing w:before="300" w:after="300" w:line="320" w:lineRule="exact"/>
        <w:rPr>
          <w:rFonts w:ascii="宋体" w:eastAsia="宋体" w:hAnsi="宋体" w:cs="宋体" w:hint="eastAsia"/>
          <w:b/>
          <w:bCs/>
          <w:sz w:val="24"/>
          <w:szCs w:val="24"/>
        </w:rPr>
      </w:pPr>
      <w:bookmarkStart w:id="159" w:name="_Toc989048"/>
      <w:r>
        <w:rPr>
          <w:rFonts w:ascii="宋体" w:eastAsia="宋体" w:hAnsi="宋体" w:cs="宋体"/>
          <w:b/>
          <w:bCs/>
          <w:sz w:val="24"/>
          <w:szCs w:val="24"/>
        </w:rPr>
        <w:t>四、财务报表的编制基础</w:t>
      </w:r>
      <w:bookmarkEnd w:id="159"/>
    </w:p>
    <w:p w14:paraId="34D230BD" w14:textId="77777777" w:rsidR="00632E5B" w:rsidRDefault="00107901">
      <w:pPr>
        <w:pStyle w:val="3"/>
        <w:spacing w:line="280" w:lineRule="exact"/>
        <w:jc w:val="left"/>
        <w:rPr>
          <w:rFonts w:ascii="宋体" w:hAnsi="宋体" w:cs="宋体" w:hint="eastAsia"/>
          <w:b/>
          <w:bCs/>
        </w:rPr>
      </w:pPr>
      <w:bookmarkStart w:id="160" w:name="_Toc989049"/>
      <w:r>
        <w:rPr>
          <w:rFonts w:ascii="宋体" w:hAnsi="宋体" w:cs="宋体"/>
          <w:b/>
          <w:bCs/>
        </w:rPr>
        <w:t>1、编制基础</w:t>
      </w:r>
      <w:bookmarkEnd w:id="160"/>
    </w:p>
    <w:p w14:paraId="7EA483D8" w14:textId="77777777" w:rsidR="00E72F0C" w:rsidRDefault="00107901">
      <w:pPr>
        <w:pStyle w:val="a3"/>
        <w:divId w:val="48841933"/>
        <w:rPr>
          <w:rFonts w:hint="eastAsia"/>
          <w:sz w:val="18"/>
          <w:szCs w:val="18"/>
        </w:rPr>
      </w:pPr>
      <w:r>
        <w:rPr>
          <w:rFonts w:hint="eastAsia"/>
          <w:sz w:val="18"/>
          <w:szCs w:val="18"/>
        </w:rPr>
        <w:t>  公司以持续经营为基础，根据实际发生的交易和事项，按照《企业会计准则——基本准则》和各项具体会计准则及其他相关规定进行确认和计量，并在此基础上编制财务报表。</w:t>
      </w:r>
    </w:p>
    <w:p w14:paraId="0862F6B9" w14:textId="77777777" w:rsidR="00632E5B" w:rsidRDefault="00107901">
      <w:pPr>
        <w:pStyle w:val="3"/>
        <w:spacing w:line="280" w:lineRule="exact"/>
        <w:jc w:val="left"/>
        <w:rPr>
          <w:rFonts w:ascii="宋体" w:hAnsi="宋体" w:cs="宋体" w:hint="eastAsia"/>
          <w:b/>
          <w:bCs/>
        </w:rPr>
      </w:pPr>
      <w:bookmarkStart w:id="161" w:name="_Toc989050"/>
      <w:r>
        <w:rPr>
          <w:rFonts w:ascii="宋体" w:hAnsi="宋体" w:cs="宋体"/>
          <w:b/>
          <w:bCs/>
        </w:rPr>
        <w:t>2、持续经营</w:t>
      </w:r>
      <w:bookmarkEnd w:id="161"/>
    </w:p>
    <w:p w14:paraId="579FD76B" w14:textId="77777777" w:rsidR="00E72F0C" w:rsidRDefault="00107901" w:rsidP="00091EA9">
      <w:pPr>
        <w:pStyle w:val="a3"/>
        <w:spacing w:before="0" w:beforeAutospacing="0" w:after="0" w:afterAutospacing="0"/>
        <w:divId w:val="401412630"/>
        <w:rPr>
          <w:rFonts w:hint="eastAsia"/>
          <w:sz w:val="18"/>
          <w:szCs w:val="18"/>
        </w:rPr>
      </w:pPr>
      <w:r>
        <w:rPr>
          <w:rFonts w:hint="eastAsia"/>
          <w:sz w:val="18"/>
          <w:szCs w:val="18"/>
        </w:rPr>
        <w:t>  公司自本报告期末起12个月内具备持续经营能力，不存在导致持续经营能力产生重大怀疑的事项。</w:t>
      </w:r>
    </w:p>
    <w:p w14:paraId="2A181743" w14:textId="77777777" w:rsidR="00632E5B" w:rsidRDefault="00107901">
      <w:pPr>
        <w:pStyle w:val="2"/>
        <w:spacing w:before="300" w:after="300" w:line="560" w:lineRule="exact"/>
        <w:rPr>
          <w:rFonts w:ascii="宋体" w:eastAsia="宋体" w:hAnsi="宋体" w:cs="宋体" w:hint="eastAsia"/>
          <w:b/>
          <w:bCs/>
          <w:sz w:val="24"/>
          <w:szCs w:val="24"/>
        </w:rPr>
      </w:pPr>
      <w:bookmarkStart w:id="162" w:name="_Toc989051"/>
      <w:r>
        <w:rPr>
          <w:rFonts w:ascii="宋体" w:eastAsia="宋体" w:hAnsi="宋体" w:cs="宋体"/>
          <w:b/>
          <w:bCs/>
          <w:sz w:val="24"/>
          <w:szCs w:val="24"/>
        </w:rPr>
        <w:t>五、重要会计政策及会计估计</w:t>
      </w:r>
      <w:bookmarkEnd w:id="162"/>
    </w:p>
    <w:p w14:paraId="794134B0"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具体会计政策和会计估计提示：</w:t>
      </w:r>
    </w:p>
    <w:p w14:paraId="558F2B7D" w14:textId="77777777" w:rsidR="00E72F0C" w:rsidRDefault="00107901" w:rsidP="00091EA9">
      <w:pPr>
        <w:pStyle w:val="a3"/>
        <w:spacing w:before="0" w:beforeAutospacing="0" w:after="0" w:afterAutospacing="0"/>
        <w:divId w:val="1845902891"/>
        <w:rPr>
          <w:rFonts w:hint="eastAsia"/>
          <w:sz w:val="18"/>
          <w:szCs w:val="18"/>
        </w:rPr>
      </w:pPr>
      <w:r>
        <w:rPr>
          <w:rFonts w:hint="eastAsia"/>
          <w:sz w:val="18"/>
          <w:szCs w:val="18"/>
        </w:rPr>
        <w:t>  以下披露内容已涵盖了本公司根据实际生产经营特点制定的具体会计政策和会计估计。详见本附注“11、金融工具”、“13、存货”、“15、固定资产”、“18、无形资产”、“24、收入”。</w:t>
      </w:r>
    </w:p>
    <w:p w14:paraId="70843572" w14:textId="77777777" w:rsidR="00632E5B" w:rsidRDefault="00107901">
      <w:pPr>
        <w:pStyle w:val="3"/>
        <w:spacing w:line="280" w:lineRule="exact"/>
        <w:jc w:val="left"/>
        <w:rPr>
          <w:rFonts w:ascii="宋体" w:hAnsi="宋体" w:cs="宋体" w:hint="eastAsia"/>
          <w:b/>
          <w:bCs/>
        </w:rPr>
      </w:pPr>
      <w:bookmarkStart w:id="163" w:name="_Toc989052"/>
      <w:r>
        <w:rPr>
          <w:rFonts w:ascii="宋体" w:hAnsi="宋体" w:cs="宋体"/>
          <w:b/>
          <w:bCs/>
        </w:rPr>
        <w:t>1、遵循企业会计准则的声明</w:t>
      </w:r>
      <w:bookmarkEnd w:id="163"/>
    </w:p>
    <w:p w14:paraId="1B034ADB" w14:textId="77777777" w:rsidR="00E72F0C" w:rsidRDefault="00107901">
      <w:pPr>
        <w:pStyle w:val="a3"/>
        <w:divId w:val="468134260"/>
        <w:rPr>
          <w:rFonts w:hint="eastAsia"/>
          <w:sz w:val="18"/>
          <w:szCs w:val="18"/>
        </w:rPr>
      </w:pPr>
      <w:r>
        <w:rPr>
          <w:rFonts w:hint="eastAsia"/>
          <w:sz w:val="18"/>
          <w:szCs w:val="18"/>
        </w:rPr>
        <w:t>  公司所编制的财务报表符合企业会计准则的要求，真实、完整地反映了报告期公司的财务状况、经营成果、所有者（股东）权益变动和现金流量等有关信息。</w:t>
      </w:r>
    </w:p>
    <w:p w14:paraId="685B7186" w14:textId="77777777" w:rsidR="00632E5B" w:rsidRDefault="00107901">
      <w:pPr>
        <w:pStyle w:val="3"/>
        <w:spacing w:line="280" w:lineRule="exact"/>
        <w:jc w:val="left"/>
        <w:rPr>
          <w:rFonts w:ascii="宋体" w:hAnsi="宋体" w:cs="宋体" w:hint="eastAsia"/>
          <w:b/>
          <w:bCs/>
        </w:rPr>
      </w:pPr>
      <w:bookmarkStart w:id="164" w:name="_Toc989053"/>
      <w:r>
        <w:rPr>
          <w:rFonts w:ascii="宋体" w:hAnsi="宋体" w:cs="宋体"/>
          <w:b/>
          <w:bCs/>
        </w:rPr>
        <w:lastRenderedPageBreak/>
        <w:t>2、会计期间</w:t>
      </w:r>
      <w:bookmarkEnd w:id="164"/>
    </w:p>
    <w:p w14:paraId="171F03D7" w14:textId="77777777" w:rsidR="00E72F0C" w:rsidRDefault="00107901">
      <w:pPr>
        <w:pStyle w:val="a3"/>
        <w:divId w:val="1537548152"/>
        <w:rPr>
          <w:rFonts w:hint="eastAsia"/>
          <w:sz w:val="18"/>
          <w:szCs w:val="18"/>
        </w:rPr>
      </w:pPr>
      <w:r>
        <w:rPr>
          <w:rFonts w:hint="eastAsia"/>
          <w:sz w:val="18"/>
          <w:szCs w:val="18"/>
        </w:rPr>
        <w:t>  公司会计年度自公历1月1日起至12月31日止。</w:t>
      </w:r>
    </w:p>
    <w:p w14:paraId="1BE300A3" w14:textId="77777777" w:rsidR="00632E5B" w:rsidRDefault="00107901">
      <w:pPr>
        <w:pStyle w:val="3"/>
        <w:spacing w:line="280" w:lineRule="exact"/>
        <w:jc w:val="left"/>
        <w:rPr>
          <w:rFonts w:ascii="宋体" w:hAnsi="宋体" w:cs="宋体" w:hint="eastAsia"/>
          <w:b/>
          <w:bCs/>
        </w:rPr>
      </w:pPr>
      <w:bookmarkStart w:id="165" w:name="_Toc989054"/>
      <w:r>
        <w:rPr>
          <w:rFonts w:ascii="宋体" w:hAnsi="宋体" w:cs="宋体"/>
          <w:b/>
          <w:bCs/>
        </w:rPr>
        <w:t>3、营业周期</w:t>
      </w:r>
      <w:bookmarkEnd w:id="165"/>
    </w:p>
    <w:p w14:paraId="6E9C2329" w14:textId="77777777" w:rsidR="00E72F0C" w:rsidRDefault="00107901">
      <w:pPr>
        <w:pStyle w:val="a3"/>
        <w:divId w:val="1314212453"/>
        <w:rPr>
          <w:rFonts w:hint="eastAsia"/>
          <w:sz w:val="18"/>
          <w:szCs w:val="18"/>
        </w:rPr>
      </w:pPr>
      <w:r>
        <w:rPr>
          <w:rFonts w:hint="eastAsia"/>
          <w:sz w:val="18"/>
          <w:szCs w:val="18"/>
        </w:rPr>
        <w:t>  本公司营业周期为12个月。</w:t>
      </w:r>
    </w:p>
    <w:p w14:paraId="76FDD3B4" w14:textId="77777777" w:rsidR="00632E5B" w:rsidRDefault="00107901">
      <w:pPr>
        <w:pStyle w:val="3"/>
        <w:spacing w:line="280" w:lineRule="exact"/>
        <w:jc w:val="left"/>
        <w:rPr>
          <w:rFonts w:ascii="宋体" w:hAnsi="宋体" w:cs="宋体" w:hint="eastAsia"/>
          <w:b/>
          <w:bCs/>
        </w:rPr>
      </w:pPr>
      <w:bookmarkStart w:id="166" w:name="_Toc989055"/>
      <w:r>
        <w:rPr>
          <w:rFonts w:ascii="宋体" w:hAnsi="宋体" w:cs="宋体"/>
          <w:b/>
          <w:bCs/>
        </w:rPr>
        <w:t>4、记账本位币</w:t>
      </w:r>
      <w:bookmarkEnd w:id="166"/>
    </w:p>
    <w:p w14:paraId="02AF8B51" w14:textId="77777777" w:rsidR="00E72F0C" w:rsidRDefault="00107901">
      <w:pPr>
        <w:pStyle w:val="a3"/>
        <w:divId w:val="895893352"/>
        <w:rPr>
          <w:rFonts w:hint="eastAsia"/>
          <w:sz w:val="18"/>
          <w:szCs w:val="18"/>
        </w:rPr>
      </w:pPr>
      <w:r>
        <w:rPr>
          <w:rFonts w:hint="eastAsia"/>
          <w:sz w:val="18"/>
          <w:szCs w:val="18"/>
        </w:rPr>
        <w:t>  公司以人民币为记账本位币。</w:t>
      </w:r>
    </w:p>
    <w:p w14:paraId="23805DB2" w14:textId="77777777" w:rsidR="00632E5B" w:rsidRDefault="00107901">
      <w:pPr>
        <w:pStyle w:val="3"/>
        <w:spacing w:line="280" w:lineRule="exact"/>
        <w:jc w:val="left"/>
        <w:rPr>
          <w:rFonts w:ascii="宋体" w:hAnsi="宋体" w:cs="宋体" w:hint="eastAsia"/>
          <w:b/>
          <w:bCs/>
        </w:rPr>
      </w:pPr>
      <w:bookmarkStart w:id="167" w:name="_Toc989056"/>
      <w:r>
        <w:rPr>
          <w:rFonts w:ascii="宋体" w:hAnsi="宋体" w:cs="宋体"/>
          <w:b/>
          <w:bCs/>
        </w:rPr>
        <w:t>5、重要性标准确定方法和选择依据</w:t>
      </w:r>
      <w:bookmarkEnd w:id="167"/>
    </w:p>
    <w:p w14:paraId="0E974325"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4820"/>
        <w:gridCol w:w="4819"/>
      </w:tblGrid>
      <w:tr w:rsidR="00632E5B" w14:paraId="06D2DC1A" w14:textId="77777777" w:rsidTr="004A771F">
        <w:trPr>
          <w:trHeight w:val="240"/>
        </w:trPr>
        <w:tc>
          <w:tcPr>
            <w:tcW w:w="4820" w:type="dxa"/>
            <w:shd w:val="clear" w:color="auto" w:fill="FFFFFF" w:themeFill="background1"/>
            <w:vAlign w:val="center"/>
          </w:tcPr>
          <w:p w14:paraId="5BF7A5E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4820" w:type="dxa"/>
            <w:shd w:val="clear" w:color="auto" w:fill="FFFFFF" w:themeFill="background1"/>
            <w:vAlign w:val="center"/>
          </w:tcPr>
          <w:p w14:paraId="46A36E7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重要性标准</w:t>
            </w:r>
          </w:p>
        </w:tc>
      </w:tr>
      <w:tr w:rsidR="00632E5B" w14:paraId="2179FEA3" w14:textId="77777777" w:rsidTr="004A771F">
        <w:trPr>
          <w:trHeight w:val="240"/>
        </w:trPr>
        <w:tc>
          <w:tcPr>
            <w:tcW w:w="4820" w:type="dxa"/>
            <w:shd w:val="clear" w:color="auto" w:fill="FFFFFF" w:themeFill="background1"/>
            <w:vAlign w:val="center"/>
          </w:tcPr>
          <w:p w14:paraId="62527C6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项目</w:t>
            </w:r>
          </w:p>
        </w:tc>
        <w:tc>
          <w:tcPr>
            <w:tcW w:w="4820" w:type="dxa"/>
            <w:shd w:val="clear" w:color="auto" w:fill="FFFFFF" w:themeFill="background1"/>
            <w:vAlign w:val="center"/>
          </w:tcPr>
          <w:p w14:paraId="117A722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重要性标准</w:t>
            </w:r>
          </w:p>
        </w:tc>
      </w:tr>
      <w:tr w:rsidR="00632E5B" w14:paraId="043C8829" w14:textId="77777777" w:rsidTr="004A771F">
        <w:trPr>
          <w:trHeight w:val="240"/>
        </w:trPr>
        <w:tc>
          <w:tcPr>
            <w:tcW w:w="4820" w:type="dxa"/>
            <w:shd w:val="clear" w:color="auto" w:fill="FFFFFF" w:themeFill="background1"/>
            <w:vAlign w:val="center"/>
          </w:tcPr>
          <w:p w14:paraId="602A7D1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重要的单项计提坏账准备的应收款项</w:t>
            </w:r>
          </w:p>
        </w:tc>
        <w:tc>
          <w:tcPr>
            <w:tcW w:w="4820" w:type="dxa"/>
            <w:shd w:val="clear" w:color="auto" w:fill="FFFFFF" w:themeFill="background1"/>
            <w:vAlign w:val="center"/>
          </w:tcPr>
          <w:p w14:paraId="590DDF4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金额≥1000万元人民币或占应收款项期末余额5%以上</w:t>
            </w:r>
          </w:p>
        </w:tc>
      </w:tr>
      <w:tr w:rsidR="00632E5B" w14:paraId="54C527E5" w14:textId="77777777" w:rsidTr="004A771F">
        <w:trPr>
          <w:trHeight w:val="240"/>
        </w:trPr>
        <w:tc>
          <w:tcPr>
            <w:tcW w:w="4820" w:type="dxa"/>
            <w:shd w:val="clear" w:color="auto" w:fill="FFFFFF" w:themeFill="background1"/>
            <w:vAlign w:val="center"/>
          </w:tcPr>
          <w:p w14:paraId="214031B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应收款项本期坏账准备收回或转回金额重要的</w:t>
            </w:r>
          </w:p>
        </w:tc>
        <w:tc>
          <w:tcPr>
            <w:tcW w:w="4820" w:type="dxa"/>
            <w:shd w:val="clear" w:color="auto" w:fill="FFFFFF" w:themeFill="background1"/>
            <w:vAlign w:val="center"/>
          </w:tcPr>
          <w:p w14:paraId="36BEE78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金额≥1000万元人民币且占本期坏账准备收回或转回金额5%以上</w:t>
            </w:r>
          </w:p>
        </w:tc>
      </w:tr>
      <w:tr w:rsidR="00632E5B" w14:paraId="4664174B" w14:textId="77777777" w:rsidTr="004A771F">
        <w:trPr>
          <w:trHeight w:val="240"/>
        </w:trPr>
        <w:tc>
          <w:tcPr>
            <w:tcW w:w="4820" w:type="dxa"/>
            <w:shd w:val="clear" w:color="auto" w:fill="FFFFFF" w:themeFill="background1"/>
            <w:vAlign w:val="center"/>
          </w:tcPr>
          <w:p w14:paraId="2A984DB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本期重要的应收款项核销</w:t>
            </w:r>
          </w:p>
        </w:tc>
        <w:tc>
          <w:tcPr>
            <w:tcW w:w="4820" w:type="dxa"/>
            <w:shd w:val="clear" w:color="auto" w:fill="FFFFFF" w:themeFill="background1"/>
            <w:vAlign w:val="center"/>
          </w:tcPr>
          <w:p w14:paraId="2FEA30E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金额≥1000万元人民币且占本期应收款项核销金额的5%以上</w:t>
            </w:r>
          </w:p>
        </w:tc>
      </w:tr>
      <w:tr w:rsidR="00632E5B" w14:paraId="48AA77CC" w14:textId="77777777" w:rsidTr="004A771F">
        <w:trPr>
          <w:trHeight w:val="240"/>
        </w:trPr>
        <w:tc>
          <w:tcPr>
            <w:tcW w:w="4820" w:type="dxa"/>
            <w:shd w:val="clear" w:color="auto" w:fill="FFFFFF" w:themeFill="background1"/>
            <w:vAlign w:val="center"/>
          </w:tcPr>
          <w:p w14:paraId="08DE634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重要预付款项/预收款项/应付账款/合同负债/其他应付款</w:t>
            </w:r>
          </w:p>
        </w:tc>
        <w:tc>
          <w:tcPr>
            <w:tcW w:w="4820" w:type="dxa"/>
            <w:shd w:val="clear" w:color="auto" w:fill="FFFFFF" w:themeFill="background1"/>
            <w:vAlign w:val="center"/>
          </w:tcPr>
          <w:p w14:paraId="5692614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金额≥1000万元人民币</w:t>
            </w:r>
          </w:p>
        </w:tc>
      </w:tr>
      <w:tr w:rsidR="00632E5B" w14:paraId="10EFFBE6" w14:textId="77777777" w:rsidTr="004A771F">
        <w:trPr>
          <w:trHeight w:val="240"/>
        </w:trPr>
        <w:tc>
          <w:tcPr>
            <w:tcW w:w="4820" w:type="dxa"/>
            <w:shd w:val="clear" w:color="auto" w:fill="FFFFFF" w:themeFill="background1"/>
            <w:vAlign w:val="center"/>
          </w:tcPr>
          <w:p w14:paraId="4EC29DE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重要的已逾期未偿还的短期借款</w:t>
            </w:r>
          </w:p>
        </w:tc>
        <w:tc>
          <w:tcPr>
            <w:tcW w:w="4820" w:type="dxa"/>
            <w:shd w:val="clear" w:color="auto" w:fill="FFFFFF" w:themeFill="background1"/>
            <w:vAlign w:val="center"/>
          </w:tcPr>
          <w:p w14:paraId="1B2FB99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金额≥1000万元人民币</w:t>
            </w:r>
          </w:p>
        </w:tc>
      </w:tr>
      <w:tr w:rsidR="00632E5B" w14:paraId="2DFF584B" w14:textId="77777777" w:rsidTr="004A771F">
        <w:trPr>
          <w:trHeight w:val="240"/>
        </w:trPr>
        <w:tc>
          <w:tcPr>
            <w:tcW w:w="4820" w:type="dxa"/>
            <w:shd w:val="clear" w:color="auto" w:fill="FFFFFF" w:themeFill="background1"/>
            <w:vAlign w:val="center"/>
          </w:tcPr>
          <w:p w14:paraId="619F6DC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重要的已逾期未支付利息（应付利息）</w:t>
            </w:r>
          </w:p>
        </w:tc>
        <w:tc>
          <w:tcPr>
            <w:tcW w:w="4820" w:type="dxa"/>
            <w:shd w:val="clear" w:color="auto" w:fill="FFFFFF" w:themeFill="background1"/>
            <w:vAlign w:val="center"/>
          </w:tcPr>
          <w:p w14:paraId="3C44947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金额≥1000万元人民币或占应付利息期末余额的5%以上</w:t>
            </w:r>
          </w:p>
        </w:tc>
      </w:tr>
      <w:tr w:rsidR="00632E5B" w14:paraId="26E52DB7" w14:textId="77777777" w:rsidTr="004A771F">
        <w:trPr>
          <w:trHeight w:val="240"/>
        </w:trPr>
        <w:tc>
          <w:tcPr>
            <w:tcW w:w="4820" w:type="dxa"/>
            <w:shd w:val="clear" w:color="auto" w:fill="FFFFFF" w:themeFill="background1"/>
            <w:vAlign w:val="center"/>
          </w:tcPr>
          <w:p w14:paraId="37EAF34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重要的投资活动</w:t>
            </w:r>
          </w:p>
        </w:tc>
        <w:tc>
          <w:tcPr>
            <w:tcW w:w="4820" w:type="dxa"/>
            <w:shd w:val="clear" w:color="auto" w:fill="FFFFFF" w:themeFill="background1"/>
            <w:vAlign w:val="center"/>
          </w:tcPr>
          <w:p w14:paraId="4B8420A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金额≥1000万元人民币</w:t>
            </w:r>
          </w:p>
        </w:tc>
      </w:tr>
      <w:tr w:rsidR="00632E5B" w14:paraId="2BCE1E15" w14:textId="77777777" w:rsidTr="004A771F">
        <w:trPr>
          <w:trHeight w:val="240"/>
        </w:trPr>
        <w:tc>
          <w:tcPr>
            <w:tcW w:w="4820" w:type="dxa"/>
            <w:shd w:val="clear" w:color="auto" w:fill="FFFFFF" w:themeFill="background1"/>
            <w:vAlign w:val="center"/>
          </w:tcPr>
          <w:p w14:paraId="41177BC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重要的在建工程</w:t>
            </w:r>
          </w:p>
        </w:tc>
        <w:tc>
          <w:tcPr>
            <w:tcW w:w="4820" w:type="dxa"/>
            <w:shd w:val="clear" w:color="auto" w:fill="FFFFFF" w:themeFill="background1"/>
            <w:vAlign w:val="center"/>
          </w:tcPr>
          <w:p w14:paraId="3CF55BC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预算金额≥1000万元人民币，或占期末在建工程账面余额的5%以上</w:t>
            </w:r>
          </w:p>
        </w:tc>
      </w:tr>
      <w:tr w:rsidR="00632E5B" w14:paraId="079ECA45" w14:textId="77777777" w:rsidTr="004A771F">
        <w:trPr>
          <w:trHeight w:val="240"/>
        </w:trPr>
        <w:tc>
          <w:tcPr>
            <w:tcW w:w="4820" w:type="dxa"/>
            <w:shd w:val="clear" w:color="auto" w:fill="FFFFFF" w:themeFill="background1"/>
            <w:vAlign w:val="center"/>
          </w:tcPr>
          <w:p w14:paraId="1D64E81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重要的非全资子公司</w:t>
            </w:r>
          </w:p>
        </w:tc>
        <w:tc>
          <w:tcPr>
            <w:tcW w:w="4820" w:type="dxa"/>
            <w:shd w:val="clear" w:color="auto" w:fill="FFFFFF" w:themeFill="background1"/>
            <w:vAlign w:val="center"/>
          </w:tcPr>
          <w:p w14:paraId="432899B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收入总额或资产总额超过合并总收入或合并报表资产总额15%的子公司。</w:t>
            </w:r>
          </w:p>
        </w:tc>
      </w:tr>
      <w:tr w:rsidR="00632E5B" w14:paraId="01D3AAFA" w14:textId="77777777" w:rsidTr="004A771F">
        <w:trPr>
          <w:trHeight w:val="240"/>
        </w:trPr>
        <w:tc>
          <w:tcPr>
            <w:tcW w:w="4820" w:type="dxa"/>
            <w:shd w:val="clear" w:color="auto" w:fill="FFFFFF" w:themeFill="background1"/>
            <w:vAlign w:val="center"/>
          </w:tcPr>
          <w:p w14:paraId="71C26E0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重要的合营企业或联营企业</w:t>
            </w:r>
          </w:p>
        </w:tc>
        <w:tc>
          <w:tcPr>
            <w:tcW w:w="4820" w:type="dxa"/>
            <w:shd w:val="clear" w:color="auto" w:fill="FFFFFF" w:themeFill="background1"/>
            <w:vAlign w:val="center"/>
          </w:tcPr>
          <w:p w14:paraId="4B045F9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账面价值占合并资产总额5%以上，或投资收益（损失以绝对值计算）占合并净利润10%以上的企业。</w:t>
            </w:r>
          </w:p>
        </w:tc>
      </w:tr>
    </w:tbl>
    <w:p w14:paraId="3052F61D" w14:textId="77777777" w:rsidR="00632E5B" w:rsidRDefault="00107901">
      <w:pPr>
        <w:pStyle w:val="3"/>
        <w:spacing w:line="280" w:lineRule="exact"/>
        <w:jc w:val="left"/>
        <w:rPr>
          <w:rFonts w:ascii="宋体" w:hAnsi="宋体" w:cs="宋体" w:hint="eastAsia"/>
          <w:b/>
          <w:bCs/>
        </w:rPr>
      </w:pPr>
      <w:bookmarkStart w:id="168" w:name="_Toc989057"/>
      <w:r>
        <w:rPr>
          <w:rFonts w:ascii="宋体" w:hAnsi="宋体" w:cs="宋体"/>
          <w:b/>
          <w:bCs/>
        </w:rPr>
        <w:t>6、同一控制下和非同一控制下企业合并的会计处理方法</w:t>
      </w:r>
      <w:bookmarkEnd w:id="168"/>
    </w:p>
    <w:p w14:paraId="79B88057" w14:textId="77777777" w:rsidR="00E72F0C" w:rsidRDefault="00107901">
      <w:pPr>
        <w:pStyle w:val="a3"/>
        <w:divId w:val="340161323"/>
        <w:rPr>
          <w:rFonts w:hint="eastAsia"/>
          <w:sz w:val="18"/>
          <w:szCs w:val="18"/>
        </w:rPr>
      </w:pPr>
      <w:r>
        <w:rPr>
          <w:rFonts w:hint="eastAsia"/>
          <w:sz w:val="18"/>
          <w:szCs w:val="18"/>
        </w:rPr>
        <w:t>（一）同一控制下企业合并的会计处理方法</w:t>
      </w:r>
      <w:r>
        <w:rPr>
          <w:rFonts w:hint="eastAsia"/>
          <w:sz w:val="18"/>
          <w:szCs w:val="18"/>
        </w:rPr>
        <w:br/>
        <w:t>  公司对同一控制下的企业合并采用权益结合法进行会计处理。</w:t>
      </w:r>
      <w:r>
        <w:rPr>
          <w:rFonts w:hint="eastAsia"/>
          <w:sz w:val="18"/>
          <w:szCs w:val="18"/>
        </w:rPr>
        <w:br/>
        <w:t>  在合并日，公司对同一控制下的企业合并中取得的资产和负债，按照在被合并方资产与负债在最终控制方合并财务报表中的账面价值计量；根据合并后享有被合并方所有者权益在最终控制方合并财务报表中的账面价值的份额作为个别财务报表中长期股权投资的初始投资成本。长期股权投资的初始投资成本与支付合并对价（包括支付的现金、转让的非现金资产、所发生或承担的债务账面价值或发行股份的面值总额）之间的差额，调整资本公积（股本溢价或资本溢价）；资本公积（股本溢价或资本溢价）的余额不足冲减的，依次冲减盈余公积和未分配利润。</w:t>
      </w:r>
      <w:r>
        <w:rPr>
          <w:rFonts w:hint="eastAsia"/>
          <w:sz w:val="18"/>
          <w:szCs w:val="18"/>
        </w:rPr>
        <w:br/>
        <w:t>（二）非同一控制下企业合并的会计处理方法</w:t>
      </w:r>
      <w:r>
        <w:rPr>
          <w:rFonts w:hint="eastAsia"/>
          <w:sz w:val="18"/>
          <w:szCs w:val="18"/>
        </w:rPr>
        <w:br/>
        <w:t>  公司对非同一控制下的企业合并采用购买法进行会计处理。</w:t>
      </w:r>
      <w:r>
        <w:rPr>
          <w:rFonts w:hint="eastAsia"/>
          <w:sz w:val="18"/>
          <w:szCs w:val="18"/>
        </w:rPr>
        <w:br/>
        <w:t>  1.公司对非同一控制下的企业合并中取得的各项可辨认资产、负债及或有负债以公允价值计量。以公司在购买日作为合并对价付出的资产、发生或承担的负债以及发行的权益性证券的公允价值为计量基础，其公允价值与账面价值的差额计入当期损益。</w:t>
      </w:r>
      <w:r>
        <w:rPr>
          <w:rFonts w:hint="eastAsia"/>
          <w:sz w:val="18"/>
          <w:szCs w:val="18"/>
        </w:rPr>
        <w:br/>
        <w:t>  2.合并成本分别以下情况确定：</w:t>
      </w:r>
      <w:r>
        <w:rPr>
          <w:rFonts w:hint="eastAsia"/>
          <w:sz w:val="18"/>
          <w:szCs w:val="18"/>
        </w:rPr>
        <w:br/>
        <w:t>  （1）一次交易实现的企业合并，合并成本以公司在购买日为取得对被购买方的控制权而付出的资产、发生或承担的负</w:t>
      </w:r>
      <w:r>
        <w:rPr>
          <w:rFonts w:hint="eastAsia"/>
          <w:sz w:val="18"/>
          <w:szCs w:val="18"/>
        </w:rPr>
        <w:lastRenderedPageBreak/>
        <w:t>债以及发行的权益性证券的公允价值与符合确认条件的或有对价之和确定。合并成本为该项长期股权投资的初始投资成本。</w:t>
      </w:r>
      <w:r>
        <w:rPr>
          <w:rFonts w:hint="eastAsia"/>
          <w:sz w:val="18"/>
          <w:szCs w:val="18"/>
        </w:rPr>
        <w:br/>
        <w:t>  （2）通过多次交换交易分步实现的企业合并，合并成本为购买日之前持有股权投资在购买日按照公允价值重新计量的金额与购买日新增投资投资成本之和。个别财务报表的的长期股权投资为购买日之前持有股权投资的账面价值与购买日新增投资成本之和。一揽子交易除外。</w:t>
      </w:r>
      <w:r>
        <w:rPr>
          <w:rFonts w:hint="eastAsia"/>
          <w:sz w:val="18"/>
          <w:szCs w:val="18"/>
        </w:rPr>
        <w:br/>
        <w:t>  3.公司在购买日对合并成本在取得的可辨认资产和负债之间进行分配。</w:t>
      </w:r>
      <w:r>
        <w:rPr>
          <w:rFonts w:hint="eastAsia"/>
          <w:sz w:val="18"/>
          <w:szCs w:val="18"/>
        </w:rPr>
        <w:br/>
        <w:t>  （1）公司在企业合并中取得的被购买方除无形资产以外的其他各项资产（不仅限于被购买方原已确认的资产），其所带来的未来经济利益预期能够流入公司且公允价值能够可靠计量的，单独确认并按公允价值计量。</w:t>
      </w:r>
      <w:r>
        <w:rPr>
          <w:rFonts w:hint="eastAsia"/>
          <w:sz w:val="18"/>
          <w:szCs w:val="18"/>
        </w:rPr>
        <w:br/>
        <w:t>  （2）公司在企业合并中取得的被购买方的无形资产，其公允价值能够可靠计量的，单独确认并按公允价值计量。</w:t>
      </w:r>
      <w:r>
        <w:rPr>
          <w:rFonts w:hint="eastAsia"/>
          <w:sz w:val="18"/>
          <w:szCs w:val="18"/>
        </w:rPr>
        <w:br/>
        <w:t>  （3）公司在企业合并中取得的被购买方除或有负债以外的其他各项负债，履行有关的义务预期会导致经济利益流出公司且公允价值能够可靠计量的，单独确认并按公允价值计量。</w:t>
      </w:r>
      <w:r>
        <w:rPr>
          <w:rFonts w:hint="eastAsia"/>
          <w:sz w:val="18"/>
          <w:szCs w:val="18"/>
        </w:rPr>
        <w:br/>
        <w:t>  （4）公司在企业合并中取得的被购买方的或有负债，其公允价值能够可靠计量的，单独确认为负债并按公允价值计量。</w:t>
      </w:r>
      <w:r>
        <w:rPr>
          <w:rFonts w:hint="eastAsia"/>
          <w:sz w:val="18"/>
          <w:szCs w:val="18"/>
        </w:rPr>
        <w:br/>
        <w:t>  （5）公司在对企业合并成本进行分配、确认合并中取得可辨认资产和负债时，不予考虑被购买方在企业合并之前已经确认的商誉和递延所得税项目。</w:t>
      </w:r>
      <w:r>
        <w:rPr>
          <w:rFonts w:hint="eastAsia"/>
          <w:sz w:val="18"/>
          <w:szCs w:val="18"/>
        </w:rPr>
        <w:br/>
        <w:t>  4.企业合并成本与合并中取得的被购买方可辨认净资产公允价值份额之间差额的处理</w:t>
      </w:r>
      <w:r>
        <w:rPr>
          <w:rFonts w:hint="eastAsia"/>
          <w:sz w:val="18"/>
          <w:szCs w:val="18"/>
        </w:rPr>
        <w:br/>
        <w:t>  （1）公司对合并成本大于合并中取得的被购买方可辨认净资产公允价值份额的差额，确认为商誉。</w:t>
      </w:r>
      <w:r>
        <w:rPr>
          <w:rFonts w:hint="eastAsia"/>
          <w:sz w:val="18"/>
          <w:szCs w:val="18"/>
        </w:rPr>
        <w:br/>
        <w:t>  （2）公司对合并成本小于合并中取得的被购买方可辨认净资产公允价值份额的差额，按照下列规定处理：</w:t>
      </w:r>
      <w:r>
        <w:rPr>
          <w:rFonts w:hint="eastAsia"/>
          <w:sz w:val="18"/>
          <w:szCs w:val="18"/>
        </w:rPr>
        <w:br/>
        <w:t>   ①对取得的被购买方各项可辨认资产、负债及或有负债的公允价值以及合并成本的计量进行复核；</w:t>
      </w:r>
      <w:r>
        <w:rPr>
          <w:rFonts w:hint="eastAsia"/>
          <w:sz w:val="18"/>
          <w:szCs w:val="18"/>
        </w:rPr>
        <w:br/>
        <w:t>   ②经复核后合并成本仍小于合并中取得的被购买方可辨认净资产公允价值份额的，其差额计入当期损益。</w:t>
      </w:r>
      <w:r>
        <w:rPr>
          <w:rFonts w:hint="eastAsia"/>
          <w:sz w:val="18"/>
          <w:szCs w:val="18"/>
        </w:rPr>
        <w:br/>
        <w:t>（三）公司为进行企业合并而发生的有关费用的处理</w:t>
      </w:r>
      <w:r>
        <w:rPr>
          <w:rFonts w:hint="eastAsia"/>
          <w:sz w:val="18"/>
          <w:szCs w:val="18"/>
        </w:rPr>
        <w:br/>
        <w:t>  1.公司为进行企业合并而发生的各项直接相关费用（包括为企业合并发生的审计、法律服务、评估咨询等中介费用以及其他相关管理费用等），于发生时计入当期损益。</w:t>
      </w:r>
      <w:r>
        <w:rPr>
          <w:rFonts w:hint="eastAsia"/>
          <w:sz w:val="18"/>
          <w:szCs w:val="18"/>
        </w:rPr>
        <w:br/>
        <w:t>  2.公司为企业合并而发行债务性证券支付的佣金、手续费等交易费用，计入债务性证券的初始计量金额。</w:t>
      </w:r>
      <w:r>
        <w:rPr>
          <w:rFonts w:hint="eastAsia"/>
          <w:sz w:val="18"/>
          <w:szCs w:val="18"/>
        </w:rPr>
        <w:br/>
        <w:t>  （1）债券如为折价或面值发行的，该部分费用增加折价的金额；</w:t>
      </w:r>
      <w:r>
        <w:rPr>
          <w:rFonts w:hint="eastAsia"/>
          <w:sz w:val="18"/>
          <w:szCs w:val="18"/>
        </w:rPr>
        <w:br/>
        <w:t>  （2）债券如为溢价发行的，该部分费用减少溢价的金额。</w:t>
      </w:r>
      <w:r>
        <w:rPr>
          <w:rFonts w:hint="eastAsia"/>
          <w:sz w:val="18"/>
          <w:szCs w:val="18"/>
        </w:rPr>
        <w:br/>
        <w:t>  3.公司在合并中作为合并对价发行的权益性证券发生的佣金、手续费等交易费用，计入权益性证券的初始计量金额。</w:t>
      </w:r>
      <w:r>
        <w:rPr>
          <w:rFonts w:hint="eastAsia"/>
          <w:sz w:val="18"/>
          <w:szCs w:val="18"/>
        </w:rPr>
        <w:br/>
        <w:t>  （1）在溢价发行权益性证券的情况下，该部分费用从资本公积（股本溢价）中扣除；</w:t>
      </w:r>
      <w:r>
        <w:rPr>
          <w:rFonts w:hint="eastAsia"/>
          <w:sz w:val="18"/>
          <w:szCs w:val="18"/>
        </w:rPr>
        <w:br/>
        <w:t>  （2）在面值或折价发行权益性证券的情况下，该部分费用冲减留存收益。</w:t>
      </w:r>
    </w:p>
    <w:p w14:paraId="3620773A" w14:textId="77777777" w:rsidR="00632E5B" w:rsidRDefault="00107901">
      <w:pPr>
        <w:pStyle w:val="3"/>
        <w:spacing w:line="280" w:lineRule="exact"/>
        <w:jc w:val="left"/>
        <w:rPr>
          <w:rFonts w:ascii="宋体" w:hAnsi="宋体" w:cs="宋体" w:hint="eastAsia"/>
          <w:b/>
          <w:bCs/>
        </w:rPr>
      </w:pPr>
      <w:bookmarkStart w:id="169" w:name="_Toc989058"/>
      <w:r>
        <w:rPr>
          <w:rFonts w:ascii="宋体" w:hAnsi="宋体" w:cs="宋体"/>
          <w:b/>
          <w:bCs/>
        </w:rPr>
        <w:t>7、控制的判断标准和合并财务报表的编制方法</w:t>
      </w:r>
      <w:bookmarkEnd w:id="169"/>
    </w:p>
    <w:p w14:paraId="168ABC06" w14:textId="77777777" w:rsidR="00E72F0C" w:rsidRDefault="00107901" w:rsidP="00091EA9">
      <w:pPr>
        <w:pStyle w:val="a3"/>
        <w:spacing w:before="0" w:beforeAutospacing="0" w:after="0" w:afterAutospacing="0"/>
        <w:divId w:val="1921523894"/>
        <w:rPr>
          <w:rFonts w:hint="eastAsia"/>
          <w:sz w:val="18"/>
          <w:szCs w:val="18"/>
        </w:rPr>
      </w:pPr>
      <w:r>
        <w:rPr>
          <w:rFonts w:hint="eastAsia"/>
          <w:sz w:val="18"/>
          <w:szCs w:val="18"/>
        </w:rPr>
        <w:t>（一）控制的判断标准</w:t>
      </w:r>
      <w:r>
        <w:rPr>
          <w:rFonts w:hint="eastAsia"/>
          <w:sz w:val="18"/>
          <w:szCs w:val="18"/>
        </w:rPr>
        <w:br/>
        <w:t>  合并财务报表的合并范围以控制为基础予以确定。控制，是指投资方拥有对被投资方的权力，通过参与被投资方的相关活动而享有可变回报，并且有能力运用对被投资方的权力影响其回报金额。当相关事实和情况的变化导致对控制定义所涉及的相关要素发生变化时，公司将进行重新评估。</w:t>
      </w:r>
      <w:r>
        <w:rPr>
          <w:rFonts w:hint="eastAsia"/>
          <w:sz w:val="18"/>
          <w:szCs w:val="18"/>
        </w:rPr>
        <w:br/>
        <w:t>（二）合并财务报表的编制基础</w:t>
      </w:r>
      <w:r>
        <w:rPr>
          <w:rFonts w:hint="eastAsia"/>
          <w:sz w:val="18"/>
          <w:szCs w:val="18"/>
        </w:rPr>
        <w:br/>
        <w:t>  1.统一会计政策和会计期间</w:t>
      </w:r>
      <w:r>
        <w:rPr>
          <w:rFonts w:hint="eastAsia"/>
          <w:sz w:val="18"/>
          <w:szCs w:val="18"/>
        </w:rPr>
        <w:br/>
        <w:t>  所有纳入合并财务报表合并范围的子公司所采用的会计政策、会计期间与公司一致，如子公司采用的会计政策、会计期间与公司不一致的，在编制合并财务报表时，按照公司的会计政策、会计期间进行必要的调整。</w:t>
      </w:r>
      <w:r>
        <w:rPr>
          <w:rFonts w:hint="eastAsia"/>
          <w:sz w:val="18"/>
          <w:szCs w:val="18"/>
        </w:rPr>
        <w:br/>
        <w:t>  2.合并财务报表的编制方法</w:t>
      </w:r>
      <w:r>
        <w:rPr>
          <w:rFonts w:hint="eastAsia"/>
          <w:sz w:val="18"/>
          <w:szCs w:val="18"/>
        </w:rPr>
        <w:br/>
        <w:t>  合并财务报表以公司及其子公司的财务报表为基础，根据其他有关资料，按照权益法调整对子公司的长期股权投资，抵销公司与子公司、子公司相互之间发生的内部交易对合并财务报表的影响后，由母公司编制。</w:t>
      </w:r>
      <w:r>
        <w:rPr>
          <w:rFonts w:hint="eastAsia"/>
          <w:sz w:val="18"/>
          <w:szCs w:val="18"/>
        </w:rPr>
        <w:br/>
        <w:t>  3.子公司发生超额亏损在合并财务报表中的反映</w:t>
      </w:r>
      <w:r>
        <w:rPr>
          <w:rFonts w:hint="eastAsia"/>
          <w:sz w:val="18"/>
          <w:szCs w:val="18"/>
        </w:rPr>
        <w:br/>
        <w:t>  在合并财务报表中，母公司分担的当期亏损超过了其在该子公司期初所有者权益中所享有的份额的，其余额冲减归属于</w:t>
      </w:r>
      <w:r>
        <w:rPr>
          <w:rFonts w:hint="eastAsia"/>
          <w:sz w:val="18"/>
          <w:szCs w:val="18"/>
        </w:rPr>
        <w:lastRenderedPageBreak/>
        <w:t>母公司的所有者权益（未分配利润）；子公司少数股东分担的当期亏损超过了少数股东在该子公司期初所有者权益中所享有的份额的，其余额继续冲减少数股东权益。</w:t>
      </w:r>
      <w:r>
        <w:rPr>
          <w:rFonts w:hint="eastAsia"/>
          <w:sz w:val="18"/>
          <w:szCs w:val="18"/>
        </w:rPr>
        <w:br/>
        <w:t>  4.报告期内增减子公司的处理</w:t>
      </w:r>
      <w:r>
        <w:rPr>
          <w:rFonts w:hint="eastAsia"/>
          <w:sz w:val="18"/>
          <w:szCs w:val="18"/>
        </w:rPr>
        <w:br/>
        <w:t>  （1）报告期内增加子公司的处理</w:t>
      </w:r>
      <w:r>
        <w:rPr>
          <w:rFonts w:hint="eastAsia"/>
          <w:sz w:val="18"/>
          <w:szCs w:val="18"/>
        </w:rPr>
        <w:br/>
        <w:t>   ①报告期内因同一控制下企业合并增加子公司的处理</w:t>
      </w:r>
      <w:r>
        <w:rPr>
          <w:rFonts w:hint="eastAsia"/>
          <w:sz w:val="18"/>
          <w:szCs w:val="18"/>
        </w:rPr>
        <w:br/>
        <w:t>  在报告期内，因同一控制下的企业合并而增加子公司的，调整合并资产负债表的期初数，将该子公司合并当期期初至报告期末的收入、费用、利润纳入合并利润表，将该子公司合并当期期初至报告期末的现金流量纳入合并现金流量表。</w:t>
      </w:r>
      <w:r>
        <w:rPr>
          <w:rFonts w:hint="eastAsia"/>
          <w:sz w:val="18"/>
          <w:szCs w:val="18"/>
        </w:rPr>
        <w:br/>
        <w:t>   ②报告期内因非同一控制下企业合并增加子公司的处理</w:t>
      </w:r>
      <w:r>
        <w:rPr>
          <w:rFonts w:hint="eastAsia"/>
          <w:sz w:val="18"/>
          <w:szCs w:val="18"/>
        </w:rPr>
        <w:br/>
        <w:t>  在报告期内，因非同一控制下的企业合并而增加子公司的，不调整合并资产负债表的期初数，将该子公司自购买日至报告期末的收入、费用、利润纳入合并利润表，将该子公司自购买日至报告期末的现金流量纳入合并现金流量表。</w:t>
      </w:r>
      <w:r>
        <w:rPr>
          <w:rFonts w:hint="eastAsia"/>
          <w:sz w:val="18"/>
          <w:szCs w:val="18"/>
        </w:rPr>
        <w:br/>
        <w:t>  （2）报告期内处置子公司的处理</w:t>
      </w:r>
      <w:r>
        <w:rPr>
          <w:rFonts w:hint="eastAsia"/>
          <w:sz w:val="18"/>
          <w:szCs w:val="18"/>
        </w:rPr>
        <w:br/>
        <w:t>  公司在报告期内处置子公司的，不调整合并资产负债表的期初数，将该子公司期初至处置日的收入、费用、利润纳入合并利润表，将该子公司期初至处置日的现金流量纳入合并现金流量表。</w:t>
      </w:r>
    </w:p>
    <w:p w14:paraId="635BDE63" w14:textId="77777777" w:rsidR="00632E5B" w:rsidRDefault="00107901">
      <w:pPr>
        <w:pStyle w:val="3"/>
        <w:spacing w:line="280" w:lineRule="exact"/>
        <w:jc w:val="left"/>
        <w:rPr>
          <w:rFonts w:ascii="宋体" w:hAnsi="宋体" w:cs="宋体" w:hint="eastAsia"/>
          <w:b/>
          <w:bCs/>
        </w:rPr>
      </w:pPr>
      <w:bookmarkStart w:id="170" w:name="_Toc989059"/>
      <w:r>
        <w:rPr>
          <w:rFonts w:ascii="宋体" w:hAnsi="宋体" w:cs="宋体"/>
          <w:b/>
          <w:bCs/>
        </w:rPr>
        <w:t>8、合营安排分类及共同经营会计处理方法</w:t>
      </w:r>
      <w:bookmarkEnd w:id="170"/>
    </w:p>
    <w:p w14:paraId="566F5C3F" w14:textId="77777777" w:rsidR="00E72F0C" w:rsidRDefault="00107901">
      <w:pPr>
        <w:pStyle w:val="a3"/>
        <w:divId w:val="1928490686"/>
        <w:rPr>
          <w:rFonts w:hint="eastAsia"/>
          <w:sz w:val="18"/>
          <w:szCs w:val="18"/>
        </w:rPr>
      </w:pPr>
      <w:r>
        <w:rPr>
          <w:rFonts w:hint="eastAsia"/>
          <w:sz w:val="18"/>
          <w:szCs w:val="18"/>
        </w:rPr>
        <w:t>（一）合营安排的分类</w:t>
      </w:r>
      <w:r>
        <w:rPr>
          <w:rFonts w:hint="eastAsia"/>
          <w:sz w:val="18"/>
          <w:szCs w:val="18"/>
        </w:rPr>
        <w:br/>
        <w:t>  合营安排分为共同经营和合营企业。共同经营，是指合营方享有该安排相关资产且承担该安排相关负债的合营安排；合营企业，是指合营方仅对该安排的净资产享有权利的合营安排。</w:t>
      </w:r>
      <w:r>
        <w:rPr>
          <w:rFonts w:hint="eastAsia"/>
          <w:sz w:val="18"/>
          <w:szCs w:val="18"/>
        </w:rPr>
        <w:br/>
        <w:t>  未通过单独主体达成的合营安排，划分为共同经营。单独主体，是指具有单独可辨认的财务架构的主体，包括单独的法人主体和不具备法人主体资格但法律认可的主体。</w:t>
      </w:r>
      <w:r>
        <w:rPr>
          <w:rFonts w:hint="eastAsia"/>
          <w:sz w:val="18"/>
          <w:szCs w:val="18"/>
        </w:rPr>
        <w:br/>
        <w:t xml:space="preserve">  通过单独主体达成的合营安排，通常划分为合营企业。但有确凿证据表明满足下列任一条件并且符合相关法律法规规定的合营安排应当划分为共同经营： </w:t>
      </w:r>
      <w:r>
        <w:rPr>
          <w:rFonts w:hint="eastAsia"/>
          <w:sz w:val="18"/>
          <w:szCs w:val="18"/>
        </w:rPr>
        <w:br/>
        <w:t xml:space="preserve">  1.合营安排的法律形式表明，合营方对该安排中的相关资产和负债分别享有权利和承担义务。 </w:t>
      </w:r>
      <w:r>
        <w:rPr>
          <w:rFonts w:hint="eastAsia"/>
          <w:sz w:val="18"/>
          <w:szCs w:val="18"/>
        </w:rPr>
        <w:br/>
        <w:t xml:space="preserve">  2.合营安排的合同条款约定，合营方对该安排中的相关资产和负债分别享有权利和承担义务。 </w:t>
      </w:r>
      <w:r>
        <w:rPr>
          <w:rFonts w:hint="eastAsia"/>
          <w:sz w:val="18"/>
          <w:szCs w:val="18"/>
        </w:rPr>
        <w:br/>
        <w:t>  3.其他相关事实和情况表明，合营方对该安排中的相关资产和负债分别享有权利和承担义务，如合营方享有与合营安排相关的几乎所有产出，并且该安排中负债的清偿持续依赖于合营方的支持。</w:t>
      </w:r>
      <w:r>
        <w:rPr>
          <w:rFonts w:hint="eastAsia"/>
          <w:sz w:val="18"/>
          <w:szCs w:val="18"/>
        </w:rPr>
        <w:br/>
        <w:t>（二）共同经营的会计处理</w:t>
      </w:r>
      <w:r>
        <w:rPr>
          <w:rFonts w:hint="eastAsia"/>
          <w:sz w:val="18"/>
          <w:szCs w:val="18"/>
        </w:rPr>
        <w:br/>
        <w:t xml:space="preserve">  合营方根据其在共同经营中利益份额确认相关的下列项目，并按照相关企业会计准则的规定进行会计处理： </w:t>
      </w:r>
      <w:r>
        <w:rPr>
          <w:rFonts w:hint="eastAsia"/>
          <w:sz w:val="18"/>
          <w:szCs w:val="18"/>
        </w:rPr>
        <w:br/>
        <w:t xml:space="preserve">  1.确认单独所持有的资产，以及按其份额确认共同持有的资产； </w:t>
      </w:r>
      <w:r>
        <w:rPr>
          <w:rFonts w:hint="eastAsia"/>
          <w:sz w:val="18"/>
          <w:szCs w:val="18"/>
        </w:rPr>
        <w:br/>
        <w:t xml:space="preserve">  2.确认单独所承担的负债，以及按其份额确认共同承担的负债； </w:t>
      </w:r>
      <w:r>
        <w:rPr>
          <w:rFonts w:hint="eastAsia"/>
          <w:sz w:val="18"/>
          <w:szCs w:val="18"/>
        </w:rPr>
        <w:br/>
        <w:t xml:space="preserve">  3.确认出售其享有的共同经营产出份额所产生的收入； </w:t>
      </w:r>
      <w:r>
        <w:rPr>
          <w:rFonts w:hint="eastAsia"/>
          <w:sz w:val="18"/>
          <w:szCs w:val="18"/>
        </w:rPr>
        <w:br/>
        <w:t xml:space="preserve">  4.按其份额确认共同经营因出售产出所产生的收入； </w:t>
      </w:r>
      <w:r>
        <w:rPr>
          <w:rFonts w:hint="eastAsia"/>
          <w:sz w:val="18"/>
          <w:szCs w:val="18"/>
        </w:rPr>
        <w:br/>
        <w:t>  5.确认单独所发生的费用，以及按其份额确认共同经营发生的费用。</w:t>
      </w:r>
    </w:p>
    <w:p w14:paraId="0932C664" w14:textId="77777777" w:rsidR="00632E5B" w:rsidRDefault="00107901">
      <w:pPr>
        <w:pStyle w:val="3"/>
        <w:spacing w:line="280" w:lineRule="exact"/>
        <w:jc w:val="left"/>
        <w:rPr>
          <w:rFonts w:ascii="宋体" w:hAnsi="宋体" w:cs="宋体" w:hint="eastAsia"/>
          <w:b/>
          <w:bCs/>
        </w:rPr>
      </w:pPr>
      <w:bookmarkStart w:id="171" w:name="_Toc989060"/>
      <w:r>
        <w:rPr>
          <w:rFonts w:ascii="宋体" w:hAnsi="宋体" w:cs="宋体"/>
          <w:b/>
          <w:bCs/>
        </w:rPr>
        <w:t>9、现金及现金等价物的确定标准</w:t>
      </w:r>
      <w:bookmarkEnd w:id="171"/>
    </w:p>
    <w:p w14:paraId="7BF19436" w14:textId="77777777" w:rsidR="00E72F0C" w:rsidRDefault="00107901" w:rsidP="00091EA9">
      <w:pPr>
        <w:pStyle w:val="a3"/>
        <w:spacing w:before="0" w:beforeAutospacing="0" w:after="0" w:afterAutospacing="0"/>
        <w:divId w:val="337734484"/>
        <w:rPr>
          <w:rFonts w:hint="eastAsia"/>
          <w:sz w:val="18"/>
          <w:szCs w:val="18"/>
        </w:rPr>
      </w:pPr>
      <w:r>
        <w:rPr>
          <w:rFonts w:hint="eastAsia"/>
          <w:sz w:val="18"/>
          <w:szCs w:val="18"/>
        </w:rPr>
        <w:t>  现金包括公司库存现金以及可以随时用于支付的银行存款和其他货币资金。</w:t>
      </w:r>
      <w:r>
        <w:rPr>
          <w:rFonts w:hint="eastAsia"/>
          <w:sz w:val="18"/>
          <w:szCs w:val="18"/>
        </w:rPr>
        <w:br/>
        <w:t>  公司将持有的期限短（自购买日起三个月内到期）、流动性强、易于转换为已知金额现金、价值变动风险很小的投资，确定为现金等价物</w:t>
      </w:r>
    </w:p>
    <w:p w14:paraId="7DCFCA0F" w14:textId="77777777" w:rsidR="00632E5B" w:rsidRDefault="00107901">
      <w:pPr>
        <w:pStyle w:val="3"/>
        <w:spacing w:line="280" w:lineRule="exact"/>
        <w:jc w:val="left"/>
        <w:rPr>
          <w:rFonts w:ascii="宋体" w:hAnsi="宋体" w:cs="宋体" w:hint="eastAsia"/>
          <w:b/>
          <w:bCs/>
        </w:rPr>
      </w:pPr>
      <w:bookmarkStart w:id="172" w:name="_Toc989061"/>
      <w:r>
        <w:rPr>
          <w:rFonts w:ascii="宋体" w:hAnsi="宋体" w:cs="宋体"/>
          <w:b/>
          <w:bCs/>
        </w:rPr>
        <w:t>10、外币业务和外币报表折算</w:t>
      </w:r>
      <w:bookmarkEnd w:id="172"/>
    </w:p>
    <w:p w14:paraId="278797C3" w14:textId="77777777" w:rsidR="00E72F0C" w:rsidRDefault="00107901">
      <w:pPr>
        <w:pStyle w:val="a3"/>
        <w:divId w:val="418521598"/>
        <w:rPr>
          <w:rFonts w:hint="eastAsia"/>
          <w:sz w:val="18"/>
          <w:szCs w:val="18"/>
        </w:rPr>
      </w:pPr>
      <w:r>
        <w:rPr>
          <w:rFonts w:hint="eastAsia"/>
          <w:sz w:val="18"/>
          <w:szCs w:val="18"/>
        </w:rPr>
        <w:t>（一）外币业务的核算方法</w:t>
      </w:r>
      <w:r>
        <w:rPr>
          <w:rFonts w:hint="eastAsia"/>
          <w:sz w:val="18"/>
          <w:szCs w:val="18"/>
        </w:rPr>
        <w:br/>
        <w:t>  1.外币交易的初始确认</w:t>
      </w:r>
      <w:r>
        <w:rPr>
          <w:rFonts w:hint="eastAsia"/>
          <w:sz w:val="18"/>
          <w:szCs w:val="18"/>
        </w:rPr>
        <w:br/>
      </w:r>
      <w:r>
        <w:rPr>
          <w:rFonts w:hint="eastAsia"/>
          <w:sz w:val="18"/>
          <w:szCs w:val="18"/>
        </w:rPr>
        <w:lastRenderedPageBreak/>
        <w:t>  对于发生的外币交易，公司均按照交易发生日中国人民银行公布的即期汇率（中间价）将外币金额折算为记账本位币金额。其中，对发生的外币兑换或涉及外币兑换的交易，公司按照交易发生日实际采用的汇率进行折算。</w:t>
      </w:r>
      <w:r>
        <w:rPr>
          <w:rFonts w:hint="eastAsia"/>
          <w:sz w:val="18"/>
          <w:szCs w:val="18"/>
        </w:rPr>
        <w:br/>
        <w:t>  2.资产负债表日或结算日的调整或结算</w:t>
      </w:r>
      <w:r>
        <w:rPr>
          <w:rFonts w:hint="eastAsia"/>
          <w:sz w:val="18"/>
          <w:szCs w:val="18"/>
        </w:rPr>
        <w:br/>
        <w:t>  资产负债表日或结算日，公司按照下列方法对外币货币性项目和外币非货币性项目分别进行处理：</w:t>
      </w:r>
      <w:r>
        <w:rPr>
          <w:rFonts w:hint="eastAsia"/>
          <w:sz w:val="18"/>
          <w:szCs w:val="18"/>
        </w:rPr>
        <w:br/>
        <w:t>  （1）外币货币性项目的会计处理原则</w:t>
      </w:r>
      <w:r>
        <w:rPr>
          <w:rFonts w:hint="eastAsia"/>
          <w:sz w:val="18"/>
          <w:szCs w:val="18"/>
        </w:rPr>
        <w:br/>
        <w:t>  对于外币货币性项目，在资产负债表日或结算日，公司采用资产负债表日或结算日的即期汇率（中间价）折算，对因汇率波动而产生的差额调整外币货币性项目的记账本位币金额，同时作为汇兑差额处理。其中，与购建或生产符合资本化条件的资产有关的外币借款产生的汇兑差额，计入符合资本化条件的资产的成本；其他汇兑差额，计入当期财务费用。</w:t>
      </w:r>
      <w:r>
        <w:rPr>
          <w:rFonts w:hint="eastAsia"/>
          <w:sz w:val="18"/>
          <w:szCs w:val="18"/>
        </w:rPr>
        <w:br/>
        <w:t>  （2）外币非货币性项目的会计处理原则</w:t>
      </w:r>
      <w:r>
        <w:rPr>
          <w:rFonts w:hint="eastAsia"/>
          <w:sz w:val="18"/>
          <w:szCs w:val="18"/>
        </w:rPr>
        <w:br/>
        <w:t>   ①对于以历史成本计量的外币非货币性项目，公司仍按照交易发生日的即期汇率（中间价）折算，不改变其记账本位币金额，不产生汇兑差额。</w:t>
      </w:r>
      <w:r>
        <w:rPr>
          <w:rFonts w:hint="eastAsia"/>
          <w:sz w:val="18"/>
          <w:szCs w:val="18"/>
        </w:rPr>
        <w:br/>
        <w:t>   ②对于以成本与可变现净值孰低计量的存货，如果其可变现净值以外币确定，则公司在确定存货的期末价值时，先将可变现净值按期末汇率折算为记账本位币金额，再与以记账本位币反映的存货成本进行比较。</w:t>
      </w:r>
      <w:r>
        <w:rPr>
          <w:rFonts w:hint="eastAsia"/>
          <w:sz w:val="18"/>
          <w:szCs w:val="18"/>
        </w:rPr>
        <w:br/>
        <w:t>   ③对于以公允价值计量的非货币性项目，如果期末的公允价值以外币反映，则公司先将该外币按照公允价值确定当日的即期汇率折算为记账本位币金额，再与原记账本位币金额进行比较，其差额作为公允价值变动（含汇率变动）损益，计入当期损益。</w:t>
      </w:r>
      <w:r>
        <w:rPr>
          <w:rFonts w:hint="eastAsia"/>
          <w:sz w:val="18"/>
          <w:szCs w:val="18"/>
        </w:rPr>
        <w:br/>
        <w:t>（二）外币报表折算的会计处理方法</w:t>
      </w:r>
      <w:r>
        <w:rPr>
          <w:rFonts w:hint="eastAsia"/>
          <w:sz w:val="18"/>
          <w:szCs w:val="18"/>
        </w:rPr>
        <w:br/>
        <w:t>  公司按照下列方法对境外经营的财务报表进行折算：</w:t>
      </w:r>
      <w:r>
        <w:rPr>
          <w:rFonts w:hint="eastAsia"/>
          <w:sz w:val="18"/>
          <w:szCs w:val="18"/>
        </w:rPr>
        <w:br/>
        <w:t>  （1）资产负债表中的资产和负债项目，采用资产负债表日的即期汇率折算，所有者权益项目除“未分配利润”项目外，其他项目采用发生时的即期汇率折算。</w:t>
      </w:r>
      <w:r>
        <w:rPr>
          <w:rFonts w:hint="eastAsia"/>
          <w:sz w:val="18"/>
          <w:szCs w:val="18"/>
        </w:rPr>
        <w:br/>
        <w:t>  （2）利润表中的收入和费用项目，采用交易发生日的即期汇率折算或者采用按照系统合理的方法确定的、与交易发生日即期汇率近似的汇率折算。</w:t>
      </w:r>
      <w:r>
        <w:rPr>
          <w:rFonts w:hint="eastAsia"/>
          <w:sz w:val="18"/>
          <w:szCs w:val="18"/>
        </w:rPr>
        <w:br/>
        <w:t>按照上述方法折算产生的外币财务报表折算差额，在合并资产负债表中所有者权益项目的“其他综合收益”项目列示。</w:t>
      </w:r>
    </w:p>
    <w:p w14:paraId="17D5E67D" w14:textId="77777777" w:rsidR="00632E5B" w:rsidRDefault="00107901">
      <w:pPr>
        <w:pStyle w:val="3"/>
        <w:spacing w:line="280" w:lineRule="exact"/>
        <w:jc w:val="left"/>
        <w:rPr>
          <w:rFonts w:ascii="宋体" w:hAnsi="宋体" w:cs="宋体" w:hint="eastAsia"/>
          <w:b/>
          <w:bCs/>
        </w:rPr>
      </w:pPr>
      <w:bookmarkStart w:id="173" w:name="_Toc989062"/>
      <w:r>
        <w:rPr>
          <w:rFonts w:ascii="宋体" w:hAnsi="宋体" w:cs="宋体"/>
          <w:b/>
          <w:bCs/>
        </w:rPr>
        <w:t>11、金融工具</w:t>
      </w:r>
      <w:bookmarkEnd w:id="173"/>
    </w:p>
    <w:p w14:paraId="03F80A4D" w14:textId="77777777" w:rsidR="00E72F0C" w:rsidRDefault="00107901">
      <w:pPr>
        <w:pStyle w:val="a3"/>
        <w:divId w:val="827019992"/>
        <w:rPr>
          <w:rFonts w:hint="eastAsia"/>
          <w:sz w:val="18"/>
          <w:szCs w:val="18"/>
        </w:rPr>
      </w:pPr>
      <w:r>
        <w:rPr>
          <w:rFonts w:hint="eastAsia"/>
          <w:sz w:val="18"/>
          <w:szCs w:val="18"/>
        </w:rPr>
        <w:t>  金融工具，是指形成一方的金融资产并形成其他方的金融负债或权益工具的合同。</w:t>
      </w:r>
      <w:r>
        <w:rPr>
          <w:rFonts w:hint="eastAsia"/>
          <w:sz w:val="18"/>
          <w:szCs w:val="18"/>
        </w:rPr>
        <w:br/>
        <w:t>（一）金融工具的分类</w:t>
      </w:r>
      <w:r>
        <w:rPr>
          <w:rFonts w:hint="eastAsia"/>
          <w:sz w:val="18"/>
          <w:szCs w:val="18"/>
        </w:rPr>
        <w:br/>
        <w:t>  1.金融资产的分类</w:t>
      </w:r>
      <w:r>
        <w:rPr>
          <w:rFonts w:hint="eastAsia"/>
          <w:sz w:val="18"/>
          <w:szCs w:val="18"/>
        </w:rPr>
        <w:br/>
        <w:t>  公司根据管理金融资产的业务模式和金融资产的合同现金流量特征，将金融资产分为以下三类：（1）以摊余成本计量的金融资产；（2）以公允价值计量且其变动计入其他综合收益的金融资产（包括指定为以公允价值计量且其变动计入其他综合收益的金融资产）；（3）以公允价值计量且其变动计入当期损益的金融资产。</w:t>
      </w:r>
      <w:r>
        <w:rPr>
          <w:rFonts w:hint="eastAsia"/>
          <w:sz w:val="18"/>
          <w:szCs w:val="18"/>
        </w:rPr>
        <w:br/>
        <w:t>  2.金融负债的分类</w:t>
      </w:r>
      <w:r>
        <w:rPr>
          <w:rFonts w:hint="eastAsia"/>
          <w:sz w:val="18"/>
          <w:szCs w:val="18"/>
        </w:rPr>
        <w:br/>
        <w:t>  公司将金融负债分为以下两类：（1）以公允价值计量且其变动计入当期损益的金融负债（包括交易性金融负债和指定为以公允价值计量且其变动计入当期损益的金融负债）；（2）以摊余成本计量的金融负债。</w:t>
      </w:r>
      <w:r>
        <w:rPr>
          <w:rFonts w:hint="eastAsia"/>
          <w:sz w:val="18"/>
          <w:szCs w:val="18"/>
        </w:rPr>
        <w:br/>
        <w:t>（二）金融工具的确认依据和计量方法</w:t>
      </w:r>
      <w:r>
        <w:rPr>
          <w:rFonts w:hint="eastAsia"/>
          <w:sz w:val="18"/>
          <w:szCs w:val="18"/>
        </w:rPr>
        <w:br/>
        <w:t>  1.金融工具的确认依据</w:t>
      </w:r>
      <w:r>
        <w:rPr>
          <w:rFonts w:hint="eastAsia"/>
          <w:sz w:val="18"/>
          <w:szCs w:val="18"/>
        </w:rPr>
        <w:br/>
        <w:t>  公司在成为金融工具合同的一方时，确认一项金融资产或金融负债。</w:t>
      </w:r>
      <w:r>
        <w:rPr>
          <w:rFonts w:hint="eastAsia"/>
          <w:sz w:val="18"/>
          <w:szCs w:val="18"/>
        </w:rPr>
        <w:br/>
        <w:t>  2.金融工具的计量方法</w:t>
      </w:r>
      <w:r>
        <w:rPr>
          <w:rFonts w:hint="eastAsia"/>
          <w:sz w:val="18"/>
          <w:szCs w:val="18"/>
        </w:rPr>
        <w:br/>
        <w:t>  （1）金融资产</w:t>
      </w:r>
      <w:r>
        <w:rPr>
          <w:rFonts w:hint="eastAsia"/>
          <w:sz w:val="18"/>
          <w:szCs w:val="18"/>
        </w:rPr>
        <w:br/>
        <w:t>  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应收账款、应收票据，且其未包含重大融资成分或不考虑不超过一年的合同中的融资成分的，按照预期有权收取的对价金额作为初始确认金额。</w:t>
      </w:r>
      <w:r>
        <w:rPr>
          <w:rFonts w:hint="eastAsia"/>
          <w:sz w:val="18"/>
          <w:szCs w:val="18"/>
        </w:rPr>
        <w:br/>
        <w:t>  ①以摊余成本计量的金融资产</w:t>
      </w:r>
      <w:r>
        <w:rPr>
          <w:rFonts w:hint="eastAsia"/>
          <w:sz w:val="18"/>
          <w:szCs w:val="18"/>
        </w:rPr>
        <w:br/>
      </w:r>
      <w:r>
        <w:rPr>
          <w:rFonts w:hint="eastAsia"/>
          <w:sz w:val="18"/>
          <w:szCs w:val="18"/>
        </w:rPr>
        <w:lastRenderedPageBreak/>
        <w:t>  初始确认后，对于该类金融资产采用实际利率法以摊余成本进行后续计量。以摊余成本计量且不属于任何套期关系一部分的金融资产所产生的利得或损失，在 终止确认、重分类、按照实际利率法摊销或确认减值时，计入当期损益。</w:t>
      </w:r>
      <w:r>
        <w:rPr>
          <w:rFonts w:hint="eastAsia"/>
          <w:sz w:val="18"/>
          <w:szCs w:val="18"/>
        </w:rPr>
        <w:br/>
        <w:t>  ②以公允价值计量且其变动计入其他综合收益的金融资产</w:t>
      </w:r>
      <w:r>
        <w:rPr>
          <w:rFonts w:hint="eastAsia"/>
          <w:sz w:val="18"/>
          <w:szCs w:val="18"/>
        </w:rPr>
        <w:br/>
        <w:t>  初始确认后，对于该类金融资产以公允价值进行后续计量。除减值损失或利得、汇兑损益及采用实际利率法计算的利息计入当期损益外，其他利得或损失均计入其他综合收益。终止确认时，将之前计入其他综合收益的累计利得或损失从其他综合收益中转出，计入当期损益。</w:t>
      </w:r>
      <w:r>
        <w:rPr>
          <w:rFonts w:hint="eastAsia"/>
          <w:sz w:val="18"/>
          <w:szCs w:val="18"/>
        </w:rPr>
        <w:br/>
        <w:t>  公司将部分非交易性权益工具投资指定为以公允价值计量且其变动计入其他综合收益的金融资产的，将该类金融资产的相关股利收入计入当期损益，公允价值变动计入其他综合收益。当该金融资产终止确认时，之前计入其他综合收益的累计利得或损失将从其他综合收益转入留存收益，不计入当期损益。</w:t>
      </w:r>
      <w:r>
        <w:rPr>
          <w:rFonts w:hint="eastAsia"/>
          <w:sz w:val="18"/>
          <w:szCs w:val="18"/>
        </w:rPr>
        <w:br/>
        <w:t>  ③以公允价值计量且其变动计入当期损益的金融资产</w:t>
      </w:r>
      <w:r>
        <w:rPr>
          <w:rFonts w:hint="eastAsia"/>
          <w:sz w:val="18"/>
          <w:szCs w:val="18"/>
        </w:rPr>
        <w:br/>
        <w:t>  公司将上述以摊余成本计量的金融资产和以公允价值计量且其变动计入其他综合收益的金融资产之外的金融资产，分类为以公允价值计量且其变动计入当期损益的金融资产。此外，在初始确认时，公司为了消除或显著减少会计错配，将部分金融资产指定为以公允价值计量且其变动计入当期损益的金融资产。对于此类金融资产，公司采用公允价值进行后续计量，公允价值变动计入当期损益。</w:t>
      </w:r>
      <w:r>
        <w:rPr>
          <w:rFonts w:hint="eastAsia"/>
          <w:sz w:val="18"/>
          <w:szCs w:val="18"/>
        </w:rPr>
        <w:br/>
        <w:t>  （2）金融负债</w:t>
      </w:r>
      <w:r>
        <w:rPr>
          <w:rFonts w:hint="eastAsia"/>
          <w:sz w:val="18"/>
          <w:szCs w:val="18"/>
        </w:rPr>
        <w:br/>
        <w:t>  金融负债于初始确认时分类为以公允价值计量且其变动计入当期损益的金融负债和其他金融负债。对于以公允价值计量且其变动计入当期损益的金融负债，相关交易费用直接计入当期损益，其他金融负债的相关交易费用计入其初始确认金额。</w:t>
      </w:r>
      <w:r>
        <w:rPr>
          <w:rFonts w:hint="eastAsia"/>
          <w:sz w:val="18"/>
          <w:szCs w:val="18"/>
        </w:rPr>
        <w:br/>
        <w:t>  ①以公允价值计量且其变动计入当期损益的金融负债</w:t>
      </w:r>
      <w:r>
        <w:rPr>
          <w:rFonts w:hint="eastAsia"/>
          <w:sz w:val="18"/>
          <w:szCs w:val="18"/>
        </w:rPr>
        <w:br/>
        <w:t>  交易性金融负债（含属于金融负债的衍生工具），按照公允价值进行后续计量，除与套期会计有关外，公允价值变动计入当期损益。被指定为以公允价值计量且其变动计入当期损益的金融负债，该负债由公司自身信用风险变动引起的公允价值变动计入其他综合收益，且终止确认该负债时，计入其他综合收益的自身信用风险变动引起的其公允价值累计变动额转入留存收益。其余公允价值变动计入当期损益。若按上述方式对该等金融负债的自身信用风险变动的影响进行处理会造成或扩大损益中的会计错配的，公司将该金融负债的全部利得或损失（包括企业自身信用风险变动的影响金额）计入当期损益。</w:t>
      </w:r>
      <w:r>
        <w:rPr>
          <w:rFonts w:hint="eastAsia"/>
          <w:sz w:val="18"/>
          <w:szCs w:val="18"/>
        </w:rPr>
        <w:br/>
        <w:t>  ②以摊余成本计量的金融负债</w:t>
      </w:r>
      <w:r>
        <w:rPr>
          <w:rFonts w:hint="eastAsia"/>
          <w:sz w:val="18"/>
          <w:szCs w:val="18"/>
        </w:rPr>
        <w:br/>
        <w:t>  除金融资产转移不符合终止确认条件或继续涉入被转移金融资产所形成的金融负债、财务担保合同外的其他金融负债分类为以摊余成本计量的金融负债，按摊余成本进行后续计量，终止确认或摊销产生的利得或损失计入当期损益。</w:t>
      </w:r>
      <w:r>
        <w:rPr>
          <w:rFonts w:hint="eastAsia"/>
          <w:sz w:val="18"/>
          <w:szCs w:val="18"/>
        </w:rPr>
        <w:br/>
        <w:t>（三）金融资产转移的确认依据和计量方法</w:t>
      </w:r>
      <w:r>
        <w:rPr>
          <w:rFonts w:hint="eastAsia"/>
          <w:sz w:val="18"/>
          <w:szCs w:val="18"/>
        </w:rPr>
        <w:br/>
        <w:t>  公司转移了金融资产所有权上几乎所有的风险和报酬的，终止确认该金融资产，并将转移中产生或保留的权利和义务单独确认为资产或负债；保留了金融资产所有权上几乎所有的风险和报酬的，继续确认所转移的金融资产。公司既没有转移也没有保留金融资产所有权上几乎所有的风险和报酬的，分别下列情况处理：（1）未保留对该金融资产控制的，终止确认该金融资产，并将转移中产生或保留的权利和义务单独确认为资产或负债；（2）保留了对该金融资产控制的，按照继续涉入所转移金融资产的程度确认有关金融资产，并相应确认有关负债。</w:t>
      </w:r>
      <w:r>
        <w:rPr>
          <w:rFonts w:hint="eastAsia"/>
          <w:sz w:val="18"/>
          <w:szCs w:val="18"/>
        </w:rPr>
        <w:br/>
        <w:t>  金融资产整体转移满足终止确认条件的，将下列两项金额的差额计入当期损益：（1） 所转移金融资产在终止确认日的账面价值；（2）因转移金融资产而收到的对价，与原直接计入其他综合收益的公允价值变动累计额中对应终止确认部分的金额（涉及转移的金融资产为以公允价值计量且其变动计入其他综合收益的债务工具投资）之和。转移了金融资产的一部分，且该被转移部分整体满足终止确认条件的，将转移前金融资产整体的账面价值，在终止确认部分和继续确认部分之间，按照转移日各自的相对公允价值进行分摊。</w:t>
      </w:r>
      <w:r>
        <w:rPr>
          <w:rFonts w:hint="eastAsia"/>
          <w:sz w:val="18"/>
          <w:szCs w:val="18"/>
        </w:rPr>
        <w:br/>
        <w:t>（四）金融负债终止确认</w:t>
      </w:r>
      <w:r>
        <w:rPr>
          <w:rFonts w:hint="eastAsia"/>
          <w:sz w:val="18"/>
          <w:szCs w:val="18"/>
        </w:rPr>
        <w:br/>
        <w:t>  当金融负债（或其一部分）的现时义务已经解除时，公司终止确认该金融负债（或该部分金融负债），将其账面价值与支付的对价（包括转出的非现金资产或承担的负债）之间的差额，计入当期损益。</w:t>
      </w:r>
      <w:r>
        <w:rPr>
          <w:rFonts w:hint="eastAsia"/>
          <w:sz w:val="18"/>
          <w:szCs w:val="18"/>
        </w:rPr>
        <w:br/>
        <w:t>（五）金融资产和金融负债的抵销</w:t>
      </w:r>
      <w:r>
        <w:rPr>
          <w:rFonts w:hint="eastAsia"/>
          <w:sz w:val="18"/>
          <w:szCs w:val="18"/>
        </w:rPr>
        <w:br/>
        <w:t>  金融资产和金融负债在资产负债表内分别列示，不得相互抵销。但同时满足下列条件的，以相互抵销后的净额在资产负</w:t>
      </w:r>
      <w:r>
        <w:rPr>
          <w:rFonts w:hint="eastAsia"/>
          <w:sz w:val="18"/>
          <w:szCs w:val="18"/>
        </w:rPr>
        <w:lastRenderedPageBreak/>
        <w:t>债表内列示：</w:t>
      </w:r>
      <w:r>
        <w:rPr>
          <w:rFonts w:hint="eastAsia"/>
          <w:sz w:val="18"/>
          <w:szCs w:val="18"/>
        </w:rPr>
        <w:br/>
        <w:t>  1.公司具有抵销已确认金额的法定权利，且该种法定权利是当前可执行的；</w:t>
      </w:r>
      <w:r>
        <w:rPr>
          <w:rFonts w:hint="eastAsia"/>
          <w:sz w:val="18"/>
          <w:szCs w:val="18"/>
        </w:rPr>
        <w:br/>
        <w:t>  2.公司计划以净额结算，或同时变现该金融资产和清偿该金融负债。</w:t>
      </w:r>
      <w:r>
        <w:rPr>
          <w:rFonts w:hint="eastAsia"/>
          <w:sz w:val="18"/>
          <w:szCs w:val="18"/>
        </w:rPr>
        <w:br/>
        <w:t>  不满足终止确认条件的金融资产转移，转出方不得将已转移的金融资产和相关负债进行抵销。</w:t>
      </w:r>
      <w:r>
        <w:rPr>
          <w:rFonts w:hint="eastAsia"/>
          <w:sz w:val="18"/>
          <w:szCs w:val="18"/>
        </w:rPr>
        <w:br/>
        <w:t>（六）权益工具</w:t>
      </w:r>
      <w:r>
        <w:rPr>
          <w:rFonts w:hint="eastAsia"/>
          <w:sz w:val="18"/>
          <w:szCs w:val="18"/>
        </w:rPr>
        <w:br/>
        <w:t>  权益工具是指能证明拥有公司在扣除所有负债后的资产中的剩余权益的合同。公司发行（含再融资）、回购、出售或注销权益工具作为权益的变动处理。公司不确认权益工具的公允价值变动。与权益性交易相关的交易费用从权益中扣减。公司对权益工具持有方的分配作为利润分配处理，发放的股票股利不影响股东权益总额。</w:t>
      </w:r>
      <w:r>
        <w:rPr>
          <w:rFonts w:hint="eastAsia"/>
          <w:sz w:val="18"/>
          <w:szCs w:val="18"/>
        </w:rPr>
        <w:br/>
        <w:t>  公司控制的主体发行的满足金融负债定义，但满足准则规定条件分类为权益工具的特殊金融工具，在公司合并财务报表中对应的少数股东权益部分，分类为金融负债。</w:t>
      </w:r>
      <w:r>
        <w:rPr>
          <w:rFonts w:hint="eastAsia"/>
          <w:sz w:val="18"/>
          <w:szCs w:val="18"/>
        </w:rPr>
        <w:br/>
        <w:t>（七）金融工具公允价值的确定方法</w:t>
      </w:r>
      <w:r>
        <w:rPr>
          <w:rFonts w:hint="eastAsia"/>
          <w:sz w:val="18"/>
          <w:szCs w:val="18"/>
        </w:rPr>
        <w:br/>
        <w:t>  存在活跃市场的金融工具，以活跃市场中的报价确定其公允价值。不存在活跃市场的金融工具，采用估值技术确定其公允价值。在估值时，公司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观察输入值。</w:t>
      </w:r>
      <w:r>
        <w:rPr>
          <w:rFonts w:hint="eastAsia"/>
          <w:sz w:val="18"/>
          <w:szCs w:val="18"/>
        </w:rPr>
        <w:br/>
        <w:t>  在初始确认时，金融资产或金融负债的公允价值以相同资产或负债在活跃市场上的报价或者以仅使用可观察市场数据的估值技术之外的其他方式确定的，公司将该公允价值与交易价格之间的差额递延。初始确认后，公司根据某一因素在相应会计期间的变动程度将该递延差额确认为相应会计期间的利得或损失。</w:t>
      </w:r>
      <w:r>
        <w:rPr>
          <w:rFonts w:hint="eastAsia"/>
          <w:sz w:val="18"/>
          <w:szCs w:val="18"/>
        </w:rPr>
        <w:br/>
        <w:t>（八）金融资产减值</w:t>
      </w:r>
      <w:r>
        <w:rPr>
          <w:rFonts w:hint="eastAsia"/>
          <w:sz w:val="18"/>
          <w:szCs w:val="18"/>
        </w:rPr>
        <w:br/>
        <w:t>  公司对于以摊余成本计量的金融资产、以公允价值计量且其变动计入其他综合收益的债务工具投资等，以预期信用损失为基础确认损失准备。</w:t>
      </w:r>
      <w:r>
        <w:rPr>
          <w:rFonts w:hint="eastAsia"/>
          <w:sz w:val="18"/>
          <w:szCs w:val="18"/>
        </w:rPr>
        <w:br/>
        <w:t>  1.减值准备的确认方法</w:t>
      </w:r>
      <w:r>
        <w:rPr>
          <w:rFonts w:hint="eastAsia"/>
          <w:sz w:val="18"/>
          <w:szCs w:val="18"/>
        </w:rPr>
        <w:br/>
        <w:t>  公司在考虑有关过去事项、当前状况以及对未来经济状况的预测等合理且有依据的信息的基础上，以发生违约的风险为权重，计算合同应收的现金流量与预期能收到的现金流量之间差额的现值的概率加权金额，确认预期信用损失。</w:t>
      </w:r>
      <w:r>
        <w:rPr>
          <w:rFonts w:hint="eastAsia"/>
          <w:sz w:val="18"/>
          <w:szCs w:val="18"/>
        </w:rPr>
        <w:br/>
        <w:t>  （1）一般处理方法</w:t>
      </w:r>
      <w:r>
        <w:rPr>
          <w:rFonts w:hint="eastAsia"/>
          <w:sz w:val="18"/>
          <w:szCs w:val="18"/>
        </w:rPr>
        <w:br/>
        <w:t>  每个资产负债表日，公司对于处于不同阶段的金融工具的预期信用损失分别进行计量。金融工具自初始确认后信用风险未显著增加的，处于第一阶段，公司按照未来12个月内的预期信用损失计量损失准备；金融工具自初始确认后信用风险已显著增加但尚未发生信用减值的，处于第二阶段，公司按照该工具整个存续期的预期信用损失计量损失准备；金融工具自初始确认后已经发生信用减值的，处于第三阶段，公司按照该工具整个存续期的预期信用损失计量损失准备。对于在资产负债表日具有较低信用风险的金融工具（如在具有较高信用评级的商业银行的定期存款、具有“投资级”以上外部信用评级的金融工具），公司假设其信用风险自初始确认后并未显著增加，按照未来12个月内的预期信用损失计量损失准备。</w:t>
      </w:r>
      <w:r>
        <w:rPr>
          <w:rFonts w:hint="eastAsia"/>
          <w:sz w:val="18"/>
          <w:szCs w:val="18"/>
        </w:rPr>
        <w:br/>
        <w:t>  （2）简化处理方法</w:t>
      </w:r>
      <w:r>
        <w:rPr>
          <w:rFonts w:hint="eastAsia"/>
          <w:sz w:val="18"/>
          <w:szCs w:val="18"/>
        </w:rPr>
        <w:br/>
        <w:t>  对于应收账款、合同资产、租赁应收款及与收入相关的应收票据，未包含重大融资成分或不考虑未超过一年的合同中的融资成分的，公司均按照整个存续期的预期信用损失计量损失准备。</w:t>
      </w:r>
      <w:r>
        <w:rPr>
          <w:rFonts w:hint="eastAsia"/>
          <w:sz w:val="18"/>
          <w:szCs w:val="18"/>
        </w:rPr>
        <w:br/>
        <w:t>  对包含重大融资成分的应收款项、合同资产和《企业会计准则第21号——租赁》规范的租赁应收款，始终按照相当于整个存续期内预期信用损失的金额计量其损失准备。</w:t>
      </w:r>
      <w:r>
        <w:rPr>
          <w:rFonts w:hint="eastAsia"/>
          <w:sz w:val="18"/>
          <w:szCs w:val="18"/>
        </w:rPr>
        <w:br/>
        <w:t>  2.信用风险自初始确认后是否显著增加的判断标准</w:t>
      </w:r>
      <w:r>
        <w:rPr>
          <w:rFonts w:hint="eastAsia"/>
          <w:sz w:val="18"/>
          <w:szCs w:val="18"/>
        </w:rPr>
        <w:br/>
        <w:t>  如果某项金融资产在资产负债表日确定的预计存续期内的违约概率显著高于在初始确认时确定的预计存续期内的违约概率，则表明该项金融资产的信用风险显著增加。</w:t>
      </w:r>
      <w:r>
        <w:rPr>
          <w:rFonts w:hint="eastAsia"/>
          <w:sz w:val="18"/>
          <w:szCs w:val="18"/>
        </w:rPr>
        <w:br/>
        <w:t>  无论公司采用何种方式评估信用风险是否显著增加，如果合同付款逾期超过（含）30 日，则通常可以推定金融资产的信用风险显著增加，除非公司以合理成本即可获得合理且有依据的信息，证明即使逾期超过30日，信用风险仍未显著增加。</w:t>
      </w:r>
      <w:r>
        <w:rPr>
          <w:rFonts w:hint="eastAsia"/>
          <w:sz w:val="18"/>
          <w:szCs w:val="18"/>
        </w:rPr>
        <w:br/>
        <w:t>  除特殊情况外，公司采用未来12个月内发生的违约风险的变化作为整个存续期内发生违约风险变化的合理估计，来确定自初始确认后信用风险是否显著增加。</w:t>
      </w:r>
      <w:r>
        <w:rPr>
          <w:rFonts w:hint="eastAsia"/>
          <w:sz w:val="18"/>
          <w:szCs w:val="18"/>
        </w:rPr>
        <w:br/>
      </w:r>
      <w:r>
        <w:rPr>
          <w:rFonts w:hint="eastAsia"/>
          <w:sz w:val="18"/>
          <w:szCs w:val="18"/>
        </w:rPr>
        <w:lastRenderedPageBreak/>
        <w:t>  3.以组合为基础评估信用风险的组合方法和确定依据</w:t>
      </w:r>
      <w:r>
        <w:rPr>
          <w:rFonts w:hint="eastAsia"/>
          <w:sz w:val="18"/>
          <w:szCs w:val="18"/>
        </w:rPr>
        <w:br/>
        <w:t>  公司对于信用风险显著不同具备以下特征的应收票据、应收账款、合同资产、租赁应收款和其他应收款单项评价信用风险。如：与对方存在争议或涉及诉讼、仲裁的应收款项；已有明显迹象表明债务人很可能无法履行还款义务的应收款项等。</w:t>
      </w:r>
      <w:r>
        <w:rPr>
          <w:rFonts w:hint="eastAsia"/>
          <w:sz w:val="18"/>
          <w:szCs w:val="18"/>
        </w:rPr>
        <w:br/>
        <w:t>  当无法以合理成本评估单项金融资产预期信用损失的信息时，公司依据信用风险特征将应收款项划分为若干组合，在组合基础上计算预期信用损失，确定组合的依据如下：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95"/>
        <w:gridCol w:w="5932"/>
      </w:tblGrid>
      <w:tr w:rsidR="00E72F0C" w14:paraId="090B9855" w14:textId="77777777" w:rsidTr="00507D49">
        <w:trPr>
          <w:divId w:val="827019992"/>
          <w:trHeight w:val="300"/>
          <w:tblHeader/>
        </w:trPr>
        <w:tc>
          <w:tcPr>
            <w:tcW w:w="1919" w:type="pct"/>
            <w:tcMar>
              <w:top w:w="0" w:type="dxa"/>
              <w:left w:w="108" w:type="dxa"/>
              <w:bottom w:w="0" w:type="dxa"/>
              <w:right w:w="108" w:type="dxa"/>
            </w:tcMar>
            <w:vAlign w:val="center"/>
            <w:hideMark/>
          </w:tcPr>
          <w:p w14:paraId="5DAFEAFC" w14:textId="77777777" w:rsidR="00E72F0C" w:rsidRDefault="00107901">
            <w:pPr>
              <w:pStyle w:val="a3"/>
              <w:spacing w:before="0" w:beforeAutospacing="0" w:after="0" w:afterAutospacing="0" w:line="360" w:lineRule="atLeast"/>
              <w:jc w:val="center"/>
              <w:rPr>
                <w:rFonts w:ascii="Times New Roman" w:hAnsi="Times New Roman" w:cs="Times New Roman"/>
                <w:sz w:val="21"/>
                <w:szCs w:val="21"/>
              </w:rPr>
            </w:pPr>
            <w:r>
              <w:rPr>
                <w:rStyle w:val="a4"/>
                <w:rFonts w:cs="Times New Roman" w:hint="eastAsia"/>
                <w:color w:val="000000"/>
                <w:sz w:val="18"/>
                <w:szCs w:val="18"/>
              </w:rPr>
              <w:t>组合名称</w:t>
            </w:r>
          </w:p>
        </w:tc>
        <w:tc>
          <w:tcPr>
            <w:tcW w:w="3081" w:type="pct"/>
            <w:tcMar>
              <w:top w:w="0" w:type="dxa"/>
              <w:left w:w="108" w:type="dxa"/>
              <w:bottom w:w="0" w:type="dxa"/>
              <w:right w:w="108" w:type="dxa"/>
            </w:tcMar>
            <w:vAlign w:val="center"/>
            <w:hideMark/>
          </w:tcPr>
          <w:p w14:paraId="40D6BC89" w14:textId="77777777" w:rsidR="00E72F0C" w:rsidRDefault="00107901">
            <w:pPr>
              <w:pStyle w:val="a3"/>
              <w:spacing w:before="0" w:beforeAutospacing="0" w:after="0" w:afterAutospacing="0" w:line="360" w:lineRule="atLeast"/>
              <w:jc w:val="center"/>
              <w:rPr>
                <w:rFonts w:ascii="Times New Roman" w:hAnsi="Times New Roman" w:cs="Times New Roman"/>
                <w:sz w:val="21"/>
                <w:szCs w:val="21"/>
              </w:rPr>
            </w:pPr>
            <w:r>
              <w:rPr>
                <w:rStyle w:val="a4"/>
                <w:rFonts w:cs="Times New Roman" w:hint="eastAsia"/>
                <w:color w:val="000000"/>
                <w:sz w:val="18"/>
                <w:szCs w:val="18"/>
              </w:rPr>
              <w:t>计提方法</w:t>
            </w:r>
          </w:p>
        </w:tc>
      </w:tr>
      <w:tr w:rsidR="00E72F0C" w14:paraId="61F4860F" w14:textId="77777777" w:rsidTr="00507D49">
        <w:trPr>
          <w:divId w:val="827019992"/>
          <w:trHeight w:val="517"/>
        </w:trPr>
        <w:tc>
          <w:tcPr>
            <w:tcW w:w="1919" w:type="pct"/>
            <w:tcMar>
              <w:top w:w="0" w:type="dxa"/>
              <w:left w:w="108" w:type="dxa"/>
              <w:bottom w:w="0" w:type="dxa"/>
              <w:right w:w="108" w:type="dxa"/>
            </w:tcMar>
            <w:vAlign w:val="center"/>
            <w:hideMark/>
          </w:tcPr>
          <w:p w14:paraId="1CDFB013" w14:textId="77777777" w:rsidR="00E72F0C" w:rsidRDefault="00107901">
            <w:pPr>
              <w:pStyle w:val="a3"/>
              <w:spacing w:before="0" w:beforeAutospacing="0" w:after="0" w:afterAutospacing="0" w:line="280" w:lineRule="atLeast"/>
              <w:rPr>
                <w:rFonts w:ascii="Times New Roman" w:hAnsi="Times New Roman" w:cs="Times New Roman"/>
                <w:sz w:val="21"/>
                <w:szCs w:val="21"/>
              </w:rPr>
            </w:pPr>
            <w:r>
              <w:rPr>
                <w:rFonts w:cs="Times New Roman" w:hint="eastAsia"/>
                <w:color w:val="000000"/>
                <w:sz w:val="18"/>
                <w:szCs w:val="18"/>
              </w:rPr>
              <w:t>银行承兑汇票组合、商业承兑汇票组合</w:t>
            </w:r>
          </w:p>
        </w:tc>
        <w:tc>
          <w:tcPr>
            <w:tcW w:w="3081" w:type="pct"/>
            <w:tcMar>
              <w:top w:w="0" w:type="dxa"/>
              <w:left w:w="108" w:type="dxa"/>
              <w:bottom w:w="0" w:type="dxa"/>
              <w:right w:w="108" w:type="dxa"/>
            </w:tcMar>
            <w:vAlign w:val="center"/>
            <w:hideMark/>
          </w:tcPr>
          <w:p w14:paraId="4C728F69" w14:textId="77777777" w:rsidR="00E72F0C" w:rsidRDefault="00107901">
            <w:pPr>
              <w:pStyle w:val="a3"/>
              <w:spacing w:before="0" w:beforeAutospacing="0" w:after="0" w:afterAutospacing="0" w:line="280" w:lineRule="atLeast"/>
              <w:rPr>
                <w:rFonts w:ascii="Times New Roman" w:hAnsi="Times New Roman" w:cs="Times New Roman"/>
                <w:sz w:val="21"/>
                <w:szCs w:val="21"/>
              </w:rPr>
            </w:pPr>
            <w:r>
              <w:rPr>
                <w:rFonts w:cs="Times New Roman" w:hint="eastAsia"/>
                <w:color w:val="000000"/>
                <w:sz w:val="18"/>
                <w:szCs w:val="18"/>
              </w:rPr>
              <w:t>对于划分为组合的应收票据，银行承兑汇票和商业承兑汇票分别参考历史信用损失经验，结合当前状况以及对未来经济状况的预测，通过违约风险敞口和整个存续期预期信用损失率，计算预期信用损失。</w:t>
            </w:r>
          </w:p>
        </w:tc>
      </w:tr>
      <w:tr w:rsidR="00E72F0C" w14:paraId="371A78C9" w14:textId="77777777" w:rsidTr="00507D49">
        <w:trPr>
          <w:divId w:val="827019992"/>
          <w:trHeight w:val="475"/>
        </w:trPr>
        <w:tc>
          <w:tcPr>
            <w:tcW w:w="1919" w:type="pct"/>
            <w:tcMar>
              <w:top w:w="0" w:type="dxa"/>
              <w:left w:w="108" w:type="dxa"/>
              <w:bottom w:w="0" w:type="dxa"/>
              <w:right w:w="108" w:type="dxa"/>
            </w:tcMar>
            <w:vAlign w:val="center"/>
            <w:hideMark/>
          </w:tcPr>
          <w:p w14:paraId="7CC7E242" w14:textId="77777777" w:rsidR="00E72F0C" w:rsidRDefault="00107901">
            <w:pPr>
              <w:pStyle w:val="a3"/>
              <w:spacing w:before="0" w:beforeAutospacing="0" w:after="0" w:afterAutospacing="0" w:line="280" w:lineRule="atLeast"/>
              <w:jc w:val="both"/>
              <w:rPr>
                <w:rFonts w:ascii="Times New Roman" w:hAnsi="Times New Roman" w:cs="Times New Roman"/>
                <w:sz w:val="21"/>
                <w:szCs w:val="21"/>
              </w:rPr>
            </w:pPr>
            <w:r>
              <w:rPr>
                <w:rFonts w:cs="Times New Roman" w:hint="eastAsia"/>
                <w:color w:val="000000"/>
                <w:sz w:val="18"/>
                <w:szCs w:val="18"/>
              </w:rPr>
              <w:t>应收账款—以逾期天数与违约损失率对照表为基础计算信用损失的应收账款组合</w:t>
            </w:r>
            <w:r>
              <w:rPr>
                <w:rFonts w:ascii="Arial Narrow" w:hAnsi="Arial Narrow" w:cs="Times New Roman"/>
                <w:color w:val="000000"/>
                <w:sz w:val="18"/>
                <w:szCs w:val="18"/>
              </w:rPr>
              <w:t>1</w:t>
            </w:r>
          </w:p>
        </w:tc>
        <w:tc>
          <w:tcPr>
            <w:tcW w:w="3081" w:type="pct"/>
            <w:tcMar>
              <w:top w:w="0" w:type="dxa"/>
              <w:left w:w="108" w:type="dxa"/>
              <w:bottom w:w="0" w:type="dxa"/>
              <w:right w:w="108" w:type="dxa"/>
            </w:tcMar>
            <w:vAlign w:val="center"/>
            <w:hideMark/>
          </w:tcPr>
          <w:p w14:paraId="1B400500" w14:textId="77777777" w:rsidR="00E72F0C" w:rsidRDefault="00107901">
            <w:pPr>
              <w:pStyle w:val="a3"/>
              <w:spacing w:before="0" w:beforeAutospacing="0" w:after="0" w:afterAutospacing="0" w:line="280" w:lineRule="atLeast"/>
              <w:jc w:val="both"/>
              <w:rPr>
                <w:rFonts w:ascii="Times New Roman" w:hAnsi="Times New Roman" w:cs="Times New Roman"/>
                <w:sz w:val="21"/>
                <w:szCs w:val="21"/>
              </w:rPr>
            </w:pPr>
            <w:r>
              <w:rPr>
                <w:rFonts w:cs="Times New Roman" w:hint="eastAsia"/>
                <w:color w:val="000000"/>
                <w:sz w:val="18"/>
                <w:szCs w:val="18"/>
              </w:rPr>
              <w:t>对于划分为按信用风险特征组合计提坏账准备的应收账款，本公司始终按照相当于整个存续期内预期信用损失的金额计量应收账款的减值准备，并以逾期天数与预期信用损失率对照表为基础计算其预期信用损失。</w:t>
            </w:r>
          </w:p>
          <w:p w14:paraId="020C90C5" w14:textId="77777777" w:rsidR="00E72F0C" w:rsidRDefault="00107901">
            <w:pPr>
              <w:pStyle w:val="a3"/>
              <w:spacing w:before="0" w:beforeAutospacing="0" w:after="0" w:afterAutospacing="0" w:line="280" w:lineRule="atLeast"/>
              <w:jc w:val="both"/>
              <w:rPr>
                <w:rFonts w:ascii="Times New Roman" w:hAnsi="Times New Roman" w:cs="Times New Roman"/>
                <w:sz w:val="21"/>
                <w:szCs w:val="21"/>
              </w:rPr>
            </w:pPr>
            <w:r>
              <w:rPr>
                <w:rFonts w:cs="Times New Roman" w:hint="eastAsia"/>
                <w:color w:val="000000"/>
                <w:sz w:val="18"/>
                <w:szCs w:val="18"/>
              </w:rPr>
              <w:t>公司应收账款自销售款项约定的客户付款日开始计算应收账款逾期账龄，每满</w:t>
            </w:r>
            <w:r>
              <w:rPr>
                <w:rFonts w:ascii="Arial Narrow" w:hAnsi="Arial Narrow" w:cs="Times New Roman"/>
                <w:color w:val="000000"/>
                <w:sz w:val="18"/>
                <w:szCs w:val="18"/>
              </w:rPr>
              <w:t>12</w:t>
            </w:r>
            <w:r>
              <w:rPr>
                <w:rFonts w:cs="Times New Roman" w:hint="eastAsia"/>
                <w:color w:val="000000"/>
                <w:sz w:val="18"/>
                <w:szCs w:val="18"/>
              </w:rPr>
              <w:t>个月为</w:t>
            </w:r>
            <w:r>
              <w:rPr>
                <w:rFonts w:ascii="Arial Narrow" w:hAnsi="Arial Narrow" w:cs="Times New Roman"/>
                <w:color w:val="000000"/>
                <w:sz w:val="18"/>
                <w:szCs w:val="18"/>
              </w:rPr>
              <w:t>1</w:t>
            </w:r>
            <w:r>
              <w:rPr>
                <w:rFonts w:cs="Times New Roman" w:hint="eastAsia"/>
                <w:color w:val="000000"/>
                <w:sz w:val="18"/>
                <w:szCs w:val="18"/>
              </w:rPr>
              <w:t>年，不足</w:t>
            </w:r>
            <w:r>
              <w:rPr>
                <w:rFonts w:ascii="Arial Narrow" w:hAnsi="Arial Narrow" w:cs="Times New Roman"/>
                <w:color w:val="000000"/>
                <w:sz w:val="18"/>
                <w:szCs w:val="18"/>
              </w:rPr>
              <w:t>1</w:t>
            </w:r>
            <w:r>
              <w:rPr>
                <w:rFonts w:cs="Times New Roman" w:hint="eastAsia"/>
                <w:color w:val="000000"/>
                <w:sz w:val="18"/>
                <w:szCs w:val="18"/>
              </w:rPr>
              <w:t>年仍按</w:t>
            </w:r>
            <w:r>
              <w:rPr>
                <w:rFonts w:ascii="Arial Narrow" w:hAnsi="Arial Narrow" w:cs="Times New Roman"/>
                <w:color w:val="000000"/>
                <w:sz w:val="18"/>
                <w:szCs w:val="18"/>
              </w:rPr>
              <w:t>1</w:t>
            </w:r>
            <w:r>
              <w:rPr>
                <w:rFonts w:cs="Times New Roman" w:hint="eastAsia"/>
                <w:color w:val="000000"/>
                <w:sz w:val="18"/>
                <w:szCs w:val="18"/>
              </w:rPr>
              <w:t>年计算。</w:t>
            </w:r>
          </w:p>
        </w:tc>
      </w:tr>
      <w:tr w:rsidR="00E72F0C" w14:paraId="5495FD1C" w14:textId="77777777" w:rsidTr="00507D49">
        <w:trPr>
          <w:divId w:val="827019992"/>
          <w:trHeight w:val="475"/>
        </w:trPr>
        <w:tc>
          <w:tcPr>
            <w:tcW w:w="1919" w:type="pct"/>
            <w:tcMar>
              <w:top w:w="0" w:type="dxa"/>
              <w:left w:w="108" w:type="dxa"/>
              <w:bottom w:w="0" w:type="dxa"/>
              <w:right w:w="108" w:type="dxa"/>
            </w:tcMar>
            <w:vAlign w:val="center"/>
            <w:hideMark/>
          </w:tcPr>
          <w:p w14:paraId="0D9878BD" w14:textId="77777777" w:rsidR="00E72F0C" w:rsidRDefault="00107901">
            <w:pPr>
              <w:pStyle w:val="a3"/>
              <w:spacing w:before="0" w:beforeAutospacing="0" w:after="0" w:afterAutospacing="0" w:line="360" w:lineRule="atLeast"/>
              <w:jc w:val="both"/>
              <w:rPr>
                <w:rFonts w:ascii="Times New Roman" w:hAnsi="Times New Roman" w:cs="Times New Roman"/>
                <w:sz w:val="21"/>
                <w:szCs w:val="21"/>
              </w:rPr>
            </w:pPr>
            <w:r>
              <w:rPr>
                <w:rFonts w:cs="Times New Roman" w:hint="eastAsia"/>
                <w:color w:val="000000"/>
                <w:sz w:val="18"/>
                <w:szCs w:val="18"/>
              </w:rPr>
              <w:t>应收账款—政府、电网单位款项组合</w:t>
            </w:r>
            <w:r>
              <w:rPr>
                <w:rFonts w:ascii="Arial Narrow" w:hAnsi="Arial Narrow" w:cs="Times New Roman"/>
                <w:color w:val="000000"/>
                <w:sz w:val="18"/>
                <w:szCs w:val="18"/>
              </w:rPr>
              <w:t>2</w:t>
            </w:r>
          </w:p>
        </w:tc>
        <w:tc>
          <w:tcPr>
            <w:tcW w:w="3081" w:type="pct"/>
            <w:tcMar>
              <w:top w:w="0" w:type="dxa"/>
              <w:left w:w="108" w:type="dxa"/>
              <w:bottom w:w="0" w:type="dxa"/>
              <w:right w:w="108" w:type="dxa"/>
            </w:tcMar>
            <w:vAlign w:val="center"/>
            <w:hideMark/>
          </w:tcPr>
          <w:p w14:paraId="2D5C9A3E" w14:textId="77777777" w:rsidR="00E72F0C" w:rsidRDefault="00107901">
            <w:pPr>
              <w:pStyle w:val="a3"/>
              <w:spacing w:before="0" w:beforeAutospacing="0" w:after="0" w:afterAutospacing="0" w:line="360" w:lineRule="atLeast"/>
              <w:jc w:val="both"/>
              <w:rPr>
                <w:rFonts w:ascii="Times New Roman" w:hAnsi="Times New Roman" w:cs="Times New Roman"/>
                <w:sz w:val="21"/>
                <w:szCs w:val="21"/>
              </w:rPr>
            </w:pPr>
            <w:r>
              <w:rPr>
                <w:rFonts w:cs="Times New Roman" w:hint="eastAsia"/>
                <w:color w:val="000000"/>
                <w:sz w:val="18"/>
                <w:szCs w:val="18"/>
              </w:rPr>
              <w:t>根据客户信用状况、近年的信用损失情况及资金时间成本因素结合行业政策及同行业情况综合确定预期信用损失率。</w:t>
            </w:r>
          </w:p>
        </w:tc>
      </w:tr>
      <w:tr w:rsidR="00E72F0C" w14:paraId="31C5BF16" w14:textId="77777777" w:rsidTr="00507D49">
        <w:trPr>
          <w:divId w:val="827019992"/>
          <w:trHeight w:val="475"/>
        </w:trPr>
        <w:tc>
          <w:tcPr>
            <w:tcW w:w="1919" w:type="pct"/>
            <w:tcMar>
              <w:top w:w="0" w:type="dxa"/>
              <w:left w:w="108" w:type="dxa"/>
              <w:bottom w:w="0" w:type="dxa"/>
              <w:right w:w="108" w:type="dxa"/>
            </w:tcMar>
            <w:vAlign w:val="center"/>
            <w:hideMark/>
          </w:tcPr>
          <w:p w14:paraId="191C0B0B" w14:textId="77777777" w:rsidR="00E72F0C" w:rsidRDefault="00107901">
            <w:pPr>
              <w:pStyle w:val="a3"/>
              <w:spacing w:before="0" w:beforeAutospacing="0" w:after="0" w:afterAutospacing="0" w:line="360" w:lineRule="atLeast"/>
              <w:jc w:val="both"/>
              <w:rPr>
                <w:rFonts w:ascii="Times New Roman" w:hAnsi="Times New Roman" w:cs="Times New Roman"/>
                <w:sz w:val="21"/>
                <w:szCs w:val="21"/>
              </w:rPr>
            </w:pPr>
            <w:r>
              <w:rPr>
                <w:rFonts w:cs="Times New Roman" w:hint="eastAsia"/>
                <w:color w:val="000000"/>
                <w:sz w:val="18"/>
                <w:szCs w:val="18"/>
              </w:rPr>
              <w:t>应收账款—合并范围内子公司应收款项组合</w:t>
            </w:r>
            <w:r>
              <w:rPr>
                <w:rFonts w:ascii="Arial Narrow" w:hAnsi="Arial Narrow" w:cs="Times New Roman"/>
                <w:color w:val="000000"/>
                <w:sz w:val="18"/>
                <w:szCs w:val="18"/>
              </w:rPr>
              <w:t>3</w:t>
            </w:r>
          </w:p>
        </w:tc>
        <w:tc>
          <w:tcPr>
            <w:tcW w:w="3081" w:type="pct"/>
            <w:tcMar>
              <w:top w:w="0" w:type="dxa"/>
              <w:left w:w="108" w:type="dxa"/>
              <w:bottom w:w="0" w:type="dxa"/>
              <w:right w:w="108" w:type="dxa"/>
            </w:tcMar>
            <w:vAlign w:val="center"/>
            <w:hideMark/>
          </w:tcPr>
          <w:p w14:paraId="63E05FBD" w14:textId="77777777" w:rsidR="00E72F0C" w:rsidRDefault="00107901">
            <w:pPr>
              <w:pStyle w:val="a3"/>
              <w:spacing w:before="0" w:beforeAutospacing="0" w:after="0" w:afterAutospacing="0" w:line="360" w:lineRule="atLeast"/>
              <w:jc w:val="both"/>
              <w:rPr>
                <w:rFonts w:ascii="Times New Roman" w:hAnsi="Times New Roman" w:cs="Times New Roman"/>
                <w:sz w:val="21"/>
                <w:szCs w:val="21"/>
              </w:rPr>
            </w:pPr>
            <w:r>
              <w:rPr>
                <w:rFonts w:cs="Times New Roman" w:hint="eastAsia"/>
                <w:color w:val="000000"/>
                <w:sz w:val="18"/>
                <w:szCs w:val="18"/>
              </w:rPr>
              <w:t>一般不计提坏账准备</w:t>
            </w:r>
          </w:p>
        </w:tc>
      </w:tr>
      <w:tr w:rsidR="00E72F0C" w14:paraId="14A6D347" w14:textId="77777777" w:rsidTr="00507D49">
        <w:trPr>
          <w:divId w:val="827019992"/>
          <w:trHeight w:val="475"/>
        </w:trPr>
        <w:tc>
          <w:tcPr>
            <w:tcW w:w="1919" w:type="pct"/>
            <w:tcMar>
              <w:top w:w="0" w:type="dxa"/>
              <w:left w:w="108" w:type="dxa"/>
              <w:bottom w:w="0" w:type="dxa"/>
              <w:right w:w="108" w:type="dxa"/>
            </w:tcMar>
            <w:vAlign w:val="center"/>
            <w:hideMark/>
          </w:tcPr>
          <w:p w14:paraId="0A407847" w14:textId="77777777" w:rsidR="00E72F0C" w:rsidRDefault="00107901">
            <w:pPr>
              <w:pStyle w:val="a3"/>
              <w:spacing w:before="0" w:beforeAutospacing="0" w:after="0" w:afterAutospacing="0" w:line="360" w:lineRule="atLeast"/>
              <w:jc w:val="both"/>
              <w:rPr>
                <w:rFonts w:ascii="Times New Roman" w:hAnsi="Times New Roman" w:cs="Times New Roman"/>
                <w:sz w:val="21"/>
                <w:szCs w:val="21"/>
              </w:rPr>
            </w:pPr>
            <w:r>
              <w:rPr>
                <w:rFonts w:cs="Times New Roman" w:hint="eastAsia"/>
                <w:color w:val="000000"/>
                <w:sz w:val="18"/>
                <w:szCs w:val="18"/>
              </w:rPr>
              <w:t>其他应收款—非关联方往来款组合</w:t>
            </w:r>
            <w:r>
              <w:rPr>
                <w:rFonts w:ascii="Arial Narrow" w:hAnsi="Arial Narrow" w:cs="Times New Roman"/>
                <w:color w:val="000000"/>
                <w:sz w:val="18"/>
                <w:szCs w:val="18"/>
              </w:rPr>
              <w:t>1</w:t>
            </w:r>
          </w:p>
        </w:tc>
        <w:tc>
          <w:tcPr>
            <w:tcW w:w="3081" w:type="pct"/>
            <w:tcMar>
              <w:top w:w="0" w:type="dxa"/>
              <w:left w:w="108" w:type="dxa"/>
              <w:bottom w:w="0" w:type="dxa"/>
              <w:right w:w="108" w:type="dxa"/>
            </w:tcMar>
            <w:vAlign w:val="center"/>
            <w:hideMark/>
          </w:tcPr>
          <w:p w14:paraId="6652E1A1" w14:textId="77777777" w:rsidR="00E72F0C" w:rsidRDefault="00107901">
            <w:pPr>
              <w:pStyle w:val="a3"/>
              <w:spacing w:before="0" w:beforeAutospacing="0" w:after="0" w:afterAutospacing="0" w:line="360" w:lineRule="atLeast"/>
              <w:jc w:val="both"/>
              <w:rPr>
                <w:rFonts w:ascii="Times New Roman" w:hAnsi="Times New Roman" w:cs="Times New Roman"/>
                <w:sz w:val="21"/>
                <w:szCs w:val="21"/>
              </w:rPr>
            </w:pPr>
            <w:r>
              <w:rPr>
                <w:rFonts w:cs="Times New Roman" w:hint="eastAsia"/>
                <w:color w:val="000000"/>
                <w:sz w:val="18"/>
                <w:szCs w:val="18"/>
              </w:rPr>
              <w:t>若信用风险在初始确认后未显著增加，公司按照相当于该其他应收款未来</w:t>
            </w:r>
            <w:r>
              <w:rPr>
                <w:rFonts w:ascii="Arial Narrow" w:hAnsi="Arial Narrow" w:cs="Times New Roman"/>
                <w:color w:val="000000"/>
                <w:sz w:val="18"/>
                <w:szCs w:val="18"/>
              </w:rPr>
              <w:t>12</w:t>
            </w:r>
            <w:r>
              <w:rPr>
                <w:rFonts w:cs="Times New Roman" w:hint="eastAsia"/>
                <w:color w:val="000000"/>
                <w:sz w:val="18"/>
                <w:szCs w:val="18"/>
              </w:rPr>
              <w:t>个月内预期信用损失的金额计量其损失准备；若信用风险在初始确认后显著增加，公司按照相当于该其他应收款整个预计存续期内预期信用损失的金额计量其损失准备；若初始确认后发生信用减值，对于处于该阶段的金融工具，公司按照该其他应收款整个存续期内预期信用损失的金额计量其损失准备。</w:t>
            </w:r>
          </w:p>
        </w:tc>
      </w:tr>
      <w:tr w:rsidR="00E72F0C" w14:paraId="55154BDF" w14:textId="77777777" w:rsidTr="00507D49">
        <w:trPr>
          <w:divId w:val="827019992"/>
          <w:trHeight w:val="70"/>
        </w:trPr>
        <w:tc>
          <w:tcPr>
            <w:tcW w:w="1919" w:type="pct"/>
            <w:tcMar>
              <w:top w:w="0" w:type="dxa"/>
              <w:left w:w="108" w:type="dxa"/>
              <w:bottom w:w="0" w:type="dxa"/>
              <w:right w:w="108" w:type="dxa"/>
            </w:tcMar>
            <w:vAlign w:val="center"/>
            <w:hideMark/>
          </w:tcPr>
          <w:p w14:paraId="5F0412F3" w14:textId="77777777" w:rsidR="00E72F0C" w:rsidRDefault="00107901">
            <w:pPr>
              <w:pStyle w:val="a3"/>
              <w:spacing w:before="0" w:beforeAutospacing="0" w:after="0" w:afterAutospacing="0" w:line="70" w:lineRule="atLeast"/>
              <w:jc w:val="both"/>
              <w:rPr>
                <w:rFonts w:ascii="Times New Roman" w:hAnsi="Times New Roman" w:cs="Times New Roman"/>
                <w:sz w:val="21"/>
                <w:szCs w:val="21"/>
              </w:rPr>
            </w:pPr>
            <w:r>
              <w:rPr>
                <w:rFonts w:cs="Times New Roman" w:hint="eastAsia"/>
                <w:color w:val="000000"/>
                <w:sz w:val="18"/>
                <w:szCs w:val="18"/>
              </w:rPr>
              <w:t>其他应收款—押金、保证金组合</w:t>
            </w:r>
            <w:r>
              <w:rPr>
                <w:rFonts w:ascii="Arial Narrow" w:hAnsi="Arial Narrow" w:cs="Times New Roman"/>
                <w:color w:val="000000"/>
                <w:sz w:val="18"/>
                <w:szCs w:val="18"/>
              </w:rPr>
              <w:t>2</w:t>
            </w:r>
          </w:p>
        </w:tc>
        <w:tc>
          <w:tcPr>
            <w:tcW w:w="3081" w:type="pct"/>
            <w:tcMar>
              <w:top w:w="0" w:type="dxa"/>
              <w:left w:w="108" w:type="dxa"/>
              <w:bottom w:w="0" w:type="dxa"/>
              <w:right w:w="108" w:type="dxa"/>
            </w:tcMar>
            <w:vAlign w:val="center"/>
            <w:hideMark/>
          </w:tcPr>
          <w:p w14:paraId="3A57CB0C" w14:textId="77777777" w:rsidR="00E72F0C" w:rsidRDefault="00107901">
            <w:pPr>
              <w:pStyle w:val="a3"/>
              <w:spacing w:before="0" w:beforeAutospacing="0" w:after="0" w:afterAutospacing="0" w:line="70" w:lineRule="atLeast"/>
              <w:jc w:val="both"/>
              <w:rPr>
                <w:rFonts w:ascii="Times New Roman" w:hAnsi="Times New Roman" w:cs="Times New Roman"/>
                <w:sz w:val="21"/>
                <w:szCs w:val="21"/>
              </w:rPr>
            </w:pPr>
            <w:r>
              <w:rPr>
                <w:rFonts w:cs="Times New Roman" w:hint="eastAsia"/>
                <w:color w:val="000000"/>
                <w:sz w:val="18"/>
                <w:szCs w:val="18"/>
              </w:rPr>
              <w:t>基于自初始确认后信用风险质量是否发生变化，预期信用损失采用</w:t>
            </w:r>
            <w:r>
              <w:rPr>
                <w:rFonts w:ascii="Arial Narrow" w:hAnsi="Arial Narrow" w:cs="Times New Roman"/>
                <w:color w:val="000000"/>
                <w:sz w:val="18"/>
                <w:szCs w:val="18"/>
              </w:rPr>
              <w:t>“</w:t>
            </w:r>
            <w:r>
              <w:rPr>
                <w:rFonts w:cs="Times New Roman" w:hint="eastAsia"/>
                <w:color w:val="000000"/>
                <w:sz w:val="18"/>
                <w:szCs w:val="18"/>
              </w:rPr>
              <w:t>三阶段法</w:t>
            </w:r>
            <w:r>
              <w:rPr>
                <w:rFonts w:ascii="Arial Narrow" w:hAnsi="Arial Narrow" w:cs="Times New Roman"/>
                <w:color w:val="000000"/>
                <w:sz w:val="18"/>
                <w:szCs w:val="18"/>
              </w:rPr>
              <w:t>”</w:t>
            </w:r>
            <w:r>
              <w:rPr>
                <w:rFonts w:cs="Times New Roman" w:hint="eastAsia"/>
                <w:color w:val="000000"/>
                <w:sz w:val="18"/>
                <w:szCs w:val="18"/>
              </w:rPr>
              <w:t>进行分析。</w:t>
            </w:r>
          </w:p>
        </w:tc>
      </w:tr>
    </w:tbl>
    <w:p w14:paraId="2D0C92EA" w14:textId="4C40557E" w:rsidR="00E72F0C" w:rsidRDefault="00107901" w:rsidP="00091EA9">
      <w:pPr>
        <w:pStyle w:val="a3"/>
        <w:spacing w:before="0" w:beforeAutospacing="0" w:after="0" w:afterAutospacing="0"/>
        <w:divId w:val="827019992"/>
        <w:rPr>
          <w:rFonts w:hint="eastAsia"/>
          <w:sz w:val="18"/>
          <w:szCs w:val="18"/>
        </w:rPr>
      </w:pPr>
      <w:r>
        <w:rPr>
          <w:rFonts w:hint="eastAsia"/>
          <w:sz w:val="18"/>
          <w:szCs w:val="18"/>
        </w:rPr>
        <w:t>  公司将计提或转回的损失准备计入当期损益。对于持有的以公允价值计量且其变动计入其他综合收益的债务工具，公司在将减值损失或利得计入当期损益的同时调整其他综合收益。</w:t>
      </w:r>
    </w:p>
    <w:p w14:paraId="566CD9DF" w14:textId="77777777" w:rsidR="00632E5B" w:rsidRDefault="00107901">
      <w:pPr>
        <w:pStyle w:val="3"/>
        <w:spacing w:line="280" w:lineRule="exact"/>
        <w:jc w:val="left"/>
        <w:rPr>
          <w:rFonts w:ascii="宋体" w:hAnsi="宋体" w:cs="宋体" w:hint="eastAsia"/>
          <w:b/>
          <w:bCs/>
        </w:rPr>
      </w:pPr>
      <w:bookmarkStart w:id="174" w:name="_Toc989063"/>
      <w:r>
        <w:rPr>
          <w:rFonts w:ascii="宋体" w:hAnsi="宋体" w:cs="宋体"/>
          <w:b/>
          <w:bCs/>
        </w:rPr>
        <w:t>12、合同资产</w:t>
      </w:r>
      <w:bookmarkEnd w:id="174"/>
    </w:p>
    <w:p w14:paraId="28EF2910" w14:textId="77777777" w:rsidR="00E72F0C" w:rsidRDefault="00107901">
      <w:pPr>
        <w:pStyle w:val="a3"/>
        <w:divId w:val="1257716772"/>
        <w:rPr>
          <w:rFonts w:hint="eastAsia"/>
          <w:sz w:val="18"/>
          <w:szCs w:val="18"/>
        </w:rPr>
      </w:pPr>
      <w:r>
        <w:rPr>
          <w:rFonts w:hint="eastAsia"/>
          <w:sz w:val="18"/>
          <w:szCs w:val="18"/>
        </w:rPr>
        <w:t>  合同资产，指公司已向客户转让商品而有权收取对价的权利，且该权利取决于时间流逝之外的其他因素。公司的合同资产主要包括已完工未结算资产和质保金。同一合同下的合同资产和合同负债以净额列示，不同合同下的合同资产和合同负债不予抵销。</w:t>
      </w:r>
      <w:r>
        <w:rPr>
          <w:rFonts w:hint="eastAsia"/>
          <w:sz w:val="18"/>
          <w:szCs w:val="18"/>
        </w:rPr>
        <w:br/>
        <w:t>  合同资产预期信用损失的确定方法和会计处理方法参见附注五之11（八）金融资产减值。</w:t>
      </w:r>
    </w:p>
    <w:p w14:paraId="7D21C2D7" w14:textId="77777777" w:rsidR="00632E5B" w:rsidRDefault="00107901">
      <w:pPr>
        <w:pStyle w:val="3"/>
        <w:spacing w:line="280" w:lineRule="exact"/>
        <w:jc w:val="left"/>
        <w:rPr>
          <w:rFonts w:ascii="宋体" w:hAnsi="宋体" w:cs="宋体" w:hint="eastAsia"/>
          <w:b/>
          <w:bCs/>
        </w:rPr>
      </w:pPr>
      <w:bookmarkStart w:id="175" w:name="_Toc989064"/>
      <w:r>
        <w:rPr>
          <w:rFonts w:ascii="宋体" w:hAnsi="宋体" w:cs="宋体"/>
          <w:b/>
          <w:bCs/>
        </w:rPr>
        <w:t>13、存货</w:t>
      </w:r>
      <w:bookmarkEnd w:id="175"/>
    </w:p>
    <w:p w14:paraId="133CA606" w14:textId="77777777" w:rsidR="00E72F0C" w:rsidRDefault="00107901">
      <w:pPr>
        <w:pStyle w:val="a3"/>
        <w:divId w:val="615336671"/>
        <w:rPr>
          <w:rFonts w:hint="eastAsia"/>
          <w:sz w:val="18"/>
          <w:szCs w:val="18"/>
        </w:rPr>
      </w:pPr>
      <w:r>
        <w:rPr>
          <w:rFonts w:hint="eastAsia"/>
          <w:sz w:val="18"/>
          <w:szCs w:val="18"/>
        </w:rPr>
        <w:t>（一）存货的分类</w:t>
      </w:r>
      <w:r>
        <w:rPr>
          <w:rFonts w:hint="eastAsia"/>
          <w:sz w:val="18"/>
          <w:szCs w:val="18"/>
        </w:rPr>
        <w:br/>
        <w:t>  公司存货分为原材料、低值易耗品、在产品、产成品、光伏电站开发产品、光伏电站开发成本等。</w:t>
      </w:r>
      <w:r>
        <w:rPr>
          <w:rFonts w:hint="eastAsia"/>
          <w:sz w:val="18"/>
          <w:szCs w:val="18"/>
        </w:rPr>
        <w:br/>
        <w:t>（二）发出存货的计价方法</w:t>
      </w:r>
      <w:r>
        <w:rPr>
          <w:rFonts w:hint="eastAsia"/>
          <w:sz w:val="18"/>
          <w:szCs w:val="18"/>
        </w:rPr>
        <w:br/>
      </w:r>
      <w:r>
        <w:rPr>
          <w:rFonts w:hint="eastAsia"/>
          <w:sz w:val="18"/>
          <w:szCs w:val="18"/>
        </w:rPr>
        <w:lastRenderedPageBreak/>
        <w:t>  原材料、产成品发出时采用加权平均法核算，低值易耗品在领用时采用一次转销法进行摊销，光伏电站开发产品按个别计价法核算。</w:t>
      </w:r>
      <w:r>
        <w:rPr>
          <w:rFonts w:hint="eastAsia"/>
          <w:sz w:val="18"/>
          <w:szCs w:val="18"/>
        </w:rPr>
        <w:br/>
        <w:t>（三）存货跌价准备的确认标准和计提方法</w:t>
      </w:r>
      <w:r>
        <w:rPr>
          <w:rFonts w:hint="eastAsia"/>
          <w:sz w:val="18"/>
          <w:szCs w:val="18"/>
        </w:rPr>
        <w:br/>
        <w:t>  资产负债表日，存货按照成本与可变现净值孰低计量。当其可变现净值低于成本时，提取存货跌价准备。</w:t>
      </w:r>
      <w:r>
        <w:rPr>
          <w:rFonts w:hint="eastAsia"/>
          <w:sz w:val="18"/>
          <w:szCs w:val="18"/>
        </w:rPr>
        <w:br/>
        <w:t>  1.存货可变现净值的确定依据</w:t>
      </w:r>
      <w:r>
        <w:rPr>
          <w:rFonts w:hint="eastAsia"/>
          <w:sz w:val="18"/>
          <w:szCs w:val="18"/>
        </w:rPr>
        <w:br/>
        <w:t>  （1）库存商品（产成品）和用于出售的材料等直接用于出售的商品存货，在正常生产经营过程中，以该存货的估计售价减去估计的销售费用和相关税费后的金额，确定其可变现净值。</w:t>
      </w:r>
      <w:r>
        <w:rPr>
          <w:rFonts w:hint="eastAsia"/>
          <w:sz w:val="18"/>
          <w:szCs w:val="18"/>
        </w:rPr>
        <w:br/>
        <w:t>  （2）需要经过加工的材料存货，在正常生产经营过程中，以所生产的产成品的估计售价减去至完工时估计将要发生的成本、估计的销售费用和相关税费后的金额，确定其可变现净值。</w:t>
      </w:r>
      <w:r>
        <w:rPr>
          <w:rFonts w:hint="eastAsia"/>
          <w:sz w:val="18"/>
          <w:szCs w:val="18"/>
        </w:rPr>
        <w:br/>
        <w:t>  （3）为执行销售合同或者劳务合同而持有的存货，其可变现净值以合同价格为基础计算；公司持有存货的数量多于销售合同订购数量的，超出部分的存货的可变现净值以一般销售价格为基础计算。</w:t>
      </w:r>
      <w:r>
        <w:rPr>
          <w:rFonts w:hint="eastAsia"/>
          <w:sz w:val="18"/>
          <w:szCs w:val="18"/>
        </w:rPr>
        <w:br/>
        <w:t>  （4）为生产而持有的材料等，用其生产的产成品的可变现净值高于成本的，该材料仍然按照成本计量；材料价格的下降表明产成品的可变现净值低于成本的，该材料按照可变现净值计量。</w:t>
      </w:r>
      <w:r>
        <w:rPr>
          <w:rFonts w:hint="eastAsia"/>
          <w:sz w:val="18"/>
          <w:szCs w:val="18"/>
        </w:rPr>
        <w:br/>
        <w:t>  2.存货跌价准备的计提方法</w:t>
      </w:r>
      <w:r>
        <w:rPr>
          <w:rFonts w:hint="eastAsia"/>
          <w:sz w:val="18"/>
          <w:szCs w:val="18"/>
        </w:rPr>
        <w:br/>
        <w:t>  （1）单项计提</w:t>
      </w:r>
      <w:r>
        <w:rPr>
          <w:rFonts w:hint="eastAsia"/>
          <w:sz w:val="18"/>
          <w:szCs w:val="18"/>
        </w:rPr>
        <w:br/>
        <w:t>  公司通常按单个存货项目的成本高于其可变现净值的差额提取存货跌价准备。</w:t>
      </w:r>
      <w:r>
        <w:rPr>
          <w:rFonts w:hint="eastAsia"/>
          <w:sz w:val="18"/>
          <w:szCs w:val="18"/>
        </w:rPr>
        <w:br/>
        <w:t>  （2）合并计提</w:t>
      </w:r>
      <w:r>
        <w:rPr>
          <w:rFonts w:hint="eastAsia"/>
          <w:sz w:val="18"/>
          <w:szCs w:val="18"/>
        </w:rPr>
        <w:br/>
        <w:t>  与在同一地区生产和销售的产品系列相关、具有相同或类似最终用途或目的，且难以与其他项目分开计量的存货，则合并计提存货跌价准备。</w:t>
      </w:r>
      <w:r>
        <w:rPr>
          <w:rFonts w:hint="eastAsia"/>
          <w:sz w:val="18"/>
          <w:szCs w:val="18"/>
        </w:rPr>
        <w:br/>
        <w:t>（四）存货的盘存制度</w:t>
      </w:r>
      <w:r>
        <w:rPr>
          <w:rFonts w:hint="eastAsia"/>
          <w:sz w:val="18"/>
          <w:szCs w:val="18"/>
        </w:rPr>
        <w:br/>
        <w:t>  公司存货盘存采用永续盘存制，并定期进行实地盘点。</w:t>
      </w:r>
      <w:r>
        <w:rPr>
          <w:rFonts w:hint="eastAsia"/>
          <w:sz w:val="18"/>
          <w:szCs w:val="18"/>
        </w:rPr>
        <w:br/>
        <w:t>（五）周转材料的摊销方法</w:t>
      </w:r>
      <w:r>
        <w:rPr>
          <w:rFonts w:hint="eastAsia"/>
          <w:sz w:val="18"/>
          <w:szCs w:val="18"/>
        </w:rPr>
        <w:br/>
        <w:t>  1.低值易耗品的摊销方法</w:t>
      </w:r>
      <w:r>
        <w:rPr>
          <w:rFonts w:hint="eastAsia"/>
          <w:sz w:val="18"/>
          <w:szCs w:val="18"/>
        </w:rPr>
        <w:br/>
        <w:t>  公司领用低值易耗品采用一次转销法进行摊销。</w:t>
      </w:r>
      <w:r>
        <w:rPr>
          <w:rFonts w:hint="eastAsia"/>
          <w:sz w:val="18"/>
          <w:szCs w:val="18"/>
        </w:rPr>
        <w:br/>
        <w:t>  2.包装物的摊销方法</w:t>
      </w:r>
      <w:r>
        <w:rPr>
          <w:rFonts w:hint="eastAsia"/>
          <w:sz w:val="18"/>
          <w:szCs w:val="18"/>
        </w:rPr>
        <w:br/>
        <w:t>  公司领用包装物采用一次转销法进行摊销。</w:t>
      </w:r>
    </w:p>
    <w:p w14:paraId="18B9E7A8" w14:textId="77777777" w:rsidR="00632E5B" w:rsidRDefault="00107901">
      <w:pPr>
        <w:pStyle w:val="3"/>
        <w:spacing w:line="280" w:lineRule="exact"/>
        <w:jc w:val="left"/>
        <w:rPr>
          <w:rFonts w:ascii="宋体" w:hAnsi="宋体" w:cs="宋体" w:hint="eastAsia"/>
          <w:b/>
          <w:bCs/>
        </w:rPr>
      </w:pPr>
      <w:bookmarkStart w:id="176" w:name="_Toc989065"/>
      <w:r>
        <w:rPr>
          <w:rFonts w:ascii="宋体" w:hAnsi="宋体" w:cs="宋体"/>
          <w:b/>
          <w:bCs/>
        </w:rPr>
        <w:t>14、长期股权投资</w:t>
      </w:r>
      <w:bookmarkEnd w:id="176"/>
    </w:p>
    <w:p w14:paraId="2EF8E9B4" w14:textId="77777777" w:rsidR="00E72F0C" w:rsidRDefault="00107901">
      <w:pPr>
        <w:pStyle w:val="a3"/>
        <w:divId w:val="1979875316"/>
        <w:rPr>
          <w:rFonts w:hint="eastAsia"/>
          <w:sz w:val="18"/>
          <w:szCs w:val="18"/>
        </w:rPr>
      </w:pPr>
      <w:r>
        <w:rPr>
          <w:rFonts w:hint="eastAsia"/>
          <w:sz w:val="18"/>
          <w:szCs w:val="18"/>
        </w:rPr>
        <w:t>（一）长期股权投资初始投资成本的确定</w:t>
      </w:r>
      <w:r>
        <w:rPr>
          <w:rFonts w:hint="eastAsia"/>
          <w:sz w:val="18"/>
          <w:szCs w:val="18"/>
        </w:rPr>
        <w:br/>
        <w:t>  1.企业合并形成的长期股权投资，其初始投资成本的确认详见附注三之六同一控制下和非同一控制下企业合并的会计处理方法。</w:t>
      </w:r>
      <w:r>
        <w:rPr>
          <w:rFonts w:hint="eastAsia"/>
          <w:sz w:val="18"/>
          <w:szCs w:val="18"/>
        </w:rPr>
        <w:br/>
        <w:t>  2.除企业合并形成的长期股权投资以外，其他方式取得的长期股权投资，按照下列规定确定其初始投资成本：</w:t>
      </w:r>
      <w:r>
        <w:rPr>
          <w:rFonts w:hint="eastAsia"/>
          <w:sz w:val="18"/>
          <w:szCs w:val="18"/>
        </w:rPr>
        <w:br/>
        <w:t>  （1）通过支付现金取得的长期股权投资，按照实际支付的购买价款作为初始投资成本。初始投资成本包括与取得长期股权投资直接相关的费用、税金及其他必要支出。</w:t>
      </w:r>
      <w:r>
        <w:rPr>
          <w:rFonts w:hint="eastAsia"/>
          <w:sz w:val="18"/>
          <w:szCs w:val="18"/>
        </w:rPr>
        <w:br/>
        <w:t>  （2）通过发行的权益性证券（权益性工具）等方式取得的长期股权投资，按照所发行权益性证券（权益性工具）公允价值作为其初始投资成本。如有确凿证据表明，取得的长期股权投资的公允价值比所发行权益性证券（权益性工具）的公允价值更加可靠的，以投资者投入的长期股权投资的公允价值为基础确定其初始投资成本。与发行权益性证券（权益性工具）直接相关费用，包括手续费、佣金等，冲减发行溢价，溢价不足冲减的，依次冲减盈余公积和未分配利润。通过发行债务性证券（债务性工具）取得的长期股权投资，比照通过发行权益性证券（权益性工具）处理。</w:t>
      </w:r>
      <w:r>
        <w:rPr>
          <w:rFonts w:hint="eastAsia"/>
          <w:sz w:val="18"/>
          <w:szCs w:val="18"/>
        </w:rPr>
        <w:br/>
        <w:t>  （3）通过债务重组方式取得的长期股权投资，公司以放弃债权的公允价值和可直接归属于该资产的税金等其他成本作为其初始投资成本。</w:t>
      </w:r>
      <w:r>
        <w:rPr>
          <w:rFonts w:hint="eastAsia"/>
          <w:sz w:val="18"/>
          <w:szCs w:val="18"/>
        </w:rPr>
        <w:br/>
        <w:t>  （4）通过非货币性资产交换方式取得的长期股权投资，在非货币性资产交换具有商业实质和换入资产或换出资产的公允价值能够可靠计量的情况下，公司以换出资产的公允价值为基础确定其初始投资成本，除非有确凿证据表明换入资产的公允价值更加可靠；不满足上述条件的，公司以换出资产的账面价值和应支付的相关税费作为换入长期股权投资的初始投</w:t>
      </w:r>
      <w:r>
        <w:rPr>
          <w:rFonts w:hint="eastAsia"/>
          <w:sz w:val="18"/>
          <w:szCs w:val="18"/>
        </w:rPr>
        <w:lastRenderedPageBreak/>
        <w:t>资成本。</w:t>
      </w:r>
      <w:r>
        <w:rPr>
          <w:rFonts w:hint="eastAsia"/>
          <w:sz w:val="18"/>
          <w:szCs w:val="18"/>
        </w:rPr>
        <w:br/>
        <w:t>  公司发生的与取得长期股权投资直接相关的费用、税金及其他必要支出，计入长期股权投资的初始投资成本。</w:t>
      </w:r>
      <w:r>
        <w:rPr>
          <w:rFonts w:hint="eastAsia"/>
          <w:sz w:val="18"/>
          <w:szCs w:val="18"/>
        </w:rPr>
        <w:br/>
        <w:t>  公司无论以何种方式取得长期股权投资，实际支付的价款或对价中包含的已宣告但尚未发放的现金股利或利润，作为应收股利单独核算，不构成长期股权投资的成本。</w:t>
      </w:r>
      <w:r>
        <w:rPr>
          <w:rFonts w:hint="eastAsia"/>
          <w:sz w:val="18"/>
          <w:szCs w:val="18"/>
        </w:rPr>
        <w:br/>
        <w:t>（二）长期股权投资的后续计量及损益确认方法</w:t>
      </w:r>
      <w:r>
        <w:rPr>
          <w:rFonts w:hint="eastAsia"/>
          <w:sz w:val="18"/>
          <w:szCs w:val="18"/>
        </w:rPr>
        <w:br/>
        <w:t>  1.采用成本法核算的长期股权投资</w:t>
      </w:r>
      <w:r>
        <w:rPr>
          <w:rFonts w:hint="eastAsia"/>
          <w:sz w:val="18"/>
          <w:szCs w:val="18"/>
        </w:rPr>
        <w:br/>
        <w:t>  （1）公司对被投资单位能够实施控制的长期股权投资，即对子公司投资，采用成本法核算。</w:t>
      </w:r>
      <w:r>
        <w:rPr>
          <w:rFonts w:hint="eastAsia"/>
          <w:sz w:val="18"/>
          <w:szCs w:val="18"/>
        </w:rPr>
        <w:br/>
        <w:t>  （2）采用成本法核算的长期股权投资，除取得投资时实际支付的价款或对价中包含的已宣告但尚未发放的现金股利或利润外，公司不分是否属于投资前和投资后被投资单位实现的净利润，均按照应享有被投资单位宣告发放的现金股利或利润确认投资收益。</w:t>
      </w:r>
      <w:r>
        <w:rPr>
          <w:rFonts w:hint="eastAsia"/>
          <w:sz w:val="18"/>
          <w:szCs w:val="18"/>
        </w:rPr>
        <w:br/>
        <w:t>  2.采用权益法核算的长期股权投资</w:t>
      </w:r>
      <w:r>
        <w:rPr>
          <w:rFonts w:hint="eastAsia"/>
          <w:sz w:val="18"/>
          <w:szCs w:val="18"/>
        </w:rPr>
        <w:br/>
        <w:t>  （1）公司对被投资单位具有共同控制的合营企业或重大影响的联营企业，采用权益法核算。</w:t>
      </w:r>
      <w:r>
        <w:rPr>
          <w:rFonts w:hint="eastAsia"/>
          <w:sz w:val="18"/>
          <w:szCs w:val="18"/>
        </w:rPr>
        <w:br/>
        <w:t>  （2）采用权益法核算的长期股权投资，对于初始投资成本大于投资时应享有被投资单位可辨认净资产公允价值份额的，不调整长期股权投资的初始投资成本；初始投资成本小于投资时应享有被投资单位可辨认净资产公允价值份额的，其差额计入当期损益，同时调整长期股权投资的初始投资成本。</w:t>
      </w:r>
      <w:r>
        <w:rPr>
          <w:rFonts w:hint="eastAsia"/>
          <w:sz w:val="18"/>
          <w:szCs w:val="18"/>
        </w:rPr>
        <w:br/>
        <w:t>  （3）取得长期股权投资后，公司按照应享有或应分担的被投资单位实现的净损益和其他综合收益的份额，分别确认投资损益和其他综合收益，同时调整长期股权投资的账面价值。在确认应享有或应分担被投资单位的净损益时，以取得投资时被投资单位可辨认净资产的公允价值为基础，对被投资单位账面净利润经过调整后计算确定。但是，公司对无法合理确定取得投资时被投资单位各项可辨认资产公允价值的、投资时被投资单位可辨认资产的公允价值与其账面价值之间的差额较小的或是其他原因导致无法取得被投资单位有关资料的，直接以被投资单位的账面净损益为基础计算确认投资损益。公司按照被投资单位宣告分派的现金股利或利润计算应分享有的部分，相应减少长期股权投资的账面价值。公司对被投资单位除净损益、其他综合收益以及利润分配以外的所有者权益的其他变动，调整长期股权投资的账面价值并计入所有者权益。</w:t>
      </w:r>
      <w:r>
        <w:rPr>
          <w:rFonts w:hint="eastAsia"/>
          <w:sz w:val="18"/>
          <w:szCs w:val="18"/>
        </w:rPr>
        <w:br/>
        <w:t>  公司在确认由联营企业及合营企业投资产生的投资收益时，对公司与联营企业及合营企业之间发生的未实现内部交易收益按照持股比例计算归属于公司的部分予以抵销，并在此基础上确认投资损益。公司与被投资单位发生的内部交易损失属于资产减值损失的，全额予以确认。公司对于纳入合并范围的子公司与其联营企业及合营企业之间发生的未实现内部交易损益，也按照上述原则进行抵销，并在此基础上确认投资损益。</w:t>
      </w:r>
      <w:r>
        <w:rPr>
          <w:rFonts w:hint="eastAsia"/>
          <w:sz w:val="18"/>
          <w:szCs w:val="18"/>
        </w:rPr>
        <w:br/>
        <w:t>  在确认应分担被投资单位发生的净亏损时，按照下列顺序进行处理：首先冲减长期股权投资的账面价值；如果长期股权投资的账面价值不足以冲减的，则以其他实质上构成对被投资单位净投资的长期权益的账面价值为限继续确认投资损失，冲减长期应收款的账面价值；经过上述处理，按照投资合同或协议约定公司仍承担额外损失义务的，按照预计承担的义务确认预计负债，计入当期投资损失。被投资单位以后期间实现盈利的，公司扣除未确认的亏损分担额后，按照与上述相反的顺序处理，减记已确认预计负债的账面金额、恢复其他实质上构成对被投资单位净投资的长期权益和长期股权投资的账面价值，同时确认投资收益。</w:t>
      </w:r>
      <w:r>
        <w:rPr>
          <w:rFonts w:hint="eastAsia"/>
          <w:sz w:val="18"/>
          <w:szCs w:val="18"/>
        </w:rPr>
        <w:br/>
        <w:t>（三）确定对被投资单位具有共同控制、重大影响的依据</w:t>
      </w:r>
      <w:r>
        <w:rPr>
          <w:rFonts w:hint="eastAsia"/>
          <w:sz w:val="18"/>
          <w:szCs w:val="18"/>
        </w:rPr>
        <w:br/>
        <w:t>  1.确定对被投资单位具有共同控制的依据</w:t>
      </w:r>
      <w:r>
        <w:rPr>
          <w:rFonts w:hint="eastAsia"/>
          <w:sz w:val="18"/>
          <w:szCs w:val="18"/>
        </w:rPr>
        <w:br/>
        <w:t>  共同控制，是指按照相关约定对某项安排所共有的控制，并且该安排的相关活动必须经过分享控制权的参与方一致同意后才能决策。某项安排的相关活动通常包括商品或劳务的销售和购买、金融资产的管理、资产的购买和处置、研究开发活动以及融资活动等。合营企业，是公司仅对某项安排的净资产享有权利的合营安排。合营方享有某项安排相关资产且承担相关债务的合营安排是共同经营，而不是合营企业。</w:t>
      </w:r>
      <w:r>
        <w:rPr>
          <w:rFonts w:hint="eastAsia"/>
          <w:sz w:val="18"/>
          <w:szCs w:val="18"/>
        </w:rPr>
        <w:br/>
        <w:t>  2.确定对被投资单位具有重大影响的依据</w:t>
      </w:r>
      <w:r>
        <w:rPr>
          <w:rFonts w:hint="eastAsia"/>
          <w:sz w:val="18"/>
          <w:szCs w:val="18"/>
        </w:rPr>
        <w:br/>
        <w:t>  重大影响，是指对被投资单位的财务和经营政策有参与决策的权力，但并不能够控制或者与其他方一起共同控制这些政策的制定。公司能够对被投资单位施加重大影响的，被投资单位为其联营企业。</w:t>
      </w:r>
    </w:p>
    <w:p w14:paraId="1E2A77C8" w14:textId="77777777" w:rsidR="00632E5B" w:rsidRDefault="00107901">
      <w:pPr>
        <w:pStyle w:val="3"/>
        <w:spacing w:line="280" w:lineRule="exact"/>
        <w:jc w:val="left"/>
        <w:rPr>
          <w:rFonts w:ascii="宋体" w:hAnsi="宋体" w:cs="宋体" w:hint="eastAsia"/>
          <w:b/>
          <w:bCs/>
        </w:rPr>
      </w:pPr>
      <w:bookmarkStart w:id="177" w:name="_Toc989066"/>
      <w:r>
        <w:rPr>
          <w:rFonts w:ascii="宋体" w:hAnsi="宋体" w:cs="宋体"/>
          <w:b/>
          <w:bCs/>
        </w:rPr>
        <w:lastRenderedPageBreak/>
        <w:t>15、固定资产</w:t>
      </w:r>
      <w:bookmarkEnd w:id="177"/>
    </w:p>
    <w:p w14:paraId="5E4201E1"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178" w:name="_Toc989067"/>
      <w:r>
        <w:rPr>
          <w:rFonts w:ascii="宋体" w:eastAsia="宋体" w:hAnsi="宋体" w:cs="宋体"/>
          <w:b/>
          <w:bCs/>
          <w:szCs w:val="21"/>
        </w:rPr>
        <w:t>（1） 确认条件</w:t>
      </w:r>
      <w:bookmarkEnd w:id="178"/>
    </w:p>
    <w:p w14:paraId="254F06DB" w14:textId="77777777" w:rsidR="00E72F0C" w:rsidRDefault="00107901" w:rsidP="00507D49">
      <w:pPr>
        <w:pStyle w:val="a3"/>
        <w:spacing w:before="0" w:beforeAutospacing="0" w:after="0" w:afterAutospacing="0"/>
        <w:ind w:firstLine="408"/>
        <w:divId w:val="1926526154"/>
        <w:rPr>
          <w:rFonts w:hint="eastAsia"/>
          <w:sz w:val="18"/>
          <w:szCs w:val="18"/>
        </w:rPr>
      </w:pPr>
      <w:r>
        <w:rPr>
          <w:rFonts w:hint="eastAsia"/>
          <w:sz w:val="18"/>
          <w:szCs w:val="18"/>
        </w:rPr>
        <w:t>固定资产是指为生产商品、提供劳务、出租或经营管理而持有的，使用寿命超过一个会计年度的有形资产。固定资产在同时满足下列条件时予以确认：</w:t>
      </w:r>
    </w:p>
    <w:p w14:paraId="63C6CB89" w14:textId="77777777" w:rsidR="00E72F0C" w:rsidRDefault="00107901" w:rsidP="00507D49">
      <w:pPr>
        <w:pStyle w:val="a3"/>
        <w:spacing w:before="0" w:beforeAutospacing="0" w:after="0" w:afterAutospacing="0"/>
        <w:ind w:firstLine="408"/>
        <w:divId w:val="1926526154"/>
        <w:rPr>
          <w:rFonts w:hint="eastAsia"/>
          <w:sz w:val="18"/>
          <w:szCs w:val="18"/>
        </w:rPr>
      </w:pPr>
      <w:r>
        <w:rPr>
          <w:rFonts w:hint="eastAsia"/>
          <w:sz w:val="18"/>
          <w:szCs w:val="18"/>
        </w:rPr>
        <w:t>1.与该固定资产有关的经济利益很可能流入公司；</w:t>
      </w:r>
    </w:p>
    <w:p w14:paraId="5C7B27A7" w14:textId="77777777" w:rsidR="00E72F0C" w:rsidRDefault="00107901" w:rsidP="00507D49">
      <w:pPr>
        <w:pStyle w:val="a3"/>
        <w:spacing w:before="0" w:beforeAutospacing="0" w:after="0" w:afterAutospacing="0"/>
        <w:ind w:firstLine="408"/>
        <w:divId w:val="1926526154"/>
        <w:rPr>
          <w:rFonts w:hint="eastAsia"/>
          <w:sz w:val="18"/>
          <w:szCs w:val="18"/>
        </w:rPr>
      </w:pPr>
      <w:r>
        <w:rPr>
          <w:rFonts w:hint="eastAsia"/>
          <w:sz w:val="18"/>
          <w:szCs w:val="18"/>
        </w:rPr>
        <w:t>2.该固定资产的成本能够可靠地计量。</w:t>
      </w:r>
    </w:p>
    <w:p w14:paraId="7BAD062F"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179" w:name="_Toc989068"/>
      <w:r>
        <w:rPr>
          <w:rFonts w:ascii="宋体" w:eastAsia="宋体" w:hAnsi="宋体" w:cs="宋体"/>
          <w:b/>
          <w:bCs/>
          <w:szCs w:val="21"/>
        </w:rPr>
        <w:t>（2） 折旧方法</w:t>
      </w:r>
      <w:bookmarkEnd w:id="179"/>
    </w:p>
    <w:p w14:paraId="37D33515" w14:textId="77777777" w:rsidR="00632E5B" w:rsidRDefault="00632E5B">
      <w:pPr>
        <w:spacing w:line="0" w:lineRule="atLeast"/>
      </w:pP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927"/>
        <w:gridCol w:w="1928"/>
        <w:gridCol w:w="1928"/>
        <w:gridCol w:w="1928"/>
        <w:gridCol w:w="1928"/>
      </w:tblGrid>
      <w:tr w:rsidR="00632E5B" w14:paraId="6FBC8A6F" w14:textId="77777777" w:rsidTr="004A771F">
        <w:trPr>
          <w:trHeight w:val="240"/>
        </w:trPr>
        <w:tc>
          <w:tcPr>
            <w:tcW w:w="1928" w:type="dxa"/>
            <w:shd w:val="clear" w:color="auto" w:fill="FFFFFF" w:themeFill="background1"/>
            <w:vAlign w:val="center"/>
          </w:tcPr>
          <w:p w14:paraId="3CA831C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类别</w:t>
            </w:r>
          </w:p>
        </w:tc>
        <w:tc>
          <w:tcPr>
            <w:tcW w:w="1928" w:type="dxa"/>
            <w:shd w:val="clear" w:color="auto" w:fill="FFFFFF" w:themeFill="background1"/>
            <w:vAlign w:val="center"/>
          </w:tcPr>
          <w:p w14:paraId="1B8AA69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折旧方法</w:t>
            </w:r>
          </w:p>
        </w:tc>
        <w:tc>
          <w:tcPr>
            <w:tcW w:w="1928" w:type="dxa"/>
            <w:shd w:val="clear" w:color="auto" w:fill="FFFFFF" w:themeFill="background1"/>
            <w:vAlign w:val="center"/>
          </w:tcPr>
          <w:p w14:paraId="3126B08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折旧年限</w:t>
            </w:r>
          </w:p>
        </w:tc>
        <w:tc>
          <w:tcPr>
            <w:tcW w:w="1928" w:type="dxa"/>
            <w:shd w:val="clear" w:color="auto" w:fill="FFFFFF" w:themeFill="background1"/>
            <w:vAlign w:val="center"/>
          </w:tcPr>
          <w:p w14:paraId="344ED63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残值率</w:t>
            </w:r>
          </w:p>
        </w:tc>
        <w:tc>
          <w:tcPr>
            <w:tcW w:w="1928" w:type="dxa"/>
            <w:shd w:val="clear" w:color="auto" w:fill="FFFFFF" w:themeFill="background1"/>
            <w:vAlign w:val="center"/>
          </w:tcPr>
          <w:p w14:paraId="4F7C545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年折旧率</w:t>
            </w:r>
          </w:p>
        </w:tc>
      </w:tr>
      <w:tr w:rsidR="00632E5B" w14:paraId="4CFB21E1" w14:textId="77777777" w:rsidTr="004A771F">
        <w:trPr>
          <w:trHeight w:val="240"/>
        </w:trPr>
        <w:tc>
          <w:tcPr>
            <w:tcW w:w="1928" w:type="dxa"/>
            <w:shd w:val="clear" w:color="auto" w:fill="FFFFFF" w:themeFill="background1"/>
            <w:vAlign w:val="center"/>
          </w:tcPr>
          <w:p w14:paraId="2F17B5B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房屋及建筑物</w:t>
            </w:r>
          </w:p>
        </w:tc>
        <w:tc>
          <w:tcPr>
            <w:tcW w:w="1928" w:type="dxa"/>
            <w:shd w:val="clear" w:color="auto" w:fill="FFFFFF" w:themeFill="background1"/>
            <w:vAlign w:val="center"/>
          </w:tcPr>
          <w:p w14:paraId="3BA21A6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年限平均法</w:t>
            </w:r>
          </w:p>
        </w:tc>
        <w:tc>
          <w:tcPr>
            <w:tcW w:w="1928" w:type="dxa"/>
            <w:shd w:val="clear" w:color="auto" w:fill="FFFFFF" w:themeFill="background1"/>
            <w:vAlign w:val="center"/>
          </w:tcPr>
          <w:p w14:paraId="54DB7F6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20年-30年</w:t>
            </w:r>
          </w:p>
        </w:tc>
        <w:tc>
          <w:tcPr>
            <w:tcW w:w="1928" w:type="dxa"/>
            <w:shd w:val="clear" w:color="auto" w:fill="FFFFFF" w:themeFill="background1"/>
            <w:vAlign w:val="center"/>
          </w:tcPr>
          <w:p w14:paraId="03B2EBF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5%</w:t>
            </w:r>
          </w:p>
        </w:tc>
        <w:tc>
          <w:tcPr>
            <w:tcW w:w="1928" w:type="dxa"/>
            <w:shd w:val="clear" w:color="auto" w:fill="FFFFFF" w:themeFill="background1"/>
            <w:vAlign w:val="center"/>
          </w:tcPr>
          <w:p w14:paraId="0213CF0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4.75%-3.17%</w:t>
            </w:r>
          </w:p>
        </w:tc>
      </w:tr>
      <w:tr w:rsidR="00632E5B" w14:paraId="4BCD0A55" w14:textId="77777777" w:rsidTr="004A771F">
        <w:trPr>
          <w:trHeight w:val="240"/>
        </w:trPr>
        <w:tc>
          <w:tcPr>
            <w:tcW w:w="1928" w:type="dxa"/>
            <w:shd w:val="clear" w:color="auto" w:fill="FFFFFF" w:themeFill="background1"/>
            <w:vAlign w:val="center"/>
          </w:tcPr>
          <w:p w14:paraId="594F8DC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整体电站</w:t>
            </w:r>
          </w:p>
        </w:tc>
        <w:tc>
          <w:tcPr>
            <w:tcW w:w="1928" w:type="dxa"/>
            <w:shd w:val="clear" w:color="auto" w:fill="FFFFFF" w:themeFill="background1"/>
            <w:vAlign w:val="center"/>
          </w:tcPr>
          <w:p w14:paraId="5BFE0DD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年限平均法</w:t>
            </w:r>
          </w:p>
        </w:tc>
        <w:tc>
          <w:tcPr>
            <w:tcW w:w="1928" w:type="dxa"/>
            <w:shd w:val="clear" w:color="auto" w:fill="FFFFFF" w:themeFill="background1"/>
            <w:vAlign w:val="center"/>
          </w:tcPr>
          <w:p w14:paraId="3C66AE9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20年</w:t>
            </w:r>
          </w:p>
        </w:tc>
        <w:tc>
          <w:tcPr>
            <w:tcW w:w="1928" w:type="dxa"/>
            <w:shd w:val="clear" w:color="auto" w:fill="FFFFFF" w:themeFill="background1"/>
            <w:vAlign w:val="center"/>
          </w:tcPr>
          <w:p w14:paraId="4A442EB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5%</w:t>
            </w:r>
          </w:p>
        </w:tc>
        <w:tc>
          <w:tcPr>
            <w:tcW w:w="1928" w:type="dxa"/>
            <w:shd w:val="clear" w:color="auto" w:fill="FFFFFF" w:themeFill="background1"/>
            <w:vAlign w:val="center"/>
          </w:tcPr>
          <w:p w14:paraId="34C02EB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4.75%</w:t>
            </w:r>
          </w:p>
        </w:tc>
      </w:tr>
      <w:tr w:rsidR="00632E5B" w14:paraId="769CA922" w14:textId="77777777" w:rsidTr="004A771F">
        <w:trPr>
          <w:trHeight w:val="240"/>
        </w:trPr>
        <w:tc>
          <w:tcPr>
            <w:tcW w:w="1928" w:type="dxa"/>
            <w:shd w:val="clear" w:color="auto" w:fill="FFFFFF" w:themeFill="background1"/>
            <w:vAlign w:val="center"/>
          </w:tcPr>
          <w:p w14:paraId="14122F4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机器设备</w:t>
            </w:r>
          </w:p>
        </w:tc>
        <w:tc>
          <w:tcPr>
            <w:tcW w:w="1928" w:type="dxa"/>
            <w:shd w:val="clear" w:color="auto" w:fill="FFFFFF" w:themeFill="background1"/>
            <w:vAlign w:val="center"/>
          </w:tcPr>
          <w:p w14:paraId="18AC8CD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年限平均法</w:t>
            </w:r>
          </w:p>
        </w:tc>
        <w:tc>
          <w:tcPr>
            <w:tcW w:w="1928" w:type="dxa"/>
            <w:shd w:val="clear" w:color="auto" w:fill="FFFFFF" w:themeFill="background1"/>
            <w:vAlign w:val="center"/>
          </w:tcPr>
          <w:p w14:paraId="2EA2CF1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5年-15年</w:t>
            </w:r>
          </w:p>
        </w:tc>
        <w:tc>
          <w:tcPr>
            <w:tcW w:w="1928" w:type="dxa"/>
            <w:shd w:val="clear" w:color="auto" w:fill="FFFFFF" w:themeFill="background1"/>
            <w:vAlign w:val="center"/>
          </w:tcPr>
          <w:p w14:paraId="36F09DA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5%</w:t>
            </w:r>
          </w:p>
        </w:tc>
        <w:tc>
          <w:tcPr>
            <w:tcW w:w="1928" w:type="dxa"/>
            <w:shd w:val="clear" w:color="auto" w:fill="FFFFFF" w:themeFill="background1"/>
            <w:vAlign w:val="center"/>
          </w:tcPr>
          <w:p w14:paraId="47DCA46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19%-6.33%</w:t>
            </w:r>
          </w:p>
        </w:tc>
      </w:tr>
      <w:tr w:rsidR="00632E5B" w14:paraId="33517BA0" w14:textId="77777777" w:rsidTr="004A771F">
        <w:trPr>
          <w:trHeight w:val="240"/>
        </w:trPr>
        <w:tc>
          <w:tcPr>
            <w:tcW w:w="1928" w:type="dxa"/>
            <w:shd w:val="clear" w:color="auto" w:fill="FFFFFF" w:themeFill="background1"/>
            <w:vAlign w:val="center"/>
          </w:tcPr>
          <w:p w14:paraId="73117EC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通用设备</w:t>
            </w:r>
          </w:p>
        </w:tc>
        <w:tc>
          <w:tcPr>
            <w:tcW w:w="1928" w:type="dxa"/>
            <w:shd w:val="clear" w:color="auto" w:fill="FFFFFF" w:themeFill="background1"/>
            <w:vAlign w:val="center"/>
          </w:tcPr>
          <w:p w14:paraId="0138804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年限平均法</w:t>
            </w:r>
          </w:p>
        </w:tc>
        <w:tc>
          <w:tcPr>
            <w:tcW w:w="1928" w:type="dxa"/>
            <w:shd w:val="clear" w:color="auto" w:fill="FFFFFF" w:themeFill="background1"/>
            <w:vAlign w:val="center"/>
          </w:tcPr>
          <w:p w14:paraId="6F9D758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3年-5年</w:t>
            </w:r>
          </w:p>
        </w:tc>
        <w:tc>
          <w:tcPr>
            <w:tcW w:w="1928" w:type="dxa"/>
            <w:shd w:val="clear" w:color="auto" w:fill="FFFFFF" w:themeFill="background1"/>
            <w:vAlign w:val="center"/>
          </w:tcPr>
          <w:p w14:paraId="06B3EC6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5%</w:t>
            </w:r>
          </w:p>
        </w:tc>
        <w:tc>
          <w:tcPr>
            <w:tcW w:w="1928" w:type="dxa"/>
            <w:shd w:val="clear" w:color="auto" w:fill="FFFFFF" w:themeFill="background1"/>
            <w:vAlign w:val="center"/>
          </w:tcPr>
          <w:p w14:paraId="3F802D2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31.67%-19%</w:t>
            </w:r>
          </w:p>
        </w:tc>
      </w:tr>
      <w:tr w:rsidR="00632E5B" w14:paraId="768CE396" w14:textId="77777777" w:rsidTr="004A771F">
        <w:trPr>
          <w:trHeight w:val="240"/>
        </w:trPr>
        <w:tc>
          <w:tcPr>
            <w:tcW w:w="1928" w:type="dxa"/>
            <w:shd w:val="clear" w:color="auto" w:fill="FFFFFF" w:themeFill="background1"/>
            <w:vAlign w:val="center"/>
          </w:tcPr>
          <w:p w14:paraId="58007B0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运输设备</w:t>
            </w:r>
          </w:p>
        </w:tc>
        <w:tc>
          <w:tcPr>
            <w:tcW w:w="1928" w:type="dxa"/>
            <w:shd w:val="clear" w:color="auto" w:fill="FFFFFF" w:themeFill="background1"/>
            <w:vAlign w:val="center"/>
          </w:tcPr>
          <w:p w14:paraId="257C5D1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年限平均法</w:t>
            </w:r>
          </w:p>
        </w:tc>
        <w:tc>
          <w:tcPr>
            <w:tcW w:w="1928" w:type="dxa"/>
            <w:shd w:val="clear" w:color="auto" w:fill="FFFFFF" w:themeFill="background1"/>
            <w:vAlign w:val="center"/>
          </w:tcPr>
          <w:p w14:paraId="2F0CE36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5年</w:t>
            </w:r>
          </w:p>
        </w:tc>
        <w:tc>
          <w:tcPr>
            <w:tcW w:w="1928" w:type="dxa"/>
            <w:shd w:val="clear" w:color="auto" w:fill="FFFFFF" w:themeFill="background1"/>
            <w:vAlign w:val="center"/>
          </w:tcPr>
          <w:p w14:paraId="1C7C8CE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5%</w:t>
            </w:r>
          </w:p>
        </w:tc>
        <w:tc>
          <w:tcPr>
            <w:tcW w:w="1928" w:type="dxa"/>
            <w:shd w:val="clear" w:color="auto" w:fill="FFFFFF" w:themeFill="background1"/>
            <w:vAlign w:val="center"/>
          </w:tcPr>
          <w:p w14:paraId="71376E3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19%</w:t>
            </w:r>
          </w:p>
        </w:tc>
      </w:tr>
    </w:tbl>
    <w:p w14:paraId="1603F1FF" w14:textId="77777777" w:rsidR="00E72F0C" w:rsidRDefault="00107901" w:rsidP="00507D49">
      <w:pPr>
        <w:pStyle w:val="a3"/>
        <w:spacing w:before="0" w:beforeAutospacing="0" w:after="0" w:afterAutospacing="0"/>
        <w:divId w:val="79759884"/>
        <w:rPr>
          <w:rFonts w:hint="eastAsia"/>
          <w:sz w:val="18"/>
          <w:szCs w:val="18"/>
        </w:rPr>
      </w:pPr>
      <w:r>
        <w:rPr>
          <w:rFonts w:hint="eastAsia"/>
          <w:sz w:val="18"/>
          <w:szCs w:val="18"/>
        </w:rPr>
        <w:t>  1.除已提足折旧仍继续使用的固定资产和土地以外，公司对所有固定资产计提折旧。</w:t>
      </w:r>
      <w:r>
        <w:rPr>
          <w:rFonts w:hint="eastAsia"/>
          <w:sz w:val="18"/>
          <w:szCs w:val="18"/>
        </w:rPr>
        <w:br/>
        <w:t>  2.公司固定资产从其达到预定可使用状态的次月起采用年限平均法计提折旧，并按照固定资产类别、预计使用寿命和预计净残值率计算确定折旧率和折旧额，并根据用途分别计入相关资产的成本或当期损益。</w:t>
      </w:r>
      <w:r>
        <w:rPr>
          <w:rFonts w:hint="eastAsia"/>
          <w:sz w:val="18"/>
          <w:szCs w:val="18"/>
        </w:rPr>
        <w:br/>
        <w:t>  3.固定资产类别、预计使用年限、预计净残值率和年折旧率列示如上：</w:t>
      </w:r>
    </w:p>
    <w:p w14:paraId="30678AE5" w14:textId="77777777" w:rsidR="00E72F0C" w:rsidRDefault="00107901" w:rsidP="00507D49">
      <w:pPr>
        <w:pStyle w:val="a3"/>
        <w:spacing w:before="0" w:beforeAutospacing="0" w:after="0" w:afterAutospacing="0"/>
        <w:divId w:val="79759884"/>
        <w:rPr>
          <w:rFonts w:hint="eastAsia"/>
          <w:sz w:val="18"/>
          <w:szCs w:val="18"/>
        </w:rPr>
      </w:pPr>
      <w:r>
        <w:rPr>
          <w:rFonts w:hint="eastAsia"/>
          <w:sz w:val="18"/>
          <w:szCs w:val="18"/>
        </w:rPr>
        <w:t>  已计提减值准备的固定资产在计提折旧时，公司按照该项固定资产的账面价值、预计净残值和尚可使用寿命重新计算确定折旧率和折旧额。</w:t>
      </w:r>
      <w:r>
        <w:rPr>
          <w:rFonts w:hint="eastAsia"/>
          <w:sz w:val="18"/>
          <w:szCs w:val="18"/>
        </w:rPr>
        <w:br/>
        <w:t>  资产负债表日，公司复核固定资产的预计使用寿命、预计净残值率和折旧方法，如有变更，作为会计估计变更处理。</w:t>
      </w:r>
      <w:r>
        <w:rPr>
          <w:rFonts w:hint="eastAsia"/>
          <w:sz w:val="18"/>
          <w:szCs w:val="18"/>
        </w:rPr>
        <w:br/>
        <w:t>  4.符合资本化条件的固定资产装修费用，在两次装修期间与固定资产尚可使用年限两者中较短的期间内，采用年限平均法单独计提折旧。</w:t>
      </w:r>
    </w:p>
    <w:p w14:paraId="0F484311" w14:textId="77777777" w:rsidR="00632E5B" w:rsidRDefault="00107901">
      <w:pPr>
        <w:pStyle w:val="3"/>
        <w:spacing w:line="280" w:lineRule="exact"/>
        <w:jc w:val="left"/>
        <w:rPr>
          <w:rFonts w:ascii="宋体" w:hAnsi="宋体" w:cs="宋体" w:hint="eastAsia"/>
          <w:b/>
          <w:bCs/>
        </w:rPr>
      </w:pPr>
      <w:bookmarkStart w:id="180" w:name="_Toc989069"/>
      <w:r>
        <w:rPr>
          <w:rFonts w:ascii="宋体" w:hAnsi="宋体" w:cs="宋体"/>
          <w:b/>
          <w:bCs/>
        </w:rPr>
        <w:t>16、在建工程</w:t>
      </w:r>
      <w:bookmarkEnd w:id="180"/>
    </w:p>
    <w:p w14:paraId="6241AEC7" w14:textId="77777777" w:rsidR="00E72F0C" w:rsidRDefault="00107901" w:rsidP="00091EA9">
      <w:pPr>
        <w:pStyle w:val="a3"/>
        <w:spacing w:before="0" w:beforeAutospacing="0" w:after="0" w:afterAutospacing="0"/>
        <w:divId w:val="101193646"/>
        <w:rPr>
          <w:rFonts w:hint="eastAsia"/>
          <w:sz w:val="18"/>
          <w:szCs w:val="18"/>
        </w:rPr>
      </w:pPr>
      <w:r>
        <w:rPr>
          <w:rFonts w:hint="eastAsia"/>
          <w:sz w:val="18"/>
          <w:szCs w:val="18"/>
        </w:rPr>
        <w:t>（一）在建工程的类别</w:t>
      </w:r>
      <w:r>
        <w:rPr>
          <w:rFonts w:hint="eastAsia"/>
          <w:sz w:val="18"/>
          <w:szCs w:val="18"/>
        </w:rPr>
        <w:br/>
        <w:t>  在建工程以立项项目分类核算。</w:t>
      </w:r>
      <w:r>
        <w:rPr>
          <w:rFonts w:hint="eastAsia"/>
          <w:sz w:val="18"/>
          <w:szCs w:val="18"/>
        </w:rPr>
        <w:br/>
        <w:t>（二）在建工程结转为固定资产的标准和时点</w:t>
      </w:r>
      <w:r>
        <w:rPr>
          <w:rFonts w:hint="eastAsia"/>
          <w:sz w:val="18"/>
          <w:szCs w:val="18"/>
        </w:rPr>
        <w:br/>
        <w:t>  在建工程项目按照建造该项资产达到预定可使用状态前所发生的全部支出，作为固定资产的入账价值。自营工程，按照直接材料、直接人工、直接机械施工费等计量；出包工程，按照应支付的工程价款等计量。在以借款进行的工程达到预定可使用状态前发生的、符合资本化条件的借款费用，予以资本化，计入在建工程成本。</w:t>
      </w:r>
      <w:r>
        <w:rPr>
          <w:rFonts w:hint="eastAsia"/>
          <w:sz w:val="18"/>
          <w:szCs w:val="18"/>
        </w:rPr>
        <w:br/>
        <w:t>  公司对于所建造的固定资产已达到预定可使用状态但尚未办理竣工决算的，自达到预定可使用状态之日起，根据工程预算、造价或者工程实际成本等，按照估计价值确定其成本，转入固定资产，并按照公司固定资产折旧政策计提固定资产的折旧；待办理竣工决算后，再按照实际成本调整原来的暂估价值，但不调整原已计提的折旧额。</w:t>
      </w:r>
    </w:p>
    <w:p w14:paraId="0CDAECB3" w14:textId="77777777" w:rsidR="00632E5B" w:rsidRDefault="00107901">
      <w:pPr>
        <w:pStyle w:val="3"/>
        <w:spacing w:line="280" w:lineRule="exact"/>
        <w:jc w:val="left"/>
        <w:rPr>
          <w:rFonts w:ascii="宋体" w:hAnsi="宋体" w:cs="宋体" w:hint="eastAsia"/>
          <w:b/>
          <w:bCs/>
        </w:rPr>
      </w:pPr>
      <w:bookmarkStart w:id="181" w:name="_Toc989070"/>
      <w:r>
        <w:rPr>
          <w:rFonts w:ascii="宋体" w:hAnsi="宋体" w:cs="宋体"/>
          <w:b/>
          <w:bCs/>
        </w:rPr>
        <w:t>17、借款费用</w:t>
      </w:r>
      <w:bookmarkEnd w:id="181"/>
    </w:p>
    <w:p w14:paraId="45B751CA" w14:textId="77777777" w:rsidR="00E72F0C" w:rsidRDefault="00107901">
      <w:pPr>
        <w:pStyle w:val="a3"/>
        <w:divId w:val="140276581"/>
        <w:rPr>
          <w:rFonts w:hint="eastAsia"/>
          <w:sz w:val="18"/>
          <w:szCs w:val="18"/>
        </w:rPr>
      </w:pPr>
      <w:r>
        <w:rPr>
          <w:rFonts w:hint="eastAsia"/>
          <w:sz w:val="18"/>
          <w:szCs w:val="18"/>
        </w:rPr>
        <w:t>（一）借款费用的范围</w:t>
      </w:r>
      <w:r>
        <w:rPr>
          <w:rFonts w:hint="eastAsia"/>
          <w:sz w:val="18"/>
          <w:szCs w:val="18"/>
        </w:rPr>
        <w:br/>
        <w:t>  公司的借款费用包括因借款而发生的借款利息、折价或者溢价的摊销、辅助费用以及因外币借款而发生的汇兑差额等。</w:t>
      </w:r>
      <w:r>
        <w:rPr>
          <w:rFonts w:hint="eastAsia"/>
          <w:sz w:val="18"/>
          <w:szCs w:val="18"/>
        </w:rPr>
        <w:br/>
        <w:t>（二）借款费用的确认原则</w:t>
      </w:r>
      <w:r>
        <w:rPr>
          <w:rFonts w:hint="eastAsia"/>
          <w:sz w:val="18"/>
          <w:szCs w:val="18"/>
        </w:rPr>
        <w:br/>
        <w:t>  公司发生的借款费用，可直接归属于符合资本化条件的资产的购建或者生产的，予以资本化，计入相关资产成本；其他</w:t>
      </w:r>
      <w:r>
        <w:rPr>
          <w:rFonts w:hint="eastAsia"/>
          <w:sz w:val="18"/>
          <w:szCs w:val="18"/>
        </w:rPr>
        <w:lastRenderedPageBreak/>
        <w:t>借款费用，在发生时根据其发生额确认为费用，计入当期损益。</w:t>
      </w:r>
      <w:r>
        <w:rPr>
          <w:rFonts w:hint="eastAsia"/>
          <w:sz w:val="18"/>
          <w:szCs w:val="18"/>
        </w:rPr>
        <w:br/>
        <w:t>  符合资本化条件的资产，包括需要经过相当长时间的购建或者生产活动才能达到预定可使用或者可销售状态的固定资产、投资性房地产和存货等资产。</w:t>
      </w:r>
      <w:r>
        <w:rPr>
          <w:rFonts w:hint="eastAsia"/>
          <w:sz w:val="18"/>
          <w:szCs w:val="18"/>
        </w:rPr>
        <w:br/>
        <w:t>（三）借款费用资本化期间的确定</w:t>
      </w:r>
      <w:r>
        <w:rPr>
          <w:rFonts w:hint="eastAsia"/>
          <w:sz w:val="18"/>
          <w:szCs w:val="18"/>
        </w:rPr>
        <w:br/>
        <w:t>  1.借款费用开始资本化时点的确定</w:t>
      </w:r>
      <w:r>
        <w:rPr>
          <w:rFonts w:hint="eastAsia"/>
          <w:sz w:val="18"/>
          <w:szCs w:val="18"/>
        </w:rPr>
        <w:br/>
        <w:t>  当资产支出已经发生、借款费用已经发生且为使资产达到预定可使用或者可销售状态所必要的购建或者生产活动已经开始时，借款费用开始资本化。其中，资产支出包括为购建或者生产符合资本化条件的资产而以支付现金、转移非现金资产或者承担带息债务形式发生的支出。</w:t>
      </w:r>
      <w:r>
        <w:rPr>
          <w:rFonts w:hint="eastAsia"/>
          <w:sz w:val="18"/>
          <w:szCs w:val="18"/>
        </w:rPr>
        <w:br/>
        <w:t>  2.借款费用暂停资本化时间的确定</w:t>
      </w:r>
      <w:r>
        <w:rPr>
          <w:rFonts w:hint="eastAsia"/>
          <w:sz w:val="18"/>
          <w:szCs w:val="18"/>
        </w:rPr>
        <w:br/>
        <w:t>  符合资本化条件的资产在购建或者生产过程中发生非正常中断且中断时间连续超过3个月的，暂停借款费用的资本化。公司将在中断期间发生的借款费用确认为当期损益，直至资产的购建或者生产活动重新开始后借款费用继续资本化。如果中断是所购建或者生产的符合资本化条件的资产达到预定可使用或者可销售状态必要的程序，则借款费用的资本化继续进行。</w:t>
      </w:r>
      <w:r>
        <w:rPr>
          <w:rFonts w:hint="eastAsia"/>
          <w:sz w:val="18"/>
          <w:szCs w:val="18"/>
        </w:rPr>
        <w:br/>
        <w:t>  3.借款费用停止资本化时点的确定</w:t>
      </w:r>
      <w:r>
        <w:rPr>
          <w:rFonts w:hint="eastAsia"/>
          <w:sz w:val="18"/>
          <w:szCs w:val="18"/>
        </w:rPr>
        <w:br/>
        <w:t>  当购建或者生产符合资本化条件的资产达到预定可使用或者可销售状态时，停止借款费用的资本化。在符合资本化条件的资产达到预定可使用或者可销售状态之后所发生的借款费用，在发生时根据其发生额确认为当期损益。</w:t>
      </w:r>
      <w:r>
        <w:rPr>
          <w:rFonts w:hint="eastAsia"/>
          <w:sz w:val="18"/>
          <w:szCs w:val="18"/>
        </w:rPr>
        <w:br/>
        <w:t>  购建或者生产的符合资本化条件的资产的各部分分别完工，且每部分在其他部分继续建造过程中可供使用或者可对外销售，且为使该部分资产达到预定可使用或可销售状态所必要的购建或者生产活动实质上已经完成的，停止与该部分资产相关的借款费用的资本化；购建或者生产的资产的各部分分别完工，但必须等到整体完工后才可使用或者可对外销售的，在该资产整体完工时停止借款费用的资本化。</w:t>
      </w:r>
      <w:r>
        <w:rPr>
          <w:rFonts w:hint="eastAsia"/>
          <w:sz w:val="18"/>
          <w:szCs w:val="18"/>
        </w:rPr>
        <w:br/>
        <w:t>（四）借款费用资本化金额的确定</w:t>
      </w:r>
      <w:r>
        <w:rPr>
          <w:rFonts w:hint="eastAsia"/>
          <w:sz w:val="18"/>
          <w:szCs w:val="18"/>
        </w:rPr>
        <w:br/>
        <w:t>  1.借款利息资本化金额的确定</w:t>
      </w:r>
      <w:r>
        <w:rPr>
          <w:rFonts w:hint="eastAsia"/>
          <w:sz w:val="18"/>
          <w:szCs w:val="18"/>
        </w:rPr>
        <w:br/>
        <w:t>  在资本化期间内，每一会计期间的利息（包括折价或溢价的摊销）资本化金额，按照下列规定确定：</w:t>
      </w:r>
      <w:r>
        <w:rPr>
          <w:rFonts w:hint="eastAsia"/>
          <w:sz w:val="18"/>
          <w:szCs w:val="18"/>
        </w:rPr>
        <w:br/>
        <w:t>  （1）为购建或者生产符合资本化条件的资产而借入专门借款的，公司以专门借款当期实际发生的利息费用，减去将尚未动用的借款资金存入银行取得的利息收入或进行暂时性投资取得的投资收益后的金额确定。</w:t>
      </w:r>
      <w:r>
        <w:rPr>
          <w:rFonts w:hint="eastAsia"/>
          <w:sz w:val="18"/>
          <w:szCs w:val="18"/>
        </w:rPr>
        <w:br/>
        <w:t>  （2）为购建或者生产符合资本化条件的资产而占用了一般借款的，公司根据累计资产支出超过专门借款部分的资产支出加权平均数乘以所占用一般借款的资本化率，计算确定一般借款应予资本化的利息金额。资本化率根据一般借款加权平均利率计算确定。</w:t>
      </w:r>
      <w:r>
        <w:rPr>
          <w:rFonts w:hint="eastAsia"/>
          <w:sz w:val="18"/>
          <w:szCs w:val="18"/>
        </w:rPr>
        <w:br/>
        <w:t>  （3）借款存在折价或者溢价的，公司按照实际利率法确定每一会计期间应摊销的折价或者溢价金额，调整每期利息金额。</w:t>
      </w:r>
      <w:r>
        <w:rPr>
          <w:rFonts w:hint="eastAsia"/>
          <w:sz w:val="18"/>
          <w:szCs w:val="18"/>
        </w:rPr>
        <w:br/>
        <w:t>  （4）在资本化期间内，每一会计期间的利息资本化金额，不能超过当期相关借款实际发生的利息金额。</w:t>
      </w:r>
      <w:r>
        <w:rPr>
          <w:rFonts w:hint="eastAsia"/>
          <w:sz w:val="18"/>
          <w:szCs w:val="18"/>
        </w:rPr>
        <w:br/>
        <w:t>  2.借款辅助费用资本化金额的确定</w:t>
      </w:r>
      <w:r>
        <w:rPr>
          <w:rFonts w:hint="eastAsia"/>
          <w:sz w:val="18"/>
          <w:szCs w:val="18"/>
        </w:rPr>
        <w:br/>
        <w:t>  （1）专门借款发生的辅助费用，在所购建或者生产的符合资本化条件的资产达到预定可使用或者可销售状态之前发生的，在发生时根据其发生额予以资本化，计入符合资本化条件的资产的成本；在所购建或者生产的符合资本化条件的资产达到预定可使用或者可销售状态之后发生的，在发生时根据其发生额确认为费用，计入当期损益。</w:t>
      </w:r>
      <w:r>
        <w:rPr>
          <w:rFonts w:hint="eastAsia"/>
          <w:sz w:val="18"/>
          <w:szCs w:val="18"/>
        </w:rPr>
        <w:br/>
        <w:t>  （2）一般借款发生的辅助费用，在发生时根据其发生额确认为费用，计入当期损益。</w:t>
      </w:r>
      <w:r>
        <w:rPr>
          <w:rFonts w:hint="eastAsia"/>
          <w:sz w:val="18"/>
          <w:szCs w:val="18"/>
        </w:rPr>
        <w:br/>
        <w:t>  3.汇兑差额资本化金额的确定</w:t>
      </w:r>
      <w:r>
        <w:rPr>
          <w:rFonts w:hint="eastAsia"/>
          <w:sz w:val="18"/>
          <w:szCs w:val="18"/>
        </w:rPr>
        <w:br/>
        <w:t>  在资本化期间内，外币专门借款本金及利息的汇兑差额，予以资本化，计入符合资本化条件的资产的成本。</w:t>
      </w:r>
    </w:p>
    <w:p w14:paraId="24C98628" w14:textId="77777777" w:rsidR="00632E5B" w:rsidRDefault="00107901">
      <w:pPr>
        <w:pStyle w:val="3"/>
        <w:spacing w:line="280" w:lineRule="exact"/>
        <w:jc w:val="left"/>
        <w:rPr>
          <w:rFonts w:ascii="宋体" w:hAnsi="宋体" w:cs="宋体" w:hint="eastAsia"/>
          <w:b/>
          <w:bCs/>
        </w:rPr>
      </w:pPr>
      <w:bookmarkStart w:id="182" w:name="_Toc989071"/>
      <w:r>
        <w:rPr>
          <w:rFonts w:ascii="宋体" w:hAnsi="宋体" w:cs="宋体"/>
          <w:b/>
          <w:bCs/>
        </w:rPr>
        <w:t>18、无形资产</w:t>
      </w:r>
      <w:bookmarkEnd w:id="182"/>
    </w:p>
    <w:p w14:paraId="622C62DA"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183" w:name="_Toc989072"/>
      <w:r>
        <w:rPr>
          <w:rFonts w:ascii="宋体" w:eastAsia="宋体" w:hAnsi="宋体" w:cs="宋体"/>
          <w:b/>
          <w:bCs/>
          <w:szCs w:val="21"/>
        </w:rPr>
        <w:t>（1） 使用寿命及其确定依据、估计情况、摊销方法或复核程序</w:t>
      </w:r>
      <w:bookmarkEnd w:id="183"/>
    </w:p>
    <w:p w14:paraId="5BD9397C" w14:textId="77777777" w:rsidR="00E72F0C" w:rsidRDefault="00107901">
      <w:pPr>
        <w:pStyle w:val="a3"/>
        <w:divId w:val="1666201496"/>
        <w:rPr>
          <w:rFonts w:hint="eastAsia"/>
          <w:sz w:val="18"/>
          <w:szCs w:val="18"/>
        </w:rPr>
      </w:pPr>
      <w:r>
        <w:rPr>
          <w:rFonts w:hint="eastAsia"/>
          <w:sz w:val="18"/>
          <w:szCs w:val="18"/>
        </w:rPr>
        <w:t>（一）无形资产的初始计量</w:t>
      </w:r>
      <w:r>
        <w:rPr>
          <w:rFonts w:hint="eastAsia"/>
          <w:sz w:val="18"/>
          <w:szCs w:val="18"/>
        </w:rPr>
        <w:br/>
        <w:t>  1.外购无形资产的初始计量</w:t>
      </w:r>
      <w:r>
        <w:rPr>
          <w:rFonts w:hint="eastAsia"/>
          <w:sz w:val="18"/>
          <w:szCs w:val="18"/>
        </w:rPr>
        <w:br/>
      </w:r>
      <w:r>
        <w:rPr>
          <w:rFonts w:hint="eastAsia"/>
          <w:sz w:val="18"/>
          <w:szCs w:val="18"/>
        </w:rPr>
        <w:lastRenderedPageBreak/>
        <w:t>  外购无形资产的成本，包括购买价款、相关税费以及直接归属于使该项资产达到预定用途所发生的其他支出。购买无形资产的价款超过正常信用条件延期支付，实质上具有融资性质的，无形资产的成本以购买价款的现值为基础确定。实际支付的价款与购买价款的现值之间的差额，除应予资本化的以外，在信用期间内计入当期损益。</w:t>
      </w:r>
      <w:r>
        <w:rPr>
          <w:rFonts w:hint="eastAsia"/>
          <w:sz w:val="18"/>
          <w:szCs w:val="18"/>
        </w:rPr>
        <w:br/>
        <w:t>  2.自行研究开发无形资产的初始计量</w:t>
      </w:r>
      <w:r>
        <w:rPr>
          <w:rFonts w:hint="eastAsia"/>
          <w:sz w:val="18"/>
          <w:szCs w:val="18"/>
        </w:rPr>
        <w:br/>
        <w:t>  自行研究开发的无形资产的成本，按照自满足资本化条件后至达到预定用途前所发生的支出总额确定，对于以前期间已经费用化的支出不再调整。</w:t>
      </w:r>
      <w:r>
        <w:rPr>
          <w:rFonts w:hint="eastAsia"/>
          <w:sz w:val="18"/>
          <w:szCs w:val="18"/>
        </w:rPr>
        <w:br/>
        <w:t>  公司自行研究开发的无形资产，其研究阶段的支出，于发生时计入当期损益；其开发阶段的支出，不符合资本化条件的，于发生时计入当期损益；符合资本化条件的，确认为无形资产。如果确实无法区分研究阶段支出和开发阶段支出，则将其所发生的研发支出全部计入当期损益。</w:t>
      </w:r>
      <w:r>
        <w:rPr>
          <w:rFonts w:hint="eastAsia"/>
          <w:sz w:val="18"/>
          <w:szCs w:val="18"/>
        </w:rPr>
        <w:br/>
        <w:t>（二）无形资产的后续计量</w:t>
      </w:r>
      <w:r>
        <w:rPr>
          <w:rFonts w:hint="eastAsia"/>
          <w:sz w:val="18"/>
          <w:szCs w:val="18"/>
        </w:rPr>
        <w:br/>
        <w:t>  公司在取得无形资产时分析判断其使用寿命。公司将取得的无形资产分为使用寿命有限的无形资产和使用寿命不确定的无形资产。</w:t>
      </w:r>
      <w:r>
        <w:rPr>
          <w:rFonts w:hint="eastAsia"/>
          <w:sz w:val="18"/>
          <w:szCs w:val="18"/>
        </w:rPr>
        <w:br/>
        <w:t>  1.使用寿命有限的无形资产的后续计量</w:t>
      </w:r>
      <w:r>
        <w:rPr>
          <w:rFonts w:hint="eastAsia"/>
          <w:sz w:val="18"/>
          <w:szCs w:val="18"/>
        </w:rPr>
        <w:br/>
        <w:t>  公司对使用寿命有限的无形资产，自达到预定用途时起在其使用寿命内采用直线法分期摊销，不预留残值。无形资产的摊销金额通常计入当期损益；某项无形资产包含的经济利益通过所生产的产品或其他资产实现的，其摊销金额计入相关资产的成本。</w:t>
      </w:r>
      <w:r>
        <w:rPr>
          <w:rFonts w:hint="eastAsia"/>
          <w:sz w:val="18"/>
          <w:szCs w:val="18"/>
        </w:rPr>
        <w:br/>
        <w:t>  无形资产类别、使用寿命、预计净残值率和年摊销率列示如下：</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26"/>
        <w:gridCol w:w="1757"/>
        <w:gridCol w:w="2487"/>
        <w:gridCol w:w="1694"/>
        <w:gridCol w:w="1470"/>
      </w:tblGrid>
      <w:tr w:rsidR="00E72F0C" w14:paraId="108856A7" w14:textId="77777777" w:rsidTr="00507D49">
        <w:trPr>
          <w:divId w:val="1666201496"/>
          <w:trHeight w:val="70"/>
          <w:tblHeader/>
        </w:trPr>
        <w:tc>
          <w:tcPr>
            <w:tcW w:w="1073" w:type="pct"/>
            <w:noWrap/>
            <w:tcMar>
              <w:top w:w="0" w:type="dxa"/>
              <w:left w:w="108" w:type="dxa"/>
              <w:bottom w:w="0" w:type="dxa"/>
              <w:right w:w="108" w:type="dxa"/>
            </w:tcMar>
            <w:vAlign w:val="center"/>
            <w:hideMark/>
          </w:tcPr>
          <w:p w14:paraId="377F204A" w14:textId="77777777" w:rsidR="00E72F0C" w:rsidRDefault="00107901">
            <w:pPr>
              <w:pStyle w:val="a3"/>
              <w:spacing w:before="0" w:beforeAutospacing="0" w:after="0" w:afterAutospacing="0" w:line="70" w:lineRule="atLeast"/>
              <w:ind w:right="-57"/>
              <w:jc w:val="center"/>
              <w:rPr>
                <w:rFonts w:ascii="Times New Roman" w:hAnsi="Times New Roman" w:cs="Times New Roman"/>
                <w:sz w:val="21"/>
                <w:szCs w:val="21"/>
              </w:rPr>
            </w:pPr>
            <w:r>
              <w:rPr>
                <w:rFonts w:cs="Times New Roman" w:hint="eastAsia"/>
                <w:sz w:val="18"/>
                <w:szCs w:val="18"/>
              </w:rPr>
              <w:t>无形资产类别</w:t>
            </w:r>
          </w:p>
        </w:tc>
        <w:tc>
          <w:tcPr>
            <w:tcW w:w="931" w:type="pct"/>
            <w:noWrap/>
            <w:tcMar>
              <w:top w:w="0" w:type="dxa"/>
              <w:left w:w="108" w:type="dxa"/>
              <w:bottom w:w="0" w:type="dxa"/>
              <w:right w:w="108" w:type="dxa"/>
            </w:tcMar>
            <w:vAlign w:val="center"/>
            <w:hideMark/>
          </w:tcPr>
          <w:p w14:paraId="23069359" w14:textId="77777777" w:rsidR="00E72F0C" w:rsidRDefault="00107901">
            <w:pPr>
              <w:pStyle w:val="a3"/>
              <w:spacing w:before="0" w:beforeAutospacing="0" w:after="0" w:afterAutospacing="0" w:line="70" w:lineRule="atLeast"/>
              <w:ind w:right="-57"/>
              <w:jc w:val="center"/>
              <w:rPr>
                <w:rFonts w:ascii="Times New Roman" w:hAnsi="Times New Roman" w:cs="Times New Roman"/>
                <w:sz w:val="21"/>
                <w:szCs w:val="21"/>
              </w:rPr>
            </w:pPr>
            <w:r>
              <w:rPr>
                <w:rFonts w:cs="Times New Roman" w:hint="eastAsia"/>
                <w:sz w:val="18"/>
                <w:szCs w:val="18"/>
              </w:rPr>
              <w:t>使用寿命（年）</w:t>
            </w:r>
          </w:p>
        </w:tc>
        <w:tc>
          <w:tcPr>
            <w:tcW w:w="1317" w:type="pct"/>
            <w:tcMar>
              <w:top w:w="0" w:type="dxa"/>
              <w:left w:w="108" w:type="dxa"/>
              <w:bottom w:w="0" w:type="dxa"/>
              <w:right w:w="108" w:type="dxa"/>
            </w:tcMar>
            <w:vAlign w:val="center"/>
            <w:hideMark/>
          </w:tcPr>
          <w:p w14:paraId="4E4F765A" w14:textId="77777777" w:rsidR="00E72F0C" w:rsidRDefault="00107901">
            <w:pPr>
              <w:pStyle w:val="a3"/>
              <w:spacing w:before="0" w:beforeAutospacing="0" w:after="0" w:afterAutospacing="0" w:line="70" w:lineRule="atLeast"/>
              <w:ind w:right="-57"/>
              <w:jc w:val="center"/>
              <w:rPr>
                <w:rFonts w:ascii="Times New Roman" w:hAnsi="Times New Roman" w:cs="Times New Roman"/>
                <w:sz w:val="21"/>
                <w:szCs w:val="21"/>
              </w:rPr>
            </w:pPr>
            <w:r>
              <w:rPr>
                <w:rFonts w:cs="Times New Roman" w:hint="eastAsia"/>
                <w:sz w:val="18"/>
                <w:szCs w:val="18"/>
              </w:rPr>
              <w:t>使用寿命的确认依据</w:t>
            </w:r>
          </w:p>
        </w:tc>
        <w:tc>
          <w:tcPr>
            <w:tcW w:w="898" w:type="pct"/>
            <w:tcMar>
              <w:top w:w="0" w:type="dxa"/>
              <w:left w:w="108" w:type="dxa"/>
              <w:bottom w:w="0" w:type="dxa"/>
              <w:right w:w="108" w:type="dxa"/>
            </w:tcMar>
            <w:vAlign w:val="center"/>
            <w:hideMark/>
          </w:tcPr>
          <w:p w14:paraId="597C3D4D" w14:textId="77777777" w:rsidR="00E72F0C" w:rsidRDefault="00107901">
            <w:pPr>
              <w:pStyle w:val="a3"/>
              <w:spacing w:before="0" w:beforeAutospacing="0" w:after="0" w:afterAutospacing="0" w:line="70" w:lineRule="atLeast"/>
              <w:ind w:right="-57"/>
              <w:jc w:val="center"/>
              <w:rPr>
                <w:rFonts w:ascii="Times New Roman" w:hAnsi="Times New Roman" w:cs="Times New Roman"/>
                <w:sz w:val="21"/>
                <w:szCs w:val="21"/>
              </w:rPr>
            </w:pPr>
            <w:r>
              <w:rPr>
                <w:rFonts w:cs="Times New Roman" w:hint="eastAsia"/>
                <w:sz w:val="18"/>
                <w:szCs w:val="18"/>
              </w:rPr>
              <w:t>预计净残值率</w:t>
            </w:r>
            <w:r>
              <w:rPr>
                <w:rFonts w:ascii="Arial Narrow" w:hAnsi="Arial Narrow" w:cs="Times New Roman"/>
                <w:sz w:val="18"/>
                <w:szCs w:val="18"/>
              </w:rPr>
              <w:t>(%)</w:t>
            </w:r>
          </w:p>
        </w:tc>
        <w:tc>
          <w:tcPr>
            <w:tcW w:w="779" w:type="pct"/>
            <w:noWrap/>
            <w:tcMar>
              <w:top w:w="0" w:type="dxa"/>
              <w:left w:w="108" w:type="dxa"/>
              <w:bottom w:w="0" w:type="dxa"/>
              <w:right w:w="108" w:type="dxa"/>
            </w:tcMar>
            <w:vAlign w:val="center"/>
            <w:hideMark/>
          </w:tcPr>
          <w:p w14:paraId="0E488E50" w14:textId="77777777" w:rsidR="00E72F0C" w:rsidRDefault="00107901">
            <w:pPr>
              <w:pStyle w:val="a3"/>
              <w:spacing w:before="0" w:beforeAutospacing="0" w:after="0" w:afterAutospacing="0" w:line="70" w:lineRule="atLeast"/>
              <w:ind w:right="-57"/>
              <w:jc w:val="center"/>
              <w:rPr>
                <w:rFonts w:ascii="Times New Roman" w:hAnsi="Times New Roman" w:cs="Times New Roman"/>
                <w:sz w:val="21"/>
                <w:szCs w:val="21"/>
              </w:rPr>
            </w:pPr>
            <w:r>
              <w:rPr>
                <w:rFonts w:cs="Times New Roman" w:hint="eastAsia"/>
                <w:sz w:val="18"/>
                <w:szCs w:val="18"/>
              </w:rPr>
              <w:t>年摊销率</w:t>
            </w:r>
            <w:r>
              <w:rPr>
                <w:rFonts w:ascii="Arial Narrow" w:hAnsi="Arial Narrow" w:cs="Times New Roman"/>
                <w:sz w:val="18"/>
                <w:szCs w:val="18"/>
              </w:rPr>
              <w:t>(%)</w:t>
            </w:r>
          </w:p>
        </w:tc>
      </w:tr>
      <w:tr w:rsidR="00E72F0C" w14:paraId="7E91786E" w14:textId="77777777" w:rsidTr="00507D49">
        <w:trPr>
          <w:divId w:val="1666201496"/>
          <w:trHeight w:val="285"/>
        </w:trPr>
        <w:tc>
          <w:tcPr>
            <w:tcW w:w="1073" w:type="pct"/>
            <w:noWrap/>
            <w:tcMar>
              <w:top w:w="0" w:type="dxa"/>
              <w:left w:w="108" w:type="dxa"/>
              <w:bottom w:w="0" w:type="dxa"/>
              <w:right w:w="108" w:type="dxa"/>
            </w:tcMar>
            <w:vAlign w:val="center"/>
            <w:hideMark/>
          </w:tcPr>
          <w:p w14:paraId="5970F200" w14:textId="77777777" w:rsidR="00E72F0C" w:rsidRDefault="00107901">
            <w:pPr>
              <w:pStyle w:val="a3"/>
              <w:spacing w:before="0" w:beforeAutospacing="0" w:after="0" w:afterAutospacing="0" w:line="360" w:lineRule="atLeast"/>
              <w:ind w:right="-57"/>
              <w:jc w:val="both"/>
              <w:rPr>
                <w:rFonts w:ascii="Times New Roman" w:hAnsi="Times New Roman" w:cs="Times New Roman"/>
                <w:sz w:val="21"/>
                <w:szCs w:val="21"/>
              </w:rPr>
            </w:pPr>
            <w:r>
              <w:rPr>
                <w:rFonts w:cs="Times New Roman" w:hint="eastAsia"/>
                <w:sz w:val="18"/>
                <w:szCs w:val="18"/>
              </w:rPr>
              <w:t>土地使用权</w:t>
            </w:r>
          </w:p>
        </w:tc>
        <w:tc>
          <w:tcPr>
            <w:tcW w:w="931" w:type="pct"/>
            <w:noWrap/>
            <w:tcMar>
              <w:top w:w="0" w:type="dxa"/>
              <w:left w:w="108" w:type="dxa"/>
              <w:bottom w:w="0" w:type="dxa"/>
              <w:right w:w="108" w:type="dxa"/>
            </w:tcMar>
            <w:vAlign w:val="center"/>
            <w:hideMark/>
          </w:tcPr>
          <w:p w14:paraId="5D00BFB7" w14:textId="77777777" w:rsidR="00E72F0C" w:rsidRDefault="00107901">
            <w:pPr>
              <w:pStyle w:val="a3"/>
              <w:spacing w:before="0" w:beforeAutospacing="0" w:after="0" w:afterAutospacing="0" w:line="360" w:lineRule="atLeast"/>
              <w:ind w:right="-57"/>
              <w:jc w:val="center"/>
              <w:rPr>
                <w:rFonts w:ascii="Times New Roman" w:hAnsi="Times New Roman" w:cs="Times New Roman"/>
                <w:sz w:val="21"/>
                <w:szCs w:val="21"/>
              </w:rPr>
            </w:pPr>
            <w:r>
              <w:rPr>
                <w:rFonts w:ascii="Arial Narrow" w:hAnsi="Arial Narrow" w:cs="Times New Roman"/>
                <w:sz w:val="18"/>
                <w:szCs w:val="18"/>
              </w:rPr>
              <w:t>50</w:t>
            </w:r>
          </w:p>
        </w:tc>
        <w:tc>
          <w:tcPr>
            <w:tcW w:w="1317" w:type="pct"/>
            <w:tcMar>
              <w:top w:w="0" w:type="dxa"/>
              <w:left w:w="108" w:type="dxa"/>
              <w:bottom w:w="0" w:type="dxa"/>
              <w:right w:w="108" w:type="dxa"/>
            </w:tcMar>
            <w:vAlign w:val="center"/>
            <w:hideMark/>
          </w:tcPr>
          <w:p w14:paraId="00C7C7E5" w14:textId="77777777" w:rsidR="00E72F0C" w:rsidRDefault="00107901">
            <w:pPr>
              <w:pStyle w:val="a3"/>
              <w:spacing w:before="0" w:beforeAutospacing="0" w:after="0" w:afterAutospacing="0" w:line="360" w:lineRule="atLeast"/>
              <w:ind w:right="-57"/>
              <w:jc w:val="both"/>
              <w:rPr>
                <w:rFonts w:ascii="Times New Roman" w:hAnsi="Times New Roman" w:cs="Times New Roman"/>
                <w:sz w:val="21"/>
                <w:szCs w:val="21"/>
              </w:rPr>
            </w:pPr>
            <w:r>
              <w:rPr>
                <w:rFonts w:cs="Times New Roman" w:hint="eastAsia"/>
                <w:sz w:val="18"/>
                <w:szCs w:val="18"/>
              </w:rPr>
              <w:t>产权证登记的使用年限</w:t>
            </w:r>
          </w:p>
        </w:tc>
        <w:tc>
          <w:tcPr>
            <w:tcW w:w="898" w:type="pct"/>
            <w:tcMar>
              <w:top w:w="0" w:type="dxa"/>
              <w:left w:w="108" w:type="dxa"/>
              <w:bottom w:w="0" w:type="dxa"/>
              <w:right w:w="108" w:type="dxa"/>
            </w:tcMar>
            <w:vAlign w:val="center"/>
            <w:hideMark/>
          </w:tcPr>
          <w:p w14:paraId="0B4C4BB3" w14:textId="77777777" w:rsidR="00E72F0C" w:rsidRDefault="00107901">
            <w:pPr>
              <w:pStyle w:val="a3"/>
              <w:spacing w:before="0" w:beforeAutospacing="0" w:after="0" w:afterAutospacing="0" w:line="360" w:lineRule="atLeast"/>
              <w:ind w:right="-57"/>
              <w:jc w:val="center"/>
              <w:rPr>
                <w:rFonts w:ascii="Times New Roman" w:hAnsi="Times New Roman" w:cs="Times New Roman"/>
                <w:sz w:val="21"/>
                <w:szCs w:val="21"/>
              </w:rPr>
            </w:pPr>
            <w:r>
              <w:rPr>
                <w:rFonts w:ascii="Arial Narrow" w:hAnsi="Arial Narrow" w:cs="Times New Roman"/>
                <w:sz w:val="18"/>
                <w:szCs w:val="18"/>
              </w:rPr>
              <w:t>0</w:t>
            </w:r>
          </w:p>
        </w:tc>
        <w:tc>
          <w:tcPr>
            <w:tcW w:w="779" w:type="pct"/>
            <w:noWrap/>
            <w:tcMar>
              <w:top w:w="0" w:type="dxa"/>
              <w:left w:w="108" w:type="dxa"/>
              <w:bottom w:w="0" w:type="dxa"/>
              <w:right w:w="108" w:type="dxa"/>
            </w:tcMar>
            <w:vAlign w:val="center"/>
            <w:hideMark/>
          </w:tcPr>
          <w:p w14:paraId="0900CBA7" w14:textId="77777777" w:rsidR="00E72F0C" w:rsidRDefault="00107901">
            <w:pPr>
              <w:pStyle w:val="a3"/>
              <w:spacing w:before="0" w:beforeAutospacing="0" w:after="0" w:afterAutospacing="0" w:line="360" w:lineRule="atLeast"/>
              <w:ind w:right="-57"/>
              <w:jc w:val="center"/>
              <w:rPr>
                <w:rFonts w:ascii="Times New Roman" w:hAnsi="Times New Roman" w:cs="Times New Roman"/>
                <w:sz w:val="21"/>
                <w:szCs w:val="21"/>
              </w:rPr>
            </w:pPr>
            <w:r>
              <w:rPr>
                <w:rFonts w:ascii="Arial Narrow" w:hAnsi="Arial Narrow" w:cs="Times New Roman"/>
                <w:sz w:val="18"/>
                <w:szCs w:val="18"/>
              </w:rPr>
              <w:t>2</w:t>
            </w:r>
          </w:p>
        </w:tc>
      </w:tr>
      <w:tr w:rsidR="00E72F0C" w14:paraId="1F5B0E73" w14:textId="77777777" w:rsidTr="00507D49">
        <w:trPr>
          <w:divId w:val="1666201496"/>
          <w:trHeight w:val="285"/>
        </w:trPr>
        <w:tc>
          <w:tcPr>
            <w:tcW w:w="1073" w:type="pct"/>
            <w:noWrap/>
            <w:tcMar>
              <w:top w:w="0" w:type="dxa"/>
              <w:left w:w="108" w:type="dxa"/>
              <w:bottom w:w="0" w:type="dxa"/>
              <w:right w:w="108" w:type="dxa"/>
            </w:tcMar>
            <w:vAlign w:val="center"/>
            <w:hideMark/>
          </w:tcPr>
          <w:p w14:paraId="2DC60358" w14:textId="77777777" w:rsidR="00E72F0C" w:rsidRDefault="00107901">
            <w:pPr>
              <w:pStyle w:val="a3"/>
              <w:spacing w:before="0" w:beforeAutospacing="0" w:after="0" w:afterAutospacing="0" w:line="360" w:lineRule="atLeast"/>
              <w:ind w:right="-57"/>
              <w:jc w:val="both"/>
              <w:rPr>
                <w:rFonts w:ascii="Times New Roman" w:hAnsi="Times New Roman" w:cs="Times New Roman"/>
                <w:sz w:val="21"/>
                <w:szCs w:val="21"/>
              </w:rPr>
            </w:pPr>
            <w:r>
              <w:rPr>
                <w:rFonts w:cs="Times New Roman" w:hint="eastAsia"/>
                <w:sz w:val="18"/>
                <w:szCs w:val="18"/>
              </w:rPr>
              <w:t>软件</w:t>
            </w:r>
          </w:p>
        </w:tc>
        <w:tc>
          <w:tcPr>
            <w:tcW w:w="931" w:type="pct"/>
            <w:noWrap/>
            <w:tcMar>
              <w:top w:w="0" w:type="dxa"/>
              <w:left w:w="108" w:type="dxa"/>
              <w:bottom w:w="0" w:type="dxa"/>
              <w:right w:w="108" w:type="dxa"/>
            </w:tcMar>
            <w:vAlign w:val="center"/>
            <w:hideMark/>
          </w:tcPr>
          <w:p w14:paraId="207B0E14" w14:textId="77777777" w:rsidR="00E72F0C" w:rsidRDefault="00107901">
            <w:pPr>
              <w:pStyle w:val="a3"/>
              <w:spacing w:before="0" w:beforeAutospacing="0" w:after="0" w:afterAutospacing="0" w:line="360" w:lineRule="atLeast"/>
              <w:ind w:right="-57"/>
              <w:jc w:val="center"/>
              <w:rPr>
                <w:rFonts w:ascii="Times New Roman" w:hAnsi="Times New Roman" w:cs="Times New Roman"/>
                <w:sz w:val="21"/>
                <w:szCs w:val="21"/>
              </w:rPr>
            </w:pPr>
            <w:r>
              <w:rPr>
                <w:rFonts w:ascii="Arial Narrow" w:hAnsi="Arial Narrow" w:cs="Times New Roman"/>
                <w:sz w:val="18"/>
                <w:szCs w:val="18"/>
              </w:rPr>
              <w:t>2-10</w:t>
            </w:r>
          </w:p>
        </w:tc>
        <w:tc>
          <w:tcPr>
            <w:tcW w:w="1317" w:type="pct"/>
            <w:tcMar>
              <w:top w:w="0" w:type="dxa"/>
              <w:left w:w="108" w:type="dxa"/>
              <w:bottom w:w="0" w:type="dxa"/>
              <w:right w:w="108" w:type="dxa"/>
            </w:tcMar>
            <w:vAlign w:val="center"/>
            <w:hideMark/>
          </w:tcPr>
          <w:p w14:paraId="2BD7D734" w14:textId="77777777" w:rsidR="00E72F0C" w:rsidRDefault="00107901">
            <w:pPr>
              <w:pStyle w:val="a3"/>
              <w:spacing w:before="0" w:beforeAutospacing="0" w:after="0" w:afterAutospacing="0" w:line="360" w:lineRule="atLeast"/>
              <w:ind w:right="-57"/>
              <w:jc w:val="both"/>
              <w:rPr>
                <w:rFonts w:ascii="Times New Roman" w:hAnsi="Times New Roman" w:cs="Times New Roman"/>
                <w:sz w:val="21"/>
                <w:szCs w:val="21"/>
              </w:rPr>
            </w:pPr>
            <w:r>
              <w:rPr>
                <w:rFonts w:cs="Times New Roman" w:hint="eastAsia"/>
                <w:sz w:val="18"/>
                <w:szCs w:val="18"/>
              </w:rPr>
              <w:t>合同约定授权期限或预计能为公司带来经济利益的期限</w:t>
            </w:r>
          </w:p>
        </w:tc>
        <w:tc>
          <w:tcPr>
            <w:tcW w:w="898" w:type="pct"/>
            <w:tcMar>
              <w:top w:w="0" w:type="dxa"/>
              <w:left w:w="108" w:type="dxa"/>
              <w:bottom w:w="0" w:type="dxa"/>
              <w:right w:w="108" w:type="dxa"/>
            </w:tcMar>
            <w:vAlign w:val="center"/>
            <w:hideMark/>
          </w:tcPr>
          <w:p w14:paraId="1267B9BD" w14:textId="77777777" w:rsidR="00E72F0C" w:rsidRDefault="00107901">
            <w:pPr>
              <w:pStyle w:val="a3"/>
              <w:spacing w:before="0" w:beforeAutospacing="0" w:after="0" w:afterAutospacing="0" w:line="360" w:lineRule="atLeast"/>
              <w:ind w:right="-57"/>
              <w:jc w:val="center"/>
              <w:rPr>
                <w:rFonts w:ascii="Times New Roman" w:hAnsi="Times New Roman" w:cs="Times New Roman"/>
                <w:sz w:val="21"/>
                <w:szCs w:val="21"/>
              </w:rPr>
            </w:pPr>
            <w:r>
              <w:rPr>
                <w:rFonts w:ascii="Arial Narrow" w:hAnsi="Arial Narrow" w:cs="Times New Roman"/>
                <w:sz w:val="18"/>
                <w:szCs w:val="18"/>
              </w:rPr>
              <w:t>0</w:t>
            </w:r>
          </w:p>
        </w:tc>
        <w:tc>
          <w:tcPr>
            <w:tcW w:w="779" w:type="pct"/>
            <w:noWrap/>
            <w:tcMar>
              <w:top w:w="0" w:type="dxa"/>
              <w:left w:w="108" w:type="dxa"/>
              <w:bottom w:w="0" w:type="dxa"/>
              <w:right w:w="108" w:type="dxa"/>
            </w:tcMar>
            <w:vAlign w:val="center"/>
            <w:hideMark/>
          </w:tcPr>
          <w:p w14:paraId="304D44F4" w14:textId="77777777" w:rsidR="00E72F0C" w:rsidRDefault="00107901">
            <w:pPr>
              <w:pStyle w:val="a3"/>
              <w:spacing w:before="0" w:beforeAutospacing="0" w:after="0" w:afterAutospacing="0" w:line="360" w:lineRule="atLeast"/>
              <w:ind w:right="-57"/>
              <w:jc w:val="center"/>
              <w:rPr>
                <w:rFonts w:ascii="Times New Roman" w:hAnsi="Times New Roman" w:cs="Times New Roman"/>
                <w:sz w:val="21"/>
                <w:szCs w:val="21"/>
              </w:rPr>
            </w:pPr>
            <w:r>
              <w:rPr>
                <w:rFonts w:ascii="Arial Narrow" w:hAnsi="Arial Narrow" w:cs="Times New Roman"/>
                <w:sz w:val="18"/>
                <w:szCs w:val="18"/>
              </w:rPr>
              <w:t>50-10</w:t>
            </w:r>
          </w:p>
        </w:tc>
      </w:tr>
      <w:tr w:rsidR="00E72F0C" w14:paraId="797C4DB5" w14:textId="77777777" w:rsidTr="00507D49">
        <w:trPr>
          <w:divId w:val="1666201496"/>
          <w:trHeight w:val="285"/>
        </w:trPr>
        <w:tc>
          <w:tcPr>
            <w:tcW w:w="1073" w:type="pct"/>
            <w:noWrap/>
            <w:tcMar>
              <w:top w:w="0" w:type="dxa"/>
              <w:left w:w="108" w:type="dxa"/>
              <w:bottom w:w="0" w:type="dxa"/>
              <w:right w:w="108" w:type="dxa"/>
            </w:tcMar>
            <w:vAlign w:val="center"/>
            <w:hideMark/>
          </w:tcPr>
          <w:p w14:paraId="03460209" w14:textId="77777777" w:rsidR="00E72F0C" w:rsidRDefault="00107901">
            <w:pPr>
              <w:pStyle w:val="a3"/>
              <w:spacing w:before="0" w:beforeAutospacing="0" w:after="0" w:afterAutospacing="0" w:line="360" w:lineRule="atLeast"/>
              <w:ind w:right="-57"/>
              <w:jc w:val="both"/>
              <w:rPr>
                <w:rFonts w:ascii="Times New Roman" w:hAnsi="Times New Roman" w:cs="Times New Roman"/>
                <w:sz w:val="21"/>
                <w:szCs w:val="21"/>
              </w:rPr>
            </w:pPr>
            <w:r>
              <w:rPr>
                <w:rFonts w:cs="Times New Roman" w:hint="eastAsia"/>
                <w:sz w:val="18"/>
                <w:szCs w:val="18"/>
              </w:rPr>
              <w:t>专利权</w:t>
            </w:r>
          </w:p>
        </w:tc>
        <w:tc>
          <w:tcPr>
            <w:tcW w:w="931" w:type="pct"/>
            <w:noWrap/>
            <w:tcMar>
              <w:top w:w="0" w:type="dxa"/>
              <w:left w:w="108" w:type="dxa"/>
              <w:bottom w:w="0" w:type="dxa"/>
              <w:right w:w="108" w:type="dxa"/>
            </w:tcMar>
            <w:vAlign w:val="center"/>
            <w:hideMark/>
          </w:tcPr>
          <w:p w14:paraId="2FC8C5D9" w14:textId="77777777" w:rsidR="00E72F0C" w:rsidRDefault="00107901">
            <w:pPr>
              <w:pStyle w:val="a3"/>
              <w:spacing w:before="0" w:beforeAutospacing="0" w:after="0" w:afterAutospacing="0" w:line="360" w:lineRule="atLeast"/>
              <w:ind w:right="-57"/>
              <w:jc w:val="center"/>
              <w:rPr>
                <w:rFonts w:ascii="Times New Roman" w:hAnsi="Times New Roman" w:cs="Times New Roman"/>
                <w:sz w:val="21"/>
                <w:szCs w:val="21"/>
              </w:rPr>
            </w:pPr>
            <w:r>
              <w:rPr>
                <w:rFonts w:ascii="Arial Narrow" w:hAnsi="Arial Narrow" w:cs="Times New Roman"/>
                <w:sz w:val="18"/>
                <w:szCs w:val="18"/>
              </w:rPr>
              <w:t>10</w:t>
            </w:r>
          </w:p>
        </w:tc>
        <w:tc>
          <w:tcPr>
            <w:tcW w:w="1317" w:type="pct"/>
            <w:tcMar>
              <w:top w:w="0" w:type="dxa"/>
              <w:left w:w="108" w:type="dxa"/>
              <w:bottom w:w="0" w:type="dxa"/>
              <w:right w:w="108" w:type="dxa"/>
            </w:tcMar>
            <w:vAlign w:val="center"/>
            <w:hideMark/>
          </w:tcPr>
          <w:p w14:paraId="445AE09D" w14:textId="77777777" w:rsidR="00E72F0C" w:rsidRDefault="00107901">
            <w:pPr>
              <w:pStyle w:val="a3"/>
              <w:spacing w:before="0" w:beforeAutospacing="0" w:after="0" w:afterAutospacing="0" w:line="360" w:lineRule="atLeast"/>
              <w:ind w:right="-57"/>
              <w:jc w:val="both"/>
              <w:rPr>
                <w:rFonts w:ascii="Times New Roman" w:hAnsi="Times New Roman" w:cs="Times New Roman"/>
                <w:sz w:val="21"/>
                <w:szCs w:val="21"/>
              </w:rPr>
            </w:pPr>
            <w:r>
              <w:rPr>
                <w:rFonts w:cs="Times New Roman" w:hint="eastAsia"/>
                <w:sz w:val="18"/>
                <w:szCs w:val="18"/>
              </w:rPr>
              <w:t>合同约定的使用年限</w:t>
            </w:r>
          </w:p>
        </w:tc>
        <w:tc>
          <w:tcPr>
            <w:tcW w:w="898" w:type="pct"/>
            <w:tcMar>
              <w:top w:w="0" w:type="dxa"/>
              <w:left w:w="108" w:type="dxa"/>
              <w:bottom w:w="0" w:type="dxa"/>
              <w:right w:w="108" w:type="dxa"/>
            </w:tcMar>
            <w:vAlign w:val="center"/>
            <w:hideMark/>
          </w:tcPr>
          <w:p w14:paraId="6D67BC27" w14:textId="77777777" w:rsidR="00E72F0C" w:rsidRDefault="00107901">
            <w:pPr>
              <w:pStyle w:val="a3"/>
              <w:spacing w:before="0" w:beforeAutospacing="0" w:after="0" w:afterAutospacing="0" w:line="360" w:lineRule="atLeast"/>
              <w:ind w:right="-57"/>
              <w:jc w:val="center"/>
              <w:rPr>
                <w:rFonts w:ascii="Times New Roman" w:hAnsi="Times New Roman" w:cs="Times New Roman"/>
                <w:sz w:val="21"/>
                <w:szCs w:val="21"/>
              </w:rPr>
            </w:pPr>
            <w:r>
              <w:rPr>
                <w:rFonts w:ascii="Arial Narrow" w:hAnsi="Arial Narrow" w:cs="Times New Roman"/>
                <w:sz w:val="18"/>
                <w:szCs w:val="18"/>
              </w:rPr>
              <w:t>0</w:t>
            </w:r>
          </w:p>
        </w:tc>
        <w:tc>
          <w:tcPr>
            <w:tcW w:w="779" w:type="pct"/>
            <w:noWrap/>
            <w:tcMar>
              <w:top w:w="0" w:type="dxa"/>
              <w:left w:w="108" w:type="dxa"/>
              <w:bottom w:w="0" w:type="dxa"/>
              <w:right w:w="108" w:type="dxa"/>
            </w:tcMar>
            <w:vAlign w:val="center"/>
            <w:hideMark/>
          </w:tcPr>
          <w:p w14:paraId="3FAA0B32" w14:textId="77777777" w:rsidR="00E72F0C" w:rsidRDefault="00107901">
            <w:pPr>
              <w:pStyle w:val="a3"/>
              <w:spacing w:before="0" w:beforeAutospacing="0" w:after="0" w:afterAutospacing="0" w:line="360" w:lineRule="atLeast"/>
              <w:ind w:right="-57"/>
              <w:jc w:val="center"/>
              <w:rPr>
                <w:rFonts w:ascii="Times New Roman" w:hAnsi="Times New Roman" w:cs="Times New Roman"/>
                <w:sz w:val="21"/>
                <w:szCs w:val="21"/>
              </w:rPr>
            </w:pPr>
            <w:r>
              <w:rPr>
                <w:rFonts w:ascii="Arial Narrow" w:hAnsi="Arial Narrow" w:cs="Times New Roman"/>
                <w:sz w:val="18"/>
                <w:szCs w:val="18"/>
              </w:rPr>
              <w:t>10</w:t>
            </w:r>
          </w:p>
        </w:tc>
      </w:tr>
    </w:tbl>
    <w:p w14:paraId="30BE2313" w14:textId="06ED292C" w:rsidR="00E72F0C" w:rsidRDefault="00107901" w:rsidP="00507D49">
      <w:pPr>
        <w:pStyle w:val="a3"/>
        <w:spacing w:before="0" w:beforeAutospacing="0" w:after="0" w:afterAutospacing="0"/>
        <w:divId w:val="1666201496"/>
        <w:rPr>
          <w:rFonts w:hint="eastAsia"/>
          <w:sz w:val="18"/>
          <w:szCs w:val="18"/>
        </w:rPr>
      </w:pPr>
      <w:r>
        <w:rPr>
          <w:rFonts w:hint="eastAsia"/>
          <w:sz w:val="18"/>
          <w:szCs w:val="18"/>
        </w:rPr>
        <w:t>  资产负债表日，对使用寿命有限的无形资产的使用寿命和摊销方法进行复核。</w:t>
      </w:r>
      <w:r>
        <w:rPr>
          <w:rFonts w:hint="eastAsia"/>
          <w:sz w:val="18"/>
          <w:szCs w:val="18"/>
        </w:rPr>
        <w:br/>
        <w:t>  2.使用寿命不确定的无形资产的后续计量</w:t>
      </w:r>
      <w:r>
        <w:rPr>
          <w:rFonts w:hint="eastAsia"/>
          <w:sz w:val="18"/>
          <w:szCs w:val="18"/>
        </w:rPr>
        <w:br/>
        <w:t>  公司对使用寿命不确定的无形资产，在持有期间内不进行摊销。</w:t>
      </w:r>
      <w:r>
        <w:rPr>
          <w:rFonts w:hint="eastAsia"/>
          <w:sz w:val="18"/>
          <w:szCs w:val="18"/>
        </w:rPr>
        <w:br/>
        <w:t>（三）无形资产使用寿命的估计</w:t>
      </w:r>
      <w:r>
        <w:rPr>
          <w:rFonts w:hint="eastAsia"/>
          <w:sz w:val="18"/>
          <w:szCs w:val="18"/>
        </w:rPr>
        <w:br/>
        <w:t>  1.来源于合同性权利或其他法定权利的无形资产，其使用寿命按照不超过合同性权利或其他法定权利的期限确定；合同性权利或其他法定权利在到期时因续约等延续且有证据表明公司续约不需要付出大额成本的，续约期计入使用寿命。</w:t>
      </w:r>
      <w:r>
        <w:rPr>
          <w:rFonts w:hint="eastAsia"/>
          <w:sz w:val="18"/>
          <w:szCs w:val="18"/>
        </w:rPr>
        <w:br/>
        <w:t>  2.合同或法律没有规定使用寿命的，公司综合各方面的情况，通过聘请相关专家进行论证或者与同行业的情况进行比较以及参考公司的历史经验等方法来确定无形资产能为公司带来经济利益的期限。</w:t>
      </w:r>
      <w:r>
        <w:rPr>
          <w:rFonts w:hint="eastAsia"/>
          <w:sz w:val="18"/>
          <w:szCs w:val="18"/>
        </w:rPr>
        <w:br/>
        <w:t>  3.按照上述方法仍无法合理确定无形资产为公司带来经济利益期限的，该项无形资产作为使用寿命不确定的无形资产。</w:t>
      </w:r>
    </w:p>
    <w:p w14:paraId="09544F5F" w14:textId="77777777" w:rsidR="00E72F0C" w:rsidRDefault="00107901" w:rsidP="00507D49">
      <w:pPr>
        <w:pStyle w:val="a3"/>
        <w:spacing w:before="0" w:beforeAutospacing="0" w:after="0" w:afterAutospacing="0"/>
        <w:divId w:val="1666201496"/>
        <w:rPr>
          <w:rFonts w:hint="eastAsia"/>
          <w:sz w:val="18"/>
          <w:szCs w:val="18"/>
        </w:rPr>
      </w:pPr>
      <w:r>
        <w:rPr>
          <w:rFonts w:hint="eastAsia"/>
          <w:sz w:val="18"/>
          <w:szCs w:val="18"/>
        </w:rPr>
        <w:t>（四）划分公司内部研究开发项目的研究阶段与开发阶段的具体标准</w:t>
      </w:r>
    </w:p>
    <w:p w14:paraId="02759D39" w14:textId="77777777" w:rsidR="00E72F0C" w:rsidRDefault="00107901" w:rsidP="00507D49">
      <w:pPr>
        <w:pStyle w:val="a3"/>
        <w:spacing w:before="0" w:beforeAutospacing="0" w:after="0" w:afterAutospacing="0"/>
        <w:divId w:val="1666201496"/>
        <w:rPr>
          <w:rFonts w:hint="eastAsia"/>
          <w:sz w:val="18"/>
          <w:szCs w:val="18"/>
        </w:rPr>
      </w:pPr>
      <w:r>
        <w:rPr>
          <w:rFonts w:hint="eastAsia"/>
          <w:sz w:val="18"/>
          <w:szCs w:val="18"/>
        </w:rPr>
        <w:t>  1.研发支出的归集范围</w:t>
      </w:r>
      <w:r>
        <w:rPr>
          <w:rFonts w:hint="eastAsia"/>
          <w:sz w:val="18"/>
          <w:szCs w:val="18"/>
        </w:rPr>
        <w:br/>
        <w:t>  通常包括研发人员工资费用、直接投入费用、折旧费用与长期待摊费用、设计费用、装备调试费、无形资产摊销费用、委托外部研究开发费用、其他费用等，包括费用化的研发费用和资本化的开发支出。</w:t>
      </w:r>
      <w:r>
        <w:rPr>
          <w:rFonts w:hint="eastAsia"/>
          <w:sz w:val="18"/>
          <w:szCs w:val="18"/>
        </w:rPr>
        <w:br/>
        <w:t>  2.划分研究阶段和开发阶段的具体标准</w:t>
      </w:r>
      <w:r>
        <w:rPr>
          <w:rFonts w:hint="eastAsia"/>
          <w:sz w:val="18"/>
          <w:szCs w:val="18"/>
        </w:rPr>
        <w:br/>
        <w:t>  根据公司的业务模式和研发项目特点，公司将研究开发项目区分为研究阶段与开发阶段。</w:t>
      </w:r>
      <w:r>
        <w:rPr>
          <w:rFonts w:hint="eastAsia"/>
          <w:sz w:val="18"/>
          <w:szCs w:val="18"/>
        </w:rPr>
        <w:br/>
        <w:t>  （1）研究阶段</w:t>
      </w:r>
      <w:r>
        <w:rPr>
          <w:rFonts w:hint="eastAsia"/>
          <w:sz w:val="18"/>
          <w:szCs w:val="18"/>
        </w:rPr>
        <w:br/>
        <w:t>  研究阶段是指为获取并理解新的科学或技术知识等而进行的独创性的有计划调查、研究活动的阶段。内部研究开发项目研究阶段的支出，在发生时计入当期损益。</w:t>
      </w:r>
      <w:r>
        <w:rPr>
          <w:rFonts w:hint="eastAsia"/>
          <w:sz w:val="18"/>
          <w:szCs w:val="18"/>
        </w:rPr>
        <w:br/>
        <w:t>  （2）开发阶段</w:t>
      </w:r>
      <w:r>
        <w:rPr>
          <w:rFonts w:hint="eastAsia"/>
          <w:sz w:val="18"/>
          <w:szCs w:val="18"/>
        </w:rPr>
        <w:br/>
        <w:t>  开发阶段是指在进行商业性生产或使用前，将研究成果或其他知识应用于某项计划或设计，以生产出新的或具有实质性改进的材料、装置、产品等活动的阶段。</w:t>
      </w:r>
      <w:r>
        <w:rPr>
          <w:rFonts w:hint="eastAsia"/>
          <w:sz w:val="18"/>
          <w:szCs w:val="18"/>
        </w:rPr>
        <w:br/>
      </w:r>
      <w:r>
        <w:rPr>
          <w:rFonts w:hint="eastAsia"/>
          <w:sz w:val="18"/>
          <w:szCs w:val="18"/>
        </w:rPr>
        <w:lastRenderedPageBreak/>
        <w:t>（五）开发阶段支出符合资本化的具体条件</w:t>
      </w:r>
      <w:r>
        <w:rPr>
          <w:rFonts w:hint="eastAsia"/>
          <w:sz w:val="18"/>
          <w:szCs w:val="18"/>
        </w:rPr>
        <w:br/>
        <w:t>  内部研究开发项目开发阶段的支出，同时满足下列条件时确认为无形资产：</w:t>
      </w:r>
      <w:r>
        <w:rPr>
          <w:rFonts w:hint="eastAsia"/>
          <w:sz w:val="18"/>
          <w:szCs w:val="18"/>
        </w:rPr>
        <w:br/>
        <w:t>  1.完成该无形资产以使其能够使用或出售在技术上具有可行性；</w:t>
      </w:r>
      <w:r>
        <w:rPr>
          <w:rFonts w:hint="eastAsia"/>
          <w:sz w:val="18"/>
          <w:szCs w:val="18"/>
        </w:rPr>
        <w:br/>
        <w:t>  2.具有完成该无形资产并使用或出售的意图；</w:t>
      </w:r>
      <w:r>
        <w:rPr>
          <w:rFonts w:hint="eastAsia"/>
          <w:sz w:val="18"/>
          <w:szCs w:val="18"/>
        </w:rPr>
        <w:br/>
        <w:t>  3.无形资产产生经济利益的方式，包括能够证明运用该无形资产生产的产品存在市场或无形资产自身存在市场，无形资产将在内部使用的，能够证明其有用性；</w:t>
      </w:r>
      <w:r>
        <w:rPr>
          <w:rFonts w:hint="eastAsia"/>
          <w:sz w:val="18"/>
          <w:szCs w:val="18"/>
        </w:rPr>
        <w:br/>
        <w:t>  4.有足够的技术、财务资源和其他资源支持，以完成该无形资产的开发，并有能力使用或出售该无形资产；</w:t>
      </w:r>
      <w:r>
        <w:rPr>
          <w:rFonts w:hint="eastAsia"/>
          <w:sz w:val="18"/>
          <w:szCs w:val="18"/>
        </w:rPr>
        <w:br/>
        <w:t>  5.归属于该无形资产开发阶段的支出能够可靠地计量。</w:t>
      </w:r>
    </w:p>
    <w:p w14:paraId="751D3F8A" w14:textId="77777777" w:rsidR="00632E5B" w:rsidRDefault="00107901">
      <w:pPr>
        <w:pStyle w:val="3"/>
        <w:spacing w:line="280" w:lineRule="exact"/>
        <w:jc w:val="left"/>
        <w:rPr>
          <w:rFonts w:ascii="宋体" w:hAnsi="宋体" w:cs="宋体" w:hint="eastAsia"/>
          <w:b/>
          <w:bCs/>
        </w:rPr>
      </w:pPr>
      <w:bookmarkStart w:id="184" w:name="_Toc989073"/>
      <w:r>
        <w:rPr>
          <w:rFonts w:ascii="宋体" w:hAnsi="宋体" w:cs="宋体"/>
          <w:b/>
          <w:bCs/>
        </w:rPr>
        <w:t>19、长期资产减值</w:t>
      </w:r>
      <w:bookmarkEnd w:id="184"/>
    </w:p>
    <w:p w14:paraId="7E1B74F0" w14:textId="77777777" w:rsidR="00E72F0C" w:rsidRDefault="00107901">
      <w:pPr>
        <w:pStyle w:val="a3"/>
        <w:divId w:val="1325933327"/>
        <w:rPr>
          <w:rFonts w:hint="eastAsia"/>
          <w:sz w:val="18"/>
          <w:szCs w:val="18"/>
        </w:rPr>
      </w:pPr>
      <w:r>
        <w:rPr>
          <w:rFonts w:hint="eastAsia"/>
          <w:sz w:val="18"/>
          <w:szCs w:val="18"/>
        </w:rPr>
        <w:t>  长期股权投资、采用成本模式计量的投资性房地产、固定资产、在建工程、使用权资产、使用寿命有限的无形资产等长期资产，于资产负债表日存在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r>
        <w:rPr>
          <w:rFonts w:hint="eastAsia"/>
          <w:sz w:val="18"/>
          <w:szCs w:val="18"/>
        </w:rPr>
        <w:br/>
        <w:t>  公司对商誉和使用寿命不确定的无形资产，无论是否存在减值迹象，至少在每年年度终了进行减值测试。</w:t>
      </w:r>
      <w:r>
        <w:rPr>
          <w:rFonts w:hint="eastAsia"/>
          <w:sz w:val="18"/>
          <w:szCs w:val="18"/>
        </w:rPr>
        <w:br/>
        <w:t>  公司进行资产减值测试时，对于因企业合并形成的商誉的账面价值，自购买日起按照合理的方法分摊至相关的资产组；难以分摊至相关的资产组的，将其分摊至相关的资产组组合。在将商誉的账面价值分摊至相关的资产组或者资产组组合时，按照各资产组或者资产组组合的公允价值占相关资产组或者资产组组合公允价值总额的比例进行分摊。公允价值难以可靠计量的，按照各资产组或者资产组组合的账面价值占相关资产组或者资产组组合账面价值总额的比例进行分摊。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再对包含商誉的资产组或者资产组组合进行减值测试，比较这些相关资产组或者资产组组合的账面价值（包括所分摊的商誉的账面价值部分）与其可收回金额，如相关资产组或者资产组组合的可收回金额低于其账面价值的，确认商誉的减值损失。</w:t>
      </w:r>
      <w:r>
        <w:rPr>
          <w:rFonts w:hint="eastAsia"/>
          <w:sz w:val="18"/>
          <w:szCs w:val="18"/>
        </w:rPr>
        <w:br/>
        <w:t>  上述资产减值损失一经确认，在以后会计期间不予转回。</w:t>
      </w:r>
    </w:p>
    <w:p w14:paraId="7E620A01" w14:textId="77777777" w:rsidR="00632E5B" w:rsidRDefault="00107901">
      <w:pPr>
        <w:pStyle w:val="3"/>
        <w:spacing w:line="280" w:lineRule="exact"/>
        <w:jc w:val="left"/>
        <w:rPr>
          <w:rFonts w:ascii="宋体" w:hAnsi="宋体" w:cs="宋体" w:hint="eastAsia"/>
          <w:b/>
          <w:bCs/>
        </w:rPr>
      </w:pPr>
      <w:bookmarkStart w:id="185" w:name="_Toc989074"/>
      <w:r>
        <w:rPr>
          <w:rFonts w:ascii="宋体" w:hAnsi="宋体" w:cs="宋体"/>
          <w:b/>
          <w:bCs/>
        </w:rPr>
        <w:t>20、长期待摊费用</w:t>
      </w:r>
      <w:bookmarkEnd w:id="185"/>
    </w:p>
    <w:p w14:paraId="1226BB15" w14:textId="77777777" w:rsidR="00E72F0C" w:rsidRDefault="00107901" w:rsidP="00091EA9">
      <w:pPr>
        <w:pStyle w:val="a3"/>
        <w:spacing w:before="0" w:beforeAutospacing="0" w:after="0" w:afterAutospacing="0"/>
        <w:divId w:val="24329784"/>
        <w:rPr>
          <w:rFonts w:hint="eastAsia"/>
          <w:sz w:val="18"/>
          <w:szCs w:val="18"/>
        </w:rPr>
      </w:pPr>
      <w:r>
        <w:rPr>
          <w:rFonts w:hint="eastAsia"/>
          <w:sz w:val="18"/>
          <w:szCs w:val="18"/>
        </w:rPr>
        <w:t>（一）长期待摊费用的范围</w:t>
      </w:r>
      <w:r>
        <w:rPr>
          <w:rFonts w:hint="eastAsia"/>
          <w:sz w:val="18"/>
          <w:szCs w:val="18"/>
        </w:rPr>
        <w:br/>
        <w:t>  长期待摊费用是指公司已经发生但应由本期和以后各期负担的分摊期限在1年以上（不含1年）的各项费用，包括以经营租赁方式租入的固定资产发生的改良支出等。</w:t>
      </w:r>
      <w:r>
        <w:rPr>
          <w:rFonts w:hint="eastAsia"/>
          <w:sz w:val="18"/>
          <w:szCs w:val="18"/>
        </w:rPr>
        <w:br/>
        <w:t>（二）长期待摊费用的初始计量</w:t>
      </w:r>
      <w:r>
        <w:rPr>
          <w:rFonts w:hint="eastAsia"/>
          <w:sz w:val="18"/>
          <w:szCs w:val="18"/>
        </w:rPr>
        <w:br/>
        <w:t>  长期待摊费用按照实际发生的支出进行初始计量。</w:t>
      </w:r>
      <w:r>
        <w:rPr>
          <w:rFonts w:hint="eastAsia"/>
          <w:sz w:val="18"/>
          <w:szCs w:val="18"/>
        </w:rPr>
        <w:br/>
        <w:t>（三）长期待摊费用的摊销</w:t>
      </w:r>
      <w:r>
        <w:rPr>
          <w:rFonts w:hint="eastAsia"/>
          <w:sz w:val="18"/>
          <w:szCs w:val="18"/>
        </w:rPr>
        <w:br/>
        <w:t>  长期待摊费用按照受益期限采用直线法分期摊销。</w:t>
      </w:r>
    </w:p>
    <w:p w14:paraId="72E3CBB3" w14:textId="77777777" w:rsidR="00632E5B" w:rsidRDefault="00107901">
      <w:pPr>
        <w:pStyle w:val="3"/>
        <w:spacing w:line="280" w:lineRule="exact"/>
        <w:jc w:val="left"/>
        <w:rPr>
          <w:rFonts w:ascii="宋体" w:hAnsi="宋体" w:cs="宋体" w:hint="eastAsia"/>
          <w:b/>
          <w:bCs/>
        </w:rPr>
      </w:pPr>
      <w:bookmarkStart w:id="186" w:name="_Toc989075"/>
      <w:r>
        <w:rPr>
          <w:rFonts w:ascii="宋体" w:hAnsi="宋体" w:cs="宋体"/>
          <w:b/>
          <w:bCs/>
        </w:rPr>
        <w:t>21、合同负债</w:t>
      </w:r>
      <w:bookmarkEnd w:id="186"/>
    </w:p>
    <w:p w14:paraId="280A7F46" w14:textId="77777777" w:rsidR="00E72F0C" w:rsidRDefault="00107901" w:rsidP="00091EA9">
      <w:pPr>
        <w:pStyle w:val="a3"/>
        <w:spacing w:before="0" w:beforeAutospacing="0" w:after="0" w:afterAutospacing="0"/>
        <w:divId w:val="257909547"/>
        <w:rPr>
          <w:rFonts w:hint="eastAsia"/>
          <w:sz w:val="18"/>
          <w:szCs w:val="18"/>
        </w:rPr>
      </w:pPr>
      <w:r>
        <w:rPr>
          <w:rFonts w:hint="eastAsia"/>
          <w:sz w:val="18"/>
          <w:szCs w:val="18"/>
        </w:rPr>
        <w:t>  合同负债，是指公司已收或应收客户对价而应向客户转让商品的义务。如果公司在向客户转让商品之前，客户已经支付了合同对价或公司已经取得了无条件收款权，公司在客户实际支付款项和到期应支付款项孰早时点，将该已收或应收款项列示为合同负债。同一合同下的合同资产和合同负债以净额列示，不同合同下的合同资产和合同负债不予抵销。</w:t>
      </w:r>
    </w:p>
    <w:p w14:paraId="35C173FA" w14:textId="77777777" w:rsidR="00632E5B" w:rsidRDefault="00107901">
      <w:pPr>
        <w:pStyle w:val="3"/>
        <w:spacing w:line="280" w:lineRule="exact"/>
        <w:jc w:val="left"/>
        <w:rPr>
          <w:rFonts w:ascii="宋体" w:hAnsi="宋体" w:cs="宋体" w:hint="eastAsia"/>
          <w:b/>
          <w:bCs/>
        </w:rPr>
      </w:pPr>
      <w:bookmarkStart w:id="187" w:name="_Toc989076"/>
      <w:r>
        <w:rPr>
          <w:rFonts w:ascii="宋体" w:hAnsi="宋体" w:cs="宋体"/>
          <w:b/>
          <w:bCs/>
        </w:rPr>
        <w:lastRenderedPageBreak/>
        <w:t>22、职工薪酬</w:t>
      </w:r>
      <w:bookmarkEnd w:id="187"/>
    </w:p>
    <w:p w14:paraId="598B059A"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188" w:name="_Toc989077"/>
      <w:r>
        <w:rPr>
          <w:rFonts w:ascii="宋体" w:eastAsia="宋体" w:hAnsi="宋体" w:cs="宋体"/>
          <w:b/>
          <w:bCs/>
          <w:szCs w:val="21"/>
        </w:rPr>
        <w:t>（1） 短期薪酬的会计处理方法</w:t>
      </w:r>
      <w:bookmarkEnd w:id="188"/>
    </w:p>
    <w:p w14:paraId="4562BF3C" w14:textId="77777777" w:rsidR="00E72F0C" w:rsidRDefault="00107901" w:rsidP="00091EA9">
      <w:pPr>
        <w:pStyle w:val="a3"/>
        <w:spacing w:before="0" w:beforeAutospacing="0" w:after="0" w:afterAutospacing="0"/>
        <w:divId w:val="131485695"/>
        <w:rPr>
          <w:rFonts w:hint="eastAsia"/>
          <w:sz w:val="18"/>
          <w:szCs w:val="18"/>
        </w:rPr>
      </w:pPr>
      <w:r>
        <w:rPr>
          <w:rFonts w:hint="eastAsia"/>
          <w:sz w:val="18"/>
          <w:szCs w:val="18"/>
        </w:rPr>
        <w:t>  短期薪酬，是指企业预期在职工提供相关服务的年度报告期间结束后十二个月内将全部予以支付的职工薪酬，因解除与职工的劳动关系给予的补偿除外。</w:t>
      </w:r>
      <w:r>
        <w:rPr>
          <w:rFonts w:hint="eastAsia"/>
          <w:sz w:val="18"/>
          <w:szCs w:val="18"/>
        </w:rPr>
        <w:br/>
        <w:t>  短期薪酬具体包括：职工工资、奖金、津贴和补贴，职工福利费，医疗保险费、工伤保险费和生育保险费等社会保险费，住房公积金，工会经费和职工教育经费，短期带薪缺勤，短期利润分享计划，非货币性福利以及其他短期薪酬。</w:t>
      </w:r>
      <w:r>
        <w:rPr>
          <w:rFonts w:hint="eastAsia"/>
          <w:sz w:val="18"/>
          <w:szCs w:val="18"/>
        </w:rPr>
        <w:br/>
        <w:t>  公司在职工为其提供服务的会计期间，将实际发生的短期薪酬确认为负债，并计入当期损益或相关资产成本。</w:t>
      </w:r>
    </w:p>
    <w:p w14:paraId="784F35EA"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189" w:name="_Toc989078"/>
      <w:r>
        <w:rPr>
          <w:rFonts w:ascii="宋体" w:eastAsia="宋体" w:hAnsi="宋体" w:cs="宋体"/>
          <w:b/>
          <w:bCs/>
          <w:szCs w:val="21"/>
        </w:rPr>
        <w:t>（2） 离职后福利的会计处理方法</w:t>
      </w:r>
      <w:bookmarkEnd w:id="189"/>
    </w:p>
    <w:p w14:paraId="11D4390A" w14:textId="77777777" w:rsidR="00E72F0C" w:rsidRDefault="00107901" w:rsidP="00091EA9">
      <w:pPr>
        <w:pStyle w:val="a3"/>
        <w:spacing w:before="0" w:beforeAutospacing="0" w:after="0" w:afterAutospacing="0"/>
        <w:divId w:val="392657100"/>
        <w:rPr>
          <w:rFonts w:hint="eastAsia"/>
          <w:sz w:val="18"/>
          <w:szCs w:val="18"/>
        </w:rPr>
      </w:pPr>
      <w:r>
        <w:rPr>
          <w:rFonts w:hint="eastAsia"/>
          <w:sz w:val="18"/>
          <w:szCs w:val="18"/>
        </w:rPr>
        <w:t>  公司参与的设定提存计划是按照有关规定为职工缴纳的基本养老保险费、失业保险费、企业年金缴费等。公司根据在资产负债表日为换取职工在会计期间提供的服务而应缴存的金额，确认为职工薪酬负债，并计入当期损益或相关资产成本。</w:t>
      </w:r>
    </w:p>
    <w:p w14:paraId="159CDED2"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190" w:name="_Toc989079"/>
      <w:r>
        <w:rPr>
          <w:rFonts w:ascii="宋体" w:eastAsia="宋体" w:hAnsi="宋体" w:cs="宋体"/>
          <w:b/>
          <w:bCs/>
          <w:szCs w:val="21"/>
        </w:rPr>
        <w:t>（3） 辞退福利的会计处理方法</w:t>
      </w:r>
      <w:bookmarkEnd w:id="190"/>
    </w:p>
    <w:p w14:paraId="3E1CDBE1" w14:textId="77777777" w:rsidR="00E72F0C" w:rsidRDefault="00107901" w:rsidP="00091EA9">
      <w:pPr>
        <w:pStyle w:val="a3"/>
        <w:spacing w:before="0" w:beforeAutospacing="0" w:after="0" w:afterAutospacing="0"/>
        <w:divId w:val="1240555777"/>
        <w:rPr>
          <w:rFonts w:hint="eastAsia"/>
          <w:sz w:val="18"/>
          <w:szCs w:val="18"/>
        </w:rPr>
      </w:pPr>
      <w:r>
        <w:rPr>
          <w:rFonts w:hint="eastAsia"/>
          <w:sz w:val="18"/>
          <w:szCs w:val="18"/>
        </w:rPr>
        <w:t>  辞退福利，是指公司在职工劳动合同到期之前解除与职工的劳动关系，或者为鼓励职工自愿接受裁减而给予职工的补偿。在下列两者孰早日确认辞退福利产生的职工薪酬负债，并计入当期损益：</w:t>
      </w:r>
      <w:r>
        <w:rPr>
          <w:rFonts w:hint="eastAsia"/>
          <w:sz w:val="18"/>
          <w:szCs w:val="18"/>
        </w:rPr>
        <w:br/>
        <w:t>  1.企业不能单方面撤回因解除劳动关系计划或裁减建议所提供的辞退福利时。</w:t>
      </w:r>
      <w:r>
        <w:rPr>
          <w:rFonts w:hint="eastAsia"/>
          <w:sz w:val="18"/>
          <w:szCs w:val="18"/>
        </w:rPr>
        <w:br/>
        <w:t>  2.企业确认与涉及支付辞退福利的重组相关的成本或费用时。</w:t>
      </w:r>
    </w:p>
    <w:p w14:paraId="742C2C6A"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191" w:name="_Toc989080"/>
      <w:r>
        <w:rPr>
          <w:rFonts w:ascii="宋体" w:eastAsia="宋体" w:hAnsi="宋体" w:cs="宋体"/>
          <w:b/>
          <w:bCs/>
          <w:szCs w:val="21"/>
        </w:rPr>
        <w:t>（4） 其他长期职工福利的会计处理方法</w:t>
      </w:r>
      <w:bookmarkEnd w:id="191"/>
    </w:p>
    <w:p w14:paraId="5DB0CB01" w14:textId="77777777" w:rsidR="00E72F0C" w:rsidRDefault="00107901" w:rsidP="00091EA9">
      <w:pPr>
        <w:pStyle w:val="a3"/>
        <w:spacing w:before="0" w:beforeAutospacing="0" w:after="0" w:afterAutospacing="0"/>
        <w:divId w:val="1977181703"/>
        <w:rPr>
          <w:rFonts w:hint="eastAsia"/>
          <w:sz w:val="18"/>
          <w:szCs w:val="18"/>
        </w:rPr>
      </w:pPr>
      <w:r>
        <w:rPr>
          <w:rFonts w:hint="eastAsia"/>
          <w:sz w:val="18"/>
          <w:szCs w:val="18"/>
        </w:rPr>
        <w:t>  其他长期职工福利，是指除短期薪酬、离职后福利和辞退福利以外的其他所有职工福利。在报告期末，公司将其他长期职工福利产生的职工薪酬成本确认为下列组成部分：</w:t>
      </w:r>
      <w:r>
        <w:rPr>
          <w:rFonts w:hint="eastAsia"/>
          <w:sz w:val="18"/>
          <w:szCs w:val="18"/>
        </w:rPr>
        <w:br/>
        <w:t>  1.服务成本。</w:t>
      </w:r>
      <w:r>
        <w:rPr>
          <w:rFonts w:hint="eastAsia"/>
          <w:sz w:val="18"/>
          <w:szCs w:val="18"/>
        </w:rPr>
        <w:br/>
        <w:t>  2.其他长期职工福利净负债或净资产的利息净额。</w:t>
      </w:r>
      <w:r>
        <w:rPr>
          <w:rFonts w:hint="eastAsia"/>
          <w:sz w:val="18"/>
          <w:szCs w:val="18"/>
        </w:rPr>
        <w:br/>
        <w:t>  3.重新计量其他长期职工福利净负债或净资产所产生的变动。</w:t>
      </w:r>
      <w:r>
        <w:rPr>
          <w:rFonts w:hint="eastAsia"/>
          <w:sz w:val="18"/>
          <w:szCs w:val="18"/>
        </w:rPr>
        <w:br/>
        <w:t>  为简化相关会计处理，上述项目的总净额计入当期损益或相关资产成本。</w:t>
      </w:r>
    </w:p>
    <w:p w14:paraId="6268BFCD" w14:textId="77777777" w:rsidR="00632E5B" w:rsidRDefault="00107901">
      <w:pPr>
        <w:pStyle w:val="3"/>
        <w:spacing w:line="280" w:lineRule="exact"/>
        <w:jc w:val="left"/>
        <w:rPr>
          <w:rFonts w:ascii="宋体" w:hAnsi="宋体" w:cs="宋体" w:hint="eastAsia"/>
          <w:b/>
          <w:bCs/>
        </w:rPr>
      </w:pPr>
      <w:bookmarkStart w:id="192" w:name="_Toc989081"/>
      <w:r>
        <w:rPr>
          <w:rFonts w:ascii="宋体" w:hAnsi="宋体" w:cs="宋体"/>
          <w:b/>
          <w:bCs/>
        </w:rPr>
        <w:t>23、预计负债</w:t>
      </w:r>
      <w:bookmarkEnd w:id="192"/>
    </w:p>
    <w:p w14:paraId="6792FE87" w14:textId="77777777" w:rsidR="00E72F0C" w:rsidRDefault="00107901" w:rsidP="00091EA9">
      <w:pPr>
        <w:pStyle w:val="a3"/>
        <w:spacing w:before="0" w:beforeAutospacing="0" w:after="0" w:afterAutospacing="0"/>
        <w:divId w:val="1371951318"/>
        <w:rPr>
          <w:rFonts w:hint="eastAsia"/>
          <w:sz w:val="18"/>
          <w:szCs w:val="18"/>
        </w:rPr>
      </w:pPr>
      <w:r>
        <w:rPr>
          <w:rFonts w:hint="eastAsia"/>
          <w:sz w:val="18"/>
          <w:szCs w:val="18"/>
        </w:rPr>
        <w:t>（一）预计负债的确认原则</w:t>
      </w:r>
      <w:r>
        <w:rPr>
          <w:rFonts w:hint="eastAsia"/>
          <w:sz w:val="18"/>
          <w:szCs w:val="18"/>
        </w:rPr>
        <w:br/>
        <w:t>  当与对外担保、未决诉讼或仲裁、产品质量保证、亏损合同、重组等或有事项相关的义务同时符合以下三个条件时，确认为预计负债：</w:t>
      </w:r>
      <w:r>
        <w:rPr>
          <w:rFonts w:hint="eastAsia"/>
          <w:sz w:val="18"/>
          <w:szCs w:val="18"/>
        </w:rPr>
        <w:br/>
        <w:t>  1.该义务是公司承担的现时义务；</w:t>
      </w:r>
      <w:r>
        <w:rPr>
          <w:rFonts w:hint="eastAsia"/>
          <w:sz w:val="18"/>
          <w:szCs w:val="18"/>
        </w:rPr>
        <w:br/>
        <w:t>  2.该项义务的履行很可能导致经济利益流出公司；</w:t>
      </w:r>
      <w:r>
        <w:rPr>
          <w:rFonts w:hint="eastAsia"/>
          <w:sz w:val="18"/>
          <w:szCs w:val="18"/>
        </w:rPr>
        <w:br/>
        <w:t>  3.该义务的金额能够可靠地计量。</w:t>
      </w:r>
      <w:r>
        <w:rPr>
          <w:rFonts w:hint="eastAsia"/>
          <w:sz w:val="18"/>
          <w:szCs w:val="18"/>
        </w:rPr>
        <w:br/>
        <w:t>（二）预计负债的计量方法</w:t>
      </w:r>
      <w:r>
        <w:rPr>
          <w:rFonts w:hint="eastAsia"/>
          <w:sz w:val="18"/>
          <w:szCs w:val="18"/>
        </w:rPr>
        <w:br/>
        <w:t>  预计负债的金额按照该或有事项所需支出的最佳估计数计量。</w:t>
      </w:r>
      <w:r>
        <w:rPr>
          <w:rFonts w:hint="eastAsia"/>
          <w:sz w:val="18"/>
          <w:szCs w:val="18"/>
        </w:rPr>
        <w:br/>
        <w:t>  1.所需支出存在一个连续范围且该范围内各种结果发生的可能性相同的，最佳估计数按照该范围内的中间值确定。</w:t>
      </w:r>
      <w:r>
        <w:rPr>
          <w:rFonts w:hint="eastAsia"/>
          <w:sz w:val="18"/>
          <w:szCs w:val="18"/>
        </w:rPr>
        <w:br/>
        <w:t>  2.在其他情况下，最佳估计数分别下列情况处理：</w:t>
      </w:r>
      <w:r>
        <w:rPr>
          <w:rFonts w:hint="eastAsia"/>
          <w:sz w:val="18"/>
          <w:szCs w:val="18"/>
        </w:rPr>
        <w:br/>
        <w:t>  （1）或有事项涉及单个项目的，按照最可能发生金额确定。</w:t>
      </w:r>
      <w:r>
        <w:rPr>
          <w:rFonts w:hint="eastAsia"/>
          <w:sz w:val="18"/>
          <w:szCs w:val="18"/>
        </w:rPr>
        <w:br/>
        <w:t>  （2）或有事项涉及多个项目的，按照各种可能结果及相关概率计算确定。</w:t>
      </w:r>
    </w:p>
    <w:p w14:paraId="0D3B5FD5" w14:textId="77777777" w:rsidR="00632E5B" w:rsidRDefault="00107901">
      <w:pPr>
        <w:pStyle w:val="3"/>
        <w:spacing w:line="280" w:lineRule="exact"/>
        <w:jc w:val="left"/>
        <w:rPr>
          <w:rFonts w:ascii="宋体" w:hAnsi="宋体" w:cs="宋体" w:hint="eastAsia"/>
          <w:b/>
          <w:bCs/>
        </w:rPr>
      </w:pPr>
      <w:bookmarkStart w:id="193" w:name="_Toc989082"/>
      <w:r>
        <w:rPr>
          <w:rFonts w:ascii="宋体" w:hAnsi="宋体" w:cs="宋体"/>
          <w:b/>
          <w:bCs/>
        </w:rPr>
        <w:lastRenderedPageBreak/>
        <w:t>24、收入</w:t>
      </w:r>
      <w:bookmarkEnd w:id="193"/>
    </w:p>
    <w:p w14:paraId="39D8193D"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按照业务类型披露收入确认和计量所采用的会计政策</w:t>
      </w:r>
    </w:p>
    <w:p w14:paraId="324D0F1B" w14:textId="77777777" w:rsidR="00E72F0C" w:rsidRDefault="00107901" w:rsidP="00091EA9">
      <w:pPr>
        <w:pStyle w:val="a3"/>
        <w:spacing w:before="0" w:beforeAutospacing="0" w:after="0" w:afterAutospacing="0"/>
        <w:divId w:val="849023811"/>
        <w:rPr>
          <w:rFonts w:hint="eastAsia"/>
          <w:sz w:val="18"/>
          <w:szCs w:val="18"/>
        </w:rPr>
      </w:pPr>
      <w:r>
        <w:rPr>
          <w:rFonts w:hint="eastAsia"/>
          <w:sz w:val="18"/>
          <w:szCs w:val="18"/>
        </w:rPr>
        <w:t>（一）收入确认原则和计量方法</w:t>
      </w:r>
      <w:r>
        <w:rPr>
          <w:rFonts w:hint="eastAsia"/>
          <w:sz w:val="18"/>
          <w:szCs w:val="18"/>
        </w:rPr>
        <w:br/>
        <w:t>  1.收入的确认</w:t>
      </w:r>
      <w:r>
        <w:rPr>
          <w:rFonts w:hint="eastAsia"/>
          <w:sz w:val="18"/>
          <w:szCs w:val="18"/>
        </w:rPr>
        <w:br/>
        <w:t>  公司在履行了合同中的履约义务，即在客户取得相关商品控制权时确认收入。合同开始日，公司对合同进行评估，识别该合同所包含的各单项履约义务，并确定各单项履约义务是在某一时段内履行，还是在某一时点履行，然后，在履行了各单项履约义务时分别确认收入。</w:t>
      </w:r>
      <w:r>
        <w:rPr>
          <w:rFonts w:hint="eastAsia"/>
          <w:sz w:val="18"/>
          <w:szCs w:val="18"/>
        </w:rPr>
        <w:br/>
        <w:t>  2.收入的计量</w:t>
      </w:r>
      <w:r>
        <w:rPr>
          <w:rFonts w:hint="eastAsia"/>
          <w:sz w:val="18"/>
          <w:szCs w:val="18"/>
        </w:rPr>
        <w:br/>
        <w:t>  合同包含两项或多项履约义务的，公司在合同开始日，按照各单项履约义务所承诺商品或服务的单独售价的相对比例，将交易价格分摊至各单项履约义务，按照分摊至各单项履约义务的交易价格计量收入。在确定交易价格时，公司将考虑可变对价、合同中存在的重大融资成分、非现金对价以及应付客户对价等因素的影响，并假定将按照现有合同的约定向客户转移商品，且该合同不会被取消、续约或变更。</w:t>
      </w:r>
      <w:r>
        <w:rPr>
          <w:rFonts w:hint="eastAsia"/>
          <w:sz w:val="18"/>
          <w:szCs w:val="18"/>
        </w:rPr>
        <w:br/>
        <w:t>（二）具体的收入确认政策</w:t>
      </w:r>
      <w:r>
        <w:rPr>
          <w:rFonts w:hint="eastAsia"/>
          <w:sz w:val="18"/>
          <w:szCs w:val="18"/>
        </w:rPr>
        <w:br/>
        <w:t>  1.公司销售商品收入</w:t>
      </w:r>
      <w:r>
        <w:rPr>
          <w:rFonts w:hint="eastAsia"/>
          <w:sz w:val="18"/>
          <w:szCs w:val="18"/>
        </w:rPr>
        <w:br/>
        <w:t>  公司与客户之间的商品销售合同通常仅包含转让商品的单项履约义务。公司通常在综合考虑下列因素的基础上，以商品的控制权转移时点确认收入：取得商品的现时收款权利、商品所有权上的主要风险和报酬的转移、商品的法定所有权的转移、商品实物资产的转移、客户接受该商品。</w:t>
      </w:r>
      <w:r>
        <w:rPr>
          <w:rFonts w:hint="eastAsia"/>
          <w:sz w:val="18"/>
          <w:szCs w:val="18"/>
        </w:rPr>
        <w:br/>
        <w:t>  ①国内销售：由本公司负责将货物运送到客户指定的交货地点的，在相关货物运抵目的地并取得客户签收单时确认销售收入；由客户上门提货的，在相关货物交付客户指定的承运人并取得客户签收单时确认销售收入。</w:t>
      </w:r>
      <w:r>
        <w:rPr>
          <w:rFonts w:hint="eastAsia"/>
          <w:sz w:val="18"/>
          <w:szCs w:val="18"/>
        </w:rPr>
        <w:br/>
        <w:t>  ②出口销售：由本公司负责将货物运送到装运港码头或目的港码头的，公司在货物已经报关出运，取得经海关审验的产品出口报关单和货代公司出具的货运提单，并且符合其他收入确认条件时确认外销售收入的实现。</w:t>
      </w:r>
      <w:r>
        <w:rPr>
          <w:rFonts w:hint="eastAsia"/>
          <w:sz w:val="18"/>
          <w:szCs w:val="18"/>
        </w:rPr>
        <w:br/>
        <w:t>  2.光伏电站转让</w:t>
      </w:r>
      <w:r>
        <w:rPr>
          <w:rFonts w:hint="eastAsia"/>
          <w:sz w:val="18"/>
          <w:szCs w:val="18"/>
        </w:rPr>
        <w:br/>
        <w:t>  公司与客户之间的销售商品合同包含转让电站的履约义务，属于在某一时点履行履约义务。本公司持有的光伏电站主要用于在市场上寻找第三方客户予以出售，光伏电站销售是本公司的日常经营活动，也是本公司光伏产品业务的延伸。本公司目前光伏电站的转让主要以股权转让方式进行交易，交易实质是通过转让平台公司或项目公司股权的方式实现销售电站资产。当股权交割的工商变更完成且根据不可撤销销售合同判定相关电站的控制权实质上已转移给客户时，本公司确认光伏电站销售收入。</w:t>
      </w:r>
      <w:r>
        <w:rPr>
          <w:rFonts w:hint="eastAsia"/>
          <w:sz w:val="18"/>
          <w:szCs w:val="18"/>
        </w:rPr>
        <w:br/>
        <w:t>  3.EPC业务及电站运维</w:t>
      </w:r>
      <w:r>
        <w:rPr>
          <w:rFonts w:hint="eastAsia"/>
          <w:sz w:val="18"/>
          <w:szCs w:val="18"/>
        </w:rPr>
        <w:br/>
        <w:t>  公司开展“建造-销售”模式的EPC业务时，公司与客户签订的EPC总承包协议、开发协议和工程建设管理协议等按照一揽子交易确定。在工程开始时，与工程开展相关的支出已经发生且构建活动也已开始，该等支出系使得工程达到最终预定可出售状态所发生的必要支出，本公司将开发成本计入合同预计总成本。本公司在开展电站日常运维业务时与客户签订运维服务协议，在合同约定的期间内由公司提供电站运维服务，根据开展运维活动所发生的各类必要支出计入相关的运维成本，根据与客户约定运维服务协议中确定的运维费，在公司完成协议约定的服务期间内确认收入。</w:t>
      </w:r>
      <w:r>
        <w:rPr>
          <w:rFonts w:hint="eastAsia"/>
          <w:sz w:val="18"/>
          <w:szCs w:val="18"/>
        </w:rPr>
        <w:br/>
        <w:t>  收入确认的具体原则：</w:t>
      </w:r>
      <w:r>
        <w:rPr>
          <w:rFonts w:hint="eastAsia"/>
          <w:sz w:val="18"/>
          <w:szCs w:val="18"/>
        </w:rPr>
        <w:br/>
        <w:t>  (1)光伏电站工程建设管理服务为向客户提供光伏电站建造的一站式服务，本公司与客户之间的建造合同包含光伏电站工程建设的履约义务，由于客户能够控制本公司履约过程中在建的商品，本公司将其作为在某一时段内履行的履约义务，按照履约进度确认收入，履约进度不能合理确定的除外。本公司按照投入法确定提供服务的履约进度。履约进度按已经完成的为履行合同实际发生的合同成本占合同预计总成本的比例或已完成的合同工作量占合同预计总工作量的比例确定。于资产负债表日，本公司对已完工或已完成劳务的进度进行重新估计，以使其能够反映履约情况的变化。</w:t>
      </w:r>
      <w:r>
        <w:rPr>
          <w:rFonts w:hint="eastAsia"/>
          <w:sz w:val="18"/>
          <w:szCs w:val="18"/>
        </w:rPr>
        <w:br/>
        <w:t>  (2)光伏电站运维服务，由于客户在本公司履约的同时即取得并消耗本公司履约所带来的经济利益，本公司将其作为在某一时段内履行的履约义务，在服务提供期间平均分摊确认。</w:t>
      </w:r>
      <w:r>
        <w:rPr>
          <w:rFonts w:hint="eastAsia"/>
          <w:sz w:val="18"/>
          <w:szCs w:val="18"/>
        </w:rPr>
        <w:br/>
        <w:t>  4.电站发电收入</w:t>
      </w:r>
      <w:r>
        <w:rPr>
          <w:rFonts w:hint="eastAsia"/>
          <w:sz w:val="18"/>
          <w:szCs w:val="18"/>
        </w:rPr>
        <w:br/>
        <w:t>  公司建造并运营的光伏电站项目产生的光伏发电收入在每个会计期末按照与电网公司或其他客户实际抄表电量，电网公</w:t>
      </w:r>
      <w:r>
        <w:rPr>
          <w:rFonts w:hint="eastAsia"/>
          <w:sz w:val="18"/>
          <w:szCs w:val="18"/>
        </w:rPr>
        <w:lastRenderedPageBreak/>
        <w:t>司或客户的发电量确认单，及相关售电协议约定的电价（包括根据售电协议约定，由购电方向公司支付的与销售电力相关的可再生能源电价附加资金补助），确认光伏发电收入。</w:t>
      </w:r>
    </w:p>
    <w:p w14:paraId="0606500F" w14:textId="77777777" w:rsidR="00632E5B" w:rsidRDefault="00107901">
      <w:pPr>
        <w:pStyle w:val="3"/>
        <w:spacing w:line="280" w:lineRule="exact"/>
        <w:jc w:val="left"/>
        <w:rPr>
          <w:rFonts w:ascii="宋体" w:hAnsi="宋体" w:cs="宋体" w:hint="eastAsia"/>
          <w:b/>
          <w:bCs/>
        </w:rPr>
      </w:pPr>
      <w:bookmarkStart w:id="194" w:name="_Toc989083"/>
      <w:r>
        <w:rPr>
          <w:rFonts w:ascii="宋体" w:hAnsi="宋体" w:cs="宋体"/>
          <w:b/>
          <w:bCs/>
        </w:rPr>
        <w:t>25、合同成本</w:t>
      </w:r>
      <w:bookmarkEnd w:id="194"/>
    </w:p>
    <w:p w14:paraId="3B3A1283" w14:textId="77777777" w:rsidR="00E72F0C" w:rsidRDefault="00107901" w:rsidP="00091EA9">
      <w:pPr>
        <w:pStyle w:val="a3"/>
        <w:spacing w:before="0" w:beforeAutospacing="0" w:after="0" w:afterAutospacing="0"/>
        <w:divId w:val="179005453"/>
        <w:rPr>
          <w:rFonts w:hint="eastAsia"/>
          <w:sz w:val="18"/>
          <w:szCs w:val="18"/>
        </w:rPr>
      </w:pPr>
      <w:r>
        <w:rPr>
          <w:rFonts w:hint="eastAsia"/>
          <w:sz w:val="18"/>
          <w:szCs w:val="18"/>
        </w:rPr>
        <w:t>  合同成本分为合同履约成本与合同取得成本。</w:t>
      </w:r>
      <w:r>
        <w:rPr>
          <w:rFonts w:hint="eastAsia"/>
          <w:sz w:val="18"/>
          <w:szCs w:val="18"/>
        </w:rPr>
        <w:br/>
        <w:t>  公司为履行合同而发生的成本，在满足下列条件时作为合同履约成本确认为一项资产：</w:t>
      </w:r>
      <w:r>
        <w:rPr>
          <w:rFonts w:hint="eastAsia"/>
          <w:sz w:val="18"/>
          <w:szCs w:val="18"/>
        </w:rPr>
        <w:br/>
        <w:t>  1.该成本与一份当前或预期取得的合同直接相关。</w:t>
      </w:r>
      <w:r>
        <w:rPr>
          <w:rFonts w:hint="eastAsia"/>
          <w:sz w:val="18"/>
          <w:szCs w:val="18"/>
        </w:rPr>
        <w:br/>
        <w:t>  2.该成本增加了公司未来用于履行履约义务的资源。</w:t>
      </w:r>
      <w:r>
        <w:rPr>
          <w:rFonts w:hint="eastAsia"/>
          <w:sz w:val="18"/>
          <w:szCs w:val="18"/>
        </w:rPr>
        <w:br/>
        <w:t>  3.该成本预期能够收回。</w:t>
      </w:r>
      <w:r>
        <w:rPr>
          <w:rFonts w:hint="eastAsia"/>
          <w:sz w:val="18"/>
          <w:szCs w:val="18"/>
        </w:rPr>
        <w:br/>
        <w:t>  公司为取得合同发生的增量成本预期能够收回的，作为合同取得成本确认为一项资产。</w:t>
      </w:r>
      <w:r>
        <w:rPr>
          <w:rFonts w:hint="eastAsia"/>
          <w:sz w:val="18"/>
          <w:szCs w:val="18"/>
        </w:rPr>
        <w:br/>
        <w:t>  与合同成本有关的资产采用与该资产相关的商品或服务收入确认相同的基础进行摊销；但是对于合同取得成本摊销期限未超过一年的，公司将其在发生时计入当期损益。</w:t>
      </w:r>
      <w:r>
        <w:rPr>
          <w:rFonts w:hint="eastAsia"/>
          <w:sz w:val="18"/>
          <w:szCs w:val="18"/>
        </w:rPr>
        <w:br/>
        <w:t>  与合同成本有关的资产，其账面价值高于下列两项的差额的，公司将对于超出部分计提减值准备，并确认为资产减值损失：</w:t>
      </w:r>
      <w:r>
        <w:rPr>
          <w:rFonts w:hint="eastAsia"/>
          <w:sz w:val="18"/>
          <w:szCs w:val="18"/>
        </w:rPr>
        <w:br/>
        <w:t>  1.因转让与该资产相关的商品或服务预期能够取得的剩余对价；</w:t>
      </w:r>
      <w:r>
        <w:rPr>
          <w:rFonts w:hint="eastAsia"/>
          <w:sz w:val="18"/>
          <w:szCs w:val="18"/>
        </w:rPr>
        <w:br/>
        <w:t>  2.为转让该相关商品或服务估计将要发生的成本。</w:t>
      </w:r>
      <w:r>
        <w:rPr>
          <w:rFonts w:hint="eastAsia"/>
          <w:sz w:val="18"/>
          <w:szCs w:val="18"/>
        </w:rPr>
        <w:br/>
        <w:t>  上述资产减值准备后续发生转回的，转回后的资产账面价值不超过假定不计提减值准备情况下该资产在转回日的账面价值。</w:t>
      </w:r>
    </w:p>
    <w:p w14:paraId="3DE50BDD" w14:textId="77777777" w:rsidR="00632E5B" w:rsidRDefault="00107901">
      <w:pPr>
        <w:pStyle w:val="3"/>
        <w:spacing w:line="280" w:lineRule="exact"/>
        <w:jc w:val="left"/>
        <w:rPr>
          <w:rFonts w:ascii="宋体" w:hAnsi="宋体" w:cs="宋体" w:hint="eastAsia"/>
          <w:b/>
          <w:bCs/>
        </w:rPr>
      </w:pPr>
      <w:bookmarkStart w:id="195" w:name="_Toc989084"/>
      <w:r>
        <w:rPr>
          <w:rFonts w:ascii="宋体" w:hAnsi="宋体" w:cs="宋体"/>
          <w:b/>
          <w:bCs/>
        </w:rPr>
        <w:t>26、政府补助</w:t>
      </w:r>
      <w:bookmarkEnd w:id="195"/>
    </w:p>
    <w:p w14:paraId="1704F780" w14:textId="77777777" w:rsidR="00E72F0C" w:rsidRDefault="00107901" w:rsidP="00091EA9">
      <w:pPr>
        <w:pStyle w:val="a3"/>
        <w:spacing w:before="0" w:beforeAutospacing="0" w:after="0" w:afterAutospacing="0"/>
        <w:divId w:val="1476218770"/>
        <w:rPr>
          <w:rFonts w:hint="eastAsia"/>
          <w:sz w:val="18"/>
          <w:szCs w:val="18"/>
        </w:rPr>
      </w:pPr>
      <w:r>
        <w:rPr>
          <w:rFonts w:hint="eastAsia"/>
          <w:sz w:val="18"/>
          <w:szCs w:val="18"/>
        </w:rPr>
        <w:t>（一）政府补助的类型</w:t>
      </w:r>
      <w:r>
        <w:rPr>
          <w:rFonts w:hint="eastAsia"/>
          <w:sz w:val="18"/>
          <w:szCs w:val="18"/>
        </w:rPr>
        <w:br/>
        <w:t>  政府补助，是指公司从政府无偿取得的货币性资产或非货币性资产，包括与资产相关的政府补助和与收益相关的政府补助。</w:t>
      </w:r>
      <w:r>
        <w:rPr>
          <w:rFonts w:hint="eastAsia"/>
          <w:sz w:val="18"/>
          <w:szCs w:val="18"/>
        </w:rPr>
        <w:br/>
        <w:t>  与资产相关的政府补助，是指企业取得的、用于购建或以其他方式形成长期资产的政府补助。</w:t>
      </w:r>
      <w:r>
        <w:rPr>
          <w:rFonts w:hint="eastAsia"/>
          <w:sz w:val="18"/>
          <w:szCs w:val="18"/>
        </w:rPr>
        <w:br/>
        <w:t>  与收益相关的政府补助，是指除与资产相关的政府补助之外的政府补助。</w:t>
      </w:r>
      <w:r>
        <w:rPr>
          <w:rFonts w:hint="eastAsia"/>
          <w:sz w:val="18"/>
          <w:szCs w:val="18"/>
        </w:rPr>
        <w:br/>
        <w:t>（二）政府补助的确认原则和确认时点</w:t>
      </w:r>
      <w:r>
        <w:rPr>
          <w:rFonts w:hint="eastAsia"/>
          <w:sz w:val="18"/>
          <w:szCs w:val="18"/>
        </w:rPr>
        <w:br/>
        <w:t>  政府补助的确认原则：</w:t>
      </w:r>
      <w:r>
        <w:rPr>
          <w:rFonts w:hint="eastAsia"/>
          <w:sz w:val="18"/>
          <w:szCs w:val="18"/>
        </w:rPr>
        <w:br/>
        <w:t>  1.公司能够满足政府补助所附条件；</w:t>
      </w:r>
      <w:r>
        <w:rPr>
          <w:rFonts w:hint="eastAsia"/>
          <w:sz w:val="18"/>
          <w:szCs w:val="18"/>
        </w:rPr>
        <w:br/>
        <w:t>  2.公司能够收到政府补助。</w:t>
      </w:r>
      <w:r>
        <w:rPr>
          <w:rFonts w:hint="eastAsia"/>
          <w:sz w:val="18"/>
          <w:szCs w:val="18"/>
        </w:rPr>
        <w:br/>
        <w:t>  政府补助同时满足上述条件时才能予以确认。</w:t>
      </w:r>
      <w:r>
        <w:rPr>
          <w:rFonts w:hint="eastAsia"/>
          <w:sz w:val="18"/>
          <w:szCs w:val="18"/>
        </w:rPr>
        <w:br/>
        <w:t>（三）政府补助的计量</w:t>
      </w:r>
      <w:r>
        <w:rPr>
          <w:rFonts w:hint="eastAsia"/>
          <w:sz w:val="18"/>
          <w:szCs w:val="18"/>
        </w:rPr>
        <w:br/>
        <w:t>  1.政府补助为货币性资产的，公司按照收到或应收的金额计量。</w:t>
      </w:r>
      <w:r>
        <w:rPr>
          <w:rFonts w:hint="eastAsia"/>
          <w:sz w:val="18"/>
          <w:szCs w:val="18"/>
        </w:rPr>
        <w:br/>
        <w:t>  2.政府补助为非货币性资产的，公司按照公允价值计量；公允价值不能可靠取得的，按照名义金额计量（名义金额为人民币1元）。</w:t>
      </w:r>
      <w:r>
        <w:rPr>
          <w:rFonts w:hint="eastAsia"/>
          <w:sz w:val="18"/>
          <w:szCs w:val="18"/>
        </w:rPr>
        <w:br/>
        <w:t>（四）政府补助的会计处理方法</w:t>
      </w:r>
      <w:r>
        <w:rPr>
          <w:rFonts w:hint="eastAsia"/>
          <w:sz w:val="18"/>
          <w:szCs w:val="18"/>
        </w:rPr>
        <w:br/>
        <w:t>  1.与资产相关的政府补助，在取得时冲减相关资产的账面价值或确认为递延收益。确认为递延收益的，在相关资产使用寿命内按照合理、系统的方法分期计入损益。按照名义金额计量的政府补助，直接计入当期损益。</w:t>
      </w:r>
      <w:r>
        <w:rPr>
          <w:rFonts w:hint="eastAsia"/>
          <w:sz w:val="18"/>
          <w:szCs w:val="18"/>
        </w:rPr>
        <w:br/>
        <w:t>  2.与收益相关的政府补助，分别下列情况处理：</w:t>
      </w:r>
      <w:r>
        <w:rPr>
          <w:rFonts w:hint="eastAsia"/>
          <w:sz w:val="18"/>
          <w:szCs w:val="18"/>
        </w:rPr>
        <w:br/>
        <w:t>  （1）用于补偿公司以后期间的相关成本费用或损失的，在取得时确认为递延收益，并在确认相关成本费用或损失的期间，计入当期损益或冲减相关成本。</w:t>
      </w:r>
      <w:r>
        <w:rPr>
          <w:rFonts w:hint="eastAsia"/>
          <w:sz w:val="18"/>
          <w:szCs w:val="18"/>
        </w:rPr>
        <w:br/>
        <w:t>  （2）用于补偿公司已发生的相关成本费用或损失的，在取得时直接计入当期损益或冲减相关成本。</w:t>
      </w:r>
      <w:r>
        <w:rPr>
          <w:rFonts w:hint="eastAsia"/>
          <w:sz w:val="18"/>
          <w:szCs w:val="18"/>
        </w:rPr>
        <w:br/>
        <w:t>  3.对于同时包含与资产相关部分和与收益相关部分的政府补助，可以区分的，则分不同部分分别进行会计处理；难以区分的，则整体归类为与收益相关的政府补助。</w:t>
      </w:r>
      <w:r>
        <w:rPr>
          <w:rFonts w:hint="eastAsia"/>
          <w:sz w:val="18"/>
          <w:szCs w:val="18"/>
        </w:rPr>
        <w:br/>
      </w:r>
      <w:r>
        <w:rPr>
          <w:rFonts w:hint="eastAsia"/>
          <w:sz w:val="18"/>
          <w:szCs w:val="18"/>
        </w:rPr>
        <w:lastRenderedPageBreak/>
        <w:t>  4.与公司日常经营相关的政府补助，按照经济业务实质，计入其他收益或冲减相关成本费用。与企业日常活动无关的政府补助，计入营业外收支。财政将贴息资金直接拨付给公司的，公司将对应的贴息冲减相关借款费用。</w:t>
      </w:r>
      <w:r>
        <w:rPr>
          <w:rFonts w:hint="eastAsia"/>
          <w:sz w:val="18"/>
          <w:szCs w:val="18"/>
        </w:rPr>
        <w:br/>
        <w:t>  5.已确认的政府补助需要退回的，分别下列情况处理：</w:t>
      </w:r>
      <w:r>
        <w:rPr>
          <w:rFonts w:hint="eastAsia"/>
          <w:sz w:val="18"/>
          <w:szCs w:val="18"/>
        </w:rPr>
        <w:br/>
        <w:t>  （1）初始确认时冲减相关资产账面价值的，调整资产账面价值。</w:t>
      </w:r>
      <w:r>
        <w:rPr>
          <w:rFonts w:hint="eastAsia"/>
          <w:sz w:val="18"/>
          <w:szCs w:val="18"/>
        </w:rPr>
        <w:br/>
        <w:t>  （2）存在相关递延收益的，冲减相关递延收益账面金额，超出部分计入当期损益。</w:t>
      </w:r>
      <w:r>
        <w:rPr>
          <w:rFonts w:hint="eastAsia"/>
          <w:sz w:val="18"/>
          <w:szCs w:val="18"/>
        </w:rPr>
        <w:br/>
        <w:t>  （3）属于其他情况的，直接计入当期损益。</w:t>
      </w:r>
    </w:p>
    <w:p w14:paraId="3497B7A7" w14:textId="77777777" w:rsidR="00632E5B" w:rsidRDefault="00107901">
      <w:pPr>
        <w:pStyle w:val="3"/>
        <w:spacing w:line="280" w:lineRule="exact"/>
        <w:jc w:val="left"/>
        <w:rPr>
          <w:rFonts w:ascii="宋体" w:hAnsi="宋体" w:cs="宋体" w:hint="eastAsia"/>
          <w:b/>
          <w:bCs/>
        </w:rPr>
      </w:pPr>
      <w:bookmarkStart w:id="196" w:name="_Toc989085"/>
      <w:r>
        <w:rPr>
          <w:rFonts w:ascii="宋体" w:hAnsi="宋体" w:cs="宋体"/>
          <w:b/>
          <w:bCs/>
        </w:rPr>
        <w:t>27、递延所得税资产/递延所得税负债</w:t>
      </w:r>
      <w:bookmarkEnd w:id="196"/>
    </w:p>
    <w:p w14:paraId="3B6D4674" w14:textId="77777777" w:rsidR="00E72F0C" w:rsidRDefault="00107901" w:rsidP="00091EA9">
      <w:pPr>
        <w:pStyle w:val="a3"/>
        <w:spacing w:before="0" w:beforeAutospacing="0" w:after="0" w:afterAutospacing="0"/>
        <w:divId w:val="1164272632"/>
        <w:rPr>
          <w:rFonts w:hint="eastAsia"/>
          <w:sz w:val="18"/>
          <w:szCs w:val="18"/>
        </w:rPr>
      </w:pPr>
      <w:r>
        <w:rPr>
          <w:rFonts w:hint="eastAsia"/>
          <w:sz w:val="18"/>
          <w:szCs w:val="18"/>
        </w:rPr>
        <w:t>公司采用资产负债表债务法核算所得税。</w:t>
      </w:r>
      <w:r>
        <w:rPr>
          <w:rFonts w:hint="eastAsia"/>
          <w:sz w:val="18"/>
          <w:szCs w:val="18"/>
        </w:rPr>
        <w:br/>
        <w:t>（一）递延所得税资产或递延所得税负债的确认</w:t>
      </w:r>
      <w:r>
        <w:rPr>
          <w:rFonts w:hint="eastAsia"/>
          <w:sz w:val="18"/>
          <w:szCs w:val="18"/>
        </w:rPr>
        <w:br/>
        <w:t>  1.公司在取得资产、负债时确定其计税基础。公司于资产负债表日，分析比较资产、负债的账面价值与其计税基础，资产、负债的账面价值与其计税基础存在暂时性差异的，在有关暂时性差异发生当期且符合确认条件的情况下，公司对应纳税暂时性差异或可抵扣暂时性差异分别确认递延所得税负债或递延所得税资产。</w:t>
      </w:r>
      <w:r>
        <w:rPr>
          <w:rFonts w:hint="eastAsia"/>
          <w:sz w:val="18"/>
          <w:szCs w:val="18"/>
        </w:rPr>
        <w:br/>
        <w:t>  2.递延所得税资产的确认依据</w:t>
      </w:r>
      <w:r>
        <w:rPr>
          <w:rFonts w:hint="eastAsia"/>
          <w:sz w:val="18"/>
          <w:szCs w:val="18"/>
        </w:rPr>
        <w:br/>
        <w:t>  （1）公司以未来期间很可能取得用以抵扣可抵扣暂时性差异的应纳税所得额为限，确认由可抵扣暂时性差异产生的递延所得税资产。在确定未来期间很可能取得的应纳税所得额时，包括未来期间正常生产经营活动实现的应纳税所得额，以及在可抵扣暂时性差异转回期间因应纳税暂时性差异的转回而增加的应纳税所得额。</w:t>
      </w:r>
      <w:r>
        <w:rPr>
          <w:rFonts w:hint="eastAsia"/>
          <w:sz w:val="18"/>
          <w:szCs w:val="18"/>
        </w:rPr>
        <w:br/>
        <w:t>  （2）对于能够结转以后年度的可抵扣亏损和税款抵减，公司以很可能获得用来抵扣可抵扣亏损和税款抵减的未来应纳税所得额为限，确认相应的递延所得税资产。</w:t>
      </w:r>
      <w:r>
        <w:rPr>
          <w:rFonts w:hint="eastAsia"/>
          <w:sz w:val="18"/>
          <w:szCs w:val="18"/>
        </w:rPr>
        <w:br/>
        <w:t>  （3）资产负债表日，公司对递延所得税资产的账面价值进行复核。如果未来期间很可能无法获得足够的应纳税所得额用以抵扣递延所得税资产的利益，则减记递延所得税资产的账面价值；在很可能获得足够的应纳税所得额时，减记的金额予以转回。</w:t>
      </w:r>
      <w:r>
        <w:rPr>
          <w:rFonts w:hint="eastAsia"/>
          <w:sz w:val="18"/>
          <w:szCs w:val="18"/>
        </w:rPr>
        <w:br/>
        <w:t>  3.递延所得税负债的确认依据</w:t>
      </w:r>
      <w:r>
        <w:rPr>
          <w:rFonts w:hint="eastAsia"/>
          <w:sz w:val="18"/>
          <w:szCs w:val="18"/>
        </w:rPr>
        <w:br/>
        <w:t>  公司将当期和以前期间应交未交的应纳税暂时性差异确认为递延所得税负债。但不包括商誉、非企业合并形成的交易且该交易发生时既不影响会计利润也不影响应纳税所得额所形成的暂时性差异。</w:t>
      </w:r>
      <w:r>
        <w:rPr>
          <w:rFonts w:hint="eastAsia"/>
          <w:sz w:val="18"/>
          <w:szCs w:val="18"/>
        </w:rPr>
        <w:br/>
        <w:t>（二）递延所得税资产或递延所得税负债的计量</w:t>
      </w:r>
      <w:r>
        <w:rPr>
          <w:rFonts w:hint="eastAsia"/>
          <w:sz w:val="18"/>
          <w:szCs w:val="18"/>
        </w:rPr>
        <w:br/>
        <w:t>  1.资产负债表日，对于递延所得税资产和递延所得税负债，公司根据税法规定按照预期收回该资产或清偿该负债期间的适用税率计量。</w:t>
      </w:r>
      <w:r>
        <w:rPr>
          <w:rFonts w:hint="eastAsia"/>
          <w:sz w:val="18"/>
          <w:szCs w:val="18"/>
        </w:rPr>
        <w:br/>
        <w:t>  2.适用税率发生变化的，公司对已确认的递延所得税资产和递延所得税负债进行重新计量，除直接在所有者权益中确认的交易或者事项产生的递延所得税资产和递延所得税负债以外，将其影响数计入税率变化当期的所得税费用。</w:t>
      </w:r>
      <w:r>
        <w:rPr>
          <w:rFonts w:hint="eastAsia"/>
          <w:sz w:val="18"/>
          <w:szCs w:val="18"/>
        </w:rPr>
        <w:br/>
        <w:t>  3.公司在计量递延所得税资产和递延所得税负债时，采用与收回资产或清偿债务的预期方式相一致的税率和计税基础。</w:t>
      </w:r>
      <w:r>
        <w:rPr>
          <w:rFonts w:hint="eastAsia"/>
          <w:sz w:val="18"/>
          <w:szCs w:val="18"/>
        </w:rPr>
        <w:br/>
        <w:t>  4.公司对递延所得税资产和递延所得税负债不进行折现。</w:t>
      </w:r>
    </w:p>
    <w:p w14:paraId="6A34A03D" w14:textId="77777777" w:rsidR="00632E5B" w:rsidRDefault="00107901">
      <w:pPr>
        <w:pStyle w:val="3"/>
        <w:spacing w:line="280" w:lineRule="exact"/>
        <w:jc w:val="left"/>
        <w:rPr>
          <w:rFonts w:ascii="宋体" w:hAnsi="宋体" w:cs="宋体" w:hint="eastAsia"/>
          <w:b/>
          <w:bCs/>
        </w:rPr>
      </w:pPr>
      <w:bookmarkStart w:id="197" w:name="_Toc989086"/>
      <w:r>
        <w:rPr>
          <w:rFonts w:ascii="宋体" w:hAnsi="宋体" w:cs="宋体"/>
          <w:b/>
          <w:bCs/>
        </w:rPr>
        <w:t>28、租赁</w:t>
      </w:r>
      <w:bookmarkEnd w:id="197"/>
    </w:p>
    <w:p w14:paraId="7FF424AA"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198" w:name="_Toc989087"/>
      <w:r>
        <w:rPr>
          <w:rFonts w:ascii="宋体" w:eastAsia="宋体" w:hAnsi="宋体" w:cs="宋体"/>
          <w:b/>
          <w:bCs/>
          <w:szCs w:val="21"/>
        </w:rPr>
        <w:t>（1） 作为承租方租赁的会计处理方法</w:t>
      </w:r>
      <w:bookmarkEnd w:id="198"/>
    </w:p>
    <w:p w14:paraId="542F8C29" w14:textId="77777777" w:rsidR="00E72F0C" w:rsidRDefault="00107901">
      <w:pPr>
        <w:pStyle w:val="a3"/>
        <w:divId w:val="2026324475"/>
        <w:rPr>
          <w:rFonts w:hint="eastAsia"/>
          <w:sz w:val="18"/>
          <w:szCs w:val="18"/>
        </w:rPr>
      </w:pPr>
      <w:r>
        <w:rPr>
          <w:rFonts w:hint="eastAsia"/>
          <w:sz w:val="18"/>
          <w:szCs w:val="18"/>
        </w:rPr>
        <w:t>  在租赁期开始日，公司对除短期租赁和低价值资产租赁以外的租赁确认使用权资产和租赁负债，并在租赁期内分别确认折旧费用和利息费用。</w:t>
      </w:r>
      <w:r>
        <w:rPr>
          <w:rFonts w:hint="eastAsia"/>
          <w:sz w:val="18"/>
          <w:szCs w:val="18"/>
        </w:rPr>
        <w:br/>
        <w:t>  1.使用权资产的会计处理方法</w:t>
      </w:r>
      <w:r>
        <w:rPr>
          <w:rFonts w:hint="eastAsia"/>
          <w:sz w:val="18"/>
          <w:szCs w:val="18"/>
        </w:rPr>
        <w:br/>
        <w:t>  使用权资产，是指公司作为承租人可在租赁期内使用租赁资产的权利。</w:t>
      </w:r>
      <w:r>
        <w:rPr>
          <w:rFonts w:hint="eastAsia"/>
          <w:sz w:val="18"/>
          <w:szCs w:val="18"/>
        </w:rPr>
        <w:br/>
        <w:t>  （1）初始计量</w:t>
      </w:r>
      <w:r>
        <w:rPr>
          <w:rFonts w:hint="eastAsia"/>
          <w:sz w:val="18"/>
          <w:szCs w:val="18"/>
        </w:rPr>
        <w:br/>
        <w:t>  在租赁期开始日，公司按照成本对使用权资产进行初始计量。该成本包括下列四项：①租赁负债的初始计量金额；②在租赁期开始日或之前支付的租赁付款额，存在租赁激励的，扣除已享受的租赁激励相关金额；③发生的初始直接费用，即</w:t>
      </w:r>
      <w:r>
        <w:rPr>
          <w:rFonts w:hint="eastAsia"/>
          <w:sz w:val="18"/>
          <w:szCs w:val="18"/>
        </w:rPr>
        <w:lastRenderedPageBreak/>
        <w:t>为达成租赁所发生的增量成本；④为拆卸及移除租赁资产、复原租赁资产所在场地或将租赁资产恢复至租赁条款约定状态预计将发生的成本，属于为生产存货而发生的除外。</w:t>
      </w:r>
      <w:r>
        <w:rPr>
          <w:rFonts w:hint="eastAsia"/>
          <w:sz w:val="18"/>
          <w:szCs w:val="18"/>
        </w:rPr>
        <w:br/>
        <w:t>  （2）后续计量</w:t>
      </w:r>
      <w:r>
        <w:rPr>
          <w:rFonts w:hint="eastAsia"/>
          <w:sz w:val="18"/>
          <w:szCs w:val="18"/>
        </w:rPr>
        <w:br/>
        <w:t>  在租赁期开始日后，公司采用成本模式对使用权资产进行后续计量，即以成本减累计折旧及累计减值损失计量使用权资产。公司按照租赁准则有关规定重新计量租赁负债的，相应调整使用权资产的账面价值。</w:t>
      </w:r>
      <w:r>
        <w:rPr>
          <w:rFonts w:hint="eastAsia"/>
          <w:sz w:val="18"/>
          <w:szCs w:val="18"/>
        </w:rPr>
        <w:br/>
        <w:t>  自租赁期开始日起，公司对使用权资产计提折旧。使用权资产自租赁期开始的当月计提折旧。计提的折旧金额根据使用权资产的用途，计入相关资产的成本或者当期损益。公司在确定使用权资产的折旧方法时，根据与使用权资产有关的经济利益的预期消耗方式，采用直线法对使用权资产计提折旧。如果使用权资产发生减值，公司按照扣除减值损失之后的使用权资产的账面价值，进行后续折旧。使用权资产类别、使用年限、年折旧率列示如下：</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82"/>
        <w:gridCol w:w="3199"/>
        <w:gridCol w:w="3057"/>
      </w:tblGrid>
      <w:tr w:rsidR="00E72F0C" w:rsidRPr="009433B5" w14:paraId="2B3D4DF5" w14:textId="77777777" w:rsidTr="000E7353">
        <w:trPr>
          <w:divId w:val="2026324475"/>
          <w:trHeight w:val="70"/>
          <w:tblHeader/>
        </w:trPr>
        <w:tc>
          <w:tcPr>
            <w:tcW w:w="1650" w:type="pct"/>
            <w:tcMar>
              <w:top w:w="0" w:type="dxa"/>
              <w:left w:w="108" w:type="dxa"/>
              <w:bottom w:w="0" w:type="dxa"/>
              <w:right w:w="108" w:type="dxa"/>
            </w:tcMar>
            <w:vAlign w:val="center"/>
            <w:hideMark/>
          </w:tcPr>
          <w:p w14:paraId="3F20EB38" w14:textId="77777777" w:rsidR="00E72F0C" w:rsidRPr="009433B5" w:rsidRDefault="00107901">
            <w:pPr>
              <w:pStyle w:val="a3"/>
              <w:spacing w:before="0" w:beforeAutospacing="0" w:after="0" w:afterAutospacing="0" w:line="70" w:lineRule="atLeast"/>
              <w:ind w:right="-57"/>
              <w:jc w:val="center"/>
              <w:rPr>
                <w:rFonts w:asciiTheme="minorEastAsia" w:eastAsiaTheme="minorEastAsia" w:hAnsiTheme="minorEastAsia" w:cs="Times New Roman" w:hint="eastAsia"/>
                <w:sz w:val="21"/>
                <w:szCs w:val="21"/>
              </w:rPr>
            </w:pPr>
            <w:r w:rsidRPr="009433B5">
              <w:rPr>
                <w:rFonts w:asciiTheme="minorEastAsia" w:eastAsiaTheme="minorEastAsia" w:hAnsiTheme="minorEastAsia" w:cs="Times New Roman" w:hint="eastAsia"/>
                <w:color w:val="000000"/>
                <w:sz w:val="18"/>
                <w:szCs w:val="18"/>
              </w:rPr>
              <w:t>使用权资产类别</w:t>
            </w:r>
          </w:p>
        </w:tc>
        <w:tc>
          <w:tcPr>
            <w:tcW w:w="1712" w:type="pct"/>
            <w:tcMar>
              <w:top w:w="0" w:type="dxa"/>
              <w:left w:w="108" w:type="dxa"/>
              <w:bottom w:w="0" w:type="dxa"/>
              <w:right w:w="108" w:type="dxa"/>
            </w:tcMar>
            <w:vAlign w:val="center"/>
            <w:hideMark/>
          </w:tcPr>
          <w:p w14:paraId="6CEC9384" w14:textId="77777777" w:rsidR="00E72F0C" w:rsidRPr="009433B5" w:rsidRDefault="00107901">
            <w:pPr>
              <w:pStyle w:val="a3"/>
              <w:spacing w:before="0" w:beforeAutospacing="0" w:after="0" w:afterAutospacing="0" w:line="70" w:lineRule="atLeast"/>
              <w:ind w:right="-57"/>
              <w:jc w:val="center"/>
              <w:rPr>
                <w:rFonts w:asciiTheme="minorEastAsia" w:eastAsiaTheme="minorEastAsia" w:hAnsiTheme="minorEastAsia" w:cs="Times New Roman" w:hint="eastAsia"/>
                <w:sz w:val="21"/>
                <w:szCs w:val="21"/>
              </w:rPr>
            </w:pPr>
            <w:r w:rsidRPr="009433B5">
              <w:rPr>
                <w:rFonts w:asciiTheme="minorEastAsia" w:eastAsiaTheme="minorEastAsia" w:hAnsiTheme="minorEastAsia" w:cs="Times New Roman" w:hint="eastAsia"/>
                <w:color w:val="000000"/>
                <w:sz w:val="18"/>
                <w:szCs w:val="18"/>
              </w:rPr>
              <w:t>折旧年限（年</w:t>
            </w:r>
            <w:r w:rsidRPr="009433B5">
              <w:rPr>
                <w:rFonts w:asciiTheme="minorEastAsia" w:eastAsiaTheme="minorEastAsia" w:hAnsiTheme="minorEastAsia" w:cs="Times New Roman"/>
                <w:color w:val="000000"/>
                <w:sz w:val="18"/>
                <w:szCs w:val="18"/>
              </w:rPr>
              <w:t>/</w:t>
            </w:r>
            <w:r w:rsidRPr="009433B5">
              <w:rPr>
                <w:rFonts w:asciiTheme="minorEastAsia" w:eastAsiaTheme="minorEastAsia" w:hAnsiTheme="minorEastAsia" w:cs="Times New Roman" w:hint="eastAsia"/>
                <w:color w:val="000000"/>
                <w:sz w:val="18"/>
                <w:szCs w:val="18"/>
              </w:rPr>
              <w:t>月）</w:t>
            </w:r>
          </w:p>
        </w:tc>
        <w:tc>
          <w:tcPr>
            <w:tcW w:w="1636" w:type="pct"/>
            <w:tcMar>
              <w:top w:w="0" w:type="dxa"/>
              <w:left w:w="108" w:type="dxa"/>
              <w:bottom w:w="0" w:type="dxa"/>
              <w:right w:w="108" w:type="dxa"/>
            </w:tcMar>
            <w:vAlign w:val="center"/>
            <w:hideMark/>
          </w:tcPr>
          <w:p w14:paraId="4AE4166E" w14:textId="77777777" w:rsidR="00E72F0C" w:rsidRPr="009433B5" w:rsidRDefault="00107901">
            <w:pPr>
              <w:pStyle w:val="a3"/>
              <w:spacing w:before="0" w:beforeAutospacing="0" w:after="0" w:afterAutospacing="0" w:line="70" w:lineRule="atLeast"/>
              <w:ind w:right="-57"/>
              <w:jc w:val="center"/>
              <w:rPr>
                <w:rFonts w:asciiTheme="minorEastAsia" w:eastAsiaTheme="minorEastAsia" w:hAnsiTheme="minorEastAsia" w:cs="Times New Roman" w:hint="eastAsia"/>
                <w:sz w:val="21"/>
                <w:szCs w:val="21"/>
              </w:rPr>
            </w:pPr>
            <w:r w:rsidRPr="009433B5">
              <w:rPr>
                <w:rFonts w:asciiTheme="minorEastAsia" w:eastAsiaTheme="minorEastAsia" w:hAnsiTheme="minorEastAsia" w:cs="Times New Roman" w:hint="eastAsia"/>
                <w:color w:val="000000"/>
                <w:sz w:val="18"/>
                <w:szCs w:val="18"/>
              </w:rPr>
              <w:t>年折旧率（</w:t>
            </w:r>
            <w:r w:rsidRPr="009433B5">
              <w:rPr>
                <w:rFonts w:asciiTheme="minorEastAsia" w:eastAsiaTheme="minorEastAsia" w:hAnsiTheme="minorEastAsia" w:cs="Times New Roman"/>
                <w:color w:val="000000"/>
                <w:sz w:val="18"/>
                <w:szCs w:val="18"/>
              </w:rPr>
              <w:t>%</w:t>
            </w:r>
            <w:r w:rsidRPr="009433B5">
              <w:rPr>
                <w:rFonts w:asciiTheme="minorEastAsia" w:eastAsiaTheme="minorEastAsia" w:hAnsiTheme="minorEastAsia" w:cs="Times New Roman" w:hint="eastAsia"/>
                <w:color w:val="000000"/>
                <w:sz w:val="18"/>
                <w:szCs w:val="18"/>
              </w:rPr>
              <w:t>）</w:t>
            </w:r>
          </w:p>
        </w:tc>
      </w:tr>
      <w:tr w:rsidR="00E72F0C" w:rsidRPr="009433B5" w14:paraId="2D3B956E" w14:textId="77777777" w:rsidTr="000E7353">
        <w:trPr>
          <w:divId w:val="2026324475"/>
          <w:trHeight w:val="285"/>
        </w:trPr>
        <w:tc>
          <w:tcPr>
            <w:tcW w:w="1650" w:type="pct"/>
            <w:noWrap/>
            <w:tcMar>
              <w:top w:w="0" w:type="dxa"/>
              <w:left w:w="108" w:type="dxa"/>
              <w:bottom w:w="0" w:type="dxa"/>
              <w:right w:w="108" w:type="dxa"/>
            </w:tcMar>
            <w:vAlign w:val="center"/>
            <w:hideMark/>
          </w:tcPr>
          <w:p w14:paraId="69E47B3B" w14:textId="77777777" w:rsidR="00E72F0C" w:rsidRPr="009433B5" w:rsidRDefault="00107901">
            <w:pPr>
              <w:pStyle w:val="a3"/>
              <w:spacing w:before="0" w:beforeAutospacing="0" w:after="0" w:afterAutospacing="0" w:line="360" w:lineRule="atLeast"/>
              <w:ind w:right="-57"/>
              <w:jc w:val="center"/>
              <w:rPr>
                <w:rFonts w:asciiTheme="minorEastAsia" w:eastAsiaTheme="minorEastAsia" w:hAnsiTheme="minorEastAsia" w:cs="Times New Roman" w:hint="eastAsia"/>
                <w:sz w:val="21"/>
                <w:szCs w:val="21"/>
              </w:rPr>
            </w:pPr>
            <w:r w:rsidRPr="009433B5">
              <w:rPr>
                <w:rFonts w:asciiTheme="minorEastAsia" w:eastAsiaTheme="minorEastAsia" w:hAnsiTheme="minorEastAsia" w:cs="Times New Roman" w:hint="eastAsia"/>
                <w:color w:val="000000"/>
                <w:sz w:val="18"/>
                <w:szCs w:val="18"/>
              </w:rPr>
              <w:t>房屋及建筑物</w:t>
            </w:r>
          </w:p>
        </w:tc>
        <w:tc>
          <w:tcPr>
            <w:tcW w:w="1712" w:type="pct"/>
            <w:noWrap/>
            <w:tcMar>
              <w:top w:w="0" w:type="dxa"/>
              <w:left w:w="108" w:type="dxa"/>
              <w:bottom w:w="0" w:type="dxa"/>
              <w:right w:w="108" w:type="dxa"/>
            </w:tcMar>
            <w:vAlign w:val="center"/>
            <w:hideMark/>
          </w:tcPr>
          <w:p w14:paraId="7D586E5B" w14:textId="77777777" w:rsidR="00E72F0C" w:rsidRPr="009433B5" w:rsidRDefault="00107901">
            <w:pPr>
              <w:pStyle w:val="a3"/>
              <w:spacing w:before="0" w:beforeAutospacing="0" w:after="0" w:afterAutospacing="0" w:line="360" w:lineRule="atLeast"/>
              <w:ind w:right="-57"/>
              <w:jc w:val="center"/>
              <w:rPr>
                <w:rFonts w:asciiTheme="minorEastAsia" w:eastAsiaTheme="minorEastAsia" w:hAnsiTheme="minorEastAsia" w:cs="Times New Roman" w:hint="eastAsia"/>
                <w:sz w:val="21"/>
                <w:szCs w:val="21"/>
              </w:rPr>
            </w:pPr>
            <w:r w:rsidRPr="009433B5">
              <w:rPr>
                <w:rFonts w:asciiTheme="minorEastAsia" w:eastAsiaTheme="minorEastAsia" w:hAnsiTheme="minorEastAsia" w:cs="Times New Roman"/>
                <w:color w:val="000000"/>
                <w:sz w:val="18"/>
                <w:szCs w:val="18"/>
              </w:rPr>
              <w:t>2-5</w:t>
            </w:r>
          </w:p>
        </w:tc>
        <w:tc>
          <w:tcPr>
            <w:tcW w:w="1636" w:type="pct"/>
            <w:noWrap/>
            <w:tcMar>
              <w:top w:w="0" w:type="dxa"/>
              <w:left w:w="108" w:type="dxa"/>
              <w:bottom w:w="0" w:type="dxa"/>
              <w:right w:w="108" w:type="dxa"/>
            </w:tcMar>
            <w:vAlign w:val="center"/>
            <w:hideMark/>
          </w:tcPr>
          <w:p w14:paraId="448E96CA" w14:textId="77777777" w:rsidR="00E72F0C" w:rsidRPr="009433B5" w:rsidRDefault="00107901">
            <w:pPr>
              <w:pStyle w:val="a3"/>
              <w:spacing w:before="0" w:beforeAutospacing="0" w:after="0" w:afterAutospacing="0" w:line="360" w:lineRule="atLeast"/>
              <w:ind w:right="-57"/>
              <w:jc w:val="center"/>
              <w:rPr>
                <w:rFonts w:asciiTheme="minorEastAsia" w:eastAsiaTheme="minorEastAsia" w:hAnsiTheme="minorEastAsia" w:cs="Times New Roman" w:hint="eastAsia"/>
                <w:sz w:val="21"/>
                <w:szCs w:val="21"/>
              </w:rPr>
            </w:pPr>
            <w:r w:rsidRPr="009433B5">
              <w:rPr>
                <w:rFonts w:asciiTheme="minorEastAsia" w:eastAsiaTheme="minorEastAsia" w:hAnsiTheme="minorEastAsia" w:cs="Times New Roman"/>
                <w:color w:val="000000"/>
                <w:sz w:val="18"/>
                <w:szCs w:val="18"/>
              </w:rPr>
              <w:t>50-20</w:t>
            </w:r>
            <w:r w:rsidRPr="009433B5">
              <w:rPr>
                <w:rFonts w:asciiTheme="minorEastAsia" w:eastAsiaTheme="minorEastAsia" w:hAnsiTheme="minorEastAsia" w:cs="Times New Roman" w:hint="eastAsia"/>
                <w:color w:val="000000"/>
                <w:sz w:val="18"/>
                <w:szCs w:val="18"/>
              </w:rPr>
              <w:t xml:space="preserve">　</w:t>
            </w:r>
          </w:p>
        </w:tc>
      </w:tr>
      <w:tr w:rsidR="00E72F0C" w:rsidRPr="009433B5" w14:paraId="748A1ADB" w14:textId="77777777" w:rsidTr="000E7353">
        <w:trPr>
          <w:divId w:val="2026324475"/>
          <w:trHeight w:val="285"/>
        </w:trPr>
        <w:tc>
          <w:tcPr>
            <w:tcW w:w="1650" w:type="pct"/>
            <w:noWrap/>
            <w:tcMar>
              <w:top w:w="0" w:type="dxa"/>
              <w:left w:w="108" w:type="dxa"/>
              <w:bottom w:w="0" w:type="dxa"/>
              <w:right w:w="108" w:type="dxa"/>
            </w:tcMar>
            <w:vAlign w:val="center"/>
            <w:hideMark/>
          </w:tcPr>
          <w:p w14:paraId="61E072D4" w14:textId="77777777" w:rsidR="00E72F0C" w:rsidRPr="009433B5" w:rsidRDefault="00107901">
            <w:pPr>
              <w:pStyle w:val="a3"/>
              <w:spacing w:before="0" w:beforeAutospacing="0" w:after="0" w:afterAutospacing="0" w:line="360" w:lineRule="atLeast"/>
              <w:ind w:right="-57"/>
              <w:jc w:val="center"/>
              <w:rPr>
                <w:rFonts w:asciiTheme="minorEastAsia" w:eastAsiaTheme="minorEastAsia" w:hAnsiTheme="minorEastAsia" w:cs="Times New Roman" w:hint="eastAsia"/>
                <w:sz w:val="21"/>
                <w:szCs w:val="21"/>
              </w:rPr>
            </w:pPr>
            <w:r w:rsidRPr="009433B5">
              <w:rPr>
                <w:rFonts w:asciiTheme="minorEastAsia" w:eastAsiaTheme="minorEastAsia" w:hAnsiTheme="minorEastAsia" w:cs="Times New Roman" w:hint="eastAsia"/>
                <w:color w:val="000000"/>
                <w:sz w:val="18"/>
                <w:szCs w:val="18"/>
              </w:rPr>
              <w:t>土地使用权</w:t>
            </w:r>
          </w:p>
        </w:tc>
        <w:tc>
          <w:tcPr>
            <w:tcW w:w="1712" w:type="pct"/>
            <w:noWrap/>
            <w:tcMar>
              <w:top w:w="0" w:type="dxa"/>
              <w:left w:w="108" w:type="dxa"/>
              <w:bottom w:w="0" w:type="dxa"/>
              <w:right w:w="108" w:type="dxa"/>
            </w:tcMar>
            <w:vAlign w:val="center"/>
            <w:hideMark/>
          </w:tcPr>
          <w:p w14:paraId="7AA20EFF" w14:textId="77777777" w:rsidR="00E72F0C" w:rsidRPr="009433B5" w:rsidRDefault="00107901">
            <w:pPr>
              <w:pStyle w:val="a3"/>
              <w:spacing w:before="0" w:beforeAutospacing="0" w:after="0" w:afterAutospacing="0" w:line="360" w:lineRule="atLeast"/>
              <w:ind w:right="-57"/>
              <w:jc w:val="center"/>
              <w:rPr>
                <w:rFonts w:asciiTheme="minorEastAsia" w:eastAsiaTheme="minorEastAsia" w:hAnsiTheme="minorEastAsia" w:cs="Times New Roman" w:hint="eastAsia"/>
                <w:sz w:val="21"/>
                <w:szCs w:val="21"/>
              </w:rPr>
            </w:pPr>
            <w:r w:rsidRPr="009433B5">
              <w:rPr>
                <w:rFonts w:asciiTheme="minorEastAsia" w:eastAsiaTheme="minorEastAsia" w:hAnsiTheme="minorEastAsia" w:cs="Times New Roman"/>
                <w:color w:val="000000"/>
                <w:sz w:val="18"/>
                <w:szCs w:val="18"/>
              </w:rPr>
              <w:t>25</w:t>
            </w:r>
          </w:p>
        </w:tc>
        <w:tc>
          <w:tcPr>
            <w:tcW w:w="1636" w:type="pct"/>
            <w:noWrap/>
            <w:tcMar>
              <w:top w:w="0" w:type="dxa"/>
              <w:left w:w="108" w:type="dxa"/>
              <w:bottom w:w="0" w:type="dxa"/>
              <w:right w:w="108" w:type="dxa"/>
            </w:tcMar>
            <w:vAlign w:val="center"/>
            <w:hideMark/>
          </w:tcPr>
          <w:p w14:paraId="362640A0" w14:textId="77777777" w:rsidR="00E72F0C" w:rsidRPr="009433B5" w:rsidRDefault="00107901">
            <w:pPr>
              <w:pStyle w:val="a3"/>
              <w:spacing w:before="0" w:beforeAutospacing="0" w:after="0" w:afterAutospacing="0" w:line="360" w:lineRule="atLeast"/>
              <w:ind w:right="-57"/>
              <w:jc w:val="center"/>
              <w:rPr>
                <w:rFonts w:asciiTheme="minorEastAsia" w:eastAsiaTheme="minorEastAsia" w:hAnsiTheme="minorEastAsia" w:cs="Times New Roman" w:hint="eastAsia"/>
                <w:sz w:val="21"/>
                <w:szCs w:val="21"/>
              </w:rPr>
            </w:pPr>
            <w:r w:rsidRPr="009433B5">
              <w:rPr>
                <w:rFonts w:asciiTheme="minorEastAsia" w:eastAsiaTheme="minorEastAsia" w:hAnsiTheme="minorEastAsia" w:cs="Times New Roman"/>
                <w:color w:val="000000"/>
                <w:sz w:val="18"/>
                <w:szCs w:val="18"/>
              </w:rPr>
              <w:t>4</w:t>
            </w:r>
          </w:p>
        </w:tc>
      </w:tr>
    </w:tbl>
    <w:p w14:paraId="71353080" w14:textId="1A1265D0" w:rsidR="00E72F0C" w:rsidRDefault="00107901">
      <w:pPr>
        <w:pStyle w:val="a3"/>
        <w:divId w:val="2026324475"/>
        <w:rPr>
          <w:rFonts w:hint="eastAsia"/>
          <w:sz w:val="18"/>
          <w:szCs w:val="18"/>
        </w:rPr>
      </w:pPr>
      <w:r>
        <w:rPr>
          <w:rFonts w:hint="eastAsia"/>
          <w:sz w:val="18"/>
          <w:szCs w:val="18"/>
        </w:rPr>
        <w:t>  2.租赁负债的会计处理方法</w:t>
      </w:r>
      <w:r>
        <w:rPr>
          <w:rFonts w:hint="eastAsia"/>
          <w:sz w:val="18"/>
          <w:szCs w:val="18"/>
        </w:rPr>
        <w:br/>
        <w:t>  （1）初始计量</w:t>
      </w:r>
      <w:r>
        <w:rPr>
          <w:rFonts w:hint="eastAsia"/>
          <w:sz w:val="18"/>
          <w:szCs w:val="18"/>
        </w:rPr>
        <w:br/>
        <w:t>  公司按照租赁期开始日尚未支付的租赁付款额的现值对租赁负债进行初始计量。</w:t>
      </w:r>
      <w:r>
        <w:rPr>
          <w:rFonts w:hint="eastAsia"/>
          <w:sz w:val="18"/>
          <w:szCs w:val="18"/>
        </w:rPr>
        <w:br/>
        <w:t>  租赁付款额，是指公司向出租人支付的与在租赁期内使用租赁资产的权利相关的款项，包括：①固定付款额及实质固定付款额，存在租赁激励的，扣除租赁激励相关金额；②取决于指数或比率的可变租赁付款额，该款额在初始计量时根据租赁期开始日的指数或比率确定；③公司合理确定将行使购买选择权时，购买选择权的行权价格；④租赁期反映出公司将行使终止租赁选择权时，行使终止租赁选择权需支付的款项；⑤根据公司提供的担保余值预计应支付的款项。</w:t>
      </w:r>
      <w:r>
        <w:rPr>
          <w:rFonts w:hint="eastAsia"/>
          <w:sz w:val="18"/>
          <w:szCs w:val="18"/>
        </w:rPr>
        <w:br/>
        <w:t>  计算租赁付款额的现值时，公司采用租赁内含利率作为折现率。因无法确定租赁内含利率的，采用增量借款利率作为折现率。该增量借款利率，是指公司在类似经济环境下为获得与使用权资产价值接近的资产，在类似期间以类似抵押条件借入资金须支付的利率。公司以银行贷款利率为基础，考虑相关因素进行调整而得出该增量借款利率。</w:t>
      </w:r>
      <w:r>
        <w:rPr>
          <w:rFonts w:hint="eastAsia"/>
          <w:sz w:val="18"/>
          <w:szCs w:val="18"/>
        </w:rPr>
        <w:br/>
        <w:t>  （2）后续计量</w:t>
      </w:r>
      <w:r>
        <w:rPr>
          <w:rFonts w:hint="eastAsia"/>
          <w:sz w:val="18"/>
          <w:szCs w:val="18"/>
        </w:rPr>
        <w:br/>
        <w:t>  在租赁期开始日后，公司按以下原则对租赁负债进行后续计量：①确认租赁负债的利息时，增加租赁负债的账面金额；②支付租赁付款额时，减少租赁负债的账面金额；③因重估或租赁变更等原因导致租赁付款额发生变动时，重新计量租赁负债的账面价值。</w:t>
      </w:r>
      <w:r>
        <w:rPr>
          <w:rFonts w:hint="eastAsia"/>
          <w:sz w:val="18"/>
          <w:szCs w:val="18"/>
        </w:rPr>
        <w:br/>
        <w:t>  在租赁期开始日后，发生下列情形时，公司按照变动后的租赁付款额的现值重新计量租赁负债的账面价值，并相应调整使用权资产的账面价值。使用权资产的账面价值已调减至零，但租赁负债仍需进一步调减的，公司将剩余金额计入当期损益。</w:t>
      </w:r>
      <w:r>
        <w:rPr>
          <w:rFonts w:hint="eastAsia"/>
          <w:sz w:val="18"/>
          <w:szCs w:val="18"/>
        </w:rPr>
        <w:br/>
        <w:t>  ①实质固定付款额发生变动；</w:t>
      </w:r>
      <w:r>
        <w:rPr>
          <w:rFonts w:hint="eastAsia"/>
          <w:sz w:val="18"/>
          <w:szCs w:val="18"/>
        </w:rPr>
        <w:br/>
        <w:t>  ②担保余值预计的应付金额发生变动；</w:t>
      </w:r>
      <w:r>
        <w:rPr>
          <w:rFonts w:hint="eastAsia"/>
          <w:sz w:val="18"/>
          <w:szCs w:val="18"/>
        </w:rPr>
        <w:br/>
        <w:t>  ③用于确定租赁付款额的指数或比率发生变动；</w:t>
      </w:r>
      <w:r>
        <w:rPr>
          <w:rFonts w:hint="eastAsia"/>
          <w:sz w:val="18"/>
          <w:szCs w:val="18"/>
        </w:rPr>
        <w:br/>
        <w:t>  ④购买选择权、续租选择权或终止租赁选择权的评估结果或实际行使情况发生变化。</w:t>
      </w:r>
      <w:r>
        <w:rPr>
          <w:rFonts w:hint="eastAsia"/>
          <w:sz w:val="18"/>
          <w:szCs w:val="18"/>
        </w:rPr>
        <w:br/>
        <w:t>  在租赁期内各期间的利息费用，计入当期损益，但应当资本化的除外。</w:t>
      </w:r>
      <w:r>
        <w:rPr>
          <w:rFonts w:hint="eastAsia"/>
          <w:sz w:val="18"/>
          <w:szCs w:val="18"/>
        </w:rPr>
        <w:br/>
        <w:t>  3.短期租赁和低价值资产租赁的判断依据和会计处理方法</w:t>
      </w:r>
      <w:r>
        <w:rPr>
          <w:rFonts w:hint="eastAsia"/>
          <w:sz w:val="18"/>
          <w:szCs w:val="18"/>
        </w:rPr>
        <w:br/>
        <w:t>  短期租赁，是指在租赁期开始日，租赁期不超过12个月的租赁。包含购买选择权的租赁不属于短期租赁。</w:t>
      </w:r>
      <w:r>
        <w:rPr>
          <w:rFonts w:hint="eastAsia"/>
          <w:sz w:val="18"/>
          <w:szCs w:val="18"/>
        </w:rPr>
        <w:br/>
        <w:t>  低价值资产租赁，是指单项租赁资产为全新资产时价值较低的租赁。转租或预期转租租赁资产的，原租赁不属于低价值资产租赁。</w:t>
      </w:r>
      <w:r>
        <w:rPr>
          <w:rFonts w:hint="eastAsia"/>
          <w:sz w:val="18"/>
          <w:szCs w:val="18"/>
        </w:rPr>
        <w:br/>
        <w:t>  公司对于短期租赁和低价值资产租赁进行简化处理，将短期租赁和低价值资产租赁的租赁付款额在租赁期内各个期间采用直线法或其他系统合理的方法计入相关资产成本或当期损益，不确认使用权资产和租赁负债。</w:t>
      </w:r>
    </w:p>
    <w:p w14:paraId="2092A2E7"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199" w:name="_Toc989088"/>
      <w:r>
        <w:rPr>
          <w:rFonts w:ascii="宋体" w:eastAsia="宋体" w:hAnsi="宋体" w:cs="宋体"/>
          <w:b/>
          <w:bCs/>
          <w:szCs w:val="21"/>
        </w:rPr>
        <w:lastRenderedPageBreak/>
        <w:t>（2） 作为出租方租赁的会计处理方法</w:t>
      </w:r>
      <w:bookmarkEnd w:id="199"/>
    </w:p>
    <w:p w14:paraId="348029E5" w14:textId="7BFFFAD7" w:rsidR="00E72F0C" w:rsidRDefault="00107901" w:rsidP="00091EA9">
      <w:pPr>
        <w:pStyle w:val="a3"/>
        <w:spacing w:before="0" w:beforeAutospacing="0" w:after="0" w:afterAutospacing="0"/>
        <w:divId w:val="1449078760"/>
        <w:rPr>
          <w:rFonts w:hint="eastAsia"/>
          <w:sz w:val="18"/>
          <w:szCs w:val="18"/>
        </w:rPr>
      </w:pPr>
      <w:r>
        <w:rPr>
          <w:rFonts w:hint="eastAsia"/>
          <w:sz w:val="18"/>
          <w:szCs w:val="18"/>
        </w:rPr>
        <w:t>  1.租赁分类标准</w:t>
      </w:r>
      <w:r>
        <w:rPr>
          <w:rFonts w:hint="eastAsia"/>
          <w:sz w:val="18"/>
          <w:szCs w:val="18"/>
        </w:rPr>
        <w:br/>
        <w:t>  公司作为出租人的，在租赁开始日将租赁分为融资租赁和经营租赁。</w:t>
      </w:r>
      <w:r>
        <w:rPr>
          <w:rFonts w:hint="eastAsia"/>
          <w:sz w:val="18"/>
          <w:szCs w:val="18"/>
        </w:rPr>
        <w:br/>
        <w:t>  融资租赁，是指实质上转移了与租赁资产所有权有关的几乎全部风险和报酬的租赁。其所有权最终可能转移，也可能不转移。</w:t>
      </w:r>
      <w:r>
        <w:rPr>
          <w:rFonts w:hint="eastAsia"/>
          <w:sz w:val="18"/>
          <w:szCs w:val="18"/>
        </w:rPr>
        <w:br/>
        <w:t>  经营租赁，是指除融资租赁以外的其他租赁。</w:t>
      </w:r>
      <w:r>
        <w:rPr>
          <w:rFonts w:hint="eastAsia"/>
          <w:sz w:val="18"/>
          <w:szCs w:val="18"/>
        </w:rPr>
        <w:br/>
        <w:t>  2.会计处理方法</w:t>
      </w:r>
      <w:r>
        <w:rPr>
          <w:rFonts w:hint="eastAsia"/>
          <w:sz w:val="18"/>
          <w:szCs w:val="18"/>
        </w:rPr>
        <w:br/>
        <w:t>  （1）融资租赁</w:t>
      </w:r>
      <w:r>
        <w:rPr>
          <w:rFonts w:hint="eastAsia"/>
          <w:sz w:val="18"/>
          <w:szCs w:val="18"/>
        </w:rPr>
        <w:br/>
        <w:t>  在租赁期开始日，公司按照租赁投资净额（未担保余值和租赁期开始日尚未收到的租赁收款额按照租赁内含利率折现的现值之和）确认应收融资租赁款，并终止确认融资租赁资产。在租赁期的各期间，公司按照固定的周期性利率计算并确认利息收入。公司取得的未纳入租赁投资净额计量的可变租赁付款额，如与资产的未来绩效或使用情况挂钩，在实际发生时计入当期损益。</w:t>
      </w:r>
      <w:r>
        <w:rPr>
          <w:rFonts w:hint="eastAsia"/>
          <w:sz w:val="18"/>
          <w:szCs w:val="18"/>
        </w:rPr>
        <w:br/>
        <w:t>  融资租赁发生变更且同时符合下列条件的，公司将该变更作为一项单独租赁进行会计处理：①该变更通过增加一项或多项租赁资产的使用权而扩大了租赁范围；②增加的对价与租赁范围扩大部分的单独价格按该合同情况调整后的金额相当。</w:t>
      </w:r>
      <w:r>
        <w:rPr>
          <w:rFonts w:hint="eastAsia"/>
          <w:sz w:val="18"/>
          <w:szCs w:val="18"/>
        </w:rPr>
        <w:br/>
        <w:t>  （2）经营租赁</w:t>
      </w:r>
      <w:r>
        <w:rPr>
          <w:rFonts w:hint="eastAsia"/>
          <w:sz w:val="18"/>
          <w:szCs w:val="18"/>
        </w:rPr>
        <w:br/>
        <w:t>  公司按资产的性质将用作经营租赁的资产包括在资产负债表的相关项目内。公司将发生的与经营租赁有关的初始直接费用资本化至租赁标的资产的成本，在租赁期内按照与租金收入相同的确认基础分期计入当期损益。在租赁期内各个期间，公司采用直线法将经营租赁的租赁收款额确认为租金收入。对于经营租赁资产中的固定资产，公司采用类似资产的折旧政策计提折旧；对于其他经营租赁资产，采用系统合理的方法进行摊销。公司取得的与经营租赁有关的未计入租赁收款额的可变租赁付款额，在实际发生时计入当期损益。</w:t>
      </w:r>
      <w:r>
        <w:rPr>
          <w:rFonts w:hint="eastAsia"/>
          <w:sz w:val="18"/>
          <w:szCs w:val="18"/>
        </w:rPr>
        <w:br/>
        <w:t>  经营租赁发生变更的，公司自变更生效日开始，将其作为一项新的租赁进行会计处理，与变更前租赁有关的预收或应收租赁收款额视为新租赁的收款额。</w:t>
      </w:r>
    </w:p>
    <w:p w14:paraId="33D415F3" w14:textId="77777777" w:rsidR="00632E5B" w:rsidRDefault="00107901">
      <w:pPr>
        <w:pStyle w:val="3"/>
        <w:spacing w:line="280" w:lineRule="exact"/>
        <w:jc w:val="left"/>
        <w:rPr>
          <w:rFonts w:ascii="宋体" w:hAnsi="宋体" w:cs="宋体" w:hint="eastAsia"/>
          <w:b/>
          <w:bCs/>
        </w:rPr>
      </w:pPr>
      <w:bookmarkStart w:id="200" w:name="_Toc989089"/>
      <w:r>
        <w:rPr>
          <w:rFonts w:ascii="宋体" w:hAnsi="宋体" w:cs="宋体"/>
          <w:b/>
          <w:bCs/>
        </w:rPr>
        <w:t>29、重要会计政策和会计估计变更</w:t>
      </w:r>
      <w:bookmarkEnd w:id="200"/>
    </w:p>
    <w:p w14:paraId="6A5AEA5C" w14:textId="77777777" w:rsidR="00632E5B" w:rsidRDefault="00107901">
      <w:pPr>
        <w:keepNext/>
        <w:keepLines/>
        <w:spacing w:before="300" w:after="300" w:line="280" w:lineRule="exact"/>
        <w:outlineLvl w:val="3"/>
        <w:rPr>
          <w:rFonts w:ascii="宋体" w:eastAsia="宋体" w:hAnsi="宋体" w:cs="宋体" w:hint="eastAsia"/>
          <w:b/>
          <w:bCs/>
          <w:sz w:val="18"/>
          <w:szCs w:val="18"/>
        </w:rPr>
      </w:pPr>
      <w:bookmarkStart w:id="201" w:name="_Toc989090"/>
      <w:r>
        <w:rPr>
          <w:rFonts w:ascii="宋体" w:eastAsia="宋体" w:hAnsi="宋体" w:cs="宋体"/>
          <w:b/>
          <w:bCs/>
          <w:sz w:val="18"/>
          <w:szCs w:val="18"/>
        </w:rPr>
        <w:t>（1） 重要会计政策变更</w:t>
      </w:r>
      <w:bookmarkEnd w:id="201"/>
    </w:p>
    <w:p w14:paraId="3CDDB885"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20FC8BC7" w14:textId="77777777" w:rsidR="00632E5B" w:rsidRPr="00AD6DAF" w:rsidRDefault="00107901" w:rsidP="00AD6DAF">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p w14:paraId="138B1362" w14:textId="77777777" w:rsidR="00E72F0C" w:rsidRDefault="00107901" w:rsidP="000E7353">
      <w:pPr>
        <w:pStyle w:val="a3"/>
        <w:spacing w:before="0" w:beforeAutospacing="0" w:after="0" w:afterAutospacing="0"/>
        <w:divId w:val="2100978448"/>
        <w:rPr>
          <w:rFonts w:hint="eastAsia"/>
          <w:sz w:val="18"/>
          <w:szCs w:val="18"/>
        </w:rPr>
      </w:pPr>
      <w:r>
        <w:rPr>
          <w:rFonts w:hint="eastAsia"/>
          <w:sz w:val="18"/>
          <w:szCs w:val="18"/>
        </w:rPr>
        <w:t>1.《企业数据资源相关会计处理暂行规定》</w:t>
      </w:r>
      <w:r>
        <w:rPr>
          <w:rFonts w:hint="eastAsia"/>
          <w:sz w:val="18"/>
          <w:szCs w:val="18"/>
        </w:rPr>
        <w:br/>
        <w:t>  财政部于2023年8月1日发布了《企业数据资源相关会计处理暂行规定》（财会〔2023〕11号），该规定自2024年1月1日起施行。执行该规定未对公司财务状况和经营成果产生重大影响。</w:t>
      </w:r>
      <w:r>
        <w:rPr>
          <w:rFonts w:hint="eastAsia"/>
          <w:sz w:val="18"/>
          <w:szCs w:val="18"/>
        </w:rPr>
        <w:br/>
        <w:t xml:space="preserve">2.《企业会计准则解释第17号》 </w:t>
      </w:r>
      <w:r>
        <w:rPr>
          <w:rFonts w:hint="eastAsia"/>
          <w:sz w:val="18"/>
          <w:szCs w:val="18"/>
        </w:rPr>
        <w:br/>
        <w:t>  财政部于2023年10月25日发布了《企业会计准则解释第17号》（财会〔2023〕21号），该规定自2024年1月1日起施行。 执行该规定未对公司财务状况和经营成果产生重大影响。</w:t>
      </w:r>
      <w:r>
        <w:rPr>
          <w:rFonts w:hint="eastAsia"/>
          <w:sz w:val="18"/>
          <w:szCs w:val="18"/>
        </w:rPr>
        <w:br/>
        <w:t>3.《企业会计准则解释第18号》</w:t>
      </w:r>
      <w:r>
        <w:rPr>
          <w:rFonts w:hint="eastAsia"/>
          <w:sz w:val="18"/>
          <w:szCs w:val="18"/>
        </w:rPr>
        <w:br/>
        <w:t>  财政部于2024年12月6日发布了《企业会计准则解释第18号》(财会〔2024〕24号，以下简称“解释18号”),其中“关于不属于单项履约义务的保证类质量保证的会计处理”内容本公司自2024年开始施行。对于因适用解释18号的保证类质量保证，公司按照解释18号的规定进行追溯，将累积影响数调整财务报表列报最早期间的相关财务报表项目。</w:t>
      </w:r>
      <w:r>
        <w:rPr>
          <w:rFonts w:hint="eastAsia"/>
          <w:sz w:val="18"/>
          <w:szCs w:val="18"/>
        </w:rPr>
        <w:br/>
        <w:t>  该会计政策变更对财务报表的影响如下：</w:t>
      </w:r>
    </w:p>
    <w:p w14:paraId="59735205" w14:textId="656C1A00" w:rsidR="00E72F0C" w:rsidRDefault="00107901" w:rsidP="000E7353">
      <w:pPr>
        <w:pStyle w:val="a3"/>
        <w:spacing w:before="0" w:beforeAutospacing="0" w:after="0" w:afterAutospacing="0"/>
        <w:jc w:val="center"/>
        <w:divId w:val="2100978448"/>
        <w:rPr>
          <w:rFonts w:hint="eastAsia"/>
          <w:sz w:val="18"/>
          <w:szCs w:val="18"/>
        </w:rPr>
      </w:pPr>
      <w:r>
        <w:rPr>
          <w:rFonts w:hint="eastAsia"/>
          <w:sz w:val="18"/>
          <w:szCs w:val="18"/>
        </w:rPr>
        <w:t>合并利润表项目</w:t>
      </w: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52"/>
        <w:gridCol w:w="1865"/>
        <w:gridCol w:w="1850"/>
        <w:gridCol w:w="1914"/>
      </w:tblGrid>
      <w:tr w:rsidR="00E72F0C" w:rsidRPr="009433B5" w14:paraId="0362837D" w14:textId="77777777" w:rsidTr="000E7353">
        <w:trPr>
          <w:divId w:val="2100978448"/>
          <w:trHeight w:val="345"/>
          <w:tblHeader/>
        </w:trPr>
        <w:tc>
          <w:tcPr>
            <w:tcW w:w="1999" w:type="pct"/>
            <w:vMerge w:val="restart"/>
            <w:noWrap/>
            <w:tcMar>
              <w:top w:w="0" w:type="dxa"/>
              <w:left w:w="108" w:type="dxa"/>
              <w:bottom w:w="0" w:type="dxa"/>
              <w:right w:w="108" w:type="dxa"/>
            </w:tcMar>
            <w:vAlign w:val="center"/>
            <w:hideMark/>
          </w:tcPr>
          <w:p w14:paraId="381E653B" w14:textId="77777777" w:rsidR="00E72F0C" w:rsidRPr="009433B5" w:rsidRDefault="00107901">
            <w:pPr>
              <w:pStyle w:val="a3"/>
              <w:spacing w:before="0" w:beforeAutospacing="0" w:after="0" w:afterAutospacing="0" w:line="360" w:lineRule="atLeast"/>
              <w:jc w:val="center"/>
              <w:rPr>
                <w:rFonts w:asciiTheme="minorEastAsia" w:eastAsiaTheme="minorEastAsia" w:hAnsiTheme="minorEastAsia" w:cs="Times New Roman" w:hint="eastAsia"/>
                <w:sz w:val="18"/>
                <w:szCs w:val="18"/>
              </w:rPr>
            </w:pPr>
            <w:r w:rsidRPr="009433B5">
              <w:rPr>
                <w:rStyle w:val="a4"/>
                <w:rFonts w:asciiTheme="minorEastAsia" w:eastAsiaTheme="minorEastAsia" w:hAnsiTheme="minorEastAsia" w:cs="Times New Roman" w:hint="eastAsia"/>
                <w:color w:val="000000"/>
                <w:sz w:val="18"/>
                <w:szCs w:val="18"/>
              </w:rPr>
              <w:lastRenderedPageBreak/>
              <w:t>项目</w:t>
            </w:r>
          </w:p>
        </w:tc>
        <w:tc>
          <w:tcPr>
            <w:tcW w:w="3000" w:type="pct"/>
            <w:gridSpan w:val="3"/>
            <w:noWrap/>
            <w:tcMar>
              <w:top w:w="0" w:type="dxa"/>
              <w:left w:w="108" w:type="dxa"/>
              <w:bottom w:w="0" w:type="dxa"/>
              <w:right w:w="108" w:type="dxa"/>
            </w:tcMar>
            <w:vAlign w:val="center"/>
            <w:hideMark/>
          </w:tcPr>
          <w:p w14:paraId="011E52FE" w14:textId="77777777" w:rsidR="00E72F0C" w:rsidRPr="009433B5" w:rsidRDefault="00107901">
            <w:pPr>
              <w:pStyle w:val="a3"/>
              <w:spacing w:before="0" w:beforeAutospacing="0" w:after="0" w:afterAutospacing="0" w:line="360" w:lineRule="atLeast"/>
              <w:jc w:val="center"/>
              <w:rPr>
                <w:rFonts w:asciiTheme="minorEastAsia" w:eastAsiaTheme="minorEastAsia" w:hAnsiTheme="minorEastAsia" w:cs="Times New Roman" w:hint="eastAsia"/>
                <w:sz w:val="18"/>
                <w:szCs w:val="18"/>
              </w:rPr>
            </w:pPr>
            <w:r w:rsidRPr="009433B5">
              <w:rPr>
                <w:rFonts w:asciiTheme="minorEastAsia" w:eastAsiaTheme="minorEastAsia" w:hAnsiTheme="minorEastAsia" w:cs="Times New Roman"/>
                <w:color w:val="000000"/>
                <w:sz w:val="18"/>
                <w:szCs w:val="18"/>
              </w:rPr>
              <w:t>2023</w:t>
            </w:r>
            <w:r w:rsidRPr="009433B5">
              <w:rPr>
                <w:rFonts w:asciiTheme="minorEastAsia" w:eastAsiaTheme="minorEastAsia" w:hAnsiTheme="minorEastAsia" w:cs="Times New Roman" w:hint="eastAsia"/>
                <w:color w:val="000000"/>
                <w:sz w:val="18"/>
                <w:szCs w:val="18"/>
              </w:rPr>
              <w:t>年度（上期金额）</w:t>
            </w:r>
          </w:p>
        </w:tc>
      </w:tr>
      <w:tr w:rsidR="00E72F0C" w:rsidRPr="009433B5" w14:paraId="2DFBB4C7" w14:textId="77777777" w:rsidTr="000E7353">
        <w:trPr>
          <w:divId w:val="2100978448"/>
          <w:trHeight w:val="298"/>
          <w:tblHeader/>
        </w:trPr>
        <w:tc>
          <w:tcPr>
            <w:tcW w:w="0" w:type="auto"/>
            <w:vMerge/>
            <w:vAlign w:val="center"/>
            <w:hideMark/>
          </w:tcPr>
          <w:p w14:paraId="755B0223" w14:textId="77777777" w:rsidR="00E72F0C" w:rsidRPr="009433B5" w:rsidRDefault="00E72F0C">
            <w:pPr>
              <w:rPr>
                <w:rFonts w:asciiTheme="minorEastAsia" w:hAnsiTheme="minorEastAsia" w:cs="Times New Roman" w:hint="eastAsia"/>
                <w:sz w:val="18"/>
                <w:szCs w:val="18"/>
              </w:rPr>
            </w:pPr>
          </w:p>
        </w:tc>
        <w:tc>
          <w:tcPr>
            <w:tcW w:w="994" w:type="pct"/>
            <w:noWrap/>
            <w:tcMar>
              <w:top w:w="0" w:type="dxa"/>
              <w:left w:w="108" w:type="dxa"/>
              <w:bottom w:w="0" w:type="dxa"/>
              <w:right w:w="108" w:type="dxa"/>
            </w:tcMar>
            <w:vAlign w:val="center"/>
            <w:hideMark/>
          </w:tcPr>
          <w:p w14:paraId="3F6DF91A" w14:textId="77777777" w:rsidR="00E72F0C" w:rsidRPr="009433B5" w:rsidRDefault="00107901">
            <w:pPr>
              <w:pStyle w:val="a3"/>
              <w:spacing w:before="0" w:beforeAutospacing="0" w:after="0" w:afterAutospacing="0" w:line="360" w:lineRule="atLeast"/>
              <w:jc w:val="center"/>
              <w:rPr>
                <w:rFonts w:asciiTheme="minorEastAsia" w:eastAsiaTheme="minorEastAsia" w:hAnsiTheme="minorEastAsia" w:cs="Times New Roman" w:hint="eastAsia"/>
                <w:sz w:val="18"/>
                <w:szCs w:val="18"/>
              </w:rPr>
            </w:pPr>
            <w:r w:rsidRPr="009433B5">
              <w:rPr>
                <w:rFonts w:asciiTheme="minorEastAsia" w:eastAsiaTheme="minorEastAsia" w:hAnsiTheme="minorEastAsia" w:cs="Times New Roman" w:hint="eastAsia"/>
                <w:color w:val="000000"/>
                <w:sz w:val="18"/>
                <w:szCs w:val="18"/>
              </w:rPr>
              <w:t>调整前</w:t>
            </w:r>
          </w:p>
        </w:tc>
        <w:tc>
          <w:tcPr>
            <w:tcW w:w="986" w:type="pct"/>
            <w:noWrap/>
            <w:tcMar>
              <w:top w:w="0" w:type="dxa"/>
              <w:left w:w="108" w:type="dxa"/>
              <w:bottom w:w="0" w:type="dxa"/>
              <w:right w:w="108" w:type="dxa"/>
            </w:tcMar>
            <w:vAlign w:val="center"/>
            <w:hideMark/>
          </w:tcPr>
          <w:p w14:paraId="78FA22BF" w14:textId="77777777" w:rsidR="00E72F0C" w:rsidRPr="009433B5" w:rsidRDefault="00107901">
            <w:pPr>
              <w:pStyle w:val="a3"/>
              <w:spacing w:before="0" w:beforeAutospacing="0" w:after="0" w:afterAutospacing="0" w:line="360" w:lineRule="atLeast"/>
              <w:jc w:val="center"/>
              <w:rPr>
                <w:rFonts w:asciiTheme="minorEastAsia" w:eastAsiaTheme="minorEastAsia" w:hAnsiTheme="minorEastAsia" w:cs="Times New Roman" w:hint="eastAsia"/>
                <w:sz w:val="18"/>
                <w:szCs w:val="18"/>
              </w:rPr>
            </w:pPr>
            <w:r w:rsidRPr="009433B5">
              <w:rPr>
                <w:rFonts w:asciiTheme="minorEastAsia" w:eastAsiaTheme="minorEastAsia" w:hAnsiTheme="minorEastAsia" w:cs="Times New Roman" w:hint="eastAsia"/>
                <w:color w:val="000000"/>
                <w:sz w:val="18"/>
                <w:szCs w:val="18"/>
              </w:rPr>
              <w:t>调整后</w:t>
            </w:r>
          </w:p>
        </w:tc>
        <w:tc>
          <w:tcPr>
            <w:tcW w:w="1019" w:type="pct"/>
            <w:noWrap/>
            <w:tcMar>
              <w:top w:w="0" w:type="dxa"/>
              <w:left w:w="108" w:type="dxa"/>
              <w:bottom w:w="0" w:type="dxa"/>
              <w:right w:w="108" w:type="dxa"/>
            </w:tcMar>
            <w:vAlign w:val="center"/>
            <w:hideMark/>
          </w:tcPr>
          <w:p w14:paraId="2F140474" w14:textId="77777777" w:rsidR="00E72F0C" w:rsidRPr="009433B5" w:rsidRDefault="00107901">
            <w:pPr>
              <w:pStyle w:val="a3"/>
              <w:spacing w:before="0" w:beforeAutospacing="0" w:after="0" w:afterAutospacing="0" w:line="360" w:lineRule="atLeast"/>
              <w:jc w:val="center"/>
              <w:rPr>
                <w:rFonts w:asciiTheme="minorEastAsia" w:eastAsiaTheme="minorEastAsia" w:hAnsiTheme="minorEastAsia" w:cs="Times New Roman" w:hint="eastAsia"/>
                <w:sz w:val="18"/>
                <w:szCs w:val="18"/>
              </w:rPr>
            </w:pPr>
            <w:r w:rsidRPr="009433B5">
              <w:rPr>
                <w:rFonts w:asciiTheme="minorEastAsia" w:eastAsiaTheme="minorEastAsia" w:hAnsiTheme="minorEastAsia" w:cs="Times New Roman" w:hint="eastAsia"/>
                <w:color w:val="000000"/>
                <w:sz w:val="18"/>
                <w:szCs w:val="18"/>
              </w:rPr>
              <w:t>调整数</w:t>
            </w:r>
          </w:p>
        </w:tc>
      </w:tr>
      <w:tr w:rsidR="00E72F0C" w:rsidRPr="009433B5" w14:paraId="35C4EE64" w14:textId="77777777" w:rsidTr="000E7353">
        <w:trPr>
          <w:divId w:val="2100978448"/>
          <w:trHeight w:val="375"/>
        </w:trPr>
        <w:tc>
          <w:tcPr>
            <w:tcW w:w="1999" w:type="pct"/>
            <w:tcMar>
              <w:top w:w="0" w:type="dxa"/>
              <w:left w:w="108" w:type="dxa"/>
              <w:bottom w:w="0" w:type="dxa"/>
              <w:right w:w="108" w:type="dxa"/>
            </w:tcMar>
            <w:vAlign w:val="center"/>
            <w:hideMark/>
          </w:tcPr>
          <w:p w14:paraId="2C52F995" w14:textId="77777777" w:rsidR="00E72F0C" w:rsidRPr="009433B5" w:rsidRDefault="00107901">
            <w:pPr>
              <w:pStyle w:val="a3"/>
              <w:spacing w:before="0" w:beforeAutospacing="0" w:after="0" w:afterAutospacing="0" w:line="360" w:lineRule="atLeast"/>
              <w:jc w:val="both"/>
              <w:rPr>
                <w:rFonts w:asciiTheme="minorEastAsia" w:eastAsiaTheme="minorEastAsia" w:hAnsiTheme="minorEastAsia" w:cs="Times New Roman" w:hint="eastAsia"/>
                <w:sz w:val="18"/>
                <w:szCs w:val="18"/>
              </w:rPr>
            </w:pPr>
            <w:r w:rsidRPr="009433B5">
              <w:rPr>
                <w:rFonts w:asciiTheme="minorEastAsia" w:eastAsiaTheme="minorEastAsia" w:hAnsiTheme="minorEastAsia" w:cs="Times New Roman" w:hint="eastAsia"/>
                <w:color w:val="000000"/>
                <w:sz w:val="18"/>
                <w:szCs w:val="18"/>
              </w:rPr>
              <w:t>营业成本</w:t>
            </w:r>
          </w:p>
        </w:tc>
        <w:tc>
          <w:tcPr>
            <w:tcW w:w="994" w:type="pct"/>
            <w:noWrap/>
            <w:tcMar>
              <w:top w:w="0" w:type="dxa"/>
              <w:left w:w="108" w:type="dxa"/>
              <w:bottom w:w="0" w:type="dxa"/>
              <w:right w:w="108" w:type="dxa"/>
            </w:tcMar>
            <w:vAlign w:val="center"/>
            <w:hideMark/>
          </w:tcPr>
          <w:p w14:paraId="063D80F4" w14:textId="77777777" w:rsidR="00E72F0C" w:rsidRPr="009433B5" w:rsidRDefault="00107901">
            <w:pPr>
              <w:pStyle w:val="a3"/>
              <w:spacing w:before="0" w:beforeAutospacing="0" w:after="0" w:afterAutospacing="0" w:line="360" w:lineRule="atLeast"/>
              <w:jc w:val="right"/>
              <w:rPr>
                <w:rFonts w:asciiTheme="minorEastAsia" w:eastAsiaTheme="minorEastAsia" w:hAnsiTheme="minorEastAsia" w:cs="Times New Roman" w:hint="eastAsia"/>
                <w:sz w:val="18"/>
                <w:szCs w:val="18"/>
              </w:rPr>
            </w:pPr>
            <w:r w:rsidRPr="009433B5">
              <w:rPr>
                <w:rFonts w:asciiTheme="minorEastAsia" w:eastAsiaTheme="minorEastAsia" w:hAnsiTheme="minorEastAsia" w:cs="Arial"/>
                <w:sz w:val="18"/>
                <w:szCs w:val="18"/>
              </w:rPr>
              <w:t>3,499,853,779.10</w:t>
            </w:r>
          </w:p>
        </w:tc>
        <w:tc>
          <w:tcPr>
            <w:tcW w:w="986" w:type="pct"/>
            <w:noWrap/>
            <w:tcMar>
              <w:top w:w="0" w:type="dxa"/>
              <w:left w:w="108" w:type="dxa"/>
              <w:bottom w:w="0" w:type="dxa"/>
              <w:right w:w="108" w:type="dxa"/>
            </w:tcMar>
            <w:vAlign w:val="bottom"/>
            <w:hideMark/>
          </w:tcPr>
          <w:p w14:paraId="0088D07C" w14:textId="77777777" w:rsidR="00E72F0C" w:rsidRPr="009433B5" w:rsidRDefault="00107901">
            <w:pPr>
              <w:pStyle w:val="a3"/>
              <w:spacing w:before="0" w:beforeAutospacing="0" w:after="0" w:afterAutospacing="0" w:line="360" w:lineRule="atLeast"/>
              <w:jc w:val="right"/>
              <w:rPr>
                <w:rFonts w:asciiTheme="minorEastAsia" w:eastAsiaTheme="minorEastAsia" w:hAnsiTheme="minorEastAsia" w:cs="Times New Roman" w:hint="eastAsia"/>
                <w:sz w:val="18"/>
                <w:szCs w:val="18"/>
              </w:rPr>
            </w:pPr>
            <w:r w:rsidRPr="009433B5">
              <w:rPr>
                <w:rFonts w:asciiTheme="minorEastAsia" w:eastAsiaTheme="minorEastAsia" w:hAnsiTheme="minorEastAsia" w:cs="Arial"/>
                <w:sz w:val="18"/>
                <w:szCs w:val="18"/>
              </w:rPr>
              <w:t xml:space="preserve">3,508,231,977.22 </w:t>
            </w:r>
          </w:p>
        </w:tc>
        <w:tc>
          <w:tcPr>
            <w:tcW w:w="1019" w:type="pct"/>
            <w:noWrap/>
            <w:tcMar>
              <w:top w:w="0" w:type="dxa"/>
              <w:left w:w="108" w:type="dxa"/>
              <w:bottom w:w="0" w:type="dxa"/>
              <w:right w:w="108" w:type="dxa"/>
            </w:tcMar>
            <w:vAlign w:val="center"/>
            <w:hideMark/>
          </w:tcPr>
          <w:p w14:paraId="1BB2CF3C" w14:textId="77777777" w:rsidR="00E72F0C" w:rsidRPr="009433B5" w:rsidRDefault="00107901">
            <w:pPr>
              <w:pStyle w:val="a3"/>
              <w:spacing w:before="0" w:beforeAutospacing="0" w:after="0" w:afterAutospacing="0" w:line="360" w:lineRule="atLeast"/>
              <w:jc w:val="right"/>
              <w:rPr>
                <w:rFonts w:asciiTheme="minorEastAsia" w:eastAsiaTheme="minorEastAsia" w:hAnsiTheme="minorEastAsia" w:cs="Times New Roman" w:hint="eastAsia"/>
                <w:sz w:val="18"/>
                <w:szCs w:val="18"/>
              </w:rPr>
            </w:pPr>
            <w:r w:rsidRPr="009433B5">
              <w:rPr>
                <w:rFonts w:asciiTheme="minorEastAsia" w:eastAsiaTheme="minorEastAsia" w:hAnsiTheme="minorEastAsia" w:cs="Arial"/>
                <w:sz w:val="18"/>
                <w:szCs w:val="18"/>
              </w:rPr>
              <w:t>8,378,198.12</w:t>
            </w:r>
          </w:p>
        </w:tc>
      </w:tr>
      <w:tr w:rsidR="00E72F0C" w:rsidRPr="009433B5" w14:paraId="12DF4593" w14:textId="77777777" w:rsidTr="000E7353">
        <w:trPr>
          <w:divId w:val="2100978448"/>
          <w:trHeight w:val="375"/>
        </w:trPr>
        <w:tc>
          <w:tcPr>
            <w:tcW w:w="1999" w:type="pct"/>
            <w:tcMar>
              <w:top w:w="0" w:type="dxa"/>
              <w:left w:w="108" w:type="dxa"/>
              <w:bottom w:w="0" w:type="dxa"/>
              <w:right w:w="108" w:type="dxa"/>
            </w:tcMar>
            <w:vAlign w:val="center"/>
            <w:hideMark/>
          </w:tcPr>
          <w:p w14:paraId="5EFA3D24" w14:textId="77777777" w:rsidR="00E72F0C" w:rsidRPr="009433B5" w:rsidRDefault="00107901">
            <w:pPr>
              <w:pStyle w:val="a3"/>
              <w:spacing w:before="0" w:beforeAutospacing="0" w:after="0" w:afterAutospacing="0" w:line="360" w:lineRule="atLeast"/>
              <w:jc w:val="both"/>
              <w:rPr>
                <w:rFonts w:asciiTheme="minorEastAsia" w:eastAsiaTheme="minorEastAsia" w:hAnsiTheme="minorEastAsia" w:cs="Times New Roman" w:hint="eastAsia"/>
                <w:sz w:val="18"/>
                <w:szCs w:val="18"/>
              </w:rPr>
            </w:pPr>
            <w:r w:rsidRPr="009433B5">
              <w:rPr>
                <w:rFonts w:asciiTheme="minorEastAsia" w:eastAsiaTheme="minorEastAsia" w:hAnsiTheme="minorEastAsia" w:cs="Times New Roman" w:hint="eastAsia"/>
                <w:color w:val="000000"/>
                <w:sz w:val="18"/>
                <w:szCs w:val="18"/>
              </w:rPr>
              <w:t>销售费用</w:t>
            </w:r>
          </w:p>
        </w:tc>
        <w:tc>
          <w:tcPr>
            <w:tcW w:w="994" w:type="pct"/>
            <w:noWrap/>
            <w:tcMar>
              <w:top w:w="0" w:type="dxa"/>
              <w:left w:w="108" w:type="dxa"/>
              <w:bottom w:w="0" w:type="dxa"/>
              <w:right w:w="108" w:type="dxa"/>
            </w:tcMar>
            <w:vAlign w:val="center"/>
            <w:hideMark/>
          </w:tcPr>
          <w:p w14:paraId="41088943" w14:textId="77777777" w:rsidR="00E72F0C" w:rsidRPr="009433B5" w:rsidRDefault="00107901">
            <w:pPr>
              <w:pStyle w:val="a3"/>
              <w:spacing w:before="0" w:beforeAutospacing="0" w:after="0" w:afterAutospacing="0" w:line="360" w:lineRule="atLeast"/>
              <w:jc w:val="right"/>
              <w:rPr>
                <w:rFonts w:asciiTheme="minorEastAsia" w:eastAsiaTheme="minorEastAsia" w:hAnsiTheme="minorEastAsia" w:cs="Times New Roman" w:hint="eastAsia"/>
                <w:sz w:val="18"/>
                <w:szCs w:val="18"/>
              </w:rPr>
            </w:pPr>
            <w:r w:rsidRPr="009433B5">
              <w:rPr>
                <w:rFonts w:asciiTheme="minorEastAsia" w:eastAsiaTheme="minorEastAsia" w:hAnsiTheme="minorEastAsia" w:cs="Arial"/>
                <w:sz w:val="18"/>
                <w:szCs w:val="18"/>
              </w:rPr>
              <w:t>138,703,168.01</w:t>
            </w:r>
          </w:p>
        </w:tc>
        <w:tc>
          <w:tcPr>
            <w:tcW w:w="986" w:type="pct"/>
            <w:noWrap/>
            <w:tcMar>
              <w:top w:w="0" w:type="dxa"/>
              <w:left w:w="108" w:type="dxa"/>
              <w:bottom w:w="0" w:type="dxa"/>
              <w:right w:w="108" w:type="dxa"/>
            </w:tcMar>
            <w:vAlign w:val="bottom"/>
            <w:hideMark/>
          </w:tcPr>
          <w:p w14:paraId="7F869A7D" w14:textId="77777777" w:rsidR="00E72F0C" w:rsidRPr="009433B5" w:rsidRDefault="00107901">
            <w:pPr>
              <w:pStyle w:val="a3"/>
              <w:spacing w:before="0" w:beforeAutospacing="0" w:after="0" w:afterAutospacing="0" w:line="360" w:lineRule="atLeast"/>
              <w:jc w:val="right"/>
              <w:rPr>
                <w:rFonts w:asciiTheme="minorEastAsia" w:eastAsiaTheme="minorEastAsia" w:hAnsiTheme="minorEastAsia" w:cs="Times New Roman" w:hint="eastAsia"/>
                <w:sz w:val="18"/>
                <w:szCs w:val="18"/>
              </w:rPr>
            </w:pPr>
            <w:r w:rsidRPr="009433B5">
              <w:rPr>
                <w:rFonts w:asciiTheme="minorEastAsia" w:eastAsiaTheme="minorEastAsia" w:hAnsiTheme="minorEastAsia" w:cs="Arial"/>
                <w:sz w:val="18"/>
                <w:szCs w:val="18"/>
              </w:rPr>
              <w:t xml:space="preserve">130,324,969.89 </w:t>
            </w:r>
          </w:p>
        </w:tc>
        <w:tc>
          <w:tcPr>
            <w:tcW w:w="1019" w:type="pct"/>
            <w:noWrap/>
            <w:tcMar>
              <w:top w:w="0" w:type="dxa"/>
              <w:left w:w="108" w:type="dxa"/>
              <w:bottom w:w="0" w:type="dxa"/>
              <w:right w:w="108" w:type="dxa"/>
            </w:tcMar>
            <w:vAlign w:val="center"/>
            <w:hideMark/>
          </w:tcPr>
          <w:p w14:paraId="69E1B4BA" w14:textId="77777777" w:rsidR="00E72F0C" w:rsidRPr="009433B5" w:rsidRDefault="00107901">
            <w:pPr>
              <w:pStyle w:val="a3"/>
              <w:spacing w:before="0" w:beforeAutospacing="0" w:after="0" w:afterAutospacing="0" w:line="360" w:lineRule="atLeast"/>
              <w:jc w:val="right"/>
              <w:rPr>
                <w:rFonts w:asciiTheme="minorEastAsia" w:eastAsiaTheme="minorEastAsia" w:hAnsiTheme="minorEastAsia" w:cs="Times New Roman" w:hint="eastAsia"/>
                <w:sz w:val="18"/>
                <w:szCs w:val="18"/>
              </w:rPr>
            </w:pPr>
            <w:r w:rsidRPr="009433B5">
              <w:rPr>
                <w:rFonts w:asciiTheme="minorEastAsia" w:eastAsiaTheme="minorEastAsia" w:hAnsiTheme="minorEastAsia" w:cs="Arial"/>
                <w:sz w:val="18"/>
                <w:szCs w:val="18"/>
              </w:rPr>
              <w:t>-8,378,198.12</w:t>
            </w:r>
          </w:p>
        </w:tc>
      </w:tr>
    </w:tbl>
    <w:p w14:paraId="1A7CD180" w14:textId="77777777" w:rsidR="00E72F0C" w:rsidRDefault="00107901" w:rsidP="000E7353">
      <w:pPr>
        <w:pStyle w:val="a3"/>
        <w:spacing w:before="0" w:beforeAutospacing="0" w:after="0" w:afterAutospacing="0"/>
        <w:divId w:val="2100978448"/>
        <w:rPr>
          <w:rFonts w:hint="eastAsia"/>
          <w:sz w:val="18"/>
          <w:szCs w:val="18"/>
        </w:rPr>
      </w:pPr>
      <w:r>
        <w:rPr>
          <w:rFonts w:hint="eastAsia"/>
          <w:sz w:val="18"/>
          <w:szCs w:val="18"/>
        </w:rPr>
        <w:t>  执行该规定未对母公司财务状况和经营成果产生重大影响。</w:t>
      </w:r>
    </w:p>
    <w:p w14:paraId="417DDEB6" w14:textId="77777777" w:rsidR="00632E5B" w:rsidRDefault="00107901">
      <w:pPr>
        <w:keepNext/>
        <w:keepLines/>
        <w:spacing w:before="300" w:after="300" w:line="280" w:lineRule="exact"/>
        <w:outlineLvl w:val="3"/>
        <w:rPr>
          <w:rFonts w:ascii="宋体" w:eastAsia="宋体" w:hAnsi="宋体" w:cs="宋体" w:hint="eastAsia"/>
          <w:b/>
          <w:bCs/>
          <w:sz w:val="18"/>
          <w:szCs w:val="18"/>
        </w:rPr>
      </w:pPr>
      <w:bookmarkStart w:id="202" w:name="_Toc989091"/>
      <w:r>
        <w:rPr>
          <w:rFonts w:ascii="宋体" w:eastAsia="宋体" w:hAnsi="宋体" w:cs="宋体"/>
          <w:b/>
          <w:bCs/>
          <w:sz w:val="18"/>
          <w:szCs w:val="18"/>
        </w:rPr>
        <w:t>（2） 重要会计估计变更</w:t>
      </w:r>
      <w:bookmarkEnd w:id="202"/>
    </w:p>
    <w:p w14:paraId="14D5C356"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67B37E33" w14:textId="77777777" w:rsidR="00632E5B" w:rsidRDefault="00107901">
      <w:pPr>
        <w:keepNext/>
        <w:keepLines/>
        <w:spacing w:before="300" w:after="300" w:line="280" w:lineRule="exact"/>
        <w:outlineLvl w:val="3"/>
        <w:rPr>
          <w:rFonts w:ascii="宋体" w:eastAsia="宋体" w:hAnsi="宋体" w:cs="宋体" w:hint="eastAsia"/>
          <w:b/>
          <w:bCs/>
          <w:sz w:val="18"/>
          <w:szCs w:val="18"/>
        </w:rPr>
      </w:pPr>
      <w:bookmarkStart w:id="203" w:name="_Toc989092"/>
      <w:r>
        <w:rPr>
          <w:rFonts w:ascii="宋体" w:eastAsia="宋体" w:hAnsi="宋体" w:cs="宋体"/>
          <w:b/>
          <w:bCs/>
          <w:sz w:val="18"/>
          <w:szCs w:val="18"/>
        </w:rPr>
        <w:t>（3） 2024年起首次执行新会计准则调整首次执行当年年初财务报表相关项目情况</w:t>
      </w:r>
      <w:bookmarkEnd w:id="203"/>
    </w:p>
    <w:p w14:paraId="6BFD6110"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2818A49" w14:textId="77777777" w:rsidR="00632E5B" w:rsidRDefault="00107901">
      <w:pPr>
        <w:pStyle w:val="2"/>
        <w:spacing w:before="300" w:after="300" w:line="320" w:lineRule="exact"/>
        <w:rPr>
          <w:rFonts w:ascii="宋体" w:eastAsia="宋体" w:hAnsi="宋体" w:cs="宋体" w:hint="eastAsia"/>
          <w:b/>
          <w:bCs/>
          <w:sz w:val="24"/>
          <w:szCs w:val="24"/>
        </w:rPr>
      </w:pPr>
      <w:bookmarkStart w:id="204" w:name="_Toc989093"/>
      <w:r>
        <w:rPr>
          <w:rFonts w:ascii="宋体" w:eastAsia="宋体" w:hAnsi="宋体" w:cs="宋体"/>
          <w:b/>
          <w:bCs/>
          <w:sz w:val="24"/>
          <w:szCs w:val="24"/>
        </w:rPr>
        <w:t>六、税项</w:t>
      </w:r>
      <w:bookmarkEnd w:id="204"/>
    </w:p>
    <w:p w14:paraId="6EA30CE0" w14:textId="77777777" w:rsidR="00632E5B" w:rsidRDefault="00107901">
      <w:pPr>
        <w:pStyle w:val="3"/>
        <w:spacing w:line="280" w:lineRule="exact"/>
        <w:jc w:val="left"/>
        <w:rPr>
          <w:rFonts w:ascii="宋体" w:hAnsi="宋体" w:cs="宋体" w:hint="eastAsia"/>
          <w:b/>
          <w:bCs/>
        </w:rPr>
      </w:pPr>
      <w:bookmarkStart w:id="205" w:name="_Toc989094"/>
      <w:r>
        <w:rPr>
          <w:rFonts w:ascii="宋体" w:hAnsi="宋体" w:cs="宋体"/>
          <w:b/>
          <w:bCs/>
        </w:rPr>
        <w:t>1、主要税种及税率</w:t>
      </w:r>
      <w:bookmarkEnd w:id="205"/>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0830306A" w14:textId="77777777" w:rsidTr="004A771F">
        <w:trPr>
          <w:trHeight w:val="240"/>
        </w:trPr>
        <w:tc>
          <w:tcPr>
            <w:tcW w:w="3213" w:type="dxa"/>
            <w:shd w:val="clear" w:color="auto" w:fill="FFFFFF" w:themeFill="background1"/>
            <w:vAlign w:val="center"/>
          </w:tcPr>
          <w:p w14:paraId="0031DF0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税种</w:t>
            </w:r>
          </w:p>
        </w:tc>
        <w:tc>
          <w:tcPr>
            <w:tcW w:w="3213" w:type="dxa"/>
            <w:shd w:val="clear" w:color="auto" w:fill="FFFFFF" w:themeFill="background1"/>
            <w:vAlign w:val="center"/>
          </w:tcPr>
          <w:p w14:paraId="1446719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计税依据</w:t>
            </w:r>
          </w:p>
        </w:tc>
        <w:tc>
          <w:tcPr>
            <w:tcW w:w="3213" w:type="dxa"/>
            <w:shd w:val="clear" w:color="auto" w:fill="FFFFFF" w:themeFill="background1"/>
            <w:vAlign w:val="center"/>
          </w:tcPr>
          <w:p w14:paraId="6D80FB2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税率</w:t>
            </w:r>
          </w:p>
        </w:tc>
      </w:tr>
      <w:tr w:rsidR="00632E5B" w14:paraId="355970AD" w14:textId="77777777" w:rsidTr="004A771F">
        <w:trPr>
          <w:trHeight w:val="240"/>
        </w:trPr>
        <w:tc>
          <w:tcPr>
            <w:tcW w:w="3213" w:type="dxa"/>
            <w:shd w:val="clear" w:color="auto" w:fill="FFFFFF" w:themeFill="background1"/>
            <w:vAlign w:val="center"/>
          </w:tcPr>
          <w:p w14:paraId="3BBE1A5D"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增值税</w:t>
            </w:r>
          </w:p>
        </w:tc>
        <w:tc>
          <w:tcPr>
            <w:tcW w:w="3213" w:type="dxa"/>
            <w:shd w:val="clear" w:color="auto" w:fill="FFFFFF" w:themeFill="background1"/>
            <w:vAlign w:val="center"/>
          </w:tcPr>
          <w:p w14:paraId="0706430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按税法规定计算的销售货物和应税劳务收入为基础计算销项税额，在扣除当期允许抵扣的进项税额后，差额部分为应交增值税</w:t>
            </w:r>
          </w:p>
        </w:tc>
        <w:tc>
          <w:tcPr>
            <w:tcW w:w="3213" w:type="dxa"/>
            <w:shd w:val="clear" w:color="auto" w:fill="FFFFFF" w:themeFill="background1"/>
            <w:vAlign w:val="center"/>
          </w:tcPr>
          <w:p w14:paraId="1646CDF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3%、5%、6%、9%、13%</w:t>
            </w:r>
          </w:p>
        </w:tc>
      </w:tr>
      <w:tr w:rsidR="00632E5B" w14:paraId="7F072A29" w14:textId="77777777" w:rsidTr="004A771F">
        <w:trPr>
          <w:trHeight w:val="240"/>
        </w:trPr>
        <w:tc>
          <w:tcPr>
            <w:tcW w:w="3213" w:type="dxa"/>
            <w:shd w:val="clear" w:color="auto" w:fill="FFFFFF" w:themeFill="background1"/>
            <w:vAlign w:val="center"/>
          </w:tcPr>
          <w:p w14:paraId="434469CD"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城市维护建设税</w:t>
            </w:r>
          </w:p>
        </w:tc>
        <w:tc>
          <w:tcPr>
            <w:tcW w:w="3213" w:type="dxa"/>
            <w:shd w:val="clear" w:color="auto" w:fill="FFFFFF" w:themeFill="background1"/>
            <w:vAlign w:val="center"/>
          </w:tcPr>
          <w:p w14:paraId="329BA5D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按实际缴纳的增值税计缴</w:t>
            </w:r>
          </w:p>
        </w:tc>
        <w:tc>
          <w:tcPr>
            <w:tcW w:w="3213" w:type="dxa"/>
            <w:shd w:val="clear" w:color="auto" w:fill="FFFFFF" w:themeFill="background1"/>
            <w:vAlign w:val="center"/>
          </w:tcPr>
          <w:p w14:paraId="183687D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7%、5%</w:t>
            </w:r>
          </w:p>
        </w:tc>
      </w:tr>
      <w:tr w:rsidR="00632E5B" w14:paraId="06EC74F7" w14:textId="77777777" w:rsidTr="004A771F">
        <w:trPr>
          <w:trHeight w:val="240"/>
        </w:trPr>
        <w:tc>
          <w:tcPr>
            <w:tcW w:w="3213" w:type="dxa"/>
            <w:shd w:val="clear" w:color="auto" w:fill="FFFFFF" w:themeFill="background1"/>
            <w:vAlign w:val="center"/>
          </w:tcPr>
          <w:p w14:paraId="50E950EB"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企业所得税</w:t>
            </w:r>
          </w:p>
        </w:tc>
        <w:tc>
          <w:tcPr>
            <w:tcW w:w="3213" w:type="dxa"/>
            <w:shd w:val="clear" w:color="auto" w:fill="FFFFFF" w:themeFill="background1"/>
            <w:vAlign w:val="center"/>
          </w:tcPr>
          <w:p w14:paraId="21D2221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应纳税所得额</w:t>
            </w:r>
          </w:p>
        </w:tc>
        <w:tc>
          <w:tcPr>
            <w:tcW w:w="3213" w:type="dxa"/>
            <w:shd w:val="clear" w:color="auto" w:fill="FFFFFF" w:themeFill="background1"/>
            <w:vAlign w:val="center"/>
          </w:tcPr>
          <w:p w14:paraId="157364B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25%、15%、20%</w:t>
            </w:r>
          </w:p>
        </w:tc>
      </w:tr>
      <w:tr w:rsidR="00632E5B" w14:paraId="425B285F" w14:textId="77777777" w:rsidTr="004A771F">
        <w:trPr>
          <w:trHeight w:val="240"/>
        </w:trPr>
        <w:tc>
          <w:tcPr>
            <w:tcW w:w="3213" w:type="dxa"/>
            <w:shd w:val="clear" w:color="auto" w:fill="FFFFFF" w:themeFill="background1"/>
            <w:vAlign w:val="center"/>
          </w:tcPr>
          <w:p w14:paraId="384FD41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教育费附加</w:t>
            </w:r>
          </w:p>
        </w:tc>
        <w:tc>
          <w:tcPr>
            <w:tcW w:w="3213" w:type="dxa"/>
            <w:shd w:val="clear" w:color="auto" w:fill="FFFFFF" w:themeFill="background1"/>
            <w:vAlign w:val="center"/>
          </w:tcPr>
          <w:p w14:paraId="69883E3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按实际缴纳的增值税计缴</w:t>
            </w:r>
          </w:p>
        </w:tc>
        <w:tc>
          <w:tcPr>
            <w:tcW w:w="3213" w:type="dxa"/>
            <w:shd w:val="clear" w:color="auto" w:fill="FFFFFF" w:themeFill="background1"/>
            <w:vAlign w:val="center"/>
          </w:tcPr>
          <w:p w14:paraId="2AC77EE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5%</w:t>
            </w:r>
          </w:p>
        </w:tc>
      </w:tr>
    </w:tbl>
    <w:p w14:paraId="3E28ABEA"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存在不同企业所得税税率纳税主体的，披露情况说明</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4820"/>
        <w:gridCol w:w="4819"/>
      </w:tblGrid>
      <w:tr w:rsidR="00632E5B" w14:paraId="59D1580F" w14:textId="77777777" w:rsidTr="004A771F">
        <w:trPr>
          <w:trHeight w:val="240"/>
        </w:trPr>
        <w:tc>
          <w:tcPr>
            <w:tcW w:w="4820" w:type="dxa"/>
            <w:shd w:val="clear" w:color="auto" w:fill="FFFFFF" w:themeFill="background1"/>
            <w:vAlign w:val="center"/>
          </w:tcPr>
          <w:p w14:paraId="3957FCF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纳税主体名称</w:t>
            </w:r>
          </w:p>
        </w:tc>
        <w:tc>
          <w:tcPr>
            <w:tcW w:w="4820" w:type="dxa"/>
            <w:shd w:val="clear" w:color="auto" w:fill="FFFFFF" w:themeFill="background1"/>
            <w:vAlign w:val="center"/>
          </w:tcPr>
          <w:p w14:paraId="7F9031B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所得税税率</w:t>
            </w:r>
          </w:p>
        </w:tc>
      </w:tr>
      <w:tr w:rsidR="00632E5B" w14:paraId="2F27E4E2" w14:textId="77777777" w:rsidTr="004A771F">
        <w:trPr>
          <w:trHeight w:val="240"/>
        </w:trPr>
        <w:tc>
          <w:tcPr>
            <w:tcW w:w="4820" w:type="dxa"/>
            <w:shd w:val="clear" w:color="auto" w:fill="FFFFFF" w:themeFill="background1"/>
            <w:vAlign w:val="center"/>
          </w:tcPr>
          <w:p w14:paraId="4F2C120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江苏中利集团股份有限公司</w:t>
            </w:r>
          </w:p>
        </w:tc>
        <w:tc>
          <w:tcPr>
            <w:tcW w:w="4820" w:type="dxa"/>
            <w:shd w:val="clear" w:color="auto" w:fill="FFFFFF" w:themeFill="background1"/>
            <w:vAlign w:val="center"/>
          </w:tcPr>
          <w:p w14:paraId="68BCD44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25%</w:t>
            </w:r>
          </w:p>
        </w:tc>
      </w:tr>
      <w:tr w:rsidR="00632E5B" w14:paraId="6424EB93" w14:textId="77777777" w:rsidTr="004A771F">
        <w:trPr>
          <w:trHeight w:val="240"/>
        </w:trPr>
        <w:tc>
          <w:tcPr>
            <w:tcW w:w="4820" w:type="dxa"/>
            <w:shd w:val="clear" w:color="auto" w:fill="FFFFFF" w:themeFill="background1"/>
            <w:vAlign w:val="center"/>
          </w:tcPr>
          <w:p w14:paraId="2884841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常熟利星光电科技有限公司</w:t>
            </w:r>
          </w:p>
        </w:tc>
        <w:tc>
          <w:tcPr>
            <w:tcW w:w="4820" w:type="dxa"/>
            <w:shd w:val="clear" w:color="auto" w:fill="FFFFFF" w:themeFill="background1"/>
            <w:vAlign w:val="center"/>
          </w:tcPr>
          <w:p w14:paraId="7ECB9BC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15%</w:t>
            </w:r>
          </w:p>
        </w:tc>
      </w:tr>
      <w:tr w:rsidR="00632E5B" w14:paraId="53B30E17" w14:textId="77777777" w:rsidTr="004A771F">
        <w:trPr>
          <w:trHeight w:val="240"/>
        </w:trPr>
        <w:tc>
          <w:tcPr>
            <w:tcW w:w="4820" w:type="dxa"/>
            <w:shd w:val="clear" w:color="auto" w:fill="FFFFFF" w:themeFill="background1"/>
            <w:vAlign w:val="center"/>
          </w:tcPr>
          <w:p w14:paraId="776E5A0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利星科技（亚洲）有限公司</w:t>
            </w:r>
          </w:p>
        </w:tc>
        <w:tc>
          <w:tcPr>
            <w:tcW w:w="4820" w:type="dxa"/>
            <w:shd w:val="clear" w:color="auto" w:fill="FFFFFF" w:themeFill="background1"/>
            <w:vAlign w:val="center"/>
          </w:tcPr>
          <w:p w14:paraId="5F802FB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按照当地法律法规缴纳所得税</w:t>
            </w:r>
          </w:p>
        </w:tc>
      </w:tr>
      <w:tr w:rsidR="00632E5B" w14:paraId="1DC17EA0" w14:textId="77777777" w:rsidTr="004A771F">
        <w:trPr>
          <w:trHeight w:val="240"/>
        </w:trPr>
        <w:tc>
          <w:tcPr>
            <w:tcW w:w="4820" w:type="dxa"/>
            <w:shd w:val="clear" w:color="auto" w:fill="FFFFFF" w:themeFill="background1"/>
            <w:vAlign w:val="center"/>
          </w:tcPr>
          <w:p w14:paraId="1730724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越南利星科技有限公司</w:t>
            </w:r>
          </w:p>
        </w:tc>
        <w:tc>
          <w:tcPr>
            <w:tcW w:w="4820" w:type="dxa"/>
            <w:shd w:val="clear" w:color="auto" w:fill="FFFFFF" w:themeFill="background1"/>
            <w:vAlign w:val="center"/>
          </w:tcPr>
          <w:p w14:paraId="389DEE0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按照当地法律法规缴纳所得税</w:t>
            </w:r>
          </w:p>
        </w:tc>
      </w:tr>
      <w:tr w:rsidR="00632E5B" w14:paraId="1B21C62E" w14:textId="77777777" w:rsidTr="004A771F">
        <w:trPr>
          <w:trHeight w:val="240"/>
        </w:trPr>
        <w:tc>
          <w:tcPr>
            <w:tcW w:w="4820" w:type="dxa"/>
            <w:shd w:val="clear" w:color="auto" w:fill="FFFFFF" w:themeFill="background1"/>
            <w:vAlign w:val="center"/>
          </w:tcPr>
          <w:p w14:paraId="2323922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常熟市协友企业服务有限公司</w:t>
            </w:r>
          </w:p>
        </w:tc>
        <w:tc>
          <w:tcPr>
            <w:tcW w:w="4820" w:type="dxa"/>
            <w:shd w:val="clear" w:color="auto" w:fill="FFFFFF" w:themeFill="background1"/>
            <w:vAlign w:val="center"/>
          </w:tcPr>
          <w:p w14:paraId="26AB77D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7DB9B479" w14:textId="77777777" w:rsidTr="004A771F">
        <w:trPr>
          <w:trHeight w:val="240"/>
        </w:trPr>
        <w:tc>
          <w:tcPr>
            <w:tcW w:w="4820" w:type="dxa"/>
            <w:shd w:val="clear" w:color="auto" w:fill="FFFFFF" w:themeFill="background1"/>
            <w:vAlign w:val="center"/>
          </w:tcPr>
          <w:p w14:paraId="79BCA05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常熟市中联光电新材料有限责任公司</w:t>
            </w:r>
          </w:p>
        </w:tc>
        <w:tc>
          <w:tcPr>
            <w:tcW w:w="4820" w:type="dxa"/>
            <w:shd w:val="clear" w:color="auto" w:fill="FFFFFF" w:themeFill="background1"/>
            <w:vAlign w:val="center"/>
          </w:tcPr>
          <w:p w14:paraId="545FE3F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15%</w:t>
            </w:r>
          </w:p>
        </w:tc>
      </w:tr>
      <w:tr w:rsidR="00632E5B" w14:paraId="1ECAB5BD" w14:textId="77777777" w:rsidTr="004A771F">
        <w:trPr>
          <w:trHeight w:val="240"/>
        </w:trPr>
        <w:tc>
          <w:tcPr>
            <w:tcW w:w="4820" w:type="dxa"/>
            <w:shd w:val="clear" w:color="auto" w:fill="FFFFFF" w:themeFill="background1"/>
            <w:vAlign w:val="center"/>
          </w:tcPr>
          <w:p w14:paraId="584D912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常熟市中联金属材料有限公司</w:t>
            </w:r>
          </w:p>
        </w:tc>
        <w:tc>
          <w:tcPr>
            <w:tcW w:w="4820" w:type="dxa"/>
            <w:shd w:val="clear" w:color="auto" w:fill="FFFFFF" w:themeFill="background1"/>
            <w:vAlign w:val="center"/>
          </w:tcPr>
          <w:p w14:paraId="32C731B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25%</w:t>
            </w:r>
          </w:p>
        </w:tc>
      </w:tr>
      <w:tr w:rsidR="00632E5B" w14:paraId="447F5EF2" w14:textId="77777777" w:rsidTr="004A771F">
        <w:trPr>
          <w:trHeight w:val="240"/>
        </w:trPr>
        <w:tc>
          <w:tcPr>
            <w:tcW w:w="4820" w:type="dxa"/>
            <w:shd w:val="clear" w:color="auto" w:fill="FFFFFF" w:themeFill="background1"/>
            <w:vAlign w:val="center"/>
          </w:tcPr>
          <w:p w14:paraId="61AAC3F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苏州中能金带新材料技术有限公司</w:t>
            </w:r>
          </w:p>
        </w:tc>
        <w:tc>
          <w:tcPr>
            <w:tcW w:w="4820" w:type="dxa"/>
            <w:shd w:val="clear" w:color="auto" w:fill="FFFFFF" w:themeFill="background1"/>
            <w:vAlign w:val="center"/>
          </w:tcPr>
          <w:p w14:paraId="6F2DA0D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7CFD7439" w14:textId="77777777" w:rsidTr="004A771F">
        <w:trPr>
          <w:trHeight w:val="240"/>
        </w:trPr>
        <w:tc>
          <w:tcPr>
            <w:tcW w:w="4820" w:type="dxa"/>
            <w:shd w:val="clear" w:color="auto" w:fill="FFFFFF" w:themeFill="background1"/>
            <w:vAlign w:val="center"/>
          </w:tcPr>
          <w:p w14:paraId="656A4ED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辽宁中利光电新材料有限公司</w:t>
            </w:r>
          </w:p>
        </w:tc>
        <w:tc>
          <w:tcPr>
            <w:tcW w:w="4820" w:type="dxa"/>
            <w:shd w:val="clear" w:color="auto" w:fill="FFFFFF" w:themeFill="background1"/>
            <w:vAlign w:val="center"/>
          </w:tcPr>
          <w:p w14:paraId="3A5F81A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25%</w:t>
            </w:r>
          </w:p>
        </w:tc>
      </w:tr>
      <w:tr w:rsidR="00632E5B" w14:paraId="33CB18D6" w14:textId="77777777" w:rsidTr="004A771F">
        <w:trPr>
          <w:trHeight w:val="240"/>
        </w:trPr>
        <w:tc>
          <w:tcPr>
            <w:tcW w:w="4820" w:type="dxa"/>
            <w:shd w:val="clear" w:color="auto" w:fill="FFFFFF" w:themeFill="background1"/>
            <w:vAlign w:val="center"/>
          </w:tcPr>
          <w:p w14:paraId="2260B46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常州船用电缆有限责任公司</w:t>
            </w:r>
          </w:p>
        </w:tc>
        <w:tc>
          <w:tcPr>
            <w:tcW w:w="4820" w:type="dxa"/>
            <w:shd w:val="clear" w:color="auto" w:fill="FFFFFF" w:themeFill="background1"/>
            <w:vAlign w:val="center"/>
          </w:tcPr>
          <w:p w14:paraId="72F4C8D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15%</w:t>
            </w:r>
          </w:p>
        </w:tc>
      </w:tr>
      <w:tr w:rsidR="00632E5B" w14:paraId="3E64E6AA" w14:textId="77777777" w:rsidTr="004A771F">
        <w:trPr>
          <w:trHeight w:val="240"/>
        </w:trPr>
        <w:tc>
          <w:tcPr>
            <w:tcW w:w="4820" w:type="dxa"/>
            <w:shd w:val="clear" w:color="auto" w:fill="FFFFFF" w:themeFill="background1"/>
            <w:vAlign w:val="center"/>
          </w:tcPr>
          <w:p w14:paraId="11848D1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宁夏中盛电缆技术有限公司</w:t>
            </w:r>
          </w:p>
        </w:tc>
        <w:tc>
          <w:tcPr>
            <w:tcW w:w="4820" w:type="dxa"/>
            <w:shd w:val="clear" w:color="auto" w:fill="FFFFFF" w:themeFill="background1"/>
            <w:vAlign w:val="center"/>
          </w:tcPr>
          <w:p w14:paraId="2526039A" w14:textId="77777777" w:rsidR="00632E5B" w:rsidRDefault="000932A6">
            <w:pPr>
              <w:spacing w:line="240" w:lineRule="exact"/>
              <w:rPr>
                <w:rFonts w:ascii="宋体" w:eastAsia="宋体" w:hAnsi="宋体" w:cs="宋体" w:hint="eastAsia"/>
                <w:sz w:val="18"/>
                <w:szCs w:val="18"/>
              </w:rPr>
            </w:pPr>
            <w:r>
              <w:rPr>
                <w:rFonts w:ascii="宋体" w:eastAsia="宋体" w:hAnsi="宋体" w:cs="宋体" w:hint="eastAsia"/>
                <w:sz w:val="18"/>
                <w:szCs w:val="18"/>
              </w:rPr>
              <w:t>2</w:t>
            </w:r>
            <w:r w:rsidR="00107901">
              <w:rPr>
                <w:rFonts w:ascii="宋体" w:eastAsia="宋体" w:hAnsi="宋体" w:cs="宋体"/>
                <w:sz w:val="18"/>
                <w:szCs w:val="18"/>
              </w:rPr>
              <w:t>5%</w:t>
            </w:r>
          </w:p>
        </w:tc>
      </w:tr>
      <w:tr w:rsidR="00632E5B" w14:paraId="29B86A04" w14:textId="77777777" w:rsidTr="004A771F">
        <w:trPr>
          <w:trHeight w:val="240"/>
        </w:trPr>
        <w:tc>
          <w:tcPr>
            <w:tcW w:w="4820" w:type="dxa"/>
            <w:shd w:val="clear" w:color="auto" w:fill="FFFFFF" w:themeFill="background1"/>
            <w:vAlign w:val="center"/>
          </w:tcPr>
          <w:p w14:paraId="3FF1D8A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宁夏盛晖光伏技术有限公司</w:t>
            </w:r>
          </w:p>
        </w:tc>
        <w:tc>
          <w:tcPr>
            <w:tcW w:w="4820" w:type="dxa"/>
            <w:shd w:val="clear" w:color="auto" w:fill="FFFFFF" w:themeFill="background1"/>
            <w:vAlign w:val="center"/>
          </w:tcPr>
          <w:p w14:paraId="3C126BA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396B11C9" w14:textId="77777777" w:rsidTr="004A771F">
        <w:trPr>
          <w:trHeight w:val="240"/>
        </w:trPr>
        <w:tc>
          <w:tcPr>
            <w:tcW w:w="4820" w:type="dxa"/>
            <w:shd w:val="clear" w:color="auto" w:fill="FFFFFF" w:themeFill="background1"/>
            <w:vAlign w:val="center"/>
          </w:tcPr>
          <w:p w14:paraId="22C7E37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青海中利光纤技术有限公司</w:t>
            </w:r>
          </w:p>
        </w:tc>
        <w:tc>
          <w:tcPr>
            <w:tcW w:w="4820" w:type="dxa"/>
            <w:shd w:val="clear" w:color="auto" w:fill="FFFFFF" w:themeFill="background1"/>
            <w:vAlign w:val="center"/>
          </w:tcPr>
          <w:p w14:paraId="696DEEB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15%</w:t>
            </w:r>
          </w:p>
        </w:tc>
      </w:tr>
      <w:tr w:rsidR="00632E5B" w14:paraId="5D84EBB4" w14:textId="77777777" w:rsidTr="004A771F">
        <w:trPr>
          <w:trHeight w:val="240"/>
        </w:trPr>
        <w:tc>
          <w:tcPr>
            <w:tcW w:w="4820" w:type="dxa"/>
            <w:shd w:val="clear" w:color="auto" w:fill="FFFFFF" w:themeFill="background1"/>
            <w:vAlign w:val="center"/>
          </w:tcPr>
          <w:p w14:paraId="5B960DC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青海光通信材料工程技术研究中心有限公司</w:t>
            </w:r>
          </w:p>
        </w:tc>
        <w:tc>
          <w:tcPr>
            <w:tcW w:w="4820" w:type="dxa"/>
            <w:shd w:val="clear" w:color="auto" w:fill="FFFFFF" w:themeFill="background1"/>
            <w:vAlign w:val="center"/>
          </w:tcPr>
          <w:p w14:paraId="269C841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3A78ACB6" w14:textId="77777777" w:rsidTr="004A771F">
        <w:trPr>
          <w:trHeight w:val="240"/>
        </w:trPr>
        <w:tc>
          <w:tcPr>
            <w:tcW w:w="4820" w:type="dxa"/>
            <w:shd w:val="clear" w:color="auto" w:fill="FFFFFF" w:themeFill="background1"/>
            <w:vAlign w:val="center"/>
          </w:tcPr>
          <w:p w14:paraId="4F5347C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辽宁中德电缆有限公司</w:t>
            </w:r>
          </w:p>
        </w:tc>
        <w:tc>
          <w:tcPr>
            <w:tcW w:w="4820" w:type="dxa"/>
            <w:shd w:val="clear" w:color="auto" w:fill="FFFFFF" w:themeFill="background1"/>
            <w:vAlign w:val="center"/>
          </w:tcPr>
          <w:p w14:paraId="48F6ADD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15%</w:t>
            </w:r>
          </w:p>
        </w:tc>
      </w:tr>
      <w:tr w:rsidR="00632E5B" w14:paraId="786A0EAD" w14:textId="77777777" w:rsidTr="004A771F">
        <w:trPr>
          <w:trHeight w:val="240"/>
        </w:trPr>
        <w:tc>
          <w:tcPr>
            <w:tcW w:w="4820" w:type="dxa"/>
            <w:shd w:val="clear" w:color="auto" w:fill="FFFFFF" w:themeFill="background1"/>
            <w:vAlign w:val="center"/>
          </w:tcPr>
          <w:p w14:paraId="4286892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中利集团（香港）有限公司</w:t>
            </w:r>
          </w:p>
        </w:tc>
        <w:tc>
          <w:tcPr>
            <w:tcW w:w="4820" w:type="dxa"/>
            <w:shd w:val="clear" w:color="auto" w:fill="FFFFFF" w:themeFill="background1"/>
            <w:vAlign w:val="center"/>
          </w:tcPr>
          <w:p w14:paraId="3E48582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按照当地法律法规缴纳所得税</w:t>
            </w:r>
          </w:p>
        </w:tc>
      </w:tr>
      <w:tr w:rsidR="00632E5B" w14:paraId="07C7892E" w14:textId="77777777" w:rsidTr="004A771F">
        <w:trPr>
          <w:trHeight w:val="240"/>
        </w:trPr>
        <w:tc>
          <w:tcPr>
            <w:tcW w:w="4820" w:type="dxa"/>
            <w:shd w:val="clear" w:color="auto" w:fill="FFFFFF" w:themeFill="background1"/>
            <w:vAlign w:val="center"/>
          </w:tcPr>
          <w:p w14:paraId="17C20C7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苏州众利线缆有限公司</w:t>
            </w:r>
          </w:p>
        </w:tc>
        <w:tc>
          <w:tcPr>
            <w:tcW w:w="4820" w:type="dxa"/>
            <w:shd w:val="clear" w:color="auto" w:fill="FFFFFF" w:themeFill="background1"/>
            <w:vAlign w:val="center"/>
          </w:tcPr>
          <w:p w14:paraId="0A660B2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5F02199E" w14:textId="77777777" w:rsidTr="004A771F">
        <w:trPr>
          <w:trHeight w:val="240"/>
        </w:trPr>
        <w:tc>
          <w:tcPr>
            <w:tcW w:w="4820" w:type="dxa"/>
            <w:shd w:val="clear" w:color="auto" w:fill="FFFFFF" w:themeFill="background1"/>
            <w:vAlign w:val="center"/>
          </w:tcPr>
          <w:p w14:paraId="0CE6564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常熟拓宏光电科技有限公司</w:t>
            </w:r>
          </w:p>
        </w:tc>
        <w:tc>
          <w:tcPr>
            <w:tcW w:w="4820" w:type="dxa"/>
            <w:shd w:val="clear" w:color="auto" w:fill="FFFFFF" w:themeFill="background1"/>
            <w:vAlign w:val="center"/>
          </w:tcPr>
          <w:p w14:paraId="7B89580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25%</w:t>
            </w:r>
          </w:p>
        </w:tc>
      </w:tr>
      <w:tr w:rsidR="00632E5B" w14:paraId="6B35D8F0" w14:textId="77777777" w:rsidTr="004A771F">
        <w:trPr>
          <w:trHeight w:val="240"/>
        </w:trPr>
        <w:tc>
          <w:tcPr>
            <w:tcW w:w="4820" w:type="dxa"/>
            <w:shd w:val="clear" w:color="auto" w:fill="FFFFFF" w:themeFill="background1"/>
            <w:vAlign w:val="center"/>
          </w:tcPr>
          <w:p w14:paraId="6E9DBAF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苏州腾晖光伏技术有限公司</w:t>
            </w:r>
          </w:p>
        </w:tc>
        <w:tc>
          <w:tcPr>
            <w:tcW w:w="4820" w:type="dxa"/>
            <w:shd w:val="clear" w:color="auto" w:fill="FFFFFF" w:themeFill="background1"/>
            <w:vAlign w:val="center"/>
          </w:tcPr>
          <w:p w14:paraId="341A2CC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25%</w:t>
            </w:r>
          </w:p>
        </w:tc>
      </w:tr>
      <w:tr w:rsidR="00632E5B" w14:paraId="26454CDC" w14:textId="77777777" w:rsidTr="004A771F">
        <w:trPr>
          <w:trHeight w:val="240"/>
        </w:trPr>
        <w:tc>
          <w:tcPr>
            <w:tcW w:w="4820" w:type="dxa"/>
            <w:shd w:val="clear" w:color="auto" w:fill="FFFFFF" w:themeFill="background1"/>
            <w:vAlign w:val="center"/>
          </w:tcPr>
          <w:p w14:paraId="0BD063E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中利腾晖（吐鲁番）光伏新材料有限责任公司</w:t>
            </w:r>
          </w:p>
        </w:tc>
        <w:tc>
          <w:tcPr>
            <w:tcW w:w="4820" w:type="dxa"/>
            <w:shd w:val="clear" w:color="auto" w:fill="FFFFFF" w:themeFill="background1"/>
            <w:vAlign w:val="center"/>
          </w:tcPr>
          <w:p w14:paraId="549654F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413C36A3" w14:textId="77777777" w:rsidTr="004A771F">
        <w:trPr>
          <w:trHeight w:val="240"/>
        </w:trPr>
        <w:tc>
          <w:tcPr>
            <w:tcW w:w="4820" w:type="dxa"/>
            <w:shd w:val="clear" w:color="auto" w:fill="FFFFFF" w:themeFill="background1"/>
            <w:vAlign w:val="center"/>
          </w:tcPr>
          <w:p w14:paraId="4BA26D5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苏州中利腾晖贸易有限公司</w:t>
            </w:r>
          </w:p>
        </w:tc>
        <w:tc>
          <w:tcPr>
            <w:tcW w:w="4820" w:type="dxa"/>
            <w:shd w:val="clear" w:color="auto" w:fill="FFFFFF" w:themeFill="background1"/>
            <w:vAlign w:val="center"/>
          </w:tcPr>
          <w:p w14:paraId="3148644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167B3519" w14:textId="77777777" w:rsidTr="004A771F">
        <w:trPr>
          <w:trHeight w:val="240"/>
        </w:trPr>
        <w:tc>
          <w:tcPr>
            <w:tcW w:w="4820" w:type="dxa"/>
            <w:shd w:val="clear" w:color="auto" w:fill="FFFFFF" w:themeFill="background1"/>
            <w:vAlign w:val="center"/>
          </w:tcPr>
          <w:p w14:paraId="3E08D73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青海腾辉新能源有限公司</w:t>
            </w:r>
          </w:p>
        </w:tc>
        <w:tc>
          <w:tcPr>
            <w:tcW w:w="4820" w:type="dxa"/>
            <w:shd w:val="clear" w:color="auto" w:fill="FFFFFF" w:themeFill="background1"/>
            <w:vAlign w:val="center"/>
          </w:tcPr>
          <w:p w14:paraId="743453A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3F6BF146" w14:textId="77777777" w:rsidTr="004A771F">
        <w:trPr>
          <w:trHeight w:val="240"/>
        </w:trPr>
        <w:tc>
          <w:tcPr>
            <w:tcW w:w="4820" w:type="dxa"/>
            <w:shd w:val="clear" w:color="auto" w:fill="FFFFFF" w:themeFill="background1"/>
            <w:vAlign w:val="center"/>
          </w:tcPr>
          <w:p w14:paraId="0FB0AF5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lastRenderedPageBreak/>
              <w:t>常熟宏达光伏电站开发有限公司</w:t>
            </w:r>
          </w:p>
        </w:tc>
        <w:tc>
          <w:tcPr>
            <w:tcW w:w="4820" w:type="dxa"/>
            <w:shd w:val="clear" w:color="auto" w:fill="FFFFFF" w:themeFill="background1"/>
            <w:vAlign w:val="center"/>
          </w:tcPr>
          <w:p w14:paraId="08444DD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2BA291A2" w14:textId="77777777" w:rsidTr="004A771F">
        <w:trPr>
          <w:trHeight w:val="240"/>
        </w:trPr>
        <w:tc>
          <w:tcPr>
            <w:tcW w:w="4820" w:type="dxa"/>
            <w:shd w:val="clear" w:color="auto" w:fill="FFFFFF" w:themeFill="background1"/>
            <w:vAlign w:val="center"/>
          </w:tcPr>
          <w:p w14:paraId="2B13EA0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常熟宏晖光伏电站开发有限公司</w:t>
            </w:r>
          </w:p>
        </w:tc>
        <w:tc>
          <w:tcPr>
            <w:tcW w:w="4820" w:type="dxa"/>
            <w:shd w:val="clear" w:color="auto" w:fill="FFFFFF" w:themeFill="background1"/>
            <w:vAlign w:val="center"/>
          </w:tcPr>
          <w:p w14:paraId="360652C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4D1114AE" w14:textId="77777777" w:rsidTr="004A771F">
        <w:trPr>
          <w:trHeight w:val="240"/>
        </w:trPr>
        <w:tc>
          <w:tcPr>
            <w:tcW w:w="4820" w:type="dxa"/>
            <w:shd w:val="clear" w:color="auto" w:fill="FFFFFF" w:themeFill="background1"/>
            <w:vAlign w:val="center"/>
          </w:tcPr>
          <w:p w14:paraId="16B9B89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常熟宏鼎光伏电站开发有限公司</w:t>
            </w:r>
          </w:p>
        </w:tc>
        <w:tc>
          <w:tcPr>
            <w:tcW w:w="4820" w:type="dxa"/>
            <w:shd w:val="clear" w:color="auto" w:fill="FFFFFF" w:themeFill="background1"/>
            <w:vAlign w:val="center"/>
          </w:tcPr>
          <w:p w14:paraId="6DEA357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475C1424" w14:textId="77777777" w:rsidTr="004A771F">
        <w:trPr>
          <w:trHeight w:val="240"/>
        </w:trPr>
        <w:tc>
          <w:tcPr>
            <w:tcW w:w="4820" w:type="dxa"/>
            <w:shd w:val="clear" w:color="auto" w:fill="FFFFFF" w:themeFill="background1"/>
            <w:vAlign w:val="center"/>
          </w:tcPr>
          <w:p w14:paraId="23532EF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常熟宏胜光伏电站开发有限公司</w:t>
            </w:r>
          </w:p>
        </w:tc>
        <w:tc>
          <w:tcPr>
            <w:tcW w:w="4820" w:type="dxa"/>
            <w:shd w:val="clear" w:color="auto" w:fill="FFFFFF" w:themeFill="background1"/>
            <w:vAlign w:val="center"/>
          </w:tcPr>
          <w:p w14:paraId="493D150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620C98A8" w14:textId="77777777" w:rsidTr="004A771F">
        <w:trPr>
          <w:trHeight w:val="240"/>
        </w:trPr>
        <w:tc>
          <w:tcPr>
            <w:tcW w:w="4820" w:type="dxa"/>
            <w:shd w:val="clear" w:color="auto" w:fill="FFFFFF" w:themeFill="background1"/>
            <w:vAlign w:val="center"/>
          </w:tcPr>
          <w:p w14:paraId="327D932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常熟耀硕光伏电站开发有限公司</w:t>
            </w:r>
          </w:p>
        </w:tc>
        <w:tc>
          <w:tcPr>
            <w:tcW w:w="4820" w:type="dxa"/>
            <w:shd w:val="clear" w:color="auto" w:fill="FFFFFF" w:themeFill="background1"/>
            <w:vAlign w:val="center"/>
          </w:tcPr>
          <w:p w14:paraId="168406F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4D1B7343" w14:textId="77777777" w:rsidTr="004A771F">
        <w:trPr>
          <w:trHeight w:val="240"/>
        </w:trPr>
        <w:tc>
          <w:tcPr>
            <w:tcW w:w="4820" w:type="dxa"/>
            <w:shd w:val="clear" w:color="auto" w:fill="FFFFFF" w:themeFill="background1"/>
            <w:vAlign w:val="center"/>
          </w:tcPr>
          <w:p w14:paraId="18495E3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常熟耀创光伏电站开发有限公司</w:t>
            </w:r>
          </w:p>
        </w:tc>
        <w:tc>
          <w:tcPr>
            <w:tcW w:w="4820" w:type="dxa"/>
            <w:shd w:val="clear" w:color="auto" w:fill="FFFFFF" w:themeFill="background1"/>
            <w:vAlign w:val="center"/>
          </w:tcPr>
          <w:p w14:paraId="51AF4CA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34E22C59" w14:textId="77777777" w:rsidTr="004A771F">
        <w:trPr>
          <w:trHeight w:val="240"/>
        </w:trPr>
        <w:tc>
          <w:tcPr>
            <w:tcW w:w="4820" w:type="dxa"/>
            <w:shd w:val="clear" w:color="auto" w:fill="FFFFFF" w:themeFill="background1"/>
            <w:vAlign w:val="center"/>
          </w:tcPr>
          <w:p w14:paraId="3121A2B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常熟顺晖光伏电站开发有限公司</w:t>
            </w:r>
          </w:p>
        </w:tc>
        <w:tc>
          <w:tcPr>
            <w:tcW w:w="4820" w:type="dxa"/>
            <w:shd w:val="clear" w:color="auto" w:fill="FFFFFF" w:themeFill="background1"/>
            <w:vAlign w:val="center"/>
          </w:tcPr>
          <w:p w14:paraId="726C03F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255DAE2A" w14:textId="77777777" w:rsidTr="004A771F">
        <w:trPr>
          <w:trHeight w:val="240"/>
        </w:trPr>
        <w:tc>
          <w:tcPr>
            <w:tcW w:w="4820" w:type="dxa"/>
            <w:shd w:val="clear" w:color="auto" w:fill="FFFFFF" w:themeFill="background1"/>
            <w:vAlign w:val="center"/>
          </w:tcPr>
          <w:p w14:paraId="63CC1C9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常熟拓泰光伏电站开发有限公司</w:t>
            </w:r>
          </w:p>
        </w:tc>
        <w:tc>
          <w:tcPr>
            <w:tcW w:w="4820" w:type="dxa"/>
            <w:shd w:val="clear" w:color="auto" w:fill="FFFFFF" w:themeFill="background1"/>
            <w:vAlign w:val="center"/>
          </w:tcPr>
          <w:p w14:paraId="2871808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10A2CD34" w14:textId="77777777" w:rsidTr="004A771F">
        <w:trPr>
          <w:trHeight w:val="240"/>
        </w:trPr>
        <w:tc>
          <w:tcPr>
            <w:tcW w:w="4820" w:type="dxa"/>
            <w:shd w:val="clear" w:color="auto" w:fill="FFFFFF" w:themeFill="background1"/>
            <w:vAlign w:val="center"/>
          </w:tcPr>
          <w:p w14:paraId="15EF4E4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常熟诚利光伏电站开发有限公司</w:t>
            </w:r>
          </w:p>
        </w:tc>
        <w:tc>
          <w:tcPr>
            <w:tcW w:w="4820" w:type="dxa"/>
            <w:shd w:val="clear" w:color="auto" w:fill="FFFFFF" w:themeFill="background1"/>
            <w:vAlign w:val="center"/>
          </w:tcPr>
          <w:p w14:paraId="189B15D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5A88F626" w14:textId="77777777" w:rsidTr="004A771F">
        <w:trPr>
          <w:trHeight w:val="240"/>
        </w:trPr>
        <w:tc>
          <w:tcPr>
            <w:tcW w:w="4820" w:type="dxa"/>
            <w:shd w:val="clear" w:color="auto" w:fill="FFFFFF" w:themeFill="background1"/>
            <w:vAlign w:val="center"/>
          </w:tcPr>
          <w:p w14:paraId="50A6F86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常熟创基光伏电站开发有限公司</w:t>
            </w:r>
          </w:p>
        </w:tc>
        <w:tc>
          <w:tcPr>
            <w:tcW w:w="4820" w:type="dxa"/>
            <w:shd w:val="clear" w:color="auto" w:fill="FFFFFF" w:themeFill="background1"/>
            <w:vAlign w:val="center"/>
          </w:tcPr>
          <w:p w14:paraId="3094E10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1B13A7B9" w14:textId="77777777" w:rsidTr="004A771F">
        <w:trPr>
          <w:trHeight w:val="240"/>
        </w:trPr>
        <w:tc>
          <w:tcPr>
            <w:tcW w:w="4820" w:type="dxa"/>
            <w:shd w:val="clear" w:color="auto" w:fill="FFFFFF" w:themeFill="background1"/>
            <w:vAlign w:val="center"/>
          </w:tcPr>
          <w:p w14:paraId="5357E34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常熟创杰光伏电站开发有限公司</w:t>
            </w:r>
          </w:p>
        </w:tc>
        <w:tc>
          <w:tcPr>
            <w:tcW w:w="4820" w:type="dxa"/>
            <w:shd w:val="clear" w:color="auto" w:fill="FFFFFF" w:themeFill="background1"/>
            <w:vAlign w:val="center"/>
          </w:tcPr>
          <w:p w14:paraId="6DB6DB9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3E8637B6" w14:textId="77777777" w:rsidTr="004A771F">
        <w:trPr>
          <w:trHeight w:val="240"/>
        </w:trPr>
        <w:tc>
          <w:tcPr>
            <w:tcW w:w="4820" w:type="dxa"/>
            <w:shd w:val="clear" w:color="auto" w:fill="FFFFFF" w:themeFill="background1"/>
            <w:vAlign w:val="center"/>
          </w:tcPr>
          <w:p w14:paraId="5C16129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常熟盛晖光伏技术有限公司</w:t>
            </w:r>
          </w:p>
        </w:tc>
        <w:tc>
          <w:tcPr>
            <w:tcW w:w="4820" w:type="dxa"/>
            <w:shd w:val="clear" w:color="auto" w:fill="FFFFFF" w:themeFill="background1"/>
            <w:vAlign w:val="center"/>
          </w:tcPr>
          <w:p w14:paraId="55D3EF0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23FCA061" w14:textId="77777777" w:rsidTr="004A771F">
        <w:trPr>
          <w:trHeight w:val="240"/>
        </w:trPr>
        <w:tc>
          <w:tcPr>
            <w:tcW w:w="4820" w:type="dxa"/>
            <w:shd w:val="clear" w:color="auto" w:fill="FFFFFF" w:themeFill="background1"/>
            <w:vAlign w:val="center"/>
          </w:tcPr>
          <w:p w14:paraId="3E141C3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成都玄晖电力工程设计有限公司</w:t>
            </w:r>
          </w:p>
        </w:tc>
        <w:tc>
          <w:tcPr>
            <w:tcW w:w="4820" w:type="dxa"/>
            <w:shd w:val="clear" w:color="auto" w:fill="FFFFFF" w:themeFill="background1"/>
            <w:vAlign w:val="center"/>
          </w:tcPr>
          <w:p w14:paraId="248BD87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7015473A" w14:textId="77777777" w:rsidTr="004A771F">
        <w:trPr>
          <w:trHeight w:val="240"/>
        </w:trPr>
        <w:tc>
          <w:tcPr>
            <w:tcW w:w="4820" w:type="dxa"/>
            <w:shd w:val="clear" w:color="auto" w:fill="FFFFFF" w:themeFill="background1"/>
            <w:vAlign w:val="center"/>
          </w:tcPr>
          <w:p w14:paraId="2DA17DD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民权永晖新能源技术服务有限公司</w:t>
            </w:r>
          </w:p>
        </w:tc>
        <w:tc>
          <w:tcPr>
            <w:tcW w:w="4820" w:type="dxa"/>
            <w:shd w:val="clear" w:color="auto" w:fill="FFFFFF" w:themeFill="background1"/>
            <w:vAlign w:val="center"/>
          </w:tcPr>
          <w:p w14:paraId="276530F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17CC72E3" w14:textId="77777777" w:rsidTr="004A771F">
        <w:trPr>
          <w:trHeight w:val="240"/>
        </w:trPr>
        <w:tc>
          <w:tcPr>
            <w:tcW w:w="4820" w:type="dxa"/>
            <w:shd w:val="clear" w:color="auto" w:fill="FFFFFF" w:themeFill="background1"/>
            <w:vAlign w:val="center"/>
          </w:tcPr>
          <w:p w14:paraId="7B5A7CC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江苏腾晖农业产业研究有限公司</w:t>
            </w:r>
          </w:p>
        </w:tc>
        <w:tc>
          <w:tcPr>
            <w:tcW w:w="4820" w:type="dxa"/>
            <w:shd w:val="clear" w:color="auto" w:fill="FFFFFF" w:themeFill="background1"/>
            <w:vAlign w:val="center"/>
          </w:tcPr>
          <w:p w14:paraId="59727A5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4C523D18" w14:textId="77777777" w:rsidTr="004A771F">
        <w:trPr>
          <w:trHeight w:val="240"/>
        </w:trPr>
        <w:tc>
          <w:tcPr>
            <w:tcW w:w="4820" w:type="dxa"/>
            <w:shd w:val="clear" w:color="auto" w:fill="FFFFFF" w:themeFill="background1"/>
            <w:vAlign w:val="center"/>
          </w:tcPr>
          <w:p w14:paraId="19603E0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山阳昌荣腾晖新能源发电有限公司</w:t>
            </w:r>
          </w:p>
        </w:tc>
        <w:tc>
          <w:tcPr>
            <w:tcW w:w="4820" w:type="dxa"/>
            <w:shd w:val="clear" w:color="auto" w:fill="FFFFFF" w:themeFill="background1"/>
            <w:vAlign w:val="center"/>
          </w:tcPr>
          <w:p w14:paraId="1C38DBB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44E25F09" w14:textId="77777777" w:rsidTr="004A771F">
        <w:trPr>
          <w:trHeight w:val="240"/>
        </w:trPr>
        <w:tc>
          <w:tcPr>
            <w:tcW w:w="4820" w:type="dxa"/>
            <w:shd w:val="clear" w:color="auto" w:fill="FFFFFF" w:themeFill="background1"/>
            <w:vAlign w:val="center"/>
          </w:tcPr>
          <w:p w14:paraId="09FEA95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丰宁满族自治县中晖光伏发电有限公司</w:t>
            </w:r>
          </w:p>
        </w:tc>
        <w:tc>
          <w:tcPr>
            <w:tcW w:w="4820" w:type="dxa"/>
            <w:shd w:val="clear" w:color="auto" w:fill="FFFFFF" w:themeFill="background1"/>
            <w:vAlign w:val="center"/>
          </w:tcPr>
          <w:p w14:paraId="09B376D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2C01132E" w14:textId="77777777" w:rsidTr="004A771F">
        <w:trPr>
          <w:trHeight w:val="240"/>
        </w:trPr>
        <w:tc>
          <w:tcPr>
            <w:tcW w:w="4820" w:type="dxa"/>
            <w:shd w:val="clear" w:color="auto" w:fill="FFFFFF" w:themeFill="background1"/>
            <w:vAlign w:val="center"/>
          </w:tcPr>
          <w:p w14:paraId="3B64A2B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承德县腾晖光伏发电有限公司</w:t>
            </w:r>
          </w:p>
        </w:tc>
        <w:tc>
          <w:tcPr>
            <w:tcW w:w="4820" w:type="dxa"/>
            <w:shd w:val="clear" w:color="auto" w:fill="FFFFFF" w:themeFill="background1"/>
            <w:vAlign w:val="center"/>
          </w:tcPr>
          <w:p w14:paraId="1EC2A35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72E76C28" w14:textId="77777777" w:rsidTr="004A771F">
        <w:trPr>
          <w:trHeight w:val="240"/>
        </w:trPr>
        <w:tc>
          <w:tcPr>
            <w:tcW w:w="4820" w:type="dxa"/>
            <w:shd w:val="clear" w:color="auto" w:fill="FFFFFF" w:themeFill="background1"/>
            <w:vAlign w:val="center"/>
          </w:tcPr>
          <w:p w14:paraId="404985A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略阳昌兴腾晖电力技术有限公司</w:t>
            </w:r>
          </w:p>
        </w:tc>
        <w:tc>
          <w:tcPr>
            <w:tcW w:w="4820" w:type="dxa"/>
            <w:shd w:val="clear" w:color="auto" w:fill="FFFFFF" w:themeFill="background1"/>
            <w:vAlign w:val="center"/>
          </w:tcPr>
          <w:p w14:paraId="5F985AF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4FCE2E23" w14:textId="77777777" w:rsidTr="004A771F">
        <w:trPr>
          <w:trHeight w:val="240"/>
        </w:trPr>
        <w:tc>
          <w:tcPr>
            <w:tcW w:w="4820" w:type="dxa"/>
            <w:shd w:val="clear" w:color="auto" w:fill="FFFFFF" w:themeFill="background1"/>
            <w:vAlign w:val="center"/>
          </w:tcPr>
          <w:p w14:paraId="332D28F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苏州腾晖拓毅电力技术有限公司</w:t>
            </w:r>
          </w:p>
        </w:tc>
        <w:tc>
          <w:tcPr>
            <w:tcW w:w="4820" w:type="dxa"/>
            <w:shd w:val="clear" w:color="auto" w:fill="FFFFFF" w:themeFill="background1"/>
            <w:vAlign w:val="center"/>
          </w:tcPr>
          <w:p w14:paraId="6689CEC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23BB22F7" w14:textId="77777777" w:rsidTr="004A771F">
        <w:trPr>
          <w:trHeight w:val="240"/>
        </w:trPr>
        <w:tc>
          <w:tcPr>
            <w:tcW w:w="4820" w:type="dxa"/>
            <w:shd w:val="clear" w:color="auto" w:fill="FFFFFF" w:themeFill="background1"/>
            <w:vAlign w:val="center"/>
          </w:tcPr>
          <w:p w14:paraId="33CCD50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苏州腾晖中南电力技术有限公司</w:t>
            </w:r>
          </w:p>
        </w:tc>
        <w:tc>
          <w:tcPr>
            <w:tcW w:w="4820" w:type="dxa"/>
            <w:shd w:val="clear" w:color="auto" w:fill="FFFFFF" w:themeFill="background1"/>
            <w:vAlign w:val="center"/>
          </w:tcPr>
          <w:p w14:paraId="5414242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7E85F06A" w14:textId="77777777" w:rsidTr="004A771F">
        <w:trPr>
          <w:trHeight w:val="240"/>
        </w:trPr>
        <w:tc>
          <w:tcPr>
            <w:tcW w:w="4820" w:type="dxa"/>
            <w:shd w:val="clear" w:color="auto" w:fill="FFFFFF" w:themeFill="background1"/>
            <w:vAlign w:val="center"/>
          </w:tcPr>
          <w:p w14:paraId="5D3925C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苏州腾晖能投电力技术有限公司</w:t>
            </w:r>
          </w:p>
        </w:tc>
        <w:tc>
          <w:tcPr>
            <w:tcW w:w="4820" w:type="dxa"/>
            <w:shd w:val="clear" w:color="auto" w:fill="FFFFFF" w:themeFill="background1"/>
            <w:vAlign w:val="center"/>
          </w:tcPr>
          <w:p w14:paraId="746C6C5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00B68E4B" w14:textId="77777777" w:rsidTr="004A771F">
        <w:trPr>
          <w:trHeight w:val="240"/>
        </w:trPr>
        <w:tc>
          <w:tcPr>
            <w:tcW w:w="4820" w:type="dxa"/>
            <w:shd w:val="clear" w:color="auto" w:fill="FFFFFF" w:themeFill="background1"/>
            <w:vAlign w:val="center"/>
          </w:tcPr>
          <w:p w14:paraId="7365216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山东腾晖电力技术有限公司</w:t>
            </w:r>
          </w:p>
        </w:tc>
        <w:tc>
          <w:tcPr>
            <w:tcW w:w="4820" w:type="dxa"/>
            <w:shd w:val="clear" w:color="auto" w:fill="FFFFFF" w:themeFill="background1"/>
            <w:vAlign w:val="center"/>
          </w:tcPr>
          <w:p w14:paraId="09BF088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25%</w:t>
            </w:r>
          </w:p>
        </w:tc>
      </w:tr>
      <w:tr w:rsidR="00632E5B" w14:paraId="51985C58" w14:textId="77777777" w:rsidTr="004A771F">
        <w:trPr>
          <w:trHeight w:val="240"/>
        </w:trPr>
        <w:tc>
          <w:tcPr>
            <w:tcW w:w="4820" w:type="dxa"/>
            <w:shd w:val="clear" w:color="auto" w:fill="FFFFFF" w:themeFill="background1"/>
            <w:vAlign w:val="center"/>
          </w:tcPr>
          <w:p w14:paraId="767D7AA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中利腾晖（扬州）新能源科技有限公司</w:t>
            </w:r>
          </w:p>
        </w:tc>
        <w:tc>
          <w:tcPr>
            <w:tcW w:w="4820" w:type="dxa"/>
            <w:shd w:val="clear" w:color="auto" w:fill="FFFFFF" w:themeFill="background1"/>
            <w:vAlign w:val="center"/>
          </w:tcPr>
          <w:p w14:paraId="46D76DB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402405C4" w14:textId="77777777" w:rsidTr="004A771F">
        <w:trPr>
          <w:trHeight w:val="240"/>
        </w:trPr>
        <w:tc>
          <w:tcPr>
            <w:tcW w:w="4820" w:type="dxa"/>
            <w:shd w:val="clear" w:color="auto" w:fill="FFFFFF" w:themeFill="background1"/>
            <w:vAlign w:val="center"/>
          </w:tcPr>
          <w:p w14:paraId="5D1B808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赤峰新晖光伏发电有限公司</w:t>
            </w:r>
          </w:p>
        </w:tc>
        <w:tc>
          <w:tcPr>
            <w:tcW w:w="4820" w:type="dxa"/>
            <w:shd w:val="clear" w:color="auto" w:fill="FFFFFF" w:themeFill="background1"/>
            <w:vAlign w:val="center"/>
          </w:tcPr>
          <w:p w14:paraId="031E656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508FE18F" w14:textId="77777777" w:rsidTr="004A771F">
        <w:trPr>
          <w:trHeight w:val="240"/>
        </w:trPr>
        <w:tc>
          <w:tcPr>
            <w:tcW w:w="4820" w:type="dxa"/>
            <w:shd w:val="clear" w:color="auto" w:fill="FFFFFF" w:themeFill="background1"/>
            <w:vAlign w:val="center"/>
          </w:tcPr>
          <w:p w14:paraId="40FE0DA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南昌讯晖光伏技术有限公司</w:t>
            </w:r>
          </w:p>
        </w:tc>
        <w:tc>
          <w:tcPr>
            <w:tcW w:w="4820" w:type="dxa"/>
            <w:shd w:val="clear" w:color="auto" w:fill="FFFFFF" w:themeFill="background1"/>
            <w:vAlign w:val="center"/>
          </w:tcPr>
          <w:p w14:paraId="6D5E2A7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3C7426FB" w14:textId="77777777" w:rsidTr="004A771F">
        <w:trPr>
          <w:trHeight w:val="240"/>
        </w:trPr>
        <w:tc>
          <w:tcPr>
            <w:tcW w:w="4820" w:type="dxa"/>
            <w:shd w:val="clear" w:color="auto" w:fill="FFFFFF" w:themeFill="background1"/>
            <w:vAlign w:val="center"/>
          </w:tcPr>
          <w:p w14:paraId="3ACD0BF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太和县拓晖光伏发电有限责任公司</w:t>
            </w:r>
          </w:p>
        </w:tc>
        <w:tc>
          <w:tcPr>
            <w:tcW w:w="4820" w:type="dxa"/>
            <w:shd w:val="clear" w:color="auto" w:fill="FFFFFF" w:themeFill="background1"/>
            <w:vAlign w:val="center"/>
          </w:tcPr>
          <w:p w14:paraId="67517EA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0E52D309" w14:textId="77777777" w:rsidTr="004A771F">
        <w:trPr>
          <w:trHeight w:val="240"/>
        </w:trPr>
        <w:tc>
          <w:tcPr>
            <w:tcW w:w="4820" w:type="dxa"/>
            <w:shd w:val="clear" w:color="auto" w:fill="FFFFFF" w:themeFill="background1"/>
            <w:vAlign w:val="center"/>
          </w:tcPr>
          <w:p w14:paraId="4F08370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腾优光伏科技（苏州）有限公司</w:t>
            </w:r>
          </w:p>
        </w:tc>
        <w:tc>
          <w:tcPr>
            <w:tcW w:w="4820" w:type="dxa"/>
            <w:shd w:val="clear" w:color="auto" w:fill="FFFFFF" w:themeFill="background1"/>
            <w:vAlign w:val="center"/>
          </w:tcPr>
          <w:p w14:paraId="0933410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2815640F" w14:textId="77777777" w:rsidTr="004A771F">
        <w:trPr>
          <w:trHeight w:val="240"/>
        </w:trPr>
        <w:tc>
          <w:tcPr>
            <w:tcW w:w="4820" w:type="dxa"/>
            <w:shd w:val="clear" w:color="auto" w:fill="FFFFFF" w:themeFill="background1"/>
            <w:vAlign w:val="center"/>
          </w:tcPr>
          <w:p w14:paraId="1A76AEC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苏州腾晖家能光伏电力有限公司</w:t>
            </w:r>
          </w:p>
        </w:tc>
        <w:tc>
          <w:tcPr>
            <w:tcW w:w="4820" w:type="dxa"/>
            <w:shd w:val="clear" w:color="auto" w:fill="FFFFFF" w:themeFill="background1"/>
            <w:vAlign w:val="center"/>
          </w:tcPr>
          <w:p w14:paraId="561CC09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09B56102" w14:textId="77777777" w:rsidTr="004A771F">
        <w:trPr>
          <w:trHeight w:val="240"/>
        </w:trPr>
        <w:tc>
          <w:tcPr>
            <w:tcW w:w="4820" w:type="dxa"/>
            <w:shd w:val="clear" w:color="auto" w:fill="FFFFFF" w:themeFill="background1"/>
            <w:vAlign w:val="center"/>
          </w:tcPr>
          <w:p w14:paraId="57AC48F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腾晖晶优（苏州）光伏科技有限公司</w:t>
            </w:r>
          </w:p>
        </w:tc>
        <w:tc>
          <w:tcPr>
            <w:tcW w:w="4820" w:type="dxa"/>
            <w:shd w:val="clear" w:color="auto" w:fill="FFFFFF" w:themeFill="background1"/>
            <w:vAlign w:val="center"/>
          </w:tcPr>
          <w:p w14:paraId="0777604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10CEB8E4" w14:textId="77777777" w:rsidTr="004A771F">
        <w:trPr>
          <w:trHeight w:val="240"/>
        </w:trPr>
        <w:tc>
          <w:tcPr>
            <w:tcW w:w="4820" w:type="dxa"/>
            <w:shd w:val="clear" w:color="auto" w:fill="FFFFFF" w:themeFill="background1"/>
            <w:vAlign w:val="center"/>
          </w:tcPr>
          <w:p w14:paraId="0E573BB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北京新晖光伏发电有限责任公司</w:t>
            </w:r>
          </w:p>
        </w:tc>
        <w:tc>
          <w:tcPr>
            <w:tcW w:w="4820" w:type="dxa"/>
            <w:shd w:val="clear" w:color="auto" w:fill="FFFFFF" w:themeFill="background1"/>
            <w:vAlign w:val="center"/>
          </w:tcPr>
          <w:p w14:paraId="439A482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5A6C9404" w14:textId="77777777" w:rsidTr="004A771F">
        <w:trPr>
          <w:trHeight w:val="240"/>
        </w:trPr>
        <w:tc>
          <w:tcPr>
            <w:tcW w:w="4820" w:type="dxa"/>
            <w:shd w:val="clear" w:color="auto" w:fill="FFFFFF" w:themeFill="background1"/>
            <w:vAlign w:val="center"/>
          </w:tcPr>
          <w:p w14:paraId="6597C98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常州中旭光伏有限公司</w:t>
            </w:r>
          </w:p>
        </w:tc>
        <w:tc>
          <w:tcPr>
            <w:tcW w:w="4820" w:type="dxa"/>
            <w:shd w:val="clear" w:color="auto" w:fill="FFFFFF" w:themeFill="background1"/>
            <w:vAlign w:val="center"/>
          </w:tcPr>
          <w:p w14:paraId="0B1C5EC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3A5E2E2C" w14:textId="77777777" w:rsidTr="004A771F">
        <w:trPr>
          <w:trHeight w:val="240"/>
        </w:trPr>
        <w:tc>
          <w:tcPr>
            <w:tcW w:w="4820" w:type="dxa"/>
            <w:shd w:val="clear" w:color="auto" w:fill="FFFFFF" w:themeFill="background1"/>
            <w:vAlign w:val="center"/>
          </w:tcPr>
          <w:p w14:paraId="12773F3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兴化市戴南辉腾光伏发电有限公司</w:t>
            </w:r>
          </w:p>
        </w:tc>
        <w:tc>
          <w:tcPr>
            <w:tcW w:w="4820" w:type="dxa"/>
            <w:shd w:val="clear" w:color="auto" w:fill="FFFFFF" w:themeFill="background1"/>
            <w:vAlign w:val="center"/>
          </w:tcPr>
          <w:p w14:paraId="03C1BC3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1CA6ED86" w14:textId="77777777" w:rsidTr="004A771F">
        <w:trPr>
          <w:trHeight w:val="240"/>
        </w:trPr>
        <w:tc>
          <w:tcPr>
            <w:tcW w:w="4820" w:type="dxa"/>
            <w:shd w:val="clear" w:color="auto" w:fill="FFFFFF" w:themeFill="background1"/>
            <w:vAlign w:val="center"/>
          </w:tcPr>
          <w:p w14:paraId="4A1E1D8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中旭光伏发电（兴化）有限公司</w:t>
            </w:r>
          </w:p>
        </w:tc>
        <w:tc>
          <w:tcPr>
            <w:tcW w:w="4820" w:type="dxa"/>
            <w:shd w:val="clear" w:color="auto" w:fill="FFFFFF" w:themeFill="background1"/>
            <w:vAlign w:val="center"/>
          </w:tcPr>
          <w:p w14:paraId="0060CD0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25%</w:t>
            </w:r>
          </w:p>
        </w:tc>
      </w:tr>
      <w:tr w:rsidR="00632E5B" w14:paraId="085DE056" w14:textId="77777777" w:rsidTr="004A771F">
        <w:trPr>
          <w:trHeight w:val="240"/>
        </w:trPr>
        <w:tc>
          <w:tcPr>
            <w:tcW w:w="4820" w:type="dxa"/>
            <w:shd w:val="clear" w:color="auto" w:fill="FFFFFF" w:themeFill="background1"/>
            <w:vAlign w:val="center"/>
          </w:tcPr>
          <w:p w14:paraId="4AF2EEF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腾晖技术（泰国）有限公司</w:t>
            </w:r>
          </w:p>
        </w:tc>
        <w:tc>
          <w:tcPr>
            <w:tcW w:w="4820" w:type="dxa"/>
            <w:shd w:val="clear" w:color="auto" w:fill="FFFFFF" w:themeFill="background1"/>
            <w:vAlign w:val="center"/>
          </w:tcPr>
          <w:p w14:paraId="64C583C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按照当地法律法规缴纳所得税</w:t>
            </w:r>
          </w:p>
        </w:tc>
      </w:tr>
      <w:tr w:rsidR="00632E5B" w14:paraId="50E164AB" w14:textId="77777777" w:rsidTr="004A771F">
        <w:trPr>
          <w:trHeight w:val="240"/>
        </w:trPr>
        <w:tc>
          <w:tcPr>
            <w:tcW w:w="4820" w:type="dxa"/>
            <w:shd w:val="clear" w:color="auto" w:fill="FFFFFF" w:themeFill="background1"/>
            <w:vAlign w:val="center"/>
          </w:tcPr>
          <w:p w14:paraId="1473F1B3" w14:textId="77777777" w:rsidR="00632E5B" w:rsidRDefault="00107901">
            <w:pPr>
              <w:spacing w:line="240" w:lineRule="exact"/>
              <w:rPr>
                <w:rFonts w:ascii="宋体" w:eastAsia="宋体" w:hAnsi="宋体" w:cs="宋体" w:hint="eastAsia"/>
                <w:sz w:val="18"/>
                <w:szCs w:val="18"/>
              </w:rPr>
            </w:pPr>
            <w:proofErr w:type="spellStart"/>
            <w:r>
              <w:rPr>
                <w:rFonts w:ascii="宋体" w:eastAsia="宋体" w:hAnsi="宋体" w:cs="宋体"/>
                <w:sz w:val="18"/>
                <w:szCs w:val="18"/>
              </w:rPr>
              <w:t>Talesun</w:t>
            </w:r>
            <w:proofErr w:type="spellEnd"/>
            <w:r>
              <w:rPr>
                <w:rFonts w:ascii="宋体" w:eastAsia="宋体" w:hAnsi="宋体" w:cs="宋体"/>
                <w:sz w:val="18"/>
                <w:szCs w:val="18"/>
              </w:rPr>
              <w:t xml:space="preserve"> Greenpower Tech </w:t>
            </w:r>
            <w:proofErr w:type="spellStart"/>
            <w:r>
              <w:rPr>
                <w:rFonts w:ascii="宋体" w:eastAsia="宋体" w:hAnsi="宋体" w:cs="宋体"/>
                <w:sz w:val="18"/>
                <w:szCs w:val="18"/>
              </w:rPr>
              <w:t>co.,ltd</w:t>
            </w:r>
            <w:proofErr w:type="spellEnd"/>
          </w:p>
        </w:tc>
        <w:tc>
          <w:tcPr>
            <w:tcW w:w="4820" w:type="dxa"/>
            <w:shd w:val="clear" w:color="auto" w:fill="FFFFFF" w:themeFill="background1"/>
            <w:vAlign w:val="center"/>
          </w:tcPr>
          <w:p w14:paraId="3F0C2B2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按照当地法律法规缴纳所得税</w:t>
            </w:r>
          </w:p>
        </w:tc>
      </w:tr>
      <w:tr w:rsidR="00632E5B" w14:paraId="6C32FA9D" w14:textId="77777777" w:rsidTr="004A771F">
        <w:trPr>
          <w:trHeight w:val="240"/>
        </w:trPr>
        <w:tc>
          <w:tcPr>
            <w:tcW w:w="4820" w:type="dxa"/>
            <w:shd w:val="clear" w:color="auto" w:fill="FFFFFF" w:themeFill="background1"/>
            <w:vAlign w:val="center"/>
          </w:tcPr>
          <w:p w14:paraId="71DFCF9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常熟创展光伏电站开发有限公司</w:t>
            </w:r>
          </w:p>
        </w:tc>
        <w:tc>
          <w:tcPr>
            <w:tcW w:w="4820" w:type="dxa"/>
            <w:shd w:val="clear" w:color="auto" w:fill="FFFFFF" w:themeFill="background1"/>
            <w:vAlign w:val="center"/>
          </w:tcPr>
          <w:p w14:paraId="322C653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50D1C981" w14:textId="77777777" w:rsidTr="004A771F">
        <w:trPr>
          <w:trHeight w:val="240"/>
        </w:trPr>
        <w:tc>
          <w:tcPr>
            <w:tcW w:w="4820" w:type="dxa"/>
            <w:shd w:val="clear" w:color="auto" w:fill="FFFFFF" w:themeFill="background1"/>
            <w:vAlign w:val="center"/>
          </w:tcPr>
          <w:p w14:paraId="7AC555D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鄄城上新光伏发电有限公司</w:t>
            </w:r>
          </w:p>
        </w:tc>
        <w:tc>
          <w:tcPr>
            <w:tcW w:w="4820" w:type="dxa"/>
            <w:shd w:val="clear" w:color="auto" w:fill="FFFFFF" w:themeFill="background1"/>
            <w:vAlign w:val="center"/>
          </w:tcPr>
          <w:p w14:paraId="7F7BF0C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25%</w:t>
            </w:r>
          </w:p>
        </w:tc>
      </w:tr>
      <w:tr w:rsidR="00632E5B" w14:paraId="5CE90484" w14:textId="77777777" w:rsidTr="004A771F">
        <w:trPr>
          <w:trHeight w:val="240"/>
        </w:trPr>
        <w:tc>
          <w:tcPr>
            <w:tcW w:w="4820" w:type="dxa"/>
            <w:shd w:val="clear" w:color="auto" w:fill="FFFFFF" w:themeFill="background1"/>
            <w:vAlign w:val="center"/>
          </w:tcPr>
          <w:p w14:paraId="1B2C3C6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常熟拓嘉光伏电站开发有限公司</w:t>
            </w:r>
          </w:p>
        </w:tc>
        <w:tc>
          <w:tcPr>
            <w:tcW w:w="4820" w:type="dxa"/>
            <w:shd w:val="clear" w:color="auto" w:fill="FFFFFF" w:themeFill="background1"/>
            <w:vAlign w:val="center"/>
          </w:tcPr>
          <w:p w14:paraId="0B15C31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w:t>
            </w:r>
          </w:p>
        </w:tc>
      </w:tr>
      <w:tr w:rsidR="00632E5B" w14:paraId="21EE53DF" w14:textId="77777777" w:rsidTr="004A771F">
        <w:trPr>
          <w:trHeight w:val="240"/>
        </w:trPr>
        <w:tc>
          <w:tcPr>
            <w:tcW w:w="4820" w:type="dxa"/>
            <w:shd w:val="clear" w:color="auto" w:fill="FFFFFF" w:themeFill="background1"/>
            <w:vAlign w:val="center"/>
          </w:tcPr>
          <w:p w14:paraId="725F35A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铁岭中晖新能源有限公司</w:t>
            </w:r>
          </w:p>
        </w:tc>
        <w:tc>
          <w:tcPr>
            <w:tcW w:w="4820" w:type="dxa"/>
            <w:shd w:val="clear" w:color="auto" w:fill="FFFFFF" w:themeFill="background1"/>
            <w:vAlign w:val="center"/>
          </w:tcPr>
          <w:p w14:paraId="4999877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25%</w:t>
            </w:r>
          </w:p>
        </w:tc>
      </w:tr>
    </w:tbl>
    <w:p w14:paraId="4F14469C" w14:textId="77777777" w:rsidR="00632E5B" w:rsidRDefault="00107901">
      <w:pPr>
        <w:pStyle w:val="3"/>
        <w:spacing w:line="280" w:lineRule="exact"/>
        <w:jc w:val="left"/>
        <w:rPr>
          <w:rFonts w:ascii="宋体" w:hAnsi="宋体" w:cs="宋体" w:hint="eastAsia"/>
          <w:b/>
          <w:bCs/>
        </w:rPr>
      </w:pPr>
      <w:bookmarkStart w:id="206" w:name="_Toc989095"/>
      <w:r>
        <w:rPr>
          <w:rFonts w:ascii="宋体" w:hAnsi="宋体" w:cs="宋体"/>
          <w:b/>
          <w:bCs/>
        </w:rPr>
        <w:t>2、税收优惠</w:t>
      </w:r>
      <w:bookmarkEnd w:id="206"/>
    </w:p>
    <w:p w14:paraId="57E5BC24" w14:textId="77777777" w:rsidR="00E72F0C" w:rsidRDefault="00107901">
      <w:pPr>
        <w:pStyle w:val="a3"/>
        <w:divId w:val="539515936"/>
        <w:rPr>
          <w:rFonts w:hint="eastAsia"/>
          <w:sz w:val="18"/>
          <w:szCs w:val="18"/>
        </w:rPr>
      </w:pPr>
      <w:r>
        <w:rPr>
          <w:rFonts w:hint="eastAsia"/>
          <w:sz w:val="18"/>
          <w:szCs w:val="18"/>
        </w:rPr>
        <w:t>  根据《中华人民共和国企业所得税法》第二十八条第二款规定，国家需要重点扶持的高新技术企业，减按15%的税率征收企业所得税。适用该优惠政策的公司明细如下：</w:t>
      </w: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1"/>
        <w:gridCol w:w="1984"/>
        <w:gridCol w:w="2410"/>
        <w:gridCol w:w="1542"/>
      </w:tblGrid>
      <w:tr w:rsidR="00E72F0C" w14:paraId="496BA3C5" w14:textId="77777777" w:rsidTr="000E7353">
        <w:trPr>
          <w:divId w:val="539515936"/>
          <w:trHeight w:val="312"/>
        </w:trPr>
        <w:tc>
          <w:tcPr>
            <w:tcW w:w="3681" w:type="dxa"/>
            <w:noWrap/>
            <w:tcMar>
              <w:top w:w="12" w:type="dxa"/>
              <w:left w:w="12" w:type="dxa"/>
              <w:bottom w:w="0" w:type="dxa"/>
              <w:right w:w="12" w:type="dxa"/>
            </w:tcMar>
            <w:vAlign w:val="center"/>
            <w:hideMark/>
          </w:tcPr>
          <w:p w14:paraId="236F9961" w14:textId="77777777" w:rsidR="00E72F0C" w:rsidRDefault="00107901">
            <w:pPr>
              <w:pStyle w:val="a3"/>
              <w:spacing w:before="0" w:beforeAutospacing="0" w:after="0" w:afterAutospacing="0"/>
              <w:jc w:val="center"/>
              <w:textAlignment w:val="center"/>
              <w:rPr>
                <w:rFonts w:ascii="Times New Roman" w:hAnsi="Times New Roman" w:cs="Times New Roman"/>
                <w:sz w:val="21"/>
                <w:szCs w:val="21"/>
              </w:rPr>
            </w:pPr>
            <w:r>
              <w:rPr>
                <w:rFonts w:cs="Times New Roman" w:hint="eastAsia"/>
                <w:color w:val="000000"/>
                <w:sz w:val="18"/>
                <w:szCs w:val="18"/>
              </w:rPr>
              <w:t>公司名称</w:t>
            </w:r>
          </w:p>
        </w:tc>
        <w:tc>
          <w:tcPr>
            <w:tcW w:w="1984" w:type="dxa"/>
            <w:noWrap/>
            <w:tcMar>
              <w:top w:w="12" w:type="dxa"/>
              <w:left w:w="12" w:type="dxa"/>
              <w:bottom w:w="0" w:type="dxa"/>
              <w:right w:w="12" w:type="dxa"/>
            </w:tcMar>
            <w:vAlign w:val="bottom"/>
            <w:hideMark/>
          </w:tcPr>
          <w:p w14:paraId="0B5BF216" w14:textId="77777777" w:rsidR="00E72F0C" w:rsidRDefault="00107901">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发证时间</w:t>
            </w:r>
          </w:p>
        </w:tc>
        <w:tc>
          <w:tcPr>
            <w:tcW w:w="2410" w:type="dxa"/>
            <w:noWrap/>
            <w:tcMar>
              <w:top w:w="12" w:type="dxa"/>
              <w:left w:w="12" w:type="dxa"/>
              <w:bottom w:w="0" w:type="dxa"/>
              <w:right w:w="12" w:type="dxa"/>
            </w:tcMar>
            <w:vAlign w:val="bottom"/>
            <w:hideMark/>
          </w:tcPr>
          <w:p w14:paraId="6162F348" w14:textId="77777777" w:rsidR="00E72F0C" w:rsidRDefault="00107901">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证书编号</w:t>
            </w:r>
          </w:p>
        </w:tc>
        <w:tc>
          <w:tcPr>
            <w:tcW w:w="1542" w:type="dxa"/>
            <w:vAlign w:val="bottom"/>
            <w:hideMark/>
          </w:tcPr>
          <w:p w14:paraId="2C1C0153" w14:textId="77777777" w:rsidR="00E72F0C" w:rsidRDefault="00107901">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有效期</w:t>
            </w:r>
          </w:p>
        </w:tc>
      </w:tr>
      <w:tr w:rsidR="00E72F0C" w14:paraId="3A21B90C" w14:textId="77777777" w:rsidTr="000E7353">
        <w:trPr>
          <w:divId w:val="539515936"/>
          <w:trHeight w:val="312"/>
        </w:trPr>
        <w:tc>
          <w:tcPr>
            <w:tcW w:w="3681" w:type="dxa"/>
            <w:noWrap/>
            <w:tcMar>
              <w:top w:w="12" w:type="dxa"/>
              <w:left w:w="12" w:type="dxa"/>
              <w:bottom w:w="0" w:type="dxa"/>
              <w:right w:w="12" w:type="dxa"/>
            </w:tcMar>
            <w:vAlign w:val="center"/>
            <w:hideMark/>
          </w:tcPr>
          <w:p w14:paraId="41769582" w14:textId="77777777" w:rsidR="00E72F0C" w:rsidRDefault="00107901">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青海中利光纤技术有限公司</w:t>
            </w:r>
          </w:p>
        </w:tc>
        <w:tc>
          <w:tcPr>
            <w:tcW w:w="1984" w:type="dxa"/>
            <w:noWrap/>
            <w:tcMar>
              <w:top w:w="12" w:type="dxa"/>
              <w:left w:w="12" w:type="dxa"/>
              <w:bottom w:w="0" w:type="dxa"/>
              <w:right w:w="12" w:type="dxa"/>
            </w:tcMar>
            <w:vAlign w:val="center"/>
            <w:hideMark/>
          </w:tcPr>
          <w:p w14:paraId="7D526700" w14:textId="77777777" w:rsidR="00E72F0C" w:rsidRDefault="00107901">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2022-11-29</w:t>
            </w:r>
          </w:p>
        </w:tc>
        <w:tc>
          <w:tcPr>
            <w:tcW w:w="2410" w:type="dxa"/>
            <w:noWrap/>
            <w:tcMar>
              <w:top w:w="12" w:type="dxa"/>
              <w:left w:w="12" w:type="dxa"/>
              <w:bottom w:w="0" w:type="dxa"/>
              <w:right w:w="12" w:type="dxa"/>
            </w:tcMar>
            <w:vAlign w:val="center"/>
            <w:hideMark/>
          </w:tcPr>
          <w:p w14:paraId="5D4675D7" w14:textId="77777777" w:rsidR="00E72F0C" w:rsidRDefault="00107901">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GR202263000062</w:t>
            </w:r>
          </w:p>
        </w:tc>
        <w:tc>
          <w:tcPr>
            <w:tcW w:w="1542" w:type="dxa"/>
            <w:vAlign w:val="center"/>
            <w:hideMark/>
          </w:tcPr>
          <w:p w14:paraId="7323A945" w14:textId="77777777" w:rsidR="00E72F0C" w:rsidRDefault="00107901">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三年</w:t>
            </w:r>
          </w:p>
        </w:tc>
      </w:tr>
      <w:tr w:rsidR="00E72F0C" w14:paraId="4792AFE8" w14:textId="77777777" w:rsidTr="000E7353">
        <w:trPr>
          <w:divId w:val="539515936"/>
          <w:trHeight w:val="312"/>
        </w:trPr>
        <w:tc>
          <w:tcPr>
            <w:tcW w:w="3681" w:type="dxa"/>
            <w:noWrap/>
            <w:tcMar>
              <w:top w:w="12" w:type="dxa"/>
              <w:left w:w="12" w:type="dxa"/>
              <w:bottom w:w="0" w:type="dxa"/>
              <w:right w:w="12" w:type="dxa"/>
            </w:tcMar>
            <w:vAlign w:val="center"/>
            <w:hideMark/>
          </w:tcPr>
          <w:p w14:paraId="3AC4DA4D" w14:textId="77777777" w:rsidR="00E72F0C" w:rsidRDefault="00107901">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辽宁中德电缆有限公司</w:t>
            </w:r>
          </w:p>
        </w:tc>
        <w:tc>
          <w:tcPr>
            <w:tcW w:w="1984" w:type="dxa"/>
            <w:noWrap/>
            <w:tcMar>
              <w:top w:w="12" w:type="dxa"/>
              <w:left w:w="12" w:type="dxa"/>
              <w:bottom w:w="0" w:type="dxa"/>
              <w:right w:w="12" w:type="dxa"/>
            </w:tcMar>
            <w:vAlign w:val="center"/>
            <w:hideMark/>
          </w:tcPr>
          <w:p w14:paraId="2CF786C1" w14:textId="77777777" w:rsidR="00E72F0C" w:rsidRDefault="00107901">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2024-11-27</w:t>
            </w:r>
          </w:p>
        </w:tc>
        <w:tc>
          <w:tcPr>
            <w:tcW w:w="2410" w:type="dxa"/>
            <w:noWrap/>
            <w:tcMar>
              <w:top w:w="12" w:type="dxa"/>
              <w:left w:w="12" w:type="dxa"/>
              <w:bottom w:w="0" w:type="dxa"/>
              <w:right w:w="12" w:type="dxa"/>
            </w:tcMar>
            <w:vAlign w:val="center"/>
            <w:hideMark/>
          </w:tcPr>
          <w:p w14:paraId="2EF9583B" w14:textId="77777777" w:rsidR="00E72F0C" w:rsidRDefault="00107901">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GR202421000217</w:t>
            </w:r>
          </w:p>
        </w:tc>
        <w:tc>
          <w:tcPr>
            <w:tcW w:w="1542" w:type="dxa"/>
            <w:vAlign w:val="center"/>
            <w:hideMark/>
          </w:tcPr>
          <w:p w14:paraId="2EBA992A" w14:textId="77777777" w:rsidR="00E72F0C" w:rsidRDefault="00107901">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三年</w:t>
            </w:r>
          </w:p>
        </w:tc>
      </w:tr>
      <w:tr w:rsidR="00E72F0C" w14:paraId="40870EE0" w14:textId="77777777" w:rsidTr="000E7353">
        <w:trPr>
          <w:divId w:val="539515936"/>
          <w:trHeight w:val="312"/>
        </w:trPr>
        <w:tc>
          <w:tcPr>
            <w:tcW w:w="3681" w:type="dxa"/>
            <w:noWrap/>
            <w:tcMar>
              <w:top w:w="12" w:type="dxa"/>
              <w:left w:w="12" w:type="dxa"/>
              <w:bottom w:w="0" w:type="dxa"/>
              <w:right w:w="12" w:type="dxa"/>
            </w:tcMar>
            <w:vAlign w:val="center"/>
            <w:hideMark/>
          </w:tcPr>
          <w:p w14:paraId="61733457" w14:textId="77777777" w:rsidR="00E72F0C" w:rsidRDefault="00107901">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常熟市中联光电新材料有限责任公司</w:t>
            </w:r>
          </w:p>
        </w:tc>
        <w:tc>
          <w:tcPr>
            <w:tcW w:w="1984" w:type="dxa"/>
            <w:noWrap/>
            <w:tcMar>
              <w:top w:w="12" w:type="dxa"/>
              <w:left w:w="12" w:type="dxa"/>
              <w:bottom w:w="0" w:type="dxa"/>
              <w:right w:w="12" w:type="dxa"/>
            </w:tcMar>
            <w:vAlign w:val="center"/>
            <w:hideMark/>
          </w:tcPr>
          <w:p w14:paraId="1BABDE60" w14:textId="77777777" w:rsidR="00E72F0C" w:rsidRDefault="00107901">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2023-11-6</w:t>
            </w:r>
          </w:p>
        </w:tc>
        <w:tc>
          <w:tcPr>
            <w:tcW w:w="2410" w:type="dxa"/>
            <w:noWrap/>
            <w:tcMar>
              <w:top w:w="12" w:type="dxa"/>
              <w:left w:w="12" w:type="dxa"/>
              <w:bottom w:w="0" w:type="dxa"/>
              <w:right w:w="12" w:type="dxa"/>
            </w:tcMar>
            <w:vAlign w:val="center"/>
            <w:hideMark/>
          </w:tcPr>
          <w:p w14:paraId="2B7ECA84" w14:textId="77777777" w:rsidR="00E72F0C" w:rsidRDefault="00107901">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GR202332006538</w:t>
            </w:r>
          </w:p>
        </w:tc>
        <w:tc>
          <w:tcPr>
            <w:tcW w:w="1542" w:type="dxa"/>
            <w:vAlign w:val="center"/>
            <w:hideMark/>
          </w:tcPr>
          <w:p w14:paraId="3A2BE1ED" w14:textId="77777777" w:rsidR="00E72F0C" w:rsidRDefault="00107901">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三年</w:t>
            </w:r>
          </w:p>
        </w:tc>
      </w:tr>
      <w:tr w:rsidR="00E72F0C" w14:paraId="09081142" w14:textId="77777777" w:rsidTr="000E7353">
        <w:trPr>
          <w:divId w:val="539515936"/>
          <w:trHeight w:val="312"/>
        </w:trPr>
        <w:tc>
          <w:tcPr>
            <w:tcW w:w="3681" w:type="dxa"/>
            <w:noWrap/>
            <w:tcMar>
              <w:top w:w="12" w:type="dxa"/>
              <w:left w:w="12" w:type="dxa"/>
              <w:bottom w:w="0" w:type="dxa"/>
              <w:right w:w="12" w:type="dxa"/>
            </w:tcMar>
            <w:vAlign w:val="center"/>
            <w:hideMark/>
          </w:tcPr>
          <w:p w14:paraId="18526FAF" w14:textId="77777777" w:rsidR="00E72F0C" w:rsidRDefault="00107901">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常熟利星光电科技有限公司</w:t>
            </w:r>
          </w:p>
        </w:tc>
        <w:tc>
          <w:tcPr>
            <w:tcW w:w="1984" w:type="dxa"/>
            <w:noWrap/>
            <w:tcMar>
              <w:top w:w="12" w:type="dxa"/>
              <w:left w:w="12" w:type="dxa"/>
              <w:bottom w:w="0" w:type="dxa"/>
              <w:right w:w="12" w:type="dxa"/>
            </w:tcMar>
            <w:vAlign w:val="center"/>
            <w:hideMark/>
          </w:tcPr>
          <w:p w14:paraId="2D934AEA" w14:textId="77777777" w:rsidR="00E72F0C" w:rsidRDefault="00107901">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2024-11-6</w:t>
            </w:r>
          </w:p>
        </w:tc>
        <w:tc>
          <w:tcPr>
            <w:tcW w:w="2410" w:type="dxa"/>
            <w:noWrap/>
            <w:tcMar>
              <w:top w:w="12" w:type="dxa"/>
              <w:left w:w="12" w:type="dxa"/>
              <w:bottom w:w="0" w:type="dxa"/>
              <w:right w:w="12" w:type="dxa"/>
            </w:tcMar>
            <w:vAlign w:val="center"/>
            <w:hideMark/>
          </w:tcPr>
          <w:p w14:paraId="06ADD1A5" w14:textId="77777777" w:rsidR="00E72F0C" w:rsidRDefault="00107901">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GR202432002101</w:t>
            </w:r>
          </w:p>
        </w:tc>
        <w:tc>
          <w:tcPr>
            <w:tcW w:w="1542" w:type="dxa"/>
            <w:vAlign w:val="center"/>
            <w:hideMark/>
          </w:tcPr>
          <w:p w14:paraId="55506A3A" w14:textId="77777777" w:rsidR="00E72F0C" w:rsidRDefault="00107901">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三年</w:t>
            </w:r>
          </w:p>
        </w:tc>
      </w:tr>
      <w:tr w:rsidR="00E72F0C" w14:paraId="79D42D48" w14:textId="77777777" w:rsidTr="000E7353">
        <w:trPr>
          <w:divId w:val="539515936"/>
          <w:trHeight w:val="312"/>
        </w:trPr>
        <w:tc>
          <w:tcPr>
            <w:tcW w:w="3681" w:type="dxa"/>
            <w:noWrap/>
            <w:tcMar>
              <w:top w:w="12" w:type="dxa"/>
              <w:left w:w="12" w:type="dxa"/>
              <w:bottom w:w="0" w:type="dxa"/>
              <w:right w:w="12" w:type="dxa"/>
            </w:tcMar>
            <w:vAlign w:val="center"/>
            <w:hideMark/>
          </w:tcPr>
          <w:p w14:paraId="158AD0D2" w14:textId="77777777" w:rsidR="00E72F0C" w:rsidRDefault="00107901">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常州船用电缆有限责任公司</w:t>
            </w:r>
          </w:p>
        </w:tc>
        <w:tc>
          <w:tcPr>
            <w:tcW w:w="1984" w:type="dxa"/>
            <w:noWrap/>
            <w:tcMar>
              <w:top w:w="12" w:type="dxa"/>
              <w:left w:w="12" w:type="dxa"/>
              <w:bottom w:w="0" w:type="dxa"/>
              <w:right w:w="12" w:type="dxa"/>
            </w:tcMar>
            <w:vAlign w:val="center"/>
            <w:hideMark/>
          </w:tcPr>
          <w:p w14:paraId="0979B27A" w14:textId="77777777" w:rsidR="00E72F0C" w:rsidRDefault="00107901">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2022-12-12</w:t>
            </w:r>
          </w:p>
        </w:tc>
        <w:tc>
          <w:tcPr>
            <w:tcW w:w="2410" w:type="dxa"/>
            <w:noWrap/>
            <w:tcMar>
              <w:top w:w="12" w:type="dxa"/>
              <w:left w:w="12" w:type="dxa"/>
              <w:bottom w:w="0" w:type="dxa"/>
              <w:right w:w="12" w:type="dxa"/>
            </w:tcMar>
            <w:vAlign w:val="center"/>
            <w:hideMark/>
          </w:tcPr>
          <w:p w14:paraId="1CC0AFEA" w14:textId="77777777" w:rsidR="00E72F0C" w:rsidRDefault="00107901">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GR202232012714</w:t>
            </w:r>
          </w:p>
        </w:tc>
        <w:tc>
          <w:tcPr>
            <w:tcW w:w="1542" w:type="dxa"/>
            <w:vAlign w:val="center"/>
            <w:hideMark/>
          </w:tcPr>
          <w:p w14:paraId="27296353" w14:textId="77777777" w:rsidR="00E72F0C" w:rsidRDefault="00107901">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三年</w:t>
            </w:r>
          </w:p>
        </w:tc>
      </w:tr>
    </w:tbl>
    <w:p w14:paraId="5BDA23F5" w14:textId="77777777" w:rsidR="00E72F0C" w:rsidRDefault="00107901" w:rsidP="00091EA9">
      <w:pPr>
        <w:pStyle w:val="a3"/>
        <w:spacing w:before="0" w:beforeAutospacing="0" w:after="0" w:afterAutospacing="0"/>
        <w:jc w:val="both"/>
        <w:divId w:val="539515936"/>
        <w:rPr>
          <w:rFonts w:hint="eastAsia"/>
          <w:sz w:val="18"/>
          <w:szCs w:val="18"/>
        </w:rPr>
      </w:pPr>
      <w:r>
        <w:rPr>
          <w:rFonts w:hint="eastAsia"/>
          <w:sz w:val="18"/>
          <w:szCs w:val="18"/>
        </w:rPr>
        <w:lastRenderedPageBreak/>
        <w:t>  根据《财政部税务总局关于进一步实施小微企业所得税优惠政策的公告》（财政部 税务总局公告2022年第13号）规定：“一、对小型微利企业年应纳税所得额超过100万元但不超过300万元的部分，减按25%计入应纳税所得额，按20%的税率缴纳企业所得税。三、本公告执行期限为2022年1月1日至2024年12月31日。”</w:t>
      </w:r>
      <w:r>
        <w:rPr>
          <w:rFonts w:hint="eastAsia"/>
          <w:sz w:val="18"/>
          <w:szCs w:val="18"/>
        </w:rPr>
        <w:br/>
        <w:t>  根据《财政部 税务总局关于小微企业和个体工商户所得税优惠政策的公告》（财政部 税务总局公告2023年第6号）规定：“一、对小型微利企业年应纳税所得额不超过100万元的部分，减按25%计入应纳税所得额，按20%的税率缴纳企业所得税。本公告执行期限为2023年1月1日至2024年12月31日”。</w:t>
      </w:r>
    </w:p>
    <w:p w14:paraId="5AA25122" w14:textId="77777777" w:rsidR="00632E5B" w:rsidRDefault="00107901">
      <w:pPr>
        <w:pStyle w:val="3"/>
        <w:spacing w:line="280" w:lineRule="exact"/>
        <w:jc w:val="left"/>
        <w:rPr>
          <w:rFonts w:ascii="宋体" w:hAnsi="宋体" w:cs="宋体" w:hint="eastAsia"/>
          <w:b/>
          <w:bCs/>
        </w:rPr>
      </w:pPr>
      <w:bookmarkStart w:id="207" w:name="_Toc989096"/>
      <w:r>
        <w:rPr>
          <w:rFonts w:ascii="宋体" w:hAnsi="宋体" w:cs="宋体"/>
          <w:b/>
          <w:bCs/>
        </w:rPr>
        <w:t>3、其他</w:t>
      </w:r>
      <w:bookmarkEnd w:id="207"/>
    </w:p>
    <w:p w14:paraId="200F6B1B" w14:textId="77777777" w:rsidR="00E72F0C" w:rsidRDefault="00107901" w:rsidP="00091EA9">
      <w:pPr>
        <w:pStyle w:val="a3"/>
        <w:spacing w:before="0" w:beforeAutospacing="0" w:after="0" w:afterAutospacing="0"/>
        <w:divId w:val="1651442825"/>
        <w:rPr>
          <w:rFonts w:hint="eastAsia"/>
          <w:sz w:val="18"/>
          <w:szCs w:val="18"/>
        </w:rPr>
      </w:pPr>
      <w:r>
        <w:rPr>
          <w:rFonts w:hint="eastAsia"/>
          <w:sz w:val="18"/>
          <w:szCs w:val="18"/>
        </w:rPr>
        <w:t>  公司国外子公司按当地规定的税种、税率缴纳相关税收。</w:t>
      </w:r>
      <w:r>
        <w:rPr>
          <w:rFonts w:hint="eastAsia"/>
          <w:sz w:val="18"/>
          <w:szCs w:val="18"/>
        </w:rPr>
        <w:br/>
        <w:t>  其中，子公司</w:t>
      </w:r>
      <w:proofErr w:type="spellStart"/>
      <w:r>
        <w:rPr>
          <w:rFonts w:hint="eastAsia"/>
          <w:sz w:val="18"/>
          <w:szCs w:val="18"/>
        </w:rPr>
        <w:t>Talesun</w:t>
      </w:r>
      <w:proofErr w:type="spellEnd"/>
      <w:r>
        <w:rPr>
          <w:rFonts w:hint="eastAsia"/>
          <w:sz w:val="18"/>
          <w:szCs w:val="18"/>
        </w:rPr>
        <w:t xml:space="preserve"> Technologies(Thailand) CO.,LTD为泰国BOI企业，企业所得税率为20%。2015年取得BOI证书1，备案产能为组件和电池片650MW，自实现销售收入年度起享受所得税“8免5减半”的优惠政策；2021年取得BOI证书2，备案产能为组件1308MW，自实现销售收入年度起享受所得税免交6年的优惠政策；2022年取得BOI证书3，备案产能为电池2GW，自实现销售收入年度起享受所得税免交8年的优惠政策。</w:t>
      </w:r>
    </w:p>
    <w:p w14:paraId="0A8CB7EA" w14:textId="77777777" w:rsidR="00632E5B" w:rsidRDefault="00107901">
      <w:pPr>
        <w:pStyle w:val="2"/>
        <w:spacing w:before="300" w:after="300" w:line="320" w:lineRule="exact"/>
        <w:rPr>
          <w:rFonts w:ascii="宋体" w:eastAsia="宋体" w:hAnsi="宋体" w:cs="宋体" w:hint="eastAsia"/>
          <w:b/>
          <w:bCs/>
          <w:sz w:val="24"/>
          <w:szCs w:val="24"/>
        </w:rPr>
      </w:pPr>
      <w:bookmarkStart w:id="208" w:name="_Toc989097"/>
      <w:r>
        <w:rPr>
          <w:rFonts w:ascii="宋体" w:eastAsia="宋体" w:hAnsi="宋体" w:cs="宋体"/>
          <w:b/>
          <w:bCs/>
          <w:sz w:val="24"/>
          <w:szCs w:val="24"/>
        </w:rPr>
        <w:t>七、合并财务报表项目注释</w:t>
      </w:r>
      <w:bookmarkEnd w:id="208"/>
    </w:p>
    <w:p w14:paraId="53783BF6" w14:textId="77777777" w:rsidR="00632E5B" w:rsidRDefault="00107901">
      <w:pPr>
        <w:pStyle w:val="3"/>
        <w:spacing w:line="280" w:lineRule="exact"/>
        <w:jc w:val="left"/>
        <w:rPr>
          <w:rFonts w:ascii="宋体" w:hAnsi="宋体" w:cs="宋体" w:hint="eastAsia"/>
          <w:b/>
          <w:bCs/>
        </w:rPr>
      </w:pPr>
      <w:bookmarkStart w:id="209" w:name="_Toc989098"/>
      <w:r>
        <w:rPr>
          <w:rFonts w:ascii="宋体" w:hAnsi="宋体" w:cs="宋体"/>
          <w:b/>
          <w:bCs/>
        </w:rPr>
        <w:t>1、货币资金</w:t>
      </w:r>
      <w:bookmarkEnd w:id="209"/>
    </w:p>
    <w:p w14:paraId="46A12FCC"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15183A" w14:paraId="25F7C5D7" w14:textId="77777777" w:rsidTr="004A771F">
        <w:trPr>
          <w:trHeight w:val="240"/>
        </w:trPr>
        <w:tc>
          <w:tcPr>
            <w:tcW w:w="3213" w:type="dxa"/>
            <w:shd w:val="clear" w:color="auto" w:fill="FFFFFF" w:themeFill="background1"/>
            <w:vAlign w:val="center"/>
          </w:tcPr>
          <w:p w14:paraId="481D8A9E" w14:textId="77777777" w:rsidR="0015183A" w:rsidRDefault="0015183A" w:rsidP="00585914">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305BBA53" w14:textId="77777777" w:rsidR="0015183A" w:rsidRDefault="0015183A" w:rsidP="00585914">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auto" w:fill="FFFFFF" w:themeFill="background1"/>
            <w:vAlign w:val="center"/>
          </w:tcPr>
          <w:p w14:paraId="4A07BD58" w14:textId="77777777" w:rsidR="0015183A" w:rsidRDefault="0015183A" w:rsidP="00585914">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15183A" w14:paraId="0574426C" w14:textId="77777777" w:rsidTr="004A771F">
        <w:trPr>
          <w:trHeight w:val="240"/>
        </w:trPr>
        <w:tc>
          <w:tcPr>
            <w:tcW w:w="3213" w:type="dxa"/>
            <w:shd w:val="clear" w:color="auto" w:fill="FFFFFF" w:themeFill="background1"/>
            <w:vAlign w:val="center"/>
          </w:tcPr>
          <w:p w14:paraId="2D6DA006" w14:textId="77777777" w:rsidR="0015183A" w:rsidRDefault="0015183A" w:rsidP="00585914">
            <w:pPr>
              <w:spacing w:before="40" w:after="40" w:line="240" w:lineRule="exact"/>
              <w:rPr>
                <w:rFonts w:ascii="宋体" w:eastAsia="宋体" w:hAnsi="宋体" w:cs="宋体" w:hint="eastAsia"/>
                <w:sz w:val="18"/>
                <w:szCs w:val="18"/>
              </w:rPr>
            </w:pPr>
            <w:r>
              <w:rPr>
                <w:rFonts w:ascii="宋体" w:eastAsia="宋体" w:hAnsi="宋体" w:cs="宋体"/>
                <w:sz w:val="18"/>
                <w:szCs w:val="18"/>
              </w:rPr>
              <w:t>库存现金</w:t>
            </w:r>
          </w:p>
        </w:tc>
        <w:tc>
          <w:tcPr>
            <w:tcW w:w="3213" w:type="dxa"/>
            <w:shd w:val="clear" w:color="auto" w:fill="FFFFFF" w:themeFill="background1"/>
            <w:vAlign w:val="center"/>
          </w:tcPr>
          <w:p w14:paraId="61A0D4A1" w14:textId="77777777" w:rsidR="0015183A" w:rsidRDefault="0015183A"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195,057.43</w:t>
            </w:r>
          </w:p>
        </w:tc>
        <w:tc>
          <w:tcPr>
            <w:tcW w:w="3213" w:type="dxa"/>
            <w:shd w:val="clear" w:color="auto" w:fill="FFFFFF" w:themeFill="background1"/>
            <w:vAlign w:val="center"/>
          </w:tcPr>
          <w:p w14:paraId="720A0525" w14:textId="77777777" w:rsidR="0015183A" w:rsidRDefault="0015183A"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267,473.12</w:t>
            </w:r>
          </w:p>
        </w:tc>
      </w:tr>
      <w:tr w:rsidR="0015183A" w14:paraId="38203176" w14:textId="77777777" w:rsidTr="004A771F">
        <w:trPr>
          <w:trHeight w:val="240"/>
        </w:trPr>
        <w:tc>
          <w:tcPr>
            <w:tcW w:w="3213" w:type="dxa"/>
            <w:shd w:val="clear" w:color="auto" w:fill="FFFFFF" w:themeFill="background1"/>
            <w:vAlign w:val="center"/>
          </w:tcPr>
          <w:p w14:paraId="5824E4F3" w14:textId="77777777" w:rsidR="0015183A" w:rsidRDefault="0015183A" w:rsidP="00585914">
            <w:pPr>
              <w:spacing w:before="40" w:after="40" w:line="240" w:lineRule="exact"/>
              <w:rPr>
                <w:rFonts w:ascii="宋体" w:eastAsia="宋体" w:hAnsi="宋体" w:cs="宋体" w:hint="eastAsia"/>
                <w:sz w:val="18"/>
                <w:szCs w:val="18"/>
              </w:rPr>
            </w:pPr>
            <w:r>
              <w:rPr>
                <w:rFonts w:ascii="宋体" w:eastAsia="宋体" w:hAnsi="宋体" w:cs="宋体"/>
                <w:sz w:val="18"/>
                <w:szCs w:val="18"/>
              </w:rPr>
              <w:t>银行存款</w:t>
            </w:r>
          </w:p>
        </w:tc>
        <w:tc>
          <w:tcPr>
            <w:tcW w:w="3213" w:type="dxa"/>
            <w:shd w:val="clear" w:color="auto" w:fill="FFFFFF" w:themeFill="background1"/>
            <w:vAlign w:val="center"/>
          </w:tcPr>
          <w:p w14:paraId="1A703591" w14:textId="77777777" w:rsidR="0015183A" w:rsidRDefault="0015183A"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1,871,812,012.24</w:t>
            </w:r>
          </w:p>
        </w:tc>
        <w:tc>
          <w:tcPr>
            <w:tcW w:w="3213" w:type="dxa"/>
            <w:shd w:val="clear" w:color="auto" w:fill="FFFFFF" w:themeFill="background1"/>
            <w:vAlign w:val="center"/>
          </w:tcPr>
          <w:p w14:paraId="5DC3B5BE" w14:textId="77777777" w:rsidR="0015183A" w:rsidRDefault="0015183A"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620,403,704.18</w:t>
            </w:r>
          </w:p>
        </w:tc>
      </w:tr>
      <w:tr w:rsidR="0015183A" w14:paraId="36CEBFE1" w14:textId="77777777" w:rsidTr="004A771F">
        <w:trPr>
          <w:trHeight w:val="240"/>
        </w:trPr>
        <w:tc>
          <w:tcPr>
            <w:tcW w:w="3213" w:type="dxa"/>
            <w:shd w:val="clear" w:color="auto" w:fill="FFFFFF" w:themeFill="background1"/>
            <w:vAlign w:val="center"/>
          </w:tcPr>
          <w:p w14:paraId="461643E0" w14:textId="77777777" w:rsidR="0015183A" w:rsidRDefault="0015183A" w:rsidP="00585914">
            <w:pPr>
              <w:spacing w:before="40" w:after="40" w:line="240" w:lineRule="exact"/>
              <w:rPr>
                <w:rFonts w:ascii="宋体" w:eastAsia="宋体" w:hAnsi="宋体" w:cs="宋体" w:hint="eastAsia"/>
                <w:sz w:val="18"/>
                <w:szCs w:val="18"/>
              </w:rPr>
            </w:pPr>
            <w:r>
              <w:rPr>
                <w:rFonts w:ascii="宋体" w:eastAsia="宋体" w:hAnsi="宋体" w:cs="宋体"/>
                <w:sz w:val="18"/>
                <w:szCs w:val="18"/>
              </w:rPr>
              <w:t>其他货币资金</w:t>
            </w:r>
          </w:p>
        </w:tc>
        <w:tc>
          <w:tcPr>
            <w:tcW w:w="3213" w:type="dxa"/>
            <w:shd w:val="clear" w:color="auto" w:fill="FFFFFF" w:themeFill="background1"/>
            <w:vAlign w:val="center"/>
          </w:tcPr>
          <w:p w14:paraId="5F36B134" w14:textId="77777777" w:rsidR="0015183A" w:rsidRDefault="0015183A"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64,959,460.51</w:t>
            </w:r>
          </w:p>
        </w:tc>
        <w:tc>
          <w:tcPr>
            <w:tcW w:w="3213" w:type="dxa"/>
            <w:shd w:val="clear" w:color="auto" w:fill="FFFFFF" w:themeFill="background1"/>
          </w:tcPr>
          <w:p w14:paraId="50390702" w14:textId="77777777" w:rsidR="0015183A" w:rsidRPr="00E87988" w:rsidRDefault="0015183A" w:rsidP="00585914">
            <w:pPr>
              <w:spacing w:line="240" w:lineRule="exact"/>
              <w:jc w:val="right"/>
              <w:rPr>
                <w:rFonts w:ascii="宋体" w:eastAsia="宋体" w:hAnsi="宋体" w:cs="宋体" w:hint="eastAsia"/>
                <w:sz w:val="18"/>
                <w:szCs w:val="18"/>
              </w:rPr>
            </w:pPr>
            <w:r w:rsidRPr="00125F88">
              <w:rPr>
                <w:rFonts w:ascii="宋体" w:eastAsia="宋体" w:hAnsi="宋体"/>
                <w:sz w:val="18"/>
              </w:rPr>
              <w:t xml:space="preserve">         82,821,872.29 </w:t>
            </w:r>
          </w:p>
        </w:tc>
      </w:tr>
      <w:tr w:rsidR="0015183A" w14:paraId="0D254C8F" w14:textId="77777777" w:rsidTr="004A771F">
        <w:trPr>
          <w:trHeight w:val="240"/>
        </w:trPr>
        <w:tc>
          <w:tcPr>
            <w:tcW w:w="3213" w:type="dxa"/>
            <w:shd w:val="clear" w:color="auto" w:fill="FFFFFF" w:themeFill="background1"/>
            <w:vAlign w:val="center"/>
          </w:tcPr>
          <w:p w14:paraId="34A3E0A6" w14:textId="77777777" w:rsidR="0015183A" w:rsidRDefault="0015183A" w:rsidP="00585914">
            <w:pPr>
              <w:spacing w:before="40" w:after="40" w:line="240" w:lineRule="exact"/>
              <w:rPr>
                <w:rFonts w:ascii="宋体" w:eastAsia="宋体" w:hAnsi="宋体" w:cs="宋体" w:hint="eastAsia"/>
                <w:sz w:val="18"/>
                <w:szCs w:val="18"/>
              </w:rPr>
            </w:pPr>
            <w:r>
              <w:rPr>
                <w:rFonts w:ascii="宋体" w:eastAsia="宋体" w:hAnsi="宋体" w:cs="宋体" w:hint="eastAsia"/>
                <w:sz w:val="18"/>
                <w:szCs w:val="18"/>
              </w:rPr>
              <w:t>应收利息</w:t>
            </w:r>
          </w:p>
        </w:tc>
        <w:tc>
          <w:tcPr>
            <w:tcW w:w="3213" w:type="dxa"/>
            <w:shd w:val="clear" w:color="auto" w:fill="FFFFFF" w:themeFill="background1"/>
            <w:vAlign w:val="center"/>
          </w:tcPr>
          <w:p w14:paraId="0DEE05D7" w14:textId="77777777" w:rsidR="0015183A" w:rsidRDefault="0015183A" w:rsidP="00585914">
            <w:pPr>
              <w:spacing w:line="240" w:lineRule="exact"/>
              <w:jc w:val="right"/>
              <w:rPr>
                <w:rFonts w:ascii="宋体" w:eastAsia="宋体" w:hAnsi="宋体" w:cs="宋体" w:hint="eastAsia"/>
                <w:sz w:val="18"/>
                <w:szCs w:val="18"/>
              </w:rPr>
            </w:pPr>
          </w:p>
        </w:tc>
        <w:tc>
          <w:tcPr>
            <w:tcW w:w="3213" w:type="dxa"/>
            <w:shd w:val="clear" w:color="auto" w:fill="FFFFFF" w:themeFill="background1"/>
          </w:tcPr>
          <w:p w14:paraId="7F62D228" w14:textId="77777777" w:rsidR="0015183A" w:rsidRPr="00B746A7" w:rsidRDefault="0015183A" w:rsidP="00585914">
            <w:pPr>
              <w:spacing w:line="240" w:lineRule="exact"/>
              <w:jc w:val="right"/>
              <w:rPr>
                <w:rFonts w:ascii="宋体" w:eastAsia="宋体" w:hAnsi="宋体" w:cs="宋体" w:hint="eastAsia"/>
                <w:sz w:val="18"/>
                <w:szCs w:val="18"/>
              </w:rPr>
            </w:pPr>
            <w:r w:rsidRPr="00125F88">
              <w:rPr>
                <w:rFonts w:ascii="宋体" w:eastAsia="宋体" w:hAnsi="宋体"/>
                <w:sz w:val="18"/>
              </w:rPr>
              <w:t xml:space="preserve">          1,482,236.81 </w:t>
            </w:r>
          </w:p>
        </w:tc>
      </w:tr>
      <w:tr w:rsidR="0015183A" w14:paraId="4A319C26" w14:textId="77777777" w:rsidTr="004A771F">
        <w:trPr>
          <w:trHeight w:val="240"/>
        </w:trPr>
        <w:tc>
          <w:tcPr>
            <w:tcW w:w="3213" w:type="dxa"/>
            <w:shd w:val="clear" w:color="auto" w:fill="FFFFFF" w:themeFill="background1"/>
            <w:vAlign w:val="center"/>
          </w:tcPr>
          <w:p w14:paraId="6AF6BF85" w14:textId="77777777" w:rsidR="0015183A" w:rsidRDefault="0015183A" w:rsidP="00585914">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171E4CA7" w14:textId="77777777" w:rsidR="0015183A" w:rsidRDefault="0015183A"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1,936,966,530.18</w:t>
            </w:r>
          </w:p>
        </w:tc>
        <w:tc>
          <w:tcPr>
            <w:tcW w:w="3213" w:type="dxa"/>
            <w:shd w:val="clear" w:color="auto" w:fill="FFFFFF" w:themeFill="background1"/>
            <w:vAlign w:val="center"/>
          </w:tcPr>
          <w:p w14:paraId="006F558C" w14:textId="77777777" w:rsidR="0015183A" w:rsidRDefault="0015183A"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704,975,286.40</w:t>
            </w:r>
          </w:p>
        </w:tc>
      </w:tr>
      <w:tr w:rsidR="0015183A" w14:paraId="1EBDF33A" w14:textId="77777777" w:rsidTr="004A771F">
        <w:trPr>
          <w:trHeight w:val="240"/>
        </w:trPr>
        <w:tc>
          <w:tcPr>
            <w:tcW w:w="3213" w:type="dxa"/>
            <w:shd w:val="clear" w:color="auto" w:fill="FFFFFF" w:themeFill="background1"/>
            <w:vAlign w:val="center"/>
          </w:tcPr>
          <w:p w14:paraId="6C4031CC" w14:textId="77777777" w:rsidR="0015183A" w:rsidRDefault="0015183A" w:rsidP="00585914">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其中：存放在境外的款项总额</w:t>
            </w:r>
          </w:p>
        </w:tc>
        <w:tc>
          <w:tcPr>
            <w:tcW w:w="3213" w:type="dxa"/>
            <w:shd w:val="clear" w:color="auto" w:fill="FFFFFF" w:themeFill="background1"/>
            <w:vAlign w:val="center"/>
          </w:tcPr>
          <w:p w14:paraId="75C35C29" w14:textId="77777777" w:rsidR="0015183A" w:rsidRDefault="0015183A"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35,340,441.27</w:t>
            </w:r>
          </w:p>
        </w:tc>
        <w:tc>
          <w:tcPr>
            <w:tcW w:w="3213" w:type="dxa"/>
            <w:shd w:val="clear" w:color="auto" w:fill="FFFFFF" w:themeFill="background1"/>
            <w:vAlign w:val="center"/>
          </w:tcPr>
          <w:p w14:paraId="62B3973D" w14:textId="77777777" w:rsidR="0015183A" w:rsidRDefault="0015183A"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84,181,536.39</w:t>
            </w:r>
          </w:p>
        </w:tc>
      </w:tr>
    </w:tbl>
    <w:p w14:paraId="35967A92" w14:textId="39011CEC"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其他说明：</w:t>
      </w:r>
    </w:p>
    <w:p w14:paraId="68E90336" w14:textId="77777777" w:rsidR="00E72F0C" w:rsidRDefault="00107901">
      <w:pPr>
        <w:pStyle w:val="a3"/>
        <w:divId w:val="862980166"/>
        <w:rPr>
          <w:rFonts w:hint="eastAsia"/>
          <w:sz w:val="18"/>
          <w:szCs w:val="18"/>
        </w:rPr>
      </w:pPr>
      <w:r>
        <w:rPr>
          <w:rFonts w:hint="eastAsia"/>
          <w:sz w:val="18"/>
          <w:szCs w:val="18"/>
        </w:rPr>
        <w:t>货币资金受限情况如下：</w:t>
      </w:r>
    </w:p>
    <w:tbl>
      <w:tblPr>
        <w:tblW w:w="96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0" w:type="dxa"/>
          <w:right w:w="0" w:type="dxa"/>
        </w:tblCellMar>
        <w:tblLook w:val="04A0" w:firstRow="1" w:lastRow="0" w:firstColumn="1" w:lastColumn="0" w:noHBand="0" w:noVBand="1"/>
      </w:tblPr>
      <w:tblGrid>
        <w:gridCol w:w="3273"/>
        <w:gridCol w:w="3118"/>
        <w:gridCol w:w="3301"/>
      </w:tblGrid>
      <w:tr w:rsidR="00E72F0C" w:rsidRPr="00040490" w14:paraId="5859D2CA" w14:textId="77777777" w:rsidTr="004A771F">
        <w:trPr>
          <w:divId w:val="862980166"/>
          <w:trHeight w:val="284"/>
        </w:trPr>
        <w:tc>
          <w:tcPr>
            <w:tcW w:w="3273" w:type="dxa"/>
            <w:shd w:val="clear" w:color="auto" w:fill="FFFFFF" w:themeFill="background1"/>
            <w:noWrap/>
            <w:tcMar>
              <w:top w:w="12" w:type="dxa"/>
              <w:left w:w="12" w:type="dxa"/>
              <w:bottom w:w="0" w:type="dxa"/>
              <w:right w:w="12" w:type="dxa"/>
            </w:tcMar>
            <w:vAlign w:val="center"/>
            <w:hideMark/>
          </w:tcPr>
          <w:p w14:paraId="4E2D1618" w14:textId="77777777" w:rsidR="00E72F0C" w:rsidRPr="00040490" w:rsidRDefault="00107901">
            <w:pPr>
              <w:pStyle w:val="a3"/>
              <w:spacing w:before="0" w:beforeAutospacing="0" w:after="0" w:afterAutospacing="0"/>
              <w:jc w:val="center"/>
              <w:textAlignment w:val="center"/>
              <w:rPr>
                <w:rFonts w:asciiTheme="minorEastAsia" w:eastAsiaTheme="minorEastAsia" w:hAnsiTheme="minorEastAsia" w:hint="eastAsia"/>
              </w:rPr>
            </w:pPr>
            <w:r w:rsidRPr="00040490">
              <w:rPr>
                <w:rFonts w:asciiTheme="minorEastAsia" w:eastAsiaTheme="minorEastAsia" w:hAnsiTheme="minorEastAsia" w:hint="eastAsia"/>
                <w:color w:val="000000"/>
                <w:sz w:val="18"/>
                <w:szCs w:val="18"/>
              </w:rPr>
              <w:t>项目</w:t>
            </w:r>
          </w:p>
        </w:tc>
        <w:tc>
          <w:tcPr>
            <w:tcW w:w="3118" w:type="dxa"/>
            <w:shd w:val="clear" w:color="auto" w:fill="FFFFFF" w:themeFill="background1"/>
            <w:noWrap/>
            <w:tcMar>
              <w:top w:w="12" w:type="dxa"/>
              <w:left w:w="12" w:type="dxa"/>
              <w:bottom w:w="0" w:type="dxa"/>
              <w:right w:w="12" w:type="dxa"/>
            </w:tcMar>
            <w:vAlign w:val="center"/>
            <w:hideMark/>
          </w:tcPr>
          <w:p w14:paraId="32B56AA4" w14:textId="77777777" w:rsidR="00E72F0C" w:rsidRPr="00040490" w:rsidRDefault="00107901">
            <w:pPr>
              <w:pStyle w:val="a3"/>
              <w:spacing w:before="0" w:beforeAutospacing="0" w:after="0" w:afterAutospacing="0"/>
              <w:jc w:val="center"/>
              <w:textAlignment w:val="center"/>
              <w:rPr>
                <w:rFonts w:asciiTheme="minorEastAsia" w:eastAsiaTheme="minorEastAsia" w:hAnsiTheme="minorEastAsia" w:hint="eastAsia"/>
              </w:rPr>
            </w:pPr>
            <w:r w:rsidRPr="00040490">
              <w:rPr>
                <w:rFonts w:asciiTheme="minorEastAsia" w:eastAsiaTheme="minorEastAsia" w:hAnsiTheme="minorEastAsia" w:hint="eastAsia"/>
                <w:color w:val="000000"/>
                <w:sz w:val="18"/>
                <w:szCs w:val="18"/>
              </w:rPr>
              <w:t>期末余额</w:t>
            </w:r>
          </w:p>
        </w:tc>
        <w:tc>
          <w:tcPr>
            <w:tcW w:w="3301" w:type="dxa"/>
            <w:shd w:val="clear" w:color="auto" w:fill="FFFFFF" w:themeFill="background1"/>
            <w:noWrap/>
            <w:tcMar>
              <w:top w:w="12" w:type="dxa"/>
              <w:left w:w="12" w:type="dxa"/>
              <w:bottom w:w="0" w:type="dxa"/>
              <w:right w:w="12" w:type="dxa"/>
            </w:tcMar>
            <w:vAlign w:val="center"/>
            <w:hideMark/>
          </w:tcPr>
          <w:p w14:paraId="74C8D9D6" w14:textId="77777777" w:rsidR="00E72F0C" w:rsidRPr="00040490" w:rsidRDefault="00107901">
            <w:pPr>
              <w:pStyle w:val="a3"/>
              <w:spacing w:before="0" w:beforeAutospacing="0" w:after="0" w:afterAutospacing="0"/>
              <w:jc w:val="center"/>
              <w:textAlignment w:val="center"/>
              <w:rPr>
                <w:rFonts w:asciiTheme="minorEastAsia" w:eastAsiaTheme="minorEastAsia" w:hAnsiTheme="minorEastAsia" w:hint="eastAsia"/>
              </w:rPr>
            </w:pPr>
            <w:r w:rsidRPr="00040490">
              <w:rPr>
                <w:rFonts w:asciiTheme="minorEastAsia" w:eastAsiaTheme="minorEastAsia" w:hAnsiTheme="minorEastAsia" w:hint="eastAsia"/>
                <w:color w:val="000000"/>
                <w:sz w:val="18"/>
                <w:szCs w:val="18"/>
              </w:rPr>
              <w:t>期初余额</w:t>
            </w:r>
          </w:p>
        </w:tc>
      </w:tr>
      <w:tr w:rsidR="00E72F0C" w:rsidRPr="00040490" w14:paraId="047B8A6B" w14:textId="77777777" w:rsidTr="004A771F">
        <w:trPr>
          <w:divId w:val="862980166"/>
          <w:trHeight w:val="284"/>
        </w:trPr>
        <w:tc>
          <w:tcPr>
            <w:tcW w:w="3273" w:type="dxa"/>
            <w:shd w:val="clear" w:color="auto" w:fill="FFFFFF" w:themeFill="background1"/>
            <w:noWrap/>
            <w:tcMar>
              <w:top w:w="12" w:type="dxa"/>
              <w:left w:w="12" w:type="dxa"/>
              <w:bottom w:w="0" w:type="dxa"/>
              <w:right w:w="12" w:type="dxa"/>
            </w:tcMar>
            <w:vAlign w:val="center"/>
            <w:hideMark/>
          </w:tcPr>
          <w:p w14:paraId="08F86687" w14:textId="77777777" w:rsidR="00E72F0C" w:rsidRPr="00040490" w:rsidRDefault="00107901">
            <w:pPr>
              <w:pStyle w:val="a3"/>
              <w:spacing w:before="0" w:beforeAutospacing="0" w:after="0" w:afterAutospacing="0"/>
              <w:jc w:val="both"/>
              <w:textAlignment w:val="center"/>
              <w:rPr>
                <w:rFonts w:asciiTheme="minorEastAsia" w:eastAsiaTheme="minorEastAsia" w:hAnsiTheme="minorEastAsia" w:hint="eastAsia"/>
              </w:rPr>
            </w:pPr>
            <w:r w:rsidRPr="00040490">
              <w:rPr>
                <w:rFonts w:asciiTheme="minorEastAsia" w:eastAsiaTheme="minorEastAsia" w:hAnsiTheme="minorEastAsia" w:hint="eastAsia"/>
                <w:color w:val="000000"/>
                <w:sz w:val="18"/>
                <w:szCs w:val="18"/>
              </w:rPr>
              <w:t>银行承兑汇票保证金</w:t>
            </w:r>
          </w:p>
        </w:tc>
        <w:tc>
          <w:tcPr>
            <w:tcW w:w="3118" w:type="dxa"/>
            <w:shd w:val="clear" w:color="auto" w:fill="FFFFFF" w:themeFill="background1"/>
            <w:noWrap/>
            <w:tcMar>
              <w:top w:w="12" w:type="dxa"/>
              <w:left w:w="12" w:type="dxa"/>
              <w:bottom w:w="0" w:type="dxa"/>
              <w:right w:w="12" w:type="dxa"/>
            </w:tcMar>
            <w:vAlign w:val="center"/>
            <w:hideMark/>
          </w:tcPr>
          <w:p w14:paraId="3C820609" w14:textId="77777777" w:rsidR="00E72F0C" w:rsidRPr="00040490" w:rsidRDefault="00107901">
            <w:pPr>
              <w:pStyle w:val="a3"/>
              <w:spacing w:before="0" w:beforeAutospacing="0" w:after="0" w:afterAutospacing="0"/>
              <w:jc w:val="right"/>
              <w:textAlignment w:val="center"/>
              <w:rPr>
                <w:rFonts w:asciiTheme="minorEastAsia" w:eastAsiaTheme="minorEastAsia" w:hAnsiTheme="minorEastAsia" w:hint="eastAsia"/>
              </w:rPr>
            </w:pPr>
            <w:r w:rsidRPr="00040490">
              <w:rPr>
                <w:rFonts w:asciiTheme="minorEastAsia" w:eastAsiaTheme="minorEastAsia" w:hAnsiTheme="minorEastAsia" w:cs="Arial"/>
                <w:color w:val="000000"/>
                <w:sz w:val="18"/>
                <w:szCs w:val="18"/>
              </w:rPr>
              <w:t>2.02</w:t>
            </w:r>
          </w:p>
        </w:tc>
        <w:tc>
          <w:tcPr>
            <w:tcW w:w="3301" w:type="dxa"/>
            <w:shd w:val="clear" w:color="auto" w:fill="FFFFFF" w:themeFill="background1"/>
            <w:noWrap/>
            <w:tcMar>
              <w:top w:w="12" w:type="dxa"/>
              <w:left w:w="12" w:type="dxa"/>
              <w:bottom w:w="0" w:type="dxa"/>
              <w:right w:w="12" w:type="dxa"/>
            </w:tcMar>
            <w:vAlign w:val="center"/>
            <w:hideMark/>
          </w:tcPr>
          <w:p w14:paraId="632E5B90" w14:textId="77777777" w:rsidR="00E72F0C" w:rsidRPr="00040490" w:rsidRDefault="00107901">
            <w:pPr>
              <w:pStyle w:val="a3"/>
              <w:spacing w:before="0" w:beforeAutospacing="0" w:after="0" w:afterAutospacing="0"/>
              <w:jc w:val="right"/>
              <w:textAlignment w:val="center"/>
              <w:rPr>
                <w:rFonts w:asciiTheme="minorEastAsia" w:eastAsiaTheme="minorEastAsia" w:hAnsiTheme="minorEastAsia" w:hint="eastAsia"/>
              </w:rPr>
            </w:pPr>
            <w:r w:rsidRPr="00040490">
              <w:rPr>
                <w:rFonts w:asciiTheme="minorEastAsia" w:eastAsiaTheme="minorEastAsia" w:hAnsiTheme="minorEastAsia" w:cs="Arial"/>
                <w:color w:val="000000"/>
                <w:sz w:val="18"/>
                <w:szCs w:val="18"/>
              </w:rPr>
              <w:t>9,616.82</w:t>
            </w:r>
          </w:p>
        </w:tc>
      </w:tr>
      <w:tr w:rsidR="00E72F0C" w:rsidRPr="00040490" w14:paraId="6E1514D9" w14:textId="77777777" w:rsidTr="004A771F">
        <w:trPr>
          <w:divId w:val="862980166"/>
          <w:trHeight w:val="284"/>
        </w:trPr>
        <w:tc>
          <w:tcPr>
            <w:tcW w:w="3273" w:type="dxa"/>
            <w:shd w:val="clear" w:color="auto" w:fill="FFFFFF" w:themeFill="background1"/>
            <w:noWrap/>
            <w:tcMar>
              <w:top w:w="12" w:type="dxa"/>
              <w:left w:w="12" w:type="dxa"/>
              <w:bottom w:w="0" w:type="dxa"/>
              <w:right w:w="12" w:type="dxa"/>
            </w:tcMar>
            <w:vAlign w:val="center"/>
            <w:hideMark/>
          </w:tcPr>
          <w:p w14:paraId="1279DBF4" w14:textId="77777777" w:rsidR="00E72F0C" w:rsidRPr="00040490" w:rsidRDefault="00107901">
            <w:pPr>
              <w:pStyle w:val="a3"/>
              <w:spacing w:before="0" w:beforeAutospacing="0" w:after="0" w:afterAutospacing="0"/>
              <w:jc w:val="both"/>
              <w:textAlignment w:val="center"/>
              <w:rPr>
                <w:rFonts w:asciiTheme="minorEastAsia" w:eastAsiaTheme="minorEastAsia" w:hAnsiTheme="minorEastAsia" w:hint="eastAsia"/>
              </w:rPr>
            </w:pPr>
            <w:r w:rsidRPr="00040490">
              <w:rPr>
                <w:rFonts w:asciiTheme="minorEastAsia" w:eastAsiaTheme="minorEastAsia" w:hAnsiTheme="minorEastAsia" w:hint="eastAsia"/>
                <w:color w:val="000000"/>
                <w:sz w:val="18"/>
                <w:szCs w:val="18"/>
              </w:rPr>
              <w:t>保函保证金</w:t>
            </w:r>
          </w:p>
        </w:tc>
        <w:tc>
          <w:tcPr>
            <w:tcW w:w="3118" w:type="dxa"/>
            <w:shd w:val="clear" w:color="auto" w:fill="FFFFFF" w:themeFill="background1"/>
            <w:noWrap/>
            <w:tcMar>
              <w:top w:w="12" w:type="dxa"/>
              <w:left w:w="12" w:type="dxa"/>
              <w:bottom w:w="0" w:type="dxa"/>
              <w:right w:w="12" w:type="dxa"/>
            </w:tcMar>
            <w:vAlign w:val="center"/>
            <w:hideMark/>
          </w:tcPr>
          <w:p w14:paraId="67F7D224" w14:textId="77777777" w:rsidR="00E72F0C" w:rsidRPr="00040490" w:rsidRDefault="00107901">
            <w:pPr>
              <w:pStyle w:val="a3"/>
              <w:spacing w:before="0" w:beforeAutospacing="0" w:after="0" w:afterAutospacing="0"/>
              <w:jc w:val="right"/>
              <w:textAlignment w:val="center"/>
              <w:rPr>
                <w:rFonts w:asciiTheme="minorEastAsia" w:eastAsiaTheme="minorEastAsia" w:hAnsiTheme="minorEastAsia" w:hint="eastAsia"/>
              </w:rPr>
            </w:pPr>
            <w:r w:rsidRPr="00040490">
              <w:rPr>
                <w:rFonts w:asciiTheme="minorEastAsia" w:eastAsiaTheme="minorEastAsia" w:hAnsiTheme="minorEastAsia" w:cs="Arial"/>
                <w:color w:val="000000"/>
                <w:sz w:val="18"/>
                <w:szCs w:val="18"/>
              </w:rPr>
              <w:t>62,835,089.68</w:t>
            </w:r>
          </w:p>
        </w:tc>
        <w:tc>
          <w:tcPr>
            <w:tcW w:w="3301" w:type="dxa"/>
            <w:shd w:val="clear" w:color="auto" w:fill="FFFFFF" w:themeFill="background1"/>
            <w:noWrap/>
            <w:tcMar>
              <w:top w:w="12" w:type="dxa"/>
              <w:left w:w="12" w:type="dxa"/>
              <w:bottom w:w="0" w:type="dxa"/>
              <w:right w:w="12" w:type="dxa"/>
            </w:tcMar>
            <w:vAlign w:val="center"/>
            <w:hideMark/>
          </w:tcPr>
          <w:p w14:paraId="29459941" w14:textId="77777777" w:rsidR="00E72F0C" w:rsidRPr="00040490" w:rsidRDefault="00107901">
            <w:pPr>
              <w:pStyle w:val="a3"/>
              <w:spacing w:before="0" w:beforeAutospacing="0" w:after="0" w:afterAutospacing="0"/>
              <w:jc w:val="right"/>
              <w:textAlignment w:val="center"/>
              <w:rPr>
                <w:rFonts w:asciiTheme="minorEastAsia" w:eastAsiaTheme="minorEastAsia" w:hAnsiTheme="minorEastAsia" w:hint="eastAsia"/>
              </w:rPr>
            </w:pPr>
            <w:r w:rsidRPr="00040490">
              <w:rPr>
                <w:rFonts w:asciiTheme="minorEastAsia" w:eastAsiaTheme="minorEastAsia" w:hAnsiTheme="minorEastAsia" w:cs="Arial"/>
                <w:color w:val="000000"/>
                <w:sz w:val="18"/>
                <w:szCs w:val="18"/>
              </w:rPr>
              <w:t>82,812,210.28</w:t>
            </w:r>
          </w:p>
        </w:tc>
      </w:tr>
      <w:tr w:rsidR="00E72F0C" w:rsidRPr="00040490" w14:paraId="735DAE0E" w14:textId="77777777" w:rsidTr="004A771F">
        <w:trPr>
          <w:divId w:val="862980166"/>
          <w:trHeight w:val="284"/>
        </w:trPr>
        <w:tc>
          <w:tcPr>
            <w:tcW w:w="3273" w:type="dxa"/>
            <w:shd w:val="clear" w:color="auto" w:fill="FFFFFF" w:themeFill="background1"/>
            <w:noWrap/>
            <w:tcMar>
              <w:top w:w="12" w:type="dxa"/>
              <w:left w:w="12" w:type="dxa"/>
              <w:bottom w:w="0" w:type="dxa"/>
              <w:right w:w="12" w:type="dxa"/>
            </w:tcMar>
            <w:vAlign w:val="center"/>
            <w:hideMark/>
          </w:tcPr>
          <w:p w14:paraId="39CDB88D" w14:textId="77777777" w:rsidR="00E72F0C" w:rsidRPr="00040490" w:rsidRDefault="00107901">
            <w:pPr>
              <w:pStyle w:val="a3"/>
              <w:spacing w:before="0" w:beforeAutospacing="0" w:after="0" w:afterAutospacing="0"/>
              <w:jc w:val="both"/>
              <w:textAlignment w:val="center"/>
              <w:rPr>
                <w:rFonts w:asciiTheme="minorEastAsia" w:eastAsiaTheme="minorEastAsia" w:hAnsiTheme="minorEastAsia" w:hint="eastAsia"/>
              </w:rPr>
            </w:pPr>
            <w:r w:rsidRPr="00040490">
              <w:rPr>
                <w:rFonts w:asciiTheme="minorEastAsia" w:eastAsiaTheme="minorEastAsia" w:hAnsiTheme="minorEastAsia" w:hint="eastAsia"/>
                <w:color w:val="000000"/>
                <w:sz w:val="18"/>
                <w:szCs w:val="18"/>
              </w:rPr>
              <w:t>其他保证金</w:t>
            </w:r>
          </w:p>
        </w:tc>
        <w:tc>
          <w:tcPr>
            <w:tcW w:w="3118" w:type="dxa"/>
            <w:shd w:val="clear" w:color="auto" w:fill="FFFFFF" w:themeFill="background1"/>
            <w:noWrap/>
            <w:tcMar>
              <w:top w:w="12" w:type="dxa"/>
              <w:left w:w="12" w:type="dxa"/>
              <w:bottom w:w="0" w:type="dxa"/>
              <w:right w:w="12" w:type="dxa"/>
            </w:tcMar>
            <w:vAlign w:val="center"/>
            <w:hideMark/>
          </w:tcPr>
          <w:p w14:paraId="242DCC78" w14:textId="77777777" w:rsidR="00E72F0C" w:rsidRPr="00040490" w:rsidRDefault="00107901">
            <w:pPr>
              <w:pStyle w:val="a3"/>
              <w:spacing w:before="0" w:beforeAutospacing="0" w:after="0" w:afterAutospacing="0"/>
              <w:jc w:val="right"/>
              <w:textAlignment w:val="center"/>
              <w:rPr>
                <w:rFonts w:asciiTheme="minorEastAsia" w:eastAsiaTheme="minorEastAsia" w:hAnsiTheme="minorEastAsia" w:hint="eastAsia"/>
              </w:rPr>
            </w:pPr>
            <w:r w:rsidRPr="00040490">
              <w:rPr>
                <w:rFonts w:asciiTheme="minorEastAsia" w:eastAsiaTheme="minorEastAsia" w:hAnsiTheme="minorEastAsia" w:cs="Arial"/>
                <w:color w:val="000000"/>
                <w:sz w:val="18"/>
                <w:szCs w:val="18"/>
              </w:rPr>
              <w:t> </w:t>
            </w:r>
          </w:p>
        </w:tc>
        <w:tc>
          <w:tcPr>
            <w:tcW w:w="3301" w:type="dxa"/>
            <w:shd w:val="clear" w:color="auto" w:fill="FFFFFF" w:themeFill="background1"/>
            <w:noWrap/>
            <w:tcMar>
              <w:top w:w="12" w:type="dxa"/>
              <w:left w:w="12" w:type="dxa"/>
              <w:bottom w:w="0" w:type="dxa"/>
              <w:right w:w="12" w:type="dxa"/>
            </w:tcMar>
            <w:vAlign w:val="center"/>
            <w:hideMark/>
          </w:tcPr>
          <w:p w14:paraId="0C09E9DE" w14:textId="77777777" w:rsidR="00E72F0C" w:rsidRPr="00040490" w:rsidRDefault="00107901">
            <w:pPr>
              <w:pStyle w:val="a3"/>
              <w:spacing w:before="0" w:beforeAutospacing="0" w:after="0" w:afterAutospacing="0"/>
              <w:jc w:val="right"/>
              <w:textAlignment w:val="center"/>
              <w:rPr>
                <w:rFonts w:asciiTheme="minorEastAsia" w:eastAsiaTheme="minorEastAsia" w:hAnsiTheme="minorEastAsia" w:hint="eastAsia"/>
              </w:rPr>
            </w:pPr>
            <w:r w:rsidRPr="00040490">
              <w:rPr>
                <w:rFonts w:asciiTheme="minorEastAsia" w:eastAsiaTheme="minorEastAsia" w:hAnsiTheme="minorEastAsia" w:cs="Arial"/>
                <w:color w:val="000000"/>
                <w:sz w:val="18"/>
                <w:szCs w:val="18"/>
              </w:rPr>
              <w:t>45.19</w:t>
            </w:r>
          </w:p>
        </w:tc>
      </w:tr>
      <w:tr w:rsidR="00E72F0C" w:rsidRPr="00040490" w14:paraId="07FA7717" w14:textId="77777777" w:rsidTr="004A771F">
        <w:trPr>
          <w:divId w:val="862980166"/>
          <w:trHeight w:val="284"/>
        </w:trPr>
        <w:tc>
          <w:tcPr>
            <w:tcW w:w="3273" w:type="dxa"/>
            <w:shd w:val="clear" w:color="auto" w:fill="FFFFFF" w:themeFill="background1"/>
            <w:noWrap/>
            <w:tcMar>
              <w:top w:w="12" w:type="dxa"/>
              <w:left w:w="12" w:type="dxa"/>
              <w:bottom w:w="0" w:type="dxa"/>
              <w:right w:w="12" w:type="dxa"/>
            </w:tcMar>
            <w:vAlign w:val="center"/>
            <w:hideMark/>
          </w:tcPr>
          <w:p w14:paraId="6BEB4911" w14:textId="77777777" w:rsidR="00E72F0C" w:rsidRPr="00040490" w:rsidRDefault="00107901">
            <w:pPr>
              <w:pStyle w:val="a3"/>
              <w:spacing w:before="0" w:beforeAutospacing="0" w:after="0" w:afterAutospacing="0"/>
              <w:jc w:val="both"/>
              <w:textAlignment w:val="center"/>
              <w:rPr>
                <w:rFonts w:asciiTheme="minorEastAsia" w:eastAsiaTheme="minorEastAsia" w:hAnsiTheme="minorEastAsia" w:hint="eastAsia"/>
              </w:rPr>
            </w:pPr>
            <w:r w:rsidRPr="00040490">
              <w:rPr>
                <w:rFonts w:asciiTheme="minorEastAsia" w:eastAsiaTheme="minorEastAsia" w:hAnsiTheme="minorEastAsia" w:hint="eastAsia"/>
                <w:color w:val="000000"/>
                <w:sz w:val="18"/>
                <w:szCs w:val="18"/>
              </w:rPr>
              <w:t>冻结资金</w:t>
            </w:r>
          </w:p>
        </w:tc>
        <w:tc>
          <w:tcPr>
            <w:tcW w:w="3118" w:type="dxa"/>
            <w:shd w:val="clear" w:color="auto" w:fill="FFFFFF" w:themeFill="background1"/>
            <w:noWrap/>
            <w:tcMar>
              <w:top w:w="12" w:type="dxa"/>
              <w:left w:w="12" w:type="dxa"/>
              <w:bottom w:w="0" w:type="dxa"/>
              <w:right w:w="12" w:type="dxa"/>
            </w:tcMar>
            <w:vAlign w:val="center"/>
            <w:hideMark/>
          </w:tcPr>
          <w:p w14:paraId="3C5F064A" w14:textId="77777777" w:rsidR="00E72F0C" w:rsidRPr="00040490" w:rsidRDefault="00107901">
            <w:pPr>
              <w:pStyle w:val="a3"/>
              <w:spacing w:before="0" w:beforeAutospacing="0" w:after="0" w:afterAutospacing="0"/>
              <w:jc w:val="right"/>
              <w:textAlignment w:val="center"/>
              <w:rPr>
                <w:rFonts w:asciiTheme="minorEastAsia" w:eastAsiaTheme="minorEastAsia" w:hAnsiTheme="minorEastAsia" w:hint="eastAsia"/>
              </w:rPr>
            </w:pPr>
            <w:r w:rsidRPr="00040490">
              <w:rPr>
                <w:rFonts w:asciiTheme="minorEastAsia" w:eastAsiaTheme="minorEastAsia" w:hAnsiTheme="minorEastAsia" w:cs="Arial"/>
                <w:color w:val="000000"/>
                <w:sz w:val="18"/>
                <w:szCs w:val="18"/>
              </w:rPr>
              <w:t>780,591,245.45</w:t>
            </w:r>
          </w:p>
        </w:tc>
        <w:tc>
          <w:tcPr>
            <w:tcW w:w="3301" w:type="dxa"/>
            <w:shd w:val="clear" w:color="auto" w:fill="FFFFFF" w:themeFill="background1"/>
            <w:noWrap/>
            <w:tcMar>
              <w:top w:w="12" w:type="dxa"/>
              <w:left w:w="12" w:type="dxa"/>
              <w:bottom w:w="0" w:type="dxa"/>
              <w:right w:w="12" w:type="dxa"/>
            </w:tcMar>
            <w:vAlign w:val="center"/>
            <w:hideMark/>
          </w:tcPr>
          <w:p w14:paraId="24811B21" w14:textId="77777777" w:rsidR="00E72F0C" w:rsidRPr="00040490" w:rsidRDefault="00107901">
            <w:pPr>
              <w:pStyle w:val="a3"/>
              <w:spacing w:before="0" w:beforeAutospacing="0" w:after="0" w:afterAutospacing="0"/>
              <w:jc w:val="right"/>
              <w:textAlignment w:val="center"/>
              <w:rPr>
                <w:rFonts w:asciiTheme="minorEastAsia" w:eastAsiaTheme="minorEastAsia" w:hAnsiTheme="minorEastAsia" w:hint="eastAsia"/>
              </w:rPr>
            </w:pPr>
            <w:r w:rsidRPr="00040490">
              <w:rPr>
                <w:rFonts w:asciiTheme="minorEastAsia" w:eastAsiaTheme="minorEastAsia" w:hAnsiTheme="minorEastAsia" w:cs="Arial"/>
                <w:color w:val="000000"/>
                <w:sz w:val="18"/>
                <w:szCs w:val="18"/>
              </w:rPr>
              <w:t>221,408,533.91</w:t>
            </w:r>
          </w:p>
        </w:tc>
      </w:tr>
      <w:tr w:rsidR="00E72F0C" w:rsidRPr="00040490" w14:paraId="4306B6C4" w14:textId="77777777" w:rsidTr="004A771F">
        <w:trPr>
          <w:divId w:val="862980166"/>
          <w:trHeight w:val="284"/>
        </w:trPr>
        <w:tc>
          <w:tcPr>
            <w:tcW w:w="3273" w:type="dxa"/>
            <w:shd w:val="clear" w:color="auto" w:fill="FFFFFF" w:themeFill="background1"/>
            <w:noWrap/>
            <w:tcMar>
              <w:top w:w="12" w:type="dxa"/>
              <w:left w:w="12" w:type="dxa"/>
              <w:bottom w:w="0" w:type="dxa"/>
              <w:right w:w="12" w:type="dxa"/>
            </w:tcMar>
            <w:vAlign w:val="center"/>
            <w:hideMark/>
          </w:tcPr>
          <w:p w14:paraId="2EB76661" w14:textId="77777777" w:rsidR="00E72F0C" w:rsidRPr="00040490" w:rsidRDefault="00107901">
            <w:pPr>
              <w:pStyle w:val="a3"/>
              <w:spacing w:before="0" w:beforeAutospacing="0" w:after="0" w:afterAutospacing="0"/>
              <w:jc w:val="both"/>
              <w:textAlignment w:val="center"/>
              <w:rPr>
                <w:rFonts w:asciiTheme="minorEastAsia" w:eastAsiaTheme="minorEastAsia" w:hAnsiTheme="minorEastAsia" w:hint="eastAsia"/>
              </w:rPr>
            </w:pPr>
            <w:r w:rsidRPr="00040490">
              <w:rPr>
                <w:rFonts w:asciiTheme="minorEastAsia" w:eastAsiaTheme="minorEastAsia" w:hAnsiTheme="minorEastAsia" w:hint="eastAsia"/>
                <w:color w:val="000000"/>
                <w:sz w:val="18"/>
                <w:szCs w:val="18"/>
              </w:rPr>
              <w:t>破产重整管理人账户银行存款</w:t>
            </w:r>
          </w:p>
        </w:tc>
        <w:tc>
          <w:tcPr>
            <w:tcW w:w="3118" w:type="dxa"/>
            <w:shd w:val="clear" w:color="auto" w:fill="FFFFFF" w:themeFill="background1"/>
            <w:noWrap/>
            <w:tcMar>
              <w:top w:w="12" w:type="dxa"/>
              <w:left w:w="12" w:type="dxa"/>
              <w:bottom w:w="0" w:type="dxa"/>
              <w:right w:w="12" w:type="dxa"/>
            </w:tcMar>
            <w:vAlign w:val="center"/>
            <w:hideMark/>
          </w:tcPr>
          <w:p w14:paraId="4CDF537B" w14:textId="77777777" w:rsidR="00E72F0C" w:rsidRPr="00040490" w:rsidRDefault="00107901">
            <w:pPr>
              <w:pStyle w:val="a3"/>
              <w:spacing w:before="0" w:beforeAutospacing="0" w:after="0" w:afterAutospacing="0"/>
              <w:jc w:val="right"/>
              <w:textAlignment w:val="center"/>
              <w:rPr>
                <w:rFonts w:asciiTheme="minorEastAsia" w:eastAsiaTheme="minorEastAsia" w:hAnsiTheme="minorEastAsia" w:hint="eastAsia"/>
              </w:rPr>
            </w:pPr>
            <w:r w:rsidRPr="00040490">
              <w:rPr>
                <w:rFonts w:asciiTheme="minorEastAsia" w:eastAsiaTheme="minorEastAsia" w:hAnsiTheme="minorEastAsia" w:cs="Arial"/>
                <w:color w:val="000000"/>
                <w:sz w:val="18"/>
                <w:szCs w:val="18"/>
              </w:rPr>
              <w:t>970,160,813.16</w:t>
            </w:r>
          </w:p>
        </w:tc>
        <w:tc>
          <w:tcPr>
            <w:tcW w:w="3301" w:type="dxa"/>
            <w:shd w:val="clear" w:color="auto" w:fill="FFFFFF" w:themeFill="background1"/>
            <w:noWrap/>
            <w:tcMar>
              <w:top w:w="12" w:type="dxa"/>
              <w:left w:w="12" w:type="dxa"/>
              <w:bottom w:w="0" w:type="dxa"/>
              <w:right w:w="12" w:type="dxa"/>
            </w:tcMar>
            <w:vAlign w:val="center"/>
            <w:hideMark/>
          </w:tcPr>
          <w:p w14:paraId="2E927106" w14:textId="77777777" w:rsidR="00E72F0C" w:rsidRPr="00040490" w:rsidRDefault="00107901">
            <w:pPr>
              <w:pStyle w:val="a3"/>
              <w:spacing w:before="0" w:beforeAutospacing="0" w:after="0" w:afterAutospacing="0"/>
              <w:jc w:val="right"/>
              <w:textAlignment w:val="center"/>
              <w:rPr>
                <w:rFonts w:asciiTheme="minorEastAsia" w:eastAsiaTheme="minorEastAsia" w:hAnsiTheme="minorEastAsia" w:hint="eastAsia"/>
              </w:rPr>
            </w:pPr>
            <w:r w:rsidRPr="00040490">
              <w:rPr>
                <w:rFonts w:asciiTheme="minorEastAsia" w:eastAsiaTheme="minorEastAsia" w:hAnsiTheme="minorEastAsia" w:cs="Arial"/>
                <w:color w:val="000000"/>
                <w:sz w:val="18"/>
                <w:szCs w:val="18"/>
              </w:rPr>
              <w:t>60,080,774.10</w:t>
            </w:r>
          </w:p>
        </w:tc>
      </w:tr>
      <w:tr w:rsidR="00E72F0C" w:rsidRPr="00040490" w14:paraId="7FE4D62F" w14:textId="77777777" w:rsidTr="004A771F">
        <w:trPr>
          <w:divId w:val="862980166"/>
          <w:trHeight w:val="284"/>
        </w:trPr>
        <w:tc>
          <w:tcPr>
            <w:tcW w:w="3273" w:type="dxa"/>
            <w:shd w:val="clear" w:color="auto" w:fill="FFFFFF" w:themeFill="background1"/>
            <w:noWrap/>
            <w:tcMar>
              <w:top w:w="12" w:type="dxa"/>
              <w:left w:w="12" w:type="dxa"/>
              <w:bottom w:w="0" w:type="dxa"/>
              <w:right w:w="12" w:type="dxa"/>
            </w:tcMar>
            <w:vAlign w:val="center"/>
            <w:hideMark/>
          </w:tcPr>
          <w:p w14:paraId="739E50E5" w14:textId="77777777" w:rsidR="00E72F0C" w:rsidRPr="00040490" w:rsidRDefault="00107901">
            <w:pPr>
              <w:pStyle w:val="a3"/>
              <w:spacing w:before="0" w:beforeAutospacing="0" w:after="0" w:afterAutospacing="0"/>
              <w:jc w:val="both"/>
              <w:textAlignment w:val="center"/>
              <w:rPr>
                <w:rFonts w:asciiTheme="minorEastAsia" w:eastAsiaTheme="minorEastAsia" w:hAnsiTheme="minorEastAsia" w:hint="eastAsia"/>
              </w:rPr>
            </w:pPr>
            <w:r w:rsidRPr="00040490">
              <w:rPr>
                <w:rFonts w:asciiTheme="minorEastAsia" w:eastAsiaTheme="minorEastAsia" w:hAnsiTheme="minorEastAsia" w:hint="eastAsia"/>
                <w:color w:val="000000"/>
                <w:sz w:val="18"/>
                <w:szCs w:val="18"/>
              </w:rPr>
              <w:t>定期存款</w:t>
            </w:r>
          </w:p>
        </w:tc>
        <w:tc>
          <w:tcPr>
            <w:tcW w:w="3118" w:type="dxa"/>
            <w:shd w:val="clear" w:color="auto" w:fill="FFFFFF" w:themeFill="background1"/>
            <w:noWrap/>
            <w:tcMar>
              <w:top w:w="12" w:type="dxa"/>
              <w:left w:w="12" w:type="dxa"/>
              <w:bottom w:w="0" w:type="dxa"/>
              <w:right w:w="12" w:type="dxa"/>
            </w:tcMar>
            <w:vAlign w:val="center"/>
            <w:hideMark/>
          </w:tcPr>
          <w:p w14:paraId="1B925D46" w14:textId="77777777" w:rsidR="00E72F0C" w:rsidRPr="00040490" w:rsidRDefault="00107901">
            <w:pPr>
              <w:pStyle w:val="a3"/>
              <w:spacing w:before="0" w:beforeAutospacing="0" w:after="0" w:afterAutospacing="0"/>
              <w:jc w:val="right"/>
              <w:textAlignment w:val="center"/>
              <w:rPr>
                <w:rFonts w:asciiTheme="minorEastAsia" w:eastAsiaTheme="minorEastAsia" w:hAnsiTheme="minorEastAsia" w:hint="eastAsia"/>
              </w:rPr>
            </w:pPr>
            <w:r w:rsidRPr="00040490">
              <w:rPr>
                <w:rFonts w:asciiTheme="minorEastAsia" w:eastAsiaTheme="minorEastAsia" w:hAnsiTheme="minorEastAsia" w:cs="Arial"/>
                <w:color w:val="000000"/>
                <w:sz w:val="18"/>
                <w:szCs w:val="18"/>
              </w:rPr>
              <w:t> </w:t>
            </w:r>
          </w:p>
        </w:tc>
        <w:tc>
          <w:tcPr>
            <w:tcW w:w="3301" w:type="dxa"/>
            <w:shd w:val="clear" w:color="auto" w:fill="FFFFFF" w:themeFill="background1"/>
            <w:noWrap/>
            <w:tcMar>
              <w:top w:w="12" w:type="dxa"/>
              <w:left w:w="12" w:type="dxa"/>
              <w:bottom w:w="0" w:type="dxa"/>
              <w:right w:w="12" w:type="dxa"/>
            </w:tcMar>
            <w:vAlign w:val="center"/>
            <w:hideMark/>
          </w:tcPr>
          <w:p w14:paraId="5911187A" w14:textId="77777777" w:rsidR="00E72F0C" w:rsidRPr="00040490" w:rsidRDefault="00107901">
            <w:pPr>
              <w:pStyle w:val="a3"/>
              <w:spacing w:before="0" w:beforeAutospacing="0" w:after="0" w:afterAutospacing="0"/>
              <w:jc w:val="right"/>
              <w:textAlignment w:val="center"/>
              <w:rPr>
                <w:rFonts w:asciiTheme="minorEastAsia" w:eastAsiaTheme="minorEastAsia" w:hAnsiTheme="minorEastAsia" w:hint="eastAsia"/>
              </w:rPr>
            </w:pPr>
            <w:r w:rsidRPr="00040490">
              <w:rPr>
                <w:rFonts w:asciiTheme="minorEastAsia" w:eastAsiaTheme="minorEastAsia" w:hAnsiTheme="minorEastAsia" w:cs="Arial"/>
                <w:color w:val="000000"/>
                <w:sz w:val="18"/>
                <w:szCs w:val="18"/>
              </w:rPr>
              <w:t>15,000,000.00</w:t>
            </w:r>
          </w:p>
        </w:tc>
      </w:tr>
      <w:tr w:rsidR="00E72F0C" w:rsidRPr="00040490" w14:paraId="5E8ABC81" w14:textId="77777777" w:rsidTr="004A771F">
        <w:trPr>
          <w:divId w:val="862980166"/>
          <w:trHeight w:val="298"/>
        </w:trPr>
        <w:tc>
          <w:tcPr>
            <w:tcW w:w="3273" w:type="dxa"/>
            <w:shd w:val="clear" w:color="auto" w:fill="FFFFFF" w:themeFill="background1"/>
            <w:noWrap/>
            <w:tcMar>
              <w:top w:w="12" w:type="dxa"/>
              <w:left w:w="12" w:type="dxa"/>
              <w:bottom w:w="0" w:type="dxa"/>
              <w:right w:w="12" w:type="dxa"/>
            </w:tcMar>
            <w:vAlign w:val="center"/>
            <w:hideMark/>
          </w:tcPr>
          <w:p w14:paraId="08F9CF6D" w14:textId="77777777" w:rsidR="00E72F0C" w:rsidRPr="00040490" w:rsidRDefault="00107901">
            <w:pPr>
              <w:pStyle w:val="a3"/>
              <w:spacing w:before="0" w:beforeAutospacing="0" w:after="0" w:afterAutospacing="0"/>
              <w:jc w:val="center"/>
              <w:textAlignment w:val="center"/>
              <w:rPr>
                <w:rFonts w:asciiTheme="minorEastAsia" w:eastAsiaTheme="minorEastAsia" w:hAnsiTheme="minorEastAsia" w:hint="eastAsia"/>
              </w:rPr>
            </w:pPr>
            <w:r w:rsidRPr="00040490">
              <w:rPr>
                <w:rFonts w:asciiTheme="minorEastAsia" w:eastAsiaTheme="minorEastAsia" w:hAnsiTheme="minorEastAsia" w:hint="eastAsia"/>
                <w:color w:val="000000"/>
                <w:sz w:val="18"/>
                <w:szCs w:val="18"/>
              </w:rPr>
              <w:t>合计</w:t>
            </w:r>
          </w:p>
        </w:tc>
        <w:tc>
          <w:tcPr>
            <w:tcW w:w="3118" w:type="dxa"/>
            <w:shd w:val="clear" w:color="auto" w:fill="FFFFFF" w:themeFill="background1"/>
            <w:noWrap/>
            <w:tcMar>
              <w:top w:w="12" w:type="dxa"/>
              <w:left w:w="12" w:type="dxa"/>
              <w:bottom w:w="0" w:type="dxa"/>
              <w:right w:w="12" w:type="dxa"/>
            </w:tcMar>
            <w:vAlign w:val="center"/>
            <w:hideMark/>
          </w:tcPr>
          <w:p w14:paraId="72972FEF" w14:textId="77777777" w:rsidR="00E72F0C" w:rsidRPr="00040490" w:rsidRDefault="00107901">
            <w:pPr>
              <w:pStyle w:val="a3"/>
              <w:spacing w:before="0" w:beforeAutospacing="0" w:after="0" w:afterAutospacing="0"/>
              <w:jc w:val="right"/>
              <w:textAlignment w:val="center"/>
              <w:rPr>
                <w:rFonts w:asciiTheme="minorEastAsia" w:eastAsiaTheme="minorEastAsia" w:hAnsiTheme="minorEastAsia" w:hint="eastAsia"/>
              </w:rPr>
            </w:pPr>
            <w:r w:rsidRPr="00040490">
              <w:rPr>
                <w:rFonts w:asciiTheme="minorEastAsia" w:eastAsiaTheme="minorEastAsia" w:hAnsiTheme="minorEastAsia" w:cs="Arial"/>
                <w:color w:val="000000"/>
                <w:sz w:val="18"/>
                <w:szCs w:val="18"/>
              </w:rPr>
              <w:t>1,813,587,150.31</w:t>
            </w:r>
          </w:p>
        </w:tc>
        <w:tc>
          <w:tcPr>
            <w:tcW w:w="3301" w:type="dxa"/>
            <w:shd w:val="clear" w:color="auto" w:fill="FFFFFF" w:themeFill="background1"/>
            <w:noWrap/>
            <w:tcMar>
              <w:top w:w="12" w:type="dxa"/>
              <w:left w:w="12" w:type="dxa"/>
              <w:bottom w:w="0" w:type="dxa"/>
              <w:right w:w="12" w:type="dxa"/>
            </w:tcMar>
            <w:vAlign w:val="center"/>
            <w:hideMark/>
          </w:tcPr>
          <w:p w14:paraId="2D16CB87" w14:textId="77777777" w:rsidR="00E72F0C" w:rsidRPr="00040490" w:rsidRDefault="00107901">
            <w:pPr>
              <w:pStyle w:val="a3"/>
              <w:spacing w:before="0" w:beforeAutospacing="0" w:after="0" w:afterAutospacing="0"/>
              <w:jc w:val="right"/>
              <w:textAlignment w:val="center"/>
              <w:rPr>
                <w:rFonts w:asciiTheme="minorEastAsia" w:eastAsiaTheme="minorEastAsia" w:hAnsiTheme="minorEastAsia" w:hint="eastAsia"/>
              </w:rPr>
            </w:pPr>
            <w:r w:rsidRPr="00040490">
              <w:rPr>
                <w:rFonts w:asciiTheme="minorEastAsia" w:eastAsiaTheme="minorEastAsia" w:hAnsiTheme="minorEastAsia" w:cs="Arial"/>
                <w:color w:val="000000"/>
                <w:sz w:val="18"/>
                <w:szCs w:val="18"/>
              </w:rPr>
              <w:t>379,311,180.30</w:t>
            </w:r>
          </w:p>
        </w:tc>
      </w:tr>
    </w:tbl>
    <w:p w14:paraId="69C7AB7B" w14:textId="77777777" w:rsidR="004A771F" w:rsidRDefault="004A771F">
      <w:pPr>
        <w:pStyle w:val="3"/>
        <w:spacing w:line="280" w:lineRule="exact"/>
        <w:jc w:val="left"/>
        <w:rPr>
          <w:rFonts w:ascii="宋体" w:hAnsi="宋体" w:cs="宋体" w:hint="eastAsia"/>
          <w:b/>
          <w:bCs/>
        </w:rPr>
      </w:pPr>
      <w:bookmarkStart w:id="210" w:name="_Toc989099"/>
    </w:p>
    <w:p w14:paraId="273DA553" w14:textId="77777777" w:rsidR="004A771F" w:rsidRDefault="004A771F">
      <w:pPr>
        <w:widowControl/>
        <w:rPr>
          <w:rFonts w:ascii="宋体" w:eastAsia="宋体" w:hAnsi="宋体" w:cs="宋体" w:hint="eastAsia"/>
          <w:b/>
          <w:bCs/>
          <w:szCs w:val="21"/>
        </w:rPr>
      </w:pPr>
      <w:r>
        <w:rPr>
          <w:rFonts w:ascii="宋体" w:hAnsi="宋体" w:cs="宋体" w:hint="eastAsia"/>
          <w:b/>
          <w:bCs/>
        </w:rPr>
        <w:br w:type="page"/>
      </w:r>
    </w:p>
    <w:p w14:paraId="290FB56F" w14:textId="2C0A6E7E" w:rsidR="00632E5B" w:rsidRDefault="00107901">
      <w:pPr>
        <w:pStyle w:val="3"/>
        <w:spacing w:line="280" w:lineRule="exact"/>
        <w:jc w:val="left"/>
        <w:rPr>
          <w:rFonts w:ascii="宋体" w:hAnsi="宋体" w:cs="宋体" w:hint="eastAsia"/>
          <w:b/>
          <w:bCs/>
        </w:rPr>
      </w:pPr>
      <w:r>
        <w:rPr>
          <w:rFonts w:ascii="宋体" w:hAnsi="宋体" w:cs="宋体"/>
          <w:b/>
          <w:bCs/>
        </w:rPr>
        <w:lastRenderedPageBreak/>
        <w:t>2、交易性金融资产</w:t>
      </w:r>
      <w:bookmarkEnd w:id="210"/>
    </w:p>
    <w:p w14:paraId="5AB02FC0"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1A9B8CF1" w14:textId="77777777" w:rsidTr="004A771F">
        <w:trPr>
          <w:trHeight w:val="240"/>
        </w:trPr>
        <w:tc>
          <w:tcPr>
            <w:tcW w:w="3213" w:type="dxa"/>
            <w:shd w:val="clear" w:color="auto" w:fill="FFFFFF" w:themeFill="background1"/>
            <w:vAlign w:val="center"/>
          </w:tcPr>
          <w:p w14:paraId="3424BD1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00768A6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auto" w:fill="FFFFFF" w:themeFill="background1"/>
            <w:vAlign w:val="center"/>
          </w:tcPr>
          <w:p w14:paraId="5EA9292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632E5B" w14:paraId="73BDED0C" w14:textId="77777777" w:rsidTr="004A771F">
        <w:trPr>
          <w:trHeight w:val="240"/>
        </w:trPr>
        <w:tc>
          <w:tcPr>
            <w:tcW w:w="3213" w:type="dxa"/>
            <w:shd w:val="clear" w:color="auto" w:fill="FFFFFF" w:themeFill="background1"/>
            <w:vAlign w:val="center"/>
          </w:tcPr>
          <w:p w14:paraId="5C7AB019"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以公允价值计量且其变动计入当期损益的金融资产</w:t>
            </w:r>
          </w:p>
        </w:tc>
        <w:tc>
          <w:tcPr>
            <w:tcW w:w="3213" w:type="dxa"/>
            <w:shd w:val="clear" w:color="auto" w:fill="FFFFFF" w:themeFill="background1"/>
            <w:vAlign w:val="center"/>
          </w:tcPr>
          <w:p w14:paraId="69C291E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29,326,500.00</w:t>
            </w:r>
          </w:p>
        </w:tc>
        <w:tc>
          <w:tcPr>
            <w:tcW w:w="3213" w:type="dxa"/>
            <w:shd w:val="clear" w:color="auto" w:fill="FFFFFF" w:themeFill="background1"/>
            <w:vAlign w:val="center"/>
          </w:tcPr>
          <w:p w14:paraId="686487E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39,623,360.00</w:t>
            </w:r>
          </w:p>
        </w:tc>
      </w:tr>
      <w:tr w:rsidR="00632E5B" w14:paraId="736839D3" w14:textId="77777777" w:rsidTr="004A771F">
        <w:trPr>
          <w:trHeight w:val="240"/>
        </w:trPr>
        <w:tc>
          <w:tcPr>
            <w:tcW w:w="3213" w:type="dxa"/>
            <w:shd w:val="clear" w:color="auto" w:fill="FFFFFF" w:themeFill="background1"/>
            <w:vAlign w:val="center"/>
          </w:tcPr>
          <w:p w14:paraId="583BE08A"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其中：</w:t>
            </w:r>
          </w:p>
        </w:tc>
        <w:tc>
          <w:tcPr>
            <w:tcW w:w="3213" w:type="dxa"/>
            <w:shd w:val="clear" w:color="auto" w:fill="FFFFFF" w:themeFill="background1"/>
            <w:vAlign w:val="center"/>
          </w:tcPr>
          <w:p w14:paraId="0C21FFA7" w14:textId="77777777" w:rsidR="00632E5B" w:rsidRDefault="00632E5B"/>
        </w:tc>
        <w:tc>
          <w:tcPr>
            <w:tcW w:w="3213" w:type="dxa"/>
            <w:shd w:val="clear" w:color="auto" w:fill="FFFFFF" w:themeFill="background1"/>
            <w:vAlign w:val="center"/>
          </w:tcPr>
          <w:p w14:paraId="0F596444" w14:textId="77777777" w:rsidR="00632E5B" w:rsidRDefault="00632E5B"/>
        </w:tc>
      </w:tr>
      <w:tr w:rsidR="00632E5B" w14:paraId="45973BDF" w14:textId="77777777" w:rsidTr="004A771F">
        <w:trPr>
          <w:trHeight w:val="240"/>
        </w:trPr>
        <w:tc>
          <w:tcPr>
            <w:tcW w:w="3213" w:type="dxa"/>
            <w:shd w:val="clear" w:color="auto" w:fill="FFFFFF" w:themeFill="background1"/>
            <w:vAlign w:val="center"/>
          </w:tcPr>
          <w:p w14:paraId="007F4B8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权益工具投资</w:t>
            </w:r>
          </w:p>
        </w:tc>
        <w:tc>
          <w:tcPr>
            <w:tcW w:w="3213" w:type="dxa"/>
            <w:shd w:val="clear" w:color="auto" w:fill="FFFFFF" w:themeFill="background1"/>
            <w:vAlign w:val="center"/>
          </w:tcPr>
          <w:p w14:paraId="2E81B89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29,326,500.00</w:t>
            </w:r>
          </w:p>
        </w:tc>
        <w:tc>
          <w:tcPr>
            <w:tcW w:w="3213" w:type="dxa"/>
            <w:shd w:val="clear" w:color="auto" w:fill="FFFFFF" w:themeFill="background1"/>
            <w:vAlign w:val="center"/>
          </w:tcPr>
          <w:p w14:paraId="419328F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39,623,360.00</w:t>
            </w:r>
          </w:p>
        </w:tc>
      </w:tr>
      <w:tr w:rsidR="00632E5B" w14:paraId="5D4D2137" w14:textId="77777777" w:rsidTr="004A771F">
        <w:trPr>
          <w:trHeight w:val="240"/>
        </w:trPr>
        <w:tc>
          <w:tcPr>
            <w:tcW w:w="3213" w:type="dxa"/>
            <w:shd w:val="clear" w:color="auto" w:fill="FFFFFF" w:themeFill="background1"/>
            <w:vAlign w:val="center"/>
          </w:tcPr>
          <w:p w14:paraId="355C2F6B"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2C93FF0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29,326,500.00</w:t>
            </w:r>
          </w:p>
        </w:tc>
        <w:tc>
          <w:tcPr>
            <w:tcW w:w="3213" w:type="dxa"/>
            <w:shd w:val="clear" w:color="auto" w:fill="FFFFFF" w:themeFill="background1"/>
            <w:vAlign w:val="center"/>
          </w:tcPr>
          <w:p w14:paraId="44AA88C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39,623,360.00</w:t>
            </w:r>
          </w:p>
        </w:tc>
      </w:tr>
    </w:tbl>
    <w:p w14:paraId="14047EF9" w14:textId="77777777" w:rsidR="00632E5B" w:rsidRDefault="00107901">
      <w:pPr>
        <w:pStyle w:val="3"/>
        <w:spacing w:line="280" w:lineRule="exact"/>
        <w:jc w:val="left"/>
        <w:rPr>
          <w:rFonts w:ascii="宋体" w:hAnsi="宋体" w:cs="宋体" w:hint="eastAsia"/>
          <w:b/>
          <w:bCs/>
        </w:rPr>
      </w:pPr>
      <w:bookmarkStart w:id="211" w:name="_Toc989100"/>
      <w:r>
        <w:rPr>
          <w:rFonts w:ascii="宋体" w:hAnsi="宋体" w:cs="宋体"/>
          <w:b/>
          <w:bCs/>
        </w:rPr>
        <w:t>3、应收票据</w:t>
      </w:r>
      <w:bookmarkEnd w:id="211"/>
    </w:p>
    <w:p w14:paraId="0B87DA0C"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212" w:name="_Toc989101"/>
      <w:r>
        <w:rPr>
          <w:rFonts w:ascii="宋体" w:eastAsia="宋体" w:hAnsi="宋体" w:cs="宋体"/>
          <w:b/>
          <w:bCs/>
          <w:szCs w:val="21"/>
        </w:rPr>
        <w:t>（1） 应收票据分类列示</w:t>
      </w:r>
      <w:bookmarkEnd w:id="212"/>
    </w:p>
    <w:p w14:paraId="75C4ABB0"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7FB19C26" w14:textId="77777777" w:rsidTr="004A771F">
        <w:trPr>
          <w:trHeight w:val="240"/>
        </w:trPr>
        <w:tc>
          <w:tcPr>
            <w:tcW w:w="3213" w:type="dxa"/>
            <w:shd w:val="clear" w:color="auto" w:fill="FFFFFF" w:themeFill="background1"/>
            <w:vAlign w:val="center"/>
          </w:tcPr>
          <w:p w14:paraId="14FB7B0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0EAB40D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auto" w:fill="FFFFFF" w:themeFill="background1"/>
            <w:vAlign w:val="center"/>
          </w:tcPr>
          <w:p w14:paraId="5AE4342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632E5B" w14:paraId="646F90BC" w14:textId="77777777" w:rsidTr="004A771F">
        <w:trPr>
          <w:trHeight w:val="240"/>
        </w:trPr>
        <w:tc>
          <w:tcPr>
            <w:tcW w:w="3213" w:type="dxa"/>
            <w:shd w:val="clear" w:color="auto" w:fill="FFFFFF" w:themeFill="background1"/>
            <w:vAlign w:val="center"/>
          </w:tcPr>
          <w:p w14:paraId="5BC051CB" w14:textId="01E948C9" w:rsidR="00632E5B" w:rsidRDefault="00D21D1C">
            <w:pPr>
              <w:spacing w:before="40" w:after="40" w:line="240" w:lineRule="exact"/>
              <w:rPr>
                <w:rFonts w:ascii="宋体" w:eastAsia="宋体" w:hAnsi="宋体" w:cs="宋体" w:hint="eastAsia"/>
                <w:sz w:val="18"/>
                <w:szCs w:val="18"/>
              </w:rPr>
            </w:pPr>
            <w:r>
              <w:rPr>
                <w:rFonts w:ascii="宋体" w:eastAsia="宋体" w:hAnsi="宋体" w:cs="宋体"/>
                <w:sz w:val="18"/>
                <w:szCs w:val="18"/>
              </w:rPr>
              <w:t>银行承兑</w:t>
            </w:r>
            <w:r>
              <w:rPr>
                <w:rFonts w:ascii="宋体" w:eastAsia="宋体" w:hAnsi="宋体" w:cs="宋体" w:hint="eastAsia"/>
                <w:sz w:val="18"/>
                <w:szCs w:val="18"/>
              </w:rPr>
              <w:t>汇票</w:t>
            </w:r>
          </w:p>
        </w:tc>
        <w:tc>
          <w:tcPr>
            <w:tcW w:w="3213" w:type="dxa"/>
            <w:shd w:val="clear" w:color="auto" w:fill="FFFFFF" w:themeFill="background1"/>
            <w:vAlign w:val="center"/>
          </w:tcPr>
          <w:p w14:paraId="7C0EB97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134,989,792.64</w:t>
            </w:r>
          </w:p>
        </w:tc>
        <w:tc>
          <w:tcPr>
            <w:tcW w:w="3213" w:type="dxa"/>
            <w:shd w:val="clear" w:color="auto" w:fill="FFFFFF" w:themeFill="background1"/>
            <w:vAlign w:val="center"/>
          </w:tcPr>
          <w:p w14:paraId="5BEE6A4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233,069,507.10</w:t>
            </w:r>
          </w:p>
        </w:tc>
      </w:tr>
      <w:tr w:rsidR="00632E5B" w14:paraId="530115D7" w14:textId="77777777" w:rsidTr="004A771F">
        <w:trPr>
          <w:trHeight w:val="240"/>
        </w:trPr>
        <w:tc>
          <w:tcPr>
            <w:tcW w:w="3213" w:type="dxa"/>
            <w:shd w:val="clear" w:color="auto" w:fill="FFFFFF" w:themeFill="background1"/>
            <w:vAlign w:val="center"/>
          </w:tcPr>
          <w:p w14:paraId="27107AED" w14:textId="107BE598" w:rsidR="00632E5B" w:rsidRDefault="00D21D1C">
            <w:pPr>
              <w:spacing w:before="40" w:after="40" w:line="240" w:lineRule="exact"/>
              <w:rPr>
                <w:rFonts w:ascii="宋体" w:eastAsia="宋体" w:hAnsi="宋体" w:cs="宋体" w:hint="eastAsia"/>
                <w:sz w:val="18"/>
                <w:szCs w:val="18"/>
              </w:rPr>
            </w:pPr>
            <w:r>
              <w:rPr>
                <w:rFonts w:ascii="宋体" w:eastAsia="宋体" w:hAnsi="宋体" w:cs="宋体"/>
                <w:sz w:val="18"/>
                <w:szCs w:val="18"/>
              </w:rPr>
              <w:t>商业承兑</w:t>
            </w:r>
            <w:r>
              <w:rPr>
                <w:rFonts w:ascii="宋体" w:eastAsia="宋体" w:hAnsi="宋体" w:cs="宋体" w:hint="eastAsia"/>
                <w:sz w:val="18"/>
                <w:szCs w:val="18"/>
              </w:rPr>
              <w:t>汇票</w:t>
            </w:r>
          </w:p>
        </w:tc>
        <w:tc>
          <w:tcPr>
            <w:tcW w:w="3213" w:type="dxa"/>
            <w:shd w:val="clear" w:color="auto" w:fill="FFFFFF" w:themeFill="background1"/>
            <w:vAlign w:val="center"/>
          </w:tcPr>
          <w:p w14:paraId="3E48AEE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2,842,875.92</w:t>
            </w:r>
          </w:p>
        </w:tc>
        <w:tc>
          <w:tcPr>
            <w:tcW w:w="3213" w:type="dxa"/>
            <w:shd w:val="clear" w:color="auto" w:fill="FFFFFF" w:themeFill="background1"/>
            <w:vAlign w:val="center"/>
          </w:tcPr>
          <w:p w14:paraId="056A1DA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11,650,440.23</w:t>
            </w:r>
          </w:p>
        </w:tc>
      </w:tr>
      <w:tr w:rsidR="00632E5B" w14:paraId="3C6F9464" w14:textId="77777777" w:rsidTr="004A771F">
        <w:trPr>
          <w:trHeight w:val="240"/>
        </w:trPr>
        <w:tc>
          <w:tcPr>
            <w:tcW w:w="3213" w:type="dxa"/>
            <w:shd w:val="clear" w:color="auto" w:fill="FFFFFF" w:themeFill="background1"/>
            <w:vAlign w:val="center"/>
          </w:tcPr>
          <w:p w14:paraId="6BAFC872"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51A9BA7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137,832,668.56</w:t>
            </w:r>
          </w:p>
        </w:tc>
        <w:tc>
          <w:tcPr>
            <w:tcW w:w="3213" w:type="dxa"/>
            <w:shd w:val="clear" w:color="auto" w:fill="FFFFFF" w:themeFill="background1"/>
            <w:vAlign w:val="center"/>
          </w:tcPr>
          <w:p w14:paraId="77636D9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244,719,947.33</w:t>
            </w:r>
          </w:p>
        </w:tc>
      </w:tr>
    </w:tbl>
    <w:p w14:paraId="1F9CA110"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213" w:name="_Toc989102"/>
      <w:r>
        <w:rPr>
          <w:rFonts w:ascii="宋体" w:eastAsia="宋体" w:hAnsi="宋体" w:cs="宋体"/>
          <w:b/>
          <w:bCs/>
          <w:szCs w:val="21"/>
        </w:rPr>
        <w:t>（2） 按坏账计提方法分类披露</w:t>
      </w:r>
      <w:bookmarkEnd w:id="213"/>
    </w:p>
    <w:p w14:paraId="56DBA965"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11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875"/>
        <w:gridCol w:w="1282"/>
        <w:gridCol w:w="851"/>
        <w:gridCol w:w="992"/>
        <w:gridCol w:w="709"/>
        <w:gridCol w:w="1276"/>
        <w:gridCol w:w="1275"/>
        <w:gridCol w:w="877"/>
        <w:gridCol w:w="7"/>
        <w:gridCol w:w="1067"/>
        <w:gridCol w:w="709"/>
        <w:gridCol w:w="1276"/>
      </w:tblGrid>
      <w:tr w:rsidR="00632E5B" w14:paraId="5B884E34" w14:textId="77777777" w:rsidTr="004A771F">
        <w:trPr>
          <w:trHeight w:val="240"/>
          <w:jc w:val="center"/>
        </w:trPr>
        <w:tc>
          <w:tcPr>
            <w:tcW w:w="875" w:type="dxa"/>
            <w:vMerge w:val="restart"/>
            <w:shd w:val="clear" w:color="auto" w:fill="FFFFFF" w:themeFill="background1"/>
            <w:vAlign w:val="center"/>
          </w:tcPr>
          <w:p w14:paraId="43FE659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类别</w:t>
            </w:r>
          </w:p>
        </w:tc>
        <w:tc>
          <w:tcPr>
            <w:tcW w:w="5110" w:type="dxa"/>
            <w:gridSpan w:val="5"/>
            <w:shd w:val="clear" w:color="auto" w:fill="FFFFFF" w:themeFill="background1"/>
            <w:vAlign w:val="center"/>
          </w:tcPr>
          <w:p w14:paraId="118BA91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5211" w:type="dxa"/>
            <w:gridSpan w:val="6"/>
            <w:shd w:val="clear" w:color="auto" w:fill="FFFFFF" w:themeFill="background1"/>
            <w:vAlign w:val="center"/>
          </w:tcPr>
          <w:p w14:paraId="35E2DEC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632E5B" w14:paraId="4DC57469" w14:textId="77777777" w:rsidTr="004A771F">
        <w:trPr>
          <w:trHeight w:val="240"/>
          <w:jc w:val="center"/>
        </w:trPr>
        <w:tc>
          <w:tcPr>
            <w:tcW w:w="875" w:type="dxa"/>
            <w:vMerge/>
            <w:shd w:val="clear" w:color="auto" w:fill="FFFFFF" w:themeFill="background1"/>
            <w:vAlign w:val="center"/>
          </w:tcPr>
          <w:p w14:paraId="172D14A8" w14:textId="77777777" w:rsidR="00632E5B" w:rsidRDefault="00632E5B"/>
        </w:tc>
        <w:tc>
          <w:tcPr>
            <w:tcW w:w="2133" w:type="dxa"/>
            <w:gridSpan w:val="2"/>
            <w:shd w:val="clear" w:color="auto" w:fill="FFFFFF" w:themeFill="background1"/>
            <w:vAlign w:val="center"/>
          </w:tcPr>
          <w:p w14:paraId="377E3CD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701" w:type="dxa"/>
            <w:gridSpan w:val="2"/>
            <w:shd w:val="clear" w:color="auto" w:fill="FFFFFF" w:themeFill="background1"/>
            <w:vAlign w:val="center"/>
          </w:tcPr>
          <w:p w14:paraId="00F196D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1276" w:type="dxa"/>
            <w:shd w:val="clear" w:color="auto" w:fill="FFFFFF" w:themeFill="background1"/>
            <w:vAlign w:val="center"/>
          </w:tcPr>
          <w:p w14:paraId="4F359F6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c>
          <w:tcPr>
            <w:tcW w:w="2159" w:type="dxa"/>
            <w:gridSpan w:val="3"/>
            <w:shd w:val="clear" w:color="auto" w:fill="FFFFFF" w:themeFill="background1"/>
            <w:vAlign w:val="center"/>
          </w:tcPr>
          <w:p w14:paraId="5731540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776" w:type="dxa"/>
            <w:gridSpan w:val="2"/>
            <w:shd w:val="clear" w:color="auto" w:fill="FFFFFF" w:themeFill="background1"/>
            <w:vAlign w:val="center"/>
          </w:tcPr>
          <w:p w14:paraId="1A71E13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1276" w:type="dxa"/>
            <w:shd w:val="clear" w:color="auto" w:fill="FFFFFF" w:themeFill="background1"/>
            <w:vAlign w:val="center"/>
          </w:tcPr>
          <w:p w14:paraId="1DD9F62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r>
      <w:tr w:rsidR="00632E5B" w14:paraId="4E0F22A8" w14:textId="77777777" w:rsidTr="004A771F">
        <w:trPr>
          <w:trHeight w:val="240"/>
          <w:jc w:val="center"/>
        </w:trPr>
        <w:tc>
          <w:tcPr>
            <w:tcW w:w="875" w:type="dxa"/>
            <w:vMerge/>
            <w:shd w:val="clear" w:color="auto" w:fill="FFFFFF" w:themeFill="background1"/>
            <w:vAlign w:val="center"/>
          </w:tcPr>
          <w:p w14:paraId="2B0FC11A" w14:textId="77777777" w:rsidR="00632E5B" w:rsidRDefault="00632E5B"/>
        </w:tc>
        <w:tc>
          <w:tcPr>
            <w:tcW w:w="1282" w:type="dxa"/>
            <w:shd w:val="clear" w:color="auto" w:fill="FFFFFF" w:themeFill="background1"/>
            <w:vAlign w:val="center"/>
          </w:tcPr>
          <w:p w14:paraId="166FDDF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851" w:type="dxa"/>
            <w:shd w:val="clear" w:color="auto" w:fill="FFFFFF" w:themeFill="background1"/>
            <w:vAlign w:val="center"/>
          </w:tcPr>
          <w:p w14:paraId="5CA1EB5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比例</w:t>
            </w:r>
          </w:p>
        </w:tc>
        <w:tc>
          <w:tcPr>
            <w:tcW w:w="992" w:type="dxa"/>
            <w:shd w:val="clear" w:color="auto" w:fill="FFFFFF" w:themeFill="background1"/>
            <w:vAlign w:val="center"/>
          </w:tcPr>
          <w:p w14:paraId="4ACE80C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709" w:type="dxa"/>
            <w:shd w:val="clear" w:color="auto" w:fill="FFFFFF" w:themeFill="background1"/>
            <w:vAlign w:val="center"/>
          </w:tcPr>
          <w:p w14:paraId="6F2F757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计提比例</w:t>
            </w:r>
          </w:p>
        </w:tc>
        <w:tc>
          <w:tcPr>
            <w:tcW w:w="1276" w:type="dxa"/>
            <w:shd w:val="clear" w:color="auto" w:fill="FFFFFF" w:themeFill="background1"/>
            <w:vAlign w:val="center"/>
          </w:tcPr>
          <w:p w14:paraId="0ABB076B" w14:textId="77777777" w:rsidR="00632E5B" w:rsidRDefault="00632E5B"/>
        </w:tc>
        <w:tc>
          <w:tcPr>
            <w:tcW w:w="1275" w:type="dxa"/>
            <w:shd w:val="clear" w:color="auto" w:fill="FFFFFF" w:themeFill="background1"/>
            <w:vAlign w:val="center"/>
          </w:tcPr>
          <w:p w14:paraId="4418409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877" w:type="dxa"/>
            <w:shd w:val="clear" w:color="auto" w:fill="FFFFFF" w:themeFill="background1"/>
            <w:vAlign w:val="center"/>
          </w:tcPr>
          <w:p w14:paraId="71733EA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比例</w:t>
            </w:r>
          </w:p>
        </w:tc>
        <w:tc>
          <w:tcPr>
            <w:tcW w:w="1074" w:type="dxa"/>
            <w:gridSpan w:val="2"/>
            <w:shd w:val="clear" w:color="auto" w:fill="FFFFFF" w:themeFill="background1"/>
            <w:vAlign w:val="center"/>
          </w:tcPr>
          <w:p w14:paraId="6D370C9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709" w:type="dxa"/>
            <w:shd w:val="clear" w:color="auto" w:fill="FFFFFF" w:themeFill="background1"/>
            <w:vAlign w:val="center"/>
          </w:tcPr>
          <w:p w14:paraId="73EAF62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计提比例</w:t>
            </w:r>
          </w:p>
        </w:tc>
        <w:tc>
          <w:tcPr>
            <w:tcW w:w="1276" w:type="dxa"/>
            <w:shd w:val="clear" w:color="auto" w:fill="FFFFFF" w:themeFill="background1"/>
            <w:vAlign w:val="center"/>
          </w:tcPr>
          <w:p w14:paraId="17F28619" w14:textId="77777777" w:rsidR="00632E5B" w:rsidRDefault="00632E5B"/>
        </w:tc>
      </w:tr>
      <w:tr w:rsidR="00632E5B" w14:paraId="6D360B44" w14:textId="77777777" w:rsidTr="004A771F">
        <w:trPr>
          <w:trHeight w:val="240"/>
          <w:jc w:val="center"/>
        </w:trPr>
        <w:tc>
          <w:tcPr>
            <w:tcW w:w="875" w:type="dxa"/>
            <w:shd w:val="clear" w:color="auto" w:fill="FFFFFF" w:themeFill="background1"/>
            <w:vAlign w:val="center"/>
          </w:tcPr>
          <w:p w14:paraId="35B15C00" w14:textId="77777777" w:rsidR="00632E5B" w:rsidRDefault="00107901">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其中：</w:t>
            </w:r>
          </w:p>
        </w:tc>
        <w:tc>
          <w:tcPr>
            <w:tcW w:w="1282" w:type="dxa"/>
            <w:shd w:val="clear" w:color="auto" w:fill="FFFFFF" w:themeFill="background1"/>
            <w:vAlign w:val="center"/>
          </w:tcPr>
          <w:p w14:paraId="70234516" w14:textId="77777777" w:rsidR="00632E5B" w:rsidRDefault="00632E5B"/>
        </w:tc>
        <w:tc>
          <w:tcPr>
            <w:tcW w:w="851" w:type="dxa"/>
            <w:shd w:val="clear" w:color="auto" w:fill="FFFFFF" w:themeFill="background1"/>
            <w:vAlign w:val="center"/>
          </w:tcPr>
          <w:p w14:paraId="141E5C13" w14:textId="77777777" w:rsidR="00632E5B" w:rsidRDefault="00632E5B"/>
        </w:tc>
        <w:tc>
          <w:tcPr>
            <w:tcW w:w="992" w:type="dxa"/>
            <w:shd w:val="clear" w:color="auto" w:fill="FFFFFF" w:themeFill="background1"/>
            <w:vAlign w:val="center"/>
          </w:tcPr>
          <w:p w14:paraId="6BBEFAC6" w14:textId="77777777" w:rsidR="00632E5B" w:rsidRDefault="00632E5B"/>
        </w:tc>
        <w:tc>
          <w:tcPr>
            <w:tcW w:w="709" w:type="dxa"/>
            <w:shd w:val="clear" w:color="auto" w:fill="FFFFFF" w:themeFill="background1"/>
            <w:vAlign w:val="center"/>
          </w:tcPr>
          <w:p w14:paraId="18A76EC6" w14:textId="77777777" w:rsidR="00632E5B" w:rsidRDefault="00632E5B"/>
        </w:tc>
        <w:tc>
          <w:tcPr>
            <w:tcW w:w="1276" w:type="dxa"/>
            <w:shd w:val="clear" w:color="auto" w:fill="FFFFFF" w:themeFill="background1"/>
            <w:vAlign w:val="center"/>
          </w:tcPr>
          <w:p w14:paraId="6A516AAF" w14:textId="77777777" w:rsidR="00632E5B" w:rsidRDefault="00632E5B"/>
        </w:tc>
        <w:tc>
          <w:tcPr>
            <w:tcW w:w="1275" w:type="dxa"/>
            <w:shd w:val="clear" w:color="auto" w:fill="FFFFFF" w:themeFill="background1"/>
            <w:vAlign w:val="center"/>
          </w:tcPr>
          <w:p w14:paraId="5076A3B9" w14:textId="77777777" w:rsidR="00632E5B" w:rsidRDefault="00632E5B"/>
        </w:tc>
        <w:tc>
          <w:tcPr>
            <w:tcW w:w="877" w:type="dxa"/>
            <w:shd w:val="clear" w:color="auto" w:fill="FFFFFF" w:themeFill="background1"/>
            <w:vAlign w:val="center"/>
          </w:tcPr>
          <w:p w14:paraId="7273DC7A" w14:textId="77777777" w:rsidR="00632E5B" w:rsidRDefault="00632E5B"/>
        </w:tc>
        <w:tc>
          <w:tcPr>
            <w:tcW w:w="1074" w:type="dxa"/>
            <w:gridSpan w:val="2"/>
            <w:shd w:val="clear" w:color="auto" w:fill="FFFFFF" w:themeFill="background1"/>
            <w:vAlign w:val="center"/>
          </w:tcPr>
          <w:p w14:paraId="61DE2037" w14:textId="77777777" w:rsidR="00632E5B" w:rsidRDefault="00632E5B"/>
        </w:tc>
        <w:tc>
          <w:tcPr>
            <w:tcW w:w="709" w:type="dxa"/>
            <w:shd w:val="clear" w:color="auto" w:fill="FFFFFF" w:themeFill="background1"/>
            <w:vAlign w:val="center"/>
          </w:tcPr>
          <w:p w14:paraId="2186CD67" w14:textId="77777777" w:rsidR="00632E5B" w:rsidRDefault="00632E5B"/>
        </w:tc>
        <w:tc>
          <w:tcPr>
            <w:tcW w:w="1276" w:type="dxa"/>
            <w:shd w:val="clear" w:color="auto" w:fill="FFFFFF" w:themeFill="background1"/>
            <w:vAlign w:val="center"/>
          </w:tcPr>
          <w:p w14:paraId="4B829FB7" w14:textId="77777777" w:rsidR="00632E5B" w:rsidRDefault="00632E5B"/>
        </w:tc>
      </w:tr>
      <w:tr w:rsidR="00632E5B" w14:paraId="7E8CABFB" w14:textId="77777777" w:rsidTr="004A771F">
        <w:trPr>
          <w:trHeight w:val="240"/>
          <w:jc w:val="center"/>
        </w:trPr>
        <w:tc>
          <w:tcPr>
            <w:tcW w:w="875" w:type="dxa"/>
            <w:shd w:val="clear" w:color="auto" w:fill="FFFFFF" w:themeFill="background1"/>
            <w:vAlign w:val="center"/>
          </w:tcPr>
          <w:p w14:paraId="4D5B1D19"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按组合计提坏账准备的应收票据</w:t>
            </w:r>
          </w:p>
        </w:tc>
        <w:tc>
          <w:tcPr>
            <w:tcW w:w="1282" w:type="dxa"/>
            <w:shd w:val="clear" w:color="auto" w:fill="FFFFFF" w:themeFill="background1"/>
            <w:vAlign w:val="center"/>
          </w:tcPr>
          <w:p w14:paraId="3B78296A" w14:textId="77777777" w:rsidR="00632E5B" w:rsidRPr="00514846" w:rsidRDefault="00107901">
            <w:pPr>
              <w:spacing w:line="240" w:lineRule="exact"/>
              <w:jc w:val="right"/>
              <w:rPr>
                <w:rFonts w:ascii="宋体" w:eastAsia="宋体" w:hAnsi="宋体" w:cs="宋体" w:hint="eastAsia"/>
                <w:sz w:val="15"/>
                <w:szCs w:val="15"/>
              </w:rPr>
            </w:pPr>
            <w:r w:rsidRPr="00514846">
              <w:rPr>
                <w:rFonts w:ascii="宋体" w:eastAsia="宋体" w:hAnsi="宋体" w:cs="宋体"/>
                <w:sz w:val="15"/>
                <w:szCs w:val="15"/>
              </w:rPr>
              <w:t>137,890,686.44</w:t>
            </w:r>
          </w:p>
        </w:tc>
        <w:tc>
          <w:tcPr>
            <w:tcW w:w="851" w:type="dxa"/>
            <w:shd w:val="clear" w:color="auto" w:fill="FFFFFF" w:themeFill="background1"/>
            <w:vAlign w:val="center"/>
          </w:tcPr>
          <w:p w14:paraId="0BD99F7A" w14:textId="77777777" w:rsidR="00632E5B" w:rsidRPr="00514846" w:rsidRDefault="00107901">
            <w:pPr>
              <w:spacing w:line="240" w:lineRule="exact"/>
              <w:jc w:val="right"/>
              <w:rPr>
                <w:rFonts w:ascii="宋体" w:eastAsia="宋体" w:hAnsi="宋体" w:cs="宋体" w:hint="eastAsia"/>
                <w:sz w:val="15"/>
                <w:szCs w:val="15"/>
              </w:rPr>
            </w:pPr>
            <w:r w:rsidRPr="00514846">
              <w:rPr>
                <w:rFonts w:ascii="宋体" w:eastAsia="宋体" w:hAnsi="宋体" w:cs="宋体"/>
                <w:sz w:val="15"/>
                <w:szCs w:val="15"/>
              </w:rPr>
              <w:t>100.00%</w:t>
            </w:r>
          </w:p>
        </w:tc>
        <w:tc>
          <w:tcPr>
            <w:tcW w:w="992" w:type="dxa"/>
            <w:shd w:val="clear" w:color="auto" w:fill="FFFFFF" w:themeFill="background1"/>
            <w:vAlign w:val="center"/>
          </w:tcPr>
          <w:p w14:paraId="36C7C83D" w14:textId="77777777" w:rsidR="00632E5B" w:rsidRPr="00514846" w:rsidRDefault="00107901">
            <w:pPr>
              <w:spacing w:line="240" w:lineRule="exact"/>
              <w:jc w:val="right"/>
              <w:rPr>
                <w:rFonts w:ascii="宋体" w:eastAsia="宋体" w:hAnsi="宋体" w:cs="宋体" w:hint="eastAsia"/>
                <w:sz w:val="15"/>
                <w:szCs w:val="15"/>
              </w:rPr>
            </w:pPr>
            <w:r w:rsidRPr="00514846">
              <w:rPr>
                <w:rFonts w:ascii="宋体" w:eastAsia="宋体" w:hAnsi="宋体" w:cs="宋体"/>
                <w:sz w:val="15"/>
                <w:szCs w:val="15"/>
              </w:rPr>
              <w:t>58,017.88</w:t>
            </w:r>
          </w:p>
        </w:tc>
        <w:tc>
          <w:tcPr>
            <w:tcW w:w="709" w:type="dxa"/>
            <w:shd w:val="clear" w:color="auto" w:fill="FFFFFF" w:themeFill="background1"/>
            <w:vAlign w:val="center"/>
          </w:tcPr>
          <w:p w14:paraId="2959997D" w14:textId="77777777" w:rsidR="00632E5B" w:rsidRPr="00514846" w:rsidRDefault="00107901">
            <w:pPr>
              <w:spacing w:line="240" w:lineRule="exact"/>
              <w:jc w:val="right"/>
              <w:rPr>
                <w:rFonts w:ascii="宋体" w:eastAsia="宋体" w:hAnsi="宋体" w:cs="宋体" w:hint="eastAsia"/>
                <w:sz w:val="15"/>
                <w:szCs w:val="15"/>
              </w:rPr>
            </w:pPr>
            <w:r w:rsidRPr="00514846">
              <w:rPr>
                <w:rFonts w:ascii="宋体" w:eastAsia="宋体" w:hAnsi="宋体" w:cs="宋体"/>
                <w:sz w:val="15"/>
                <w:szCs w:val="15"/>
              </w:rPr>
              <w:t>0.04%</w:t>
            </w:r>
          </w:p>
        </w:tc>
        <w:tc>
          <w:tcPr>
            <w:tcW w:w="1276" w:type="dxa"/>
            <w:shd w:val="clear" w:color="auto" w:fill="FFFFFF" w:themeFill="background1"/>
            <w:vAlign w:val="center"/>
          </w:tcPr>
          <w:p w14:paraId="6D621544" w14:textId="77777777" w:rsidR="00632E5B" w:rsidRPr="00514846" w:rsidRDefault="00107901">
            <w:pPr>
              <w:spacing w:line="240" w:lineRule="exact"/>
              <w:jc w:val="right"/>
              <w:rPr>
                <w:rFonts w:ascii="宋体" w:eastAsia="宋体" w:hAnsi="宋体" w:cs="宋体" w:hint="eastAsia"/>
                <w:sz w:val="15"/>
                <w:szCs w:val="15"/>
              </w:rPr>
            </w:pPr>
            <w:r w:rsidRPr="00514846">
              <w:rPr>
                <w:rFonts w:ascii="宋体" w:eastAsia="宋体" w:hAnsi="宋体" w:cs="宋体"/>
                <w:sz w:val="15"/>
                <w:szCs w:val="15"/>
              </w:rPr>
              <w:t>137,832,668.56</w:t>
            </w:r>
          </w:p>
        </w:tc>
        <w:tc>
          <w:tcPr>
            <w:tcW w:w="1275" w:type="dxa"/>
            <w:shd w:val="clear" w:color="auto" w:fill="FFFFFF" w:themeFill="background1"/>
            <w:vAlign w:val="center"/>
          </w:tcPr>
          <w:p w14:paraId="66D6CF22" w14:textId="77777777" w:rsidR="00632E5B" w:rsidRPr="00514846" w:rsidRDefault="00107901">
            <w:pPr>
              <w:spacing w:line="240" w:lineRule="exact"/>
              <w:jc w:val="right"/>
              <w:rPr>
                <w:rFonts w:ascii="宋体" w:eastAsia="宋体" w:hAnsi="宋体" w:cs="宋体" w:hint="eastAsia"/>
                <w:sz w:val="15"/>
                <w:szCs w:val="15"/>
              </w:rPr>
            </w:pPr>
            <w:r w:rsidRPr="00514846">
              <w:rPr>
                <w:rFonts w:ascii="宋体" w:eastAsia="宋体" w:hAnsi="宋体" w:cs="宋体"/>
                <w:sz w:val="15"/>
                <w:szCs w:val="15"/>
              </w:rPr>
              <w:t>245,315,312.07</w:t>
            </w:r>
          </w:p>
        </w:tc>
        <w:tc>
          <w:tcPr>
            <w:tcW w:w="877" w:type="dxa"/>
            <w:shd w:val="clear" w:color="auto" w:fill="FFFFFF" w:themeFill="background1"/>
            <w:vAlign w:val="center"/>
          </w:tcPr>
          <w:p w14:paraId="59D527E3" w14:textId="77777777" w:rsidR="00632E5B" w:rsidRPr="00514846" w:rsidRDefault="00107901">
            <w:pPr>
              <w:spacing w:line="240" w:lineRule="exact"/>
              <w:jc w:val="right"/>
              <w:rPr>
                <w:rFonts w:ascii="宋体" w:eastAsia="宋体" w:hAnsi="宋体" w:cs="宋体" w:hint="eastAsia"/>
                <w:sz w:val="15"/>
                <w:szCs w:val="15"/>
              </w:rPr>
            </w:pPr>
            <w:r w:rsidRPr="00514846">
              <w:rPr>
                <w:rFonts w:ascii="宋体" w:eastAsia="宋体" w:hAnsi="宋体" w:cs="宋体"/>
                <w:sz w:val="15"/>
                <w:szCs w:val="15"/>
              </w:rPr>
              <w:t>100.00%</w:t>
            </w:r>
          </w:p>
        </w:tc>
        <w:tc>
          <w:tcPr>
            <w:tcW w:w="1074" w:type="dxa"/>
            <w:gridSpan w:val="2"/>
            <w:shd w:val="clear" w:color="auto" w:fill="FFFFFF" w:themeFill="background1"/>
            <w:vAlign w:val="center"/>
          </w:tcPr>
          <w:p w14:paraId="616815D1" w14:textId="77777777" w:rsidR="00632E5B" w:rsidRPr="00514846" w:rsidRDefault="00107901">
            <w:pPr>
              <w:spacing w:line="240" w:lineRule="exact"/>
              <w:jc w:val="right"/>
              <w:rPr>
                <w:rFonts w:ascii="宋体" w:eastAsia="宋体" w:hAnsi="宋体" w:cs="宋体" w:hint="eastAsia"/>
                <w:sz w:val="15"/>
                <w:szCs w:val="15"/>
              </w:rPr>
            </w:pPr>
            <w:r w:rsidRPr="00514846">
              <w:rPr>
                <w:rFonts w:ascii="宋体" w:eastAsia="宋体" w:hAnsi="宋体" w:cs="宋体"/>
                <w:sz w:val="15"/>
                <w:szCs w:val="15"/>
              </w:rPr>
              <w:t>595,364.74</w:t>
            </w:r>
          </w:p>
        </w:tc>
        <w:tc>
          <w:tcPr>
            <w:tcW w:w="709" w:type="dxa"/>
            <w:shd w:val="clear" w:color="auto" w:fill="FFFFFF" w:themeFill="background1"/>
            <w:vAlign w:val="center"/>
          </w:tcPr>
          <w:p w14:paraId="7119D168" w14:textId="77777777" w:rsidR="00632E5B" w:rsidRPr="00514846" w:rsidRDefault="00107901">
            <w:pPr>
              <w:spacing w:line="240" w:lineRule="exact"/>
              <w:jc w:val="right"/>
              <w:rPr>
                <w:rFonts w:ascii="宋体" w:eastAsia="宋体" w:hAnsi="宋体" w:cs="宋体" w:hint="eastAsia"/>
                <w:sz w:val="15"/>
                <w:szCs w:val="15"/>
              </w:rPr>
            </w:pPr>
            <w:r w:rsidRPr="00514846">
              <w:rPr>
                <w:rFonts w:ascii="宋体" w:eastAsia="宋体" w:hAnsi="宋体" w:cs="宋体"/>
                <w:sz w:val="15"/>
                <w:szCs w:val="15"/>
              </w:rPr>
              <w:t>0.24%</w:t>
            </w:r>
          </w:p>
        </w:tc>
        <w:tc>
          <w:tcPr>
            <w:tcW w:w="1276" w:type="dxa"/>
            <w:shd w:val="clear" w:color="auto" w:fill="FFFFFF" w:themeFill="background1"/>
            <w:vAlign w:val="center"/>
          </w:tcPr>
          <w:p w14:paraId="068384DC" w14:textId="77777777" w:rsidR="00632E5B" w:rsidRPr="00514846" w:rsidRDefault="00107901">
            <w:pPr>
              <w:spacing w:line="240" w:lineRule="exact"/>
              <w:jc w:val="right"/>
              <w:rPr>
                <w:rFonts w:ascii="宋体" w:eastAsia="宋体" w:hAnsi="宋体" w:cs="宋体" w:hint="eastAsia"/>
                <w:sz w:val="15"/>
                <w:szCs w:val="15"/>
              </w:rPr>
            </w:pPr>
            <w:r w:rsidRPr="00514846">
              <w:rPr>
                <w:rFonts w:ascii="宋体" w:eastAsia="宋体" w:hAnsi="宋体" w:cs="宋体"/>
                <w:sz w:val="15"/>
                <w:szCs w:val="15"/>
              </w:rPr>
              <w:t>244,719,947.33</w:t>
            </w:r>
          </w:p>
        </w:tc>
      </w:tr>
      <w:tr w:rsidR="00632E5B" w14:paraId="02CB0E3C" w14:textId="77777777" w:rsidTr="004A771F">
        <w:trPr>
          <w:trHeight w:val="240"/>
          <w:jc w:val="center"/>
        </w:trPr>
        <w:tc>
          <w:tcPr>
            <w:tcW w:w="875" w:type="dxa"/>
            <w:shd w:val="clear" w:color="auto" w:fill="FFFFFF" w:themeFill="background1"/>
            <w:vAlign w:val="center"/>
          </w:tcPr>
          <w:p w14:paraId="75AEC7FF" w14:textId="77777777" w:rsidR="00632E5B" w:rsidRDefault="00107901">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其中：</w:t>
            </w:r>
          </w:p>
        </w:tc>
        <w:tc>
          <w:tcPr>
            <w:tcW w:w="1282" w:type="dxa"/>
            <w:shd w:val="clear" w:color="auto" w:fill="FFFFFF" w:themeFill="background1"/>
            <w:vAlign w:val="center"/>
          </w:tcPr>
          <w:p w14:paraId="4D3B7FBE" w14:textId="77777777" w:rsidR="00632E5B" w:rsidRPr="00514846" w:rsidRDefault="00632E5B">
            <w:pPr>
              <w:rPr>
                <w:sz w:val="15"/>
                <w:szCs w:val="15"/>
              </w:rPr>
            </w:pPr>
          </w:p>
        </w:tc>
        <w:tc>
          <w:tcPr>
            <w:tcW w:w="851" w:type="dxa"/>
            <w:shd w:val="clear" w:color="auto" w:fill="FFFFFF" w:themeFill="background1"/>
            <w:vAlign w:val="center"/>
          </w:tcPr>
          <w:p w14:paraId="7EA06A78" w14:textId="77777777" w:rsidR="00632E5B" w:rsidRPr="00514846" w:rsidRDefault="00632E5B">
            <w:pPr>
              <w:rPr>
                <w:sz w:val="15"/>
                <w:szCs w:val="15"/>
              </w:rPr>
            </w:pPr>
          </w:p>
        </w:tc>
        <w:tc>
          <w:tcPr>
            <w:tcW w:w="992" w:type="dxa"/>
            <w:shd w:val="clear" w:color="auto" w:fill="FFFFFF" w:themeFill="background1"/>
            <w:vAlign w:val="center"/>
          </w:tcPr>
          <w:p w14:paraId="6B21849D" w14:textId="77777777" w:rsidR="00632E5B" w:rsidRPr="00514846" w:rsidRDefault="00632E5B">
            <w:pPr>
              <w:rPr>
                <w:sz w:val="15"/>
                <w:szCs w:val="15"/>
              </w:rPr>
            </w:pPr>
          </w:p>
        </w:tc>
        <w:tc>
          <w:tcPr>
            <w:tcW w:w="709" w:type="dxa"/>
            <w:shd w:val="clear" w:color="auto" w:fill="FFFFFF" w:themeFill="background1"/>
            <w:vAlign w:val="center"/>
          </w:tcPr>
          <w:p w14:paraId="7FE96129" w14:textId="77777777" w:rsidR="00632E5B" w:rsidRPr="00514846" w:rsidRDefault="00632E5B">
            <w:pPr>
              <w:rPr>
                <w:sz w:val="15"/>
                <w:szCs w:val="15"/>
              </w:rPr>
            </w:pPr>
          </w:p>
        </w:tc>
        <w:tc>
          <w:tcPr>
            <w:tcW w:w="1276" w:type="dxa"/>
            <w:shd w:val="clear" w:color="auto" w:fill="FFFFFF" w:themeFill="background1"/>
            <w:vAlign w:val="center"/>
          </w:tcPr>
          <w:p w14:paraId="374151EA" w14:textId="77777777" w:rsidR="00632E5B" w:rsidRPr="00514846" w:rsidRDefault="00632E5B">
            <w:pPr>
              <w:rPr>
                <w:sz w:val="15"/>
                <w:szCs w:val="15"/>
              </w:rPr>
            </w:pPr>
          </w:p>
        </w:tc>
        <w:tc>
          <w:tcPr>
            <w:tcW w:w="1275" w:type="dxa"/>
            <w:shd w:val="clear" w:color="auto" w:fill="FFFFFF" w:themeFill="background1"/>
            <w:vAlign w:val="center"/>
          </w:tcPr>
          <w:p w14:paraId="5FF046C3" w14:textId="77777777" w:rsidR="00632E5B" w:rsidRPr="00514846" w:rsidRDefault="00632E5B">
            <w:pPr>
              <w:rPr>
                <w:sz w:val="15"/>
                <w:szCs w:val="15"/>
              </w:rPr>
            </w:pPr>
          </w:p>
        </w:tc>
        <w:tc>
          <w:tcPr>
            <w:tcW w:w="877" w:type="dxa"/>
            <w:shd w:val="clear" w:color="auto" w:fill="FFFFFF" w:themeFill="background1"/>
            <w:vAlign w:val="center"/>
          </w:tcPr>
          <w:p w14:paraId="1FD78EFE" w14:textId="77777777" w:rsidR="00632E5B" w:rsidRPr="00514846" w:rsidRDefault="00632E5B">
            <w:pPr>
              <w:rPr>
                <w:sz w:val="15"/>
                <w:szCs w:val="15"/>
              </w:rPr>
            </w:pPr>
          </w:p>
        </w:tc>
        <w:tc>
          <w:tcPr>
            <w:tcW w:w="1074" w:type="dxa"/>
            <w:gridSpan w:val="2"/>
            <w:shd w:val="clear" w:color="auto" w:fill="FFFFFF" w:themeFill="background1"/>
            <w:vAlign w:val="center"/>
          </w:tcPr>
          <w:p w14:paraId="2B956C2F" w14:textId="77777777" w:rsidR="00632E5B" w:rsidRPr="00514846" w:rsidRDefault="00632E5B">
            <w:pPr>
              <w:rPr>
                <w:sz w:val="15"/>
                <w:szCs w:val="15"/>
              </w:rPr>
            </w:pPr>
          </w:p>
        </w:tc>
        <w:tc>
          <w:tcPr>
            <w:tcW w:w="709" w:type="dxa"/>
            <w:shd w:val="clear" w:color="auto" w:fill="FFFFFF" w:themeFill="background1"/>
            <w:vAlign w:val="center"/>
          </w:tcPr>
          <w:p w14:paraId="1E640C9C" w14:textId="77777777" w:rsidR="00632E5B" w:rsidRPr="00514846" w:rsidRDefault="00632E5B">
            <w:pPr>
              <w:rPr>
                <w:sz w:val="15"/>
                <w:szCs w:val="15"/>
              </w:rPr>
            </w:pPr>
          </w:p>
        </w:tc>
        <w:tc>
          <w:tcPr>
            <w:tcW w:w="1276" w:type="dxa"/>
            <w:shd w:val="clear" w:color="auto" w:fill="FFFFFF" w:themeFill="background1"/>
            <w:vAlign w:val="center"/>
          </w:tcPr>
          <w:p w14:paraId="7F4485B9" w14:textId="77777777" w:rsidR="00632E5B" w:rsidRPr="00514846" w:rsidRDefault="00632E5B">
            <w:pPr>
              <w:rPr>
                <w:sz w:val="15"/>
                <w:szCs w:val="15"/>
              </w:rPr>
            </w:pPr>
          </w:p>
        </w:tc>
      </w:tr>
      <w:tr w:rsidR="00632E5B" w14:paraId="10AC8D4E" w14:textId="77777777" w:rsidTr="004A771F">
        <w:trPr>
          <w:trHeight w:val="240"/>
          <w:jc w:val="center"/>
        </w:trPr>
        <w:tc>
          <w:tcPr>
            <w:tcW w:w="875" w:type="dxa"/>
            <w:shd w:val="clear" w:color="auto" w:fill="FFFFFF" w:themeFill="background1"/>
            <w:vAlign w:val="center"/>
          </w:tcPr>
          <w:p w14:paraId="42EDC95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银行承兑汇票组合</w:t>
            </w:r>
          </w:p>
        </w:tc>
        <w:tc>
          <w:tcPr>
            <w:tcW w:w="1282" w:type="dxa"/>
            <w:shd w:val="clear" w:color="auto" w:fill="FFFFFF" w:themeFill="background1"/>
            <w:vAlign w:val="center"/>
          </w:tcPr>
          <w:p w14:paraId="3753167C" w14:textId="77777777" w:rsidR="00632E5B" w:rsidRPr="00514846" w:rsidRDefault="00107901">
            <w:pPr>
              <w:spacing w:line="240" w:lineRule="exact"/>
              <w:jc w:val="right"/>
              <w:rPr>
                <w:rFonts w:ascii="宋体" w:eastAsia="宋体" w:hAnsi="宋体" w:cs="宋体" w:hint="eastAsia"/>
                <w:sz w:val="15"/>
                <w:szCs w:val="15"/>
              </w:rPr>
            </w:pPr>
            <w:r w:rsidRPr="00514846">
              <w:rPr>
                <w:rFonts w:ascii="宋体" w:eastAsia="宋体" w:hAnsi="宋体" w:cs="宋体"/>
                <w:sz w:val="15"/>
                <w:szCs w:val="15"/>
              </w:rPr>
              <w:t>134,989,792.64</w:t>
            </w:r>
          </w:p>
        </w:tc>
        <w:tc>
          <w:tcPr>
            <w:tcW w:w="851" w:type="dxa"/>
            <w:shd w:val="clear" w:color="auto" w:fill="FFFFFF" w:themeFill="background1"/>
            <w:vAlign w:val="center"/>
          </w:tcPr>
          <w:p w14:paraId="09925CC8" w14:textId="77777777" w:rsidR="00632E5B" w:rsidRPr="00514846" w:rsidRDefault="00107901">
            <w:pPr>
              <w:spacing w:line="240" w:lineRule="exact"/>
              <w:jc w:val="right"/>
              <w:rPr>
                <w:rFonts w:ascii="宋体" w:eastAsia="宋体" w:hAnsi="宋体" w:cs="宋体" w:hint="eastAsia"/>
                <w:sz w:val="15"/>
                <w:szCs w:val="15"/>
              </w:rPr>
            </w:pPr>
            <w:r w:rsidRPr="00514846">
              <w:rPr>
                <w:rFonts w:ascii="宋体" w:eastAsia="宋体" w:hAnsi="宋体" w:cs="宋体"/>
                <w:sz w:val="15"/>
                <w:szCs w:val="15"/>
              </w:rPr>
              <w:t>97.90%</w:t>
            </w:r>
          </w:p>
        </w:tc>
        <w:tc>
          <w:tcPr>
            <w:tcW w:w="992" w:type="dxa"/>
            <w:shd w:val="clear" w:color="auto" w:fill="FFFFFF" w:themeFill="background1"/>
            <w:vAlign w:val="center"/>
          </w:tcPr>
          <w:p w14:paraId="4EFE0DF1" w14:textId="77777777" w:rsidR="00632E5B" w:rsidRPr="00514846" w:rsidRDefault="00632E5B">
            <w:pPr>
              <w:spacing w:line="240" w:lineRule="exact"/>
              <w:jc w:val="right"/>
              <w:rPr>
                <w:rFonts w:ascii="宋体" w:eastAsia="宋体" w:hAnsi="宋体" w:cs="宋体" w:hint="eastAsia"/>
                <w:sz w:val="15"/>
                <w:szCs w:val="15"/>
              </w:rPr>
            </w:pPr>
          </w:p>
        </w:tc>
        <w:tc>
          <w:tcPr>
            <w:tcW w:w="709" w:type="dxa"/>
            <w:shd w:val="clear" w:color="auto" w:fill="FFFFFF" w:themeFill="background1"/>
            <w:vAlign w:val="center"/>
          </w:tcPr>
          <w:p w14:paraId="0369B39E" w14:textId="77777777" w:rsidR="00632E5B" w:rsidRPr="00514846" w:rsidRDefault="00632E5B">
            <w:pPr>
              <w:spacing w:line="240" w:lineRule="exact"/>
              <w:jc w:val="right"/>
              <w:rPr>
                <w:rFonts w:ascii="宋体" w:eastAsia="宋体" w:hAnsi="宋体" w:cs="宋体" w:hint="eastAsia"/>
                <w:sz w:val="15"/>
                <w:szCs w:val="15"/>
              </w:rPr>
            </w:pPr>
          </w:p>
        </w:tc>
        <w:tc>
          <w:tcPr>
            <w:tcW w:w="1276" w:type="dxa"/>
            <w:shd w:val="clear" w:color="auto" w:fill="FFFFFF" w:themeFill="background1"/>
            <w:vAlign w:val="center"/>
          </w:tcPr>
          <w:p w14:paraId="091C5871" w14:textId="77777777" w:rsidR="00632E5B" w:rsidRPr="00514846" w:rsidRDefault="00107901">
            <w:pPr>
              <w:spacing w:line="240" w:lineRule="exact"/>
              <w:jc w:val="right"/>
              <w:rPr>
                <w:rFonts w:ascii="宋体" w:eastAsia="宋体" w:hAnsi="宋体" w:cs="宋体" w:hint="eastAsia"/>
                <w:sz w:val="15"/>
                <w:szCs w:val="15"/>
              </w:rPr>
            </w:pPr>
            <w:r w:rsidRPr="00514846">
              <w:rPr>
                <w:rFonts w:ascii="宋体" w:eastAsia="宋体" w:hAnsi="宋体" w:cs="宋体"/>
                <w:sz w:val="15"/>
                <w:szCs w:val="15"/>
              </w:rPr>
              <w:t>134,989,792.64</w:t>
            </w:r>
          </w:p>
        </w:tc>
        <w:tc>
          <w:tcPr>
            <w:tcW w:w="1275" w:type="dxa"/>
            <w:shd w:val="clear" w:color="auto" w:fill="FFFFFF" w:themeFill="background1"/>
            <w:vAlign w:val="center"/>
          </w:tcPr>
          <w:p w14:paraId="1F79A8B1" w14:textId="77777777" w:rsidR="00632E5B" w:rsidRPr="00514846" w:rsidRDefault="00107901">
            <w:pPr>
              <w:spacing w:line="240" w:lineRule="exact"/>
              <w:jc w:val="right"/>
              <w:rPr>
                <w:rFonts w:ascii="宋体" w:eastAsia="宋体" w:hAnsi="宋体" w:cs="宋体" w:hint="eastAsia"/>
                <w:sz w:val="15"/>
                <w:szCs w:val="15"/>
              </w:rPr>
            </w:pPr>
            <w:r w:rsidRPr="00514846">
              <w:rPr>
                <w:rFonts w:ascii="宋体" w:eastAsia="宋体" w:hAnsi="宋体" w:cs="宋体"/>
                <w:sz w:val="15"/>
                <w:szCs w:val="15"/>
              </w:rPr>
              <w:t>233,069,507.10</w:t>
            </w:r>
          </w:p>
        </w:tc>
        <w:tc>
          <w:tcPr>
            <w:tcW w:w="877" w:type="dxa"/>
            <w:shd w:val="clear" w:color="auto" w:fill="FFFFFF" w:themeFill="background1"/>
            <w:vAlign w:val="center"/>
          </w:tcPr>
          <w:p w14:paraId="19494646" w14:textId="77777777" w:rsidR="00632E5B" w:rsidRPr="00514846" w:rsidRDefault="00107901">
            <w:pPr>
              <w:spacing w:line="240" w:lineRule="exact"/>
              <w:jc w:val="right"/>
              <w:rPr>
                <w:rFonts w:ascii="宋体" w:eastAsia="宋体" w:hAnsi="宋体" w:cs="宋体" w:hint="eastAsia"/>
                <w:sz w:val="15"/>
                <w:szCs w:val="15"/>
              </w:rPr>
            </w:pPr>
            <w:r w:rsidRPr="00514846">
              <w:rPr>
                <w:rFonts w:ascii="宋体" w:eastAsia="宋体" w:hAnsi="宋体" w:cs="宋体"/>
                <w:sz w:val="15"/>
                <w:szCs w:val="15"/>
              </w:rPr>
              <w:t>95.01%</w:t>
            </w:r>
          </w:p>
        </w:tc>
        <w:tc>
          <w:tcPr>
            <w:tcW w:w="1074" w:type="dxa"/>
            <w:gridSpan w:val="2"/>
            <w:shd w:val="clear" w:color="auto" w:fill="FFFFFF" w:themeFill="background1"/>
            <w:vAlign w:val="center"/>
          </w:tcPr>
          <w:p w14:paraId="2B19B935" w14:textId="77777777" w:rsidR="00632E5B" w:rsidRPr="00514846" w:rsidRDefault="00632E5B">
            <w:pPr>
              <w:spacing w:line="240" w:lineRule="exact"/>
              <w:jc w:val="right"/>
              <w:rPr>
                <w:rFonts w:ascii="宋体" w:eastAsia="宋体" w:hAnsi="宋体" w:cs="宋体" w:hint="eastAsia"/>
                <w:sz w:val="15"/>
                <w:szCs w:val="15"/>
              </w:rPr>
            </w:pPr>
          </w:p>
        </w:tc>
        <w:tc>
          <w:tcPr>
            <w:tcW w:w="709" w:type="dxa"/>
            <w:shd w:val="clear" w:color="auto" w:fill="FFFFFF" w:themeFill="background1"/>
            <w:vAlign w:val="center"/>
          </w:tcPr>
          <w:p w14:paraId="14E2EE90" w14:textId="77777777" w:rsidR="00632E5B" w:rsidRPr="00514846" w:rsidRDefault="00632E5B">
            <w:pPr>
              <w:spacing w:line="240" w:lineRule="exact"/>
              <w:jc w:val="right"/>
              <w:rPr>
                <w:rFonts w:ascii="宋体" w:eastAsia="宋体" w:hAnsi="宋体" w:cs="宋体" w:hint="eastAsia"/>
                <w:sz w:val="15"/>
                <w:szCs w:val="15"/>
              </w:rPr>
            </w:pPr>
          </w:p>
        </w:tc>
        <w:tc>
          <w:tcPr>
            <w:tcW w:w="1276" w:type="dxa"/>
            <w:shd w:val="clear" w:color="auto" w:fill="FFFFFF" w:themeFill="background1"/>
            <w:vAlign w:val="center"/>
          </w:tcPr>
          <w:p w14:paraId="60E6C8A7" w14:textId="77777777" w:rsidR="00632E5B" w:rsidRPr="00514846" w:rsidRDefault="00107901">
            <w:pPr>
              <w:spacing w:line="240" w:lineRule="exact"/>
              <w:jc w:val="right"/>
              <w:rPr>
                <w:rFonts w:ascii="宋体" w:eastAsia="宋体" w:hAnsi="宋体" w:cs="宋体" w:hint="eastAsia"/>
                <w:sz w:val="15"/>
                <w:szCs w:val="15"/>
              </w:rPr>
            </w:pPr>
            <w:r w:rsidRPr="00514846">
              <w:rPr>
                <w:rFonts w:ascii="宋体" w:eastAsia="宋体" w:hAnsi="宋体" w:cs="宋体"/>
                <w:sz w:val="15"/>
                <w:szCs w:val="15"/>
              </w:rPr>
              <w:t>233,069,507.10</w:t>
            </w:r>
          </w:p>
        </w:tc>
      </w:tr>
      <w:tr w:rsidR="00632E5B" w14:paraId="4BD2933A" w14:textId="77777777" w:rsidTr="004A771F">
        <w:trPr>
          <w:trHeight w:val="240"/>
          <w:jc w:val="center"/>
        </w:trPr>
        <w:tc>
          <w:tcPr>
            <w:tcW w:w="875" w:type="dxa"/>
            <w:shd w:val="clear" w:color="auto" w:fill="FFFFFF" w:themeFill="background1"/>
            <w:vAlign w:val="center"/>
          </w:tcPr>
          <w:p w14:paraId="46B5AC9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商业承兑汇票组合</w:t>
            </w:r>
          </w:p>
        </w:tc>
        <w:tc>
          <w:tcPr>
            <w:tcW w:w="1282" w:type="dxa"/>
            <w:shd w:val="clear" w:color="auto" w:fill="FFFFFF" w:themeFill="background1"/>
            <w:vAlign w:val="center"/>
          </w:tcPr>
          <w:p w14:paraId="42AC2DF2" w14:textId="77777777" w:rsidR="00632E5B" w:rsidRPr="00514846" w:rsidRDefault="00107901">
            <w:pPr>
              <w:spacing w:line="240" w:lineRule="exact"/>
              <w:jc w:val="right"/>
              <w:rPr>
                <w:rFonts w:ascii="宋体" w:eastAsia="宋体" w:hAnsi="宋体" w:cs="宋体" w:hint="eastAsia"/>
                <w:sz w:val="15"/>
                <w:szCs w:val="15"/>
              </w:rPr>
            </w:pPr>
            <w:r w:rsidRPr="00514846">
              <w:rPr>
                <w:rFonts w:ascii="宋体" w:eastAsia="宋体" w:hAnsi="宋体" w:cs="宋体"/>
                <w:sz w:val="15"/>
                <w:szCs w:val="15"/>
              </w:rPr>
              <w:t>2,900,893.80</w:t>
            </w:r>
          </w:p>
        </w:tc>
        <w:tc>
          <w:tcPr>
            <w:tcW w:w="851" w:type="dxa"/>
            <w:shd w:val="clear" w:color="auto" w:fill="FFFFFF" w:themeFill="background1"/>
            <w:vAlign w:val="center"/>
          </w:tcPr>
          <w:p w14:paraId="626B831D" w14:textId="77777777" w:rsidR="00632E5B" w:rsidRPr="00514846" w:rsidRDefault="00107901">
            <w:pPr>
              <w:spacing w:line="240" w:lineRule="exact"/>
              <w:jc w:val="right"/>
              <w:rPr>
                <w:rFonts w:ascii="宋体" w:eastAsia="宋体" w:hAnsi="宋体" w:cs="宋体" w:hint="eastAsia"/>
                <w:sz w:val="15"/>
                <w:szCs w:val="15"/>
              </w:rPr>
            </w:pPr>
            <w:r w:rsidRPr="00514846">
              <w:rPr>
                <w:rFonts w:ascii="宋体" w:eastAsia="宋体" w:hAnsi="宋体" w:cs="宋体"/>
                <w:sz w:val="15"/>
                <w:szCs w:val="15"/>
              </w:rPr>
              <w:t>2.10%</w:t>
            </w:r>
          </w:p>
        </w:tc>
        <w:tc>
          <w:tcPr>
            <w:tcW w:w="992" w:type="dxa"/>
            <w:shd w:val="clear" w:color="auto" w:fill="FFFFFF" w:themeFill="background1"/>
            <w:vAlign w:val="center"/>
          </w:tcPr>
          <w:p w14:paraId="5191E672" w14:textId="77777777" w:rsidR="00632E5B" w:rsidRPr="00514846" w:rsidRDefault="00107901">
            <w:pPr>
              <w:spacing w:line="240" w:lineRule="exact"/>
              <w:jc w:val="right"/>
              <w:rPr>
                <w:rFonts w:ascii="宋体" w:eastAsia="宋体" w:hAnsi="宋体" w:cs="宋体" w:hint="eastAsia"/>
                <w:sz w:val="15"/>
                <w:szCs w:val="15"/>
              </w:rPr>
            </w:pPr>
            <w:r w:rsidRPr="00514846">
              <w:rPr>
                <w:rFonts w:ascii="宋体" w:eastAsia="宋体" w:hAnsi="宋体" w:cs="宋体"/>
                <w:sz w:val="15"/>
                <w:szCs w:val="15"/>
              </w:rPr>
              <w:t>58,017.88</w:t>
            </w:r>
          </w:p>
        </w:tc>
        <w:tc>
          <w:tcPr>
            <w:tcW w:w="709" w:type="dxa"/>
            <w:shd w:val="clear" w:color="auto" w:fill="FFFFFF" w:themeFill="background1"/>
            <w:vAlign w:val="center"/>
          </w:tcPr>
          <w:p w14:paraId="6542875E" w14:textId="77777777" w:rsidR="00632E5B" w:rsidRPr="00514846" w:rsidRDefault="00107901">
            <w:pPr>
              <w:spacing w:line="240" w:lineRule="exact"/>
              <w:jc w:val="right"/>
              <w:rPr>
                <w:rFonts w:ascii="宋体" w:eastAsia="宋体" w:hAnsi="宋体" w:cs="宋体" w:hint="eastAsia"/>
                <w:sz w:val="15"/>
                <w:szCs w:val="15"/>
              </w:rPr>
            </w:pPr>
            <w:r w:rsidRPr="00514846">
              <w:rPr>
                <w:rFonts w:ascii="宋体" w:eastAsia="宋体" w:hAnsi="宋体" w:cs="宋体"/>
                <w:sz w:val="15"/>
                <w:szCs w:val="15"/>
              </w:rPr>
              <w:t>2.00%</w:t>
            </w:r>
          </w:p>
        </w:tc>
        <w:tc>
          <w:tcPr>
            <w:tcW w:w="1276" w:type="dxa"/>
            <w:shd w:val="clear" w:color="auto" w:fill="FFFFFF" w:themeFill="background1"/>
            <w:vAlign w:val="center"/>
          </w:tcPr>
          <w:p w14:paraId="445006D4" w14:textId="77777777" w:rsidR="00632E5B" w:rsidRPr="00514846" w:rsidRDefault="00107901">
            <w:pPr>
              <w:spacing w:line="240" w:lineRule="exact"/>
              <w:jc w:val="right"/>
              <w:rPr>
                <w:rFonts w:ascii="宋体" w:eastAsia="宋体" w:hAnsi="宋体" w:cs="宋体" w:hint="eastAsia"/>
                <w:sz w:val="15"/>
                <w:szCs w:val="15"/>
              </w:rPr>
            </w:pPr>
            <w:r w:rsidRPr="00514846">
              <w:rPr>
                <w:rFonts w:ascii="宋体" w:eastAsia="宋体" w:hAnsi="宋体" w:cs="宋体"/>
                <w:sz w:val="15"/>
                <w:szCs w:val="15"/>
              </w:rPr>
              <w:t>2,842,875.92</w:t>
            </w:r>
          </w:p>
        </w:tc>
        <w:tc>
          <w:tcPr>
            <w:tcW w:w="1275" w:type="dxa"/>
            <w:shd w:val="clear" w:color="auto" w:fill="FFFFFF" w:themeFill="background1"/>
            <w:vAlign w:val="center"/>
          </w:tcPr>
          <w:p w14:paraId="4D22B926" w14:textId="77777777" w:rsidR="00632E5B" w:rsidRPr="00514846" w:rsidRDefault="00107901">
            <w:pPr>
              <w:spacing w:line="240" w:lineRule="exact"/>
              <w:jc w:val="right"/>
              <w:rPr>
                <w:rFonts w:ascii="宋体" w:eastAsia="宋体" w:hAnsi="宋体" w:cs="宋体" w:hint="eastAsia"/>
                <w:sz w:val="15"/>
                <w:szCs w:val="15"/>
              </w:rPr>
            </w:pPr>
            <w:r w:rsidRPr="00514846">
              <w:rPr>
                <w:rFonts w:ascii="宋体" w:eastAsia="宋体" w:hAnsi="宋体" w:cs="宋体"/>
                <w:sz w:val="15"/>
                <w:szCs w:val="15"/>
              </w:rPr>
              <w:t>12,245,804.97</w:t>
            </w:r>
          </w:p>
        </w:tc>
        <w:tc>
          <w:tcPr>
            <w:tcW w:w="877" w:type="dxa"/>
            <w:shd w:val="clear" w:color="auto" w:fill="FFFFFF" w:themeFill="background1"/>
            <w:vAlign w:val="center"/>
          </w:tcPr>
          <w:p w14:paraId="4825C13E" w14:textId="77777777" w:rsidR="00632E5B" w:rsidRPr="00514846" w:rsidRDefault="00107901">
            <w:pPr>
              <w:spacing w:line="240" w:lineRule="exact"/>
              <w:jc w:val="right"/>
              <w:rPr>
                <w:rFonts w:ascii="宋体" w:eastAsia="宋体" w:hAnsi="宋体" w:cs="宋体" w:hint="eastAsia"/>
                <w:sz w:val="15"/>
                <w:szCs w:val="15"/>
              </w:rPr>
            </w:pPr>
            <w:r w:rsidRPr="00514846">
              <w:rPr>
                <w:rFonts w:ascii="宋体" w:eastAsia="宋体" w:hAnsi="宋体" w:cs="宋体"/>
                <w:sz w:val="15"/>
                <w:szCs w:val="15"/>
              </w:rPr>
              <w:t>4.99%</w:t>
            </w:r>
          </w:p>
        </w:tc>
        <w:tc>
          <w:tcPr>
            <w:tcW w:w="1074" w:type="dxa"/>
            <w:gridSpan w:val="2"/>
            <w:shd w:val="clear" w:color="auto" w:fill="FFFFFF" w:themeFill="background1"/>
            <w:vAlign w:val="center"/>
          </w:tcPr>
          <w:p w14:paraId="6B734A94" w14:textId="77777777" w:rsidR="00632E5B" w:rsidRPr="00514846" w:rsidRDefault="00107901">
            <w:pPr>
              <w:spacing w:line="240" w:lineRule="exact"/>
              <w:jc w:val="right"/>
              <w:rPr>
                <w:rFonts w:ascii="宋体" w:eastAsia="宋体" w:hAnsi="宋体" w:cs="宋体" w:hint="eastAsia"/>
                <w:sz w:val="15"/>
                <w:szCs w:val="15"/>
              </w:rPr>
            </w:pPr>
            <w:r w:rsidRPr="00514846">
              <w:rPr>
                <w:rFonts w:ascii="宋体" w:eastAsia="宋体" w:hAnsi="宋体" w:cs="宋体"/>
                <w:sz w:val="15"/>
                <w:szCs w:val="15"/>
              </w:rPr>
              <w:t>595,364.74</w:t>
            </w:r>
          </w:p>
        </w:tc>
        <w:tc>
          <w:tcPr>
            <w:tcW w:w="709" w:type="dxa"/>
            <w:shd w:val="clear" w:color="auto" w:fill="FFFFFF" w:themeFill="background1"/>
            <w:vAlign w:val="center"/>
          </w:tcPr>
          <w:p w14:paraId="4100EE8D" w14:textId="77777777" w:rsidR="00632E5B" w:rsidRPr="00514846" w:rsidRDefault="00107901">
            <w:pPr>
              <w:spacing w:line="240" w:lineRule="exact"/>
              <w:jc w:val="right"/>
              <w:rPr>
                <w:rFonts w:ascii="宋体" w:eastAsia="宋体" w:hAnsi="宋体" w:cs="宋体" w:hint="eastAsia"/>
                <w:sz w:val="15"/>
                <w:szCs w:val="15"/>
              </w:rPr>
            </w:pPr>
            <w:r w:rsidRPr="00514846">
              <w:rPr>
                <w:rFonts w:ascii="宋体" w:eastAsia="宋体" w:hAnsi="宋体" w:cs="宋体"/>
                <w:sz w:val="15"/>
                <w:szCs w:val="15"/>
              </w:rPr>
              <w:t>4.86%</w:t>
            </w:r>
          </w:p>
        </w:tc>
        <w:tc>
          <w:tcPr>
            <w:tcW w:w="1276" w:type="dxa"/>
            <w:shd w:val="clear" w:color="auto" w:fill="FFFFFF" w:themeFill="background1"/>
            <w:vAlign w:val="center"/>
          </w:tcPr>
          <w:p w14:paraId="5BCC6885" w14:textId="77777777" w:rsidR="00632E5B" w:rsidRPr="00514846" w:rsidRDefault="00107901">
            <w:pPr>
              <w:spacing w:line="240" w:lineRule="exact"/>
              <w:jc w:val="right"/>
              <w:rPr>
                <w:rFonts w:ascii="宋体" w:eastAsia="宋体" w:hAnsi="宋体" w:cs="宋体" w:hint="eastAsia"/>
                <w:sz w:val="15"/>
                <w:szCs w:val="15"/>
              </w:rPr>
            </w:pPr>
            <w:r w:rsidRPr="00514846">
              <w:rPr>
                <w:rFonts w:ascii="宋体" w:eastAsia="宋体" w:hAnsi="宋体" w:cs="宋体"/>
                <w:sz w:val="15"/>
                <w:szCs w:val="15"/>
              </w:rPr>
              <w:t>11,650,440.23</w:t>
            </w:r>
          </w:p>
        </w:tc>
      </w:tr>
      <w:tr w:rsidR="00632E5B" w14:paraId="6DDC28E9" w14:textId="77777777" w:rsidTr="004A771F">
        <w:trPr>
          <w:trHeight w:val="240"/>
          <w:jc w:val="center"/>
        </w:trPr>
        <w:tc>
          <w:tcPr>
            <w:tcW w:w="875" w:type="dxa"/>
            <w:shd w:val="clear" w:color="auto" w:fill="FFFFFF" w:themeFill="background1"/>
            <w:vAlign w:val="center"/>
          </w:tcPr>
          <w:p w14:paraId="6866FAE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282" w:type="dxa"/>
            <w:shd w:val="clear" w:color="auto" w:fill="FFFFFF" w:themeFill="background1"/>
            <w:vAlign w:val="center"/>
          </w:tcPr>
          <w:p w14:paraId="51B439CC" w14:textId="77777777" w:rsidR="00632E5B" w:rsidRPr="00514846" w:rsidRDefault="00107901">
            <w:pPr>
              <w:spacing w:line="240" w:lineRule="exact"/>
              <w:jc w:val="right"/>
              <w:rPr>
                <w:rFonts w:ascii="宋体" w:eastAsia="宋体" w:hAnsi="宋体" w:cs="宋体" w:hint="eastAsia"/>
                <w:sz w:val="15"/>
                <w:szCs w:val="15"/>
              </w:rPr>
            </w:pPr>
            <w:r w:rsidRPr="00514846">
              <w:rPr>
                <w:rFonts w:ascii="宋体" w:eastAsia="宋体" w:hAnsi="宋体" w:cs="宋体"/>
                <w:sz w:val="15"/>
                <w:szCs w:val="15"/>
              </w:rPr>
              <w:t>137,890,686.44</w:t>
            </w:r>
          </w:p>
        </w:tc>
        <w:tc>
          <w:tcPr>
            <w:tcW w:w="851" w:type="dxa"/>
            <w:shd w:val="clear" w:color="auto" w:fill="FFFFFF" w:themeFill="background1"/>
            <w:vAlign w:val="center"/>
          </w:tcPr>
          <w:p w14:paraId="0A1A24B3" w14:textId="77777777" w:rsidR="00632E5B" w:rsidRPr="00514846" w:rsidRDefault="00107901">
            <w:pPr>
              <w:spacing w:line="240" w:lineRule="exact"/>
              <w:jc w:val="right"/>
              <w:rPr>
                <w:rFonts w:ascii="宋体" w:eastAsia="宋体" w:hAnsi="宋体" w:cs="宋体" w:hint="eastAsia"/>
                <w:sz w:val="15"/>
                <w:szCs w:val="15"/>
              </w:rPr>
            </w:pPr>
            <w:r w:rsidRPr="00514846">
              <w:rPr>
                <w:rFonts w:ascii="宋体" w:eastAsia="宋体" w:hAnsi="宋体" w:cs="宋体"/>
                <w:sz w:val="15"/>
                <w:szCs w:val="15"/>
              </w:rPr>
              <w:t>100.00%</w:t>
            </w:r>
          </w:p>
        </w:tc>
        <w:tc>
          <w:tcPr>
            <w:tcW w:w="992" w:type="dxa"/>
            <w:shd w:val="clear" w:color="auto" w:fill="FFFFFF" w:themeFill="background1"/>
            <w:vAlign w:val="center"/>
          </w:tcPr>
          <w:p w14:paraId="27FE957C" w14:textId="77777777" w:rsidR="00632E5B" w:rsidRPr="00514846" w:rsidRDefault="00107901">
            <w:pPr>
              <w:spacing w:line="240" w:lineRule="exact"/>
              <w:jc w:val="right"/>
              <w:rPr>
                <w:rFonts w:ascii="宋体" w:eastAsia="宋体" w:hAnsi="宋体" w:cs="宋体" w:hint="eastAsia"/>
                <w:sz w:val="15"/>
                <w:szCs w:val="15"/>
              </w:rPr>
            </w:pPr>
            <w:r w:rsidRPr="00514846">
              <w:rPr>
                <w:rFonts w:ascii="宋体" w:eastAsia="宋体" w:hAnsi="宋体" w:cs="宋体"/>
                <w:sz w:val="15"/>
                <w:szCs w:val="15"/>
              </w:rPr>
              <w:t>58,017.88</w:t>
            </w:r>
          </w:p>
        </w:tc>
        <w:tc>
          <w:tcPr>
            <w:tcW w:w="709" w:type="dxa"/>
            <w:shd w:val="clear" w:color="auto" w:fill="FFFFFF" w:themeFill="background1"/>
            <w:vAlign w:val="center"/>
          </w:tcPr>
          <w:p w14:paraId="6CB98133" w14:textId="77777777" w:rsidR="00632E5B" w:rsidRPr="00514846" w:rsidRDefault="00107901">
            <w:pPr>
              <w:spacing w:line="240" w:lineRule="exact"/>
              <w:jc w:val="right"/>
              <w:rPr>
                <w:rFonts w:ascii="宋体" w:eastAsia="宋体" w:hAnsi="宋体" w:cs="宋体" w:hint="eastAsia"/>
                <w:sz w:val="15"/>
                <w:szCs w:val="15"/>
              </w:rPr>
            </w:pPr>
            <w:r w:rsidRPr="00514846">
              <w:rPr>
                <w:rFonts w:ascii="宋体" w:eastAsia="宋体" w:hAnsi="宋体" w:cs="宋体"/>
                <w:sz w:val="15"/>
                <w:szCs w:val="15"/>
              </w:rPr>
              <w:t>0.04%</w:t>
            </w:r>
          </w:p>
        </w:tc>
        <w:tc>
          <w:tcPr>
            <w:tcW w:w="1276" w:type="dxa"/>
            <w:shd w:val="clear" w:color="auto" w:fill="FFFFFF" w:themeFill="background1"/>
            <w:vAlign w:val="center"/>
          </w:tcPr>
          <w:p w14:paraId="239E627D" w14:textId="77777777" w:rsidR="00632E5B" w:rsidRPr="00514846" w:rsidRDefault="00107901">
            <w:pPr>
              <w:spacing w:line="240" w:lineRule="exact"/>
              <w:jc w:val="right"/>
              <w:rPr>
                <w:rFonts w:ascii="宋体" w:eastAsia="宋体" w:hAnsi="宋体" w:cs="宋体" w:hint="eastAsia"/>
                <w:sz w:val="15"/>
                <w:szCs w:val="15"/>
              </w:rPr>
            </w:pPr>
            <w:r w:rsidRPr="00514846">
              <w:rPr>
                <w:rFonts w:ascii="宋体" w:eastAsia="宋体" w:hAnsi="宋体" w:cs="宋体"/>
                <w:sz w:val="15"/>
                <w:szCs w:val="15"/>
              </w:rPr>
              <w:t>137,832,668.56</w:t>
            </w:r>
          </w:p>
        </w:tc>
        <w:tc>
          <w:tcPr>
            <w:tcW w:w="1275" w:type="dxa"/>
            <w:shd w:val="clear" w:color="auto" w:fill="FFFFFF" w:themeFill="background1"/>
            <w:vAlign w:val="center"/>
          </w:tcPr>
          <w:p w14:paraId="0E350AB0" w14:textId="77777777" w:rsidR="00632E5B" w:rsidRPr="00514846" w:rsidRDefault="00107901">
            <w:pPr>
              <w:spacing w:line="240" w:lineRule="exact"/>
              <w:jc w:val="right"/>
              <w:rPr>
                <w:rFonts w:ascii="宋体" w:eastAsia="宋体" w:hAnsi="宋体" w:cs="宋体" w:hint="eastAsia"/>
                <w:sz w:val="15"/>
                <w:szCs w:val="15"/>
              </w:rPr>
            </w:pPr>
            <w:r w:rsidRPr="00514846">
              <w:rPr>
                <w:rFonts w:ascii="宋体" w:eastAsia="宋体" w:hAnsi="宋体" w:cs="宋体"/>
                <w:sz w:val="15"/>
                <w:szCs w:val="15"/>
              </w:rPr>
              <w:t>245,315,312.07</w:t>
            </w:r>
          </w:p>
        </w:tc>
        <w:tc>
          <w:tcPr>
            <w:tcW w:w="877" w:type="dxa"/>
            <w:shd w:val="clear" w:color="auto" w:fill="FFFFFF" w:themeFill="background1"/>
            <w:vAlign w:val="center"/>
          </w:tcPr>
          <w:p w14:paraId="23E7BB09" w14:textId="77777777" w:rsidR="00632E5B" w:rsidRPr="00514846" w:rsidRDefault="00107901">
            <w:pPr>
              <w:spacing w:line="240" w:lineRule="exact"/>
              <w:jc w:val="right"/>
              <w:rPr>
                <w:rFonts w:ascii="宋体" w:eastAsia="宋体" w:hAnsi="宋体" w:cs="宋体" w:hint="eastAsia"/>
                <w:sz w:val="15"/>
                <w:szCs w:val="15"/>
              </w:rPr>
            </w:pPr>
            <w:r w:rsidRPr="00514846">
              <w:rPr>
                <w:rFonts w:ascii="宋体" w:eastAsia="宋体" w:hAnsi="宋体" w:cs="宋体"/>
                <w:sz w:val="15"/>
                <w:szCs w:val="15"/>
              </w:rPr>
              <w:t>100.00%</w:t>
            </w:r>
          </w:p>
        </w:tc>
        <w:tc>
          <w:tcPr>
            <w:tcW w:w="1074" w:type="dxa"/>
            <w:gridSpan w:val="2"/>
            <w:shd w:val="clear" w:color="auto" w:fill="FFFFFF" w:themeFill="background1"/>
            <w:vAlign w:val="center"/>
          </w:tcPr>
          <w:p w14:paraId="0BFF0B7C" w14:textId="77777777" w:rsidR="00632E5B" w:rsidRPr="00514846" w:rsidRDefault="00107901">
            <w:pPr>
              <w:spacing w:line="240" w:lineRule="exact"/>
              <w:jc w:val="right"/>
              <w:rPr>
                <w:rFonts w:ascii="宋体" w:eastAsia="宋体" w:hAnsi="宋体" w:cs="宋体" w:hint="eastAsia"/>
                <w:sz w:val="15"/>
                <w:szCs w:val="15"/>
              </w:rPr>
            </w:pPr>
            <w:r w:rsidRPr="00514846">
              <w:rPr>
                <w:rFonts w:ascii="宋体" w:eastAsia="宋体" w:hAnsi="宋体" w:cs="宋体"/>
                <w:sz w:val="15"/>
                <w:szCs w:val="15"/>
              </w:rPr>
              <w:t>595,364.74</w:t>
            </w:r>
          </w:p>
        </w:tc>
        <w:tc>
          <w:tcPr>
            <w:tcW w:w="709" w:type="dxa"/>
            <w:shd w:val="clear" w:color="auto" w:fill="FFFFFF" w:themeFill="background1"/>
            <w:vAlign w:val="center"/>
          </w:tcPr>
          <w:p w14:paraId="526844E6" w14:textId="77777777" w:rsidR="00632E5B" w:rsidRPr="00514846" w:rsidRDefault="00107901">
            <w:pPr>
              <w:spacing w:line="240" w:lineRule="exact"/>
              <w:jc w:val="right"/>
              <w:rPr>
                <w:rFonts w:ascii="宋体" w:eastAsia="宋体" w:hAnsi="宋体" w:cs="宋体" w:hint="eastAsia"/>
                <w:sz w:val="15"/>
                <w:szCs w:val="15"/>
              </w:rPr>
            </w:pPr>
            <w:r w:rsidRPr="00514846">
              <w:rPr>
                <w:rFonts w:ascii="宋体" w:eastAsia="宋体" w:hAnsi="宋体" w:cs="宋体"/>
                <w:sz w:val="15"/>
                <w:szCs w:val="15"/>
              </w:rPr>
              <w:t>0.24%</w:t>
            </w:r>
          </w:p>
        </w:tc>
        <w:tc>
          <w:tcPr>
            <w:tcW w:w="1276" w:type="dxa"/>
            <w:shd w:val="clear" w:color="auto" w:fill="FFFFFF" w:themeFill="background1"/>
            <w:vAlign w:val="center"/>
          </w:tcPr>
          <w:p w14:paraId="052815E2" w14:textId="77777777" w:rsidR="00632E5B" w:rsidRPr="00514846" w:rsidRDefault="00107901">
            <w:pPr>
              <w:spacing w:line="240" w:lineRule="exact"/>
              <w:jc w:val="right"/>
              <w:rPr>
                <w:rFonts w:ascii="宋体" w:eastAsia="宋体" w:hAnsi="宋体" w:cs="宋体" w:hint="eastAsia"/>
                <w:sz w:val="15"/>
                <w:szCs w:val="15"/>
              </w:rPr>
            </w:pPr>
            <w:r w:rsidRPr="00514846">
              <w:rPr>
                <w:rFonts w:ascii="宋体" w:eastAsia="宋体" w:hAnsi="宋体" w:cs="宋体"/>
                <w:sz w:val="15"/>
                <w:szCs w:val="15"/>
              </w:rPr>
              <w:t>244,719,947.33</w:t>
            </w:r>
          </w:p>
        </w:tc>
      </w:tr>
    </w:tbl>
    <w:p w14:paraId="321A5A1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按组合计提坏账准备：58,017.88</w:t>
      </w:r>
    </w:p>
    <w:p w14:paraId="216D1414" w14:textId="77777777" w:rsidR="004A771F" w:rsidRDefault="004A771F">
      <w:pPr>
        <w:widowControl/>
        <w:rPr>
          <w:rFonts w:ascii="宋体" w:eastAsia="宋体" w:hAnsi="宋体" w:cs="宋体" w:hint="eastAsia"/>
          <w:sz w:val="18"/>
          <w:szCs w:val="18"/>
        </w:rPr>
      </w:pPr>
      <w:r>
        <w:rPr>
          <w:rFonts w:ascii="宋体" w:eastAsia="宋体" w:hAnsi="宋体" w:cs="宋体" w:hint="eastAsia"/>
          <w:sz w:val="18"/>
          <w:szCs w:val="18"/>
        </w:rPr>
        <w:br w:type="page"/>
      </w:r>
    </w:p>
    <w:p w14:paraId="38002B42" w14:textId="02FC3AEC"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lastRenderedPageBreak/>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2409"/>
        <w:gridCol w:w="2410"/>
        <w:gridCol w:w="2410"/>
        <w:gridCol w:w="2410"/>
      </w:tblGrid>
      <w:tr w:rsidR="00632E5B" w14:paraId="43B8115E" w14:textId="77777777" w:rsidTr="004A771F">
        <w:trPr>
          <w:trHeight w:val="240"/>
        </w:trPr>
        <w:tc>
          <w:tcPr>
            <w:tcW w:w="2410" w:type="dxa"/>
            <w:vMerge w:val="restart"/>
            <w:shd w:val="clear" w:color="auto" w:fill="FFFFFF" w:themeFill="background1"/>
            <w:vAlign w:val="center"/>
          </w:tcPr>
          <w:p w14:paraId="79884E3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名称</w:t>
            </w:r>
          </w:p>
        </w:tc>
        <w:tc>
          <w:tcPr>
            <w:tcW w:w="7229" w:type="dxa"/>
            <w:gridSpan w:val="3"/>
            <w:shd w:val="clear" w:color="auto" w:fill="FFFFFF" w:themeFill="background1"/>
            <w:vAlign w:val="center"/>
          </w:tcPr>
          <w:p w14:paraId="7D2D08D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632E5B" w14:paraId="6A5AABD2" w14:textId="77777777" w:rsidTr="004A771F">
        <w:trPr>
          <w:trHeight w:val="240"/>
        </w:trPr>
        <w:tc>
          <w:tcPr>
            <w:tcW w:w="2410" w:type="dxa"/>
            <w:vMerge/>
            <w:shd w:val="clear" w:color="auto" w:fill="FFFFFF" w:themeFill="background1"/>
            <w:vAlign w:val="center"/>
          </w:tcPr>
          <w:p w14:paraId="077F1C18" w14:textId="77777777" w:rsidR="00632E5B" w:rsidRDefault="00632E5B"/>
        </w:tc>
        <w:tc>
          <w:tcPr>
            <w:tcW w:w="2410" w:type="dxa"/>
            <w:shd w:val="clear" w:color="auto" w:fill="FFFFFF" w:themeFill="background1"/>
            <w:vAlign w:val="center"/>
          </w:tcPr>
          <w:p w14:paraId="3265692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2410" w:type="dxa"/>
            <w:shd w:val="clear" w:color="auto" w:fill="FFFFFF" w:themeFill="background1"/>
            <w:vAlign w:val="center"/>
          </w:tcPr>
          <w:p w14:paraId="777F21D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2410" w:type="dxa"/>
            <w:shd w:val="clear" w:color="auto" w:fill="FFFFFF" w:themeFill="background1"/>
            <w:vAlign w:val="center"/>
          </w:tcPr>
          <w:p w14:paraId="6341B21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计提比例</w:t>
            </w:r>
          </w:p>
        </w:tc>
      </w:tr>
      <w:tr w:rsidR="00632E5B" w14:paraId="73B71E81" w14:textId="77777777" w:rsidTr="004A771F">
        <w:trPr>
          <w:trHeight w:val="240"/>
        </w:trPr>
        <w:tc>
          <w:tcPr>
            <w:tcW w:w="2410" w:type="dxa"/>
            <w:shd w:val="clear" w:color="auto" w:fill="FFFFFF" w:themeFill="background1"/>
            <w:vAlign w:val="center"/>
          </w:tcPr>
          <w:p w14:paraId="337E745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商业承兑汇票组合</w:t>
            </w:r>
          </w:p>
        </w:tc>
        <w:tc>
          <w:tcPr>
            <w:tcW w:w="2410" w:type="dxa"/>
            <w:shd w:val="clear" w:color="auto" w:fill="FFFFFF" w:themeFill="background1"/>
            <w:vAlign w:val="center"/>
          </w:tcPr>
          <w:p w14:paraId="15426B1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2,900,893.80</w:t>
            </w:r>
          </w:p>
        </w:tc>
        <w:tc>
          <w:tcPr>
            <w:tcW w:w="2410" w:type="dxa"/>
            <w:shd w:val="clear" w:color="auto" w:fill="FFFFFF" w:themeFill="background1"/>
            <w:vAlign w:val="center"/>
          </w:tcPr>
          <w:p w14:paraId="3013861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58,017.88</w:t>
            </w:r>
          </w:p>
        </w:tc>
        <w:tc>
          <w:tcPr>
            <w:tcW w:w="2410" w:type="dxa"/>
            <w:shd w:val="clear" w:color="auto" w:fill="FFFFFF" w:themeFill="background1"/>
            <w:vAlign w:val="center"/>
          </w:tcPr>
          <w:p w14:paraId="780BB1F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2.00%</w:t>
            </w:r>
          </w:p>
        </w:tc>
      </w:tr>
      <w:tr w:rsidR="00632E5B" w14:paraId="0AAB812D" w14:textId="77777777" w:rsidTr="004A771F">
        <w:trPr>
          <w:trHeight w:val="240"/>
        </w:trPr>
        <w:tc>
          <w:tcPr>
            <w:tcW w:w="2410" w:type="dxa"/>
            <w:shd w:val="clear" w:color="auto" w:fill="FFFFFF" w:themeFill="background1"/>
            <w:vAlign w:val="center"/>
          </w:tcPr>
          <w:p w14:paraId="531A29A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2410" w:type="dxa"/>
            <w:shd w:val="clear" w:color="auto" w:fill="FFFFFF" w:themeFill="background1"/>
            <w:vAlign w:val="center"/>
          </w:tcPr>
          <w:p w14:paraId="2DBDEAE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2,900,893.80</w:t>
            </w:r>
          </w:p>
        </w:tc>
        <w:tc>
          <w:tcPr>
            <w:tcW w:w="2410" w:type="dxa"/>
            <w:shd w:val="clear" w:color="auto" w:fill="FFFFFF" w:themeFill="background1"/>
            <w:vAlign w:val="center"/>
          </w:tcPr>
          <w:p w14:paraId="69EA637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58,017.88</w:t>
            </w:r>
          </w:p>
        </w:tc>
        <w:tc>
          <w:tcPr>
            <w:tcW w:w="2410" w:type="dxa"/>
            <w:shd w:val="clear" w:color="auto" w:fill="FFFFFF" w:themeFill="background1"/>
            <w:vAlign w:val="center"/>
          </w:tcPr>
          <w:p w14:paraId="5FF665C8" w14:textId="77777777" w:rsidR="00632E5B" w:rsidRDefault="00632E5B"/>
        </w:tc>
      </w:tr>
    </w:tbl>
    <w:p w14:paraId="79B14EF1"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如是按照预期信用损失一般模型计提应收票据坏账准备：</w:t>
      </w:r>
    </w:p>
    <w:p w14:paraId="222E6DB0"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6A32AF68"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214" w:name="_Toc989103"/>
      <w:r>
        <w:rPr>
          <w:rFonts w:ascii="宋体" w:eastAsia="宋体" w:hAnsi="宋体" w:cs="宋体"/>
          <w:b/>
          <w:bCs/>
          <w:szCs w:val="21"/>
        </w:rPr>
        <w:t>（3） 本期计提、收回或转回的坏账准备情况</w:t>
      </w:r>
      <w:bookmarkEnd w:id="214"/>
    </w:p>
    <w:p w14:paraId="35802B02" w14:textId="77777777" w:rsidR="00632E5B" w:rsidRDefault="00107901">
      <w:pPr>
        <w:spacing w:before="100" w:line="240" w:lineRule="exact"/>
        <w:rPr>
          <w:rFonts w:ascii="宋体" w:eastAsia="宋体" w:hAnsi="宋体" w:cs="宋体" w:hint="eastAsia"/>
          <w:sz w:val="18"/>
          <w:szCs w:val="18"/>
        </w:rPr>
      </w:pPr>
      <w:r>
        <w:rPr>
          <w:rFonts w:ascii="宋体" w:eastAsia="宋体" w:hAnsi="宋体" w:cs="宋体"/>
          <w:sz w:val="18"/>
          <w:szCs w:val="18"/>
        </w:rPr>
        <w:t>本期计提坏账准备情况：</w:t>
      </w:r>
    </w:p>
    <w:p w14:paraId="10FEB9BB" w14:textId="77777777" w:rsidR="00632E5B" w:rsidRDefault="00107901">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377"/>
        <w:gridCol w:w="1377"/>
        <w:gridCol w:w="1377"/>
        <w:gridCol w:w="1377"/>
        <w:gridCol w:w="1377"/>
        <w:gridCol w:w="1377"/>
        <w:gridCol w:w="1377"/>
      </w:tblGrid>
      <w:tr w:rsidR="00632E5B" w14:paraId="1CC5CCC5" w14:textId="77777777" w:rsidTr="004A771F">
        <w:trPr>
          <w:trHeight w:val="240"/>
        </w:trPr>
        <w:tc>
          <w:tcPr>
            <w:tcW w:w="1377" w:type="dxa"/>
            <w:vMerge w:val="restart"/>
            <w:shd w:val="clear" w:color="auto" w:fill="FFFFFF" w:themeFill="background1"/>
            <w:vAlign w:val="center"/>
          </w:tcPr>
          <w:p w14:paraId="1727F1C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类别</w:t>
            </w:r>
          </w:p>
        </w:tc>
        <w:tc>
          <w:tcPr>
            <w:tcW w:w="1377" w:type="dxa"/>
            <w:vMerge w:val="restart"/>
            <w:shd w:val="clear" w:color="auto" w:fill="FFFFFF" w:themeFill="background1"/>
            <w:vAlign w:val="center"/>
          </w:tcPr>
          <w:p w14:paraId="72735DF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5508" w:type="dxa"/>
            <w:gridSpan w:val="4"/>
            <w:shd w:val="clear" w:color="auto" w:fill="FFFFFF" w:themeFill="background1"/>
            <w:vAlign w:val="center"/>
          </w:tcPr>
          <w:p w14:paraId="4EE9DF6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本期变动金额</w:t>
            </w:r>
          </w:p>
        </w:tc>
        <w:tc>
          <w:tcPr>
            <w:tcW w:w="1377" w:type="dxa"/>
            <w:vMerge w:val="restart"/>
            <w:shd w:val="clear" w:color="auto" w:fill="FFFFFF" w:themeFill="background1"/>
            <w:vAlign w:val="center"/>
          </w:tcPr>
          <w:p w14:paraId="7D2C04E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632E5B" w14:paraId="11E83C0C" w14:textId="77777777" w:rsidTr="004A771F">
        <w:trPr>
          <w:trHeight w:val="240"/>
        </w:trPr>
        <w:tc>
          <w:tcPr>
            <w:tcW w:w="1377" w:type="dxa"/>
            <w:vMerge/>
            <w:shd w:val="clear" w:color="auto" w:fill="FFFFFF" w:themeFill="background1"/>
            <w:vAlign w:val="center"/>
          </w:tcPr>
          <w:p w14:paraId="6B4D5EEE" w14:textId="77777777" w:rsidR="00632E5B" w:rsidRDefault="00632E5B"/>
        </w:tc>
        <w:tc>
          <w:tcPr>
            <w:tcW w:w="1377" w:type="dxa"/>
            <w:vMerge/>
            <w:shd w:val="clear" w:color="auto" w:fill="FFFFFF" w:themeFill="background1"/>
            <w:vAlign w:val="center"/>
          </w:tcPr>
          <w:p w14:paraId="123FC79A" w14:textId="77777777" w:rsidR="00632E5B" w:rsidRDefault="00632E5B"/>
        </w:tc>
        <w:tc>
          <w:tcPr>
            <w:tcW w:w="1377" w:type="dxa"/>
            <w:shd w:val="clear" w:color="auto" w:fill="FFFFFF" w:themeFill="background1"/>
            <w:vAlign w:val="center"/>
          </w:tcPr>
          <w:p w14:paraId="33D90B3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w:t>
            </w:r>
          </w:p>
        </w:tc>
        <w:tc>
          <w:tcPr>
            <w:tcW w:w="1377" w:type="dxa"/>
            <w:shd w:val="clear" w:color="auto" w:fill="FFFFFF" w:themeFill="background1"/>
            <w:vAlign w:val="center"/>
          </w:tcPr>
          <w:p w14:paraId="2890975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收回或转回</w:t>
            </w:r>
          </w:p>
        </w:tc>
        <w:tc>
          <w:tcPr>
            <w:tcW w:w="1377" w:type="dxa"/>
            <w:shd w:val="clear" w:color="auto" w:fill="FFFFFF" w:themeFill="background1"/>
            <w:vAlign w:val="center"/>
          </w:tcPr>
          <w:p w14:paraId="4E0A0A2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核销</w:t>
            </w:r>
          </w:p>
        </w:tc>
        <w:tc>
          <w:tcPr>
            <w:tcW w:w="1377" w:type="dxa"/>
            <w:shd w:val="clear" w:color="auto" w:fill="FFFFFF" w:themeFill="background1"/>
            <w:vAlign w:val="center"/>
          </w:tcPr>
          <w:p w14:paraId="7234E43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1377" w:type="dxa"/>
            <w:vMerge/>
            <w:shd w:val="clear" w:color="auto" w:fill="FFFFFF" w:themeFill="background1"/>
            <w:vAlign w:val="center"/>
          </w:tcPr>
          <w:p w14:paraId="72250972" w14:textId="77777777" w:rsidR="00632E5B" w:rsidRDefault="00632E5B"/>
        </w:tc>
      </w:tr>
      <w:tr w:rsidR="00632E5B" w14:paraId="579640F1" w14:textId="77777777" w:rsidTr="004A771F">
        <w:trPr>
          <w:trHeight w:val="240"/>
        </w:trPr>
        <w:tc>
          <w:tcPr>
            <w:tcW w:w="1377" w:type="dxa"/>
            <w:shd w:val="clear" w:color="auto" w:fill="FFFFFF" w:themeFill="background1"/>
            <w:vAlign w:val="center"/>
          </w:tcPr>
          <w:p w14:paraId="155465E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组合计提</w:t>
            </w:r>
          </w:p>
        </w:tc>
        <w:tc>
          <w:tcPr>
            <w:tcW w:w="1377" w:type="dxa"/>
            <w:shd w:val="clear" w:color="auto" w:fill="FFFFFF" w:themeFill="background1"/>
            <w:vAlign w:val="center"/>
          </w:tcPr>
          <w:p w14:paraId="61D6756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595,364.74</w:t>
            </w:r>
          </w:p>
        </w:tc>
        <w:tc>
          <w:tcPr>
            <w:tcW w:w="1377" w:type="dxa"/>
            <w:shd w:val="clear" w:color="auto" w:fill="FFFFFF" w:themeFill="background1"/>
            <w:vAlign w:val="center"/>
          </w:tcPr>
          <w:p w14:paraId="7B6307D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7,786.14</w:t>
            </w:r>
          </w:p>
        </w:tc>
        <w:tc>
          <w:tcPr>
            <w:tcW w:w="1377" w:type="dxa"/>
            <w:shd w:val="clear" w:color="auto" w:fill="FFFFFF" w:themeFill="background1"/>
            <w:vAlign w:val="center"/>
          </w:tcPr>
          <w:p w14:paraId="2130ED5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545,133.00</w:t>
            </w:r>
          </w:p>
        </w:tc>
        <w:tc>
          <w:tcPr>
            <w:tcW w:w="1377" w:type="dxa"/>
            <w:shd w:val="clear" w:color="auto" w:fill="FFFFFF" w:themeFill="background1"/>
            <w:vAlign w:val="center"/>
          </w:tcPr>
          <w:p w14:paraId="6D0E16D1" w14:textId="77777777" w:rsidR="00632E5B" w:rsidRDefault="00632E5B">
            <w:pPr>
              <w:spacing w:line="240" w:lineRule="exact"/>
              <w:jc w:val="right"/>
              <w:rPr>
                <w:rFonts w:ascii="宋体" w:eastAsia="宋体" w:hAnsi="宋体" w:cs="宋体" w:hint="eastAsia"/>
                <w:sz w:val="18"/>
                <w:szCs w:val="18"/>
              </w:rPr>
            </w:pPr>
          </w:p>
        </w:tc>
        <w:tc>
          <w:tcPr>
            <w:tcW w:w="1377" w:type="dxa"/>
            <w:shd w:val="clear" w:color="auto" w:fill="FFFFFF" w:themeFill="background1"/>
            <w:vAlign w:val="center"/>
          </w:tcPr>
          <w:p w14:paraId="508E4590" w14:textId="77777777" w:rsidR="00632E5B" w:rsidRDefault="00632E5B">
            <w:pPr>
              <w:spacing w:line="240" w:lineRule="exact"/>
              <w:jc w:val="right"/>
              <w:rPr>
                <w:rFonts w:ascii="宋体" w:eastAsia="宋体" w:hAnsi="宋体" w:cs="宋体" w:hint="eastAsia"/>
                <w:sz w:val="18"/>
                <w:szCs w:val="18"/>
              </w:rPr>
            </w:pPr>
          </w:p>
        </w:tc>
        <w:tc>
          <w:tcPr>
            <w:tcW w:w="1377" w:type="dxa"/>
            <w:shd w:val="clear" w:color="auto" w:fill="FFFFFF" w:themeFill="background1"/>
            <w:vAlign w:val="center"/>
          </w:tcPr>
          <w:p w14:paraId="7D0F860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58,017.88</w:t>
            </w:r>
          </w:p>
        </w:tc>
      </w:tr>
      <w:tr w:rsidR="00632E5B" w14:paraId="6E38684D" w14:textId="77777777" w:rsidTr="004A771F">
        <w:trPr>
          <w:trHeight w:val="240"/>
        </w:trPr>
        <w:tc>
          <w:tcPr>
            <w:tcW w:w="1377" w:type="dxa"/>
            <w:shd w:val="clear" w:color="auto" w:fill="FFFFFF" w:themeFill="background1"/>
            <w:vAlign w:val="center"/>
          </w:tcPr>
          <w:p w14:paraId="3A463B9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377" w:type="dxa"/>
            <w:shd w:val="clear" w:color="auto" w:fill="FFFFFF" w:themeFill="background1"/>
            <w:vAlign w:val="center"/>
          </w:tcPr>
          <w:p w14:paraId="3368C1C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595,364.74</w:t>
            </w:r>
          </w:p>
        </w:tc>
        <w:tc>
          <w:tcPr>
            <w:tcW w:w="1377" w:type="dxa"/>
            <w:shd w:val="clear" w:color="auto" w:fill="FFFFFF" w:themeFill="background1"/>
            <w:vAlign w:val="center"/>
          </w:tcPr>
          <w:p w14:paraId="54DE084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7,786.14</w:t>
            </w:r>
          </w:p>
        </w:tc>
        <w:tc>
          <w:tcPr>
            <w:tcW w:w="1377" w:type="dxa"/>
            <w:shd w:val="clear" w:color="auto" w:fill="FFFFFF" w:themeFill="background1"/>
            <w:vAlign w:val="center"/>
          </w:tcPr>
          <w:p w14:paraId="64EFFBE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545,133.00</w:t>
            </w:r>
          </w:p>
        </w:tc>
        <w:tc>
          <w:tcPr>
            <w:tcW w:w="1377" w:type="dxa"/>
            <w:shd w:val="clear" w:color="auto" w:fill="FFFFFF" w:themeFill="background1"/>
            <w:vAlign w:val="center"/>
          </w:tcPr>
          <w:p w14:paraId="659FE000" w14:textId="77777777" w:rsidR="00632E5B" w:rsidRDefault="00632E5B">
            <w:pPr>
              <w:spacing w:line="240" w:lineRule="exact"/>
              <w:jc w:val="right"/>
              <w:rPr>
                <w:rFonts w:ascii="宋体" w:eastAsia="宋体" w:hAnsi="宋体" w:cs="宋体" w:hint="eastAsia"/>
                <w:sz w:val="18"/>
                <w:szCs w:val="18"/>
              </w:rPr>
            </w:pPr>
          </w:p>
        </w:tc>
        <w:tc>
          <w:tcPr>
            <w:tcW w:w="1377" w:type="dxa"/>
            <w:shd w:val="clear" w:color="auto" w:fill="FFFFFF" w:themeFill="background1"/>
            <w:vAlign w:val="center"/>
          </w:tcPr>
          <w:p w14:paraId="41614F58" w14:textId="77777777" w:rsidR="00632E5B" w:rsidRDefault="00632E5B">
            <w:pPr>
              <w:spacing w:line="240" w:lineRule="exact"/>
              <w:jc w:val="right"/>
              <w:rPr>
                <w:rFonts w:ascii="宋体" w:eastAsia="宋体" w:hAnsi="宋体" w:cs="宋体" w:hint="eastAsia"/>
                <w:sz w:val="18"/>
                <w:szCs w:val="18"/>
              </w:rPr>
            </w:pPr>
          </w:p>
        </w:tc>
        <w:tc>
          <w:tcPr>
            <w:tcW w:w="1377" w:type="dxa"/>
            <w:shd w:val="clear" w:color="auto" w:fill="FFFFFF" w:themeFill="background1"/>
            <w:vAlign w:val="center"/>
          </w:tcPr>
          <w:p w14:paraId="4D2DB9A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58,017.88</w:t>
            </w:r>
          </w:p>
        </w:tc>
      </w:tr>
    </w:tbl>
    <w:p w14:paraId="05063EFF"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其中本期坏账准备收回或转回金额重要的：</w:t>
      </w:r>
    </w:p>
    <w:p w14:paraId="5BAB7B33"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5CA24711"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215" w:name="_Toc989104"/>
      <w:r>
        <w:rPr>
          <w:rFonts w:ascii="宋体" w:eastAsia="宋体" w:hAnsi="宋体" w:cs="宋体"/>
          <w:b/>
          <w:bCs/>
          <w:szCs w:val="21"/>
        </w:rPr>
        <w:t>（4） 期末公司已背书或贴现且在资产负债表日尚未到期的应收票据</w:t>
      </w:r>
      <w:bookmarkEnd w:id="215"/>
    </w:p>
    <w:p w14:paraId="588D3476"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6DB8A1EF" w14:textId="77777777" w:rsidTr="004A771F">
        <w:trPr>
          <w:trHeight w:val="240"/>
        </w:trPr>
        <w:tc>
          <w:tcPr>
            <w:tcW w:w="3213" w:type="dxa"/>
            <w:shd w:val="clear" w:color="auto" w:fill="FFFFFF" w:themeFill="background1"/>
            <w:vAlign w:val="center"/>
          </w:tcPr>
          <w:p w14:paraId="3C22722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108303F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期末终止确认金额</w:t>
            </w:r>
          </w:p>
        </w:tc>
        <w:tc>
          <w:tcPr>
            <w:tcW w:w="3213" w:type="dxa"/>
            <w:shd w:val="clear" w:color="auto" w:fill="FFFFFF" w:themeFill="background1"/>
            <w:vAlign w:val="center"/>
          </w:tcPr>
          <w:p w14:paraId="0D3CBA0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期末未终止确认金额</w:t>
            </w:r>
          </w:p>
        </w:tc>
      </w:tr>
      <w:tr w:rsidR="00632E5B" w14:paraId="274742A4" w14:textId="77777777" w:rsidTr="004A771F">
        <w:trPr>
          <w:trHeight w:val="240"/>
        </w:trPr>
        <w:tc>
          <w:tcPr>
            <w:tcW w:w="3213" w:type="dxa"/>
            <w:shd w:val="clear" w:color="auto" w:fill="FFFFFF" w:themeFill="background1"/>
            <w:vAlign w:val="center"/>
          </w:tcPr>
          <w:p w14:paraId="5F294B67" w14:textId="74A27E48" w:rsidR="00632E5B" w:rsidRDefault="00DA4818">
            <w:pPr>
              <w:spacing w:before="40" w:after="40" w:line="240" w:lineRule="exact"/>
              <w:rPr>
                <w:rFonts w:ascii="宋体" w:eastAsia="宋体" w:hAnsi="宋体" w:cs="宋体" w:hint="eastAsia"/>
                <w:sz w:val="18"/>
                <w:szCs w:val="18"/>
              </w:rPr>
            </w:pPr>
            <w:r>
              <w:rPr>
                <w:rFonts w:ascii="宋体" w:eastAsia="宋体" w:hAnsi="宋体" w:cs="宋体"/>
                <w:sz w:val="18"/>
                <w:szCs w:val="18"/>
              </w:rPr>
              <w:t>银行承兑</w:t>
            </w:r>
            <w:r>
              <w:rPr>
                <w:rFonts w:ascii="宋体" w:eastAsia="宋体" w:hAnsi="宋体" w:cs="宋体" w:hint="eastAsia"/>
                <w:sz w:val="18"/>
                <w:szCs w:val="18"/>
              </w:rPr>
              <w:t>汇票</w:t>
            </w:r>
          </w:p>
        </w:tc>
        <w:tc>
          <w:tcPr>
            <w:tcW w:w="3213" w:type="dxa"/>
            <w:shd w:val="clear" w:color="auto" w:fill="FFFFFF" w:themeFill="background1"/>
            <w:vAlign w:val="center"/>
          </w:tcPr>
          <w:p w14:paraId="4E3E98BE" w14:textId="77777777" w:rsidR="00632E5B" w:rsidRDefault="00632E5B">
            <w:pPr>
              <w:spacing w:line="240" w:lineRule="exact"/>
              <w:jc w:val="right"/>
              <w:rPr>
                <w:rFonts w:ascii="宋体" w:eastAsia="宋体" w:hAnsi="宋体" w:cs="宋体" w:hint="eastAsia"/>
                <w:sz w:val="18"/>
                <w:szCs w:val="18"/>
              </w:rPr>
            </w:pPr>
          </w:p>
        </w:tc>
        <w:tc>
          <w:tcPr>
            <w:tcW w:w="3213" w:type="dxa"/>
            <w:shd w:val="clear" w:color="auto" w:fill="FFFFFF" w:themeFill="background1"/>
            <w:vAlign w:val="center"/>
          </w:tcPr>
          <w:p w14:paraId="5276813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112,938,926.29</w:t>
            </w:r>
          </w:p>
        </w:tc>
      </w:tr>
      <w:tr w:rsidR="00632E5B" w14:paraId="46C5F88B" w14:textId="77777777" w:rsidTr="004A771F">
        <w:trPr>
          <w:trHeight w:val="240"/>
        </w:trPr>
        <w:tc>
          <w:tcPr>
            <w:tcW w:w="3213" w:type="dxa"/>
            <w:shd w:val="clear" w:color="auto" w:fill="FFFFFF" w:themeFill="background1"/>
            <w:vAlign w:val="center"/>
          </w:tcPr>
          <w:p w14:paraId="73D4617F" w14:textId="3B674C1B" w:rsidR="00632E5B" w:rsidRDefault="00DA4818">
            <w:pPr>
              <w:spacing w:before="40" w:after="40" w:line="240" w:lineRule="exact"/>
              <w:rPr>
                <w:rFonts w:ascii="宋体" w:eastAsia="宋体" w:hAnsi="宋体" w:cs="宋体" w:hint="eastAsia"/>
                <w:sz w:val="18"/>
                <w:szCs w:val="18"/>
              </w:rPr>
            </w:pPr>
            <w:r>
              <w:rPr>
                <w:rFonts w:ascii="宋体" w:eastAsia="宋体" w:hAnsi="宋体" w:cs="宋体"/>
                <w:sz w:val="18"/>
                <w:szCs w:val="18"/>
              </w:rPr>
              <w:t>商业承兑</w:t>
            </w:r>
            <w:r>
              <w:rPr>
                <w:rFonts w:ascii="宋体" w:eastAsia="宋体" w:hAnsi="宋体" w:cs="宋体" w:hint="eastAsia"/>
                <w:sz w:val="18"/>
                <w:szCs w:val="18"/>
              </w:rPr>
              <w:t>汇票</w:t>
            </w:r>
          </w:p>
        </w:tc>
        <w:tc>
          <w:tcPr>
            <w:tcW w:w="3213" w:type="dxa"/>
            <w:shd w:val="clear" w:color="auto" w:fill="FFFFFF" w:themeFill="background1"/>
            <w:vAlign w:val="center"/>
          </w:tcPr>
          <w:p w14:paraId="35AD2FC3" w14:textId="77777777" w:rsidR="00632E5B" w:rsidRDefault="00632E5B">
            <w:pPr>
              <w:spacing w:line="240" w:lineRule="exact"/>
              <w:jc w:val="right"/>
              <w:rPr>
                <w:rFonts w:ascii="宋体" w:eastAsia="宋体" w:hAnsi="宋体" w:cs="宋体" w:hint="eastAsia"/>
                <w:sz w:val="18"/>
                <w:szCs w:val="18"/>
              </w:rPr>
            </w:pPr>
          </w:p>
        </w:tc>
        <w:tc>
          <w:tcPr>
            <w:tcW w:w="3213" w:type="dxa"/>
            <w:shd w:val="clear" w:color="auto" w:fill="FFFFFF" w:themeFill="background1"/>
            <w:vAlign w:val="center"/>
          </w:tcPr>
          <w:p w14:paraId="500E119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2,353,959.60</w:t>
            </w:r>
          </w:p>
        </w:tc>
      </w:tr>
      <w:tr w:rsidR="00632E5B" w14:paraId="5D56942A" w14:textId="77777777" w:rsidTr="004A771F">
        <w:trPr>
          <w:trHeight w:val="240"/>
        </w:trPr>
        <w:tc>
          <w:tcPr>
            <w:tcW w:w="3213" w:type="dxa"/>
            <w:shd w:val="clear" w:color="auto" w:fill="FFFFFF" w:themeFill="background1"/>
            <w:vAlign w:val="center"/>
          </w:tcPr>
          <w:p w14:paraId="33DCBDCB"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3669F1A8" w14:textId="77777777" w:rsidR="00632E5B" w:rsidRDefault="00632E5B">
            <w:pPr>
              <w:spacing w:line="240" w:lineRule="exact"/>
              <w:jc w:val="right"/>
              <w:rPr>
                <w:rFonts w:ascii="宋体" w:eastAsia="宋体" w:hAnsi="宋体" w:cs="宋体" w:hint="eastAsia"/>
                <w:sz w:val="18"/>
                <w:szCs w:val="18"/>
              </w:rPr>
            </w:pPr>
          </w:p>
        </w:tc>
        <w:tc>
          <w:tcPr>
            <w:tcW w:w="3213" w:type="dxa"/>
            <w:shd w:val="clear" w:color="auto" w:fill="FFFFFF" w:themeFill="background1"/>
            <w:vAlign w:val="center"/>
          </w:tcPr>
          <w:p w14:paraId="19689CD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115,292,885.89</w:t>
            </w:r>
          </w:p>
        </w:tc>
      </w:tr>
    </w:tbl>
    <w:p w14:paraId="5D7EECD7" w14:textId="77777777" w:rsidR="00632E5B" w:rsidRDefault="00107901">
      <w:pPr>
        <w:pStyle w:val="3"/>
        <w:spacing w:line="280" w:lineRule="exact"/>
        <w:jc w:val="left"/>
        <w:rPr>
          <w:rFonts w:ascii="宋体" w:hAnsi="宋体" w:cs="宋体" w:hint="eastAsia"/>
          <w:b/>
          <w:bCs/>
        </w:rPr>
      </w:pPr>
      <w:bookmarkStart w:id="216" w:name="_Toc989105"/>
      <w:r>
        <w:rPr>
          <w:rFonts w:ascii="宋体" w:hAnsi="宋体" w:cs="宋体"/>
          <w:b/>
          <w:bCs/>
        </w:rPr>
        <w:t>4、应收账款</w:t>
      </w:r>
      <w:bookmarkEnd w:id="216"/>
    </w:p>
    <w:p w14:paraId="6950EF49"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217" w:name="_Toc989106"/>
      <w:r>
        <w:rPr>
          <w:rFonts w:ascii="宋体" w:eastAsia="宋体" w:hAnsi="宋体" w:cs="宋体"/>
          <w:b/>
          <w:bCs/>
          <w:szCs w:val="21"/>
        </w:rPr>
        <w:t>（1） 按账龄披露</w:t>
      </w:r>
      <w:bookmarkEnd w:id="217"/>
    </w:p>
    <w:p w14:paraId="60F8B509" w14:textId="77777777" w:rsidR="00632E5B" w:rsidRDefault="00107901">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Style w:val="20"/>
        <w:tblW w:w="9675" w:type="dxa"/>
        <w:tblBorders>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5017"/>
        <w:gridCol w:w="2886"/>
        <w:gridCol w:w="1772"/>
      </w:tblGrid>
      <w:tr w:rsidR="006569E8" w:rsidRPr="0047298B" w14:paraId="7AA6A368" w14:textId="77777777" w:rsidTr="0047298B">
        <w:trPr>
          <w:cnfStyle w:val="000000100000" w:firstRow="0" w:lastRow="0" w:firstColumn="0" w:lastColumn="0" w:oddVBand="0" w:evenVBand="0" w:oddHBand="1" w:evenHBand="0" w:firstRowFirstColumn="0" w:firstRowLastColumn="0" w:lastRowFirstColumn="0" w:lastRowLastColumn="0"/>
          <w:trHeight w:val="316"/>
        </w:trPr>
        <w:tc>
          <w:tcPr>
            <w:cnfStyle w:val="000010000000" w:firstRow="0" w:lastRow="0" w:firstColumn="0" w:lastColumn="0" w:oddVBand="1" w:evenVBand="0" w:oddHBand="0" w:evenHBand="0" w:firstRowFirstColumn="0" w:firstRowLastColumn="0" w:lastRowFirstColumn="0" w:lastRowLastColumn="0"/>
            <w:tcW w:w="5017" w:type="dxa"/>
            <w:tcBorders>
              <w:top w:val="none" w:sz="0" w:space="0" w:color="auto"/>
              <w:left w:val="none" w:sz="0" w:space="0" w:color="auto"/>
              <w:bottom w:val="none" w:sz="0" w:space="0" w:color="auto"/>
              <w:right w:val="none" w:sz="0" w:space="0" w:color="auto"/>
            </w:tcBorders>
            <w:noWrap/>
          </w:tcPr>
          <w:p w14:paraId="4045FB3A" w14:textId="77777777" w:rsidR="006569E8" w:rsidRPr="0047298B" w:rsidRDefault="006569E8" w:rsidP="0014662C">
            <w:pPr>
              <w:widowControl/>
              <w:jc w:val="center"/>
              <w:textAlignment w:val="bottom"/>
              <w:rPr>
                <w:rFonts w:asciiTheme="minorEastAsia" w:hAnsiTheme="minorEastAsia" w:cs="宋体" w:hint="eastAsia"/>
                <w:color w:val="000000"/>
                <w:sz w:val="18"/>
                <w:szCs w:val="18"/>
              </w:rPr>
            </w:pPr>
            <w:r w:rsidRPr="0047298B">
              <w:rPr>
                <w:rFonts w:asciiTheme="minorEastAsia" w:hAnsiTheme="minorEastAsia" w:cs="宋体" w:hint="eastAsia"/>
                <w:color w:val="000000"/>
                <w:kern w:val="0"/>
                <w:sz w:val="18"/>
                <w:szCs w:val="18"/>
                <w:lang w:bidi="ar"/>
              </w:rPr>
              <w:t>账龄</w:t>
            </w:r>
          </w:p>
        </w:tc>
        <w:tc>
          <w:tcPr>
            <w:cnfStyle w:val="000001000000" w:firstRow="0" w:lastRow="0" w:firstColumn="0" w:lastColumn="0" w:oddVBand="0" w:evenVBand="1" w:oddHBand="0" w:evenHBand="0" w:firstRowFirstColumn="0" w:firstRowLastColumn="0" w:lastRowFirstColumn="0" w:lastRowLastColumn="0"/>
            <w:tcW w:w="2886" w:type="dxa"/>
            <w:tcBorders>
              <w:top w:val="none" w:sz="0" w:space="0" w:color="auto"/>
              <w:left w:val="none" w:sz="0" w:space="0" w:color="auto"/>
              <w:bottom w:val="none" w:sz="0" w:space="0" w:color="auto"/>
              <w:right w:val="none" w:sz="0" w:space="0" w:color="auto"/>
            </w:tcBorders>
          </w:tcPr>
          <w:p w14:paraId="57C3BB8E" w14:textId="77777777" w:rsidR="006569E8" w:rsidRPr="0047298B" w:rsidRDefault="006569E8" w:rsidP="0014662C">
            <w:pPr>
              <w:widowControl/>
              <w:jc w:val="center"/>
              <w:textAlignment w:val="bottom"/>
              <w:rPr>
                <w:rFonts w:asciiTheme="minorEastAsia" w:hAnsiTheme="minorEastAsia" w:cs="宋体" w:hint="eastAsia"/>
                <w:color w:val="000000"/>
                <w:sz w:val="18"/>
                <w:szCs w:val="18"/>
              </w:rPr>
            </w:pPr>
            <w:r w:rsidRPr="0047298B">
              <w:rPr>
                <w:rFonts w:asciiTheme="minorEastAsia" w:hAnsiTheme="minorEastAsia" w:cs="宋体" w:hint="eastAsia"/>
                <w:color w:val="000000"/>
                <w:kern w:val="0"/>
                <w:sz w:val="18"/>
                <w:szCs w:val="18"/>
                <w:lang w:bidi="ar"/>
              </w:rPr>
              <w:t>期末账面余额</w:t>
            </w:r>
          </w:p>
        </w:tc>
        <w:tc>
          <w:tcPr>
            <w:cnfStyle w:val="000010000000" w:firstRow="0" w:lastRow="0" w:firstColumn="0" w:lastColumn="0" w:oddVBand="1" w:evenVBand="0" w:oddHBand="0" w:evenHBand="0" w:firstRowFirstColumn="0" w:firstRowLastColumn="0" w:lastRowFirstColumn="0" w:lastRowLastColumn="0"/>
            <w:tcW w:w="1772" w:type="dxa"/>
            <w:tcBorders>
              <w:top w:val="none" w:sz="0" w:space="0" w:color="auto"/>
              <w:left w:val="none" w:sz="0" w:space="0" w:color="auto"/>
              <w:bottom w:val="none" w:sz="0" w:space="0" w:color="auto"/>
              <w:right w:val="none" w:sz="0" w:space="0" w:color="auto"/>
            </w:tcBorders>
          </w:tcPr>
          <w:p w14:paraId="0AFF2E7A" w14:textId="77777777" w:rsidR="006569E8" w:rsidRPr="0047298B" w:rsidRDefault="006569E8" w:rsidP="0014662C">
            <w:pPr>
              <w:widowControl/>
              <w:jc w:val="center"/>
              <w:textAlignment w:val="top"/>
              <w:rPr>
                <w:rFonts w:asciiTheme="minorEastAsia" w:hAnsiTheme="minorEastAsia" w:cs="宋体" w:hint="eastAsia"/>
                <w:color w:val="000000"/>
                <w:sz w:val="18"/>
                <w:szCs w:val="18"/>
              </w:rPr>
            </w:pPr>
            <w:r w:rsidRPr="0047298B">
              <w:rPr>
                <w:rFonts w:asciiTheme="minorEastAsia" w:hAnsiTheme="minorEastAsia" w:cs="宋体" w:hint="eastAsia"/>
                <w:color w:val="000000"/>
                <w:kern w:val="0"/>
                <w:sz w:val="18"/>
                <w:szCs w:val="18"/>
                <w:lang w:bidi="ar"/>
              </w:rPr>
              <w:t>期初账面余额</w:t>
            </w:r>
          </w:p>
        </w:tc>
      </w:tr>
      <w:tr w:rsidR="006569E8" w:rsidRPr="0047298B" w14:paraId="775FD72D" w14:textId="77777777" w:rsidTr="0047298B">
        <w:trPr>
          <w:trHeight w:val="316"/>
        </w:trPr>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noWrap/>
          </w:tcPr>
          <w:p w14:paraId="65D7C99C" w14:textId="77777777" w:rsidR="006569E8" w:rsidRPr="0047298B" w:rsidRDefault="006569E8" w:rsidP="0014662C">
            <w:pPr>
              <w:widowControl/>
              <w:textAlignment w:val="bottom"/>
              <w:rPr>
                <w:rFonts w:asciiTheme="minorEastAsia" w:hAnsiTheme="minorEastAsia" w:cs="宋体" w:hint="eastAsia"/>
                <w:color w:val="000000"/>
                <w:sz w:val="18"/>
                <w:szCs w:val="18"/>
              </w:rPr>
            </w:pPr>
            <w:r w:rsidRPr="0047298B">
              <w:rPr>
                <w:rFonts w:asciiTheme="minorEastAsia" w:hAnsiTheme="minorEastAsia" w:cs="宋体" w:hint="eastAsia"/>
                <w:color w:val="000000"/>
                <w:kern w:val="0"/>
                <w:sz w:val="18"/>
                <w:szCs w:val="18"/>
                <w:lang w:bidi="ar"/>
              </w:rPr>
              <w:t>6个月以内</w:t>
            </w:r>
          </w:p>
        </w:tc>
        <w:tc>
          <w:tcPr>
            <w:cnfStyle w:val="000001000000" w:firstRow="0" w:lastRow="0" w:firstColumn="0" w:lastColumn="0" w:oddVBand="0" w:evenVBand="1" w:oddHBand="0" w:evenHBand="0" w:firstRowFirstColumn="0" w:firstRowLastColumn="0" w:lastRowFirstColumn="0" w:lastRowLastColumn="0"/>
            <w:tcW w:w="2886" w:type="dxa"/>
            <w:tcBorders>
              <w:left w:val="none" w:sz="0" w:space="0" w:color="auto"/>
              <w:right w:val="none" w:sz="0" w:space="0" w:color="auto"/>
            </w:tcBorders>
          </w:tcPr>
          <w:p w14:paraId="225E5731" w14:textId="77777777" w:rsidR="006569E8" w:rsidRPr="0047298B" w:rsidRDefault="006569E8" w:rsidP="0014662C">
            <w:pPr>
              <w:widowControl/>
              <w:jc w:val="right"/>
              <w:textAlignment w:val="center"/>
              <w:rPr>
                <w:rFonts w:asciiTheme="minorEastAsia" w:hAnsiTheme="minorEastAsia" w:cs="Arial" w:hint="eastAsia"/>
                <w:color w:val="000000"/>
                <w:kern w:val="0"/>
                <w:sz w:val="18"/>
                <w:szCs w:val="18"/>
                <w:lang w:bidi="ar"/>
              </w:rPr>
            </w:pPr>
            <w:r w:rsidRPr="0047298B">
              <w:rPr>
                <w:rFonts w:asciiTheme="minorEastAsia" w:hAnsiTheme="minorEastAsia" w:cs="Arial" w:hint="eastAsia"/>
                <w:color w:val="000000"/>
                <w:kern w:val="0"/>
                <w:sz w:val="18"/>
                <w:szCs w:val="18"/>
                <w:lang w:bidi="ar"/>
              </w:rPr>
              <w:t xml:space="preserve">499,510,957.84 </w:t>
            </w:r>
          </w:p>
        </w:tc>
        <w:tc>
          <w:tcPr>
            <w:cnfStyle w:val="000010000000" w:firstRow="0" w:lastRow="0" w:firstColumn="0" w:lastColumn="0" w:oddVBand="1" w:evenVBand="0" w:oddHBand="0" w:evenHBand="0" w:firstRowFirstColumn="0" w:firstRowLastColumn="0" w:lastRowFirstColumn="0" w:lastRowLastColumn="0"/>
            <w:tcW w:w="1772" w:type="dxa"/>
            <w:tcBorders>
              <w:left w:val="none" w:sz="0" w:space="0" w:color="auto"/>
              <w:right w:val="none" w:sz="0" w:space="0" w:color="auto"/>
            </w:tcBorders>
          </w:tcPr>
          <w:p w14:paraId="1843AD66" w14:textId="77777777" w:rsidR="006569E8" w:rsidRPr="0047298B" w:rsidRDefault="006569E8" w:rsidP="0014662C">
            <w:pPr>
              <w:widowControl/>
              <w:jc w:val="right"/>
              <w:textAlignment w:val="center"/>
              <w:rPr>
                <w:rFonts w:asciiTheme="minorEastAsia" w:hAnsiTheme="minorEastAsia" w:cs="Arial" w:hint="eastAsia"/>
                <w:color w:val="000000"/>
                <w:kern w:val="0"/>
                <w:sz w:val="18"/>
                <w:szCs w:val="18"/>
                <w:lang w:bidi="ar"/>
              </w:rPr>
            </w:pPr>
            <w:r w:rsidRPr="0047298B">
              <w:rPr>
                <w:rFonts w:asciiTheme="minorEastAsia" w:hAnsiTheme="minorEastAsia" w:cs="Arial"/>
                <w:color w:val="000000"/>
                <w:kern w:val="0"/>
                <w:sz w:val="18"/>
                <w:szCs w:val="18"/>
                <w:lang w:bidi="ar"/>
              </w:rPr>
              <w:t>473,408,223.25</w:t>
            </w:r>
          </w:p>
        </w:tc>
      </w:tr>
      <w:tr w:rsidR="006569E8" w:rsidRPr="0047298B" w14:paraId="6B4DDCD8" w14:textId="77777777" w:rsidTr="0047298B">
        <w:trPr>
          <w:cnfStyle w:val="000000100000" w:firstRow="0" w:lastRow="0" w:firstColumn="0" w:lastColumn="0" w:oddVBand="0" w:evenVBand="0" w:oddHBand="1" w:evenHBand="0" w:firstRowFirstColumn="0" w:firstRowLastColumn="0" w:lastRowFirstColumn="0" w:lastRowLastColumn="0"/>
          <w:trHeight w:val="316"/>
        </w:trPr>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noWrap/>
          </w:tcPr>
          <w:p w14:paraId="32CED13C" w14:textId="77777777" w:rsidR="006569E8" w:rsidRPr="0047298B" w:rsidRDefault="006569E8" w:rsidP="0014662C">
            <w:pPr>
              <w:widowControl/>
              <w:textAlignment w:val="bottom"/>
              <w:rPr>
                <w:rFonts w:asciiTheme="minorEastAsia" w:hAnsiTheme="minorEastAsia" w:cs="宋体" w:hint="eastAsia"/>
                <w:color w:val="000000"/>
                <w:sz w:val="18"/>
                <w:szCs w:val="18"/>
              </w:rPr>
            </w:pPr>
            <w:r w:rsidRPr="0047298B">
              <w:rPr>
                <w:rFonts w:asciiTheme="minorEastAsia" w:hAnsiTheme="minorEastAsia" w:cs="宋体" w:hint="eastAsia"/>
                <w:color w:val="000000"/>
                <w:kern w:val="0"/>
                <w:sz w:val="18"/>
                <w:szCs w:val="18"/>
                <w:lang w:bidi="ar"/>
              </w:rPr>
              <w:t>6个月~1年</w:t>
            </w:r>
          </w:p>
        </w:tc>
        <w:tc>
          <w:tcPr>
            <w:cnfStyle w:val="000001000000" w:firstRow="0" w:lastRow="0" w:firstColumn="0" w:lastColumn="0" w:oddVBand="0" w:evenVBand="1" w:oddHBand="0" w:evenHBand="0" w:firstRowFirstColumn="0" w:firstRowLastColumn="0" w:lastRowFirstColumn="0" w:lastRowLastColumn="0"/>
            <w:tcW w:w="2886" w:type="dxa"/>
            <w:tcBorders>
              <w:top w:val="none" w:sz="0" w:space="0" w:color="auto"/>
              <w:left w:val="none" w:sz="0" w:space="0" w:color="auto"/>
              <w:bottom w:val="none" w:sz="0" w:space="0" w:color="auto"/>
              <w:right w:val="none" w:sz="0" w:space="0" w:color="auto"/>
            </w:tcBorders>
          </w:tcPr>
          <w:p w14:paraId="433DB640" w14:textId="77777777" w:rsidR="006569E8" w:rsidRPr="0047298B" w:rsidRDefault="006569E8" w:rsidP="0014662C">
            <w:pPr>
              <w:widowControl/>
              <w:jc w:val="right"/>
              <w:textAlignment w:val="center"/>
              <w:rPr>
                <w:rFonts w:asciiTheme="minorEastAsia" w:hAnsiTheme="minorEastAsia" w:cs="Arial" w:hint="eastAsia"/>
                <w:color w:val="000000"/>
                <w:kern w:val="0"/>
                <w:sz w:val="18"/>
                <w:szCs w:val="18"/>
                <w:lang w:bidi="ar"/>
              </w:rPr>
            </w:pPr>
            <w:r w:rsidRPr="0047298B">
              <w:rPr>
                <w:rFonts w:asciiTheme="minorEastAsia" w:hAnsiTheme="minorEastAsia" w:cs="Arial" w:hint="eastAsia"/>
                <w:color w:val="000000"/>
                <w:kern w:val="0"/>
                <w:sz w:val="18"/>
                <w:szCs w:val="18"/>
                <w:lang w:bidi="ar"/>
              </w:rPr>
              <w:t xml:space="preserve">68,903,107.79 </w:t>
            </w:r>
          </w:p>
        </w:tc>
        <w:tc>
          <w:tcPr>
            <w:cnfStyle w:val="000010000000" w:firstRow="0" w:lastRow="0" w:firstColumn="0" w:lastColumn="0" w:oddVBand="1" w:evenVBand="0" w:oddHBand="0" w:evenHBand="0" w:firstRowFirstColumn="0" w:firstRowLastColumn="0" w:lastRowFirstColumn="0" w:lastRowLastColumn="0"/>
            <w:tcW w:w="1772" w:type="dxa"/>
            <w:tcBorders>
              <w:top w:val="none" w:sz="0" w:space="0" w:color="auto"/>
              <w:left w:val="none" w:sz="0" w:space="0" w:color="auto"/>
              <w:bottom w:val="none" w:sz="0" w:space="0" w:color="auto"/>
              <w:right w:val="none" w:sz="0" w:space="0" w:color="auto"/>
            </w:tcBorders>
          </w:tcPr>
          <w:p w14:paraId="31858BB8" w14:textId="77777777" w:rsidR="006569E8" w:rsidRPr="0047298B" w:rsidRDefault="006569E8" w:rsidP="0014662C">
            <w:pPr>
              <w:widowControl/>
              <w:jc w:val="right"/>
              <w:textAlignment w:val="center"/>
              <w:rPr>
                <w:rFonts w:asciiTheme="minorEastAsia" w:hAnsiTheme="minorEastAsia" w:cs="Arial" w:hint="eastAsia"/>
                <w:color w:val="000000"/>
                <w:kern w:val="0"/>
                <w:sz w:val="18"/>
                <w:szCs w:val="18"/>
                <w:lang w:bidi="ar"/>
              </w:rPr>
            </w:pPr>
            <w:r w:rsidRPr="0047298B">
              <w:rPr>
                <w:rFonts w:asciiTheme="minorEastAsia" w:hAnsiTheme="minorEastAsia" w:cs="Arial"/>
                <w:color w:val="000000"/>
                <w:kern w:val="0"/>
                <w:sz w:val="18"/>
                <w:szCs w:val="18"/>
                <w:lang w:bidi="ar"/>
              </w:rPr>
              <w:t>82,461,481.19</w:t>
            </w:r>
          </w:p>
        </w:tc>
      </w:tr>
      <w:tr w:rsidR="006569E8" w:rsidRPr="0047298B" w14:paraId="29BE8E82" w14:textId="77777777" w:rsidTr="0047298B">
        <w:trPr>
          <w:trHeight w:val="316"/>
        </w:trPr>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noWrap/>
          </w:tcPr>
          <w:p w14:paraId="251E43DB" w14:textId="77777777" w:rsidR="006569E8" w:rsidRPr="0047298B" w:rsidRDefault="006569E8" w:rsidP="0014662C">
            <w:pPr>
              <w:widowControl/>
              <w:textAlignment w:val="bottom"/>
              <w:rPr>
                <w:rFonts w:asciiTheme="minorEastAsia" w:hAnsiTheme="minorEastAsia" w:cs="宋体" w:hint="eastAsia"/>
                <w:color w:val="000000"/>
                <w:sz w:val="18"/>
                <w:szCs w:val="18"/>
              </w:rPr>
            </w:pPr>
            <w:r w:rsidRPr="0047298B">
              <w:rPr>
                <w:rFonts w:asciiTheme="minorEastAsia" w:hAnsiTheme="minorEastAsia" w:cs="宋体" w:hint="eastAsia"/>
                <w:color w:val="000000"/>
                <w:kern w:val="0"/>
                <w:sz w:val="18"/>
                <w:szCs w:val="18"/>
                <w:lang w:bidi="ar"/>
              </w:rPr>
              <w:t>1～2年</w:t>
            </w:r>
          </w:p>
        </w:tc>
        <w:tc>
          <w:tcPr>
            <w:cnfStyle w:val="000001000000" w:firstRow="0" w:lastRow="0" w:firstColumn="0" w:lastColumn="0" w:oddVBand="0" w:evenVBand="1" w:oddHBand="0" w:evenHBand="0" w:firstRowFirstColumn="0" w:firstRowLastColumn="0" w:lastRowFirstColumn="0" w:lastRowLastColumn="0"/>
            <w:tcW w:w="2886" w:type="dxa"/>
            <w:tcBorders>
              <w:left w:val="none" w:sz="0" w:space="0" w:color="auto"/>
              <w:right w:val="none" w:sz="0" w:space="0" w:color="auto"/>
            </w:tcBorders>
          </w:tcPr>
          <w:p w14:paraId="151DE5EE" w14:textId="77777777" w:rsidR="006569E8" w:rsidRPr="0047298B" w:rsidRDefault="006569E8" w:rsidP="0014662C">
            <w:pPr>
              <w:widowControl/>
              <w:jc w:val="right"/>
              <w:textAlignment w:val="center"/>
              <w:rPr>
                <w:rFonts w:asciiTheme="minorEastAsia" w:hAnsiTheme="minorEastAsia" w:cs="Arial" w:hint="eastAsia"/>
                <w:color w:val="000000"/>
                <w:kern w:val="0"/>
                <w:sz w:val="18"/>
                <w:szCs w:val="18"/>
                <w:lang w:bidi="ar"/>
              </w:rPr>
            </w:pPr>
            <w:r w:rsidRPr="0047298B">
              <w:rPr>
                <w:rFonts w:asciiTheme="minorEastAsia" w:hAnsiTheme="minorEastAsia" w:cs="Arial" w:hint="eastAsia"/>
                <w:color w:val="000000"/>
                <w:kern w:val="0"/>
                <w:sz w:val="18"/>
                <w:szCs w:val="18"/>
                <w:lang w:bidi="ar"/>
              </w:rPr>
              <w:t xml:space="preserve">57,742,911.43 </w:t>
            </w:r>
          </w:p>
        </w:tc>
        <w:tc>
          <w:tcPr>
            <w:cnfStyle w:val="000010000000" w:firstRow="0" w:lastRow="0" w:firstColumn="0" w:lastColumn="0" w:oddVBand="1" w:evenVBand="0" w:oddHBand="0" w:evenHBand="0" w:firstRowFirstColumn="0" w:firstRowLastColumn="0" w:lastRowFirstColumn="0" w:lastRowLastColumn="0"/>
            <w:tcW w:w="1772" w:type="dxa"/>
            <w:tcBorders>
              <w:left w:val="none" w:sz="0" w:space="0" w:color="auto"/>
              <w:right w:val="none" w:sz="0" w:space="0" w:color="auto"/>
            </w:tcBorders>
          </w:tcPr>
          <w:p w14:paraId="370A85DF" w14:textId="77777777" w:rsidR="006569E8" w:rsidRPr="0047298B" w:rsidRDefault="006569E8" w:rsidP="0014662C">
            <w:pPr>
              <w:widowControl/>
              <w:jc w:val="right"/>
              <w:textAlignment w:val="center"/>
              <w:rPr>
                <w:rFonts w:asciiTheme="minorEastAsia" w:hAnsiTheme="minorEastAsia" w:cs="Arial" w:hint="eastAsia"/>
                <w:color w:val="000000"/>
                <w:kern w:val="0"/>
                <w:sz w:val="18"/>
                <w:szCs w:val="18"/>
                <w:lang w:bidi="ar"/>
              </w:rPr>
            </w:pPr>
            <w:r w:rsidRPr="0047298B">
              <w:rPr>
                <w:rFonts w:asciiTheme="minorEastAsia" w:hAnsiTheme="minorEastAsia" w:cs="Arial"/>
                <w:color w:val="000000"/>
                <w:kern w:val="0"/>
                <w:sz w:val="18"/>
                <w:szCs w:val="18"/>
                <w:lang w:bidi="ar"/>
              </w:rPr>
              <w:t>99,050,609.75</w:t>
            </w:r>
          </w:p>
        </w:tc>
      </w:tr>
      <w:tr w:rsidR="006569E8" w:rsidRPr="0047298B" w14:paraId="71E4E983" w14:textId="77777777" w:rsidTr="0047298B">
        <w:trPr>
          <w:cnfStyle w:val="000000100000" w:firstRow="0" w:lastRow="0" w:firstColumn="0" w:lastColumn="0" w:oddVBand="0" w:evenVBand="0" w:oddHBand="1" w:evenHBand="0" w:firstRowFirstColumn="0" w:firstRowLastColumn="0" w:lastRowFirstColumn="0" w:lastRowLastColumn="0"/>
          <w:trHeight w:val="316"/>
        </w:trPr>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noWrap/>
          </w:tcPr>
          <w:p w14:paraId="0E6DEA8B" w14:textId="77777777" w:rsidR="006569E8" w:rsidRPr="0047298B" w:rsidRDefault="006569E8" w:rsidP="0014662C">
            <w:pPr>
              <w:widowControl/>
              <w:textAlignment w:val="bottom"/>
              <w:rPr>
                <w:rFonts w:asciiTheme="minorEastAsia" w:hAnsiTheme="minorEastAsia" w:cs="宋体" w:hint="eastAsia"/>
                <w:color w:val="000000"/>
                <w:sz w:val="18"/>
                <w:szCs w:val="18"/>
              </w:rPr>
            </w:pPr>
            <w:r w:rsidRPr="0047298B">
              <w:rPr>
                <w:rFonts w:asciiTheme="minorEastAsia" w:hAnsiTheme="minorEastAsia" w:cs="宋体" w:hint="eastAsia"/>
                <w:color w:val="000000"/>
                <w:kern w:val="0"/>
                <w:sz w:val="18"/>
                <w:szCs w:val="18"/>
                <w:lang w:bidi="ar"/>
              </w:rPr>
              <w:t>2～3年</w:t>
            </w:r>
          </w:p>
        </w:tc>
        <w:tc>
          <w:tcPr>
            <w:cnfStyle w:val="000001000000" w:firstRow="0" w:lastRow="0" w:firstColumn="0" w:lastColumn="0" w:oddVBand="0" w:evenVBand="1" w:oddHBand="0" w:evenHBand="0" w:firstRowFirstColumn="0" w:firstRowLastColumn="0" w:lastRowFirstColumn="0" w:lastRowLastColumn="0"/>
            <w:tcW w:w="2886" w:type="dxa"/>
            <w:tcBorders>
              <w:top w:val="none" w:sz="0" w:space="0" w:color="auto"/>
              <w:left w:val="none" w:sz="0" w:space="0" w:color="auto"/>
              <w:bottom w:val="none" w:sz="0" w:space="0" w:color="auto"/>
              <w:right w:val="none" w:sz="0" w:space="0" w:color="auto"/>
            </w:tcBorders>
          </w:tcPr>
          <w:p w14:paraId="29CB9DC1" w14:textId="77777777" w:rsidR="006569E8" w:rsidRPr="0047298B" w:rsidRDefault="006569E8" w:rsidP="0014662C">
            <w:pPr>
              <w:widowControl/>
              <w:jc w:val="right"/>
              <w:textAlignment w:val="center"/>
              <w:rPr>
                <w:rFonts w:asciiTheme="minorEastAsia" w:hAnsiTheme="minorEastAsia" w:cs="Arial" w:hint="eastAsia"/>
                <w:color w:val="000000"/>
                <w:kern w:val="0"/>
                <w:sz w:val="18"/>
                <w:szCs w:val="18"/>
                <w:lang w:bidi="ar"/>
              </w:rPr>
            </w:pPr>
            <w:r w:rsidRPr="0047298B">
              <w:rPr>
                <w:rFonts w:asciiTheme="minorEastAsia" w:hAnsiTheme="minorEastAsia" w:cs="Arial" w:hint="eastAsia"/>
                <w:color w:val="000000"/>
                <w:kern w:val="0"/>
                <w:sz w:val="18"/>
                <w:szCs w:val="18"/>
                <w:lang w:bidi="ar"/>
              </w:rPr>
              <w:t xml:space="preserve">59,117,025.94 </w:t>
            </w:r>
          </w:p>
        </w:tc>
        <w:tc>
          <w:tcPr>
            <w:cnfStyle w:val="000010000000" w:firstRow="0" w:lastRow="0" w:firstColumn="0" w:lastColumn="0" w:oddVBand="1" w:evenVBand="0" w:oddHBand="0" w:evenHBand="0" w:firstRowFirstColumn="0" w:firstRowLastColumn="0" w:lastRowFirstColumn="0" w:lastRowLastColumn="0"/>
            <w:tcW w:w="1772" w:type="dxa"/>
            <w:tcBorders>
              <w:top w:val="none" w:sz="0" w:space="0" w:color="auto"/>
              <w:left w:val="none" w:sz="0" w:space="0" w:color="auto"/>
              <w:bottom w:val="none" w:sz="0" w:space="0" w:color="auto"/>
              <w:right w:val="none" w:sz="0" w:space="0" w:color="auto"/>
            </w:tcBorders>
          </w:tcPr>
          <w:p w14:paraId="036FC4FE" w14:textId="77777777" w:rsidR="006569E8" w:rsidRPr="0047298B" w:rsidRDefault="006569E8" w:rsidP="0014662C">
            <w:pPr>
              <w:widowControl/>
              <w:jc w:val="right"/>
              <w:textAlignment w:val="center"/>
              <w:rPr>
                <w:rFonts w:asciiTheme="minorEastAsia" w:hAnsiTheme="minorEastAsia" w:cs="Arial" w:hint="eastAsia"/>
                <w:color w:val="000000"/>
                <w:kern w:val="0"/>
                <w:sz w:val="18"/>
                <w:szCs w:val="18"/>
                <w:lang w:bidi="ar"/>
              </w:rPr>
            </w:pPr>
            <w:r w:rsidRPr="0047298B">
              <w:rPr>
                <w:rFonts w:asciiTheme="minorEastAsia" w:hAnsiTheme="minorEastAsia" w:cs="Arial"/>
                <w:color w:val="000000"/>
                <w:kern w:val="0"/>
                <w:sz w:val="18"/>
                <w:szCs w:val="18"/>
                <w:lang w:bidi="ar"/>
              </w:rPr>
              <w:t>286,107,713.98</w:t>
            </w:r>
          </w:p>
        </w:tc>
      </w:tr>
      <w:tr w:rsidR="006569E8" w:rsidRPr="0047298B" w14:paraId="2893DA36" w14:textId="77777777" w:rsidTr="0047298B">
        <w:trPr>
          <w:trHeight w:val="316"/>
        </w:trPr>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noWrap/>
          </w:tcPr>
          <w:p w14:paraId="75DF2AFE" w14:textId="77777777" w:rsidR="006569E8" w:rsidRPr="0047298B" w:rsidRDefault="006569E8" w:rsidP="0014662C">
            <w:pPr>
              <w:widowControl/>
              <w:textAlignment w:val="bottom"/>
              <w:rPr>
                <w:rFonts w:asciiTheme="minorEastAsia" w:hAnsiTheme="minorEastAsia" w:cs="宋体" w:hint="eastAsia"/>
                <w:color w:val="000000"/>
                <w:sz w:val="18"/>
                <w:szCs w:val="18"/>
              </w:rPr>
            </w:pPr>
            <w:r w:rsidRPr="0047298B">
              <w:rPr>
                <w:rFonts w:asciiTheme="minorEastAsia" w:hAnsiTheme="minorEastAsia" w:cs="宋体" w:hint="eastAsia"/>
                <w:color w:val="000000"/>
                <w:kern w:val="0"/>
                <w:sz w:val="18"/>
                <w:szCs w:val="18"/>
                <w:lang w:bidi="ar"/>
              </w:rPr>
              <w:t>3～4年</w:t>
            </w:r>
          </w:p>
        </w:tc>
        <w:tc>
          <w:tcPr>
            <w:cnfStyle w:val="000001000000" w:firstRow="0" w:lastRow="0" w:firstColumn="0" w:lastColumn="0" w:oddVBand="0" w:evenVBand="1" w:oddHBand="0" w:evenHBand="0" w:firstRowFirstColumn="0" w:firstRowLastColumn="0" w:lastRowFirstColumn="0" w:lastRowLastColumn="0"/>
            <w:tcW w:w="2886" w:type="dxa"/>
            <w:tcBorders>
              <w:left w:val="none" w:sz="0" w:space="0" w:color="auto"/>
              <w:right w:val="none" w:sz="0" w:space="0" w:color="auto"/>
            </w:tcBorders>
          </w:tcPr>
          <w:p w14:paraId="0D813B67" w14:textId="77777777" w:rsidR="006569E8" w:rsidRPr="0047298B" w:rsidRDefault="006569E8" w:rsidP="0014662C">
            <w:pPr>
              <w:widowControl/>
              <w:jc w:val="right"/>
              <w:textAlignment w:val="center"/>
              <w:rPr>
                <w:rFonts w:asciiTheme="minorEastAsia" w:hAnsiTheme="minorEastAsia" w:cs="Arial" w:hint="eastAsia"/>
                <w:color w:val="000000"/>
                <w:kern w:val="0"/>
                <w:sz w:val="18"/>
                <w:szCs w:val="18"/>
                <w:lang w:bidi="ar"/>
              </w:rPr>
            </w:pPr>
            <w:r w:rsidRPr="0047298B">
              <w:rPr>
                <w:rFonts w:asciiTheme="minorEastAsia" w:hAnsiTheme="minorEastAsia" w:cs="Arial" w:hint="eastAsia"/>
                <w:color w:val="000000"/>
                <w:kern w:val="0"/>
                <w:sz w:val="18"/>
                <w:szCs w:val="18"/>
                <w:lang w:bidi="ar"/>
              </w:rPr>
              <w:t xml:space="preserve">242,865,226.20 </w:t>
            </w:r>
          </w:p>
        </w:tc>
        <w:tc>
          <w:tcPr>
            <w:cnfStyle w:val="000010000000" w:firstRow="0" w:lastRow="0" w:firstColumn="0" w:lastColumn="0" w:oddVBand="1" w:evenVBand="0" w:oddHBand="0" w:evenHBand="0" w:firstRowFirstColumn="0" w:firstRowLastColumn="0" w:lastRowFirstColumn="0" w:lastRowLastColumn="0"/>
            <w:tcW w:w="1772" w:type="dxa"/>
            <w:tcBorders>
              <w:left w:val="none" w:sz="0" w:space="0" w:color="auto"/>
              <w:right w:val="none" w:sz="0" w:space="0" w:color="auto"/>
            </w:tcBorders>
          </w:tcPr>
          <w:p w14:paraId="31D08BE7" w14:textId="77777777" w:rsidR="006569E8" w:rsidRPr="0047298B" w:rsidRDefault="006569E8" w:rsidP="0014662C">
            <w:pPr>
              <w:widowControl/>
              <w:jc w:val="right"/>
              <w:textAlignment w:val="center"/>
              <w:rPr>
                <w:rFonts w:asciiTheme="minorEastAsia" w:hAnsiTheme="minorEastAsia" w:cs="Arial" w:hint="eastAsia"/>
                <w:color w:val="000000"/>
                <w:kern w:val="0"/>
                <w:sz w:val="18"/>
                <w:szCs w:val="18"/>
                <w:lang w:bidi="ar"/>
              </w:rPr>
            </w:pPr>
            <w:r w:rsidRPr="0047298B">
              <w:rPr>
                <w:rFonts w:asciiTheme="minorEastAsia" w:hAnsiTheme="minorEastAsia" w:cs="Arial"/>
                <w:color w:val="000000"/>
                <w:kern w:val="0"/>
                <w:sz w:val="18"/>
                <w:szCs w:val="18"/>
                <w:lang w:bidi="ar"/>
              </w:rPr>
              <w:t>178,950,412.79</w:t>
            </w:r>
          </w:p>
        </w:tc>
      </w:tr>
      <w:tr w:rsidR="006569E8" w:rsidRPr="0047298B" w14:paraId="5548497E" w14:textId="77777777" w:rsidTr="0047298B">
        <w:trPr>
          <w:cnfStyle w:val="000000100000" w:firstRow="0" w:lastRow="0" w:firstColumn="0" w:lastColumn="0" w:oddVBand="0" w:evenVBand="0" w:oddHBand="1" w:evenHBand="0" w:firstRowFirstColumn="0" w:firstRowLastColumn="0" w:lastRowFirstColumn="0" w:lastRowLastColumn="0"/>
          <w:trHeight w:val="316"/>
        </w:trPr>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noWrap/>
          </w:tcPr>
          <w:p w14:paraId="4B27136C" w14:textId="77777777" w:rsidR="006569E8" w:rsidRPr="0047298B" w:rsidRDefault="006569E8" w:rsidP="0014662C">
            <w:pPr>
              <w:widowControl/>
              <w:textAlignment w:val="bottom"/>
              <w:rPr>
                <w:rFonts w:asciiTheme="minorEastAsia" w:hAnsiTheme="minorEastAsia" w:cs="宋体" w:hint="eastAsia"/>
                <w:color w:val="000000"/>
                <w:sz w:val="18"/>
                <w:szCs w:val="18"/>
              </w:rPr>
            </w:pPr>
            <w:r w:rsidRPr="0047298B">
              <w:rPr>
                <w:rFonts w:asciiTheme="minorEastAsia" w:hAnsiTheme="minorEastAsia" w:cs="宋体" w:hint="eastAsia"/>
                <w:color w:val="000000"/>
                <w:kern w:val="0"/>
                <w:sz w:val="18"/>
                <w:szCs w:val="18"/>
                <w:lang w:bidi="ar"/>
              </w:rPr>
              <w:t>4年以上</w:t>
            </w:r>
          </w:p>
        </w:tc>
        <w:tc>
          <w:tcPr>
            <w:cnfStyle w:val="000001000000" w:firstRow="0" w:lastRow="0" w:firstColumn="0" w:lastColumn="0" w:oddVBand="0" w:evenVBand="1" w:oddHBand="0" w:evenHBand="0" w:firstRowFirstColumn="0" w:firstRowLastColumn="0" w:lastRowFirstColumn="0" w:lastRowLastColumn="0"/>
            <w:tcW w:w="2886" w:type="dxa"/>
            <w:tcBorders>
              <w:top w:val="none" w:sz="0" w:space="0" w:color="auto"/>
              <w:left w:val="none" w:sz="0" w:space="0" w:color="auto"/>
              <w:bottom w:val="none" w:sz="0" w:space="0" w:color="auto"/>
              <w:right w:val="none" w:sz="0" w:space="0" w:color="auto"/>
            </w:tcBorders>
          </w:tcPr>
          <w:p w14:paraId="3520ECDA" w14:textId="77777777" w:rsidR="006569E8" w:rsidRPr="0047298B" w:rsidRDefault="006569E8" w:rsidP="0014662C">
            <w:pPr>
              <w:widowControl/>
              <w:jc w:val="right"/>
              <w:textAlignment w:val="center"/>
              <w:rPr>
                <w:rFonts w:asciiTheme="minorEastAsia" w:hAnsiTheme="minorEastAsia" w:cs="Arial" w:hint="eastAsia"/>
                <w:color w:val="000000"/>
                <w:kern w:val="0"/>
                <w:sz w:val="18"/>
                <w:szCs w:val="18"/>
                <w:lang w:bidi="ar"/>
              </w:rPr>
            </w:pPr>
            <w:r w:rsidRPr="0047298B">
              <w:rPr>
                <w:rFonts w:asciiTheme="minorEastAsia" w:hAnsiTheme="minorEastAsia" w:cs="Arial" w:hint="eastAsia"/>
                <w:color w:val="000000"/>
                <w:kern w:val="0"/>
                <w:sz w:val="18"/>
                <w:szCs w:val="18"/>
                <w:lang w:bidi="ar"/>
              </w:rPr>
              <w:t xml:space="preserve">426,772,317.72 </w:t>
            </w:r>
          </w:p>
        </w:tc>
        <w:tc>
          <w:tcPr>
            <w:cnfStyle w:val="000010000000" w:firstRow="0" w:lastRow="0" w:firstColumn="0" w:lastColumn="0" w:oddVBand="1" w:evenVBand="0" w:oddHBand="0" w:evenHBand="0" w:firstRowFirstColumn="0" w:firstRowLastColumn="0" w:lastRowFirstColumn="0" w:lastRowLastColumn="0"/>
            <w:tcW w:w="1772" w:type="dxa"/>
            <w:tcBorders>
              <w:top w:val="none" w:sz="0" w:space="0" w:color="auto"/>
              <w:left w:val="none" w:sz="0" w:space="0" w:color="auto"/>
              <w:bottom w:val="none" w:sz="0" w:space="0" w:color="auto"/>
              <w:right w:val="none" w:sz="0" w:space="0" w:color="auto"/>
            </w:tcBorders>
          </w:tcPr>
          <w:p w14:paraId="4B2B4023" w14:textId="77777777" w:rsidR="006569E8" w:rsidRPr="0047298B" w:rsidRDefault="006569E8" w:rsidP="0014662C">
            <w:pPr>
              <w:widowControl/>
              <w:jc w:val="right"/>
              <w:textAlignment w:val="center"/>
              <w:rPr>
                <w:rFonts w:asciiTheme="minorEastAsia" w:hAnsiTheme="minorEastAsia" w:cs="Arial" w:hint="eastAsia"/>
                <w:color w:val="000000"/>
                <w:kern w:val="0"/>
                <w:sz w:val="18"/>
                <w:szCs w:val="18"/>
                <w:lang w:bidi="ar"/>
              </w:rPr>
            </w:pPr>
            <w:r w:rsidRPr="0047298B">
              <w:rPr>
                <w:rFonts w:asciiTheme="minorEastAsia" w:hAnsiTheme="minorEastAsia" w:cs="Arial"/>
                <w:color w:val="000000"/>
                <w:kern w:val="0"/>
                <w:sz w:val="18"/>
                <w:szCs w:val="18"/>
                <w:lang w:bidi="ar"/>
              </w:rPr>
              <w:t>845,202,972.03</w:t>
            </w:r>
          </w:p>
        </w:tc>
      </w:tr>
      <w:tr w:rsidR="006569E8" w:rsidRPr="0047298B" w14:paraId="507CA389" w14:textId="77777777" w:rsidTr="0047298B">
        <w:trPr>
          <w:trHeight w:val="331"/>
        </w:trPr>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noWrap/>
          </w:tcPr>
          <w:p w14:paraId="51384B40" w14:textId="77777777" w:rsidR="006569E8" w:rsidRPr="0047298B" w:rsidRDefault="006569E8" w:rsidP="0014662C">
            <w:pPr>
              <w:widowControl/>
              <w:jc w:val="center"/>
              <w:textAlignment w:val="bottom"/>
              <w:rPr>
                <w:rFonts w:asciiTheme="minorEastAsia" w:hAnsiTheme="minorEastAsia" w:cs="宋体" w:hint="eastAsia"/>
                <w:color w:val="000000"/>
                <w:sz w:val="18"/>
                <w:szCs w:val="18"/>
              </w:rPr>
            </w:pPr>
            <w:r w:rsidRPr="0047298B">
              <w:rPr>
                <w:rFonts w:asciiTheme="minorEastAsia" w:hAnsiTheme="minorEastAsia" w:cs="宋体" w:hint="eastAsia"/>
                <w:color w:val="000000"/>
                <w:kern w:val="0"/>
                <w:sz w:val="18"/>
                <w:szCs w:val="18"/>
                <w:lang w:bidi="ar"/>
              </w:rPr>
              <w:t>合计</w:t>
            </w:r>
          </w:p>
        </w:tc>
        <w:tc>
          <w:tcPr>
            <w:cnfStyle w:val="000001000000" w:firstRow="0" w:lastRow="0" w:firstColumn="0" w:lastColumn="0" w:oddVBand="0" w:evenVBand="1" w:oddHBand="0" w:evenHBand="0" w:firstRowFirstColumn="0" w:firstRowLastColumn="0" w:lastRowFirstColumn="0" w:lastRowLastColumn="0"/>
            <w:tcW w:w="2886" w:type="dxa"/>
            <w:tcBorders>
              <w:left w:val="none" w:sz="0" w:space="0" w:color="auto"/>
              <w:right w:val="none" w:sz="0" w:space="0" w:color="auto"/>
            </w:tcBorders>
          </w:tcPr>
          <w:p w14:paraId="77ABC657" w14:textId="77777777" w:rsidR="006569E8" w:rsidRPr="0047298B" w:rsidRDefault="006569E8" w:rsidP="0014662C">
            <w:pPr>
              <w:widowControl/>
              <w:jc w:val="right"/>
              <w:textAlignment w:val="center"/>
              <w:rPr>
                <w:rFonts w:asciiTheme="minorEastAsia" w:hAnsiTheme="minorEastAsia" w:cs="Arial" w:hint="eastAsia"/>
                <w:color w:val="000000"/>
                <w:kern w:val="0"/>
                <w:sz w:val="18"/>
                <w:szCs w:val="18"/>
                <w:lang w:bidi="ar"/>
              </w:rPr>
            </w:pPr>
            <w:r w:rsidRPr="0047298B">
              <w:rPr>
                <w:rFonts w:asciiTheme="minorEastAsia" w:hAnsiTheme="minorEastAsia" w:cs="Arial" w:hint="eastAsia"/>
                <w:color w:val="000000"/>
                <w:kern w:val="0"/>
                <w:sz w:val="18"/>
                <w:szCs w:val="18"/>
                <w:lang w:bidi="ar"/>
              </w:rPr>
              <w:t xml:space="preserve">1,354,911,546.92 </w:t>
            </w:r>
          </w:p>
        </w:tc>
        <w:tc>
          <w:tcPr>
            <w:cnfStyle w:val="000010000000" w:firstRow="0" w:lastRow="0" w:firstColumn="0" w:lastColumn="0" w:oddVBand="1" w:evenVBand="0" w:oddHBand="0" w:evenHBand="0" w:firstRowFirstColumn="0" w:firstRowLastColumn="0" w:lastRowFirstColumn="0" w:lastRowLastColumn="0"/>
            <w:tcW w:w="1772" w:type="dxa"/>
            <w:tcBorders>
              <w:left w:val="none" w:sz="0" w:space="0" w:color="auto"/>
              <w:right w:val="none" w:sz="0" w:space="0" w:color="auto"/>
            </w:tcBorders>
          </w:tcPr>
          <w:p w14:paraId="13E4ED9F" w14:textId="77777777" w:rsidR="006569E8" w:rsidRPr="0047298B" w:rsidRDefault="006569E8" w:rsidP="0014662C">
            <w:pPr>
              <w:widowControl/>
              <w:jc w:val="right"/>
              <w:textAlignment w:val="center"/>
              <w:rPr>
                <w:rFonts w:asciiTheme="minorEastAsia" w:hAnsiTheme="minorEastAsia" w:cs="Arial" w:hint="eastAsia"/>
                <w:color w:val="000000"/>
                <w:kern w:val="0"/>
                <w:sz w:val="18"/>
                <w:szCs w:val="18"/>
                <w:lang w:bidi="ar"/>
              </w:rPr>
            </w:pPr>
            <w:r w:rsidRPr="0047298B">
              <w:rPr>
                <w:rFonts w:asciiTheme="minorEastAsia" w:hAnsiTheme="minorEastAsia" w:cs="Arial"/>
                <w:color w:val="000000"/>
                <w:kern w:val="0"/>
                <w:sz w:val="18"/>
                <w:szCs w:val="18"/>
                <w:lang w:bidi="ar"/>
              </w:rPr>
              <w:t>1,965,181,412.99</w:t>
            </w:r>
          </w:p>
        </w:tc>
      </w:tr>
    </w:tbl>
    <w:p w14:paraId="773E995C" w14:textId="77777777" w:rsidR="004A771F" w:rsidRDefault="004A771F">
      <w:pPr>
        <w:keepNext/>
        <w:keepLines/>
        <w:spacing w:before="300" w:after="300" w:line="280" w:lineRule="exact"/>
        <w:outlineLvl w:val="3"/>
        <w:rPr>
          <w:rFonts w:ascii="宋体" w:eastAsia="宋体" w:hAnsi="宋体" w:cs="宋体" w:hint="eastAsia"/>
          <w:b/>
          <w:bCs/>
          <w:szCs w:val="21"/>
        </w:rPr>
      </w:pPr>
      <w:bookmarkStart w:id="218" w:name="_Toc989107"/>
    </w:p>
    <w:p w14:paraId="68E5937F" w14:textId="77777777" w:rsidR="004A771F" w:rsidRDefault="004A771F">
      <w:pPr>
        <w:widowControl/>
        <w:rPr>
          <w:rFonts w:ascii="宋体" w:eastAsia="宋体" w:hAnsi="宋体" w:cs="宋体" w:hint="eastAsia"/>
          <w:b/>
          <w:bCs/>
          <w:szCs w:val="21"/>
        </w:rPr>
      </w:pPr>
      <w:r>
        <w:rPr>
          <w:rFonts w:ascii="宋体" w:eastAsia="宋体" w:hAnsi="宋体" w:cs="宋体" w:hint="eastAsia"/>
          <w:b/>
          <w:bCs/>
          <w:szCs w:val="21"/>
        </w:rPr>
        <w:br w:type="page"/>
      </w:r>
    </w:p>
    <w:p w14:paraId="5FAF11A8" w14:textId="77777777" w:rsidR="004A771F" w:rsidRDefault="004A771F">
      <w:pPr>
        <w:keepNext/>
        <w:keepLines/>
        <w:spacing w:before="300" w:after="300" w:line="280" w:lineRule="exact"/>
        <w:outlineLvl w:val="3"/>
        <w:rPr>
          <w:rFonts w:ascii="宋体" w:eastAsia="宋体" w:hAnsi="宋体" w:cs="宋体" w:hint="eastAsia"/>
          <w:b/>
          <w:bCs/>
          <w:szCs w:val="21"/>
        </w:rPr>
        <w:sectPr w:rsidR="004A771F" w:rsidSect="00E90C20">
          <w:pgSz w:w="11905" w:h="16840"/>
          <w:pgMar w:top="1440" w:right="1134" w:bottom="1440" w:left="1134" w:header="850" w:footer="992" w:gutter="0"/>
          <w:cols w:space="720"/>
          <w:docGrid w:type="linesAndChars" w:linePitch="312"/>
        </w:sectPr>
      </w:pPr>
    </w:p>
    <w:p w14:paraId="3C9898F5" w14:textId="378E4B25" w:rsidR="00632E5B" w:rsidRDefault="00107901">
      <w:pPr>
        <w:keepNext/>
        <w:keepLines/>
        <w:spacing w:before="300" w:after="300" w:line="280" w:lineRule="exact"/>
        <w:outlineLvl w:val="3"/>
        <w:rPr>
          <w:rFonts w:ascii="宋体" w:eastAsia="宋体" w:hAnsi="宋体" w:cs="宋体" w:hint="eastAsia"/>
          <w:b/>
          <w:bCs/>
          <w:szCs w:val="21"/>
        </w:rPr>
      </w:pPr>
      <w:r>
        <w:rPr>
          <w:rFonts w:ascii="宋体" w:eastAsia="宋体" w:hAnsi="宋体" w:cs="宋体"/>
          <w:b/>
          <w:bCs/>
          <w:szCs w:val="21"/>
        </w:rPr>
        <w:lastRenderedPageBreak/>
        <w:t>（2） 按坏账计提方法分类披露</w:t>
      </w:r>
      <w:bookmarkEnd w:id="218"/>
    </w:p>
    <w:p w14:paraId="4530CDB7"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250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418"/>
        <w:gridCol w:w="1418"/>
        <w:gridCol w:w="708"/>
        <w:gridCol w:w="1276"/>
        <w:gridCol w:w="709"/>
        <w:gridCol w:w="7"/>
        <w:gridCol w:w="1269"/>
        <w:gridCol w:w="7"/>
        <w:gridCol w:w="7"/>
        <w:gridCol w:w="1403"/>
        <w:gridCol w:w="709"/>
        <w:gridCol w:w="7"/>
        <w:gridCol w:w="1410"/>
        <w:gridCol w:w="709"/>
        <w:gridCol w:w="1446"/>
      </w:tblGrid>
      <w:tr w:rsidR="00632E5B" w:rsidRPr="001572EE" w14:paraId="33D39DC5" w14:textId="77777777" w:rsidTr="004A771F">
        <w:trPr>
          <w:trHeight w:val="240"/>
          <w:jc w:val="center"/>
        </w:trPr>
        <w:tc>
          <w:tcPr>
            <w:tcW w:w="1418" w:type="dxa"/>
            <w:vMerge w:val="restart"/>
            <w:shd w:val="clear" w:color="auto" w:fill="FFFFFF" w:themeFill="background1"/>
            <w:vAlign w:val="center"/>
          </w:tcPr>
          <w:p w14:paraId="7C50AFBB" w14:textId="77777777" w:rsidR="00632E5B" w:rsidRPr="001572EE" w:rsidRDefault="00107901">
            <w:pPr>
              <w:spacing w:before="40" w:after="40" w:line="240" w:lineRule="exact"/>
              <w:jc w:val="center"/>
              <w:rPr>
                <w:rFonts w:ascii="宋体" w:eastAsia="宋体" w:hAnsi="宋体" w:cs="宋体" w:hint="eastAsia"/>
                <w:sz w:val="15"/>
                <w:szCs w:val="15"/>
              </w:rPr>
            </w:pPr>
            <w:r w:rsidRPr="001572EE">
              <w:rPr>
                <w:rFonts w:ascii="宋体" w:eastAsia="宋体" w:hAnsi="宋体" w:cs="宋体"/>
                <w:sz w:val="15"/>
                <w:szCs w:val="15"/>
              </w:rPr>
              <w:t>类别</w:t>
            </w:r>
          </w:p>
        </w:tc>
        <w:tc>
          <w:tcPr>
            <w:tcW w:w="5401" w:type="dxa"/>
            <w:gridSpan w:val="8"/>
            <w:shd w:val="clear" w:color="auto" w:fill="FFFFFF" w:themeFill="background1"/>
            <w:vAlign w:val="center"/>
          </w:tcPr>
          <w:p w14:paraId="3E72995C" w14:textId="77777777" w:rsidR="00632E5B" w:rsidRPr="001572EE" w:rsidRDefault="00107901">
            <w:pPr>
              <w:spacing w:before="40" w:after="40" w:line="240" w:lineRule="exact"/>
              <w:jc w:val="center"/>
              <w:rPr>
                <w:rFonts w:ascii="宋体" w:eastAsia="宋体" w:hAnsi="宋体" w:cs="宋体" w:hint="eastAsia"/>
                <w:sz w:val="15"/>
                <w:szCs w:val="15"/>
              </w:rPr>
            </w:pPr>
            <w:r w:rsidRPr="001572EE">
              <w:rPr>
                <w:rFonts w:ascii="宋体" w:eastAsia="宋体" w:hAnsi="宋体" w:cs="宋体"/>
                <w:sz w:val="15"/>
                <w:szCs w:val="15"/>
              </w:rPr>
              <w:t>期末余额</w:t>
            </w:r>
          </w:p>
        </w:tc>
        <w:tc>
          <w:tcPr>
            <w:tcW w:w="5684" w:type="dxa"/>
            <w:gridSpan w:val="6"/>
            <w:shd w:val="clear" w:color="auto" w:fill="FFFFFF" w:themeFill="background1"/>
            <w:vAlign w:val="center"/>
          </w:tcPr>
          <w:p w14:paraId="4D724526" w14:textId="77777777" w:rsidR="00632E5B" w:rsidRPr="001572EE" w:rsidRDefault="00107901">
            <w:pPr>
              <w:spacing w:before="40" w:after="40" w:line="240" w:lineRule="exact"/>
              <w:jc w:val="center"/>
              <w:rPr>
                <w:rFonts w:ascii="宋体" w:eastAsia="宋体" w:hAnsi="宋体" w:cs="宋体" w:hint="eastAsia"/>
                <w:sz w:val="15"/>
                <w:szCs w:val="15"/>
              </w:rPr>
            </w:pPr>
            <w:r w:rsidRPr="001572EE">
              <w:rPr>
                <w:rFonts w:ascii="宋体" w:eastAsia="宋体" w:hAnsi="宋体" w:cs="宋体"/>
                <w:sz w:val="15"/>
                <w:szCs w:val="15"/>
              </w:rPr>
              <w:t>期初余额</w:t>
            </w:r>
          </w:p>
        </w:tc>
      </w:tr>
      <w:tr w:rsidR="00632E5B" w:rsidRPr="001572EE" w14:paraId="7019F729" w14:textId="77777777" w:rsidTr="004A771F">
        <w:trPr>
          <w:trHeight w:val="240"/>
          <w:jc w:val="center"/>
        </w:trPr>
        <w:tc>
          <w:tcPr>
            <w:tcW w:w="1418" w:type="dxa"/>
            <w:vMerge/>
            <w:shd w:val="clear" w:color="auto" w:fill="FFFFFF" w:themeFill="background1"/>
            <w:vAlign w:val="center"/>
          </w:tcPr>
          <w:p w14:paraId="585855AC" w14:textId="77777777" w:rsidR="00632E5B" w:rsidRPr="001572EE" w:rsidRDefault="00632E5B">
            <w:pPr>
              <w:rPr>
                <w:sz w:val="15"/>
                <w:szCs w:val="15"/>
              </w:rPr>
            </w:pPr>
          </w:p>
        </w:tc>
        <w:tc>
          <w:tcPr>
            <w:tcW w:w="2126" w:type="dxa"/>
            <w:gridSpan w:val="2"/>
            <w:shd w:val="clear" w:color="auto" w:fill="FFFFFF" w:themeFill="background1"/>
            <w:vAlign w:val="center"/>
          </w:tcPr>
          <w:p w14:paraId="4FDB8FC9" w14:textId="77777777" w:rsidR="00632E5B" w:rsidRPr="001572EE" w:rsidRDefault="00107901">
            <w:pPr>
              <w:spacing w:before="40" w:after="40" w:line="240" w:lineRule="exact"/>
              <w:jc w:val="center"/>
              <w:rPr>
                <w:rFonts w:ascii="宋体" w:eastAsia="宋体" w:hAnsi="宋体" w:cs="宋体" w:hint="eastAsia"/>
                <w:sz w:val="15"/>
                <w:szCs w:val="15"/>
              </w:rPr>
            </w:pPr>
            <w:r w:rsidRPr="001572EE">
              <w:rPr>
                <w:rFonts w:ascii="宋体" w:eastAsia="宋体" w:hAnsi="宋体" w:cs="宋体"/>
                <w:sz w:val="15"/>
                <w:szCs w:val="15"/>
              </w:rPr>
              <w:t>账面余额</w:t>
            </w:r>
          </w:p>
        </w:tc>
        <w:tc>
          <w:tcPr>
            <w:tcW w:w="1992" w:type="dxa"/>
            <w:gridSpan w:val="3"/>
            <w:shd w:val="clear" w:color="auto" w:fill="FFFFFF" w:themeFill="background1"/>
            <w:vAlign w:val="center"/>
          </w:tcPr>
          <w:p w14:paraId="3527E5DE" w14:textId="77777777" w:rsidR="00632E5B" w:rsidRPr="001572EE" w:rsidRDefault="00107901">
            <w:pPr>
              <w:spacing w:before="40" w:after="40" w:line="240" w:lineRule="exact"/>
              <w:jc w:val="center"/>
              <w:rPr>
                <w:rFonts w:ascii="宋体" w:eastAsia="宋体" w:hAnsi="宋体" w:cs="宋体" w:hint="eastAsia"/>
                <w:sz w:val="15"/>
                <w:szCs w:val="15"/>
              </w:rPr>
            </w:pPr>
            <w:r w:rsidRPr="001572EE">
              <w:rPr>
                <w:rFonts w:ascii="宋体" w:eastAsia="宋体" w:hAnsi="宋体" w:cs="宋体"/>
                <w:sz w:val="15"/>
                <w:szCs w:val="15"/>
              </w:rPr>
              <w:t>坏账准备</w:t>
            </w:r>
          </w:p>
        </w:tc>
        <w:tc>
          <w:tcPr>
            <w:tcW w:w="1276" w:type="dxa"/>
            <w:gridSpan w:val="2"/>
            <w:shd w:val="clear" w:color="auto" w:fill="FFFFFF" w:themeFill="background1"/>
            <w:vAlign w:val="center"/>
          </w:tcPr>
          <w:p w14:paraId="56AA32F0" w14:textId="77777777" w:rsidR="00632E5B" w:rsidRPr="001572EE" w:rsidRDefault="00107901">
            <w:pPr>
              <w:spacing w:before="40" w:after="40" w:line="240" w:lineRule="exact"/>
              <w:jc w:val="center"/>
              <w:rPr>
                <w:rFonts w:ascii="宋体" w:eastAsia="宋体" w:hAnsi="宋体" w:cs="宋体" w:hint="eastAsia"/>
                <w:sz w:val="15"/>
                <w:szCs w:val="15"/>
              </w:rPr>
            </w:pPr>
            <w:r w:rsidRPr="001572EE">
              <w:rPr>
                <w:rFonts w:ascii="宋体" w:eastAsia="宋体" w:hAnsi="宋体" w:cs="宋体"/>
                <w:sz w:val="15"/>
                <w:szCs w:val="15"/>
              </w:rPr>
              <w:t>账面价值</w:t>
            </w:r>
          </w:p>
        </w:tc>
        <w:tc>
          <w:tcPr>
            <w:tcW w:w="2126" w:type="dxa"/>
            <w:gridSpan w:val="4"/>
            <w:shd w:val="clear" w:color="auto" w:fill="FFFFFF" w:themeFill="background1"/>
            <w:vAlign w:val="center"/>
          </w:tcPr>
          <w:p w14:paraId="5A71115B" w14:textId="77777777" w:rsidR="00632E5B" w:rsidRPr="001572EE" w:rsidRDefault="00107901">
            <w:pPr>
              <w:spacing w:before="40" w:after="40" w:line="240" w:lineRule="exact"/>
              <w:jc w:val="center"/>
              <w:rPr>
                <w:rFonts w:ascii="宋体" w:eastAsia="宋体" w:hAnsi="宋体" w:cs="宋体" w:hint="eastAsia"/>
                <w:sz w:val="15"/>
                <w:szCs w:val="15"/>
              </w:rPr>
            </w:pPr>
            <w:r w:rsidRPr="001572EE">
              <w:rPr>
                <w:rFonts w:ascii="宋体" w:eastAsia="宋体" w:hAnsi="宋体" w:cs="宋体"/>
                <w:sz w:val="15"/>
                <w:szCs w:val="15"/>
              </w:rPr>
              <w:t>账面余额</w:t>
            </w:r>
          </w:p>
        </w:tc>
        <w:tc>
          <w:tcPr>
            <w:tcW w:w="2119" w:type="dxa"/>
            <w:gridSpan w:val="2"/>
            <w:shd w:val="clear" w:color="auto" w:fill="FFFFFF" w:themeFill="background1"/>
            <w:vAlign w:val="center"/>
          </w:tcPr>
          <w:p w14:paraId="3EB3A6AD" w14:textId="77777777" w:rsidR="00632E5B" w:rsidRPr="001572EE" w:rsidRDefault="00107901">
            <w:pPr>
              <w:spacing w:before="40" w:after="40" w:line="240" w:lineRule="exact"/>
              <w:jc w:val="center"/>
              <w:rPr>
                <w:rFonts w:ascii="宋体" w:eastAsia="宋体" w:hAnsi="宋体" w:cs="宋体" w:hint="eastAsia"/>
                <w:sz w:val="15"/>
                <w:szCs w:val="15"/>
              </w:rPr>
            </w:pPr>
            <w:r w:rsidRPr="001572EE">
              <w:rPr>
                <w:rFonts w:ascii="宋体" w:eastAsia="宋体" w:hAnsi="宋体" w:cs="宋体"/>
                <w:sz w:val="15"/>
                <w:szCs w:val="15"/>
              </w:rPr>
              <w:t>坏账准备</w:t>
            </w:r>
          </w:p>
        </w:tc>
        <w:tc>
          <w:tcPr>
            <w:tcW w:w="1446" w:type="dxa"/>
            <w:shd w:val="clear" w:color="auto" w:fill="FFFFFF" w:themeFill="background1"/>
            <w:vAlign w:val="center"/>
          </w:tcPr>
          <w:p w14:paraId="0D0E13CA" w14:textId="77777777" w:rsidR="00632E5B" w:rsidRPr="001572EE" w:rsidRDefault="00107901">
            <w:pPr>
              <w:spacing w:before="40" w:after="40" w:line="240" w:lineRule="exact"/>
              <w:jc w:val="center"/>
              <w:rPr>
                <w:rFonts w:ascii="宋体" w:eastAsia="宋体" w:hAnsi="宋体" w:cs="宋体" w:hint="eastAsia"/>
                <w:sz w:val="15"/>
                <w:szCs w:val="15"/>
              </w:rPr>
            </w:pPr>
            <w:r w:rsidRPr="001572EE">
              <w:rPr>
                <w:rFonts w:ascii="宋体" w:eastAsia="宋体" w:hAnsi="宋体" w:cs="宋体"/>
                <w:sz w:val="15"/>
                <w:szCs w:val="15"/>
              </w:rPr>
              <w:t>账面价值</w:t>
            </w:r>
          </w:p>
        </w:tc>
      </w:tr>
      <w:tr w:rsidR="001572EE" w:rsidRPr="001572EE" w14:paraId="0ACBD396" w14:textId="77777777" w:rsidTr="004A771F">
        <w:trPr>
          <w:trHeight w:val="240"/>
          <w:jc w:val="center"/>
        </w:trPr>
        <w:tc>
          <w:tcPr>
            <w:tcW w:w="1418" w:type="dxa"/>
            <w:vMerge/>
            <w:shd w:val="clear" w:color="auto" w:fill="FFFFFF" w:themeFill="background1"/>
            <w:vAlign w:val="center"/>
          </w:tcPr>
          <w:p w14:paraId="2F2BC460" w14:textId="77777777" w:rsidR="00632E5B" w:rsidRPr="001572EE" w:rsidRDefault="00632E5B">
            <w:pPr>
              <w:rPr>
                <w:sz w:val="15"/>
                <w:szCs w:val="15"/>
              </w:rPr>
            </w:pPr>
          </w:p>
        </w:tc>
        <w:tc>
          <w:tcPr>
            <w:tcW w:w="1418" w:type="dxa"/>
            <w:shd w:val="clear" w:color="auto" w:fill="FFFFFF" w:themeFill="background1"/>
            <w:vAlign w:val="center"/>
          </w:tcPr>
          <w:p w14:paraId="3D1960AE" w14:textId="77777777" w:rsidR="00632E5B" w:rsidRPr="001572EE" w:rsidRDefault="00107901">
            <w:pPr>
              <w:spacing w:before="40" w:after="40" w:line="240" w:lineRule="exact"/>
              <w:jc w:val="center"/>
              <w:rPr>
                <w:rFonts w:ascii="宋体" w:eastAsia="宋体" w:hAnsi="宋体" w:cs="宋体" w:hint="eastAsia"/>
                <w:sz w:val="15"/>
                <w:szCs w:val="15"/>
              </w:rPr>
            </w:pPr>
            <w:r w:rsidRPr="001572EE">
              <w:rPr>
                <w:rFonts w:ascii="宋体" w:eastAsia="宋体" w:hAnsi="宋体" w:cs="宋体"/>
                <w:sz w:val="15"/>
                <w:szCs w:val="15"/>
              </w:rPr>
              <w:t>金额</w:t>
            </w:r>
          </w:p>
        </w:tc>
        <w:tc>
          <w:tcPr>
            <w:tcW w:w="708" w:type="dxa"/>
            <w:shd w:val="clear" w:color="auto" w:fill="FFFFFF" w:themeFill="background1"/>
            <w:vAlign w:val="center"/>
          </w:tcPr>
          <w:p w14:paraId="119EC9D5" w14:textId="77777777" w:rsidR="00632E5B" w:rsidRPr="001572EE" w:rsidRDefault="00107901">
            <w:pPr>
              <w:spacing w:before="40" w:after="40" w:line="240" w:lineRule="exact"/>
              <w:jc w:val="center"/>
              <w:rPr>
                <w:rFonts w:ascii="宋体" w:eastAsia="宋体" w:hAnsi="宋体" w:cs="宋体" w:hint="eastAsia"/>
                <w:sz w:val="15"/>
                <w:szCs w:val="15"/>
              </w:rPr>
            </w:pPr>
            <w:r w:rsidRPr="001572EE">
              <w:rPr>
                <w:rFonts w:ascii="宋体" w:eastAsia="宋体" w:hAnsi="宋体" w:cs="宋体"/>
                <w:sz w:val="15"/>
                <w:szCs w:val="15"/>
              </w:rPr>
              <w:t>比例</w:t>
            </w:r>
          </w:p>
        </w:tc>
        <w:tc>
          <w:tcPr>
            <w:tcW w:w="1276" w:type="dxa"/>
            <w:shd w:val="clear" w:color="auto" w:fill="FFFFFF" w:themeFill="background1"/>
            <w:vAlign w:val="center"/>
          </w:tcPr>
          <w:p w14:paraId="13B1A2F5" w14:textId="77777777" w:rsidR="00632E5B" w:rsidRPr="001572EE" w:rsidRDefault="00107901">
            <w:pPr>
              <w:spacing w:before="40" w:after="40" w:line="240" w:lineRule="exact"/>
              <w:jc w:val="center"/>
              <w:rPr>
                <w:rFonts w:ascii="宋体" w:eastAsia="宋体" w:hAnsi="宋体" w:cs="宋体" w:hint="eastAsia"/>
                <w:sz w:val="15"/>
                <w:szCs w:val="15"/>
              </w:rPr>
            </w:pPr>
            <w:r w:rsidRPr="001572EE">
              <w:rPr>
                <w:rFonts w:ascii="宋体" w:eastAsia="宋体" w:hAnsi="宋体" w:cs="宋体"/>
                <w:sz w:val="15"/>
                <w:szCs w:val="15"/>
              </w:rPr>
              <w:t>金额</w:t>
            </w:r>
          </w:p>
        </w:tc>
        <w:tc>
          <w:tcPr>
            <w:tcW w:w="709" w:type="dxa"/>
            <w:shd w:val="clear" w:color="auto" w:fill="FFFFFF" w:themeFill="background1"/>
            <w:vAlign w:val="center"/>
          </w:tcPr>
          <w:p w14:paraId="20C55BC9" w14:textId="77777777" w:rsidR="00632E5B" w:rsidRPr="001572EE" w:rsidRDefault="00107901">
            <w:pPr>
              <w:spacing w:before="40" w:after="40" w:line="240" w:lineRule="exact"/>
              <w:jc w:val="center"/>
              <w:rPr>
                <w:rFonts w:ascii="宋体" w:eastAsia="宋体" w:hAnsi="宋体" w:cs="宋体" w:hint="eastAsia"/>
                <w:sz w:val="15"/>
                <w:szCs w:val="15"/>
              </w:rPr>
            </w:pPr>
            <w:r w:rsidRPr="001572EE">
              <w:rPr>
                <w:rFonts w:ascii="宋体" w:eastAsia="宋体" w:hAnsi="宋体" w:cs="宋体"/>
                <w:sz w:val="15"/>
                <w:szCs w:val="15"/>
              </w:rPr>
              <w:t>计提比例</w:t>
            </w:r>
          </w:p>
        </w:tc>
        <w:tc>
          <w:tcPr>
            <w:tcW w:w="1276" w:type="dxa"/>
            <w:gridSpan w:val="2"/>
            <w:shd w:val="clear" w:color="auto" w:fill="FFFFFF" w:themeFill="background1"/>
            <w:vAlign w:val="center"/>
          </w:tcPr>
          <w:p w14:paraId="4E5EEC22" w14:textId="77777777" w:rsidR="00632E5B" w:rsidRPr="001572EE" w:rsidRDefault="00632E5B">
            <w:pPr>
              <w:rPr>
                <w:sz w:val="15"/>
                <w:szCs w:val="15"/>
              </w:rPr>
            </w:pPr>
          </w:p>
        </w:tc>
        <w:tc>
          <w:tcPr>
            <w:tcW w:w="1417" w:type="dxa"/>
            <w:gridSpan w:val="3"/>
            <w:shd w:val="clear" w:color="auto" w:fill="FFFFFF" w:themeFill="background1"/>
            <w:vAlign w:val="center"/>
          </w:tcPr>
          <w:p w14:paraId="2A95C472" w14:textId="77777777" w:rsidR="00632E5B" w:rsidRPr="001572EE" w:rsidRDefault="00107901">
            <w:pPr>
              <w:spacing w:before="40" w:after="40" w:line="240" w:lineRule="exact"/>
              <w:jc w:val="center"/>
              <w:rPr>
                <w:rFonts w:ascii="宋体" w:eastAsia="宋体" w:hAnsi="宋体" w:cs="宋体" w:hint="eastAsia"/>
                <w:sz w:val="15"/>
                <w:szCs w:val="15"/>
              </w:rPr>
            </w:pPr>
            <w:r w:rsidRPr="001572EE">
              <w:rPr>
                <w:rFonts w:ascii="宋体" w:eastAsia="宋体" w:hAnsi="宋体" w:cs="宋体"/>
                <w:sz w:val="15"/>
                <w:szCs w:val="15"/>
              </w:rPr>
              <w:t>金额</w:t>
            </w:r>
          </w:p>
        </w:tc>
        <w:tc>
          <w:tcPr>
            <w:tcW w:w="709" w:type="dxa"/>
            <w:shd w:val="clear" w:color="auto" w:fill="FFFFFF" w:themeFill="background1"/>
            <w:vAlign w:val="center"/>
          </w:tcPr>
          <w:p w14:paraId="4E9E1910" w14:textId="77777777" w:rsidR="00632E5B" w:rsidRPr="001572EE" w:rsidRDefault="00107901">
            <w:pPr>
              <w:spacing w:before="40" w:after="40" w:line="240" w:lineRule="exact"/>
              <w:jc w:val="center"/>
              <w:rPr>
                <w:rFonts w:ascii="宋体" w:eastAsia="宋体" w:hAnsi="宋体" w:cs="宋体" w:hint="eastAsia"/>
                <w:sz w:val="15"/>
                <w:szCs w:val="15"/>
              </w:rPr>
            </w:pPr>
            <w:r w:rsidRPr="001572EE">
              <w:rPr>
                <w:rFonts w:ascii="宋体" w:eastAsia="宋体" w:hAnsi="宋体" w:cs="宋体"/>
                <w:sz w:val="15"/>
                <w:szCs w:val="15"/>
              </w:rPr>
              <w:t>比例</w:t>
            </w:r>
          </w:p>
        </w:tc>
        <w:tc>
          <w:tcPr>
            <w:tcW w:w="1417" w:type="dxa"/>
            <w:gridSpan w:val="2"/>
            <w:shd w:val="clear" w:color="auto" w:fill="FFFFFF" w:themeFill="background1"/>
            <w:vAlign w:val="center"/>
          </w:tcPr>
          <w:p w14:paraId="223457E0" w14:textId="77777777" w:rsidR="00632E5B" w:rsidRPr="001572EE" w:rsidRDefault="00107901">
            <w:pPr>
              <w:spacing w:before="40" w:after="40" w:line="240" w:lineRule="exact"/>
              <w:jc w:val="center"/>
              <w:rPr>
                <w:rFonts w:ascii="宋体" w:eastAsia="宋体" w:hAnsi="宋体" w:cs="宋体" w:hint="eastAsia"/>
                <w:sz w:val="15"/>
                <w:szCs w:val="15"/>
              </w:rPr>
            </w:pPr>
            <w:r w:rsidRPr="001572EE">
              <w:rPr>
                <w:rFonts w:ascii="宋体" w:eastAsia="宋体" w:hAnsi="宋体" w:cs="宋体"/>
                <w:sz w:val="15"/>
                <w:szCs w:val="15"/>
              </w:rPr>
              <w:t>金额</w:t>
            </w:r>
          </w:p>
        </w:tc>
        <w:tc>
          <w:tcPr>
            <w:tcW w:w="709" w:type="dxa"/>
            <w:shd w:val="clear" w:color="auto" w:fill="FFFFFF" w:themeFill="background1"/>
            <w:vAlign w:val="center"/>
          </w:tcPr>
          <w:p w14:paraId="4D1BF6C7" w14:textId="77777777" w:rsidR="00632E5B" w:rsidRPr="001572EE" w:rsidRDefault="00107901">
            <w:pPr>
              <w:spacing w:before="40" w:after="40" w:line="240" w:lineRule="exact"/>
              <w:jc w:val="center"/>
              <w:rPr>
                <w:rFonts w:ascii="宋体" w:eastAsia="宋体" w:hAnsi="宋体" w:cs="宋体" w:hint="eastAsia"/>
                <w:sz w:val="15"/>
                <w:szCs w:val="15"/>
              </w:rPr>
            </w:pPr>
            <w:r w:rsidRPr="001572EE">
              <w:rPr>
                <w:rFonts w:ascii="宋体" w:eastAsia="宋体" w:hAnsi="宋体" w:cs="宋体"/>
                <w:sz w:val="15"/>
                <w:szCs w:val="15"/>
              </w:rPr>
              <w:t>计提比例</w:t>
            </w:r>
          </w:p>
        </w:tc>
        <w:tc>
          <w:tcPr>
            <w:tcW w:w="1446" w:type="dxa"/>
            <w:shd w:val="clear" w:color="auto" w:fill="FFFFFF" w:themeFill="background1"/>
            <w:vAlign w:val="center"/>
          </w:tcPr>
          <w:p w14:paraId="44D7184B" w14:textId="77777777" w:rsidR="00632E5B" w:rsidRPr="001572EE" w:rsidRDefault="00632E5B">
            <w:pPr>
              <w:rPr>
                <w:sz w:val="15"/>
                <w:szCs w:val="15"/>
              </w:rPr>
            </w:pPr>
          </w:p>
        </w:tc>
      </w:tr>
      <w:tr w:rsidR="00632E5B" w:rsidRPr="001572EE" w14:paraId="6FD9AAEC" w14:textId="77777777" w:rsidTr="004A771F">
        <w:trPr>
          <w:trHeight w:val="240"/>
          <w:jc w:val="center"/>
        </w:trPr>
        <w:tc>
          <w:tcPr>
            <w:tcW w:w="1418" w:type="dxa"/>
            <w:shd w:val="clear" w:color="auto" w:fill="FFFFFF" w:themeFill="background1"/>
            <w:vAlign w:val="center"/>
          </w:tcPr>
          <w:p w14:paraId="4880C8E7" w14:textId="77777777" w:rsidR="00632E5B" w:rsidRPr="001572EE" w:rsidRDefault="00107901">
            <w:pPr>
              <w:spacing w:before="40" w:after="40" w:line="240" w:lineRule="exact"/>
              <w:rPr>
                <w:rFonts w:ascii="宋体" w:eastAsia="宋体" w:hAnsi="宋体" w:cs="宋体" w:hint="eastAsia"/>
                <w:sz w:val="15"/>
                <w:szCs w:val="15"/>
              </w:rPr>
            </w:pPr>
            <w:r w:rsidRPr="001572EE">
              <w:rPr>
                <w:rFonts w:ascii="宋体" w:eastAsia="宋体" w:hAnsi="宋体" w:cs="宋体"/>
                <w:sz w:val="15"/>
                <w:szCs w:val="15"/>
              </w:rPr>
              <w:t>按单项计提坏账准备的应收账款</w:t>
            </w:r>
          </w:p>
        </w:tc>
        <w:tc>
          <w:tcPr>
            <w:tcW w:w="1418" w:type="dxa"/>
            <w:shd w:val="clear" w:color="auto" w:fill="FFFFFF" w:themeFill="background1"/>
            <w:vAlign w:val="center"/>
          </w:tcPr>
          <w:p w14:paraId="0FA83497"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750,724,408.90</w:t>
            </w:r>
          </w:p>
        </w:tc>
        <w:tc>
          <w:tcPr>
            <w:tcW w:w="708" w:type="dxa"/>
            <w:shd w:val="clear" w:color="auto" w:fill="FFFFFF" w:themeFill="background1"/>
            <w:vAlign w:val="center"/>
          </w:tcPr>
          <w:p w14:paraId="42F64332"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55.41%</w:t>
            </w:r>
          </w:p>
        </w:tc>
        <w:tc>
          <w:tcPr>
            <w:tcW w:w="1276" w:type="dxa"/>
            <w:shd w:val="clear" w:color="auto" w:fill="FFFFFF" w:themeFill="background1"/>
            <w:vAlign w:val="center"/>
          </w:tcPr>
          <w:p w14:paraId="7C7CB3CC"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720,041,527.83</w:t>
            </w:r>
          </w:p>
        </w:tc>
        <w:tc>
          <w:tcPr>
            <w:tcW w:w="709" w:type="dxa"/>
            <w:shd w:val="clear" w:color="auto" w:fill="FFFFFF" w:themeFill="background1"/>
            <w:vAlign w:val="center"/>
          </w:tcPr>
          <w:p w14:paraId="570A82C2"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95.91%</w:t>
            </w:r>
          </w:p>
        </w:tc>
        <w:tc>
          <w:tcPr>
            <w:tcW w:w="1276" w:type="dxa"/>
            <w:gridSpan w:val="2"/>
            <w:shd w:val="clear" w:color="auto" w:fill="FFFFFF" w:themeFill="background1"/>
            <w:vAlign w:val="center"/>
          </w:tcPr>
          <w:p w14:paraId="49472AD0"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30,682,881.07</w:t>
            </w:r>
          </w:p>
        </w:tc>
        <w:tc>
          <w:tcPr>
            <w:tcW w:w="1417" w:type="dxa"/>
            <w:gridSpan w:val="3"/>
            <w:shd w:val="clear" w:color="auto" w:fill="FFFFFF" w:themeFill="background1"/>
            <w:vAlign w:val="center"/>
          </w:tcPr>
          <w:p w14:paraId="4A423B56"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1,174,894,943.12</w:t>
            </w:r>
          </w:p>
        </w:tc>
        <w:tc>
          <w:tcPr>
            <w:tcW w:w="709" w:type="dxa"/>
            <w:shd w:val="clear" w:color="auto" w:fill="FFFFFF" w:themeFill="background1"/>
            <w:vAlign w:val="center"/>
          </w:tcPr>
          <w:p w14:paraId="69EB40E9"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59.79%</w:t>
            </w:r>
          </w:p>
        </w:tc>
        <w:tc>
          <w:tcPr>
            <w:tcW w:w="1417" w:type="dxa"/>
            <w:gridSpan w:val="2"/>
            <w:shd w:val="clear" w:color="auto" w:fill="FFFFFF" w:themeFill="background1"/>
            <w:vAlign w:val="center"/>
          </w:tcPr>
          <w:p w14:paraId="01260F5A"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934,575,270.16</w:t>
            </w:r>
          </w:p>
        </w:tc>
        <w:tc>
          <w:tcPr>
            <w:tcW w:w="709" w:type="dxa"/>
            <w:shd w:val="clear" w:color="auto" w:fill="FFFFFF" w:themeFill="background1"/>
            <w:vAlign w:val="center"/>
          </w:tcPr>
          <w:p w14:paraId="2C27A7F8"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79.55%</w:t>
            </w:r>
          </w:p>
        </w:tc>
        <w:tc>
          <w:tcPr>
            <w:tcW w:w="1446" w:type="dxa"/>
            <w:shd w:val="clear" w:color="auto" w:fill="FFFFFF" w:themeFill="background1"/>
            <w:vAlign w:val="center"/>
          </w:tcPr>
          <w:p w14:paraId="08639862"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240,319,672.96</w:t>
            </w:r>
          </w:p>
        </w:tc>
      </w:tr>
      <w:tr w:rsidR="001572EE" w:rsidRPr="001572EE" w14:paraId="5A026174" w14:textId="77777777" w:rsidTr="004A771F">
        <w:trPr>
          <w:trHeight w:val="240"/>
          <w:jc w:val="center"/>
        </w:trPr>
        <w:tc>
          <w:tcPr>
            <w:tcW w:w="1418" w:type="dxa"/>
            <w:shd w:val="clear" w:color="auto" w:fill="FFFFFF" w:themeFill="background1"/>
            <w:vAlign w:val="center"/>
          </w:tcPr>
          <w:p w14:paraId="0C7F1497" w14:textId="77777777" w:rsidR="00632E5B" w:rsidRPr="001572EE" w:rsidRDefault="00107901">
            <w:pPr>
              <w:spacing w:before="40" w:after="40" w:line="240" w:lineRule="exact"/>
              <w:ind w:firstLineChars="100" w:firstLine="150"/>
              <w:rPr>
                <w:rFonts w:ascii="宋体" w:eastAsia="宋体" w:hAnsi="宋体" w:cs="宋体" w:hint="eastAsia"/>
                <w:sz w:val="15"/>
                <w:szCs w:val="15"/>
              </w:rPr>
            </w:pPr>
            <w:r w:rsidRPr="001572EE">
              <w:rPr>
                <w:rFonts w:ascii="宋体" w:eastAsia="宋体" w:hAnsi="宋体" w:cs="宋体"/>
                <w:sz w:val="15"/>
                <w:szCs w:val="15"/>
              </w:rPr>
              <w:t>其中：</w:t>
            </w:r>
          </w:p>
        </w:tc>
        <w:tc>
          <w:tcPr>
            <w:tcW w:w="1418" w:type="dxa"/>
            <w:shd w:val="clear" w:color="auto" w:fill="FFFFFF" w:themeFill="background1"/>
            <w:vAlign w:val="center"/>
          </w:tcPr>
          <w:p w14:paraId="02458F7E" w14:textId="77777777" w:rsidR="00632E5B" w:rsidRPr="001572EE" w:rsidRDefault="00632E5B">
            <w:pPr>
              <w:rPr>
                <w:sz w:val="15"/>
                <w:szCs w:val="15"/>
              </w:rPr>
            </w:pPr>
          </w:p>
        </w:tc>
        <w:tc>
          <w:tcPr>
            <w:tcW w:w="708" w:type="dxa"/>
            <w:shd w:val="clear" w:color="auto" w:fill="FFFFFF" w:themeFill="background1"/>
            <w:vAlign w:val="center"/>
          </w:tcPr>
          <w:p w14:paraId="419E95D0" w14:textId="77777777" w:rsidR="00632E5B" w:rsidRPr="001572EE" w:rsidRDefault="00632E5B">
            <w:pPr>
              <w:rPr>
                <w:sz w:val="15"/>
                <w:szCs w:val="15"/>
              </w:rPr>
            </w:pPr>
          </w:p>
        </w:tc>
        <w:tc>
          <w:tcPr>
            <w:tcW w:w="1276" w:type="dxa"/>
            <w:shd w:val="clear" w:color="auto" w:fill="FFFFFF" w:themeFill="background1"/>
            <w:vAlign w:val="center"/>
          </w:tcPr>
          <w:p w14:paraId="7BE61983" w14:textId="77777777" w:rsidR="00632E5B" w:rsidRPr="001572EE" w:rsidRDefault="00632E5B">
            <w:pPr>
              <w:rPr>
                <w:sz w:val="15"/>
                <w:szCs w:val="15"/>
              </w:rPr>
            </w:pPr>
          </w:p>
        </w:tc>
        <w:tc>
          <w:tcPr>
            <w:tcW w:w="709" w:type="dxa"/>
            <w:shd w:val="clear" w:color="auto" w:fill="FFFFFF" w:themeFill="background1"/>
            <w:vAlign w:val="center"/>
          </w:tcPr>
          <w:p w14:paraId="456DBC56" w14:textId="77777777" w:rsidR="00632E5B" w:rsidRPr="001572EE" w:rsidRDefault="00632E5B">
            <w:pPr>
              <w:rPr>
                <w:sz w:val="15"/>
                <w:szCs w:val="15"/>
              </w:rPr>
            </w:pPr>
          </w:p>
        </w:tc>
        <w:tc>
          <w:tcPr>
            <w:tcW w:w="1276" w:type="dxa"/>
            <w:gridSpan w:val="2"/>
            <w:shd w:val="clear" w:color="auto" w:fill="FFFFFF" w:themeFill="background1"/>
            <w:vAlign w:val="center"/>
          </w:tcPr>
          <w:p w14:paraId="1DDF11ED" w14:textId="77777777" w:rsidR="00632E5B" w:rsidRPr="001572EE" w:rsidRDefault="00632E5B">
            <w:pPr>
              <w:rPr>
                <w:sz w:val="15"/>
                <w:szCs w:val="15"/>
              </w:rPr>
            </w:pPr>
          </w:p>
        </w:tc>
        <w:tc>
          <w:tcPr>
            <w:tcW w:w="1417" w:type="dxa"/>
            <w:gridSpan w:val="3"/>
            <w:shd w:val="clear" w:color="auto" w:fill="FFFFFF" w:themeFill="background1"/>
            <w:vAlign w:val="center"/>
          </w:tcPr>
          <w:p w14:paraId="11BF6D0B" w14:textId="77777777" w:rsidR="00632E5B" w:rsidRPr="001572EE" w:rsidRDefault="00632E5B">
            <w:pPr>
              <w:rPr>
                <w:sz w:val="15"/>
                <w:szCs w:val="15"/>
              </w:rPr>
            </w:pPr>
          </w:p>
        </w:tc>
        <w:tc>
          <w:tcPr>
            <w:tcW w:w="709" w:type="dxa"/>
            <w:shd w:val="clear" w:color="auto" w:fill="FFFFFF" w:themeFill="background1"/>
            <w:vAlign w:val="center"/>
          </w:tcPr>
          <w:p w14:paraId="77C6FE75" w14:textId="77777777" w:rsidR="00632E5B" w:rsidRPr="001572EE" w:rsidRDefault="00632E5B">
            <w:pPr>
              <w:rPr>
                <w:sz w:val="15"/>
                <w:szCs w:val="15"/>
              </w:rPr>
            </w:pPr>
          </w:p>
        </w:tc>
        <w:tc>
          <w:tcPr>
            <w:tcW w:w="1417" w:type="dxa"/>
            <w:gridSpan w:val="2"/>
            <w:shd w:val="clear" w:color="auto" w:fill="FFFFFF" w:themeFill="background1"/>
            <w:vAlign w:val="center"/>
          </w:tcPr>
          <w:p w14:paraId="281CC8F0" w14:textId="77777777" w:rsidR="00632E5B" w:rsidRPr="001572EE" w:rsidRDefault="00632E5B">
            <w:pPr>
              <w:rPr>
                <w:sz w:val="15"/>
                <w:szCs w:val="15"/>
              </w:rPr>
            </w:pPr>
          </w:p>
        </w:tc>
        <w:tc>
          <w:tcPr>
            <w:tcW w:w="709" w:type="dxa"/>
            <w:shd w:val="clear" w:color="auto" w:fill="FFFFFF" w:themeFill="background1"/>
            <w:vAlign w:val="center"/>
          </w:tcPr>
          <w:p w14:paraId="73557188" w14:textId="77777777" w:rsidR="00632E5B" w:rsidRPr="001572EE" w:rsidRDefault="00632E5B">
            <w:pPr>
              <w:rPr>
                <w:sz w:val="15"/>
                <w:szCs w:val="15"/>
              </w:rPr>
            </w:pPr>
          </w:p>
        </w:tc>
        <w:tc>
          <w:tcPr>
            <w:tcW w:w="1446" w:type="dxa"/>
            <w:shd w:val="clear" w:color="auto" w:fill="FFFFFF" w:themeFill="background1"/>
            <w:vAlign w:val="center"/>
          </w:tcPr>
          <w:p w14:paraId="2FF16026" w14:textId="77777777" w:rsidR="00632E5B" w:rsidRPr="001572EE" w:rsidRDefault="00632E5B">
            <w:pPr>
              <w:rPr>
                <w:sz w:val="15"/>
                <w:szCs w:val="15"/>
              </w:rPr>
            </w:pPr>
          </w:p>
        </w:tc>
      </w:tr>
      <w:tr w:rsidR="00632E5B" w:rsidRPr="001572EE" w14:paraId="33B9A946" w14:textId="77777777" w:rsidTr="004A771F">
        <w:trPr>
          <w:trHeight w:val="240"/>
          <w:jc w:val="center"/>
        </w:trPr>
        <w:tc>
          <w:tcPr>
            <w:tcW w:w="1418" w:type="dxa"/>
            <w:shd w:val="clear" w:color="auto" w:fill="FFFFFF" w:themeFill="background1"/>
            <w:vAlign w:val="center"/>
          </w:tcPr>
          <w:p w14:paraId="28617C34" w14:textId="77777777" w:rsidR="00632E5B" w:rsidRPr="001572EE" w:rsidRDefault="00107901">
            <w:pPr>
              <w:spacing w:before="40" w:after="40" w:line="240" w:lineRule="exact"/>
              <w:rPr>
                <w:rFonts w:ascii="宋体" w:eastAsia="宋体" w:hAnsi="宋体" w:cs="宋体" w:hint="eastAsia"/>
                <w:sz w:val="15"/>
                <w:szCs w:val="15"/>
              </w:rPr>
            </w:pPr>
            <w:r w:rsidRPr="001572EE">
              <w:rPr>
                <w:rFonts w:ascii="宋体" w:eastAsia="宋体" w:hAnsi="宋体" w:cs="宋体"/>
                <w:sz w:val="15"/>
                <w:szCs w:val="15"/>
              </w:rPr>
              <w:t>按组合计提坏账准备的应收账款</w:t>
            </w:r>
          </w:p>
        </w:tc>
        <w:tc>
          <w:tcPr>
            <w:tcW w:w="1418" w:type="dxa"/>
            <w:shd w:val="clear" w:color="auto" w:fill="FFFFFF" w:themeFill="background1"/>
            <w:vAlign w:val="center"/>
          </w:tcPr>
          <w:p w14:paraId="3EE6A14B"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604,187,138.02</w:t>
            </w:r>
          </w:p>
        </w:tc>
        <w:tc>
          <w:tcPr>
            <w:tcW w:w="708" w:type="dxa"/>
            <w:shd w:val="clear" w:color="auto" w:fill="FFFFFF" w:themeFill="background1"/>
            <w:vAlign w:val="center"/>
          </w:tcPr>
          <w:p w14:paraId="30C6A23F"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44.59%</w:t>
            </w:r>
          </w:p>
        </w:tc>
        <w:tc>
          <w:tcPr>
            <w:tcW w:w="1276" w:type="dxa"/>
            <w:shd w:val="clear" w:color="auto" w:fill="FFFFFF" w:themeFill="background1"/>
            <w:vAlign w:val="center"/>
          </w:tcPr>
          <w:p w14:paraId="4F4B2939"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27,337,242.33</w:t>
            </w:r>
          </w:p>
        </w:tc>
        <w:tc>
          <w:tcPr>
            <w:tcW w:w="709" w:type="dxa"/>
            <w:shd w:val="clear" w:color="auto" w:fill="FFFFFF" w:themeFill="background1"/>
            <w:vAlign w:val="center"/>
          </w:tcPr>
          <w:p w14:paraId="11793D7C"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4.52%</w:t>
            </w:r>
          </w:p>
        </w:tc>
        <w:tc>
          <w:tcPr>
            <w:tcW w:w="1276" w:type="dxa"/>
            <w:gridSpan w:val="2"/>
            <w:shd w:val="clear" w:color="auto" w:fill="FFFFFF" w:themeFill="background1"/>
            <w:vAlign w:val="center"/>
          </w:tcPr>
          <w:p w14:paraId="7338865A"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576,849,895.69</w:t>
            </w:r>
          </w:p>
        </w:tc>
        <w:tc>
          <w:tcPr>
            <w:tcW w:w="1417" w:type="dxa"/>
            <w:gridSpan w:val="3"/>
            <w:shd w:val="clear" w:color="auto" w:fill="FFFFFF" w:themeFill="background1"/>
            <w:vAlign w:val="center"/>
          </w:tcPr>
          <w:p w14:paraId="5A870F66"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790,286,469.87</w:t>
            </w:r>
          </w:p>
        </w:tc>
        <w:tc>
          <w:tcPr>
            <w:tcW w:w="709" w:type="dxa"/>
            <w:shd w:val="clear" w:color="auto" w:fill="FFFFFF" w:themeFill="background1"/>
            <w:vAlign w:val="center"/>
          </w:tcPr>
          <w:p w14:paraId="0A669AB1"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40.21%</w:t>
            </w:r>
          </w:p>
        </w:tc>
        <w:tc>
          <w:tcPr>
            <w:tcW w:w="1417" w:type="dxa"/>
            <w:gridSpan w:val="2"/>
            <w:shd w:val="clear" w:color="auto" w:fill="FFFFFF" w:themeFill="background1"/>
            <w:vAlign w:val="center"/>
          </w:tcPr>
          <w:p w14:paraId="1D493B97"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86,324,842.67</w:t>
            </w:r>
          </w:p>
        </w:tc>
        <w:tc>
          <w:tcPr>
            <w:tcW w:w="709" w:type="dxa"/>
            <w:shd w:val="clear" w:color="auto" w:fill="FFFFFF" w:themeFill="background1"/>
            <w:vAlign w:val="center"/>
          </w:tcPr>
          <w:p w14:paraId="1D7FC7AE"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10.92%</w:t>
            </w:r>
          </w:p>
        </w:tc>
        <w:tc>
          <w:tcPr>
            <w:tcW w:w="1446" w:type="dxa"/>
            <w:shd w:val="clear" w:color="auto" w:fill="FFFFFF" w:themeFill="background1"/>
            <w:vAlign w:val="center"/>
          </w:tcPr>
          <w:p w14:paraId="4A1C1E0D"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703,961,627.20</w:t>
            </w:r>
          </w:p>
        </w:tc>
      </w:tr>
      <w:tr w:rsidR="001572EE" w:rsidRPr="001572EE" w14:paraId="7C684436" w14:textId="77777777" w:rsidTr="004A771F">
        <w:trPr>
          <w:trHeight w:val="240"/>
          <w:jc w:val="center"/>
        </w:trPr>
        <w:tc>
          <w:tcPr>
            <w:tcW w:w="1418" w:type="dxa"/>
            <w:shd w:val="clear" w:color="auto" w:fill="FFFFFF" w:themeFill="background1"/>
            <w:vAlign w:val="center"/>
          </w:tcPr>
          <w:p w14:paraId="749FA005" w14:textId="77777777" w:rsidR="00632E5B" w:rsidRPr="001572EE" w:rsidRDefault="00107901">
            <w:pPr>
              <w:spacing w:before="40" w:after="40" w:line="240" w:lineRule="exact"/>
              <w:ind w:firstLineChars="100" w:firstLine="150"/>
              <w:rPr>
                <w:rFonts w:ascii="宋体" w:eastAsia="宋体" w:hAnsi="宋体" w:cs="宋体" w:hint="eastAsia"/>
                <w:sz w:val="15"/>
                <w:szCs w:val="15"/>
              </w:rPr>
            </w:pPr>
            <w:r w:rsidRPr="001572EE">
              <w:rPr>
                <w:rFonts w:ascii="宋体" w:eastAsia="宋体" w:hAnsi="宋体" w:cs="宋体"/>
                <w:sz w:val="15"/>
                <w:szCs w:val="15"/>
              </w:rPr>
              <w:t>其中：</w:t>
            </w:r>
          </w:p>
        </w:tc>
        <w:tc>
          <w:tcPr>
            <w:tcW w:w="1418" w:type="dxa"/>
            <w:shd w:val="clear" w:color="auto" w:fill="FFFFFF" w:themeFill="background1"/>
            <w:vAlign w:val="center"/>
          </w:tcPr>
          <w:p w14:paraId="2ACAC57F" w14:textId="77777777" w:rsidR="00632E5B" w:rsidRPr="001572EE" w:rsidRDefault="00632E5B">
            <w:pPr>
              <w:rPr>
                <w:sz w:val="15"/>
                <w:szCs w:val="15"/>
              </w:rPr>
            </w:pPr>
          </w:p>
        </w:tc>
        <w:tc>
          <w:tcPr>
            <w:tcW w:w="708" w:type="dxa"/>
            <w:shd w:val="clear" w:color="auto" w:fill="FFFFFF" w:themeFill="background1"/>
            <w:vAlign w:val="center"/>
          </w:tcPr>
          <w:p w14:paraId="40075F58" w14:textId="77777777" w:rsidR="00632E5B" w:rsidRPr="001572EE" w:rsidRDefault="00632E5B">
            <w:pPr>
              <w:rPr>
                <w:sz w:val="15"/>
                <w:szCs w:val="15"/>
              </w:rPr>
            </w:pPr>
          </w:p>
        </w:tc>
        <w:tc>
          <w:tcPr>
            <w:tcW w:w="1276" w:type="dxa"/>
            <w:shd w:val="clear" w:color="auto" w:fill="FFFFFF" w:themeFill="background1"/>
            <w:vAlign w:val="center"/>
          </w:tcPr>
          <w:p w14:paraId="75E1945F" w14:textId="77777777" w:rsidR="00632E5B" w:rsidRPr="001572EE" w:rsidRDefault="00632E5B">
            <w:pPr>
              <w:rPr>
                <w:sz w:val="15"/>
                <w:szCs w:val="15"/>
              </w:rPr>
            </w:pPr>
          </w:p>
        </w:tc>
        <w:tc>
          <w:tcPr>
            <w:tcW w:w="709" w:type="dxa"/>
            <w:shd w:val="clear" w:color="auto" w:fill="FFFFFF" w:themeFill="background1"/>
            <w:vAlign w:val="center"/>
          </w:tcPr>
          <w:p w14:paraId="6A0605CF" w14:textId="77777777" w:rsidR="00632E5B" w:rsidRPr="001572EE" w:rsidRDefault="00632E5B">
            <w:pPr>
              <w:rPr>
                <w:sz w:val="15"/>
                <w:szCs w:val="15"/>
              </w:rPr>
            </w:pPr>
          </w:p>
        </w:tc>
        <w:tc>
          <w:tcPr>
            <w:tcW w:w="1276" w:type="dxa"/>
            <w:gridSpan w:val="2"/>
            <w:shd w:val="clear" w:color="auto" w:fill="FFFFFF" w:themeFill="background1"/>
            <w:vAlign w:val="center"/>
          </w:tcPr>
          <w:p w14:paraId="0419B570" w14:textId="77777777" w:rsidR="00632E5B" w:rsidRPr="001572EE" w:rsidRDefault="00632E5B">
            <w:pPr>
              <w:rPr>
                <w:sz w:val="15"/>
                <w:szCs w:val="15"/>
              </w:rPr>
            </w:pPr>
          </w:p>
        </w:tc>
        <w:tc>
          <w:tcPr>
            <w:tcW w:w="1417" w:type="dxa"/>
            <w:gridSpan w:val="3"/>
            <w:shd w:val="clear" w:color="auto" w:fill="FFFFFF" w:themeFill="background1"/>
            <w:vAlign w:val="center"/>
          </w:tcPr>
          <w:p w14:paraId="695237FE" w14:textId="77777777" w:rsidR="00632E5B" w:rsidRPr="001572EE" w:rsidRDefault="00632E5B">
            <w:pPr>
              <w:rPr>
                <w:sz w:val="15"/>
                <w:szCs w:val="15"/>
              </w:rPr>
            </w:pPr>
          </w:p>
        </w:tc>
        <w:tc>
          <w:tcPr>
            <w:tcW w:w="709" w:type="dxa"/>
            <w:shd w:val="clear" w:color="auto" w:fill="FFFFFF" w:themeFill="background1"/>
            <w:vAlign w:val="center"/>
          </w:tcPr>
          <w:p w14:paraId="123AEEDB" w14:textId="77777777" w:rsidR="00632E5B" w:rsidRPr="001572EE" w:rsidRDefault="00632E5B">
            <w:pPr>
              <w:rPr>
                <w:sz w:val="15"/>
                <w:szCs w:val="15"/>
              </w:rPr>
            </w:pPr>
          </w:p>
        </w:tc>
        <w:tc>
          <w:tcPr>
            <w:tcW w:w="1417" w:type="dxa"/>
            <w:gridSpan w:val="2"/>
            <w:shd w:val="clear" w:color="auto" w:fill="FFFFFF" w:themeFill="background1"/>
            <w:vAlign w:val="center"/>
          </w:tcPr>
          <w:p w14:paraId="79EA0A64" w14:textId="77777777" w:rsidR="00632E5B" w:rsidRPr="001572EE" w:rsidRDefault="00632E5B">
            <w:pPr>
              <w:rPr>
                <w:sz w:val="15"/>
                <w:szCs w:val="15"/>
              </w:rPr>
            </w:pPr>
          </w:p>
        </w:tc>
        <w:tc>
          <w:tcPr>
            <w:tcW w:w="709" w:type="dxa"/>
            <w:shd w:val="clear" w:color="auto" w:fill="FFFFFF" w:themeFill="background1"/>
            <w:vAlign w:val="center"/>
          </w:tcPr>
          <w:p w14:paraId="229D9F6F" w14:textId="77777777" w:rsidR="00632E5B" w:rsidRPr="001572EE" w:rsidRDefault="00632E5B">
            <w:pPr>
              <w:rPr>
                <w:sz w:val="15"/>
                <w:szCs w:val="15"/>
              </w:rPr>
            </w:pPr>
          </w:p>
        </w:tc>
        <w:tc>
          <w:tcPr>
            <w:tcW w:w="1446" w:type="dxa"/>
            <w:shd w:val="clear" w:color="auto" w:fill="FFFFFF" w:themeFill="background1"/>
            <w:vAlign w:val="center"/>
          </w:tcPr>
          <w:p w14:paraId="13FA179B" w14:textId="77777777" w:rsidR="00632E5B" w:rsidRPr="001572EE" w:rsidRDefault="00632E5B">
            <w:pPr>
              <w:rPr>
                <w:sz w:val="15"/>
                <w:szCs w:val="15"/>
              </w:rPr>
            </w:pPr>
          </w:p>
        </w:tc>
      </w:tr>
      <w:tr w:rsidR="00632E5B" w:rsidRPr="001572EE" w14:paraId="6BCDC5E6" w14:textId="77777777" w:rsidTr="004A771F">
        <w:trPr>
          <w:trHeight w:val="240"/>
          <w:jc w:val="center"/>
        </w:trPr>
        <w:tc>
          <w:tcPr>
            <w:tcW w:w="1418" w:type="dxa"/>
            <w:shd w:val="clear" w:color="auto" w:fill="FFFFFF" w:themeFill="background1"/>
            <w:vAlign w:val="center"/>
          </w:tcPr>
          <w:p w14:paraId="470DC095" w14:textId="77777777" w:rsidR="00632E5B" w:rsidRPr="001572EE" w:rsidRDefault="00107901">
            <w:pPr>
              <w:spacing w:line="240" w:lineRule="exact"/>
              <w:rPr>
                <w:rFonts w:ascii="宋体" w:eastAsia="宋体" w:hAnsi="宋体" w:cs="宋体" w:hint="eastAsia"/>
                <w:sz w:val="15"/>
                <w:szCs w:val="15"/>
              </w:rPr>
            </w:pPr>
            <w:r w:rsidRPr="001572EE">
              <w:rPr>
                <w:rFonts w:ascii="宋体" w:eastAsia="宋体" w:hAnsi="宋体" w:cs="宋体"/>
                <w:sz w:val="15"/>
                <w:szCs w:val="15"/>
              </w:rPr>
              <w:t>应收国家电网电费及补贴款组合</w:t>
            </w:r>
          </w:p>
        </w:tc>
        <w:tc>
          <w:tcPr>
            <w:tcW w:w="1418" w:type="dxa"/>
            <w:shd w:val="clear" w:color="auto" w:fill="FFFFFF" w:themeFill="background1"/>
            <w:vAlign w:val="center"/>
          </w:tcPr>
          <w:p w14:paraId="75A1DC6F"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31,691,931.68</w:t>
            </w:r>
          </w:p>
        </w:tc>
        <w:tc>
          <w:tcPr>
            <w:tcW w:w="708" w:type="dxa"/>
            <w:shd w:val="clear" w:color="auto" w:fill="FFFFFF" w:themeFill="background1"/>
            <w:vAlign w:val="center"/>
          </w:tcPr>
          <w:p w14:paraId="5D927307"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2.34%</w:t>
            </w:r>
          </w:p>
        </w:tc>
        <w:tc>
          <w:tcPr>
            <w:tcW w:w="1276" w:type="dxa"/>
            <w:shd w:val="clear" w:color="auto" w:fill="FFFFFF" w:themeFill="background1"/>
            <w:vAlign w:val="center"/>
          </w:tcPr>
          <w:p w14:paraId="5653B22D" w14:textId="77777777" w:rsidR="00632E5B" w:rsidRPr="001572EE" w:rsidRDefault="00632E5B">
            <w:pPr>
              <w:spacing w:line="240" w:lineRule="exact"/>
              <w:jc w:val="right"/>
              <w:rPr>
                <w:rFonts w:ascii="宋体" w:eastAsia="宋体" w:hAnsi="宋体" w:cs="宋体" w:hint="eastAsia"/>
                <w:sz w:val="15"/>
                <w:szCs w:val="15"/>
              </w:rPr>
            </w:pPr>
          </w:p>
        </w:tc>
        <w:tc>
          <w:tcPr>
            <w:tcW w:w="709" w:type="dxa"/>
            <w:shd w:val="clear" w:color="auto" w:fill="FFFFFF" w:themeFill="background1"/>
            <w:vAlign w:val="center"/>
          </w:tcPr>
          <w:p w14:paraId="63E751FF" w14:textId="77777777" w:rsidR="00632E5B" w:rsidRPr="001572EE" w:rsidRDefault="00632E5B">
            <w:pPr>
              <w:spacing w:line="240" w:lineRule="exact"/>
              <w:jc w:val="right"/>
              <w:rPr>
                <w:rFonts w:ascii="宋体" w:eastAsia="宋体" w:hAnsi="宋体" w:cs="宋体" w:hint="eastAsia"/>
                <w:sz w:val="15"/>
                <w:szCs w:val="15"/>
              </w:rPr>
            </w:pPr>
          </w:p>
        </w:tc>
        <w:tc>
          <w:tcPr>
            <w:tcW w:w="1276" w:type="dxa"/>
            <w:gridSpan w:val="2"/>
            <w:shd w:val="clear" w:color="auto" w:fill="FFFFFF" w:themeFill="background1"/>
            <w:vAlign w:val="center"/>
          </w:tcPr>
          <w:p w14:paraId="3C4181D2"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31,691,931.68</w:t>
            </w:r>
          </w:p>
        </w:tc>
        <w:tc>
          <w:tcPr>
            <w:tcW w:w="1417" w:type="dxa"/>
            <w:gridSpan w:val="3"/>
            <w:shd w:val="clear" w:color="auto" w:fill="FFFFFF" w:themeFill="background1"/>
            <w:vAlign w:val="center"/>
          </w:tcPr>
          <w:p w14:paraId="381E3B7E"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101,682,985.41</w:t>
            </w:r>
          </w:p>
        </w:tc>
        <w:tc>
          <w:tcPr>
            <w:tcW w:w="709" w:type="dxa"/>
            <w:shd w:val="clear" w:color="auto" w:fill="FFFFFF" w:themeFill="background1"/>
            <w:vAlign w:val="center"/>
          </w:tcPr>
          <w:p w14:paraId="7ADD2151"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5.17%</w:t>
            </w:r>
          </w:p>
        </w:tc>
        <w:tc>
          <w:tcPr>
            <w:tcW w:w="1417" w:type="dxa"/>
            <w:gridSpan w:val="2"/>
            <w:shd w:val="clear" w:color="auto" w:fill="FFFFFF" w:themeFill="background1"/>
            <w:vAlign w:val="center"/>
          </w:tcPr>
          <w:p w14:paraId="10542ABF" w14:textId="77777777" w:rsidR="00632E5B" w:rsidRPr="001572EE" w:rsidRDefault="00632E5B">
            <w:pPr>
              <w:spacing w:line="240" w:lineRule="exact"/>
              <w:jc w:val="right"/>
              <w:rPr>
                <w:rFonts w:ascii="宋体" w:eastAsia="宋体" w:hAnsi="宋体" w:cs="宋体" w:hint="eastAsia"/>
                <w:sz w:val="15"/>
                <w:szCs w:val="15"/>
              </w:rPr>
            </w:pPr>
          </w:p>
        </w:tc>
        <w:tc>
          <w:tcPr>
            <w:tcW w:w="709" w:type="dxa"/>
            <w:shd w:val="clear" w:color="auto" w:fill="FFFFFF" w:themeFill="background1"/>
            <w:vAlign w:val="center"/>
          </w:tcPr>
          <w:p w14:paraId="07F8A0DB" w14:textId="77777777" w:rsidR="00632E5B" w:rsidRPr="001572EE" w:rsidRDefault="00632E5B">
            <w:pPr>
              <w:spacing w:line="240" w:lineRule="exact"/>
              <w:jc w:val="right"/>
              <w:rPr>
                <w:rFonts w:ascii="宋体" w:eastAsia="宋体" w:hAnsi="宋体" w:cs="宋体" w:hint="eastAsia"/>
                <w:sz w:val="15"/>
                <w:szCs w:val="15"/>
              </w:rPr>
            </w:pPr>
          </w:p>
        </w:tc>
        <w:tc>
          <w:tcPr>
            <w:tcW w:w="1446" w:type="dxa"/>
            <w:shd w:val="clear" w:color="auto" w:fill="FFFFFF" w:themeFill="background1"/>
            <w:vAlign w:val="center"/>
          </w:tcPr>
          <w:p w14:paraId="683F9F43"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101,682,985.41</w:t>
            </w:r>
          </w:p>
        </w:tc>
      </w:tr>
      <w:tr w:rsidR="00632E5B" w:rsidRPr="001572EE" w14:paraId="32AE2834" w14:textId="77777777" w:rsidTr="004A771F">
        <w:trPr>
          <w:trHeight w:val="240"/>
          <w:jc w:val="center"/>
        </w:trPr>
        <w:tc>
          <w:tcPr>
            <w:tcW w:w="1418" w:type="dxa"/>
            <w:shd w:val="clear" w:color="auto" w:fill="FFFFFF" w:themeFill="background1"/>
            <w:vAlign w:val="center"/>
          </w:tcPr>
          <w:p w14:paraId="502DEC5C" w14:textId="77777777" w:rsidR="00632E5B" w:rsidRPr="001572EE" w:rsidRDefault="00107901">
            <w:pPr>
              <w:spacing w:line="240" w:lineRule="exact"/>
              <w:rPr>
                <w:rFonts w:ascii="宋体" w:eastAsia="宋体" w:hAnsi="宋体" w:cs="宋体" w:hint="eastAsia"/>
                <w:sz w:val="15"/>
                <w:szCs w:val="15"/>
              </w:rPr>
            </w:pPr>
            <w:r w:rsidRPr="001572EE">
              <w:rPr>
                <w:rFonts w:ascii="宋体" w:eastAsia="宋体" w:hAnsi="宋体" w:cs="宋体"/>
                <w:sz w:val="15"/>
                <w:szCs w:val="15"/>
              </w:rPr>
              <w:t>逾期账龄组合</w:t>
            </w:r>
          </w:p>
        </w:tc>
        <w:tc>
          <w:tcPr>
            <w:tcW w:w="1418" w:type="dxa"/>
            <w:shd w:val="clear" w:color="auto" w:fill="FFFFFF" w:themeFill="background1"/>
            <w:vAlign w:val="center"/>
          </w:tcPr>
          <w:p w14:paraId="0CD15D2B"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572,495,206.34</w:t>
            </w:r>
          </w:p>
        </w:tc>
        <w:tc>
          <w:tcPr>
            <w:tcW w:w="708" w:type="dxa"/>
            <w:shd w:val="clear" w:color="auto" w:fill="FFFFFF" w:themeFill="background1"/>
            <w:vAlign w:val="center"/>
          </w:tcPr>
          <w:p w14:paraId="56EFE2A2"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42.25%</w:t>
            </w:r>
          </w:p>
        </w:tc>
        <w:tc>
          <w:tcPr>
            <w:tcW w:w="1276" w:type="dxa"/>
            <w:shd w:val="clear" w:color="auto" w:fill="FFFFFF" w:themeFill="background1"/>
            <w:vAlign w:val="center"/>
          </w:tcPr>
          <w:p w14:paraId="4BD63A8A"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27,337,242.33</w:t>
            </w:r>
          </w:p>
        </w:tc>
        <w:tc>
          <w:tcPr>
            <w:tcW w:w="709" w:type="dxa"/>
            <w:shd w:val="clear" w:color="auto" w:fill="FFFFFF" w:themeFill="background1"/>
            <w:vAlign w:val="center"/>
          </w:tcPr>
          <w:p w14:paraId="7490AA3A"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4.78%</w:t>
            </w:r>
          </w:p>
        </w:tc>
        <w:tc>
          <w:tcPr>
            <w:tcW w:w="1276" w:type="dxa"/>
            <w:gridSpan w:val="2"/>
            <w:shd w:val="clear" w:color="auto" w:fill="FFFFFF" w:themeFill="background1"/>
            <w:vAlign w:val="center"/>
          </w:tcPr>
          <w:p w14:paraId="6CDF7B10"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545,157,964.01</w:t>
            </w:r>
          </w:p>
        </w:tc>
        <w:tc>
          <w:tcPr>
            <w:tcW w:w="1417" w:type="dxa"/>
            <w:gridSpan w:val="3"/>
            <w:shd w:val="clear" w:color="auto" w:fill="FFFFFF" w:themeFill="background1"/>
            <w:vAlign w:val="center"/>
          </w:tcPr>
          <w:p w14:paraId="548108BA"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688,603,484.46</w:t>
            </w:r>
          </w:p>
        </w:tc>
        <w:tc>
          <w:tcPr>
            <w:tcW w:w="709" w:type="dxa"/>
            <w:shd w:val="clear" w:color="auto" w:fill="FFFFFF" w:themeFill="background1"/>
            <w:vAlign w:val="center"/>
          </w:tcPr>
          <w:p w14:paraId="7538A168"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35.04%</w:t>
            </w:r>
          </w:p>
        </w:tc>
        <w:tc>
          <w:tcPr>
            <w:tcW w:w="1417" w:type="dxa"/>
            <w:gridSpan w:val="2"/>
            <w:shd w:val="clear" w:color="auto" w:fill="FFFFFF" w:themeFill="background1"/>
            <w:vAlign w:val="center"/>
          </w:tcPr>
          <w:p w14:paraId="18950AD2"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86,324,842.67</w:t>
            </w:r>
          </w:p>
        </w:tc>
        <w:tc>
          <w:tcPr>
            <w:tcW w:w="709" w:type="dxa"/>
            <w:shd w:val="clear" w:color="auto" w:fill="FFFFFF" w:themeFill="background1"/>
            <w:vAlign w:val="center"/>
          </w:tcPr>
          <w:p w14:paraId="28CCCD78"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12.54%</w:t>
            </w:r>
          </w:p>
        </w:tc>
        <w:tc>
          <w:tcPr>
            <w:tcW w:w="1446" w:type="dxa"/>
            <w:shd w:val="clear" w:color="auto" w:fill="FFFFFF" w:themeFill="background1"/>
            <w:vAlign w:val="center"/>
          </w:tcPr>
          <w:p w14:paraId="53F32A64"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602,278,641.79</w:t>
            </w:r>
          </w:p>
        </w:tc>
      </w:tr>
      <w:tr w:rsidR="00632E5B" w:rsidRPr="001572EE" w14:paraId="6B28C7E8" w14:textId="77777777" w:rsidTr="004A771F">
        <w:trPr>
          <w:trHeight w:val="240"/>
          <w:jc w:val="center"/>
        </w:trPr>
        <w:tc>
          <w:tcPr>
            <w:tcW w:w="1418" w:type="dxa"/>
            <w:shd w:val="clear" w:color="auto" w:fill="FFFFFF" w:themeFill="background1"/>
            <w:vAlign w:val="center"/>
          </w:tcPr>
          <w:p w14:paraId="5E491F9E" w14:textId="77777777" w:rsidR="00632E5B" w:rsidRPr="001572EE" w:rsidRDefault="00107901">
            <w:pPr>
              <w:spacing w:before="40" w:after="40" w:line="240" w:lineRule="exact"/>
              <w:rPr>
                <w:rFonts w:ascii="宋体" w:eastAsia="宋体" w:hAnsi="宋体" w:cs="宋体" w:hint="eastAsia"/>
                <w:sz w:val="15"/>
                <w:szCs w:val="15"/>
              </w:rPr>
            </w:pPr>
            <w:r w:rsidRPr="001572EE">
              <w:rPr>
                <w:rFonts w:ascii="宋体" w:eastAsia="宋体" w:hAnsi="宋体" w:cs="宋体"/>
                <w:sz w:val="15"/>
                <w:szCs w:val="15"/>
              </w:rPr>
              <w:t>合计</w:t>
            </w:r>
          </w:p>
        </w:tc>
        <w:tc>
          <w:tcPr>
            <w:tcW w:w="1418" w:type="dxa"/>
            <w:shd w:val="clear" w:color="auto" w:fill="FFFFFF" w:themeFill="background1"/>
            <w:vAlign w:val="center"/>
          </w:tcPr>
          <w:p w14:paraId="364ECA3D"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1,354,911,546.92</w:t>
            </w:r>
          </w:p>
        </w:tc>
        <w:tc>
          <w:tcPr>
            <w:tcW w:w="708" w:type="dxa"/>
            <w:shd w:val="clear" w:color="auto" w:fill="FFFFFF" w:themeFill="background1"/>
            <w:vAlign w:val="center"/>
          </w:tcPr>
          <w:p w14:paraId="07B157D6" w14:textId="77777777" w:rsidR="00632E5B" w:rsidRPr="001572EE" w:rsidRDefault="00632E5B">
            <w:pPr>
              <w:spacing w:line="240" w:lineRule="exact"/>
              <w:jc w:val="right"/>
              <w:rPr>
                <w:rFonts w:ascii="宋体" w:eastAsia="宋体" w:hAnsi="宋体" w:cs="宋体" w:hint="eastAsia"/>
                <w:sz w:val="15"/>
                <w:szCs w:val="15"/>
              </w:rPr>
            </w:pPr>
          </w:p>
        </w:tc>
        <w:tc>
          <w:tcPr>
            <w:tcW w:w="1276" w:type="dxa"/>
            <w:shd w:val="clear" w:color="auto" w:fill="FFFFFF" w:themeFill="background1"/>
            <w:vAlign w:val="center"/>
          </w:tcPr>
          <w:p w14:paraId="39835FC5"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747,378,770.16</w:t>
            </w:r>
          </w:p>
        </w:tc>
        <w:tc>
          <w:tcPr>
            <w:tcW w:w="709" w:type="dxa"/>
            <w:shd w:val="clear" w:color="auto" w:fill="FFFFFF" w:themeFill="background1"/>
            <w:vAlign w:val="center"/>
          </w:tcPr>
          <w:p w14:paraId="7FFDD6CA" w14:textId="77777777" w:rsidR="00632E5B" w:rsidRPr="001572EE" w:rsidRDefault="00632E5B">
            <w:pPr>
              <w:spacing w:line="240" w:lineRule="exact"/>
              <w:jc w:val="right"/>
              <w:rPr>
                <w:rFonts w:ascii="宋体" w:eastAsia="宋体" w:hAnsi="宋体" w:cs="宋体" w:hint="eastAsia"/>
                <w:sz w:val="15"/>
                <w:szCs w:val="15"/>
              </w:rPr>
            </w:pPr>
          </w:p>
        </w:tc>
        <w:tc>
          <w:tcPr>
            <w:tcW w:w="1276" w:type="dxa"/>
            <w:gridSpan w:val="2"/>
            <w:shd w:val="clear" w:color="auto" w:fill="FFFFFF" w:themeFill="background1"/>
            <w:vAlign w:val="center"/>
          </w:tcPr>
          <w:p w14:paraId="4825F580"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607,532,776.76</w:t>
            </w:r>
          </w:p>
        </w:tc>
        <w:tc>
          <w:tcPr>
            <w:tcW w:w="1417" w:type="dxa"/>
            <w:gridSpan w:val="3"/>
            <w:shd w:val="clear" w:color="auto" w:fill="FFFFFF" w:themeFill="background1"/>
            <w:vAlign w:val="center"/>
          </w:tcPr>
          <w:p w14:paraId="7347FB8D"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1,965,181,412.99</w:t>
            </w:r>
          </w:p>
        </w:tc>
        <w:tc>
          <w:tcPr>
            <w:tcW w:w="709" w:type="dxa"/>
            <w:shd w:val="clear" w:color="auto" w:fill="FFFFFF" w:themeFill="background1"/>
            <w:vAlign w:val="center"/>
          </w:tcPr>
          <w:p w14:paraId="2B8A3813" w14:textId="77777777" w:rsidR="00632E5B" w:rsidRPr="001572EE" w:rsidRDefault="00632E5B">
            <w:pPr>
              <w:spacing w:line="240" w:lineRule="exact"/>
              <w:jc w:val="right"/>
              <w:rPr>
                <w:rFonts w:ascii="宋体" w:eastAsia="宋体" w:hAnsi="宋体" w:cs="宋体" w:hint="eastAsia"/>
                <w:sz w:val="15"/>
                <w:szCs w:val="15"/>
              </w:rPr>
            </w:pPr>
          </w:p>
        </w:tc>
        <w:tc>
          <w:tcPr>
            <w:tcW w:w="1417" w:type="dxa"/>
            <w:gridSpan w:val="2"/>
            <w:shd w:val="clear" w:color="auto" w:fill="FFFFFF" w:themeFill="background1"/>
            <w:vAlign w:val="center"/>
          </w:tcPr>
          <w:p w14:paraId="70960173"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1,020,900,112.83</w:t>
            </w:r>
          </w:p>
        </w:tc>
        <w:tc>
          <w:tcPr>
            <w:tcW w:w="709" w:type="dxa"/>
            <w:shd w:val="clear" w:color="auto" w:fill="FFFFFF" w:themeFill="background1"/>
            <w:vAlign w:val="center"/>
          </w:tcPr>
          <w:p w14:paraId="45C27CBB" w14:textId="77777777" w:rsidR="00632E5B" w:rsidRPr="001572EE" w:rsidRDefault="00632E5B">
            <w:pPr>
              <w:spacing w:line="240" w:lineRule="exact"/>
              <w:jc w:val="right"/>
              <w:rPr>
                <w:rFonts w:ascii="宋体" w:eastAsia="宋体" w:hAnsi="宋体" w:cs="宋体" w:hint="eastAsia"/>
                <w:sz w:val="15"/>
                <w:szCs w:val="15"/>
              </w:rPr>
            </w:pPr>
          </w:p>
        </w:tc>
        <w:tc>
          <w:tcPr>
            <w:tcW w:w="1446" w:type="dxa"/>
            <w:shd w:val="clear" w:color="auto" w:fill="FFFFFF" w:themeFill="background1"/>
            <w:vAlign w:val="center"/>
          </w:tcPr>
          <w:p w14:paraId="5137F7C3" w14:textId="77777777" w:rsidR="00632E5B" w:rsidRPr="001572EE" w:rsidRDefault="00107901">
            <w:pPr>
              <w:spacing w:line="240" w:lineRule="exact"/>
              <w:jc w:val="right"/>
              <w:rPr>
                <w:rFonts w:ascii="宋体" w:eastAsia="宋体" w:hAnsi="宋体" w:cs="宋体" w:hint="eastAsia"/>
                <w:sz w:val="15"/>
                <w:szCs w:val="15"/>
              </w:rPr>
            </w:pPr>
            <w:r w:rsidRPr="001572EE">
              <w:rPr>
                <w:rFonts w:ascii="宋体" w:eastAsia="宋体" w:hAnsi="宋体" w:cs="宋体"/>
                <w:sz w:val="15"/>
                <w:szCs w:val="15"/>
              </w:rPr>
              <w:t>944,281,300.16</w:t>
            </w:r>
          </w:p>
        </w:tc>
      </w:tr>
    </w:tbl>
    <w:p w14:paraId="168A07D8"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按单项计提坏账准备：720,041,527.83</w:t>
      </w:r>
    </w:p>
    <w:p w14:paraId="5A455510" w14:textId="77777777" w:rsidR="004A771F" w:rsidRDefault="004A771F">
      <w:pPr>
        <w:spacing w:before="40" w:after="40" w:line="240" w:lineRule="exact"/>
        <w:jc w:val="right"/>
        <w:rPr>
          <w:rFonts w:ascii="宋体" w:eastAsia="宋体" w:hAnsi="宋体" w:cs="宋体" w:hint="eastAsia"/>
          <w:sz w:val="18"/>
          <w:szCs w:val="18"/>
        </w:rPr>
        <w:sectPr w:rsidR="004A771F" w:rsidSect="004A771F">
          <w:pgSz w:w="16840" w:h="11905" w:orient="landscape"/>
          <w:pgMar w:top="1134" w:right="1440" w:bottom="1134" w:left="1440" w:header="851" w:footer="992" w:gutter="0"/>
          <w:cols w:space="720"/>
          <w:docGrid w:type="lines" w:linePitch="312"/>
        </w:sectPr>
      </w:pPr>
    </w:p>
    <w:p w14:paraId="485BA6FC"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lastRenderedPageBreak/>
        <w:t>单位：元</w:t>
      </w:r>
    </w:p>
    <w:tbl>
      <w:tblPr>
        <w:tblW w:w="9528"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82"/>
        <w:gridCol w:w="1701"/>
        <w:gridCol w:w="1559"/>
        <w:gridCol w:w="1508"/>
        <w:gridCol w:w="1611"/>
        <w:gridCol w:w="850"/>
        <w:gridCol w:w="1417"/>
      </w:tblGrid>
      <w:tr w:rsidR="00632E5B" w14:paraId="4EB86995" w14:textId="77777777" w:rsidTr="001F5A64">
        <w:trPr>
          <w:trHeight w:val="566"/>
        </w:trPr>
        <w:tc>
          <w:tcPr>
            <w:tcW w:w="882" w:type="dxa"/>
            <w:vMerge w:val="restar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F21F04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名称</w:t>
            </w:r>
          </w:p>
        </w:tc>
        <w:tc>
          <w:tcPr>
            <w:tcW w:w="3260"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40ADE3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5386"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FFC579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632E5B" w14:paraId="20BB6B13" w14:textId="77777777" w:rsidTr="001F5A64">
        <w:trPr>
          <w:trHeight w:val="240"/>
        </w:trPr>
        <w:tc>
          <w:tcPr>
            <w:tcW w:w="882" w:type="dxa"/>
            <w:vMerge/>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3B76867" w14:textId="77777777" w:rsidR="00632E5B" w:rsidRDefault="00632E5B"/>
        </w:tc>
        <w:tc>
          <w:tcPr>
            <w:tcW w:w="170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E2CE0C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55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AB8165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150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33D348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61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E144E9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85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C170DB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计提比例</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B769EE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计提理由</w:t>
            </w:r>
          </w:p>
        </w:tc>
      </w:tr>
      <w:tr w:rsidR="00632E5B" w14:paraId="4182E223" w14:textId="77777777" w:rsidTr="001F5A64">
        <w:trPr>
          <w:trHeight w:val="240"/>
        </w:trPr>
        <w:tc>
          <w:tcPr>
            <w:tcW w:w="882" w:type="dxa"/>
            <w:tcBorders>
              <w:top w:val="single" w:sz="2" w:space="0" w:color="auto"/>
              <w:left w:val="single" w:sz="2" w:space="0" w:color="auto"/>
              <w:bottom w:val="single" w:sz="2" w:space="0" w:color="auto"/>
              <w:right w:val="single" w:sz="2" w:space="0" w:color="auto"/>
            </w:tcBorders>
            <w:vAlign w:val="center"/>
          </w:tcPr>
          <w:p w14:paraId="5107793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客户1</w:t>
            </w:r>
          </w:p>
        </w:tc>
        <w:tc>
          <w:tcPr>
            <w:tcW w:w="1701" w:type="dxa"/>
            <w:tcBorders>
              <w:top w:val="single" w:sz="2" w:space="0" w:color="auto"/>
              <w:left w:val="single" w:sz="2" w:space="0" w:color="auto"/>
              <w:bottom w:val="single" w:sz="2" w:space="0" w:color="auto"/>
              <w:right w:val="single" w:sz="2" w:space="0" w:color="auto"/>
            </w:tcBorders>
            <w:vAlign w:val="center"/>
          </w:tcPr>
          <w:p w14:paraId="26C301F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100,665,088.74</w:t>
            </w:r>
          </w:p>
        </w:tc>
        <w:tc>
          <w:tcPr>
            <w:tcW w:w="1559" w:type="dxa"/>
            <w:tcBorders>
              <w:top w:val="single" w:sz="2" w:space="0" w:color="auto"/>
              <w:left w:val="single" w:sz="2" w:space="0" w:color="auto"/>
              <w:bottom w:val="single" w:sz="2" w:space="0" w:color="auto"/>
              <w:right w:val="single" w:sz="2" w:space="0" w:color="auto"/>
            </w:tcBorders>
            <w:vAlign w:val="center"/>
          </w:tcPr>
          <w:p w14:paraId="222FFEC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95,732,532.53</w:t>
            </w:r>
          </w:p>
        </w:tc>
        <w:tc>
          <w:tcPr>
            <w:tcW w:w="1508" w:type="dxa"/>
            <w:tcBorders>
              <w:top w:val="single" w:sz="2" w:space="0" w:color="auto"/>
              <w:left w:val="single" w:sz="2" w:space="0" w:color="auto"/>
              <w:bottom w:val="single" w:sz="2" w:space="0" w:color="auto"/>
              <w:right w:val="single" w:sz="2" w:space="0" w:color="auto"/>
            </w:tcBorders>
            <w:vAlign w:val="center"/>
          </w:tcPr>
          <w:p w14:paraId="264F120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100,665,088.74</w:t>
            </w:r>
          </w:p>
        </w:tc>
        <w:tc>
          <w:tcPr>
            <w:tcW w:w="1611" w:type="dxa"/>
            <w:tcBorders>
              <w:top w:val="single" w:sz="2" w:space="0" w:color="auto"/>
              <w:left w:val="single" w:sz="2" w:space="0" w:color="auto"/>
              <w:bottom w:val="single" w:sz="2" w:space="0" w:color="auto"/>
              <w:right w:val="single" w:sz="2" w:space="0" w:color="auto"/>
            </w:tcBorders>
            <w:vAlign w:val="center"/>
          </w:tcPr>
          <w:p w14:paraId="4272A32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100,665,088.74</w:t>
            </w:r>
          </w:p>
        </w:tc>
        <w:tc>
          <w:tcPr>
            <w:tcW w:w="850" w:type="dxa"/>
            <w:tcBorders>
              <w:top w:val="single" w:sz="2" w:space="0" w:color="auto"/>
              <w:left w:val="single" w:sz="2" w:space="0" w:color="auto"/>
              <w:bottom w:val="single" w:sz="2" w:space="0" w:color="auto"/>
              <w:right w:val="single" w:sz="2" w:space="0" w:color="auto"/>
            </w:tcBorders>
            <w:vAlign w:val="center"/>
          </w:tcPr>
          <w:p w14:paraId="42E9F37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417" w:type="dxa"/>
            <w:tcBorders>
              <w:top w:val="single" w:sz="2" w:space="0" w:color="auto"/>
              <w:left w:val="single" w:sz="2" w:space="0" w:color="auto"/>
              <w:bottom w:val="single" w:sz="2" w:space="0" w:color="auto"/>
              <w:right w:val="single" w:sz="2" w:space="0" w:color="auto"/>
            </w:tcBorders>
            <w:vAlign w:val="center"/>
          </w:tcPr>
          <w:p w14:paraId="242F314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综合考量回款情况，预计无法收回。</w:t>
            </w:r>
          </w:p>
        </w:tc>
      </w:tr>
      <w:tr w:rsidR="00632E5B" w14:paraId="0E056FAB" w14:textId="77777777" w:rsidTr="001F5A64">
        <w:trPr>
          <w:trHeight w:val="240"/>
        </w:trPr>
        <w:tc>
          <w:tcPr>
            <w:tcW w:w="882" w:type="dxa"/>
            <w:tcBorders>
              <w:top w:val="single" w:sz="2" w:space="0" w:color="auto"/>
              <w:left w:val="single" w:sz="2" w:space="0" w:color="auto"/>
              <w:bottom w:val="single" w:sz="2" w:space="0" w:color="auto"/>
              <w:right w:val="single" w:sz="2" w:space="0" w:color="auto"/>
            </w:tcBorders>
            <w:vAlign w:val="center"/>
          </w:tcPr>
          <w:p w14:paraId="552A350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客户2</w:t>
            </w:r>
          </w:p>
        </w:tc>
        <w:tc>
          <w:tcPr>
            <w:tcW w:w="1701" w:type="dxa"/>
            <w:tcBorders>
              <w:top w:val="single" w:sz="2" w:space="0" w:color="auto"/>
              <w:left w:val="single" w:sz="2" w:space="0" w:color="auto"/>
              <w:bottom w:val="single" w:sz="2" w:space="0" w:color="auto"/>
              <w:right w:val="single" w:sz="2" w:space="0" w:color="auto"/>
            </w:tcBorders>
            <w:vAlign w:val="center"/>
          </w:tcPr>
          <w:p w14:paraId="4F411EF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82,700,482.11</w:t>
            </w:r>
          </w:p>
        </w:tc>
        <w:tc>
          <w:tcPr>
            <w:tcW w:w="1559" w:type="dxa"/>
            <w:tcBorders>
              <w:top w:val="single" w:sz="2" w:space="0" w:color="auto"/>
              <w:left w:val="single" w:sz="2" w:space="0" w:color="auto"/>
              <w:bottom w:val="single" w:sz="2" w:space="0" w:color="auto"/>
              <w:right w:val="single" w:sz="2" w:space="0" w:color="auto"/>
            </w:tcBorders>
            <w:vAlign w:val="center"/>
          </w:tcPr>
          <w:p w14:paraId="104EBAC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74,430,433.90</w:t>
            </w:r>
          </w:p>
        </w:tc>
        <w:tc>
          <w:tcPr>
            <w:tcW w:w="1508" w:type="dxa"/>
            <w:tcBorders>
              <w:top w:val="single" w:sz="2" w:space="0" w:color="auto"/>
              <w:left w:val="single" w:sz="2" w:space="0" w:color="auto"/>
              <w:bottom w:val="single" w:sz="2" w:space="0" w:color="auto"/>
              <w:right w:val="single" w:sz="2" w:space="0" w:color="auto"/>
            </w:tcBorders>
            <w:vAlign w:val="center"/>
          </w:tcPr>
          <w:p w14:paraId="375F7F1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82,700,482.11</w:t>
            </w:r>
          </w:p>
        </w:tc>
        <w:tc>
          <w:tcPr>
            <w:tcW w:w="1611" w:type="dxa"/>
            <w:tcBorders>
              <w:top w:val="single" w:sz="2" w:space="0" w:color="auto"/>
              <w:left w:val="single" w:sz="2" w:space="0" w:color="auto"/>
              <w:bottom w:val="single" w:sz="2" w:space="0" w:color="auto"/>
              <w:right w:val="single" w:sz="2" w:space="0" w:color="auto"/>
            </w:tcBorders>
            <w:vAlign w:val="center"/>
          </w:tcPr>
          <w:p w14:paraId="659A79C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82,700,482.11</w:t>
            </w:r>
          </w:p>
        </w:tc>
        <w:tc>
          <w:tcPr>
            <w:tcW w:w="850" w:type="dxa"/>
            <w:tcBorders>
              <w:top w:val="single" w:sz="2" w:space="0" w:color="auto"/>
              <w:left w:val="single" w:sz="2" w:space="0" w:color="auto"/>
              <w:bottom w:val="single" w:sz="2" w:space="0" w:color="auto"/>
              <w:right w:val="single" w:sz="2" w:space="0" w:color="auto"/>
            </w:tcBorders>
            <w:vAlign w:val="center"/>
          </w:tcPr>
          <w:p w14:paraId="723FAA6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417" w:type="dxa"/>
            <w:tcBorders>
              <w:top w:val="single" w:sz="2" w:space="0" w:color="auto"/>
              <w:left w:val="single" w:sz="2" w:space="0" w:color="auto"/>
              <w:bottom w:val="single" w:sz="2" w:space="0" w:color="auto"/>
              <w:right w:val="single" w:sz="2" w:space="0" w:color="auto"/>
            </w:tcBorders>
            <w:vAlign w:val="center"/>
          </w:tcPr>
          <w:p w14:paraId="0F781D3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综合考量回款情况，预计无法收回。</w:t>
            </w:r>
          </w:p>
        </w:tc>
      </w:tr>
      <w:tr w:rsidR="00632E5B" w14:paraId="2ECE5A1D" w14:textId="77777777" w:rsidTr="001F5A64">
        <w:trPr>
          <w:trHeight w:val="240"/>
        </w:trPr>
        <w:tc>
          <w:tcPr>
            <w:tcW w:w="882" w:type="dxa"/>
            <w:tcBorders>
              <w:top w:val="single" w:sz="2" w:space="0" w:color="auto"/>
              <w:left w:val="single" w:sz="2" w:space="0" w:color="auto"/>
              <w:bottom w:val="single" w:sz="2" w:space="0" w:color="auto"/>
              <w:right w:val="single" w:sz="2" w:space="0" w:color="auto"/>
            </w:tcBorders>
            <w:vAlign w:val="center"/>
          </w:tcPr>
          <w:p w14:paraId="0199BEC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客户3</w:t>
            </w:r>
          </w:p>
        </w:tc>
        <w:tc>
          <w:tcPr>
            <w:tcW w:w="1701" w:type="dxa"/>
            <w:tcBorders>
              <w:top w:val="single" w:sz="2" w:space="0" w:color="auto"/>
              <w:left w:val="single" w:sz="2" w:space="0" w:color="auto"/>
              <w:bottom w:val="single" w:sz="2" w:space="0" w:color="auto"/>
              <w:right w:val="single" w:sz="2" w:space="0" w:color="auto"/>
            </w:tcBorders>
            <w:vAlign w:val="center"/>
          </w:tcPr>
          <w:p w14:paraId="0239837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64,705,577.28</w:t>
            </w:r>
          </w:p>
        </w:tc>
        <w:tc>
          <w:tcPr>
            <w:tcW w:w="1559" w:type="dxa"/>
            <w:tcBorders>
              <w:top w:val="single" w:sz="2" w:space="0" w:color="auto"/>
              <w:left w:val="single" w:sz="2" w:space="0" w:color="auto"/>
              <w:bottom w:val="single" w:sz="2" w:space="0" w:color="auto"/>
              <w:right w:val="single" w:sz="2" w:space="0" w:color="auto"/>
            </w:tcBorders>
            <w:vAlign w:val="center"/>
          </w:tcPr>
          <w:p w14:paraId="7375EAA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64,705,577.28</w:t>
            </w:r>
          </w:p>
        </w:tc>
        <w:tc>
          <w:tcPr>
            <w:tcW w:w="1508" w:type="dxa"/>
            <w:tcBorders>
              <w:top w:val="single" w:sz="2" w:space="0" w:color="auto"/>
              <w:left w:val="single" w:sz="2" w:space="0" w:color="auto"/>
              <w:bottom w:val="single" w:sz="2" w:space="0" w:color="auto"/>
              <w:right w:val="single" w:sz="2" w:space="0" w:color="auto"/>
            </w:tcBorders>
            <w:vAlign w:val="center"/>
          </w:tcPr>
          <w:p w14:paraId="0DB9419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64,705,577.28</w:t>
            </w:r>
          </w:p>
        </w:tc>
        <w:tc>
          <w:tcPr>
            <w:tcW w:w="1611" w:type="dxa"/>
            <w:tcBorders>
              <w:top w:val="single" w:sz="2" w:space="0" w:color="auto"/>
              <w:left w:val="single" w:sz="2" w:space="0" w:color="auto"/>
              <w:bottom w:val="single" w:sz="2" w:space="0" w:color="auto"/>
              <w:right w:val="single" w:sz="2" w:space="0" w:color="auto"/>
            </w:tcBorders>
            <w:vAlign w:val="center"/>
          </w:tcPr>
          <w:p w14:paraId="1715C1F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64,705,577.28</w:t>
            </w:r>
          </w:p>
        </w:tc>
        <w:tc>
          <w:tcPr>
            <w:tcW w:w="850" w:type="dxa"/>
            <w:tcBorders>
              <w:top w:val="single" w:sz="2" w:space="0" w:color="auto"/>
              <w:left w:val="single" w:sz="2" w:space="0" w:color="auto"/>
              <w:bottom w:val="single" w:sz="2" w:space="0" w:color="auto"/>
              <w:right w:val="single" w:sz="2" w:space="0" w:color="auto"/>
            </w:tcBorders>
            <w:vAlign w:val="center"/>
          </w:tcPr>
          <w:p w14:paraId="38BF6D4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417" w:type="dxa"/>
            <w:tcBorders>
              <w:top w:val="single" w:sz="2" w:space="0" w:color="auto"/>
              <w:left w:val="single" w:sz="2" w:space="0" w:color="auto"/>
              <w:bottom w:val="single" w:sz="2" w:space="0" w:color="auto"/>
              <w:right w:val="single" w:sz="2" w:space="0" w:color="auto"/>
            </w:tcBorders>
            <w:vAlign w:val="center"/>
          </w:tcPr>
          <w:p w14:paraId="22D05EB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综合考量回款情况，预计无法收回。</w:t>
            </w:r>
          </w:p>
        </w:tc>
      </w:tr>
      <w:tr w:rsidR="00632E5B" w14:paraId="3E07068F" w14:textId="77777777" w:rsidTr="001F5A64">
        <w:trPr>
          <w:trHeight w:val="240"/>
        </w:trPr>
        <w:tc>
          <w:tcPr>
            <w:tcW w:w="882" w:type="dxa"/>
            <w:tcBorders>
              <w:top w:val="single" w:sz="2" w:space="0" w:color="auto"/>
              <w:left w:val="single" w:sz="2" w:space="0" w:color="auto"/>
              <w:bottom w:val="single" w:sz="2" w:space="0" w:color="auto"/>
              <w:right w:val="single" w:sz="2" w:space="0" w:color="auto"/>
            </w:tcBorders>
            <w:vAlign w:val="center"/>
          </w:tcPr>
          <w:p w14:paraId="3D63D6E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客户4</w:t>
            </w:r>
          </w:p>
        </w:tc>
        <w:tc>
          <w:tcPr>
            <w:tcW w:w="1701" w:type="dxa"/>
            <w:tcBorders>
              <w:top w:val="single" w:sz="2" w:space="0" w:color="auto"/>
              <w:left w:val="single" w:sz="2" w:space="0" w:color="auto"/>
              <w:bottom w:val="single" w:sz="2" w:space="0" w:color="auto"/>
              <w:right w:val="single" w:sz="2" w:space="0" w:color="auto"/>
            </w:tcBorders>
            <w:vAlign w:val="center"/>
          </w:tcPr>
          <w:p w14:paraId="3A379FD4" w14:textId="77777777" w:rsidR="00632E5B" w:rsidRDefault="00632E5B">
            <w:pPr>
              <w:spacing w:line="240" w:lineRule="exact"/>
              <w:jc w:val="right"/>
              <w:rPr>
                <w:rFonts w:ascii="宋体" w:eastAsia="宋体" w:hAnsi="宋体" w:cs="宋体" w:hint="eastAsia"/>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02FB47EF" w14:textId="77777777" w:rsidR="00632E5B" w:rsidRDefault="00632E5B">
            <w:pPr>
              <w:spacing w:line="240" w:lineRule="exact"/>
              <w:jc w:val="right"/>
              <w:rPr>
                <w:rFonts w:ascii="宋体" w:eastAsia="宋体" w:hAnsi="宋体" w:cs="宋体" w:hint="eastAsia"/>
                <w:sz w:val="18"/>
                <w:szCs w:val="18"/>
              </w:rPr>
            </w:pPr>
          </w:p>
        </w:tc>
        <w:tc>
          <w:tcPr>
            <w:tcW w:w="1508" w:type="dxa"/>
            <w:tcBorders>
              <w:top w:val="single" w:sz="2" w:space="0" w:color="auto"/>
              <w:left w:val="single" w:sz="2" w:space="0" w:color="auto"/>
              <w:bottom w:val="single" w:sz="2" w:space="0" w:color="auto"/>
              <w:right w:val="single" w:sz="2" w:space="0" w:color="auto"/>
            </w:tcBorders>
            <w:vAlign w:val="center"/>
          </w:tcPr>
          <w:p w14:paraId="7D034CF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57,418,715.77</w:t>
            </w:r>
          </w:p>
        </w:tc>
        <w:tc>
          <w:tcPr>
            <w:tcW w:w="1611" w:type="dxa"/>
            <w:tcBorders>
              <w:top w:val="single" w:sz="2" w:space="0" w:color="auto"/>
              <w:left w:val="single" w:sz="2" w:space="0" w:color="auto"/>
              <w:bottom w:val="single" w:sz="2" w:space="0" w:color="auto"/>
              <w:right w:val="single" w:sz="2" w:space="0" w:color="auto"/>
            </w:tcBorders>
            <w:vAlign w:val="center"/>
          </w:tcPr>
          <w:p w14:paraId="02ACF2A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45,934,972.62</w:t>
            </w:r>
          </w:p>
        </w:tc>
        <w:tc>
          <w:tcPr>
            <w:tcW w:w="850" w:type="dxa"/>
            <w:tcBorders>
              <w:top w:val="single" w:sz="2" w:space="0" w:color="auto"/>
              <w:left w:val="single" w:sz="2" w:space="0" w:color="auto"/>
              <w:bottom w:val="single" w:sz="2" w:space="0" w:color="auto"/>
              <w:right w:val="single" w:sz="2" w:space="0" w:color="auto"/>
            </w:tcBorders>
            <w:vAlign w:val="center"/>
          </w:tcPr>
          <w:p w14:paraId="3FE5EDB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80.00%</w:t>
            </w:r>
          </w:p>
        </w:tc>
        <w:tc>
          <w:tcPr>
            <w:tcW w:w="1417" w:type="dxa"/>
            <w:tcBorders>
              <w:top w:val="single" w:sz="2" w:space="0" w:color="auto"/>
              <w:left w:val="single" w:sz="2" w:space="0" w:color="auto"/>
              <w:bottom w:val="single" w:sz="2" w:space="0" w:color="auto"/>
              <w:right w:val="single" w:sz="2" w:space="0" w:color="auto"/>
            </w:tcBorders>
            <w:vAlign w:val="center"/>
          </w:tcPr>
          <w:p w14:paraId="72DDB21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综合考量回款情况，预计回收金额后单项计提坏账。</w:t>
            </w:r>
          </w:p>
        </w:tc>
      </w:tr>
      <w:tr w:rsidR="00632E5B" w14:paraId="221916D3" w14:textId="77777777" w:rsidTr="001F5A64">
        <w:trPr>
          <w:trHeight w:val="240"/>
        </w:trPr>
        <w:tc>
          <w:tcPr>
            <w:tcW w:w="882" w:type="dxa"/>
            <w:tcBorders>
              <w:top w:val="single" w:sz="2" w:space="0" w:color="auto"/>
              <w:left w:val="single" w:sz="2" w:space="0" w:color="auto"/>
              <w:bottom w:val="single" w:sz="2" w:space="0" w:color="auto"/>
              <w:right w:val="single" w:sz="2" w:space="0" w:color="auto"/>
            </w:tcBorders>
            <w:vAlign w:val="center"/>
          </w:tcPr>
          <w:p w14:paraId="2E9377E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客户5</w:t>
            </w:r>
          </w:p>
        </w:tc>
        <w:tc>
          <w:tcPr>
            <w:tcW w:w="1701" w:type="dxa"/>
            <w:tcBorders>
              <w:top w:val="single" w:sz="2" w:space="0" w:color="auto"/>
              <w:left w:val="single" w:sz="2" w:space="0" w:color="auto"/>
              <w:bottom w:val="single" w:sz="2" w:space="0" w:color="auto"/>
              <w:right w:val="single" w:sz="2" w:space="0" w:color="auto"/>
            </w:tcBorders>
            <w:vAlign w:val="center"/>
          </w:tcPr>
          <w:p w14:paraId="6A6B146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48,903,587.91</w:t>
            </w:r>
          </w:p>
        </w:tc>
        <w:tc>
          <w:tcPr>
            <w:tcW w:w="1559" w:type="dxa"/>
            <w:tcBorders>
              <w:top w:val="single" w:sz="2" w:space="0" w:color="auto"/>
              <w:left w:val="single" w:sz="2" w:space="0" w:color="auto"/>
              <w:bottom w:val="single" w:sz="2" w:space="0" w:color="auto"/>
              <w:right w:val="single" w:sz="2" w:space="0" w:color="auto"/>
            </w:tcBorders>
            <w:vAlign w:val="center"/>
          </w:tcPr>
          <w:p w14:paraId="28FBBF6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2,445,179.40</w:t>
            </w:r>
          </w:p>
        </w:tc>
        <w:tc>
          <w:tcPr>
            <w:tcW w:w="1508" w:type="dxa"/>
            <w:tcBorders>
              <w:top w:val="single" w:sz="2" w:space="0" w:color="auto"/>
              <w:left w:val="single" w:sz="2" w:space="0" w:color="auto"/>
              <w:bottom w:val="single" w:sz="2" w:space="0" w:color="auto"/>
              <w:right w:val="single" w:sz="2" w:space="0" w:color="auto"/>
            </w:tcBorders>
            <w:vAlign w:val="center"/>
          </w:tcPr>
          <w:p w14:paraId="5CEB1E3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48,903,587.91</w:t>
            </w:r>
          </w:p>
        </w:tc>
        <w:tc>
          <w:tcPr>
            <w:tcW w:w="1611" w:type="dxa"/>
            <w:tcBorders>
              <w:top w:val="single" w:sz="2" w:space="0" w:color="auto"/>
              <w:left w:val="single" w:sz="2" w:space="0" w:color="auto"/>
              <w:bottom w:val="single" w:sz="2" w:space="0" w:color="auto"/>
              <w:right w:val="single" w:sz="2" w:space="0" w:color="auto"/>
            </w:tcBorders>
            <w:vAlign w:val="center"/>
          </w:tcPr>
          <w:p w14:paraId="42F34CF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48,903,587.91</w:t>
            </w:r>
          </w:p>
        </w:tc>
        <w:tc>
          <w:tcPr>
            <w:tcW w:w="850" w:type="dxa"/>
            <w:tcBorders>
              <w:top w:val="single" w:sz="2" w:space="0" w:color="auto"/>
              <w:left w:val="single" w:sz="2" w:space="0" w:color="auto"/>
              <w:bottom w:val="single" w:sz="2" w:space="0" w:color="auto"/>
              <w:right w:val="single" w:sz="2" w:space="0" w:color="auto"/>
            </w:tcBorders>
            <w:vAlign w:val="center"/>
          </w:tcPr>
          <w:p w14:paraId="0ADBAA6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417" w:type="dxa"/>
            <w:tcBorders>
              <w:top w:val="single" w:sz="2" w:space="0" w:color="auto"/>
              <w:left w:val="single" w:sz="2" w:space="0" w:color="auto"/>
              <w:bottom w:val="single" w:sz="2" w:space="0" w:color="auto"/>
              <w:right w:val="single" w:sz="2" w:space="0" w:color="auto"/>
            </w:tcBorders>
            <w:vAlign w:val="center"/>
          </w:tcPr>
          <w:p w14:paraId="2824AD4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综合考量回款情况，预计无法收回。</w:t>
            </w:r>
          </w:p>
        </w:tc>
      </w:tr>
      <w:tr w:rsidR="00632E5B" w14:paraId="2DD4D1A1" w14:textId="77777777" w:rsidTr="001F5A64">
        <w:trPr>
          <w:trHeight w:val="240"/>
        </w:trPr>
        <w:tc>
          <w:tcPr>
            <w:tcW w:w="882" w:type="dxa"/>
            <w:tcBorders>
              <w:top w:val="single" w:sz="2" w:space="0" w:color="auto"/>
              <w:left w:val="single" w:sz="2" w:space="0" w:color="auto"/>
              <w:bottom w:val="single" w:sz="2" w:space="0" w:color="auto"/>
              <w:right w:val="single" w:sz="2" w:space="0" w:color="auto"/>
            </w:tcBorders>
            <w:vAlign w:val="center"/>
          </w:tcPr>
          <w:p w14:paraId="378D6AC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客户6</w:t>
            </w:r>
          </w:p>
        </w:tc>
        <w:tc>
          <w:tcPr>
            <w:tcW w:w="1701" w:type="dxa"/>
            <w:tcBorders>
              <w:top w:val="single" w:sz="2" w:space="0" w:color="auto"/>
              <w:left w:val="single" w:sz="2" w:space="0" w:color="auto"/>
              <w:bottom w:val="single" w:sz="2" w:space="0" w:color="auto"/>
              <w:right w:val="single" w:sz="2" w:space="0" w:color="auto"/>
            </w:tcBorders>
            <w:vAlign w:val="center"/>
          </w:tcPr>
          <w:p w14:paraId="4747259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49,037,771.07</w:t>
            </w:r>
          </w:p>
        </w:tc>
        <w:tc>
          <w:tcPr>
            <w:tcW w:w="1559" w:type="dxa"/>
            <w:tcBorders>
              <w:top w:val="single" w:sz="2" w:space="0" w:color="auto"/>
              <w:left w:val="single" w:sz="2" w:space="0" w:color="auto"/>
              <w:bottom w:val="single" w:sz="2" w:space="0" w:color="auto"/>
              <w:right w:val="single" w:sz="2" w:space="0" w:color="auto"/>
            </w:tcBorders>
            <w:vAlign w:val="center"/>
          </w:tcPr>
          <w:p w14:paraId="0F7B14D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2,451,888.55</w:t>
            </w:r>
          </w:p>
        </w:tc>
        <w:tc>
          <w:tcPr>
            <w:tcW w:w="1508" w:type="dxa"/>
            <w:tcBorders>
              <w:top w:val="single" w:sz="2" w:space="0" w:color="auto"/>
              <w:left w:val="single" w:sz="2" w:space="0" w:color="auto"/>
              <w:bottom w:val="single" w:sz="2" w:space="0" w:color="auto"/>
              <w:right w:val="single" w:sz="2" w:space="0" w:color="auto"/>
            </w:tcBorders>
            <w:vAlign w:val="center"/>
          </w:tcPr>
          <w:p w14:paraId="7FDC1C6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46,837,771.07</w:t>
            </w:r>
          </w:p>
        </w:tc>
        <w:tc>
          <w:tcPr>
            <w:tcW w:w="1611" w:type="dxa"/>
            <w:tcBorders>
              <w:top w:val="single" w:sz="2" w:space="0" w:color="auto"/>
              <w:left w:val="single" w:sz="2" w:space="0" w:color="auto"/>
              <w:bottom w:val="single" w:sz="2" w:space="0" w:color="auto"/>
              <w:right w:val="single" w:sz="2" w:space="0" w:color="auto"/>
            </w:tcBorders>
            <w:vAlign w:val="center"/>
          </w:tcPr>
          <w:p w14:paraId="3A3B800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46,837,771.07</w:t>
            </w:r>
          </w:p>
        </w:tc>
        <w:tc>
          <w:tcPr>
            <w:tcW w:w="850" w:type="dxa"/>
            <w:tcBorders>
              <w:top w:val="single" w:sz="2" w:space="0" w:color="auto"/>
              <w:left w:val="single" w:sz="2" w:space="0" w:color="auto"/>
              <w:bottom w:val="single" w:sz="2" w:space="0" w:color="auto"/>
              <w:right w:val="single" w:sz="2" w:space="0" w:color="auto"/>
            </w:tcBorders>
            <w:vAlign w:val="center"/>
          </w:tcPr>
          <w:p w14:paraId="17AA6A5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417" w:type="dxa"/>
            <w:tcBorders>
              <w:top w:val="single" w:sz="2" w:space="0" w:color="auto"/>
              <w:left w:val="single" w:sz="2" w:space="0" w:color="auto"/>
              <w:bottom w:val="single" w:sz="2" w:space="0" w:color="auto"/>
              <w:right w:val="single" w:sz="2" w:space="0" w:color="auto"/>
            </w:tcBorders>
            <w:vAlign w:val="center"/>
          </w:tcPr>
          <w:p w14:paraId="7FBDC25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综合考量回款情况，预计无法收回。</w:t>
            </w:r>
          </w:p>
        </w:tc>
      </w:tr>
      <w:tr w:rsidR="00632E5B" w14:paraId="4F423AAA" w14:textId="77777777" w:rsidTr="001F5A64">
        <w:trPr>
          <w:trHeight w:val="240"/>
        </w:trPr>
        <w:tc>
          <w:tcPr>
            <w:tcW w:w="882" w:type="dxa"/>
            <w:tcBorders>
              <w:top w:val="single" w:sz="2" w:space="0" w:color="auto"/>
              <w:left w:val="single" w:sz="2" w:space="0" w:color="auto"/>
              <w:bottom w:val="single" w:sz="2" w:space="0" w:color="auto"/>
              <w:right w:val="single" w:sz="2" w:space="0" w:color="auto"/>
            </w:tcBorders>
            <w:vAlign w:val="center"/>
          </w:tcPr>
          <w:p w14:paraId="587AE17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客户7</w:t>
            </w:r>
          </w:p>
        </w:tc>
        <w:tc>
          <w:tcPr>
            <w:tcW w:w="1701" w:type="dxa"/>
            <w:tcBorders>
              <w:top w:val="single" w:sz="2" w:space="0" w:color="auto"/>
              <w:left w:val="single" w:sz="2" w:space="0" w:color="auto"/>
              <w:bottom w:val="single" w:sz="2" w:space="0" w:color="auto"/>
              <w:right w:val="single" w:sz="2" w:space="0" w:color="auto"/>
            </w:tcBorders>
            <w:vAlign w:val="center"/>
          </w:tcPr>
          <w:p w14:paraId="7D291D4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37,813,819.97</w:t>
            </w:r>
          </w:p>
        </w:tc>
        <w:tc>
          <w:tcPr>
            <w:tcW w:w="1559" w:type="dxa"/>
            <w:tcBorders>
              <w:top w:val="single" w:sz="2" w:space="0" w:color="auto"/>
              <w:left w:val="single" w:sz="2" w:space="0" w:color="auto"/>
              <w:bottom w:val="single" w:sz="2" w:space="0" w:color="auto"/>
              <w:right w:val="single" w:sz="2" w:space="0" w:color="auto"/>
            </w:tcBorders>
            <w:vAlign w:val="center"/>
          </w:tcPr>
          <w:p w14:paraId="2D54EE5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37,813,819.97</w:t>
            </w:r>
          </w:p>
        </w:tc>
        <w:tc>
          <w:tcPr>
            <w:tcW w:w="1508" w:type="dxa"/>
            <w:tcBorders>
              <w:top w:val="single" w:sz="2" w:space="0" w:color="auto"/>
              <w:left w:val="single" w:sz="2" w:space="0" w:color="auto"/>
              <w:bottom w:val="single" w:sz="2" w:space="0" w:color="auto"/>
              <w:right w:val="single" w:sz="2" w:space="0" w:color="auto"/>
            </w:tcBorders>
            <w:vAlign w:val="center"/>
          </w:tcPr>
          <w:p w14:paraId="2E48F08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37,813,819.97</w:t>
            </w:r>
          </w:p>
        </w:tc>
        <w:tc>
          <w:tcPr>
            <w:tcW w:w="1611" w:type="dxa"/>
            <w:tcBorders>
              <w:top w:val="single" w:sz="2" w:space="0" w:color="auto"/>
              <w:left w:val="single" w:sz="2" w:space="0" w:color="auto"/>
              <w:bottom w:val="single" w:sz="2" w:space="0" w:color="auto"/>
              <w:right w:val="single" w:sz="2" w:space="0" w:color="auto"/>
            </w:tcBorders>
            <w:vAlign w:val="center"/>
          </w:tcPr>
          <w:p w14:paraId="3F3F375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37,813,819.97</w:t>
            </w:r>
          </w:p>
        </w:tc>
        <w:tc>
          <w:tcPr>
            <w:tcW w:w="850" w:type="dxa"/>
            <w:tcBorders>
              <w:top w:val="single" w:sz="2" w:space="0" w:color="auto"/>
              <w:left w:val="single" w:sz="2" w:space="0" w:color="auto"/>
              <w:bottom w:val="single" w:sz="2" w:space="0" w:color="auto"/>
              <w:right w:val="single" w:sz="2" w:space="0" w:color="auto"/>
            </w:tcBorders>
            <w:vAlign w:val="center"/>
          </w:tcPr>
          <w:p w14:paraId="773BD4F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417" w:type="dxa"/>
            <w:tcBorders>
              <w:top w:val="single" w:sz="2" w:space="0" w:color="auto"/>
              <w:left w:val="single" w:sz="2" w:space="0" w:color="auto"/>
              <w:bottom w:val="single" w:sz="2" w:space="0" w:color="auto"/>
              <w:right w:val="single" w:sz="2" w:space="0" w:color="auto"/>
            </w:tcBorders>
            <w:vAlign w:val="center"/>
          </w:tcPr>
          <w:p w14:paraId="4D65A39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综合考量回款情况，预计无法收回。</w:t>
            </w:r>
          </w:p>
        </w:tc>
      </w:tr>
      <w:tr w:rsidR="00632E5B" w14:paraId="00877BAD" w14:textId="77777777" w:rsidTr="001F5A64">
        <w:trPr>
          <w:trHeight w:val="240"/>
        </w:trPr>
        <w:tc>
          <w:tcPr>
            <w:tcW w:w="882" w:type="dxa"/>
            <w:tcBorders>
              <w:top w:val="single" w:sz="2" w:space="0" w:color="auto"/>
              <w:left w:val="single" w:sz="2" w:space="0" w:color="auto"/>
              <w:bottom w:val="single" w:sz="2" w:space="0" w:color="auto"/>
              <w:right w:val="single" w:sz="2" w:space="0" w:color="auto"/>
            </w:tcBorders>
            <w:vAlign w:val="center"/>
          </w:tcPr>
          <w:p w14:paraId="3AD15EE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客户8</w:t>
            </w:r>
          </w:p>
        </w:tc>
        <w:tc>
          <w:tcPr>
            <w:tcW w:w="1701" w:type="dxa"/>
            <w:tcBorders>
              <w:top w:val="single" w:sz="2" w:space="0" w:color="auto"/>
              <w:left w:val="single" w:sz="2" w:space="0" w:color="auto"/>
              <w:bottom w:val="single" w:sz="2" w:space="0" w:color="auto"/>
              <w:right w:val="single" w:sz="2" w:space="0" w:color="auto"/>
            </w:tcBorders>
            <w:vAlign w:val="center"/>
          </w:tcPr>
          <w:p w14:paraId="0D339BC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35,251,421.44</w:t>
            </w:r>
          </w:p>
        </w:tc>
        <w:tc>
          <w:tcPr>
            <w:tcW w:w="1559" w:type="dxa"/>
            <w:tcBorders>
              <w:top w:val="single" w:sz="2" w:space="0" w:color="auto"/>
              <w:left w:val="single" w:sz="2" w:space="0" w:color="auto"/>
              <w:bottom w:val="single" w:sz="2" w:space="0" w:color="auto"/>
              <w:right w:val="single" w:sz="2" w:space="0" w:color="auto"/>
            </w:tcBorders>
            <w:vAlign w:val="center"/>
          </w:tcPr>
          <w:p w14:paraId="0FEB76B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31,726,279.30</w:t>
            </w:r>
          </w:p>
        </w:tc>
        <w:tc>
          <w:tcPr>
            <w:tcW w:w="1508" w:type="dxa"/>
            <w:tcBorders>
              <w:top w:val="single" w:sz="2" w:space="0" w:color="auto"/>
              <w:left w:val="single" w:sz="2" w:space="0" w:color="auto"/>
              <w:bottom w:val="single" w:sz="2" w:space="0" w:color="auto"/>
              <w:right w:val="single" w:sz="2" w:space="0" w:color="auto"/>
            </w:tcBorders>
            <w:vAlign w:val="center"/>
          </w:tcPr>
          <w:p w14:paraId="5736DD8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35,251,421.44</w:t>
            </w:r>
          </w:p>
        </w:tc>
        <w:tc>
          <w:tcPr>
            <w:tcW w:w="1611" w:type="dxa"/>
            <w:tcBorders>
              <w:top w:val="single" w:sz="2" w:space="0" w:color="auto"/>
              <w:left w:val="single" w:sz="2" w:space="0" w:color="auto"/>
              <w:bottom w:val="single" w:sz="2" w:space="0" w:color="auto"/>
              <w:right w:val="single" w:sz="2" w:space="0" w:color="auto"/>
            </w:tcBorders>
            <w:vAlign w:val="center"/>
          </w:tcPr>
          <w:p w14:paraId="6EDDEFC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35,251,421.44</w:t>
            </w:r>
          </w:p>
        </w:tc>
        <w:tc>
          <w:tcPr>
            <w:tcW w:w="850" w:type="dxa"/>
            <w:tcBorders>
              <w:top w:val="single" w:sz="2" w:space="0" w:color="auto"/>
              <w:left w:val="single" w:sz="2" w:space="0" w:color="auto"/>
              <w:bottom w:val="single" w:sz="2" w:space="0" w:color="auto"/>
              <w:right w:val="single" w:sz="2" w:space="0" w:color="auto"/>
            </w:tcBorders>
            <w:vAlign w:val="center"/>
          </w:tcPr>
          <w:p w14:paraId="53441CF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417" w:type="dxa"/>
            <w:tcBorders>
              <w:top w:val="single" w:sz="2" w:space="0" w:color="auto"/>
              <w:left w:val="single" w:sz="2" w:space="0" w:color="auto"/>
              <w:bottom w:val="single" w:sz="2" w:space="0" w:color="auto"/>
              <w:right w:val="single" w:sz="2" w:space="0" w:color="auto"/>
            </w:tcBorders>
            <w:vAlign w:val="center"/>
          </w:tcPr>
          <w:p w14:paraId="7718768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综合考量回款情况，预计无法收回。</w:t>
            </w:r>
          </w:p>
        </w:tc>
      </w:tr>
      <w:tr w:rsidR="00632E5B" w14:paraId="22D108E7" w14:textId="77777777" w:rsidTr="001F5A64">
        <w:trPr>
          <w:trHeight w:val="240"/>
        </w:trPr>
        <w:tc>
          <w:tcPr>
            <w:tcW w:w="882" w:type="dxa"/>
            <w:tcBorders>
              <w:top w:val="single" w:sz="2" w:space="0" w:color="auto"/>
              <w:left w:val="single" w:sz="2" w:space="0" w:color="auto"/>
              <w:bottom w:val="single" w:sz="2" w:space="0" w:color="auto"/>
              <w:right w:val="single" w:sz="2" w:space="0" w:color="auto"/>
            </w:tcBorders>
            <w:vAlign w:val="center"/>
          </w:tcPr>
          <w:p w14:paraId="68A0478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客户9</w:t>
            </w:r>
          </w:p>
        </w:tc>
        <w:tc>
          <w:tcPr>
            <w:tcW w:w="1701" w:type="dxa"/>
            <w:tcBorders>
              <w:top w:val="single" w:sz="2" w:space="0" w:color="auto"/>
              <w:left w:val="single" w:sz="2" w:space="0" w:color="auto"/>
              <w:bottom w:val="single" w:sz="2" w:space="0" w:color="auto"/>
              <w:right w:val="single" w:sz="2" w:space="0" w:color="auto"/>
            </w:tcBorders>
            <w:vAlign w:val="center"/>
          </w:tcPr>
          <w:p w14:paraId="67E5024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31,495,000.00</w:t>
            </w:r>
          </w:p>
        </w:tc>
        <w:tc>
          <w:tcPr>
            <w:tcW w:w="1559" w:type="dxa"/>
            <w:tcBorders>
              <w:top w:val="single" w:sz="2" w:space="0" w:color="auto"/>
              <w:left w:val="single" w:sz="2" w:space="0" w:color="auto"/>
              <w:bottom w:val="single" w:sz="2" w:space="0" w:color="auto"/>
              <w:right w:val="single" w:sz="2" w:space="0" w:color="auto"/>
            </w:tcBorders>
            <w:vAlign w:val="center"/>
          </w:tcPr>
          <w:p w14:paraId="579522E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1,574,750.00</w:t>
            </w:r>
          </w:p>
        </w:tc>
        <w:tc>
          <w:tcPr>
            <w:tcW w:w="1508" w:type="dxa"/>
            <w:tcBorders>
              <w:top w:val="single" w:sz="2" w:space="0" w:color="auto"/>
              <w:left w:val="single" w:sz="2" w:space="0" w:color="auto"/>
              <w:bottom w:val="single" w:sz="2" w:space="0" w:color="auto"/>
              <w:right w:val="single" w:sz="2" w:space="0" w:color="auto"/>
            </w:tcBorders>
            <w:vAlign w:val="center"/>
          </w:tcPr>
          <w:p w14:paraId="0F67D75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35,095,000.00</w:t>
            </w:r>
          </w:p>
        </w:tc>
        <w:tc>
          <w:tcPr>
            <w:tcW w:w="1611" w:type="dxa"/>
            <w:tcBorders>
              <w:top w:val="single" w:sz="2" w:space="0" w:color="auto"/>
              <w:left w:val="single" w:sz="2" w:space="0" w:color="auto"/>
              <w:bottom w:val="single" w:sz="2" w:space="0" w:color="auto"/>
              <w:right w:val="single" w:sz="2" w:space="0" w:color="auto"/>
            </w:tcBorders>
            <w:vAlign w:val="center"/>
          </w:tcPr>
          <w:p w14:paraId="1DBD415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35,095,000.00</w:t>
            </w:r>
          </w:p>
        </w:tc>
        <w:tc>
          <w:tcPr>
            <w:tcW w:w="850" w:type="dxa"/>
            <w:tcBorders>
              <w:top w:val="single" w:sz="2" w:space="0" w:color="auto"/>
              <w:left w:val="single" w:sz="2" w:space="0" w:color="auto"/>
              <w:bottom w:val="single" w:sz="2" w:space="0" w:color="auto"/>
              <w:right w:val="single" w:sz="2" w:space="0" w:color="auto"/>
            </w:tcBorders>
            <w:vAlign w:val="center"/>
          </w:tcPr>
          <w:p w14:paraId="0081199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417" w:type="dxa"/>
            <w:tcBorders>
              <w:top w:val="single" w:sz="2" w:space="0" w:color="auto"/>
              <w:left w:val="single" w:sz="2" w:space="0" w:color="auto"/>
              <w:bottom w:val="single" w:sz="2" w:space="0" w:color="auto"/>
              <w:right w:val="single" w:sz="2" w:space="0" w:color="auto"/>
            </w:tcBorders>
            <w:vAlign w:val="center"/>
          </w:tcPr>
          <w:p w14:paraId="73BFDEB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综合考量回款情况，预计无法收回。</w:t>
            </w:r>
          </w:p>
        </w:tc>
      </w:tr>
      <w:tr w:rsidR="00632E5B" w14:paraId="2BB2F545" w14:textId="77777777" w:rsidTr="001F5A64">
        <w:trPr>
          <w:trHeight w:val="240"/>
        </w:trPr>
        <w:tc>
          <w:tcPr>
            <w:tcW w:w="882" w:type="dxa"/>
            <w:tcBorders>
              <w:top w:val="single" w:sz="2" w:space="0" w:color="auto"/>
              <w:left w:val="single" w:sz="2" w:space="0" w:color="auto"/>
              <w:bottom w:val="single" w:sz="2" w:space="0" w:color="auto"/>
              <w:right w:val="single" w:sz="2" w:space="0" w:color="auto"/>
            </w:tcBorders>
            <w:vAlign w:val="center"/>
          </w:tcPr>
          <w:p w14:paraId="484F37E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客户10</w:t>
            </w:r>
          </w:p>
        </w:tc>
        <w:tc>
          <w:tcPr>
            <w:tcW w:w="1701" w:type="dxa"/>
            <w:tcBorders>
              <w:top w:val="single" w:sz="2" w:space="0" w:color="auto"/>
              <w:left w:val="single" w:sz="2" w:space="0" w:color="auto"/>
              <w:bottom w:val="single" w:sz="2" w:space="0" w:color="auto"/>
              <w:right w:val="single" w:sz="2" w:space="0" w:color="auto"/>
            </w:tcBorders>
            <w:vAlign w:val="center"/>
          </w:tcPr>
          <w:p w14:paraId="22202BF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27,845,608.30</w:t>
            </w:r>
          </w:p>
        </w:tc>
        <w:tc>
          <w:tcPr>
            <w:tcW w:w="1559" w:type="dxa"/>
            <w:tcBorders>
              <w:top w:val="single" w:sz="2" w:space="0" w:color="auto"/>
              <w:left w:val="single" w:sz="2" w:space="0" w:color="auto"/>
              <w:bottom w:val="single" w:sz="2" w:space="0" w:color="auto"/>
              <w:right w:val="single" w:sz="2" w:space="0" w:color="auto"/>
            </w:tcBorders>
            <w:vAlign w:val="center"/>
          </w:tcPr>
          <w:p w14:paraId="4742E85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12,530,523.74</w:t>
            </w:r>
          </w:p>
        </w:tc>
        <w:tc>
          <w:tcPr>
            <w:tcW w:w="1508" w:type="dxa"/>
            <w:tcBorders>
              <w:top w:val="single" w:sz="2" w:space="0" w:color="auto"/>
              <w:left w:val="single" w:sz="2" w:space="0" w:color="auto"/>
              <w:bottom w:val="single" w:sz="2" w:space="0" w:color="auto"/>
              <w:right w:val="single" w:sz="2" w:space="0" w:color="auto"/>
            </w:tcBorders>
            <w:vAlign w:val="center"/>
          </w:tcPr>
          <w:p w14:paraId="6CD8FE8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27,845,608.30</w:t>
            </w:r>
          </w:p>
        </w:tc>
        <w:tc>
          <w:tcPr>
            <w:tcW w:w="1611" w:type="dxa"/>
            <w:tcBorders>
              <w:top w:val="single" w:sz="2" w:space="0" w:color="auto"/>
              <w:left w:val="single" w:sz="2" w:space="0" w:color="auto"/>
              <w:bottom w:val="single" w:sz="2" w:space="0" w:color="auto"/>
              <w:right w:val="single" w:sz="2" w:space="0" w:color="auto"/>
            </w:tcBorders>
            <w:vAlign w:val="center"/>
          </w:tcPr>
          <w:p w14:paraId="5BA8F9C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13,922,804.15</w:t>
            </w:r>
          </w:p>
        </w:tc>
        <w:tc>
          <w:tcPr>
            <w:tcW w:w="850" w:type="dxa"/>
            <w:tcBorders>
              <w:top w:val="single" w:sz="2" w:space="0" w:color="auto"/>
              <w:left w:val="single" w:sz="2" w:space="0" w:color="auto"/>
              <w:bottom w:val="single" w:sz="2" w:space="0" w:color="auto"/>
              <w:right w:val="single" w:sz="2" w:space="0" w:color="auto"/>
            </w:tcBorders>
            <w:vAlign w:val="center"/>
          </w:tcPr>
          <w:p w14:paraId="7C83097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50.00%</w:t>
            </w:r>
          </w:p>
        </w:tc>
        <w:tc>
          <w:tcPr>
            <w:tcW w:w="1417" w:type="dxa"/>
            <w:tcBorders>
              <w:top w:val="single" w:sz="2" w:space="0" w:color="auto"/>
              <w:left w:val="single" w:sz="2" w:space="0" w:color="auto"/>
              <w:bottom w:val="single" w:sz="2" w:space="0" w:color="auto"/>
              <w:right w:val="single" w:sz="2" w:space="0" w:color="auto"/>
            </w:tcBorders>
            <w:vAlign w:val="center"/>
          </w:tcPr>
          <w:p w14:paraId="4A0E8FE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综合考量回款情况，预计回收金额后单项计提坏账。</w:t>
            </w:r>
          </w:p>
        </w:tc>
      </w:tr>
      <w:tr w:rsidR="00632E5B" w14:paraId="2E69F54F" w14:textId="77777777" w:rsidTr="001F5A64">
        <w:trPr>
          <w:trHeight w:val="240"/>
        </w:trPr>
        <w:tc>
          <w:tcPr>
            <w:tcW w:w="882" w:type="dxa"/>
            <w:tcBorders>
              <w:top w:val="single" w:sz="2" w:space="0" w:color="auto"/>
              <w:left w:val="single" w:sz="2" w:space="0" w:color="auto"/>
              <w:bottom w:val="single" w:sz="2" w:space="0" w:color="auto"/>
              <w:right w:val="single" w:sz="2" w:space="0" w:color="auto"/>
            </w:tcBorders>
            <w:vAlign w:val="center"/>
          </w:tcPr>
          <w:p w14:paraId="0B7830E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客户11</w:t>
            </w:r>
          </w:p>
        </w:tc>
        <w:tc>
          <w:tcPr>
            <w:tcW w:w="1701" w:type="dxa"/>
            <w:tcBorders>
              <w:top w:val="single" w:sz="2" w:space="0" w:color="auto"/>
              <w:left w:val="single" w:sz="2" w:space="0" w:color="auto"/>
              <w:bottom w:val="single" w:sz="2" w:space="0" w:color="auto"/>
              <w:right w:val="single" w:sz="2" w:space="0" w:color="auto"/>
            </w:tcBorders>
            <w:vAlign w:val="center"/>
          </w:tcPr>
          <w:p w14:paraId="1CFA04A3" w14:textId="77777777" w:rsidR="00632E5B" w:rsidRDefault="00632E5B">
            <w:pPr>
              <w:spacing w:line="240" w:lineRule="exact"/>
              <w:jc w:val="right"/>
              <w:rPr>
                <w:rFonts w:ascii="宋体" w:eastAsia="宋体" w:hAnsi="宋体" w:cs="宋体" w:hint="eastAsia"/>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3E90A374" w14:textId="77777777" w:rsidR="00632E5B" w:rsidRDefault="00632E5B">
            <w:pPr>
              <w:spacing w:line="240" w:lineRule="exact"/>
              <w:jc w:val="right"/>
              <w:rPr>
                <w:rFonts w:ascii="宋体" w:eastAsia="宋体" w:hAnsi="宋体" w:cs="宋体" w:hint="eastAsia"/>
                <w:sz w:val="18"/>
                <w:szCs w:val="18"/>
              </w:rPr>
            </w:pPr>
          </w:p>
        </w:tc>
        <w:tc>
          <w:tcPr>
            <w:tcW w:w="1508" w:type="dxa"/>
            <w:tcBorders>
              <w:top w:val="single" w:sz="2" w:space="0" w:color="auto"/>
              <w:left w:val="single" w:sz="2" w:space="0" w:color="auto"/>
              <w:bottom w:val="single" w:sz="2" w:space="0" w:color="auto"/>
              <w:right w:val="single" w:sz="2" w:space="0" w:color="auto"/>
            </w:tcBorders>
            <w:vAlign w:val="center"/>
          </w:tcPr>
          <w:p w14:paraId="4DDB627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23,555,469.55</w:t>
            </w:r>
          </w:p>
        </w:tc>
        <w:tc>
          <w:tcPr>
            <w:tcW w:w="1611" w:type="dxa"/>
            <w:tcBorders>
              <w:top w:val="single" w:sz="2" w:space="0" w:color="auto"/>
              <w:left w:val="single" w:sz="2" w:space="0" w:color="auto"/>
              <w:bottom w:val="single" w:sz="2" w:space="0" w:color="auto"/>
              <w:right w:val="single" w:sz="2" w:space="0" w:color="auto"/>
            </w:tcBorders>
            <w:vAlign w:val="center"/>
          </w:tcPr>
          <w:p w14:paraId="745E754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23,555,469.55</w:t>
            </w:r>
          </w:p>
        </w:tc>
        <w:tc>
          <w:tcPr>
            <w:tcW w:w="850" w:type="dxa"/>
            <w:tcBorders>
              <w:top w:val="single" w:sz="2" w:space="0" w:color="auto"/>
              <w:left w:val="single" w:sz="2" w:space="0" w:color="auto"/>
              <w:bottom w:val="single" w:sz="2" w:space="0" w:color="auto"/>
              <w:right w:val="single" w:sz="2" w:space="0" w:color="auto"/>
            </w:tcBorders>
            <w:vAlign w:val="center"/>
          </w:tcPr>
          <w:p w14:paraId="66C7230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417" w:type="dxa"/>
            <w:tcBorders>
              <w:top w:val="single" w:sz="2" w:space="0" w:color="auto"/>
              <w:left w:val="single" w:sz="2" w:space="0" w:color="auto"/>
              <w:bottom w:val="single" w:sz="2" w:space="0" w:color="auto"/>
              <w:right w:val="single" w:sz="2" w:space="0" w:color="auto"/>
            </w:tcBorders>
            <w:vAlign w:val="center"/>
          </w:tcPr>
          <w:p w14:paraId="0096A5F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综合考量回款情况，预计无法收回。</w:t>
            </w:r>
          </w:p>
        </w:tc>
      </w:tr>
      <w:tr w:rsidR="00632E5B" w14:paraId="1B536061" w14:textId="77777777" w:rsidTr="001F5A64">
        <w:trPr>
          <w:trHeight w:val="240"/>
        </w:trPr>
        <w:tc>
          <w:tcPr>
            <w:tcW w:w="882" w:type="dxa"/>
            <w:tcBorders>
              <w:top w:val="single" w:sz="2" w:space="0" w:color="auto"/>
              <w:left w:val="single" w:sz="2" w:space="0" w:color="auto"/>
              <w:bottom w:val="single" w:sz="2" w:space="0" w:color="auto"/>
              <w:right w:val="single" w:sz="2" w:space="0" w:color="auto"/>
            </w:tcBorders>
            <w:vAlign w:val="center"/>
          </w:tcPr>
          <w:p w14:paraId="31F4A5D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客户12</w:t>
            </w:r>
          </w:p>
        </w:tc>
        <w:tc>
          <w:tcPr>
            <w:tcW w:w="1701" w:type="dxa"/>
            <w:tcBorders>
              <w:top w:val="single" w:sz="2" w:space="0" w:color="auto"/>
              <w:left w:val="single" w:sz="2" w:space="0" w:color="auto"/>
              <w:bottom w:val="single" w:sz="2" w:space="0" w:color="auto"/>
              <w:right w:val="single" w:sz="2" w:space="0" w:color="auto"/>
            </w:tcBorders>
            <w:vAlign w:val="center"/>
          </w:tcPr>
          <w:p w14:paraId="118B6C7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27,302,084.04</w:t>
            </w:r>
          </w:p>
        </w:tc>
        <w:tc>
          <w:tcPr>
            <w:tcW w:w="1559" w:type="dxa"/>
            <w:tcBorders>
              <w:top w:val="single" w:sz="2" w:space="0" w:color="auto"/>
              <w:left w:val="single" w:sz="2" w:space="0" w:color="auto"/>
              <w:bottom w:val="single" w:sz="2" w:space="0" w:color="auto"/>
              <w:right w:val="single" w:sz="2" w:space="0" w:color="auto"/>
            </w:tcBorders>
            <w:vAlign w:val="center"/>
          </w:tcPr>
          <w:p w14:paraId="2CCD896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1,365,104.20</w:t>
            </w:r>
          </w:p>
        </w:tc>
        <w:tc>
          <w:tcPr>
            <w:tcW w:w="1508" w:type="dxa"/>
            <w:tcBorders>
              <w:top w:val="single" w:sz="2" w:space="0" w:color="auto"/>
              <w:left w:val="single" w:sz="2" w:space="0" w:color="auto"/>
              <w:bottom w:val="single" w:sz="2" w:space="0" w:color="auto"/>
              <w:right w:val="single" w:sz="2" w:space="0" w:color="auto"/>
            </w:tcBorders>
            <w:vAlign w:val="center"/>
          </w:tcPr>
          <w:p w14:paraId="641E21E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22,993,829.65</w:t>
            </w:r>
          </w:p>
        </w:tc>
        <w:tc>
          <w:tcPr>
            <w:tcW w:w="1611" w:type="dxa"/>
            <w:tcBorders>
              <w:top w:val="single" w:sz="2" w:space="0" w:color="auto"/>
              <w:left w:val="single" w:sz="2" w:space="0" w:color="auto"/>
              <w:bottom w:val="single" w:sz="2" w:space="0" w:color="auto"/>
              <w:right w:val="single" w:sz="2" w:space="0" w:color="auto"/>
            </w:tcBorders>
            <w:vAlign w:val="center"/>
          </w:tcPr>
          <w:p w14:paraId="73069FE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22,993,829.65</w:t>
            </w:r>
          </w:p>
        </w:tc>
        <w:tc>
          <w:tcPr>
            <w:tcW w:w="850" w:type="dxa"/>
            <w:tcBorders>
              <w:top w:val="single" w:sz="2" w:space="0" w:color="auto"/>
              <w:left w:val="single" w:sz="2" w:space="0" w:color="auto"/>
              <w:bottom w:val="single" w:sz="2" w:space="0" w:color="auto"/>
              <w:right w:val="single" w:sz="2" w:space="0" w:color="auto"/>
            </w:tcBorders>
            <w:vAlign w:val="center"/>
          </w:tcPr>
          <w:p w14:paraId="6032078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417" w:type="dxa"/>
            <w:tcBorders>
              <w:top w:val="single" w:sz="2" w:space="0" w:color="auto"/>
              <w:left w:val="single" w:sz="2" w:space="0" w:color="auto"/>
              <w:bottom w:val="single" w:sz="2" w:space="0" w:color="auto"/>
              <w:right w:val="single" w:sz="2" w:space="0" w:color="auto"/>
            </w:tcBorders>
            <w:vAlign w:val="center"/>
          </w:tcPr>
          <w:p w14:paraId="7A57F4B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综合考量回款情况，预计无法收回。</w:t>
            </w:r>
          </w:p>
        </w:tc>
      </w:tr>
      <w:tr w:rsidR="00632E5B" w14:paraId="32171A0A" w14:textId="77777777" w:rsidTr="001F5A64">
        <w:trPr>
          <w:trHeight w:val="240"/>
        </w:trPr>
        <w:tc>
          <w:tcPr>
            <w:tcW w:w="882" w:type="dxa"/>
            <w:tcBorders>
              <w:top w:val="single" w:sz="2" w:space="0" w:color="auto"/>
              <w:left w:val="single" w:sz="2" w:space="0" w:color="auto"/>
              <w:bottom w:val="single" w:sz="2" w:space="0" w:color="auto"/>
              <w:right w:val="single" w:sz="2" w:space="0" w:color="auto"/>
            </w:tcBorders>
            <w:vAlign w:val="center"/>
          </w:tcPr>
          <w:p w14:paraId="68A52BB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客户13</w:t>
            </w:r>
          </w:p>
        </w:tc>
        <w:tc>
          <w:tcPr>
            <w:tcW w:w="1701" w:type="dxa"/>
            <w:tcBorders>
              <w:top w:val="single" w:sz="2" w:space="0" w:color="auto"/>
              <w:left w:val="single" w:sz="2" w:space="0" w:color="auto"/>
              <w:bottom w:val="single" w:sz="2" w:space="0" w:color="auto"/>
              <w:right w:val="single" w:sz="2" w:space="0" w:color="auto"/>
            </w:tcBorders>
            <w:vAlign w:val="center"/>
          </w:tcPr>
          <w:p w14:paraId="238A504A" w14:textId="77777777" w:rsidR="00632E5B" w:rsidRDefault="00632E5B">
            <w:pPr>
              <w:spacing w:line="240" w:lineRule="exact"/>
              <w:jc w:val="right"/>
              <w:rPr>
                <w:rFonts w:ascii="宋体" w:eastAsia="宋体" w:hAnsi="宋体" w:cs="宋体" w:hint="eastAsia"/>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0C36EDB2" w14:textId="77777777" w:rsidR="00632E5B" w:rsidRDefault="00632E5B">
            <w:pPr>
              <w:spacing w:line="240" w:lineRule="exact"/>
              <w:jc w:val="right"/>
              <w:rPr>
                <w:rFonts w:ascii="宋体" w:eastAsia="宋体" w:hAnsi="宋体" w:cs="宋体" w:hint="eastAsia"/>
                <w:sz w:val="18"/>
                <w:szCs w:val="18"/>
              </w:rPr>
            </w:pPr>
          </w:p>
        </w:tc>
        <w:tc>
          <w:tcPr>
            <w:tcW w:w="1508" w:type="dxa"/>
            <w:tcBorders>
              <w:top w:val="single" w:sz="2" w:space="0" w:color="auto"/>
              <w:left w:val="single" w:sz="2" w:space="0" w:color="auto"/>
              <w:bottom w:val="single" w:sz="2" w:space="0" w:color="auto"/>
              <w:right w:val="single" w:sz="2" w:space="0" w:color="auto"/>
            </w:tcBorders>
            <w:vAlign w:val="center"/>
          </w:tcPr>
          <w:p w14:paraId="32496BB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21,082,507.17</w:t>
            </w:r>
          </w:p>
        </w:tc>
        <w:tc>
          <w:tcPr>
            <w:tcW w:w="1611" w:type="dxa"/>
            <w:tcBorders>
              <w:top w:val="single" w:sz="2" w:space="0" w:color="auto"/>
              <w:left w:val="single" w:sz="2" w:space="0" w:color="auto"/>
              <w:bottom w:val="single" w:sz="2" w:space="0" w:color="auto"/>
              <w:right w:val="single" w:sz="2" w:space="0" w:color="auto"/>
            </w:tcBorders>
            <w:vAlign w:val="center"/>
          </w:tcPr>
          <w:p w14:paraId="45B6A2E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21,082,507.17</w:t>
            </w:r>
          </w:p>
        </w:tc>
        <w:tc>
          <w:tcPr>
            <w:tcW w:w="850" w:type="dxa"/>
            <w:tcBorders>
              <w:top w:val="single" w:sz="2" w:space="0" w:color="auto"/>
              <w:left w:val="single" w:sz="2" w:space="0" w:color="auto"/>
              <w:bottom w:val="single" w:sz="2" w:space="0" w:color="auto"/>
              <w:right w:val="single" w:sz="2" w:space="0" w:color="auto"/>
            </w:tcBorders>
            <w:vAlign w:val="center"/>
          </w:tcPr>
          <w:p w14:paraId="0A9433B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417" w:type="dxa"/>
            <w:tcBorders>
              <w:top w:val="single" w:sz="2" w:space="0" w:color="auto"/>
              <w:left w:val="single" w:sz="2" w:space="0" w:color="auto"/>
              <w:bottom w:val="single" w:sz="2" w:space="0" w:color="auto"/>
              <w:right w:val="single" w:sz="2" w:space="0" w:color="auto"/>
            </w:tcBorders>
            <w:vAlign w:val="center"/>
          </w:tcPr>
          <w:p w14:paraId="7290A50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综合考量回款情况，预计无法收回。</w:t>
            </w:r>
          </w:p>
        </w:tc>
      </w:tr>
      <w:tr w:rsidR="00632E5B" w14:paraId="71EB62FD" w14:textId="77777777" w:rsidTr="001F5A64">
        <w:trPr>
          <w:trHeight w:val="240"/>
        </w:trPr>
        <w:tc>
          <w:tcPr>
            <w:tcW w:w="882" w:type="dxa"/>
            <w:tcBorders>
              <w:top w:val="single" w:sz="2" w:space="0" w:color="auto"/>
              <w:left w:val="single" w:sz="2" w:space="0" w:color="auto"/>
              <w:bottom w:val="single" w:sz="2" w:space="0" w:color="auto"/>
              <w:right w:val="single" w:sz="2" w:space="0" w:color="auto"/>
            </w:tcBorders>
            <w:vAlign w:val="center"/>
          </w:tcPr>
          <w:p w14:paraId="3B4EC31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客户14</w:t>
            </w:r>
          </w:p>
        </w:tc>
        <w:tc>
          <w:tcPr>
            <w:tcW w:w="1701" w:type="dxa"/>
            <w:tcBorders>
              <w:top w:val="single" w:sz="2" w:space="0" w:color="auto"/>
              <w:left w:val="single" w:sz="2" w:space="0" w:color="auto"/>
              <w:bottom w:val="single" w:sz="2" w:space="0" w:color="auto"/>
              <w:right w:val="single" w:sz="2" w:space="0" w:color="auto"/>
            </w:tcBorders>
            <w:vAlign w:val="center"/>
          </w:tcPr>
          <w:p w14:paraId="579EC11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17,162,437.72</w:t>
            </w:r>
          </w:p>
        </w:tc>
        <w:tc>
          <w:tcPr>
            <w:tcW w:w="1559" w:type="dxa"/>
            <w:tcBorders>
              <w:top w:val="single" w:sz="2" w:space="0" w:color="auto"/>
              <w:left w:val="single" w:sz="2" w:space="0" w:color="auto"/>
              <w:bottom w:val="single" w:sz="2" w:space="0" w:color="auto"/>
              <w:right w:val="single" w:sz="2" w:space="0" w:color="auto"/>
            </w:tcBorders>
            <w:vAlign w:val="center"/>
          </w:tcPr>
          <w:p w14:paraId="0063502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858,121.89</w:t>
            </w:r>
          </w:p>
        </w:tc>
        <w:tc>
          <w:tcPr>
            <w:tcW w:w="1508" w:type="dxa"/>
            <w:tcBorders>
              <w:top w:val="single" w:sz="2" w:space="0" w:color="auto"/>
              <w:left w:val="single" w:sz="2" w:space="0" w:color="auto"/>
              <w:bottom w:val="single" w:sz="2" w:space="0" w:color="auto"/>
              <w:right w:val="single" w:sz="2" w:space="0" w:color="auto"/>
            </w:tcBorders>
            <w:vAlign w:val="center"/>
          </w:tcPr>
          <w:p w14:paraId="7D05A64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15,274,303.72</w:t>
            </w:r>
          </w:p>
        </w:tc>
        <w:tc>
          <w:tcPr>
            <w:tcW w:w="1611" w:type="dxa"/>
            <w:tcBorders>
              <w:top w:val="single" w:sz="2" w:space="0" w:color="auto"/>
              <w:left w:val="single" w:sz="2" w:space="0" w:color="auto"/>
              <w:bottom w:val="single" w:sz="2" w:space="0" w:color="auto"/>
              <w:right w:val="single" w:sz="2" w:space="0" w:color="auto"/>
            </w:tcBorders>
            <w:vAlign w:val="center"/>
          </w:tcPr>
          <w:p w14:paraId="5CC7E22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15,274,303.72</w:t>
            </w:r>
          </w:p>
        </w:tc>
        <w:tc>
          <w:tcPr>
            <w:tcW w:w="850" w:type="dxa"/>
            <w:tcBorders>
              <w:top w:val="single" w:sz="2" w:space="0" w:color="auto"/>
              <w:left w:val="single" w:sz="2" w:space="0" w:color="auto"/>
              <w:bottom w:val="single" w:sz="2" w:space="0" w:color="auto"/>
              <w:right w:val="single" w:sz="2" w:space="0" w:color="auto"/>
            </w:tcBorders>
            <w:vAlign w:val="center"/>
          </w:tcPr>
          <w:p w14:paraId="7B3BF8F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417" w:type="dxa"/>
            <w:tcBorders>
              <w:top w:val="single" w:sz="2" w:space="0" w:color="auto"/>
              <w:left w:val="single" w:sz="2" w:space="0" w:color="auto"/>
              <w:bottom w:val="single" w:sz="2" w:space="0" w:color="auto"/>
              <w:right w:val="single" w:sz="2" w:space="0" w:color="auto"/>
            </w:tcBorders>
            <w:vAlign w:val="center"/>
          </w:tcPr>
          <w:p w14:paraId="46CAECC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综合考量回款情况，预计无法收回。</w:t>
            </w:r>
          </w:p>
        </w:tc>
      </w:tr>
      <w:tr w:rsidR="00632E5B" w14:paraId="09A20828" w14:textId="77777777" w:rsidTr="001F5A64">
        <w:trPr>
          <w:trHeight w:val="847"/>
        </w:trPr>
        <w:tc>
          <w:tcPr>
            <w:tcW w:w="882" w:type="dxa"/>
            <w:tcBorders>
              <w:top w:val="single" w:sz="2" w:space="0" w:color="auto"/>
              <w:left w:val="single" w:sz="2" w:space="0" w:color="auto"/>
              <w:bottom w:val="single" w:sz="2" w:space="0" w:color="auto"/>
              <w:right w:val="single" w:sz="2" w:space="0" w:color="auto"/>
            </w:tcBorders>
            <w:vAlign w:val="center"/>
          </w:tcPr>
          <w:p w14:paraId="6E41810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客户15</w:t>
            </w:r>
          </w:p>
        </w:tc>
        <w:tc>
          <w:tcPr>
            <w:tcW w:w="1701" w:type="dxa"/>
            <w:tcBorders>
              <w:top w:val="single" w:sz="2" w:space="0" w:color="auto"/>
              <w:left w:val="single" w:sz="2" w:space="0" w:color="auto"/>
              <w:bottom w:val="single" w:sz="2" w:space="0" w:color="auto"/>
              <w:right w:val="single" w:sz="2" w:space="0" w:color="auto"/>
            </w:tcBorders>
            <w:vAlign w:val="center"/>
          </w:tcPr>
          <w:p w14:paraId="620043A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12,500,000.00</w:t>
            </w:r>
          </w:p>
        </w:tc>
        <w:tc>
          <w:tcPr>
            <w:tcW w:w="1559" w:type="dxa"/>
            <w:tcBorders>
              <w:top w:val="single" w:sz="2" w:space="0" w:color="auto"/>
              <w:left w:val="single" w:sz="2" w:space="0" w:color="auto"/>
              <w:bottom w:val="single" w:sz="2" w:space="0" w:color="auto"/>
              <w:right w:val="single" w:sz="2" w:space="0" w:color="auto"/>
            </w:tcBorders>
            <w:vAlign w:val="center"/>
          </w:tcPr>
          <w:p w14:paraId="3F307AF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12,500,000.00</w:t>
            </w:r>
          </w:p>
        </w:tc>
        <w:tc>
          <w:tcPr>
            <w:tcW w:w="1508" w:type="dxa"/>
            <w:tcBorders>
              <w:top w:val="single" w:sz="2" w:space="0" w:color="auto"/>
              <w:left w:val="single" w:sz="2" w:space="0" w:color="auto"/>
              <w:bottom w:val="single" w:sz="2" w:space="0" w:color="auto"/>
              <w:right w:val="single" w:sz="2" w:space="0" w:color="auto"/>
            </w:tcBorders>
            <w:vAlign w:val="center"/>
          </w:tcPr>
          <w:p w14:paraId="41E9538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15,116,300.00</w:t>
            </w:r>
          </w:p>
        </w:tc>
        <w:tc>
          <w:tcPr>
            <w:tcW w:w="1611" w:type="dxa"/>
            <w:tcBorders>
              <w:top w:val="single" w:sz="2" w:space="0" w:color="auto"/>
              <w:left w:val="single" w:sz="2" w:space="0" w:color="auto"/>
              <w:bottom w:val="single" w:sz="2" w:space="0" w:color="auto"/>
              <w:right w:val="single" w:sz="2" w:space="0" w:color="auto"/>
            </w:tcBorders>
            <w:vAlign w:val="center"/>
          </w:tcPr>
          <w:p w14:paraId="2F35618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15,116,300.00</w:t>
            </w:r>
          </w:p>
        </w:tc>
        <w:tc>
          <w:tcPr>
            <w:tcW w:w="850" w:type="dxa"/>
            <w:tcBorders>
              <w:top w:val="single" w:sz="2" w:space="0" w:color="auto"/>
              <w:left w:val="single" w:sz="2" w:space="0" w:color="auto"/>
              <w:bottom w:val="single" w:sz="2" w:space="0" w:color="auto"/>
              <w:right w:val="single" w:sz="2" w:space="0" w:color="auto"/>
            </w:tcBorders>
            <w:vAlign w:val="center"/>
          </w:tcPr>
          <w:p w14:paraId="2DEBD7A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417" w:type="dxa"/>
            <w:tcBorders>
              <w:top w:val="single" w:sz="2" w:space="0" w:color="auto"/>
              <w:left w:val="single" w:sz="2" w:space="0" w:color="auto"/>
              <w:bottom w:val="single" w:sz="2" w:space="0" w:color="auto"/>
              <w:right w:val="single" w:sz="2" w:space="0" w:color="auto"/>
            </w:tcBorders>
            <w:vAlign w:val="center"/>
          </w:tcPr>
          <w:p w14:paraId="4BBC15E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综合考量回款情况，预计无法收回。</w:t>
            </w:r>
          </w:p>
        </w:tc>
      </w:tr>
      <w:tr w:rsidR="00632E5B" w14:paraId="1219027F" w14:textId="77777777" w:rsidTr="001F5A64">
        <w:trPr>
          <w:trHeight w:val="829"/>
        </w:trPr>
        <w:tc>
          <w:tcPr>
            <w:tcW w:w="882" w:type="dxa"/>
            <w:tcBorders>
              <w:top w:val="single" w:sz="2" w:space="0" w:color="auto"/>
              <w:left w:val="single" w:sz="2" w:space="0" w:color="auto"/>
              <w:bottom w:val="single" w:sz="2" w:space="0" w:color="auto"/>
              <w:right w:val="single" w:sz="2" w:space="0" w:color="auto"/>
            </w:tcBorders>
            <w:vAlign w:val="center"/>
          </w:tcPr>
          <w:p w14:paraId="281F9EF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客户16</w:t>
            </w:r>
          </w:p>
        </w:tc>
        <w:tc>
          <w:tcPr>
            <w:tcW w:w="1701" w:type="dxa"/>
            <w:tcBorders>
              <w:top w:val="single" w:sz="2" w:space="0" w:color="auto"/>
              <w:left w:val="single" w:sz="2" w:space="0" w:color="auto"/>
              <w:bottom w:val="single" w:sz="2" w:space="0" w:color="auto"/>
              <w:right w:val="single" w:sz="2" w:space="0" w:color="auto"/>
            </w:tcBorders>
            <w:vAlign w:val="center"/>
          </w:tcPr>
          <w:p w14:paraId="6021C7D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6,629,188.34</w:t>
            </w:r>
          </w:p>
        </w:tc>
        <w:tc>
          <w:tcPr>
            <w:tcW w:w="1559" w:type="dxa"/>
            <w:tcBorders>
              <w:top w:val="single" w:sz="2" w:space="0" w:color="auto"/>
              <w:left w:val="single" w:sz="2" w:space="0" w:color="auto"/>
              <w:bottom w:val="single" w:sz="2" w:space="0" w:color="auto"/>
              <w:right w:val="single" w:sz="2" w:space="0" w:color="auto"/>
            </w:tcBorders>
            <w:vAlign w:val="center"/>
          </w:tcPr>
          <w:p w14:paraId="0AFD3F3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3,314,594.17</w:t>
            </w:r>
          </w:p>
        </w:tc>
        <w:tc>
          <w:tcPr>
            <w:tcW w:w="1508" w:type="dxa"/>
            <w:tcBorders>
              <w:top w:val="single" w:sz="2" w:space="0" w:color="auto"/>
              <w:left w:val="single" w:sz="2" w:space="0" w:color="auto"/>
              <w:bottom w:val="single" w:sz="2" w:space="0" w:color="auto"/>
              <w:right w:val="single" w:sz="2" w:space="0" w:color="auto"/>
            </w:tcBorders>
            <w:vAlign w:val="center"/>
          </w:tcPr>
          <w:p w14:paraId="306F7B0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12,624,015.98</w:t>
            </w:r>
          </w:p>
        </w:tc>
        <w:tc>
          <w:tcPr>
            <w:tcW w:w="1611" w:type="dxa"/>
            <w:tcBorders>
              <w:top w:val="single" w:sz="2" w:space="0" w:color="auto"/>
              <w:left w:val="single" w:sz="2" w:space="0" w:color="auto"/>
              <w:bottom w:val="single" w:sz="2" w:space="0" w:color="auto"/>
              <w:right w:val="single" w:sz="2" w:space="0" w:color="auto"/>
            </w:tcBorders>
            <w:vAlign w:val="center"/>
          </w:tcPr>
          <w:p w14:paraId="3FCF5EA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12,624,015.98</w:t>
            </w:r>
          </w:p>
        </w:tc>
        <w:tc>
          <w:tcPr>
            <w:tcW w:w="850" w:type="dxa"/>
            <w:tcBorders>
              <w:top w:val="single" w:sz="2" w:space="0" w:color="auto"/>
              <w:left w:val="single" w:sz="2" w:space="0" w:color="auto"/>
              <w:bottom w:val="single" w:sz="2" w:space="0" w:color="auto"/>
              <w:right w:val="single" w:sz="2" w:space="0" w:color="auto"/>
            </w:tcBorders>
            <w:vAlign w:val="center"/>
          </w:tcPr>
          <w:p w14:paraId="117040A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417" w:type="dxa"/>
            <w:tcBorders>
              <w:top w:val="single" w:sz="2" w:space="0" w:color="auto"/>
              <w:left w:val="single" w:sz="2" w:space="0" w:color="auto"/>
              <w:bottom w:val="single" w:sz="2" w:space="0" w:color="auto"/>
              <w:right w:val="single" w:sz="2" w:space="0" w:color="auto"/>
            </w:tcBorders>
            <w:vAlign w:val="center"/>
          </w:tcPr>
          <w:p w14:paraId="1A6E3CA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综合考量回款情况，预计无法收回。</w:t>
            </w:r>
          </w:p>
        </w:tc>
      </w:tr>
      <w:tr w:rsidR="00632E5B" w14:paraId="2FD598CD" w14:textId="77777777" w:rsidTr="001F5A64">
        <w:trPr>
          <w:trHeight w:val="240"/>
        </w:trPr>
        <w:tc>
          <w:tcPr>
            <w:tcW w:w="882" w:type="dxa"/>
            <w:tcBorders>
              <w:top w:val="single" w:sz="2" w:space="0" w:color="auto"/>
              <w:left w:val="single" w:sz="2" w:space="0" w:color="auto"/>
              <w:bottom w:val="single" w:sz="2" w:space="0" w:color="auto"/>
              <w:right w:val="single" w:sz="2" w:space="0" w:color="auto"/>
            </w:tcBorders>
            <w:vAlign w:val="center"/>
          </w:tcPr>
          <w:p w14:paraId="64818E5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lastRenderedPageBreak/>
              <w:t>客户17</w:t>
            </w:r>
          </w:p>
        </w:tc>
        <w:tc>
          <w:tcPr>
            <w:tcW w:w="1701" w:type="dxa"/>
            <w:tcBorders>
              <w:top w:val="single" w:sz="2" w:space="0" w:color="auto"/>
              <w:left w:val="single" w:sz="2" w:space="0" w:color="auto"/>
              <w:bottom w:val="single" w:sz="2" w:space="0" w:color="auto"/>
              <w:right w:val="single" w:sz="2" w:space="0" w:color="auto"/>
            </w:tcBorders>
            <w:vAlign w:val="center"/>
          </w:tcPr>
          <w:p w14:paraId="593E6F0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12,542,161.28</w:t>
            </w:r>
          </w:p>
        </w:tc>
        <w:tc>
          <w:tcPr>
            <w:tcW w:w="1559" w:type="dxa"/>
            <w:tcBorders>
              <w:top w:val="single" w:sz="2" w:space="0" w:color="auto"/>
              <w:left w:val="single" w:sz="2" w:space="0" w:color="auto"/>
              <w:bottom w:val="single" w:sz="2" w:space="0" w:color="auto"/>
              <w:right w:val="single" w:sz="2" w:space="0" w:color="auto"/>
            </w:tcBorders>
            <w:vAlign w:val="center"/>
          </w:tcPr>
          <w:p w14:paraId="4B364E1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11,287,945.15</w:t>
            </w:r>
          </w:p>
        </w:tc>
        <w:tc>
          <w:tcPr>
            <w:tcW w:w="1508" w:type="dxa"/>
            <w:tcBorders>
              <w:top w:val="single" w:sz="2" w:space="0" w:color="auto"/>
              <w:left w:val="single" w:sz="2" w:space="0" w:color="auto"/>
              <w:bottom w:val="single" w:sz="2" w:space="0" w:color="auto"/>
              <w:right w:val="single" w:sz="2" w:space="0" w:color="auto"/>
            </w:tcBorders>
            <w:vAlign w:val="center"/>
          </w:tcPr>
          <w:p w14:paraId="7D5D929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12,542,161.28</w:t>
            </w:r>
          </w:p>
        </w:tc>
        <w:tc>
          <w:tcPr>
            <w:tcW w:w="1611" w:type="dxa"/>
            <w:tcBorders>
              <w:top w:val="single" w:sz="2" w:space="0" w:color="auto"/>
              <w:left w:val="single" w:sz="2" w:space="0" w:color="auto"/>
              <w:bottom w:val="single" w:sz="2" w:space="0" w:color="auto"/>
              <w:right w:val="single" w:sz="2" w:space="0" w:color="auto"/>
            </w:tcBorders>
            <w:vAlign w:val="center"/>
          </w:tcPr>
          <w:p w14:paraId="09CD1EA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12,542,161.28</w:t>
            </w:r>
          </w:p>
        </w:tc>
        <w:tc>
          <w:tcPr>
            <w:tcW w:w="850" w:type="dxa"/>
            <w:tcBorders>
              <w:top w:val="single" w:sz="2" w:space="0" w:color="auto"/>
              <w:left w:val="single" w:sz="2" w:space="0" w:color="auto"/>
              <w:bottom w:val="single" w:sz="2" w:space="0" w:color="auto"/>
              <w:right w:val="single" w:sz="2" w:space="0" w:color="auto"/>
            </w:tcBorders>
            <w:vAlign w:val="center"/>
          </w:tcPr>
          <w:p w14:paraId="1D1D628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417" w:type="dxa"/>
            <w:tcBorders>
              <w:top w:val="single" w:sz="2" w:space="0" w:color="auto"/>
              <w:left w:val="single" w:sz="2" w:space="0" w:color="auto"/>
              <w:bottom w:val="single" w:sz="2" w:space="0" w:color="auto"/>
              <w:right w:val="single" w:sz="2" w:space="0" w:color="auto"/>
            </w:tcBorders>
            <w:vAlign w:val="center"/>
          </w:tcPr>
          <w:p w14:paraId="0B5AA76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综合考量回款情况，预计无法收回。</w:t>
            </w:r>
          </w:p>
        </w:tc>
      </w:tr>
      <w:tr w:rsidR="00632E5B" w14:paraId="16E54DF7" w14:textId="77777777" w:rsidTr="001F5A64">
        <w:trPr>
          <w:trHeight w:val="240"/>
        </w:trPr>
        <w:tc>
          <w:tcPr>
            <w:tcW w:w="882" w:type="dxa"/>
            <w:tcBorders>
              <w:top w:val="single" w:sz="2" w:space="0" w:color="auto"/>
              <w:left w:val="single" w:sz="2" w:space="0" w:color="auto"/>
              <w:bottom w:val="single" w:sz="2" w:space="0" w:color="auto"/>
              <w:right w:val="single" w:sz="2" w:space="0" w:color="auto"/>
            </w:tcBorders>
            <w:vAlign w:val="center"/>
          </w:tcPr>
          <w:p w14:paraId="3053BDA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客户18</w:t>
            </w:r>
          </w:p>
        </w:tc>
        <w:tc>
          <w:tcPr>
            <w:tcW w:w="1701" w:type="dxa"/>
            <w:tcBorders>
              <w:top w:val="single" w:sz="2" w:space="0" w:color="auto"/>
              <w:left w:val="single" w:sz="2" w:space="0" w:color="auto"/>
              <w:bottom w:val="single" w:sz="2" w:space="0" w:color="auto"/>
              <w:right w:val="single" w:sz="2" w:space="0" w:color="auto"/>
            </w:tcBorders>
            <w:vAlign w:val="center"/>
          </w:tcPr>
          <w:p w14:paraId="179F6698" w14:textId="77777777" w:rsidR="00632E5B" w:rsidRDefault="00632E5B">
            <w:pPr>
              <w:spacing w:line="240" w:lineRule="exact"/>
              <w:jc w:val="right"/>
              <w:rPr>
                <w:rFonts w:ascii="宋体" w:eastAsia="宋体" w:hAnsi="宋体" w:cs="宋体" w:hint="eastAsia"/>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592F8E2A" w14:textId="77777777" w:rsidR="00632E5B" w:rsidRDefault="00632E5B">
            <w:pPr>
              <w:spacing w:line="240" w:lineRule="exact"/>
              <w:jc w:val="right"/>
              <w:rPr>
                <w:rFonts w:ascii="宋体" w:eastAsia="宋体" w:hAnsi="宋体" w:cs="宋体" w:hint="eastAsia"/>
                <w:sz w:val="18"/>
                <w:szCs w:val="18"/>
              </w:rPr>
            </w:pPr>
          </w:p>
        </w:tc>
        <w:tc>
          <w:tcPr>
            <w:tcW w:w="1508" w:type="dxa"/>
            <w:tcBorders>
              <w:top w:val="single" w:sz="2" w:space="0" w:color="auto"/>
              <w:left w:val="single" w:sz="2" w:space="0" w:color="auto"/>
              <w:bottom w:val="single" w:sz="2" w:space="0" w:color="auto"/>
              <w:right w:val="single" w:sz="2" w:space="0" w:color="auto"/>
            </w:tcBorders>
            <w:vAlign w:val="center"/>
          </w:tcPr>
          <w:p w14:paraId="106DBCE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10,810,771.52</w:t>
            </w:r>
          </w:p>
        </w:tc>
        <w:tc>
          <w:tcPr>
            <w:tcW w:w="1611" w:type="dxa"/>
            <w:tcBorders>
              <w:top w:val="single" w:sz="2" w:space="0" w:color="auto"/>
              <w:left w:val="single" w:sz="2" w:space="0" w:color="auto"/>
              <w:bottom w:val="single" w:sz="2" w:space="0" w:color="auto"/>
              <w:right w:val="single" w:sz="2" w:space="0" w:color="auto"/>
            </w:tcBorders>
            <w:vAlign w:val="center"/>
          </w:tcPr>
          <w:p w14:paraId="5CF47CA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10,810,771.52</w:t>
            </w:r>
          </w:p>
        </w:tc>
        <w:tc>
          <w:tcPr>
            <w:tcW w:w="850" w:type="dxa"/>
            <w:tcBorders>
              <w:top w:val="single" w:sz="2" w:space="0" w:color="auto"/>
              <w:left w:val="single" w:sz="2" w:space="0" w:color="auto"/>
              <w:bottom w:val="single" w:sz="2" w:space="0" w:color="auto"/>
              <w:right w:val="single" w:sz="2" w:space="0" w:color="auto"/>
            </w:tcBorders>
            <w:vAlign w:val="center"/>
          </w:tcPr>
          <w:p w14:paraId="2A5ED5E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417" w:type="dxa"/>
            <w:tcBorders>
              <w:top w:val="single" w:sz="2" w:space="0" w:color="auto"/>
              <w:left w:val="single" w:sz="2" w:space="0" w:color="auto"/>
              <w:bottom w:val="single" w:sz="2" w:space="0" w:color="auto"/>
              <w:right w:val="single" w:sz="2" w:space="0" w:color="auto"/>
            </w:tcBorders>
            <w:vAlign w:val="center"/>
          </w:tcPr>
          <w:p w14:paraId="133FEFF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涉及诉讼，预计无法收回。</w:t>
            </w:r>
          </w:p>
        </w:tc>
      </w:tr>
      <w:tr w:rsidR="00632E5B" w14:paraId="3D14F536" w14:textId="77777777" w:rsidTr="001F5A64">
        <w:trPr>
          <w:trHeight w:val="240"/>
        </w:trPr>
        <w:tc>
          <w:tcPr>
            <w:tcW w:w="882" w:type="dxa"/>
            <w:tcBorders>
              <w:top w:val="single" w:sz="2" w:space="0" w:color="auto"/>
              <w:left w:val="single" w:sz="2" w:space="0" w:color="auto"/>
              <w:bottom w:val="single" w:sz="2" w:space="0" w:color="auto"/>
              <w:right w:val="single" w:sz="2" w:space="0" w:color="auto"/>
            </w:tcBorders>
            <w:vAlign w:val="center"/>
          </w:tcPr>
          <w:p w14:paraId="75ECCCE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客户19</w:t>
            </w:r>
          </w:p>
        </w:tc>
        <w:tc>
          <w:tcPr>
            <w:tcW w:w="1701" w:type="dxa"/>
            <w:tcBorders>
              <w:top w:val="single" w:sz="2" w:space="0" w:color="auto"/>
              <w:left w:val="single" w:sz="2" w:space="0" w:color="auto"/>
              <w:bottom w:val="single" w:sz="2" w:space="0" w:color="auto"/>
              <w:right w:val="single" w:sz="2" w:space="0" w:color="auto"/>
            </w:tcBorders>
            <w:vAlign w:val="center"/>
          </w:tcPr>
          <w:p w14:paraId="187DA16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12,514,124.22</w:t>
            </w:r>
          </w:p>
        </w:tc>
        <w:tc>
          <w:tcPr>
            <w:tcW w:w="1559" w:type="dxa"/>
            <w:tcBorders>
              <w:top w:val="single" w:sz="2" w:space="0" w:color="auto"/>
              <w:left w:val="single" w:sz="2" w:space="0" w:color="auto"/>
              <w:bottom w:val="single" w:sz="2" w:space="0" w:color="auto"/>
              <w:right w:val="single" w:sz="2" w:space="0" w:color="auto"/>
            </w:tcBorders>
            <w:vAlign w:val="center"/>
          </w:tcPr>
          <w:p w14:paraId="26A573B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625,706.21</w:t>
            </w:r>
          </w:p>
        </w:tc>
        <w:tc>
          <w:tcPr>
            <w:tcW w:w="1508" w:type="dxa"/>
            <w:tcBorders>
              <w:top w:val="single" w:sz="2" w:space="0" w:color="auto"/>
              <w:left w:val="single" w:sz="2" w:space="0" w:color="auto"/>
              <w:bottom w:val="single" w:sz="2" w:space="0" w:color="auto"/>
              <w:right w:val="single" w:sz="2" w:space="0" w:color="auto"/>
            </w:tcBorders>
            <w:vAlign w:val="center"/>
          </w:tcPr>
          <w:p w14:paraId="3453F22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10,588,124.22</w:t>
            </w:r>
          </w:p>
        </w:tc>
        <w:tc>
          <w:tcPr>
            <w:tcW w:w="1611" w:type="dxa"/>
            <w:tcBorders>
              <w:top w:val="single" w:sz="2" w:space="0" w:color="auto"/>
              <w:left w:val="single" w:sz="2" w:space="0" w:color="auto"/>
              <w:bottom w:val="single" w:sz="2" w:space="0" w:color="auto"/>
              <w:right w:val="single" w:sz="2" w:space="0" w:color="auto"/>
            </w:tcBorders>
            <w:vAlign w:val="center"/>
          </w:tcPr>
          <w:p w14:paraId="137E1D3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10,588,124.22</w:t>
            </w:r>
          </w:p>
        </w:tc>
        <w:tc>
          <w:tcPr>
            <w:tcW w:w="850" w:type="dxa"/>
            <w:tcBorders>
              <w:top w:val="single" w:sz="2" w:space="0" w:color="auto"/>
              <w:left w:val="single" w:sz="2" w:space="0" w:color="auto"/>
              <w:bottom w:val="single" w:sz="2" w:space="0" w:color="auto"/>
              <w:right w:val="single" w:sz="2" w:space="0" w:color="auto"/>
            </w:tcBorders>
            <w:vAlign w:val="center"/>
          </w:tcPr>
          <w:p w14:paraId="68326B7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417" w:type="dxa"/>
            <w:tcBorders>
              <w:top w:val="single" w:sz="2" w:space="0" w:color="auto"/>
              <w:left w:val="single" w:sz="2" w:space="0" w:color="auto"/>
              <w:bottom w:val="single" w:sz="2" w:space="0" w:color="auto"/>
              <w:right w:val="single" w:sz="2" w:space="0" w:color="auto"/>
            </w:tcBorders>
            <w:vAlign w:val="center"/>
          </w:tcPr>
          <w:p w14:paraId="71509FF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综合考量回款情况，预计无法收回。</w:t>
            </w:r>
          </w:p>
        </w:tc>
      </w:tr>
      <w:tr w:rsidR="008825A5" w14:paraId="72F904AF" w14:textId="77777777" w:rsidTr="001F5A64">
        <w:trPr>
          <w:trHeight w:val="240"/>
        </w:trPr>
        <w:tc>
          <w:tcPr>
            <w:tcW w:w="882" w:type="dxa"/>
            <w:tcBorders>
              <w:top w:val="single" w:sz="2" w:space="0" w:color="auto"/>
              <w:left w:val="single" w:sz="2" w:space="0" w:color="auto"/>
              <w:bottom w:val="single" w:sz="2" w:space="0" w:color="auto"/>
              <w:right w:val="single" w:sz="2" w:space="0" w:color="auto"/>
            </w:tcBorders>
            <w:vAlign w:val="center"/>
          </w:tcPr>
          <w:p w14:paraId="680FDA7A" w14:textId="77777777" w:rsidR="008825A5" w:rsidRDefault="008825A5" w:rsidP="008825A5">
            <w:pPr>
              <w:spacing w:line="240" w:lineRule="exact"/>
              <w:rPr>
                <w:rFonts w:ascii="宋体" w:eastAsia="宋体" w:hAnsi="宋体" w:cs="宋体" w:hint="eastAsia"/>
                <w:sz w:val="18"/>
                <w:szCs w:val="18"/>
              </w:rPr>
            </w:pPr>
            <w:r>
              <w:rPr>
                <w:rFonts w:ascii="宋体" w:eastAsia="宋体" w:hAnsi="宋体" w:cs="宋体"/>
                <w:sz w:val="18"/>
                <w:szCs w:val="18"/>
              </w:rPr>
              <w:t>客户20</w:t>
            </w:r>
          </w:p>
        </w:tc>
        <w:tc>
          <w:tcPr>
            <w:tcW w:w="1701" w:type="dxa"/>
            <w:tcBorders>
              <w:top w:val="single" w:sz="2" w:space="0" w:color="auto"/>
              <w:left w:val="single" w:sz="2" w:space="0" w:color="auto"/>
              <w:bottom w:val="single" w:sz="2" w:space="0" w:color="auto"/>
              <w:right w:val="single" w:sz="2" w:space="0" w:color="auto"/>
            </w:tcBorders>
            <w:vAlign w:val="center"/>
          </w:tcPr>
          <w:p w14:paraId="433D6D8F" w14:textId="77777777" w:rsidR="008825A5" w:rsidRDefault="008825A5" w:rsidP="008825A5">
            <w:pPr>
              <w:spacing w:line="240" w:lineRule="exact"/>
              <w:jc w:val="right"/>
              <w:rPr>
                <w:rFonts w:ascii="宋体" w:eastAsia="宋体" w:hAnsi="宋体" w:cs="宋体" w:hint="eastAsia"/>
                <w:sz w:val="18"/>
                <w:szCs w:val="18"/>
              </w:rPr>
            </w:pPr>
            <w:r>
              <w:rPr>
                <w:rFonts w:ascii="宋体" w:eastAsia="宋体" w:hAnsi="宋体" w:cs="宋体"/>
                <w:sz w:val="18"/>
                <w:szCs w:val="18"/>
              </w:rPr>
              <w:t>506,709,000.00</w:t>
            </w:r>
          </w:p>
        </w:tc>
        <w:tc>
          <w:tcPr>
            <w:tcW w:w="1559" w:type="dxa"/>
            <w:tcBorders>
              <w:top w:val="single" w:sz="2" w:space="0" w:color="auto"/>
              <w:left w:val="single" w:sz="2" w:space="0" w:color="auto"/>
              <w:bottom w:val="single" w:sz="2" w:space="0" w:color="auto"/>
              <w:right w:val="single" w:sz="2" w:space="0" w:color="auto"/>
            </w:tcBorders>
            <w:vAlign w:val="center"/>
          </w:tcPr>
          <w:p w14:paraId="26A0EEBA" w14:textId="77777777" w:rsidR="008825A5" w:rsidRDefault="008825A5" w:rsidP="008825A5">
            <w:pPr>
              <w:spacing w:line="240" w:lineRule="exact"/>
              <w:jc w:val="right"/>
              <w:rPr>
                <w:rFonts w:ascii="宋体" w:eastAsia="宋体" w:hAnsi="宋体" w:cs="宋体" w:hint="eastAsia"/>
                <w:sz w:val="18"/>
                <w:szCs w:val="18"/>
              </w:rPr>
            </w:pPr>
            <w:r>
              <w:rPr>
                <w:rFonts w:ascii="宋体" w:eastAsia="宋体" w:hAnsi="宋体" w:cs="宋体"/>
                <w:sz w:val="18"/>
                <w:szCs w:val="18"/>
              </w:rPr>
              <w:t>506,709,000.00</w:t>
            </w:r>
          </w:p>
        </w:tc>
        <w:tc>
          <w:tcPr>
            <w:tcW w:w="1508" w:type="dxa"/>
            <w:tcBorders>
              <w:top w:val="single" w:sz="2" w:space="0" w:color="auto"/>
              <w:left w:val="single" w:sz="2" w:space="0" w:color="auto"/>
              <w:bottom w:val="single" w:sz="2" w:space="0" w:color="auto"/>
              <w:right w:val="single" w:sz="2" w:space="0" w:color="auto"/>
            </w:tcBorders>
            <w:vAlign w:val="center"/>
          </w:tcPr>
          <w:p w14:paraId="06F31F01" w14:textId="77777777" w:rsidR="008825A5" w:rsidRDefault="008825A5" w:rsidP="008825A5">
            <w:pPr>
              <w:spacing w:line="240" w:lineRule="exact"/>
              <w:jc w:val="right"/>
              <w:rPr>
                <w:rFonts w:ascii="宋体" w:eastAsia="宋体" w:hAnsi="宋体" w:cs="宋体" w:hint="eastAsia"/>
                <w:sz w:val="18"/>
                <w:szCs w:val="18"/>
              </w:rPr>
            </w:pPr>
          </w:p>
        </w:tc>
        <w:tc>
          <w:tcPr>
            <w:tcW w:w="1611" w:type="dxa"/>
            <w:tcBorders>
              <w:top w:val="single" w:sz="2" w:space="0" w:color="auto"/>
              <w:left w:val="single" w:sz="2" w:space="0" w:color="auto"/>
              <w:bottom w:val="single" w:sz="2" w:space="0" w:color="auto"/>
              <w:right w:val="single" w:sz="2" w:space="0" w:color="auto"/>
            </w:tcBorders>
            <w:vAlign w:val="center"/>
          </w:tcPr>
          <w:p w14:paraId="37F91D24" w14:textId="77777777" w:rsidR="008825A5" w:rsidRDefault="008825A5" w:rsidP="008825A5">
            <w:pPr>
              <w:spacing w:line="240" w:lineRule="exact"/>
              <w:jc w:val="right"/>
              <w:rPr>
                <w:rFonts w:ascii="宋体" w:eastAsia="宋体" w:hAnsi="宋体" w:cs="宋体" w:hint="eastAsia"/>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ADFB542" w14:textId="77777777" w:rsidR="008825A5" w:rsidRDefault="008825A5" w:rsidP="008825A5">
            <w:pPr>
              <w:spacing w:line="240" w:lineRule="exact"/>
              <w:jc w:val="right"/>
              <w:rPr>
                <w:rFonts w:ascii="宋体" w:eastAsia="宋体" w:hAnsi="宋体" w:cs="宋体" w:hint="eastAsia"/>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339943F" w14:textId="1257712C" w:rsidR="008825A5" w:rsidRDefault="008825A5" w:rsidP="008825A5">
            <w:pPr>
              <w:spacing w:line="240" w:lineRule="exact"/>
              <w:rPr>
                <w:rFonts w:ascii="宋体" w:eastAsia="宋体" w:hAnsi="宋体" w:cs="宋体" w:hint="eastAsia"/>
                <w:sz w:val="18"/>
                <w:szCs w:val="18"/>
              </w:rPr>
            </w:pPr>
            <w:r>
              <w:rPr>
                <w:rFonts w:ascii="宋体" w:eastAsia="宋体" w:hAnsi="宋体" w:cs="宋体"/>
                <w:sz w:val="18"/>
                <w:szCs w:val="18"/>
              </w:rPr>
              <w:t>因专网业务暴雷，法院已中止审理</w:t>
            </w:r>
            <w:r>
              <w:rPr>
                <w:rFonts w:ascii="宋体" w:eastAsia="宋体" w:hAnsi="宋体" w:cs="宋体" w:hint="eastAsia"/>
                <w:sz w:val="18"/>
                <w:szCs w:val="18"/>
              </w:rPr>
              <w:t>，本期已核销坏账准备</w:t>
            </w:r>
            <w:r>
              <w:rPr>
                <w:rFonts w:ascii="宋体" w:eastAsia="宋体" w:hAnsi="宋体" w:cs="宋体"/>
                <w:sz w:val="18"/>
                <w:szCs w:val="18"/>
              </w:rPr>
              <w:t>。</w:t>
            </w:r>
          </w:p>
        </w:tc>
      </w:tr>
      <w:tr w:rsidR="008825A5" w14:paraId="4523AE7E" w14:textId="77777777" w:rsidTr="001F5A64">
        <w:trPr>
          <w:trHeight w:val="240"/>
        </w:trPr>
        <w:tc>
          <w:tcPr>
            <w:tcW w:w="882" w:type="dxa"/>
            <w:tcBorders>
              <w:top w:val="single" w:sz="2" w:space="0" w:color="auto"/>
              <w:left w:val="single" w:sz="2" w:space="0" w:color="auto"/>
              <w:bottom w:val="single" w:sz="2" w:space="0" w:color="auto"/>
              <w:right w:val="single" w:sz="2" w:space="0" w:color="auto"/>
            </w:tcBorders>
            <w:vAlign w:val="center"/>
          </w:tcPr>
          <w:p w14:paraId="56359892" w14:textId="77777777" w:rsidR="008825A5" w:rsidRDefault="008825A5" w:rsidP="008825A5">
            <w:pPr>
              <w:spacing w:line="240" w:lineRule="exact"/>
              <w:rPr>
                <w:rFonts w:ascii="宋体" w:eastAsia="宋体" w:hAnsi="宋体" w:cs="宋体" w:hint="eastAsia"/>
                <w:sz w:val="18"/>
                <w:szCs w:val="18"/>
              </w:rPr>
            </w:pPr>
            <w:r>
              <w:rPr>
                <w:rFonts w:ascii="宋体" w:eastAsia="宋体" w:hAnsi="宋体" w:cs="宋体"/>
                <w:sz w:val="18"/>
                <w:szCs w:val="18"/>
              </w:rPr>
              <w:t>客户21</w:t>
            </w:r>
          </w:p>
        </w:tc>
        <w:tc>
          <w:tcPr>
            <w:tcW w:w="1701" w:type="dxa"/>
            <w:tcBorders>
              <w:top w:val="single" w:sz="2" w:space="0" w:color="auto"/>
              <w:left w:val="single" w:sz="2" w:space="0" w:color="auto"/>
              <w:bottom w:val="single" w:sz="2" w:space="0" w:color="auto"/>
              <w:right w:val="single" w:sz="2" w:space="0" w:color="auto"/>
            </w:tcBorders>
            <w:vAlign w:val="center"/>
          </w:tcPr>
          <w:p w14:paraId="612B0190" w14:textId="77777777" w:rsidR="008825A5" w:rsidRDefault="008825A5" w:rsidP="008825A5">
            <w:pPr>
              <w:spacing w:line="240" w:lineRule="exact"/>
              <w:jc w:val="right"/>
              <w:rPr>
                <w:rFonts w:ascii="宋体" w:eastAsia="宋体" w:hAnsi="宋体" w:cs="宋体" w:hint="eastAsia"/>
                <w:sz w:val="18"/>
                <w:szCs w:val="18"/>
              </w:rPr>
            </w:pPr>
            <w:r>
              <w:rPr>
                <w:rFonts w:ascii="宋体" w:eastAsia="宋体" w:hAnsi="宋体" w:cs="宋体"/>
                <w:sz w:val="18"/>
                <w:szCs w:val="18"/>
              </w:rPr>
              <w:t>16,965,030.00</w:t>
            </w:r>
          </w:p>
        </w:tc>
        <w:tc>
          <w:tcPr>
            <w:tcW w:w="1559" w:type="dxa"/>
            <w:tcBorders>
              <w:top w:val="single" w:sz="2" w:space="0" w:color="auto"/>
              <w:left w:val="single" w:sz="2" w:space="0" w:color="auto"/>
              <w:bottom w:val="single" w:sz="2" w:space="0" w:color="auto"/>
              <w:right w:val="single" w:sz="2" w:space="0" w:color="auto"/>
            </w:tcBorders>
            <w:vAlign w:val="center"/>
          </w:tcPr>
          <w:p w14:paraId="49E7DA10" w14:textId="77777777" w:rsidR="008825A5" w:rsidRDefault="008825A5" w:rsidP="008825A5">
            <w:pPr>
              <w:spacing w:line="240" w:lineRule="exact"/>
              <w:jc w:val="right"/>
              <w:rPr>
                <w:rFonts w:ascii="宋体" w:eastAsia="宋体" w:hAnsi="宋体" w:cs="宋体" w:hint="eastAsia"/>
                <w:sz w:val="18"/>
                <w:szCs w:val="18"/>
              </w:rPr>
            </w:pPr>
            <w:r>
              <w:rPr>
                <w:rFonts w:ascii="宋体" w:eastAsia="宋体" w:hAnsi="宋体" w:cs="宋体"/>
                <w:sz w:val="18"/>
                <w:szCs w:val="18"/>
              </w:rPr>
              <w:t>16,965,030.00</w:t>
            </w:r>
          </w:p>
        </w:tc>
        <w:tc>
          <w:tcPr>
            <w:tcW w:w="1508" w:type="dxa"/>
            <w:tcBorders>
              <w:top w:val="single" w:sz="2" w:space="0" w:color="auto"/>
              <w:left w:val="single" w:sz="2" w:space="0" w:color="auto"/>
              <w:bottom w:val="single" w:sz="2" w:space="0" w:color="auto"/>
              <w:right w:val="single" w:sz="2" w:space="0" w:color="auto"/>
            </w:tcBorders>
            <w:vAlign w:val="center"/>
          </w:tcPr>
          <w:p w14:paraId="5EA56F1A" w14:textId="77777777" w:rsidR="008825A5" w:rsidRDefault="008825A5" w:rsidP="008825A5">
            <w:pPr>
              <w:spacing w:line="240" w:lineRule="exact"/>
              <w:jc w:val="right"/>
              <w:rPr>
                <w:rFonts w:ascii="宋体" w:eastAsia="宋体" w:hAnsi="宋体" w:cs="宋体" w:hint="eastAsia"/>
                <w:sz w:val="18"/>
                <w:szCs w:val="18"/>
              </w:rPr>
            </w:pPr>
          </w:p>
        </w:tc>
        <w:tc>
          <w:tcPr>
            <w:tcW w:w="1611" w:type="dxa"/>
            <w:tcBorders>
              <w:top w:val="single" w:sz="2" w:space="0" w:color="auto"/>
              <w:left w:val="single" w:sz="2" w:space="0" w:color="auto"/>
              <w:bottom w:val="single" w:sz="2" w:space="0" w:color="auto"/>
              <w:right w:val="single" w:sz="2" w:space="0" w:color="auto"/>
            </w:tcBorders>
            <w:vAlign w:val="center"/>
          </w:tcPr>
          <w:p w14:paraId="0BA429BE" w14:textId="77777777" w:rsidR="008825A5" w:rsidRDefault="008825A5" w:rsidP="008825A5">
            <w:pPr>
              <w:spacing w:line="240" w:lineRule="exact"/>
              <w:jc w:val="right"/>
              <w:rPr>
                <w:rFonts w:ascii="宋体" w:eastAsia="宋体" w:hAnsi="宋体" w:cs="宋体" w:hint="eastAsia"/>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3E203B7" w14:textId="77777777" w:rsidR="008825A5" w:rsidRDefault="008825A5" w:rsidP="008825A5">
            <w:pPr>
              <w:spacing w:line="240" w:lineRule="exact"/>
              <w:jc w:val="right"/>
              <w:rPr>
                <w:rFonts w:ascii="宋体" w:eastAsia="宋体" w:hAnsi="宋体" w:cs="宋体" w:hint="eastAsia"/>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0B544F9" w14:textId="153D172D" w:rsidR="008825A5" w:rsidRDefault="008825A5" w:rsidP="008825A5">
            <w:pPr>
              <w:spacing w:line="240" w:lineRule="exact"/>
              <w:rPr>
                <w:rFonts w:ascii="宋体" w:eastAsia="宋体" w:hAnsi="宋体" w:cs="宋体" w:hint="eastAsia"/>
                <w:sz w:val="18"/>
                <w:szCs w:val="18"/>
              </w:rPr>
            </w:pPr>
            <w:r>
              <w:rPr>
                <w:rFonts w:ascii="宋体" w:eastAsia="宋体" w:hAnsi="宋体" w:cs="宋体" w:hint="eastAsia"/>
                <w:sz w:val="18"/>
                <w:szCs w:val="18"/>
              </w:rPr>
              <w:t>长期未收回，本期已核销坏账准</w:t>
            </w:r>
            <w:r>
              <w:rPr>
                <w:rFonts w:ascii="宋体" w:eastAsia="宋体" w:hAnsi="宋体" w:cs="宋体"/>
                <w:sz w:val="18"/>
                <w:szCs w:val="18"/>
              </w:rPr>
              <w:t>。</w:t>
            </w:r>
          </w:p>
        </w:tc>
      </w:tr>
      <w:tr w:rsidR="008825A5" w14:paraId="6FBE40BA" w14:textId="77777777" w:rsidTr="001F5A64">
        <w:trPr>
          <w:trHeight w:val="240"/>
        </w:trPr>
        <w:tc>
          <w:tcPr>
            <w:tcW w:w="882" w:type="dxa"/>
            <w:tcBorders>
              <w:top w:val="single" w:sz="2" w:space="0" w:color="auto"/>
              <w:left w:val="single" w:sz="2" w:space="0" w:color="auto"/>
              <w:bottom w:val="single" w:sz="2" w:space="0" w:color="auto"/>
              <w:right w:val="single" w:sz="2" w:space="0" w:color="auto"/>
            </w:tcBorders>
            <w:vAlign w:val="center"/>
          </w:tcPr>
          <w:p w14:paraId="04E9EDCC" w14:textId="77777777" w:rsidR="008825A5" w:rsidRDefault="008825A5" w:rsidP="008825A5">
            <w:pPr>
              <w:spacing w:line="240" w:lineRule="exact"/>
              <w:rPr>
                <w:rFonts w:ascii="宋体" w:eastAsia="宋体" w:hAnsi="宋体" w:cs="宋体" w:hint="eastAsia"/>
                <w:sz w:val="18"/>
                <w:szCs w:val="18"/>
              </w:rPr>
            </w:pPr>
            <w:r>
              <w:rPr>
                <w:rFonts w:ascii="宋体" w:eastAsia="宋体" w:hAnsi="宋体" w:cs="宋体"/>
                <w:sz w:val="18"/>
                <w:szCs w:val="18"/>
              </w:rPr>
              <w:t>客户22</w:t>
            </w:r>
          </w:p>
        </w:tc>
        <w:tc>
          <w:tcPr>
            <w:tcW w:w="1701" w:type="dxa"/>
            <w:tcBorders>
              <w:top w:val="single" w:sz="2" w:space="0" w:color="auto"/>
              <w:left w:val="single" w:sz="2" w:space="0" w:color="auto"/>
              <w:bottom w:val="single" w:sz="2" w:space="0" w:color="auto"/>
              <w:right w:val="single" w:sz="2" w:space="0" w:color="auto"/>
            </w:tcBorders>
            <w:vAlign w:val="center"/>
          </w:tcPr>
          <w:p w14:paraId="1D5457C5" w14:textId="77777777" w:rsidR="008825A5" w:rsidRDefault="008825A5" w:rsidP="008825A5">
            <w:pPr>
              <w:spacing w:line="240" w:lineRule="exact"/>
              <w:jc w:val="right"/>
              <w:rPr>
                <w:rFonts w:ascii="宋体" w:eastAsia="宋体" w:hAnsi="宋体" w:cs="宋体" w:hint="eastAsia"/>
                <w:sz w:val="18"/>
                <w:szCs w:val="18"/>
              </w:rPr>
            </w:pPr>
            <w:r>
              <w:rPr>
                <w:rFonts w:ascii="宋体" w:eastAsia="宋体" w:hAnsi="宋体" w:cs="宋体"/>
                <w:sz w:val="18"/>
                <w:szCs w:val="18"/>
              </w:rPr>
              <w:t>13,305,210.83</w:t>
            </w:r>
          </w:p>
        </w:tc>
        <w:tc>
          <w:tcPr>
            <w:tcW w:w="1559" w:type="dxa"/>
            <w:tcBorders>
              <w:top w:val="single" w:sz="2" w:space="0" w:color="auto"/>
              <w:left w:val="single" w:sz="2" w:space="0" w:color="auto"/>
              <w:bottom w:val="single" w:sz="2" w:space="0" w:color="auto"/>
              <w:right w:val="single" w:sz="2" w:space="0" w:color="auto"/>
            </w:tcBorders>
            <w:vAlign w:val="center"/>
          </w:tcPr>
          <w:p w14:paraId="47B7DDEF" w14:textId="77777777" w:rsidR="008825A5" w:rsidRDefault="008825A5" w:rsidP="008825A5">
            <w:pPr>
              <w:spacing w:line="240" w:lineRule="exact"/>
              <w:jc w:val="right"/>
              <w:rPr>
                <w:rFonts w:ascii="宋体" w:eastAsia="宋体" w:hAnsi="宋体" w:cs="宋体" w:hint="eastAsia"/>
                <w:sz w:val="18"/>
                <w:szCs w:val="18"/>
              </w:rPr>
            </w:pPr>
            <w:r>
              <w:rPr>
                <w:rFonts w:ascii="宋体" w:eastAsia="宋体" w:hAnsi="宋体" w:cs="宋体"/>
                <w:sz w:val="18"/>
                <w:szCs w:val="18"/>
              </w:rPr>
              <w:t>13,305,210.83</w:t>
            </w:r>
          </w:p>
        </w:tc>
        <w:tc>
          <w:tcPr>
            <w:tcW w:w="1508" w:type="dxa"/>
            <w:tcBorders>
              <w:top w:val="single" w:sz="2" w:space="0" w:color="auto"/>
              <w:left w:val="single" w:sz="2" w:space="0" w:color="auto"/>
              <w:bottom w:val="single" w:sz="2" w:space="0" w:color="auto"/>
              <w:right w:val="single" w:sz="2" w:space="0" w:color="auto"/>
            </w:tcBorders>
            <w:vAlign w:val="center"/>
          </w:tcPr>
          <w:p w14:paraId="73C9EA98" w14:textId="77777777" w:rsidR="008825A5" w:rsidRDefault="008825A5" w:rsidP="008825A5">
            <w:pPr>
              <w:spacing w:line="240" w:lineRule="exact"/>
              <w:jc w:val="right"/>
              <w:rPr>
                <w:rFonts w:ascii="宋体" w:eastAsia="宋体" w:hAnsi="宋体" w:cs="宋体" w:hint="eastAsia"/>
                <w:sz w:val="18"/>
                <w:szCs w:val="18"/>
              </w:rPr>
            </w:pPr>
          </w:p>
        </w:tc>
        <w:tc>
          <w:tcPr>
            <w:tcW w:w="1611" w:type="dxa"/>
            <w:tcBorders>
              <w:top w:val="single" w:sz="2" w:space="0" w:color="auto"/>
              <w:left w:val="single" w:sz="2" w:space="0" w:color="auto"/>
              <w:bottom w:val="single" w:sz="2" w:space="0" w:color="auto"/>
              <w:right w:val="single" w:sz="2" w:space="0" w:color="auto"/>
            </w:tcBorders>
            <w:vAlign w:val="center"/>
          </w:tcPr>
          <w:p w14:paraId="2439C215" w14:textId="77777777" w:rsidR="008825A5" w:rsidRDefault="008825A5" w:rsidP="008825A5">
            <w:pPr>
              <w:spacing w:line="240" w:lineRule="exact"/>
              <w:jc w:val="right"/>
              <w:rPr>
                <w:rFonts w:ascii="宋体" w:eastAsia="宋体" w:hAnsi="宋体" w:cs="宋体" w:hint="eastAsia"/>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56D752A7" w14:textId="77777777" w:rsidR="008825A5" w:rsidRDefault="008825A5" w:rsidP="008825A5">
            <w:pPr>
              <w:spacing w:line="240" w:lineRule="exact"/>
              <w:jc w:val="right"/>
              <w:rPr>
                <w:rFonts w:ascii="宋体" w:eastAsia="宋体" w:hAnsi="宋体" w:cs="宋体" w:hint="eastAsia"/>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D8AC542" w14:textId="4586FA38" w:rsidR="008825A5" w:rsidRDefault="008825A5" w:rsidP="008825A5">
            <w:pPr>
              <w:spacing w:line="240" w:lineRule="exact"/>
              <w:rPr>
                <w:rFonts w:ascii="宋体" w:eastAsia="宋体" w:hAnsi="宋体" w:cs="宋体" w:hint="eastAsia"/>
                <w:sz w:val="18"/>
                <w:szCs w:val="18"/>
              </w:rPr>
            </w:pPr>
            <w:r>
              <w:rPr>
                <w:rFonts w:ascii="宋体" w:eastAsia="宋体" w:hAnsi="宋体" w:cs="宋体" w:hint="eastAsia"/>
                <w:sz w:val="18"/>
                <w:szCs w:val="18"/>
              </w:rPr>
              <w:t>长期未收回，本期已核销坏账准</w:t>
            </w:r>
            <w:r>
              <w:rPr>
                <w:rFonts w:ascii="宋体" w:eastAsia="宋体" w:hAnsi="宋体" w:cs="宋体"/>
                <w:sz w:val="18"/>
                <w:szCs w:val="18"/>
              </w:rPr>
              <w:t>。</w:t>
            </w:r>
          </w:p>
        </w:tc>
      </w:tr>
      <w:tr w:rsidR="008825A5" w14:paraId="5DDE6654" w14:textId="77777777" w:rsidTr="001F5A64">
        <w:trPr>
          <w:trHeight w:val="240"/>
        </w:trPr>
        <w:tc>
          <w:tcPr>
            <w:tcW w:w="882" w:type="dxa"/>
            <w:tcBorders>
              <w:top w:val="single" w:sz="2" w:space="0" w:color="auto"/>
              <w:left w:val="single" w:sz="2" w:space="0" w:color="auto"/>
              <w:bottom w:val="single" w:sz="2" w:space="0" w:color="auto"/>
              <w:right w:val="single" w:sz="2" w:space="0" w:color="auto"/>
            </w:tcBorders>
            <w:vAlign w:val="center"/>
          </w:tcPr>
          <w:p w14:paraId="70C611E9" w14:textId="77777777" w:rsidR="008825A5" w:rsidRDefault="008825A5" w:rsidP="008825A5">
            <w:pPr>
              <w:spacing w:line="240" w:lineRule="exact"/>
              <w:rPr>
                <w:rFonts w:ascii="宋体" w:eastAsia="宋体" w:hAnsi="宋体" w:cs="宋体" w:hint="eastAsia"/>
                <w:sz w:val="18"/>
                <w:szCs w:val="18"/>
              </w:rPr>
            </w:pPr>
            <w:r>
              <w:rPr>
                <w:rFonts w:ascii="宋体" w:eastAsia="宋体" w:hAnsi="宋体" w:cs="宋体"/>
                <w:sz w:val="18"/>
                <w:szCs w:val="18"/>
              </w:rPr>
              <w:t>客户23</w:t>
            </w:r>
          </w:p>
        </w:tc>
        <w:tc>
          <w:tcPr>
            <w:tcW w:w="1701" w:type="dxa"/>
            <w:tcBorders>
              <w:top w:val="single" w:sz="2" w:space="0" w:color="auto"/>
              <w:left w:val="single" w:sz="2" w:space="0" w:color="auto"/>
              <w:bottom w:val="single" w:sz="2" w:space="0" w:color="auto"/>
              <w:right w:val="single" w:sz="2" w:space="0" w:color="auto"/>
            </w:tcBorders>
            <w:vAlign w:val="center"/>
          </w:tcPr>
          <w:p w14:paraId="79A9F8AC" w14:textId="77777777" w:rsidR="008825A5" w:rsidRDefault="008825A5" w:rsidP="008825A5">
            <w:pPr>
              <w:spacing w:line="240" w:lineRule="exact"/>
              <w:jc w:val="right"/>
              <w:rPr>
                <w:rFonts w:ascii="宋体" w:eastAsia="宋体" w:hAnsi="宋体" w:cs="宋体" w:hint="eastAsia"/>
                <w:sz w:val="18"/>
                <w:szCs w:val="18"/>
              </w:rPr>
            </w:pPr>
            <w:r>
              <w:rPr>
                <w:rFonts w:ascii="宋体" w:eastAsia="宋体" w:hAnsi="宋体" w:cs="宋体"/>
                <w:sz w:val="18"/>
                <w:szCs w:val="18"/>
              </w:rPr>
              <w:t>10,313,195.90</w:t>
            </w:r>
          </w:p>
        </w:tc>
        <w:tc>
          <w:tcPr>
            <w:tcW w:w="1559" w:type="dxa"/>
            <w:tcBorders>
              <w:top w:val="single" w:sz="2" w:space="0" w:color="auto"/>
              <w:left w:val="single" w:sz="2" w:space="0" w:color="auto"/>
              <w:bottom w:val="single" w:sz="2" w:space="0" w:color="auto"/>
              <w:right w:val="single" w:sz="2" w:space="0" w:color="auto"/>
            </w:tcBorders>
            <w:vAlign w:val="center"/>
          </w:tcPr>
          <w:p w14:paraId="08B5E762" w14:textId="77777777" w:rsidR="008825A5" w:rsidRDefault="008825A5" w:rsidP="008825A5">
            <w:pPr>
              <w:spacing w:line="240" w:lineRule="exact"/>
              <w:jc w:val="right"/>
              <w:rPr>
                <w:rFonts w:ascii="宋体" w:eastAsia="宋体" w:hAnsi="宋体" w:cs="宋体" w:hint="eastAsia"/>
                <w:sz w:val="18"/>
                <w:szCs w:val="18"/>
              </w:rPr>
            </w:pPr>
            <w:r>
              <w:rPr>
                <w:rFonts w:ascii="宋体" w:eastAsia="宋体" w:hAnsi="宋体" w:cs="宋体"/>
                <w:sz w:val="18"/>
                <w:szCs w:val="18"/>
              </w:rPr>
              <w:t>10,313,195.90</w:t>
            </w:r>
          </w:p>
        </w:tc>
        <w:tc>
          <w:tcPr>
            <w:tcW w:w="1508" w:type="dxa"/>
            <w:tcBorders>
              <w:top w:val="single" w:sz="2" w:space="0" w:color="auto"/>
              <w:left w:val="single" w:sz="2" w:space="0" w:color="auto"/>
              <w:bottom w:val="single" w:sz="2" w:space="0" w:color="auto"/>
              <w:right w:val="single" w:sz="2" w:space="0" w:color="auto"/>
            </w:tcBorders>
            <w:vAlign w:val="center"/>
          </w:tcPr>
          <w:p w14:paraId="457A48AF" w14:textId="77777777" w:rsidR="008825A5" w:rsidRDefault="008825A5" w:rsidP="008825A5">
            <w:pPr>
              <w:spacing w:line="240" w:lineRule="exact"/>
              <w:jc w:val="right"/>
              <w:rPr>
                <w:rFonts w:ascii="宋体" w:eastAsia="宋体" w:hAnsi="宋体" w:cs="宋体" w:hint="eastAsia"/>
                <w:sz w:val="18"/>
                <w:szCs w:val="18"/>
              </w:rPr>
            </w:pPr>
          </w:p>
        </w:tc>
        <w:tc>
          <w:tcPr>
            <w:tcW w:w="1611" w:type="dxa"/>
            <w:tcBorders>
              <w:top w:val="single" w:sz="2" w:space="0" w:color="auto"/>
              <w:left w:val="single" w:sz="2" w:space="0" w:color="auto"/>
              <w:bottom w:val="single" w:sz="2" w:space="0" w:color="auto"/>
              <w:right w:val="single" w:sz="2" w:space="0" w:color="auto"/>
            </w:tcBorders>
            <w:vAlign w:val="center"/>
          </w:tcPr>
          <w:p w14:paraId="7F43303F" w14:textId="77777777" w:rsidR="008825A5" w:rsidRDefault="008825A5" w:rsidP="008825A5">
            <w:pPr>
              <w:spacing w:line="240" w:lineRule="exact"/>
              <w:jc w:val="right"/>
              <w:rPr>
                <w:rFonts w:ascii="宋体" w:eastAsia="宋体" w:hAnsi="宋体" w:cs="宋体" w:hint="eastAsia"/>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4F9ED673" w14:textId="77777777" w:rsidR="008825A5" w:rsidRDefault="008825A5" w:rsidP="008825A5">
            <w:pPr>
              <w:spacing w:line="240" w:lineRule="exact"/>
              <w:jc w:val="right"/>
              <w:rPr>
                <w:rFonts w:ascii="宋体" w:eastAsia="宋体" w:hAnsi="宋体" w:cs="宋体" w:hint="eastAsia"/>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B95D378" w14:textId="5C40F01B" w:rsidR="008825A5" w:rsidRDefault="008825A5" w:rsidP="008825A5">
            <w:pPr>
              <w:spacing w:line="240" w:lineRule="exact"/>
              <w:rPr>
                <w:rFonts w:ascii="宋体" w:eastAsia="宋体" w:hAnsi="宋体" w:cs="宋体" w:hint="eastAsia"/>
                <w:sz w:val="18"/>
                <w:szCs w:val="18"/>
              </w:rPr>
            </w:pPr>
            <w:r>
              <w:rPr>
                <w:rFonts w:ascii="宋体" w:eastAsia="宋体" w:hAnsi="宋体" w:cs="宋体" w:hint="eastAsia"/>
                <w:sz w:val="18"/>
                <w:szCs w:val="18"/>
              </w:rPr>
              <w:t>长期未收回，本期已核销坏账准</w:t>
            </w:r>
            <w:r>
              <w:rPr>
                <w:rFonts w:ascii="宋体" w:eastAsia="宋体" w:hAnsi="宋体" w:cs="宋体"/>
                <w:sz w:val="18"/>
                <w:szCs w:val="18"/>
              </w:rPr>
              <w:t>。</w:t>
            </w:r>
          </w:p>
        </w:tc>
      </w:tr>
      <w:tr w:rsidR="00632E5B" w14:paraId="50849F9D" w14:textId="77777777" w:rsidTr="001F5A64">
        <w:trPr>
          <w:trHeight w:val="240"/>
        </w:trPr>
        <w:tc>
          <w:tcPr>
            <w:tcW w:w="882" w:type="dxa"/>
            <w:tcBorders>
              <w:top w:val="single" w:sz="2" w:space="0" w:color="auto"/>
              <w:left w:val="single" w:sz="2" w:space="0" w:color="auto"/>
              <w:bottom w:val="single" w:sz="2" w:space="0" w:color="auto"/>
              <w:right w:val="single" w:sz="2" w:space="0" w:color="auto"/>
            </w:tcBorders>
            <w:vAlign w:val="center"/>
          </w:tcPr>
          <w:p w14:paraId="3808862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1701" w:type="dxa"/>
            <w:tcBorders>
              <w:top w:val="single" w:sz="2" w:space="0" w:color="auto"/>
              <w:left w:val="single" w:sz="2" w:space="0" w:color="auto"/>
              <w:bottom w:val="single" w:sz="2" w:space="0" w:color="auto"/>
              <w:right w:val="single" w:sz="2" w:space="0" w:color="auto"/>
            </w:tcBorders>
            <w:vAlign w:val="center"/>
          </w:tcPr>
          <w:p w14:paraId="3A0F2D4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60,534,153.99</w:t>
            </w:r>
          </w:p>
        </w:tc>
        <w:tc>
          <w:tcPr>
            <w:tcW w:w="1559" w:type="dxa"/>
            <w:tcBorders>
              <w:top w:val="single" w:sz="2" w:space="0" w:color="auto"/>
              <w:left w:val="single" w:sz="2" w:space="0" w:color="auto"/>
              <w:bottom w:val="single" w:sz="2" w:space="0" w:color="auto"/>
              <w:right w:val="single" w:sz="2" w:space="0" w:color="auto"/>
            </w:tcBorders>
            <w:vAlign w:val="center"/>
          </w:tcPr>
          <w:p w14:paraId="7348F5F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33,920,377.14</w:t>
            </w:r>
          </w:p>
        </w:tc>
        <w:tc>
          <w:tcPr>
            <w:tcW w:w="1508" w:type="dxa"/>
            <w:tcBorders>
              <w:top w:val="single" w:sz="2" w:space="0" w:color="auto"/>
              <w:left w:val="single" w:sz="2" w:space="0" w:color="auto"/>
              <w:bottom w:val="single" w:sz="2" w:space="0" w:color="auto"/>
              <w:right w:val="single" w:sz="2" w:space="0" w:color="auto"/>
            </w:tcBorders>
            <w:vAlign w:val="center"/>
          </w:tcPr>
          <w:p w14:paraId="5110607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68,899,853.22</w:t>
            </w:r>
          </w:p>
        </w:tc>
        <w:tc>
          <w:tcPr>
            <w:tcW w:w="1611" w:type="dxa"/>
            <w:tcBorders>
              <w:top w:val="single" w:sz="2" w:space="0" w:color="auto"/>
              <w:left w:val="single" w:sz="2" w:space="0" w:color="auto"/>
              <w:bottom w:val="single" w:sz="2" w:space="0" w:color="auto"/>
              <w:right w:val="single" w:sz="2" w:space="0" w:color="auto"/>
            </w:tcBorders>
            <w:vAlign w:val="center"/>
          </w:tcPr>
          <w:p w14:paraId="7C51925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63,623,519.45</w:t>
            </w:r>
          </w:p>
        </w:tc>
        <w:tc>
          <w:tcPr>
            <w:tcW w:w="850" w:type="dxa"/>
            <w:tcBorders>
              <w:top w:val="single" w:sz="2" w:space="0" w:color="auto"/>
              <w:left w:val="single" w:sz="2" w:space="0" w:color="auto"/>
              <w:bottom w:val="single" w:sz="2" w:space="0" w:color="auto"/>
              <w:right w:val="single" w:sz="2" w:space="0" w:color="auto"/>
            </w:tcBorders>
            <w:vAlign w:val="center"/>
          </w:tcPr>
          <w:p w14:paraId="6068F18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92.34%</w:t>
            </w:r>
          </w:p>
        </w:tc>
        <w:tc>
          <w:tcPr>
            <w:tcW w:w="1417" w:type="dxa"/>
            <w:tcBorders>
              <w:top w:val="single" w:sz="2" w:space="0" w:color="auto"/>
              <w:left w:val="single" w:sz="2" w:space="0" w:color="auto"/>
              <w:bottom w:val="single" w:sz="2" w:space="0" w:color="auto"/>
              <w:right w:val="single" w:sz="2" w:space="0" w:color="auto"/>
            </w:tcBorders>
            <w:vAlign w:val="center"/>
          </w:tcPr>
          <w:p w14:paraId="35065F5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综合考量回款情况，预计回收金额后单项计提坏账。</w:t>
            </w:r>
          </w:p>
        </w:tc>
      </w:tr>
      <w:tr w:rsidR="00632E5B" w14:paraId="56E0AA02" w14:textId="77777777" w:rsidTr="001F5A64">
        <w:trPr>
          <w:trHeight w:val="240"/>
        </w:trPr>
        <w:tc>
          <w:tcPr>
            <w:tcW w:w="88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AEC326A"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70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256C0F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1,174,894,943.14</w:t>
            </w:r>
          </w:p>
        </w:tc>
        <w:tc>
          <w:tcPr>
            <w:tcW w:w="155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535568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934,575,270.16</w:t>
            </w:r>
          </w:p>
        </w:tc>
        <w:tc>
          <w:tcPr>
            <w:tcW w:w="150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A45B65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750,724,408.90</w:t>
            </w:r>
          </w:p>
        </w:tc>
        <w:tc>
          <w:tcPr>
            <w:tcW w:w="161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F6FEE4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720,041,527.83</w:t>
            </w:r>
          </w:p>
        </w:tc>
        <w:tc>
          <w:tcPr>
            <w:tcW w:w="85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4161EF9" w14:textId="77777777" w:rsidR="00632E5B" w:rsidRDefault="00632E5B"/>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FAEFB04" w14:textId="77777777" w:rsidR="00632E5B" w:rsidRDefault="00632E5B"/>
        </w:tc>
      </w:tr>
    </w:tbl>
    <w:p w14:paraId="03E6FB9A"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按组合计提坏账准备：27,337,242.33</w:t>
      </w:r>
    </w:p>
    <w:p w14:paraId="4F4EF380"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632E5B" w14:paraId="3DA033CD" w14:textId="77777777" w:rsidTr="001F5A64">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2E043F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09BA1F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632E5B" w14:paraId="7803DC3A" w14:textId="77777777" w:rsidTr="001F5A64">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5F0217B" w14:textId="77777777" w:rsidR="00632E5B" w:rsidRDefault="00632E5B"/>
        </w:tc>
        <w:tc>
          <w:tcPr>
            <w:tcW w:w="241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84135A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8B392C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C12604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计提比例</w:t>
            </w:r>
          </w:p>
        </w:tc>
      </w:tr>
      <w:tr w:rsidR="00632E5B" w14:paraId="0DB490C4" w14:textId="77777777" w:rsidTr="001F5A6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724A0D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应收国家电网电费及补贴款组合</w:t>
            </w:r>
          </w:p>
        </w:tc>
        <w:tc>
          <w:tcPr>
            <w:tcW w:w="241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33C51F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31,691,931.68</w:t>
            </w:r>
          </w:p>
        </w:tc>
        <w:tc>
          <w:tcPr>
            <w:tcW w:w="241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C217176" w14:textId="77777777" w:rsidR="00632E5B" w:rsidRDefault="00632E5B">
            <w:pPr>
              <w:spacing w:line="240" w:lineRule="exact"/>
              <w:jc w:val="right"/>
              <w:rPr>
                <w:rFonts w:ascii="宋体" w:eastAsia="宋体" w:hAnsi="宋体" w:cs="宋体" w:hint="eastAsia"/>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A0A7197" w14:textId="77777777" w:rsidR="00632E5B" w:rsidRDefault="00632E5B">
            <w:pPr>
              <w:spacing w:line="240" w:lineRule="exact"/>
              <w:jc w:val="right"/>
              <w:rPr>
                <w:rFonts w:ascii="宋体" w:eastAsia="宋体" w:hAnsi="宋体" w:cs="宋体" w:hint="eastAsia"/>
                <w:sz w:val="18"/>
                <w:szCs w:val="18"/>
              </w:rPr>
            </w:pPr>
          </w:p>
        </w:tc>
      </w:tr>
      <w:tr w:rsidR="00632E5B" w14:paraId="4675EC79" w14:textId="77777777" w:rsidTr="001F5A6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32259B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逾期账龄组合</w:t>
            </w:r>
          </w:p>
        </w:tc>
        <w:tc>
          <w:tcPr>
            <w:tcW w:w="241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7D78E6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572,495,206.34</w:t>
            </w:r>
          </w:p>
        </w:tc>
        <w:tc>
          <w:tcPr>
            <w:tcW w:w="241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37EDA9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27,337,242.33</w:t>
            </w:r>
          </w:p>
        </w:tc>
        <w:tc>
          <w:tcPr>
            <w:tcW w:w="241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49580A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4.78%</w:t>
            </w:r>
          </w:p>
        </w:tc>
      </w:tr>
      <w:tr w:rsidR="00632E5B" w14:paraId="2F71FA97" w14:textId="77777777" w:rsidTr="001F5A6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4FDBB52"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507F8B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604,187,138.02</w:t>
            </w:r>
          </w:p>
        </w:tc>
        <w:tc>
          <w:tcPr>
            <w:tcW w:w="241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DDCE8E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27,337,242.33</w:t>
            </w:r>
          </w:p>
        </w:tc>
        <w:tc>
          <w:tcPr>
            <w:tcW w:w="241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EDFEC1D" w14:textId="0E2FA159" w:rsidR="00632E5B" w:rsidRDefault="00E53E0D" w:rsidP="00E53E0D">
            <w:pPr>
              <w:spacing w:line="240" w:lineRule="exact"/>
              <w:jc w:val="right"/>
            </w:pPr>
            <w:r w:rsidRPr="00E53E0D">
              <w:rPr>
                <w:rFonts w:ascii="宋体" w:eastAsia="宋体" w:hAnsi="宋体" w:cs="宋体" w:hint="eastAsia"/>
                <w:sz w:val="18"/>
                <w:szCs w:val="18"/>
              </w:rPr>
              <w:t>4.52%</w:t>
            </w:r>
          </w:p>
        </w:tc>
      </w:tr>
    </w:tbl>
    <w:p w14:paraId="42A73578"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确定该组合依据的说明：</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1"/>
        <w:gridCol w:w="1609"/>
        <w:gridCol w:w="1827"/>
        <w:gridCol w:w="1164"/>
        <w:gridCol w:w="1552"/>
        <w:gridCol w:w="1263"/>
        <w:gridCol w:w="744"/>
      </w:tblGrid>
      <w:tr w:rsidR="00E72F0C" w14:paraId="7340BDA0" w14:textId="77777777" w:rsidTr="000E7353">
        <w:trPr>
          <w:divId w:val="756949376"/>
          <w:trHeight w:val="285"/>
        </w:trPr>
        <w:tc>
          <w:tcPr>
            <w:tcW w:w="1561" w:type="dxa"/>
            <w:vMerge w:val="restart"/>
            <w:noWrap/>
            <w:tcMar>
              <w:top w:w="15" w:type="dxa"/>
              <w:left w:w="15" w:type="dxa"/>
              <w:bottom w:w="0" w:type="dxa"/>
              <w:right w:w="15" w:type="dxa"/>
            </w:tcMar>
            <w:vAlign w:val="center"/>
            <w:hideMark/>
          </w:tcPr>
          <w:p w14:paraId="23BB026E"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逾期账龄</w:t>
            </w:r>
          </w:p>
        </w:tc>
        <w:tc>
          <w:tcPr>
            <w:tcW w:w="4530" w:type="dxa"/>
            <w:gridSpan w:val="3"/>
            <w:noWrap/>
            <w:tcMar>
              <w:top w:w="15" w:type="dxa"/>
              <w:left w:w="15" w:type="dxa"/>
              <w:bottom w:w="0" w:type="dxa"/>
              <w:right w:w="15" w:type="dxa"/>
            </w:tcMar>
            <w:vAlign w:val="center"/>
            <w:hideMark/>
          </w:tcPr>
          <w:p w14:paraId="5858F486"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期末余额</w:t>
            </w:r>
          </w:p>
        </w:tc>
        <w:tc>
          <w:tcPr>
            <w:tcW w:w="3629" w:type="dxa"/>
            <w:gridSpan w:val="3"/>
            <w:tcMar>
              <w:top w:w="15" w:type="dxa"/>
              <w:left w:w="15" w:type="dxa"/>
              <w:bottom w:w="0" w:type="dxa"/>
              <w:right w:w="15" w:type="dxa"/>
            </w:tcMar>
            <w:vAlign w:val="center"/>
            <w:hideMark/>
          </w:tcPr>
          <w:p w14:paraId="67A9AC38"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期初余额</w:t>
            </w:r>
          </w:p>
        </w:tc>
      </w:tr>
      <w:tr w:rsidR="00E72F0C" w14:paraId="52DFCEAF" w14:textId="77777777" w:rsidTr="000E7353">
        <w:trPr>
          <w:divId w:val="756949376"/>
          <w:trHeight w:val="285"/>
        </w:trPr>
        <w:tc>
          <w:tcPr>
            <w:tcW w:w="0" w:type="auto"/>
            <w:vMerge/>
            <w:vAlign w:val="center"/>
            <w:hideMark/>
          </w:tcPr>
          <w:p w14:paraId="15B7A8CD" w14:textId="77777777" w:rsidR="00E72F0C" w:rsidRDefault="00E72F0C">
            <w:pPr>
              <w:rPr>
                <w:rFonts w:ascii="Calibri" w:eastAsia="宋体" w:hAnsi="Calibri" w:cs="Calibri"/>
                <w:szCs w:val="21"/>
              </w:rPr>
            </w:pPr>
          </w:p>
        </w:tc>
        <w:tc>
          <w:tcPr>
            <w:tcW w:w="0" w:type="auto"/>
            <w:noWrap/>
            <w:tcMar>
              <w:top w:w="15" w:type="dxa"/>
              <w:left w:w="15" w:type="dxa"/>
              <w:bottom w:w="0" w:type="dxa"/>
              <w:right w:w="15" w:type="dxa"/>
            </w:tcMar>
            <w:vAlign w:val="center"/>
            <w:hideMark/>
          </w:tcPr>
          <w:p w14:paraId="41D375BF"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账面余额</w:t>
            </w:r>
          </w:p>
        </w:tc>
        <w:tc>
          <w:tcPr>
            <w:tcW w:w="1729" w:type="dxa"/>
            <w:tcMar>
              <w:top w:w="15" w:type="dxa"/>
              <w:left w:w="15" w:type="dxa"/>
              <w:bottom w:w="0" w:type="dxa"/>
              <w:right w:w="15" w:type="dxa"/>
            </w:tcMar>
            <w:vAlign w:val="center"/>
            <w:hideMark/>
          </w:tcPr>
          <w:p w14:paraId="6858FFD8"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坏账准备</w:t>
            </w:r>
          </w:p>
        </w:tc>
        <w:tc>
          <w:tcPr>
            <w:tcW w:w="1184" w:type="dxa"/>
            <w:tcMar>
              <w:top w:w="15" w:type="dxa"/>
              <w:left w:w="15" w:type="dxa"/>
              <w:bottom w:w="0" w:type="dxa"/>
              <w:right w:w="15" w:type="dxa"/>
            </w:tcMar>
            <w:vAlign w:val="center"/>
            <w:hideMark/>
          </w:tcPr>
          <w:p w14:paraId="395BEB0B"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计提比例(%)</w:t>
            </w:r>
          </w:p>
        </w:tc>
        <w:tc>
          <w:tcPr>
            <w:tcW w:w="1552" w:type="dxa"/>
            <w:tcMar>
              <w:top w:w="15" w:type="dxa"/>
              <w:left w:w="15" w:type="dxa"/>
              <w:bottom w:w="0" w:type="dxa"/>
              <w:right w:w="15" w:type="dxa"/>
            </w:tcMar>
            <w:vAlign w:val="center"/>
            <w:hideMark/>
          </w:tcPr>
          <w:p w14:paraId="1654DC37"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账面余额</w:t>
            </w:r>
          </w:p>
        </w:tc>
        <w:tc>
          <w:tcPr>
            <w:tcW w:w="1282" w:type="dxa"/>
            <w:tcMar>
              <w:top w:w="15" w:type="dxa"/>
              <w:left w:w="15" w:type="dxa"/>
              <w:bottom w:w="0" w:type="dxa"/>
              <w:right w:w="15" w:type="dxa"/>
            </w:tcMar>
            <w:vAlign w:val="center"/>
            <w:hideMark/>
          </w:tcPr>
          <w:p w14:paraId="5090EDF1"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坏账准备</w:t>
            </w:r>
          </w:p>
        </w:tc>
        <w:tc>
          <w:tcPr>
            <w:tcW w:w="795" w:type="dxa"/>
            <w:tcMar>
              <w:top w:w="15" w:type="dxa"/>
              <w:left w:w="15" w:type="dxa"/>
              <w:bottom w:w="0" w:type="dxa"/>
              <w:right w:w="15" w:type="dxa"/>
            </w:tcMar>
            <w:vAlign w:val="center"/>
            <w:hideMark/>
          </w:tcPr>
          <w:p w14:paraId="630506B9"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计提比例(%)</w:t>
            </w:r>
          </w:p>
        </w:tc>
      </w:tr>
      <w:tr w:rsidR="00E72F0C" w14:paraId="0342EF29" w14:textId="77777777" w:rsidTr="000E7353">
        <w:trPr>
          <w:divId w:val="756949376"/>
          <w:trHeight w:val="285"/>
        </w:trPr>
        <w:tc>
          <w:tcPr>
            <w:tcW w:w="0" w:type="auto"/>
            <w:noWrap/>
            <w:tcMar>
              <w:top w:w="15" w:type="dxa"/>
              <w:left w:w="15" w:type="dxa"/>
              <w:bottom w:w="0" w:type="dxa"/>
              <w:right w:w="15" w:type="dxa"/>
            </w:tcMar>
            <w:vAlign w:val="center"/>
            <w:hideMark/>
          </w:tcPr>
          <w:p w14:paraId="6F08E37E"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未逾期</w:t>
            </w:r>
          </w:p>
        </w:tc>
        <w:tc>
          <w:tcPr>
            <w:tcW w:w="0" w:type="auto"/>
            <w:noWrap/>
            <w:tcMar>
              <w:top w:w="15" w:type="dxa"/>
              <w:left w:w="15" w:type="dxa"/>
              <w:bottom w:w="0" w:type="dxa"/>
              <w:right w:w="15" w:type="dxa"/>
            </w:tcMar>
            <w:vAlign w:val="center"/>
            <w:hideMark/>
          </w:tcPr>
          <w:p w14:paraId="430C4366"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501,971,756.83</w:t>
            </w:r>
          </w:p>
        </w:tc>
        <w:tc>
          <w:tcPr>
            <w:tcW w:w="1729" w:type="dxa"/>
            <w:tcMar>
              <w:top w:w="15" w:type="dxa"/>
              <w:left w:w="15" w:type="dxa"/>
              <w:bottom w:w="0" w:type="dxa"/>
              <w:right w:w="15" w:type="dxa"/>
            </w:tcMar>
            <w:vAlign w:val="center"/>
            <w:hideMark/>
          </w:tcPr>
          <w:p w14:paraId="488265D0"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10,990,504.75</w:t>
            </w:r>
          </w:p>
        </w:tc>
        <w:tc>
          <w:tcPr>
            <w:tcW w:w="1184" w:type="dxa"/>
            <w:tcMar>
              <w:top w:w="15" w:type="dxa"/>
              <w:left w:w="15" w:type="dxa"/>
              <w:bottom w:w="0" w:type="dxa"/>
              <w:right w:w="15" w:type="dxa"/>
            </w:tcMar>
            <w:vAlign w:val="center"/>
            <w:hideMark/>
          </w:tcPr>
          <w:p w14:paraId="4D88BA86"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2.19</w:t>
            </w:r>
          </w:p>
        </w:tc>
        <w:tc>
          <w:tcPr>
            <w:tcW w:w="1552" w:type="dxa"/>
            <w:noWrap/>
            <w:tcMar>
              <w:top w:w="15" w:type="dxa"/>
              <w:left w:w="15" w:type="dxa"/>
              <w:bottom w:w="0" w:type="dxa"/>
              <w:right w:w="15" w:type="dxa"/>
            </w:tcMar>
            <w:vAlign w:val="center"/>
            <w:hideMark/>
          </w:tcPr>
          <w:p w14:paraId="116877FB"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501,769,619.37</w:t>
            </w:r>
          </w:p>
        </w:tc>
        <w:tc>
          <w:tcPr>
            <w:tcW w:w="1282" w:type="dxa"/>
            <w:tcMar>
              <w:top w:w="15" w:type="dxa"/>
              <w:left w:w="15" w:type="dxa"/>
              <w:bottom w:w="0" w:type="dxa"/>
              <w:right w:w="15" w:type="dxa"/>
            </w:tcMar>
            <w:vAlign w:val="center"/>
            <w:hideMark/>
          </w:tcPr>
          <w:p w14:paraId="6FCF8EBB"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17,137,697.03</w:t>
            </w:r>
          </w:p>
        </w:tc>
        <w:tc>
          <w:tcPr>
            <w:tcW w:w="795" w:type="dxa"/>
            <w:tcMar>
              <w:top w:w="15" w:type="dxa"/>
              <w:left w:w="15" w:type="dxa"/>
              <w:bottom w:w="0" w:type="dxa"/>
              <w:right w:w="15" w:type="dxa"/>
            </w:tcMar>
            <w:vAlign w:val="center"/>
            <w:hideMark/>
          </w:tcPr>
          <w:p w14:paraId="08A37EC5"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3.42</w:t>
            </w:r>
          </w:p>
        </w:tc>
      </w:tr>
      <w:tr w:rsidR="00E72F0C" w14:paraId="27E5617B" w14:textId="77777777" w:rsidTr="000E7353">
        <w:trPr>
          <w:divId w:val="756949376"/>
          <w:trHeight w:val="285"/>
        </w:trPr>
        <w:tc>
          <w:tcPr>
            <w:tcW w:w="0" w:type="auto"/>
            <w:noWrap/>
            <w:tcMar>
              <w:top w:w="15" w:type="dxa"/>
              <w:left w:w="15" w:type="dxa"/>
              <w:bottom w:w="0" w:type="dxa"/>
              <w:right w:w="15" w:type="dxa"/>
            </w:tcMar>
            <w:vAlign w:val="center"/>
            <w:hideMark/>
          </w:tcPr>
          <w:p w14:paraId="39DDB616"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逾期1年以内</w:t>
            </w:r>
          </w:p>
        </w:tc>
        <w:tc>
          <w:tcPr>
            <w:tcW w:w="0" w:type="auto"/>
            <w:noWrap/>
            <w:tcMar>
              <w:top w:w="15" w:type="dxa"/>
              <w:left w:w="15" w:type="dxa"/>
              <w:bottom w:w="0" w:type="dxa"/>
              <w:right w:w="15" w:type="dxa"/>
            </w:tcMar>
            <w:vAlign w:val="center"/>
            <w:hideMark/>
          </w:tcPr>
          <w:p w14:paraId="099F3AB2"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62,732,140.55</w:t>
            </w:r>
          </w:p>
        </w:tc>
        <w:tc>
          <w:tcPr>
            <w:tcW w:w="1729" w:type="dxa"/>
            <w:tcMar>
              <w:top w:w="15" w:type="dxa"/>
              <w:left w:w="15" w:type="dxa"/>
              <w:bottom w:w="0" w:type="dxa"/>
              <w:right w:w="15" w:type="dxa"/>
            </w:tcMar>
            <w:vAlign w:val="center"/>
            <w:hideMark/>
          </w:tcPr>
          <w:p w14:paraId="3C9B7AD5"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11,269,510.72</w:t>
            </w:r>
          </w:p>
        </w:tc>
        <w:tc>
          <w:tcPr>
            <w:tcW w:w="1184" w:type="dxa"/>
            <w:tcMar>
              <w:top w:w="15" w:type="dxa"/>
              <w:left w:w="15" w:type="dxa"/>
              <w:bottom w:w="0" w:type="dxa"/>
              <w:right w:w="15" w:type="dxa"/>
            </w:tcMar>
            <w:vAlign w:val="center"/>
            <w:hideMark/>
          </w:tcPr>
          <w:p w14:paraId="33C411C0"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17.96</w:t>
            </w:r>
          </w:p>
        </w:tc>
        <w:tc>
          <w:tcPr>
            <w:tcW w:w="1552" w:type="dxa"/>
            <w:noWrap/>
            <w:tcMar>
              <w:top w:w="15" w:type="dxa"/>
              <w:left w:w="15" w:type="dxa"/>
              <w:bottom w:w="0" w:type="dxa"/>
              <w:right w:w="15" w:type="dxa"/>
            </w:tcMar>
            <w:vAlign w:val="center"/>
            <w:hideMark/>
          </w:tcPr>
          <w:p w14:paraId="03E9BA76"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57,262,517.59</w:t>
            </w:r>
          </w:p>
        </w:tc>
        <w:tc>
          <w:tcPr>
            <w:tcW w:w="1282" w:type="dxa"/>
            <w:tcMar>
              <w:top w:w="15" w:type="dxa"/>
              <w:left w:w="15" w:type="dxa"/>
              <w:bottom w:w="0" w:type="dxa"/>
              <w:right w:w="15" w:type="dxa"/>
            </w:tcMar>
            <w:vAlign w:val="center"/>
            <w:hideMark/>
          </w:tcPr>
          <w:p w14:paraId="38A2EDD3"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4,579,852.72</w:t>
            </w:r>
          </w:p>
        </w:tc>
        <w:tc>
          <w:tcPr>
            <w:tcW w:w="795" w:type="dxa"/>
            <w:tcMar>
              <w:top w:w="15" w:type="dxa"/>
              <w:left w:w="15" w:type="dxa"/>
              <w:bottom w:w="0" w:type="dxa"/>
              <w:right w:w="15" w:type="dxa"/>
            </w:tcMar>
            <w:vAlign w:val="center"/>
            <w:hideMark/>
          </w:tcPr>
          <w:p w14:paraId="5D8A90E4"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8.00</w:t>
            </w:r>
          </w:p>
        </w:tc>
      </w:tr>
      <w:tr w:rsidR="00E72F0C" w14:paraId="6F35CB65" w14:textId="77777777" w:rsidTr="000E7353">
        <w:trPr>
          <w:divId w:val="756949376"/>
          <w:trHeight w:val="285"/>
        </w:trPr>
        <w:tc>
          <w:tcPr>
            <w:tcW w:w="0" w:type="auto"/>
            <w:noWrap/>
            <w:tcMar>
              <w:top w:w="15" w:type="dxa"/>
              <w:left w:w="15" w:type="dxa"/>
              <w:bottom w:w="0" w:type="dxa"/>
              <w:right w:w="15" w:type="dxa"/>
            </w:tcMar>
            <w:vAlign w:val="center"/>
            <w:hideMark/>
          </w:tcPr>
          <w:p w14:paraId="25D97FAE"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逾期1-2年</w:t>
            </w:r>
          </w:p>
        </w:tc>
        <w:tc>
          <w:tcPr>
            <w:tcW w:w="0" w:type="auto"/>
            <w:noWrap/>
            <w:tcMar>
              <w:top w:w="15" w:type="dxa"/>
              <w:left w:w="15" w:type="dxa"/>
              <w:bottom w:w="0" w:type="dxa"/>
              <w:right w:w="15" w:type="dxa"/>
            </w:tcMar>
            <w:vAlign w:val="center"/>
            <w:hideMark/>
          </w:tcPr>
          <w:p w14:paraId="24040171"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2,625,515.54</w:t>
            </w:r>
          </w:p>
        </w:tc>
        <w:tc>
          <w:tcPr>
            <w:tcW w:w="1729" w:type="dxa"/>
            <w:tcMar>
              <w:top w:w="15" w:type="dxa"/>
              <w:left w:w="15" w:type="dxa"/>
              <w:bottom w:w="0" w:type="dxa"/>
              <w:right w:w="15" w:type="dxa"/>
            </w:tcMar>
            <w:vAlign w:val="center"/>
            <w:hideMark/>
          </w:tcPr>
          <w:p w14:paraId="48B80D9D"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262,551.55</w:t>
            </w:r>
          </w:p>
        </w:tc>
        <w:tc>
          <w:tcPr>
            <w:tcW w:w="1184" w:type="dxa"/>
            <w:tcMar>
              <w:top w:w="15" w:type="dxa"/>
              <w:left w:w="15" w:type="dxa"/>
              <w:bottom w:w="0" w:type="dxa"/>
              <w:right w:w="15" w:type="dxa"/>
            </w:tcMar>
            <w:vAlign w:val="center"/>
            <w:hideMark/>
          </w:tcPr>
          <w:p w14:paraId="57EF1767"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10.00</w:t>
            </w:r>
          </w:p>
        </w:tc>
        <w:tc>
          <w:tcPr>
            <w:tcW w:w="1552" w:type="dxa"/>
            <w:noWrap/>
            <w:tcMar>
              <w:top w:w="15" w:type="dxa"/>
              <w:left w:w="15" w:type="dxa"/>
              <w:bottom w:w="0" w:type="dxa"/>
              <w:right w:w="15" w:type="dxa"/>
            </w:tcMar>
            <w:vAlign w:val="center"/>
            <w:hideMark/>
          </w:tcPr>
          <w:p w14:paraId="0A619C51"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40,062,565.55</w:t>
            </w:r>
          </w:p>
        </w:tc>
        <w:tc>
          <w:tcPr>
            <w:tcW w:w="1282" w:type="dxa"/>
            <w:tcMar>
              <w:top w:w="15" w:type="dxa"/>
              <w:left w:w="15" w:type="dxa"/>
              <w:bottom w:w="0" w:type="dxa"/>
              <w:right w:w="15" w:type="dxa"/>
            </w:tcMar>
            <w:vAlign w:val="center"/>
            <w:hideMark/>
          </w:tcPr>
          <w:p w14:paraId="5DB6975B"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4,243,686.33</w:t>
            </w:r>
          </w:p>
        </w:tc>
        <w:tc>
          <w:tcPr>
            <w:tcW w:w="795" w:type="dxa"/>
            <w:tcMar>
              <w:top w:w="15" w:type="dxa"/>
              <w:left w:w="15" w:type="dxa"/>
              <w:bottom w:w="0" w:type="dxa"/>
              <w:right w:w="15" w:type="dxa"/>
            </w:tcMar>
            <w:vAlign w:val="center"/>
            <w:hideMark/>
          </w:tcPr>
          <w:p w14:paraId="40D96649"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10.59</w:t>
            </w:r>
          </w:p>
        </w:tc>
      </w:tr>
      <w:tr w:rsidR="00E72F0C" w14:paraId="76252E51" w14:textId="77777777" w:rsidTr="000E7353">
        <w:trPr>
          <w:divId w:val="756949376"/>
          <w:trHeight w:val="285"/>
        </w:trPr>
        <w:tc>
          <w:tcPr>
            <w:tcW w:w="0" w:type="auto"/>
            <w:noWrap/>
            <w:tcMar>
              <w:top w:w="15" w:type="dxa"/>
              <w:left w:w="15" w:type="dxa"/>
              <w:bottom w:w="0" w:type="dxa"/>
              <w:right w:w="15" w:type="dxa"/>
            </w:tcMar>
            <w:vAlign w:val="center"/>
            <w:hideMark/>
          </w:tcPr>
          <w:p w14:paraId="7DC8C977"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逾期2-3年</w:t>
            </w:r>
          </w:p>
        </w:tc>
        <w:tc>
          <w:tcPr>
            <w:tcW w:w="0" w:type="auto"/>
            <w:noWrap/>
            <w:tcMar>
              <w:top w:w="15" w:type="dxa"/>
              <w:left w:w="15" w:type="dxa"/>
              <w:bottom w:w="0" w:type="dxa"/>
              <w:right w:w="15" w:type="dxa"/>
            </w:tcMar>
            <w:vAlign w:val="center"/>
            <w:hideMark/>
          </w:tcPr>
          <w:p w14:paraId="1AE5CA1A"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541,765.18</w:t>
            </w:r>
          </w:p>
        </w:tc>
        <w:tc>
          <w:tcPr>
            <w:tcW w:w="1729" w:type="dxa"/>
            <w:tcMar>
              <w:top w:w="15" w:type="dxa"/>
              <w:left w:w="15" w:type="dxa"/>
              <w:bottom w:w="0" w:type="dxa"/>
              <w:right w:w="15" w:type="dxa"/>
            </w:tcMar>
            <w:vAlign w:val="center"/>
            <w:hideMark/>
          </w:tcPr>
          <w:p w14:paraId="7C870243"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190,647.07</w:t>
            </w:r>
          </w:p>
        </w:tc>
        <w:tc>
          <w:tcPr>
            <w:tcW w:w="1184" w:type="dxa"/>
            <w:tcMar>
              <w:top w:w="15" w:type="dxa"/>
              <w:left w:w="15" w:type="dxa"/>
              <w:bottom w:w="0" w:type="dxa"/>
              <w:right w:w="15" w:type="dxa"/>
            </w:tcMar>
            <w:vAlign w:val="center"/>
            <w:hideMark/>
          </w:tcPr>
          <w:p w14:paraId="626EB4BB"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35.19</w:t>
            </w:r>
          </w:p>
        </w:tc>
        <w:tc>
          <w:tcPr>
            <w:tcW w:w="1552" w:type="dxa"/>
            <w:noWrap/>
            <w:tcMar>
              <w:top w:w="15" w:type="dxa"/>
              <w:left w:w="15" w:type="dxa"/>
              <w:bottom w:w="0" w:type="dxa"/>
              <w:right w:w="15" w:type="dxa"/>
            </w:tcMar>
            <w:vAlign w:val="center"/>
            <w:hideMark/>
          </w:tcPr>
          <w:p w14:paraId="4C185575"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42,101,701.44</w:t>
            </w:r>
          </w:p>
        </w:tc>
        <w:tc>
          <w:tcPr>
            <w:tcW w:w="1282" w:type="dxa"/>
            <w:tcMar>
              <w:top w:w="15" w:type="dxa"/>
              <w:left w:w="15" w:type="dxa"/>
              <w:bottom w:w="0" w:type="dxa"/>
              <w:right w:w="15" w:type="dxa"/>
            </w:tcMar>
            <w:vAlign w:val="center"/>
            <w:hideMark/>
          </w:tcPr>
          <w:p w14:paraId="5C933614"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12,956,526.08</w:t>
            </w:r>
          </w:p>
        </w:tc>
        <w:tc>
          <w:tcPr>
            <w:tcW w:w="795" w:type="dxa"/>
            <w:tcMar>
              <w:top w:w="15" w:type="dxa"/>
              <w:left w:w="15" w:type="dxa"/>
              <w:bottom w:w="0" w:type="dxa"/>
              <w:right w:w="15" w:type="dxa"/>
            </w:tcMar>
            <w:vAlign w:val="center"/>
            <w:hideMark/>
          </w:tcPr>
          <w:p w14:paraId="168E8F89"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30.77</w:t>
            </w:r>
          </w:p>
        </w:tc>
      </w:tr>
      <w:tr w:rsidR="00E72F0C" w14:paraId="62CAA7FF" w14:textId="77777777" w:rsidTr="000E7353">
        <w:trPr>
          <w:divId w:val="756949376"/>
          <w:trHeight w:val="285"/>
        </w:trPr>
        <w:tc>
          <w:tcPr>
            <w:tcW w:w="0" w:type="auto"/>
            <w:noWrap/>
            <w:tcMar>
              <w:top w:w="15" w:type="dxa"/>
              <w:left w:w="15" w:type="dxa"/>
              <w:bottom w:w="0" w:type="dxa"/>
              <w:right w:w="15" w:type="dxa"/>
            </w:tcMar>
            <w:vAlign w:val="center"/>
            <w:hideMark/>
          </w:tcPr>
          <w:p w14:paraId="0B6ED86F"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逾期3-4年</w:t>
            </w:r>
          </w:p>
        </w:tc>
        <w:tc>
          <w:tcPr>
            <w:tcW w:w="0" w:type="auto"/>
            <w:noWrap/>
            <w:tcMar>
              <w:top w:w="15" w:type="dxa"/>
              <w:left w:w="15" w:type="dxa"/>
              <w:bottom w:w="0" w:type="dxa"/>
              <w:right w:w="15" w:type="dxa"/>
            </w:tcMar>
            <w:vAlign w:val="center"/>
            <w:hideMark/>
          </w:tcPr>
          <w:p w14:paraId="3671C94E"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1,959,788.07</w:t>
            </w:r>
          </w:p>
        </w:tc>
        <w:tc>
          <w:tcPr>
            <w:tcW w:w="1729" w:type="dxa"/>
            <w:tcMar>
              <w:top w:w="15" w:type="dxa"/>
              <w:left w:w="15" w:type="dxa"/>
              <w:bottom w:w="0" w:type="dxa"/>
              <w:right w:w="15" w:type="dxa"/>
            </w:tcMar>
            <w:vAlign w:val="center"/>
            <w:hideMark/>
          </w:tcPr>
          <w:p w14:paraId="46448AE7"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1,959,788.07</w:t>
            </w:r>
          </w:p>
        </w:tc>
        <w:tc>
          <w:tcPr>
            <w:tcW w:w="1184" w:type="dxa"/>
            <w:tcMar>
              <w:top w:w="15" w:type="dxa"/>
              <w:left w:w="15" w:type="dxa"/>
              <w:bottom w:w="0" w:type="dxa"/>
              <w:right w:w="15" w:type="dxa"/>
            </w:tcMar>
            <w:vAlign w:val="center"/>
            <w:hideMark/>
          </w:tcPr>
          <w:p w14:paraId="4E91AA64"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100.00</w:t>
            </w:r>
          </w:p>
        </w:tc>
        <w:tc>
          <w:tcPr>
            <w:tcW w:w="1552" w:type="dxa"/>
            <w:noWrap/>
            <w:tcMar>
              <w:top w:w="15" w:type="dxa"/>
              <w:left w:w="15" w:type="dxa"/>
              <w:bottom w:w="0" w:type="dxa"/>
              <w:right w:w="15" w:type="dxa"/>
            </w:tcMar>
            <w:vAlign w:val="center"/>
            <w:hideMark/>
          </w:tcPr>
          <w:p w14:paraId="45429C70"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6,292,508.33</w:t>
            </w:r>
          </w:p>
        </w:tc>
        <w:tc>
          <w:tcPr>
            <w:tcW w:w="1282" w:type="dxa"/>
            <w:tcMar>
              <w:top w:w="15" w:type="dxa"/>
              <w:left w:w="15" w:type="dxa"/>
              <w:bottom w:w="0" w:type="dxa"/>
              <w:right w:w="15" w:type="dxa"/>
            </w:tcMar>
            <w:vAlign w:val="center"/>
            <w:hideMark/>
          </w:tcPr>
          <w:p w14:paraId="277853EC"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6,292,508.33</w:t>
            </w:r>
          </w:p>
        </w:tc>
        <w:tc>
          <w:tcPr>
            <w:tcW w:w="795" w:type="dxa"/>
            <w:tcMar>
              <w:top w:w="15" w:type="dxa"/>
              <w:left w:w="15" w:type="dxa"/>
              <w:bottom w:w="0" w:type="dxa"/>
              <w:right w:w="15" w:type="dxa"/>
            </w:tcMar>
            <w:vAlign w:val="center"/>
            <w:hideMark/>
          </w:tcPr>
          <w:p w14:paraId="4E385967"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100.00</w:t>
            </w:r>
          </w:p>
        </w:tc>
      </w:tr>
      <w:tr w:rsidR="00E72F0C" w14:paraId="671EADA6" w14:textId="77777777" w:rsidTr="000E7353">
        <w:trPr>
          <w:divId w:val="756949376"/>
          <w:trHeight w:val="285"/>
        </w:trPr>
        <w:tc>
          <w:tcPr>
            <w:tcW w:w="0" w:type="auto"/>
            <w:noWrap/>
            <w:tcMar>
              <w:top w:w="15" w:type="dxa"/>
              <w:left w:w="15" w:type="dxa"/>
              <w:bottom w:w="0" w:type="dxa"/>
              <w:right w:w="15" w:type="dxa"/>
            </w:tcMar>
            <w:vAlign w:val="center"/>
            <w:hideMark/>
          </w:tcPr>
          <w:p w14:paraId="139BCAD7"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逾期4年以上</w:t>
            </w:r>
          </w:p>
        </w:tc>
        <w:tc>
          <w:tcPr>
            <w:tcW w:w="0" w:type="auto"/>
            <w:noWrap/>
            <w:tcMar>
              <w:top w:w="15" w:type="dxa"/>
              <w:left w:w="15" w:type="dxa"/>
              <w:bottom w:w="0" w:type="dxa"/>
              <w:right w:w="15" w:type="dxa"/>
            </w:tcMar>
            <w:vAlign w:val="center"/>
            <w:hideMark/>
          </w:tcPr>
          <w:p w14:paraId="5AC14E7B"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2,664,240.17</w:t>
            </w:r>
          </w:p>
        </w:tc>
        <w:tc>
          <w:tcPr>
            <w:tcW w:w="1729" w:type="dxa"/>
            <w:tcMar>
              <w:top w:w="15" w:type="dxa"/>
              <w:left w:w="15" w:type="dxa"/>
              <w:bottom w:w="0" w:type="dxa"/>
              <w:right w:w="15" w:type="dxa"/>
            </w:tcMar>
            <w:vAlign w:val="center"/>
            <w:hideMark/>
          </w:tcPr>
          <w:p w14:paraId="44EC9D40"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2,664,240.17</w:t>
            </w:r>
          </w:p>
        </w:tc>
        <w:tc>
          <w:tcPr>
            <w:tcW w:w="1184" w:type="dxa"/>
            <w:tcMar>
              <w:top w:w="15" w:type="dxa"/>
              <w:left w:w="15" w:type="dxa"/>
              <w:bottom w:w="0" w:type="dxa"/>
              <w:right w:w="15" w:type="dxa"/>
            </w:tcMar>
            <w:vAlign w:val="center"/>
            <w:hideMark/>
          </w:tcPr>
          <w:p w14:paraId="44596E8D"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100.00</w:t>
            </w:r>
          </w:p>
        </w:tc>
        <w:tc>
          <w:tcPr>
            <w:tcW w:w="1552" w:type="dxa"/>
            <w:noWrap/>
            <w:tcMar>
              <w:top w:w="15" w:type="dxa"/>
              <w:left w:w="15" w:type="dxa"/>
              <w:bottom w:w="0" w:type="dxa"/>
              <w:right w:w="15" w:type="dxa"/>
            </w:tcMar>
            <w:vAlign w:val="center"/>
            <w:hideMark/>
          </w:tcPr>
          <w:p w14:paraId="35F2E9F2"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41,114,572.18</w:t>
            </w:r>
          </w:p>
        </w:tc>
        <w:tc>
          <w:tcPr>
            <w:tcW w:w="1282" w:type="dxa"/>
            <w:tcMar>
              <w:top w:w="15" w:type="dxa"/>
              <w:left w:w="15" w:type="dxa"/>
              <w:bottom w:w="0" w:type="dxa"/>
              <w:right w:w="15" w:type="dxa"/>
            </w:tcMar>
            <w:vAlign w:val="center"/>
            <w:hideMark/>
          </w:tcPr>
          <w:p w14:paraId="4305B0C5"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41,114,572.18</w:t>
            </w:r>
          </w:p>
        </w:tc>
        <w:tc>
          <w:tcPr>
            <w:tcW w:w="795" w:type="dxa"/>
            <w:tcMar>
              <w:top w:w="15" w:type="dxa"/>
              <w:left w:w="15" w:type="dxa"/>
              <w:bottom w:w="0" w:type="dxa"/>
              <w:right w:w="15" w:type="dxa"/>
            </w:tcMar>
            <w:vAlign w:val="center"/>
            <w:hideMark/>
          </w:tcPr>
          <w:p w14:paraId="4C5B56D3"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100.00</w:t>
            </w:r>
          </w:p>
        </w:tc>
      </w:tr>
      <w:tr w:rsidR="00E72F0C" w14:paraId="2B51ED86" w14:textId="77777777" w:rsidTr="000E7353">
        <w:trPr>
          <w:divId w:val="756949376"/>
          <w:trHeight w:val="300"/>
        </w:trPr>
        <w:tc>
          <w:tcPr>
            <w:tcW w:w="0" w:type="auto"/>
            <w:noWrap/>
            <w:tcMar>
              <w:top w:w="15" w:type="dxa"/>
              <w:left w:w="15" w:type="dxa"/>
              <w:bottom w:w="0" w:type="dxa"/>
              <w:right w:w="15" w:type="dxa"/>
            </w:tcMar>
            <w:vAlign w:val="center"/>
            <w:hideMark/>
          </w:tcPr>
          <w:p w14:paraId="1EF8A0B5"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合计</w:t>
            </w:r>
          </w:p>
        </w:tc>
        <w:tc>
          <w:tcPr>
            <w:tcW w:w="0" w:type="auto"/>
            <w:noWrap/>
            <w:tcMar>
              <w:top w:w="15" w:type="dxa"/>
              <w:left w:w="15" w:type="dxa"/>
              <w:bottom w:w="0" w:type="dxa"/>
              <w:right w:w="15" w:type="dxa"/>
            </w:tcMar>
            <w:vAlign w:val="center"/>
            <w:hideMark/>
          </w:tcPr>
          <w:p w14:paraId="433A0CB5"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572,495,206.34</w:t>
            </w:r>
          </w:p>
        </w:tc>
        <w:tc>
          <w:tcPr>
            <w:tcW w:w="0" w:type="auto"/>
            <w:noWrap/>
            <w:tcMar>
              <w:top w:w="15" w:type="dxa"/>
              <w:left w:w="15" w:type="dxa"/>
              <w:bottom w:w="0" w:type="dxa"/>
              <w:right w:w="15" w:type="dxa"/>
            </w:tcMar>
            <w:vAlign w:val="center"/>
            <w:hideMark/>
          </w:tcPr>
          <w:p w14:paraId="25064423"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27,337,242.33</w:t>
            </w:r>
          </w:p>
        </w:tc>
        <w:tc>
          <w:tcPr>
            <w:tcW w:w="1184" w:type="dxa"/>
            <w:tcMar>
              <w:top w:w="15" w:type="dxa"/>
              <w:left w:w="15" w:type="dxa"/>
              <w:bottom w:w="0" w:type="dxa"/>
              <w:right w:w="15" w:type="dxa"/>
            </w:tcMar>
            <w:vAlign w:val="center"/>
            <w:hideMark/>
          </w:tcPr>
          <w:p w14:paraId="7C70B805"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 xml:space="preserve">　</w:t>
            </w:r>
          </w:p>
        </w:tc>
        <w:tc>
          <w:tcPr>
            <w:tcW w:w="1552" w:type="dxa"/>
            <w:noWrap/>
            <w:tcMar>
              <w:top w:w="15" w:type="dxa"/>
              <w:left w:w="15" w:type="dxa"/>
              <w:bottom w:w="0" w:type="dxa"/>
              <w:right w:w="15" w:type="dxa"/>
            </w:tcMar>
            <w:vAlign w:val="center"/>
            <w:hideMark/>
          </w:tcPr>
          <w:p w14:paraId="0B5098B2"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688,603,484.46</w:t>
            </w:r>
          </w:p>
        </w:tc>
        <w:tc>
          <w:tcPr>
            <w:tcW w:w="0" w:type="auto"/>
            <w:noWrap/>
            <w:tcMar>
              <w:top w:w="15" w:type="dxa"/>
              <w:left w:w="15" w:type="dxa"/>
              <w:bottom w:w="0" w:type="dxa"/>
              <w:right w:w="15" w:type="dxa"/>
            </w:tcMar>
            <w:vAlign w:val="center"/>
            <w:hideMark/>
          </w:tcPr>
          <w:p w14:paraId="2DFEA853"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86,324,842.67</w:t>
            </w:r>
          </w:p>
        </w:tc>
        <w:tc>
          <w:tcPr>
            <w:tcW w:w="795" w:type="dxa"/>
            <w:tcMar>
              <w:top w:w="15" w:type="dxa"/>
              <w:left w:w="15" w:type="dxa"/>
              <w:bottom w:w="0" w:type="dxa"/>
              <w:right w:w="15" w:type="dxa"/>
            </w:tcMar>
            <w:vAlign w:val="center"/>
            <w:hideMark/>
          </w:tcPr>
          <w:p w14:paraId="1D8C52D1"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 xml:space="preserve">　</w:t>
            </w:r>
          </w:p>
        </w:tc>
      </w:tr>
    </w:tbl>
    <w:p w14:paraId="2A9AB7CB" w14:textId="388BB856" w:rsidR="00632E5B" w:rsidRDefault="00107901" w:rsidP="000E7353">
      <w:pPr>
        <w:pStyle w:val="a3"/>
        <w:rPr>
          <w:rFonts w:hint="eastAsia"/>
          <w:sz w:val="18"/>
          <w:szCs w:val="18"/>
        </w:rPr>
      </w:pPr>
      <w:r>
        <w:rPr>
          <w:sz w:val="18"/>
          <w:szCs w:val="18"/>
        </w:rPr>
        <w:t>如是按照预期信用损失一般模型计提应收账款坏账准备：</w:t>
      </w:r>
    </w:p>
    <w:p w14:paraId="0C89B221"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198350A1"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219" w:name="_Toc989108"/>
      <w:r>
        <w:rPr>
          <w:rFonts w:ascii="宋体" w:eastAsia="宋体" w:hAnsi="宋体" w:cs="宋体"/>
          <w:b/>
          <w:bCs/>
          <w:szCs w:val="21"/>
        </w:rPr>
        <w:lastRenderedPageBreak/>
        <w:t>（3） 本期计提、收回或转回的坏账准备情况</w:t>
      </w:r>
      <w:bookmarkEnd w:id="219"/>
    </w:p>
    <w:p w14:paraId="5DB8E7E5"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本期计提坏账准备情况：</w:t>
      </w:r>
    </w:p>
    <w:p w14:paraId="19A5359E" w14:textId="77777777" w:rsidR="00632E5B" w:rsidRDefault="00107901">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0345"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23"/>
        <w:gridCol w:w="1701"/>
        <w:gridCol w:w="1560"/>
        <w:gridCol w:w="1417"/>
        <w:gridCol w:w="1559"/>
        <w:gridCol w:w="1526"/>
        <w:gridCol w:w="1559"/>
      </w:tblGrid>
      <w:tr w:rsidR="00632E5B" w14:paraId="7EC5500D" w14:textId="77777777" w:rsidTr="001F5A64">
        <w:trPr>
          <w:trHeight w:val="240"/>
          <w:jc w:val="center"/>
        </w:trPr>
        <w:tc>
          <w:tcPr>
            <w:tcW w:w="1023" w:type="dxa"/>
            <w:vMerge w:val="restar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2069C1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类别</w:t>
            </w:r>
          </w:p>
        </w:tc>
        <w:tc>
          <w:tcPr>
            <w:tcW w:w="1701" w:type="dxa"/>
            <w:vMerge w:val="restar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29F8A0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6062"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D7E2C3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本期变动金额</w:t>
            </w:r>
          </w:p>
        </w:tc>
        <w:tc>
          <w:tcPr>
            <w:tcW w:w="1559" w:type="dxa"/>
            <w:vMerge w:val="restar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C74253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632E5B" w14:paraId="4A79DBFB" w14:textId="77777777" w:rsidTr="001F5A64">
        <w:trPr>
          <w:trHeight w:val="240"/>
          <w:jc w:val="center"/>
        </w:trPr>
        <w:tc>
          <w:tcPr>
            <w:tcW w:w="1023" w:type="dxa"/>
            <w:vMerge/>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29CFA15" w14:textId="77777777" w:rsidR="00632E5B" w:rsidRDefault="00632E5B"/>
        </w:tc>
        <w:tc>
          <w:tcPr>
            <w:tcW w:w="1701" w:type="dxa"/>
            <w:vMerge/>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B32DF1C" w14:textId="77777777" w:rsidR="00632E5B" w:rsidRDefault="00632E5B"/>
        </w:tc>
        <w:tc>
          <w:tcPr>
            <w:tcW w:w="156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9A5E2C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BFAC41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收回或转回</w:t>
            </w:r>
          </w:p>
        </w:tc>
        <w:tc>
          <w:tcPr>
            <w:tcW w:w="155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E4081B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核销</w:t>
            </w:r>
          </w:p>
        </w:tc>
        <w:tc>
          <w:tcPr>
            <w:tcW w:w="152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BBE070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1559" w:type="dxa"/>
            <w:vMerge/>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4206970" w14:textId="77777777" w:rsidR="00632E5B" w:rsidRDefault="00632E5B"/>
        </w:tc>
      </w:tr>
      <w:tr w:rsidR="00632E5B" w14:paraId="36FB3722" w14:textId="77777777" w:rsidTr="001F5A64">
        <w:trPr>
          <w:trHeight w:val="240"/>
          <w:jc w:val="center"/>
        </w:trPr>
        <w:tc>
          <w:tcPr>
            <w:tcW w:w="102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FF9146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单项计提</w:t>
            </w:r>
          </w:p>
        </w:tc>
        <w:tc>
          <w:tcPr>
            <w:tcW w:w="170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190CD0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934,575,270.16</w:t>
            </w:r>
          </w:p>
        </w:tc>
        <w:tc>
          <w:tcPr>
            <w:tcW w:w="156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B16209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348,913,866.10</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AED30A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18,017,390.98</w:t>
            </w:r>
          </w:p>
        </w:tc>
        <w:tc>
          <w:tcPr>
            <w:tcW w:w="155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8702A7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532,891,680.30</w:t>
            </w:r>
          </w:p>
        </w:tc>
        <w:tc>
          <w:tcPr>
            <w:tcW w:w="152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2191E9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-12,538,537.15</w:t>
            </w:r>
          </w:p>
        </w:tc>
        <w:tc>
          <w:tcPr>
            <w:tcW w:w="155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8B79C7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720,041,527.83</w:t>
            </w:r>
          </w:p>
        </w:tc>
      </w:tr>
      <w:tr w:rsidR="00632E5B" w14:paraId="175F9EF8" w14:textId="77777777" w:rsidTr="001F5A64">
        <w:trPr>
          <w:trHeight w:val="240"/>
          <w:jc w:val="center"/>
        </w:trPr>
        <w:tc>
          <w:tcPr>
            <w:tcW w:w="102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E7EF76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组合计提</w:t>
            </w:r>
          </w:p>
        </w:tc>
        <w:tc>
          <w:tcPr>
            <w:tcW w:w="170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7E530E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86,324,842.67</w:t>
            </w:r>
          </w:p>
        </w:tc>
        <w:tc>
          <w:tcPr>
            <w:tcW w:w="156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E91367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1,355,732.16</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3E3C12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11,779,075.66</w:t>
            </w:r>
          </w:p>
        </w:tc>
        <w:tc>
          <w:tcPr>
            <w:tcW w:w="155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37514E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39,187,205.85</w:t>
            </w:r>
          </w:p>
        </w:tc>
        <w:tc>
          <w:tcPr>
            <w:tcW w:w="152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DAF12A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-9,377,050.99</w:t>
            </w:r>
          </w:p>
        </w:tc>
        <w:tc>
          <w:tcPr>
            <w:tcW w:w="155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06B170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27,337,242.33</w:t>
            </w:r>
          </w:p>
        </w:tc>
      </w:tr>
      <w:tr w:rsidR="00632E5B" w14:paraId="64B33D70" w14:textId="77777777" w:rsidTr="001F5A64">
        <w:trPr>
          <w:trHeight w:val="240"/>
          <w:jc w:val="center"/>
        </w:trPr>
        <w:tc>
          <w:tcPr>
            <w:tcW w:w="102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A625CBF"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70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A8CDE4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1,020,900,112.83</w:t>
            </w:r>
          </w:p>
        </w:tc>
        <w:tc>
          <w:tcPr>
            <w:tcW w:w="156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9375FC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350,269,598.26</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C61E19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29,796,466.64</w:t>
            </w:r>
          </w:p>
        </w:tc>
        <w:tc>
          <w:tcPr>
            <w:tcW w:w="155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217E2E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572,078,886.15</w:t>
            </w:r>
          </w:p>
        </w:tc>
        <w:tc>
          <w:tcPr>
            <w:tcW w:w="152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9678BC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-21,915,588.14</w:t>
            </w:r>
          </w:p>
        </w:tc>
        <w:tc>
          <w:tcPr>
            <w:tcW w:w="155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46B554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747,378,770.16</w:t>
            </w:r>
          </w:p>
        </w:tc>
      </w:tr>
    </w:tbl>
    <w:p w14:paraId="458BB6F4" w14:textId="44DBA775" w:rsidR="00E72F0C" w:rsidRDefault="00107901" w:rsidP="00EA536C">
      <w:pPr>
        <w:pStyle w:val="a3"/>
        <w:spacing w:before="0" w:beforeAutospacing="0" w:after="0" w:afterAutospacing="0"/>
        <w:ind w:firstLineChars="200" w:firstLine="360"/>
        <w:divId w:val="1315334164"/>
        <w:rPr>
          <w:rFonts w:hint="eastAsia"/>
          <w:sz w:val="18"/>
          <w:szCs w:val="18"/>
        </w:rPr>
      </w:pPr>
      <w:r>
        <w:rPr>
          <w:rFonts w:hint="eastAsia"/>
          <w:sz w:val="18"/>
          <w:szCs w:val="18"/>
        </w:rPr>
        <w:t>注：单项计提-其他变动为处置子公司变动-12,796,642.81元，汇率变动导致变动258,105.66元；组合计提-其他变动为处置子公司变动-9,422,017.50元，汇率变动导致变动44,966.51元。</w:t>
      </w:r>
    </w:p>
    <w:p w14:paraId="1BF67C0B"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220" w:name="_Toc989109"/>
      <w:r>
        <w:rPr>
          <w:rFonts w:ascii="宋体" w:eastAsia="宋体" w:hAnsi="宋体" w:cs="宋体"/>
          <w:b/>
          <w:bCs/>
          <w:szCs w:val="21"/>
        </w:rPr>
        <w:t>（4） 本期实际核销的应收账款情况</w:t>
      </w:r>
      <w:bookmarkEnd w:id="220"/>
    </w:p>
    <w:p w14:paraId="5A017DD2"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632E5B" w14:paraId="2E1790DD" w14:textId="77777777" w:rsidTr="001F5A6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644DA9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A82FC5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核销金额</w:t>
            </w:r>
          </w:p>
        </w:tc>
      </w:tr>
      <w:tr w:rsidR="00632E5B" w14:paraId="7D9D3342" w14:textId="77777777" w:rsidTr="001F5A6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91D406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实际核销的应收账款</w:t>
            </w:r>
          </w:p>
        </w:tc>
        <w:tc>
          <w:tcPr>
            <w:tcW w:w="482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23CB29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572,078,886.15</w:t>
            </w:r>
          </w:p>
        </w:tc>
      </w:tr>
    </w:tbl>
    <w:p w14:paraId="12C45F58"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其中重要的应收账款核销情况：</w:t>
      </w:r>
    </w:p>
    <w:p w14:paraId="128A69E5" w14:textId="77777777" w:rsidR="00632E5B" w:rsidRDefault="00107901">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632E5B" w14:paraId="0CB8D539" w14:textId="77777777" w:rsidTr="001F5A6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30D2F2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BD62D5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应收账款性质</w:t>
            </w: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296B52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核销金额</w:t>
            </w: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AB082B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核销原因</w:t>
            </w: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0948A3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履行的核销程序</w:t>
            </w: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D88307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款项是否由关联交易产生</w:t>
            </w:r>
          </w:p>
        </w:tc>
      </w:tr>
      <w:tr w:rsidR="00632E5B" w14:paraId="6EC8B026" w14:textId="77777777" w:rsidTr="001F5A6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9D8ACD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客户20</w:t>
            </w: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86AC83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应收货款</w:t>
            </w: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38F83E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506,709,000.00</w:t>
            </w: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3C3148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无法收回</w:t>
            </w: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DF62A1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第七届董事会第一次会议</w:t>
            </w: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7B9D26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69B880CC" w14:textId="77777777" w:rsidTr="001F5A6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41A84A3"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85F2B2C" w14:textId="77777777" w:rsidR="00632E5B" w:rsidRDefault="00632E5B"/>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607F52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506,709,000.00</w:t>
            </w: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A55900B" w14:textId="77777777" w:rsidR="00632E5B" w:rsidRDefault="00632E5B"/>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F83E7E4" w14:textId="77777777" w:rsidR="00632E5B" w:rsidRDefault="00632E5B"/>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263CCE7" w14:textId="77777777" w:rsidR="00632E5B" w:rsidRDefault="00632E5B"/>
        </w:tc>
      </w:tr>
    </w:tbl>
    <w:p w14:paraId="66320BDE"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应收账款核销说明：</w:t>
      </w:r>
    </w:p>
    <w:p w14:paraId="38B26B17"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221" w:name="_Toc989110"/>
      <w:r>
        <w:rPr>
          <w:rFonts w:ascii="宋体" w:eastAsia="宋体" w:hAnsi="宋体" w:cs="宋体"/>
          <w:b/>
          <w:bCs/>
          <w:szCs w:val="21"/>
        </w:rPr>
        <w:t>（5） 按欠款方归集的期末余额前五名的应收账款和合同资产情况</w:t>
      </w:r>
      <w:bookmarkEnd w:id="221"/>
    </w:p>
    <w:p w14:paraId="2FC325BA"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632E5B" w14:paraId="32D1B6FE" w14:textId="77777777" w:rsidTr="001F5A6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C8B184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F2F2F1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应收账款期末余额</w:t>
            </w: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02F44C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06E469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应收账款和合同资产期末余额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196961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占应收账款和合同资产期末余额合计数的比例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90A14E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应收账款坏账准备和合同资产减值准备期末余额</w:t>
            </w:r>
          </w:p>
        </w:tc>
      </w:tr>
      <w:tr w:rsidR="00632E5B" w14:paraId="0253355C" w14:textId="77777777" w:rsidTr="001F5A6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266018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第一名</w:t>
            </w: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E551D9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145,778,168.82</w:t>
            </w: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25CEE43" w14:textId="77777777" w:rsidR="00632E5B" w:rsidRDefault="00632E5B">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22D7A5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145,778,168.82</w:t>
            </w: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5BA90E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10.76%</w:t>
            </w: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155C42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2,915,563.34</w:t>
            </w:r>
          </w:p>
        </w:tc>
      </w:tr>
      <w:tr w:rsidR="00632E5B" w14:paraId="5D9BC5BA" w14:textId="77777777" w:rsidTr="001F5A6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D32C39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第二名</w:t>
            </w: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F86686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100,665,088.74</w:t>
            </w: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25FFB27" w14:textId="77777777" w:rsidR="00632E5B" w:rsidRDefault="00632E5B">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732E8C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100,665,088.74</w:t>
            </w: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719CDF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7.43%</w:t>
            </w: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3FEB61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100,665,088.74</w:t>
            </w:r>
          </w:p>
        </w:tc>
      </w:tr>
      <w:tr w:rsidR="00632E5B" w14:paraId="41B55D64" w14:textId="77777777" w:rsidTr="001F5A6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BFD4DB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第三名</w:t>
            </w: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F9AEA1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82,700,482.11</w:t>
            </w: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514B180" w14:textId="77777777" w:rsidR="00632E5B" w:rsidRDefault="00632E5B">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5EA80A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82,700,482.11</w:t>
            </w: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056319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6.10%</w:t>
            </w: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5B9BDD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82,700,482.11</w:t>
            </w:r>
          </w:p>
        </w:tc>
      </w:tr>
      <w:tr w:rsidR="00632E5B" w14:paraId="16A9E9A6" w14:textId="77777777" w:rsidTr="001F5A6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5CC9D9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第四名</w:t>
            </w: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5C61F1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64,705,577.28</w:t>
            </w: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CA2A305" w14:textId="77777777" w:rsidR="00632E5B" w:rsidRDefault="00632E5B">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654DA8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64,705,577.28</w:t>
            </w: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050FDA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4.78%</w:t>
            </w: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E1F025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64,705,577.28</w:t>
            </w:r>
          </w:p>
        </w:tc>
      </w:tr>
      <w:tr w:rsidR="00632E5B" w14:paraId="3B6E08D8" w14:textId="77777777" w:rsidTr="001F5A6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F754C9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第五名</w:t>
            </w: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207003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58,963,395.27</w:t>
            </w: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19EFD0B" w14:textId="77777777" w:rsidR="00632E5B" w:rsidRDefault="00632E5B">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B5E4D0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58,963,395.27</w:t>
            </w: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BBE3B6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4.35%</w:t>
            </w: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BF970E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45,957,698.01</w:t>
            </w:r>
          </w:p>
        </w:tc>
      </w:tr>
      <w:tr w:rsidR="00632E5B" w14:paraId="281A7353" w14:textId="77777777" w:rsidTr="001F5A6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7560AA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AE38DC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452,812,712.22</w:t>
            </w: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6C1B380" w14:textId="77777777" w:rsidR="00632E5B" w:rsidRDefault="00632E5B">
            <w:pPr>
              <w:spacing w:line="240" w:lineRule="exact"/>
              <w:jc w:val="right"/>
              <w:rPr>
                <w:rFonts w:ascii="宋体" w:eastAsia="宋体" w:hAnsi="宋体" w:cs="宋体" w:hint="eastAsia"/>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0100A8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452,812,712.22</w:t>
            </w: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271568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33.42%</w:t>
            </w:r>
          </w:p>
        </w:tc>
        <w:tc>
          <w:tcPr>
            <w:tcW w:w="160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1125A2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296,944,409.48</w:t>
            </w:r>
          </w:p>
        </w:tc>
      </w:tr>
    </w:tbl>
    <w:p w14:paraId="19C6FE1D" w14:textId="77777777" w:rsidR="00632E5B" w:rsidRDefault="00107901">
      <w:pPr>
        <w:pStyle w:val="3"/>
        <w:spacing w:line="280" w:lineRule="exact"/>
        <w:jc w:val="left"/>
        <w:rPr>
          <w:rFonts w:ascii="宋体" w:hAnsi="宋体" w:cs="宋体" w:hint="eastAsia"/>
          <w:b/>
          <w:bCs/>
        </w:rPr>
      </w:pPr>
      <w:bookmarkStart w:id="222" w:name="_Toc989111"/>
      <w:r>
        <w:rPr>
          <w:rFonts w:ascii="宋体" w:hAnsi="宋体" w:cs="宋体"/>
          <w:b/>
          <w:bCs/>
        </w:rPr>
        <w:t>5、应收款项融资</w:t>
      </w:r>
      <w:bookmarkEnd w:id="222"/>
    </w:p>
    <w:p w14:paraId="020F528A"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223" w:name="_Toc989112"/>
      <w:r>
        <w:rPr>
          <w:rFonts w:ascii="宋体" w:eastAsia="宋体" w:hAnsi="宋体" w:cs="宋体"/>
          <w:b/>
          <w:bCs/>
          <w:szCs w:val="21"/>
        </w:rPr>
        <w:t>（1） 应收款项融资分类列示</w:t>
      </w:r>
      <w:bookmarkEnd w:id="223"/>
    </w:p>
    <w:p w14:paraId="20DE2DDC"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32E5B" w14:paraId="400BE690" w14:textId="77777777" w:rsidTr="001F5A6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6920D7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C1B761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48DD40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632E5B" w14:paraId="10912EE4" w14:textId="77777777" w:rsidTr="001F5A6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398E9D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银行承兑汇票</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C50D56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55,105,085.82</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417652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62,403,431.72</w:t>
            </w:r>
          </w:p>
        </w:tc>
      </w:tr>
      <w:tr w:rsidR="00632E5B" w14:paraId="42DC1471" w14:textId="77777777" w:rsidTr="001F5A6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CC09581"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33443F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55,105,085.82</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71F325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62,403,431.72</w:t>
            </w:r>
          </w:p>
        </w:tc>
      </w:tr>
    </w:tbl>
    <w:p w14:paraId="10091A28"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224" w:name="_Toc989113"/>
      <w:r>
        <w:rPr>
          <w:rFonts w:ascii="宋体" w:eastAsia="宋体" w:hAnsi="宋体" w:cs="宋体"/>
          <w:b/>
          <w:bCs/>
          <w:szCs w:val="21"/>
        </w:rPr>
        <w:lastRenderedPageBreak/>
        <w:t>（2） 期末公司已背书或贴现且在资产负债表日尚未到期的应收款项融资</w:t>
      </w:r>
      <w:bookmarkEnd w:id="224"/>
    </w:p>
    <w:p w14:paraId="483D219C"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32E5B" w14:paraId="10E37666" w14:textId="77777777" w:rsidTr="001F5A6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C3F368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01C0FF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期末终止确认金额</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F9C793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期末未终止确认金额</w:t>
            </w:r>
          </w:p>
        </w:tc>
      </w:tr>
      <w:tr w:rsidR="00632E5B" w14:paraId="725BAE85" w14:textId="77777777" w:rsidTr="001F5A6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141CFB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银行承兑汇票</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4CB77B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108,183,986.18</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CBBF967" w14:textId="77777777" w:rsidR="00632E5B" w:rsidRDefault="00632E5B">
            <w:pPr>
              <w:spacing w:line="240" w:lineRule="exact"/>
              <w:jc w:val="right"/>
              <w:rPr>
                <w:rFonts w:ascii="宋体" w:eastAsia="宋体" w:hAnsi="宋体" w:cs="宋体" w:hint="eastAsia"/>
                <w:sz w:val="18"/>
                <w:szCs w:val="18"/>
              </w:rPr>
            </w:pPr>
          </w:p>
        </w:tc>
      </w:tr>
      <w:tr w:rsidR="00632E5B" w14:paraId="10168518" w14:textId="77777777" w:rsidTr="001F5A6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24316CF"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2CECBA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108,183,986.18</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267B84E" w14:textId="77777777" w:rsidR="00632E5B" w:rsidRDefault="00632E5B">
            <w:pPr>
              <w:spacing w:line="240" w:lineRule="exact"/>
              <w:jc w:val="right"/>
              <w:rPr>
                <w:rFonts w:ascii="宋体" w:eastAsia="宋体" w:hAnsi="宋体" w:cs="宋体" w:hint="eastAsia"/>
                <w:sz w:val="18"/>
                <w:szCs w:val="18"/>
              </w:rPr>
            </w:pPr>
          </w:p>
        </w:tc>
      </w:tr>
    </w:tbl>
    <w:p w14:paraId="4AFCADD4" w14:textId="77777777" w:rsidR="00632E5B" w:rsidRDefault="00107901">
      <w:pPr>
        <w:pStyle w:val="3"/>
        <w:spacing w:line="280" w:lineRule="exact"/>
        <w:jc w:val="left"/>
        <w:rPr>
          <w:rFonts w:ascii="宋体" w:hAnsi="宋体" w:cs="宋体" w:hint="eastAsia"/>
          <w:b/>
          <w:bCs/>
        </w:rPr>
      </w:pPr>
      <w:bookmarkStart w:id="225" w:name="_Toc989114"/>
      <w:r>
        <w:rPr>
          <w:rFonts w:ascii="宋体" w:hAnsi="宋体" w:cs="宋体"/>
          <w:b/>
          <w:bCs/>
        </w:rPr>
        <w:t>6、其他应收款</w:t>
      </w:r>
      <w:bookmarkEnd w:id="225"/>
    </w:p>
    <w:p w14:paraId="5AA57C20"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32E5B" w14:paraId="1F54399A" w14:textId="77777777" w:rsidTr="001F5A6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997B6D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C4EEA9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A8A867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632E5B" w14:paraId="30B1CEDF" w14:textId="77777777" w:rsidTr="001F5A6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D328449"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609DF5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72,256,590.47</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3C9684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312,264,291.25</w:t>
            </w:r>
          </w:p>
        </w:tc>
      </w:tr>
      <w:tr w:rsidR="00632E5B" w14:paraId="474DE619" w14:textId="77777777" w:rsidTr="001F5A6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05A1682"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B1E365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72,256,590.47</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118966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312,264,291.25</w:t>
            </w:r>
          </w:p>
        </w:tc>
      </w:tr>
    </w:tbl>
    <w:p w14:paraId="12812547"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226" w:name="_Toc989115"/>
      <w:r>
        <w:rPr>
          <w:rFonts w:ascii="宋体" w:eastAsia="宋体" w:hAnsi="宋体" w:cs="宋体"/>
          <w:b/>
          <w:bCs/>
          <w:szCs w:val="21"/>
        </w:rPr>
        <w:t>（1） 其他应收款</w:t>
      </w:r>
      <w:bookmarkEnd w:id="226"/>
    </w:p>
    <w:p w14:paraId="7F7FC03F" w14:textId="77777777" w:rsidR="00632E5B" w:rsidRDefault="00107901">
      <w:pPr>
        <w:keepNext/>
        <w:keepLines/>
        <w:spacing w:before="300" w:after="300" w:line="280" w:lineRule="exact"/>
        <w:outlineLvl w:val="4"/>
        <w:rPr>
          <w:rFonts w:ascii="宋体" w:eastAsia="宋体" w:hAnsi="宋体" w:cs="宋体" w:hint="eastAsia"/>
          <w:b/>
          <w:bCs/>
          <w:szCs w:val="21"/>
        </w:rPr>
      </w:pPr>
      <w:bookmarkStart w:id="227" w:name="_Toc989116"/>
      <w:r>
        <w:rPr>
          <w:rFonts w:ascii="宋体" w:eastAsia="宋体" w:hAnsi="宋体" w:cs="宋体"/>
          <w:b/>
          <w:bCs/>
          <w:szCs w:val="21"/>
        </w:rPr>
        <w:t>1） 其他应收款按款项性质分类情况</w:t>
      </w:r>
      <w:bookmarkEnd w:id="227"/>
    </w:p>
    <w:p w14:paraId="62FF3E93"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32E5B" w14:paraId="223521D7" w14:textId="77777777" w:rsidTr="001F5A6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51079D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41E672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D66F79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期初账面余额</w:t>
            </w:r>
          </w:p>
        </w:tc>
      </w:tr>
      <w:tr w:rsidR="00632E5B" w14:paraId="5FBF3261" w14:textId="77777777" w:rsidTr="001F5A6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B6001C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保证金及押金</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D30425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73,748,486.77</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F6E264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107,395,954.55</w:t>
            </w:r>
          </w:p>
        </w:tc>
      </w:tr>
      <w:tr w:rsidR="00632E5B" w14:paraId="7E73B89A" w14:textId="77777777" w:rsidTr="001F5A6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4FCA31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暂付款及其他</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B0A23E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73,191,630.58</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F10B16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376,638,812.52</w:t>
            </w:r>
          </w:p>
        </w:tc>
      </w:tr>
      <w:tr w:rsidR="00632E5B" w14:paraId="5277ED54" w14:textId="77777777" w:rsidTr="001F5A6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87DDE8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关联方往来</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FCE1717" w14:textId="77777777" w:rsidR="00632E5B" w:rsidRDefault="00632E5B">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0589C7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1,901,097,916.93</w:t>
            </w:r>
          </w:p>
        </w:tc>
      </w:tr>
      <w:tr w:rsidR="00632E5B" w14:paraId="1F1416AD" w14:textId="77777777" w:rsidTr="001F5A6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DD896C4"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91CC29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146,940,117.35</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F619EC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2,385,132,684.00</w:t>
            </w:r>
          </w:p>
        </w:tc>
      </w:tr>
    </w:tbl>
    <w:p w14:paraId="60B6A60A" w14:textId="77777777" w:rsidR="00632E5B" w:rsidRDefault="00107901">
      <w:pPr>
        <w:keepNext/>
        <w:keepLines/>
        <w:spacing w:before="300" w:after="300" w:line="280" w:lineRule="exact"/>
        <w:outlineLvl w:val="4"/>
        <w:rPr>
          <w:rFonts w:ascii="宋体" w:eastAsia="宋体" w:hAnsi="宋体" w:cs="宋体" w:hint="eastAsia"/>
          <w:b/>
          <w:bCs/>
          <w:szCs w:val="21"/>
        </w:rPr>
      </w:pPr>
      <w:bookmarkStart w:id="228" w:name="_Toc989117"/>
      <w:r>
        <w:rPr>
          <w:rFonts w:ascii="宋体" w:eastAsia="宋体" w:hAnsi="宋体" w:cs="宋体"/>
          <w:b/>
          <w:bCs/>
          <w:szCs w:val="21"/>
        </w:rPr>
        <w:t>2） 按账龄披露</w:t>
      </w:r>
      <w:bookmarkEnd w:id="228"/>
    </w:p>
    <w:p w14:paraId="5A0CBA81" w14:textId="77777777" w:rsidR="00632E5B" w:rsidRDefault="00107901">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Style w:val="20"/>
        <w:tblW w:w="5000" w:type="pct"/>
        <w:tblLook w:val="0000" w:firstRow="0" w:lastRow="0" w:firstColumn="0" w:lastColumn="0" w:noHBand="0" w:noVBand="0"/>
      </w:tblPr>
      <w:tblGrid>
        <w:gridCol w:w="4611"/>
        <w:gridCol w:w="2680"/>
        <w:gridCol w:w="2336"/>
      </w:tblGrid>
      <w:tr w:rsidR="00CA5B07" w:rsidRPr="00CA5B07" w14:paraId="53406735" w14:textId="77777777" w:rsidTr="004D7CC2">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2395" w:type="pct"/>
            <w:noWrap/>
          </w:tcPr>
          <w:p w14:paraId="355BBDC8" w14:textId="77777777" w:rsidR="00CA5B07" w:rsidRPr="00CA5B07" w:rsidRDefault="00CA5B07" w:rsidP="0014662C">
            <w:pPr>
              <w:widowControl/>
              <w:jc w:val="center"/>
              <w:rPr>
                <w:rFonts w:asciiTheme="minorEastAsia" w:hAnsiTheme="minorEastAsia" w:cs="宋体" w:hint="eastAsia"/>
                <w:kern w:val="0"/>
                <w:sz w:val="18"/>
                <w:szCs w:val="18"/>
              </w:rPr>
            </w:pPr>
            <w:r w:rsidRPr="00CA5B07">
              <w:rPr>
                <w:rFonts w:asciiTheme="minorEastAsia" w:hAnsiTheme="minorEastAsia" w:cs="宋体" w:hint="eastAsia"/>
                <w:kern w:val="0"/>
                <w:sz w:val="18"/>
                <w:szCs w:val="18"/>
              </w:rPr>
              <w:t>账龄</w:t>
            </w:r>
          </w:p>
        </w:tc>
        <w:tc>
          <w:tcPr>
            <w:cnfStyle w:val="000001000000" w:firstRow="0" w:lastRow="0" w:firstColumn="0" w:lastColumn="0" w:oddVBand="0" w:evenVBand="1" w:oddHBand="0" w:evenHBand="0" w:firstRowFirstColumn="0" w:firstRowLastColumn="0" w:lastRowFirstColumn="0" w:lastRowLastColumn="0"/>
            <w:tcW w:w="1392" w:type="pct"/>
          </w:tcPr>
          <w:p w14:paraId="1B8C701C" w14:textId="77777777" w:rsidR="00CA5B07" w:rsidRPr="00CA5B07" w:rsidRDefault="00CA5B07" w:rsidP="0014662C">
            <w:pPr>
              <w:widowControl/>
              <w:jc w:val="center"/>
              <w:rPr>
                <w:rFonts w:asciiTheme="minorEastAsia" w:hAnsiTheme="minorEastAsia" w:cs="宋体" w:hint="eastAsia"/>
                <w:kern w:val="0"/>
                <w:sz w:val="18"/>
                <w:szCs w:val="18"/>
              </w:rPr>
            </w:pPr>
            <w:r w:rsidRPr="00CA5B07">
              <w:rPr>
                <w:rFonts w:asciiTheme="minorEastAsia" w:hAnsiTheme="minorEastAsia" w:cs="宋体" w:hint="eastAsia"/>
                <w:kern w:val="0"/>
                <w:sz w:val="18"/>
                <w:szCs w:val="18"/>
              </w:rPr>
              <w:t>期末账面余额</w:t>
            </w:r>
          </w:p>
        </w:tc>
        <w:tc>
          <w:tcPr>
            <w:cnfStyle w:val="000010000000" w:firstRow="0" w:lastRow="0" w:firstColumn="0" w:lastColumn="0" w:oddVBand="1" w:evenVBand="0" w:oddHBand="0" w:evenHBand="0" w:firstRowFirstColumn="0" w:firstRowLastColumn="0" w:lastRowFirstColumn="0" w:lastRowLastColumn="0"/>
            <w:tcW w:w="1213" w:type="pct"/>
          </w:tcPr>
          <w:p w14:paraId="75B59C77" w14:textId="77777777" w:rsidR="00CA5B07" w:rsidRPr="00CA5B07" w:rsidRDefault="00CA5B07" w:rsidP="0014662C">
            <w:pPr>
              <w:widowControl/>
              <w:jc w:val="center"/>
              <w:rPr>
                <w:rFonts w:asciiTheme="minorEastAsia" w:hAnsiTheme="minorEastAsia" w:cs="宋体" w:hint="eastAsia"/>
                <w:kern w:val="0"/>
                <w:sz w:val="18"/>
                <w:szCs w:val="18"/>
              </w:rPr>
            </w:pPr>
            <w:r w:rsidRPr="00CA5B07">
              <w:rPr>
                <w:rFonts w:asciiTheme="minorEastAsia" w:hAnsiTheme="minorEastAsia" w:cs="宋体" w:hint="eastAsia"/>
                <w:kern w:val="0"/>
                <w:sz w:val="18"/>
                <w:szCs w:val="18"/>
              </w:rPr>
              <w:t>期初账面余额</w:t>
            </w:r>
          </w:p>
        </w:tc>
      </w:tr>
      <w:tr w:rsidR="00CA5B07" w:rsidRPr="00CA5B07" w14:paraId="4CD7805F" w14:textId="77777777" w:rsidTr="004D7CC2">
        <w:trPr>
          <w:trHeight w:val="312"/>
        </w:trPr>
        <w:tc>
          <w:tcPr>
            <w:cnfStyle w:val="000010000000" w:firstRow="0" w:lastRow="0" w:firstColumn="0" w:lastColumn="0" w:oddVBand="1" w:evenVBand="0" w:oddHBand="0" w:evenHBand="0" w:firstRowFirstColumn="0" w:firstRowLastColumn="0" w:lastRowFirstColumn="0" w:lastRowLastColumn="0"/>
            <w:tcW w:w="2395" w:type="pct"/>
            <w:noWrap/>
          </w:tcPr>
          <w:p w14:paraId="68C43E55" w14:textId="77777777" w:rsidR="00CA5B07" w:rsidRPr="00CA5B07" w:rsidRDefault="00CA5B07" w:rsidP="0014662C">
            <w:pPr>
              <w:widowControl/>
              <w:rPr>
                <w:rFonts w:asciiTheme="minorEastAsia" w:hAnsiTheme="minorEastAsia" w:cs="宋体" w:hint="eastAsia"/>
                <w:kern w:val="0"/>
                <w:sz w:val="18"/>
                <w:szCs w:val="18"/>
              </w:rPr>
            </w:pPr>
            <w:r w:rsidRPr="00CA5B07">
              <w:rPr>
                <w:rFonts w:asciiTheme="minorEastAsia" w:hAnsiTheme="minorEastAsia" w:cs="宋体" w:hint="eastAsia"/>
                <w:kern w:val="0"/>
                <w:sz w:val="18"/>
                <w:szCs w:val="18"/>
              </w:rPr>
              <w:t>6个月以内</w:t>
            </w:r>
          </w:p>
        </w:tc>
        <w:tc>
          <w:tcPr>
            <w:cnfStyle w:val="000001000000" w:firstRow="0" w:lastRow="0" w:firstColumn="0" w:lastColumn="0" w:oddVBand="0" w:evenVBand="1" w:oddHBand="0" w:evenHBand="0" w:firstRowFirstColumn="0" w:firstRowLastColumn="0" w:lastRowFirstColumn="0" w:lastRowLastColumn="0"/>
            <w:tcW w:w="2459" w:type="dxa"/>
          </w:tcPr>
          <w:p w14:paraId="4B983A2A" w14:textId="77777777" w:rsidR="00CA5B07" w:rsidRPr="00CA5B07" w:rsidRDefault="00CA5B07" w:rsidP="0014662C">
            <w:pPr>
              <w:pStyle w:val="ab"/>
              <w:tabs>
                <w:tab w:val="left" w:pos="0"/>
                <w:tab w:val="left" w:pos="1418"/>
              </w:tabs>
              <w:autoSpaceDE w:val="0"/>
              <w:autoSpaceDN w:val="0"/>
              <w:snapToGrid w:val="0"/>
              <w:spacing w:line="360" w:lineRule="exact"/>
              <w:ind w:firstLineChars="0" w:firstLine="0"/>
              <w:jc w:val="right"/>
              <w:textAlignment w:val="bottom"/>
              <w:rPr>
                <w:rFonts w:asciiTheme="minorEastAsia" w:eastAsiaTheme="minorEastAsia" w:hAnsiTheme="minorEastAsia" w:cs="Arial" w:hint="eastAsia"/>
                <w:color w:val="000000"/>
                <w:kern w:val="0"/>
                <w:sz w:val="18"/>
                <w:szCs w:val="18"/>
                <w:lang w:bidi="ar"/>
              </w:rPr>
            </w:pPr>
            <w:r w:rsidRPr="00CA5B07">
              <w:rPr>
                <w:rFonts w:asciiTheme="minorEastAsia" w:eastAsiaTheme="minorEastAsia" w:hAnsiTheme="minorEastAsia" w:cs="Arial" w:hint="eastAsia"/>
                <w:color w:val="000000"/>
                <w:kern w:val="0"/>
                <w:sz w:val="18"/>
                <w:szCs w:val="18"/>
                <w:lang w:bidi="ar"/>
              </w:rPr>
              <w:t>23,222,970.98</w:t>
            </w:r>
          </w:p>
        </w:tc>
        <w:tc>
          <w:tcPr>
            <w:cnfStyle w:val="000010000000" w:firstRow="0" w:lastRow="0" w:firstColumn="0" w:lastColumn="0" w:oddVBand="1" w:evenVBand="0" w:oddHBand="0" w:evenHBand="0" w:firstRowFirstColumn="0" w:firstRowLastColumn="0" w:lastRowFirstColumn="0" w:lastRowLastColumn="0"/>
            <w:tcW w:w="1213" w:type="pct"/>
          </w:tcPr>
          <w:p w14:paraId="29FC3DB1" w14:textId="77777777" w:rsidR="00CA5B07" w:rsidRPr="00CA5B07" w:rsidRDefault="00CA5B07" w:rsidP="0014662C">
            <w:pPr>
              <w:pStyle w:val="ab"/>
              <w:tabs>
                <w:tab w:val="left" w:pos="0"/>
                <w:tab w:val="left" w:pos="1418"/>
              </w:tabs>
              <w:autoSpaceDE w:val="0"/>
              <w:autoSpaceDN w:val="0"/>
              <w:snapToGrid w:val="0"/>
              <w:spacing w:line="360" w:lineRule="exact"/>
              <w:ind w:firstLineChars="0" w:firstLine="0"/>
              <w:jc w:val="right"/>
              <w:textAlignment w:val="bottom"/>
              <w:rPr>
                <w:rFonts w:asciiTheme="minorEastAsia" w:eastAsiaTheme="minorEastAsia" w:hAnsiTheme="minorEastAsia" w:cs="Arial" w:hint="eastAsia"/>
                <w:color w:val="000000"/>
                <w:kern w:val="0"/>
                <w:sz w:val="18"/>
                <w:szCs w:val="18"/>
                <w:lang w:bidi="ar"/>
              </w:rPr>
            </w:pPr>
            <w:r w:rsidRPr="00CA5B07">
              <w:rPr>
                <w:rFonts w:asciiTheme="minorEastAsia" w:eastAsiaTheme="minorEastAsia" w:hAnsiTheme="minorEastAsia" w:cs="Arial"/>
                <w:color w:val="000000"/>
                <w:kern w:val="0"/>
                <w:sz w:val="18"/>
                <w:szCs w:val="18"/>
                <w:lang w:bidi="ar"/>
              </w:rPr>
              <w:t xml:space="preserve">39,978,317.19 </w:t>
            </w:r>
          </w:p>
        </w:tc>
      </w:tr>
      <w:tr w:rsidR="00CA5B07" w:rsidRPr="00CA5B07" w14:paraId="237669EC" w14:textId="77777777" w:rsidTr="004D7CC2">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2395" w:type="pct"/>
            <w:noWrap/>
          </w:tcPr>
          <w:p w14:paraId="0264AAE3" w14:textId="77777777" w:rsidR="00CA5B07" w:rsidRPr="00CA5B07" w:rsidRDefault="00CA5B07" w:rsidP="0014662C">
            <w:pPr>
              <w:widowControl/>
              <w:rPr>
                <w:rFonts w:asciiTheme="minorEastAsia" w:hAnsiTheme="minorEastAsia" w:cs="宋体" w:hint="eastAsia"/>
                <w:kern w:val="0"/>
                <w:sz w:val="18"/>
                <w:szCs w:val="18"/>
              </w:rPr>
            </w:pPr>
            <w:r w:rsidRPr="00CA5B07">
              <w:rPr>
                <w:rFonts w:asciiTheme="minorEastAsia" w:hAnsiTheme="minorEastAsia" w:cs="宋体" w:hint="eastAsia"/>
                <w:kern w:val="0"/>
                <w:sz w:val="18"/>
                <w:szCs w:val="18"/>
              </w:rPr>
              <w:t>6个月~1年</w:t>
            </w:r>
          </w:p>
        </w:tc>
        <w:tc>
          <w:tcPr>
            <w:cnfStyle w:val="000001000000" w:firstRow="0" w:lastRow="0" w:firstColumn="0" w:lastColumn="0" w:oddVBand="0" w:evenVBand="1" w:oddHBand="0" w:evenHBand="0" w:firstRowFirstColumn="0" w:firstRowLastColumn="0" w:lastRowFirstColumn="0" w:lastRowLastColumn="0"/>
            <w:tcW w:w="2459" w:type="dxa"/>
          </w:tcPr>
          <w:p w14:paraId="6AFC68EE" w14:textId="77777777" w:rsidR="00CA5B07" w:rsidRPr="00CA5B07" w:rsidRDefault="00CA5B07" w:rsidP="0014662C">
            <w:pPr>
              <w:pStyle w:val="ab"/>
              <w:tabs>
                <w:tab w:val="left" w:pos="0"/>
                <w:tab w:val="left" w:pos="1418"/>
              </w:tabs>
              <w:autoSpaceDE w:val="0"/>
              <w:autoSpaceDN w:val="0"/>
              <w:snapToGrid w:val="0"/>
              <w:spacing w:line="360" w:lineRule="exact"/>
              <w:ind w:firstLineChars="0" w:firstLine="0"/>
              <w:jc w:val="right"/>
              <w:textAlignment w:val="bottom"/>
              <w:rPr>
                <w:rFonts w:asciiTheme="minorEastAsia" w:eastAsiaTheme="minorEastAsia" w:hAnsiTheme="minorEastAsia" w:cs="Arial" w:hint="eastAsia"/>
                <w:color w:val="000000"/>
                <w:kern w:val="0"/>
                <w:sz w:val="18"/>
                <w:szCs w:val="18"/>
                <w:lang w:bidi="ar"/>
              </w:rPr>
            </w:pPr>
            <w:r w:rsidRPr="00CA5B07">
              <w:rPr>
                <w:rFonts w:asciiTheme="minorEastAsia" w:eastAsiaTheme="minorEastAsia" w:hAnsiTheme="minorEastAsia" w:cs="Arial" w:hint="eastAsia"/>
                <w:color w:val="000000"/>
                <w:kern w:val="0"/>
                <w:sz w:val="18"/>
                <w:szCs w:val="18"/>
                <w:lang w:bidi="ar"/>
              </w:rPr>
              <w:t>6,772,351.64</w:t>
            </w:r>
          </w:p>
        </w:tc>
        <w:tc>
          <w:tcPr>
            <w:cnfStyle w:val="000010000000" w:firstRow="0" w:lastRow="0" w:firstColumn="0" w:lastColumn="0" w:oddVBand="1" w:evenVBand="0" w:oddHBand="0" w:evenHBand="0" w:firstRowFirstColumn="0" w:firstRowLastColumn="0" w:lastRowFirstColumn="0" w:lastRowLastColumn="0"/>
            <w:tcW w:w="1213" w:type="pct"/>
          </w:tcPr>
          <w:p w14:paraId="70526194" w14:textId="77777777" w:rsidR="00CA5B07" w:rsidRPr="00CA5B07" w:rsidRDefault="00CA5B07" w:rsidP="0014662C">
            <w:pPr>
              <w:pStyle w:val="ab"/>
              <w:tabs>
                <w:tab w:val="left" w:pos="0"/>
                <w:tab w:val="left" w:pos="1418"/>
              </w:tabs>
              <w:autoSpaceDE w:val="0"/>
              <w:autoSpaceDN w:val="0"/>
              <w:snapToGrid w:val="0"/>
              <w:spacing w:line="360" w:lineRule="exact"/>
              <w:ind w:firstLineChars="0" w:firstLine="0"/>
              <w:jc w:val="right"/>
              <w:textAlignment w:val="bottom"/>
              <w:rPr>
                <w:rFonts w:asciiTheme="minorEastAsia" w:eastAsiaTheme="minorEastAsia" w:hAnsiTheme="minorEastAsia" w:cs="Arial" w:hint="eastAsia"/>
                <w:color w:val="000000"/>
                <w:kern w:val="0"/>
                <w:sz w:val="18"/>
                <w:szCs w:val="18"/>
                <w:lang w:bidi="ar"/>
              </w:rPr>
            </w:pPr>
            <w:r w:rsidRPr="00CA5B07">
              <w:rPr>
                <w:rFonts w:asciiTheme="minorEastAsia" w:eastAsiaTheme="minorEastAsia" w:hAnsiTheme="minorEastAsia" w:cs="Arial"/>
                <w:color w:val="000000"/>
                <w:kern w:val="0"/>
                <w:sz w:val="18"/>
                <w:szCs w:val="18"/>
                <w:lang w:bidi="ar"/>
              </w:rPr>
              <w:t xml:space="preserve">49,460,568.41 </w:t>
            </w:r>
          </w:p>
        </w:tc>
      </w:tr>
      <w:tr w:rsidR="00CA5B07" w:rsidRPr="00CA5B07" w14:paraId="7A8BF433" w14:textId="77777777" w:rsidTr="004D7CC2">
        <w:trPr>
          <w:trHeight w:val="312"/>
        </w:trPr>
        <w:tc>
          <w:tcPr>
            <w:cnfStyle w:val="000010000000" w:firstRow="0" w:lastRow="0" w:firstColumn="0" w:lastColumn="0" w:oddVBand="1" w:evenVBand="0" w:oddHBand="0" w:evenHBand="0" w:firstRowFirstColumn="0" w:firstRowLastColumn="0" w:lastRowFirstColumn="0" w:lastRowLastColumn="0"/>
            <w:tcW w:w="2395" w:type="pct"/>
            <w:noWrap/>
          </w:tcPr>
          <w:p w14:paraId="10CA3FA7" w14:textId="77777777" w:rsidR="00CA5B07" w:rsidRPr="00CA5B07" w:rsidRDefault="00CA5B07" w:rsidP="0014662C">
            <w:pPr>
              <w:widowControl/>
              <w:rPr>
                <w:rFonts w:asciiTheme="minorEastAsia" w:hAnsiTheme="minorEastAsia" w:cs="宋体" w:hint="eastAsia"/>
                <w:kern w:val="0"/>
                <w:sz w:val="18"/>
                <w:szCs w:val="18"/>
              </w:rPr>
            </w:pPr>
            <w:r w:rsidRPr="00CA5B07">
              <w:rPr>
                <w:rFonts w:asciiTheme="minorEastAsia" w:hAnsiTheme="minorEastAsia" w:cs="宋体" w:hint="eastAsia"/>
                <w:kern w:val="0"/>
                <w:sz w:val="18"/>
                <w:szCs w:val="18"/>
              </w:rPr>
              <w:t>1～2年</w:t>
            </w:r>
          </w:p>
        </w:tc>
        <w:tc>
          <w:tcPr>
            <w:cnfStyle w:val="000001000000" w:firstRow="0" w:lastRow="0" w:firstColumn="0" w:lastColumn="0" w:oddVBand="0" w:evenVBand="1" w:oddHBand="0" w:evenHBand="0" w:firstRowFirstColumn="0" w:firstRowLastColumn="0" w:lastRowFirstColumn="0" w:lastRowLastColumn="0"/>
            <w:tcW w:w="2459" w:type="dxa"/>
          </w:tcPr>
          <w:p w14:paraId="39F8B6FF" w14:textId="77777777" w:rsidR="00CA5B07" w:rsidRPr="00CA5B07" w:rsidRDefault="00CA5B07" w:rsidP="0014662C">
            <w:pPr>
              <w:pStyle w:val="ab"/>
              <w:tabs>
                <w:tab w:val="left" w:pos="0"/>
                <w:tab w:val="left" w:pos="1418"/>
              </w:tabs>
              <w:autoSpaceDE w:val="0"/>
              <w:autoSpaceDN w:val="0"/>
              <w:snapToGrid w:val="0"/>
              <w:spacing w:line="360" w:lineRule="exact"/>
              <w:ind w:firstLineChars="0" w:firstLine="0"/>
              <w:jc w:val="right"/>
              <w:textAlignment w:val="bottom"/>
              <w:rPr>
                <w:rFonts w:asciiTheme="minorEastAsia" w:eastAsiaTheme="minorEastAsia" w:hAnsiTheme="minorEastAsia" w:cs="Arial" w:hint="eastAsia"/>
                <w:color w:val="000000"/>
                <w:kern w:val="0"/>
                <w:sz w:val="18"/>
                <w:szCs w:val="18"/>
                <w:lang w:bidi="ar"/>
              </w:rPr>
            </w:pPr>
            <w:r w:rsidRPr="00CA5B07">
              <w:rPr>
                <w:rFonts w:asciiTheme="minorEastAsia" w:eastAsiaTheme="minorEastAsia" w:hAnsiTheme="minorEastAsia" w:cs="Arial" w:hint="eastAsia"/>
                <w:color w:val="000000"/>
                <w:kern w:val="0"/>
                <w:sz w:val="18"/>
                <w:szCs w:val="18"/>
                <w:lang w:bidi="ar"/>
              </w:rPr>
              <w:t>67,488,768.02</w:t>
            </w:r>
          </w:p>
        </w:tc>
        <w:tc>
          <w:tcPr>
            <w:cnfStyle w:val="000010000000" w:firstRow="0" w:lastRow="0" w:firstColumn="0" w:lastColumn="0" w:oddVBand="1" w:evenVBand="0" w:oddHBand="0" w:evenHBand="0" w:firstRowFirstColumn="0" w:firstRowLastColumn="0" w:lastRowFirstColumn="0" w:lastRowLastColumn="0"/>
            <w:tcW w:w="1213" w:type="pct"/>
          </w:tcPr>
          <w:p w14:paraId="15911980" w14:textId="77777777" w:rsidR="00CA5B07" w:rsidRPr="00CA5B07" w:rsidRDefault="00CA5B07" w:rsidP="0014662C">
            <w:pPr>
              <w:pStyle w:val="ab"/>
              <w:tabs>
                <w:tab w:val="left" w:pos="0"/>
                <w:tab w:val="left" w:pos="1418"/>
              </w:tabs>
              <w:autoSpaceDE w:val="0"/>
              <w:autoSpaceDN w:val="0"/>
              <w:snapToGrid w:val="0"/>
              <w:spacing w:line="360" w:lineRule="exact"/>
              <w:ind w:firstLineChars="0" w:firstLine="0"/>
              <w:jc w:val="right"/>
              <w:textAlignment w:val="bottom"/>
              <w:rPr>
                <w:rFonts w:asciiTheme="minorEastAsia" w:eastAsiaTheme="minorEastAsia" w:hAnsiTheme="minorEastAsia" w:cs="Arial" w:hint="eastAsia"/>
                <w:color w:val="000000"/>
                <w:kern w:val="0"/>
                <w:sz w:val="18"/>
                <w:szCs w:val="18"/>
                <w:lang w:bidi="ar"/>
              </w:rPr>
            </w:pPr>
            <w:r w:rsidRPr="00CA5B07">
              <w:rPr>
                <w:rFonts w:asciiTheme="minorEastAsia" w:eastAsiaTheme="minorEastAsia" w:hAnsiTheme="minorEastAsia" w:cs="Arial"/>
                <w:color w:val="000000"/>
                <w:kern w:val="0"/>
                <w:sz w:val="18"/>
                <w:szCs w:val="18"/>
                <w:lang w:bidi="ar"/>
              </w:rPr>
              <w:t xml:space="preserve">426,677,600.64 </w:t>
            </w:r>
          </w:p>
        </w:tc>
      </w:tr>
      <w:tr w:rsidR="00CA5B07" w:rsidRPr="00CA5B07" w14:paraId="423ED00A" w14:textId="77777777" w:rsidTr="004D7CC2">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2395" w:type="pct"/>
            <w:noWrap/>
          </w:tcPr>
          <w:p w14:paraId="66244B46" w14:textId="77777777" w:rsidR="00CA5B07" w:rsidRPr="00CA5B07" w:rsidRDefault="00CA5B07" w:rsidP="0014662C">
            <w:pPr>
              <w:widowControl/>
              <w:rPr>
                <w:rFonts w:asciiTheme="minorEastAsia" w:hAnsiTheme="minorEastAsia" w:cs="宋体" w:hint="eastAsia"/>
                <w:kern w:val="0"/>
                <w:sz w:val="18"/>
                <w:szCs w:val="18"/>
              </w:rPr>
            </w:pPr>
            <w:r w:rsidRPr="00CA5B07">
              <w:rPr>
                <w:rFonts w:asciiTheme="minorEastAsia" w:hAnsiTheme="minorEastAsia" w:cs="宋体" w:hint="eastAsia"/>
                <w:kern w:val="0"/>
                <w:sz w:val="18"/>
                <w:szCs w:val="18"/>
              </w:rPr>
              <w:t>2～3年</w:t>
            </w:r>
          </w:p>
        </w:tc>
        <w:tc>
          <w:tcPr>
            <w:cnfStyle w:val="000001000000" w:firstRow="0" w:lastRow="0" w:firstColumn="0" w:lastColumn="0" w:oddVBand="0" w:evenVBand="1" w:oddHBand="0" w:evenHBand="0" w:firstRowFirstColumn="0" w:firstRowLastColumn="0" w:lastRowFirstColumn="0" w:lastRowLastColumn="0"/>
            <w:tcW w:w="2459" w:type="dxa"/>
          </w:tcPr>
          <w:p w14:paraId="1968BB49" w14:textId="77777777" w:rsidR="00CA5B07" w:rsidRPr="00CA5B07" w:rsidRDefault="00CA5B07" w:rsidP="0014662C">
            <w:pPr>
              <w:pStyle w:val="ab"/>
              <w:tabs>
                <w:tab w:val="left" w:pos="0"/>
                <w:tab w:val="left" w:pos="1418"/>
              </w:tabs>
              <w:autoSpaceDE w:val="0"/>
              <w:autoSpaceDN w:val="0"/>
              <w:snapToGrid w:val="0"/>
              <w:spacing w:line="360" w:lineRule="exact"/>
              <w:ind w:firstLineChars="0" w:firstLine="0"/>
              <w:jc w:val="right"/>
              <w:textAlignment w:val="bottom"/>
              <w:rPr>
                <w:rFonts w:asciiTheme="minorEastAsia" w:eastAsiaTheme="minorEastAsia" w:hAnsiTheme="minorEastAsia" w:cs="Arial" w:hint="eastAsia"/>
                <w:color w:val="000000"/>
                <w:kern w:val="0"/>
                <w:sz w:val="18"/>
                <w:szCs w:val="18"/>
                <w:lang w:bidi="ar"/>
              </w:rPr>
            </w:pPr>
            <w:r w:rsidRPr="00CA5B07">
              <w:rPr>
                <w:rFonts w:asciiTheme="minorEastAsia" w:eastAsiaTheme="minorEastAsia" w:hAnsiTheme="minorEastAsia" w:cs="Arial" w:hint="eastAsia"/>
                <w:color w:val="000000"/>
                <w:kern w:val="0"/>
                <w:sz w:val="18"/>
                <w:szCs w:val="18"/>
                <w:lang w:bidi="ar"/>
              </w:rPr>
              <w:t>6,449,779.91</w:t>
            </w:r>
          </w:p>
        </w:tc>
        <w:tc>
          <w:tcPr>
            <w:cnfStyle w:val="000010000000" w:firstRow="0" w:lastRow="0" w:firstColumn="0" w:lastColumn="0" w:oddVBand="1" w:evenVBand="0" w:oddHBand="0" w:evenHBand="0" w:firstRowFirstColumn="0" w:firstRowLastColumn="0" w:lastRowFirstColumn="0" w:lastRowLastColumn="0"/>
            <w:tcW w:w="1213" w:type="pct"/>
          </w:tcPr>
          <w:p w14:paraId="61E5A6D9" w14:textId="77777777" w:rsidR="00CA5B07" w:rsidRPr="00CA5B07" w:rsidRDefault="00CA5B07" w:rsidP="0014662C">
            <w:pPr>
              <w:pStyle w:val="ab"/>
              <w:tabs>
                <w:tab w:val="left" w:pos="0"/>
                <w:tab w:val="left" w:pos="1418"/>
              </w:tabs>
              <w:autoSpaceDE w:val="0"/>
              <w:autoSpaceDN w:val="0"/>
              <w:snapToGrid w:val="0"/>
              <w:spacing w:line="360" w:lineRule="exact"/>
              <w:ind w:firstLineChars="0" w:firstLine="0"/>
              <w:jc w:val="right"/>
              <w:textAlignment w:val="bottom"/>
              <w:rPr>
                <w:rFonts w:asciiTheme="minorEastAsia" w:eastAsiaTheme="minorEastAsia" w:hAnsiTheme="minorEastAsia" w:cs="Arial" w:hint="eastAsia"/>
                <w:color w:val="000000"/>
                <w:kern w:val="0"/>
                <w:sz w:val="18"/>
                <w:szCs w:val="18"/>
                <w:lang w:bidi="ar"/>
              </w:rPr>
            </w:pPr>
            <w:r w:rsidRPr="00CA5B07">
              <w:rPr>
                <w:rFonts w:asciiTheme="minorEastAsia" w:eastAsiaTheme="minorEastAsia" w:hAnsiTheme="minorEastAsia" w:cs="Arial"/>
                <w:color w:val="000000"/>
                <w:kern w:val="0"/>
                <w:sz w:val="18"/>
                <w:szCs w:val="18"/>
                <w:lang w:bidi="ar"/>
              </w:rPr>
              <w:t xml:space="preserve">1,292,034,754.36 </w:t>
            </w:r>
          </w:p>
        </w:tc>
      </w:tr>
      <w:tr w:rsidR="00CA5B07" w:rsidRPr="00CA5B07" w14:paraId="31087128" w14:textId="77777777" w:rsidTr="004D7CC2">
        <w:trPr>
          <w:trHeight w:val="312"/>
        </w:trPr>
        <w:tc>
          <w:tcPr>
            <w:cnfStyle w:val="000010000000" w:firstRow="0" w:lastRow="0" w:firstColumn="0" w:lastColumn="0" w:oddVBand="1" w:evenVBand="0" w:oddHBand="0" w:evenHBand="0" w:firstRowFirstColumn="0" w:firstRowLastColumn="0" w:lastRowFirstColumn="0" w:lastRowLastColumn="0"/>
            <w:tcW w:w="2395" w:type="pct"/>
            <w:noWrap/>
          </w:tcPr>
          <w:p w14:paraId="7EBFD71C" w14:textId="77777777" w:rsidR="00CA5B07" w:rsidRPr="00CA5B07" w:rsidRDefault="00CA5B07" w:rsidP="0014662C">
            <w:pPr>
              <w:widowControl/>
              <w:rPr>
                <w:rFonts w:asciiTheme="minorEastAsia" w:hAnsiTheme="minorEastAsia" w:cs="宋体" w:hint="eastAsia"/>
                <w:kern w:val="0"/>
                <w:sz w:val="18"/>
                <w:szCs w:val="18"/>
              </w:rPr>
            </w:pPr>
            <w:r w:rsidRPr="00CA5B07">
              <w:rPr>
                <w:rFonts w:asciiTheme="minorEastAsia" w:hAnsiTheme="minorEastAsia" w:cs="宋体" w:hint="eastAsia"/>
                <w:kern w:val="0"/>
                <w:sz w:val="18"/>
                <w:szCs w:val="18"/>
              </w:rPr>
              <w:t>3～4年</w:t>
            </w:r>
          </w:p>
        </w:tc>
        <w:tc>
          <w:tcPr>
            <w:cnfStyle w:val="000001000000" w:firstRow="0" w:lastRow="0" w:firstColumn="0" w:lastColumn="0" w:oddVBand="0" w:evenVBand="1" w:oddHBand="0" w:evenHBand="0" w:firstRowFirstColumn="0" w:firstRowLastColumn="0" w:lastRowFirstColumn="0" w:lastRowLastColumn="0"/>
            <w:tcW w:w="2459" w:type="dxa"/>
          </w:tcPr>
          <w:p w14:paraId="20AC5851" w14:textId="77777777" w:rsidR="00CA5B07" w:rsidRPr="00CA5B07" w:rsidRDefault="00CA5B07" w:rsidP="0014662C">
            <w:pPr>
              <w:pStyle w:val="ab"/>
              <w:tabs>
                <w:tab w:val="left" w:pos="0"/>
                <w:tab w:val="left" w:pos="1418"/>
              </w:tabs>
              <w:autoSpaceDE w:val="0"/>
              <w:autoSpaceDN w:val="0"/>
              <w:snapToGrid w:val="0"/>
              <w:spacing w:line="360" w:lineRule="exact"/>
              <w:ind w:firstLineChars="0" w:firstLine="0"/>
              <w:jc w:val="right"/>
              <w:textAlignment w:val="bottom"/>
              <w:rPr>
                <w:rFonts w:asciiTheme="minorEastAsia" w:eastAsiaTheme="minorEastAsia" w:hAnsiTheme="minorEastAsia" w:cs="Arial" w:hint="eastAsia"/>
                <w:color w:val="000000"/>
                <w:kern w:val="0"/>
                <w:sz w:val="18"/>
                <w:szCs w:val="18"/>
                <w:lang w:bidi="ar"/>
              </w:rPr>
            </w:pPr>
            <w:r w:rsidRPr="00CA5B07">
              <w:rPr>
                <w:rFonts w:asciiTheme="minorEastAsia" w:eastAsiaTheme="minorEastAsia" w:hAnsiTheme="minorEastAsia" w:cs="Arial" w:hint="eastAsia"/>
                <w:color w:val="000000"/>
                <w:kern w:val="0"/>
                <w:sz w:val="18"/>
                <w:szCs w:val="18"/>
                <w:lang w:bidi="ar"/>
              </w:rPr>
              <w:t>19,831,025.12</w:t>
            </w:r>
          </w:p>
        </w:tc>
        <w:tc>
          <w:tcPr>
            <w:cnfStyle w:val="000010000000" w:firstRow="0" w:lastRow="0" w:firstColumn="0" w:lastColumn="0" w:oddVBand="1" w:evenVBand="0" w:oddHBand="0" w:evenHBand="0" w:firstRowFirstColumn="0" w:firstRowLastColumn="0" w:lastRowFirstColumn="0" w:lastRowLastColumn="0"/>
            <w:tcW w:w="1213" w:type="pct"/>
          </w:tcPr>
          <w:p w14:paraId="0EC4DABE" w14:textId="77777777" w:rsidR="00CA5B07" w:rsidRPr="00CA5B07" w:rsidRDefault="00CA5B07" w:rsidP="0014662C">
            <w:pPr>
              <w:pStyle w:val="ab"/>
              <w:tabs>
                <w:tab w:val="left" w:pos="0"/>
                <w:tab w:val="left" w:pos="1418"/>
              </w:tabs>
              <w:autoSpaceDE w:val="0"/>
              <w:autoSpaceDN w:val="0"/>
              <w:snapToGrid w:val="0"/>
              <w:spacing w:line="360" w:lineRule="exact"/>
              <w:ind w:firstLineChars="0" w:firstLine="0"/>
              <w:jc w:val="right"/>
              <w:textAlignment w:val="bottom"/>
              <w:rPr>
                <w:rFonts w:asciiTheme="minorEastAsia" w:eastAsiaTheme="minorEastAsia" w:hAnsiTheme="minorEastAsia" w:cs="Arial" w:hint="eastAsia"/>
                <w:color w:val="000000"/>
                <w:kern w:val="0"/>
                <w:sz w:val="18"/>
                <w:szCs w:val="18"/>
                <w:lang w:bidi="ar"/>
              </w:rPr>
            </w:pPr>
            <w:r w:rsidRPr="00CA5B07">
              <w:rPr>
                <w:rFonts w:asciiTheme="minorEastAsia" w:eastAsiaTheme="minorEastAsia" w:hAnsiTheme="minorEastAsia" w:cs="Arial"/>
                <w:color w:val="000000"/>
                <w:kern w:val="0"/>
                <w:sz w:val="18"/>
                <w:szCs w:val="18"/>
                <w:lang w:bidi="ar"/>
              </w:rPr>
              <w:t xml:space="preserve">225,749,680.93 </w:t>
            </w:r>
          </w:p>
        </w:tc>
      </w:tr>
      <w:tr w:rsidR="00CA5B07" w:rsidRPr="00CA5B07" w14:paraId="08A07015" w14:textId="77777777" w:rsidTr="004D7CC2">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2395" w:type="pct"/>
            <w:noWrap/>
          </w:tcPr>
          <w:p w14:paraId="2BE9E5F9" w14:textId="77777777" w:rsidR="00CA5B07" w:rsidRPr="00CA5B07" w:rsidRDefault="00CA5B07" w:rsidP="0014662C">
            <w:pPr>
              <w:widowControl/>
              <w:rPr>
                <w:rFonts w:asciiTheme="minorEastAsia" w:hAnsiTheme="minorEastAsia" w:cs="宋体" w:hint="eastAsia"/>
                <w:kern w:val="0"/>
                <w:sz w:val="18"/>
                <w:szCs w:val="18"/>
              </w:rPr>
            </w:pPr>
            <w:r w:rsidRPr="00CA5B07">
              <w:rPr>
                <w:rFonts w:asciiTheme="minorEastAsia" w:hAnsiTheme="minorEastAsia" w:cs="宋体" w:hint="eastAsia"/>
                <w:kern w:val="0"/>
                <w:sz w:val="18"/>
                <w:szCs w:val="18"/>
              </w:rPr>
              <w:t>4年以上</w:t>
            </w:r>
          </w:p>
        </w:tc>
        <w:tc>
          <w:tcPr>
            <w:cnfStyle w:val="000001000000" w:firstRow="0" w:lastRow="0" w:firstColumn="0" w:lastColumn="0" w:oddVBand="0" w:evenVBand="1" w:oddHBand="0" w:evenHBand="0" w:firstRowFirstColumn="0" w:firstRowLastColumn="0" w:lastRowFirstColumn="0" w:lastRowLastColumn="0"/>
            <w:tcW w:w="2459" w:type="dxa"/>
          </w:tcPr>
          <w:p w14:paraId="47283E26" w14:textId="77777777" w:rsidR="00CA5B07" w:rsidRPr="00CA5B07" w:rsidRDefault="00CA5B07" w:rsidP="0014662C">
            <w:pPr>
              <w:pStyle w:val="ab"/>
              <w:tabs>
                <w:tab w:val="left" w:pos="0"/>
                <w:tab w:val="left" w:pos="1418"/>
              </w:tabs>
              <w:autoSpaceDE w:val="0"/>
              <w:autoSpaceDN w:val="0"/>
              <w:snapToGrid w:val="0"/>
              <w:spacing w:line="360" w:lineRule="exact"/>
              <w:ind w:firstLineChars="0" w:firstLine="0"/>
              <w:jc w:val="right"/>
              <w:textAlignment w:val="bottom"/>
              <w:rPr>
                <w:rFonts w:asciiTheme="minorEastAsia" w:eastAsiaTheme="minorEastAsia" w:hAnsiTheme="minorEastAsia" w:cs="Arial" w:hint="eastAsia"/>
                <w:color w:val="000000"/>
                <w:kern w:val="0"/>
                <w:sz w:val="18"/>
                <w:szCs w:val="18"/>
                <w:lang w:bidi="ar"/>
              </w:rPr>
            </w:pPr>
            <w:r w:rsidRPr="00CA5B07">
              <w:rPr>
                <w:rFonts w:asciiTheme="minorEastAsia" w:eastAsiaTheme="minorEastAsia" w:hAnsiTheme="minorEastAsia" w:cs="Arial" w:hint="eastAsia"/>
                <w:color w:val="000000"/>
                <w:kern w:val="0"/>
                <w:sz w:val="18"/>
                <w:szCs w:val="18"/>
                <w:lang w:bidi="ar"/>
              </w:rPr>
              <w:t>23,175,221.68</w:t>
            </w:r>
          </w:p>
        </w:tc>
        <w:tc>
          <w:tcPr>
            <w:cnfStyle w:val="000010000000" w:firstRow="0" w:lastRow="0" w:firstColumn="0" w:lastColumn="0" w:oddVBand="1" w:evenVBand="0" w:oddHBand="0" w:evenHBand="0" w:firstRowFirstColumn="0" w:firstRowLastColumn="0" w:lastRowFirstColumn="0" w:lastRowLastColumn="0"/>
            <w:tcW w:w="1213" w:type="pct"/>
          </w:tcPr>
          <w:p w14:paraId="6DE51696" w14:textId="77777777" w:rsidR="00CA5B07" w:rsidRPr="00CA5B07" w:rsidRDefault="00CA5B07" w:rsidP="0014662C">
            <w:pPr>
              <w:pStyle w:val="ab"/>
              <w:tabs>
                <w:tab w:val="left" w:pos="0"/>
                <w:tab w:val="left" w:pos="1418"/>
              </w:tabs>
              <w:autoSpaceDE w:val="0"/>
              <w:autoSpaceDN w:val="0"/>
              <w:snapToGrid w:val="0"/>
              <w:spacing w:line="360" w:lineRule="exact"/>
              <w:ind w:firstLineChars="0" w:firstLine="0"/>
              <w:jc w:val="right"/>
              <w:textAlignment w:val="bottom"/>
              <w:rPr>
                <w:rFonts w:asciiTheme="minorEastAsia" w:eastAsiaTheme="minorEastAsia" w:hAnsiTheme="minorEastAsia" w:cs="Arial" w:hint="eastAsia"/>
                <w:color w:val="000000"/>
                <w:kern w:val="0"/>
                <w:sz w:val="18"/>
                <w:szCs w:val="18"/>
                <w:lang w:bidi="ar"/>
              </w:rPr>
            </w:pPr>
            <w:r w:rsidRPr="00CA5B07">
              <w:rPr>
                <w:rFonts w:asciiTheme="minorEastAsia" w:eastAsiaTheme="minorEastAsia" w:hAnsiTheme="minorEastAsia" w:cs="Arial"/>
                <w:color w:val="000000"/>
                <w:kern w:val="0"/>
                <w:sz w:val="18"/>
                <w:szCs w:val="18"/>
                <w:lang w:bidi="ar"/>
              </w:rPr>
              <w:t xml:space="preserve">351,231,762.47 </w:t>
            </w:r>
          </w:p>
        </w:tc>
      </w:tr>
      <w:tr w:rsidR="00CA5B07" w:rsidRPr="00CA5B07" w14:paraId="60E5B695" w14:textId="77777777" w:rsidTr="004D7CC2">
        <w:trPr>
          <w:trHeight w:val="312"/>
        </w:trPr>
        <w:tc>
          <w:tcPr>
            <w:cnfStyle w:val="000010000000" w:firstRow="0" w:lastRow="0" w:firstColumn="0" w:lastColumn="0" w:oddVBand="1" w:evenVBand="0" w:oddHBand="0" w:evenHBand="0" w:firstRowFirstColumn="0" w:firstRowLastColumn="0" w:lastRowFirstColumn="0" w:lastRowLastColumn="0"/>
            <w:tcW w:w="2395" w:type="pct"/>
            <w:noWrap/>
          </w:tcPr>
          <w:p w14:paraId="0DF88536" w14:textId="77777777" w:rsidR="00CA5B07" w:rsidRPr="00CA5B07" w:rsidRDefault="00CA5B07" w:rsidP="0014662C">
            <w:pPr>
              <w:widowControl/>
              <w:jc w:val="center"/>
              <w:rPr>
                <w:rFonts w:asciiTheme="minorEastAsia" w:hAnsiTheme="minorEastAsia" w:cs="宋体" w:hint="eastAsia"/>
                <w:kern w:val="0"/>
                <w:sz w:val="18"/>
                <w:szCs w:val="18"/>
              </w:rPr>
            </w:pPr>
            <w:r w:rsidRPr="00CA5B07">
              <w:rPr>
                <w:rFonts w:asciiTheme="minorEastAsia" w:hAnsiTheme="minorEastAsia" w:cs="宋体" w:hint="eastAsia"/>
                <w:kern w:val="0"/>
                <w:sz w:val="18"/>
                <w:szCs w:val="18"/>
              </w:rPr>
              <w:t>合计</w:t>
            </w:r>
          </w:p>
        </w:tc>
        <w:tc>
          <w:tcPr>
            <w:cnfStyle w:val="000001000000" w:firstRow="0" w:lastRow="0" w:firstColumn="0" w:lastColumn="0" w:oddVBand="0" w:evenVBand="1" w:oddHBand="0" w:evenHBand="0" w:firstRowFirstColumn="0" w:firstRowLastColumn="0" w:lastRowFirstColumn="0" w:lastRowLastColumn="0"/>
            <w:tcW w:w="2459" w:type="dxa"/>
          </w:tcPr>
          <w:p w14:paraId="121B2935" w14:textId="77777777" w:rsidR="00CA5B07" w:rsidRPr="00CA5B07" w:rsidRDefault="00CA5B07" w:rsidP="0014662C">
            <w:pPr>
              <w:pStyle w:val="ab"/>
              <w:tabs>
                <w:tab w:val="left" w:pos="0"/>
                <w:tab w:val="left" w:pos="1418"/>
              </w:tabs>
              <w:autoSpaceDE w:val="0"/>
              <w:autoSpaceDN w:val="0"/>
              <w:snapToGrid w:val="0"/>
              <w:spacing w:line="360" w:lineRule="exact"/>
              <w:ind w:firstLineChars="0" w:firstLine="0"/>
              <w:jc w:val="right"/>
              <w:textAlignment w:val="bottom"/>
              <w:rPr>
                <w:rFonts w:asciiTheme="minorEastAsia" w:eastAsiaTheme="minorEastAsia" w:hAnsiTheme="minorEastAsia" w:cs="Arial" w:hint="eastAsia"/>
                <w:color w:val="000000"/>
                <w:kern w:val="0"/>
                <w:sz w:val="18"/>
                <w:szCs w:val="18"/>
                <w:lang w:bidi="ar"/>
              </w:rPr>
            </w:pPr>
            <w:r w:rsidRPr="00CA5B07">
              <w:rPr>
                <w:rFonts w:asciiTheme="minorEastAsia" w:eastAsiaTheme="minorEastAsia" w:hAnsiTheme="minorEastAsia" w:cs="Arial" w:hint="eastAsia"/>
                <w:color w:val="000000"/>
                <w:kern w:val="0"/>
                <w:sz w:val="18"/>
                <w:szCs w:val="18"/>
                <w:lang w:bidi="ar"/>
              </w:rPr>
              <w:t>146,940,117.35</w:t>
            </w:r>
          </w:p>
        </w:tc>
        <w:tc>
          <w:tcPr>
            <w:cnfStyle w:val="000010000000" w:firstRow="0" w:lastRow="0" w:firstColumn="0" w:lastColumn="0" w:oddVBand="1" w:evenVBand="0" w:oddHBand="0" w:evenHBand="0" w:firstRowFirstColumn="0" w:firstRowLastColumn="0" w:lastRowFirstColumn="0" w:lastRowLastColumn="0"/>
            <w:tcW w:w="1213" w:type="pct"/>
          </w:tcPr>
          <w:p w14:paraId="37089FC2" w14:textId="77777777" w:rsidR="00CA5B07" w:rsidRPr="00CA5B07" w:rsidRDefault="00CA5B07" w:rsidP="0014662C">
            <w:pPr>
              <w:pStyle w:val="ab"/>
              <w:tabs>
                <w:tab w:val="left" w:pos="0"/>
                <w:tab w:val="left" w:pos="1418"/>
              </w:tabs>
              <w:autoSpaceDE w:val="0"/>
              <w:autoSpaceDN w:val="0"/>
              <w:snapToGrid w:val="0"/>
              <w:spacing w:line="360" w:lineRule="exact"/>
              <w:ind w:firstLineChars="0" w:firstLine="0"/>
              <w:jc w:val="right"/>
              <w:textAlignment w:val="bottom"/>
              <w:rPr>
                <w:rFonts w:asciiTheme="minorEastAsia" w:eastAsiaTheme="minorEastAsia" w:hAnsiTheme="minorEastAsia" w:cs="Arial" w:hint="eastAsia"/>
                <w:color w:val="000000"/>
                <w:kern w:val="0"/>
                <w:sz w:val="18"/>
                <w:szCs w:val="18"/>
                <w:lang w:bidi="ar"/>
              </w:rPr>
            </w:pPr>
            <w:r w:rsidRPr="00CA5B07">
              <w:rPr>
                <w:rFonts w:asciiTheme="minorEastAsia" w:eastAsiaTheme="minorEastAsia" w:hAnsiTheme="minorEastAsia" w:cs="Arial"/>
                <w:color w:val="000000"/>
                <w:kern w:val="0"/>
                <w:sz w:val="18"/>
                <w:szCs w:val="18"/>
                <w:lang w:bidi="ar"/>
              </w:rPr>
              <w:t xml:space="preserve">2,385,132,684.00 </w:t>
            </w:r>
          </w:p>
        </w:tc>
      </w:tr>
      <w:tr w:rsidR="00CA5B07" w:rsidRPr="00CA5B07" w14:paraId="52F3A19E" w14:textId="77777777" w:rsidTr="004D7CC2">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2395" w:type="pct"/>
            <w:noWrap/>
          </w:tcPr>
          <w:p w14:paraId="679A5B8D" w14:textId="77777777" w:rsidR="00CA5B07" w:rsidRPr="00CA5B07" w:rsidRDefault="00CA5B07" w:rsidP="0014662C">
            <w:pPr>
              <w:widowControl/>
              <w:rPr>
                <w:rFonts w:asciiTheme="minorEastAsia" w:hAnsiTheme="minorEastAsia" w:cs="宋体" w:hint="eastAsia"/>
                <w:kern w:val="0"/>
                <w:sz w:val="18"/>
                <w:szCs w:val="18"/>
              </w:rPr>
            </w:pPr>
            <w:r w:rsidRPr="00CA5B07">
              <w:rPr>
                <w:rFonts w:asciiTheme="minorEastAsia" w:hAnsiTheme="minorEastAsia" w:cs="宋体" w:hint="eastAsia"/>
                <w:kern w:val="0"/>
                <w:sz w:val="18"/>
                <w:szCs w:val="18"/>
              </w:rPr>
              <w:t>减：坏账准备</w:t>
            </w:r>
          </w:p>
        </w:tc>
        <w:tc>
          <w:tcPr>
            <w:cnfStyle w:val="000001000000" w:firstRow="0" w:lastRow="0" w:firstColumn="0" w:lastColumn="0" w:oddVBand="0" w:evenVBand="1" w:oddHBand="0" w:evenHBand="0" w:firstRowFirstColumn="0" w:firstRowLastColumn="0" w:lastRowFirstColumn="0" w:lastRowLastColumn="0"/>
            <w:tcW w:w="2459" w:type="dxa"/>
          </w:tcPr>
          <w:p w14:paraId="27B71FDE" w14:textId="77777777" w:rsidR="00CA5B07" w:rsidRPr="00CA5B07" w:rsidRDefault="00CA5B07" w:rsidP="0014662C">
            <w:pPr>
              <w:pStyle w:val="ab"/>
              <w:tabs>
                <w:tab w:val="left" w:pos="0"/>
                <w:tab w:val="left" w:pos="1418"/>
              </w:tabs>
              <w:autoSpaceDE w:val="0"/>
              <w:autoSpaceDN w:val="0"/>
              <w:snapToGrid w:val="0"/>
              <w:spacing w:line="360" w:lineRule="exact"/>
              <w:ind w:firstLineChars="0" w:firstLine="0"/>
              <w:jc w:val="right"/>
              <w:textAlignment w:val="bottom"/>
              <w:rPr>
                <w:rFonts w:asciiTheme="minorEastAsia" w:eastAsiaTheme="minorEastAsia" w:hAnsiTheme="minorEastAsia" w:cs="Arial" w:hint="eastAsia"/>
                <w:color w:val="000000"/>
                <w:kern w:val="0"/>
                <w:sz w:val="18"/>
                <w:szCs w:val="18"/>
                <w:lang w:bidi="ar"/>
              </w:rPr>
            </w:pPr>
            <w:r w:rsidRPr="00CA5B07">
              <w:rPr>
                <w:rFonts w:asciiTheme="minorEastAsia" w:eastAsiaTheme="minorEastAsia" w:hAnsiTheme="minorEastAsia" w:cs="Arial" w:hint="eastAsia"/>
                <w:color w:val="000000"/>
                <w:kern w:val="0"/>
                <w:sz w:val="18"/>
                <w:szCs w:val="18"/>
                <w:lang w:bidi="ar"/>
              </w:rPr>
              <w:t>74,683,526.88</w:t>
            </w:r>
          </w:p>
        </w:tc>
        <w:tc>
          <w:tcPr>
            <w:cnfStyle w:val="000010000000" w:firstRow="0" w:lastRow="0" w:firstColumn="0" w:lastColumn="0" w:oddVBand="1" w:evenVBand="0" w:oddHBand="0" w:evenHBand="0" w:firstRowFirstColumn="0" w:firstRowLastColumn="0" w:lastRowFirstColumn="0" w:lastRowLastColumn="0"/>
            <w:tcW w:w="1213" w:type="pct"/>
          </w:tcPr>
          <w:p w14:paraId="374E53DA" w14:textId="77777777" w:rsidR="00CA5B07" w:rsidRPr="00CA5B07" w:rsidRDefault="00CA5B07" w:rsidP="0014662C">
            <w:pPr>
              <w:pStyle w:val="ab"/>
              <w:tabs>
                <w:tab w:val="left" w:pos="0"/>
                <w:tab w:val="left" w:pos="1418"/>
              </w:tabs>
              <w:autoSpaceDE w:val="0"/>
              <w:autoSpaceDN w:val="0"/>
              <w:snapToGrid w:val="0"/>
              <w:spacing w:line="360" w:lineRule="exact"/>
              <w:ind w:firstLineChars="0" w:firstLine="0"/>
              <w:jc w:val="right"/>
              <w:textAlignment w:val="bottom"/>
              <w:rPr>
                <w:rFonts w:asciiTheme="minorEastAsia" w:eastAsiaTheme="minorEastAsia" w:hAnsiTheme="minorEastAsia" w:cs="Arial" w:hint="eastAsia"/>
                <w:color w:val="000000"/>
                <w:kern w:val="0"/>
                <w:sz w:val="18"/>
                <w:szCs w:val="18"/>
                <w:lang w:bidi="ar"/>
              </w:rPr>
            </w:pPr>
            <w:r w:rsidRPr="00CA5B07">
              <w:rPr>
                <w:rFonts w:asciiTheme="minorEastAsia" w:eastAsiaTheme="minorEastAsia" w:hAnsiTheme="minorEastAsia" w:cs="Arial"/>
                <w:color w:val="000000"/>
                <w:kern w:val="0"/>
                <w:sz w:val="18"/>
                <w:szCs w:val="18"/>
                <w:lang w:bidi="ar"/>
              </w:rPr>
              <w:t xml:space="preserve">2,072,868,392.75  </w:t>
            </w:r>
          </w:p>
        </w:tc>
      </w:tr>
      <w:tr w:rsidR="00CA5B07" w:rsidRPr="00CA5B07" w14:paraId="27C670C2" w14:textId="77777777" w:rsidTr="004D7CC2">
        <w:trPr>
          <w:trHeight w:val="312"/>
        </w:trPr>
        <w:tc>
          <w:tcPr>
            <w:cnfStyle w:val="000010000000" w:firstRow="0" w:lastRow="0" w:firstColumn="0" w:lastColumn="0" w:oddVBand="1" w:evenVBand="0" w:oddHBand="0" w:evenHBand="0" w:firstRowFirstColumn="0" w:firstRowLastColumn="0" w:lastRowFirstColumn="0" w:lastRowLastColumn="0"/>
            <w:tcW w:w="2395" w:type="pct"/>
            <w:noWrap/>
          </w:tcPr>
          <w:p w14:paraId="678C18EA" w14:textId="77777777" w:rsidR="00CA5B07" w:rsidRPr="00CA5B07" w:rsidRDefault="00CA5B07" w:rsidP="0014662C">
            <w:pPr>
              <w:widowControl/>
              <w:jc w:val="center"/>
              <w:rPr>
                <w:rFonts w:asciiTheme="minorEastAsia" w:hAnsiTheme="minorEastAsia" w:cs="宋体" w:hint="eastAsia"/>
                <w:kern w:val="0"/>
                <w:sz w:val="18"/>
                <w:szCs w:val="18"/>
              </w:rPr>
            </w:pPr>
            <w:r w:rsidRPr="00CA5B07">
              <w:rPr>
                <w:rFonts w:asciiTheme="minorEastAsia" w:hAnsiTheme="minorEastAsia" w:cs="宋体" w:hint="eastAsia"/>
                <w:kern w:val="0"/>
                <w:sz w:val="18"/>
                <w:szCs w:val="18"/>
              </w:rPr>
              <w:t>净额</w:t>
            </w:r>
          </w:p>
        </w:tc>
        <w:tc>
          <w:tcPr>
            <w:cnfStyle w:val="000001000000" w:firstRow="0" w:lastRow="0" w:firstColumn="0" w:lastColumn="0" w:oddVBand="0" w:evenVBand="1" w:oddHBand="0" w:evenHBand="0" w:firstRowFirstColumn="0" w:firstRowLastColumn="0" w:lastRowFirstColumn="0" w:lastRowLastColumn="0"/>
            <w:tcW w:w="2459" w:type="dxa"/>
          </w:tcPr>
          <w:p w14:paraId="04A4C624" w14:textId="77777777" w:rsidR="00CA5B07" w:rsidRPr="00CA5B07" w:rsidRDefault="00CA5B07" w:rsidP="0014662C">
            <w:pPr>
              <w:pStyle w:val="ab"/>
              <w:tabs>
                <w:tab w:val="left" w:pos="0"/>
                <w:tab w:val="left" w:pos="1418"/>
              </w:tabs>
              <w:autoSpaceDE w:val="0"/>
              <w:autoSpaceDN w:val="0"/>
              <w:snapToGrid w:val="0"/>
              <w:spacing w:line="360" w:lineRule="exact"/>
              <w:ind w:firstLineChars="0" w:firstLine="0"/>
              <w:jc w:val="right"/>
              <w:textAlignment w:val="bottom"/>
              <w:rPr>
                <w:rFonts w:asciiTheme="minorEastAsia" w:eastAsiaTheme="minorEastAsia" w:hAnsiTheme="minorEastAsia" w:cs="Arial" w:hint="eastAsia"/>
                <w:color w:val="000000"/>
                <w:kern w:val="0"/>
                <w:sz w:val="18"/>
                <w:szCs w:val="18"/>
                <w:lang w:bidi="ar"/>
              </w:rPr>
            </w:pPr>
            <w:r w:rsidRPr="00CA5B07">
              <w:rPr>
                <w:rFonts w:asciiTheme="minorEastAsia" w:eastAsiaTheme="minorEastAsia" w:hAnsiTheme="minorEastAsia" w:cs="Arial" w:hint="eastAsia"/>
                <w:color w:val="000000"/>
                <w:kern w:val="0"/>
                <w:sz w:val="18"/>
                <w:szCs w:val="18"/>
                <w:lang w:bidi="ar"/>
              </w:rPr>
              <w:t>72,256,590.47</w:t>
            </w:r>
          </w:p>
        </w:tc>
        <w:tc>
          <w:tcPr>
            <w:cnfStyle w:val="000010000000" w:firstRow="0" w:lastRow="0" w:firstColumn="0" w:lastColumn="0" w:oddVBand="1" w:evenVBand="0" w:oddHBand="0" w:evenHBand="0" w:firstRowFirstColumn="0" w:firstRowLastColumn="0" w:lastRowFirstColumn="0" w:lastRowLastColumn="0"/>
            <w:tcW w:w="1213" w:type="pct"/>
          </w:tcPr>
          <w:p w14:paraId="40521397" w14:textId="77777777" w:rsidR="00CA5B07" w:rsidRPr="00CA5B07" w:rsidRDefault="00CA5B07" w:rsidP="0014662C">
            <w:pPr>
              <w:pStyle w:val="ab"/>
              <w:tabs>
                <w:tab w:val="left" w:pos="0"/>
                <w:tab w:val="left" w:pos="1418"/>
              </w:tabs>
              <w:autoSpaceDE w:val="0"/>
              <w:autoSpaceDN w:val="0"/>
              <w:snapToGrid w:val="0"/>
              <w:spacing w:line="360" w:lineRule="exact"/>
              <w:ind w:firstLineChars="0" w:firstLine="0"/>
              <w:jc w:val="right"/>
              <w:textAlignment w:val="bottom"/>
              <w:rPr>
                <w:rFonts w:asciiTheme="minorEastAsia" w:eastAsiaTheme="minorEastAsia" w:hAnsiTheme="minorEastAsia" w:cs="Arial" w:hint="eastAsia"/>
                <w:color w:val="000000"/>
                <w:kern w:val="0"/>
                <w:sz w:val="18"/>
                <w:szCs w:val="18"/>
                <w:lang w:bidi="ar"/>
              </w:rPr>
            </w:pPr>
            <w:r w:rsidRPr="00CA5B07">
              <w:rPr>
                <w:rFonts w:asciiTheme="minorEastAsia" w:eastAsiaTheme="minorEastAsia" w:hAnsiTheme="minorEastAsia" w:cs="Arial"/>
                <w:color w:val="000000"/>
                <w:kern w:val="0"/>
                <w:sz w:val="18"/>
                <w:szCs w:val="18"/>
                <w:lang w:bidi="ar"/>
              </w:rPr>
              <w:t>312,264,291.25</w:t>
            </w:r>
          </w:p>
        </w:tc>
      </w:tr>
    </w:tbl>
    <w:p w14:paraId="382CA6B8" w14:textId="77777777" w:rsidR="001F5A64" w:rsidRDefault="001F5A64" w:rsidP="00CA5B07">
      <w:pPr>
        <w:keepNext/>
        <w:keepLines/>
        <w:spacing w:before="300" w:after="300" w:line="280" w:lineRule="exact"/>
        <w:outlineLvl w:val="4"/>
        <w:rPr>
          <w:rFonts w:ascii="宋体" w:eastAsia="宋体" w:hAnsi="宋体" w:cs="宋体" w:hint="eastAsia"/>
          <w:b/>
          <w:bCs/>
          <w:szCs w:val="21"/>
        </w:rPr>
      </w:pPr>
      <w:bookmarkStart w:id="229" w:name="_Toc989118"/>
    </w:p>
    <w:p w14:paraId="621658CA" w14:textId="77777777" w:rsidR="001F5A64" w:rsidRDefault="001F5A64">
      <w:pPr>
        <w:widowControl/>
        <w:rPr>
          <w:rFonts w:ascii="宋体" w:eastAsia="宋体" w:hAnsi="宋体" w:cs="宋体" w:hint="eastAsia"/>
          <w:b/>
          <w:bCs/>
          <w:szCs w:val="21"/>
        </w:rPr>
      </w:pPr>
      <w:r>
        <w:rPr>
          <w:rFonts w:ascii="宋体" w:eastAsia="宋体" w:hAnsi="宋体" w:cs="宋体" w:hint="eastAsia"/>
          <w:b/>
          <w:bCs/>
          <w:szCs w:val="21"/>
        </w:rPr>
        <w:br w:type="page"/>
      </w:r>
    </w:p>
    <w:p w14:paraId="79CECFA7" w14:textId="2404AABA" w:rsidR="00632E5B" w:rsidRPr="00CA5B07" w:rsidRDefault="00107901" w:rsidP="00CA5B07">
      <w:pPr>
        <w:keepNext/>
        <w:keepLines/>
        <w:spacing w:before="300" w:after="300" w:line="280" w:lineRule="exact"/>
        <w:outlineLvl w:val="4"/>
        <w:rPr>
          <w:rFonts w:ascii="宋体" w:eastAsia="宋体" w:hAnsi="宋体" w:cs="宋体" w:hint="eastAsia"/>
          <w:b/>
          <w:bCs/>
          <w:szCs w:val="21"/>
        </w:rPr>
      </w:pPr>
      <w:r>
        <w:rPr>
          <w:rFonts w:ascii="宋体" w:eastAsia="宋体" w:hAnsi="宋体" w:cs="宋体"/>
          <w:b/>
          <w:bCs/>
          <w:szCs w:val="21"/>
        </w:rPr>
        <w:lastRenderedPageBreak/>
        <w:t>3） 按坏账计提方法分类披露</w:t>
      </w:r>
      <w:bookmarkEnd w:id="229"/>
    </w:p>
    <w:p w14:paraId="0E012CD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按预期信用损失一般模型计提坏账准备：</w:t>
      </w:r>
    </w:p>
    <w:p w14:paraId="5E21DF30"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927"/>
        <w:gridCol w:w="1928"/>
        <w:gridCol w:w="1928"/>
        <w:gridCol w:w="1928"/>
        <w:gridCol w:w="1928"/>
      </w:tblGrid>
      <w:tr w:rsidR="00632E5B" w14:paraId="1CA0A4A6" w14:textId="77777777" w:rsidTr="001F5A64">
        <w:trPr>
          <w:trHeight w:val="240"/>
        </w:trPr>
        <w:tc>
          <w:tcPr>
            <w:tcW w:w="1928" w:type="dxa"/>
            <w:vMerge w:val="restart"/>
            <w:shd w:val="clear" w:color="auto" w:fill="FFFFFF" w:themeFill="background1"/>
            <w:vAlign w:val="center"/>
          </w:tcPr>
          <w:p w14:paraId="547C1F4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1928" w:type="dxa"/>
            <w:shd w:val="clear" w:color="auto" w:fill="FFFFFF" w:themeFill="background1"/>
            <w:vAlign w:val="center"/>
          </w:tcPr>
          <w:p w14:paraId="38C90E1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第一阶段</w:t>
            </w:r>
          </w:p>
        </w:tc>
        <w:tc>
          <w:tcPr>
            <w:tcW w:w="1928" w:type="dxa"/>
            <w:shd w:val="clear" w:color="auto" w:fill="FFFFFF" w:themeFill="background1"/>
            <w:vAlign w:val="center"/>
          </w:tcPr>
          <w:p w14:paraId="142F12C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第二阶段</w:t>
            </w:r>
          </w:p>
        </w:tc>
        <w:tc>
          <w:tcPr>
            <w:tcW w:w="1928" w:type="dxa"/>
            <w:shd w:val="clear" w:color="auto" w:fill="FFFFFF" w:themeFill="background1"/>
            <w:vAlign w:val="center"/>
          </w:tcPr>
          <w:p w14:paraId="6CF1190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第三阶段</w:t>
            </w:r>
          </w:p>
        </w:tc>
        <w:tc>
          <w:tcPr>
            <w:tcW w:w="1928" w:type="dxa"/>
            <w:vMerge w:val="restart"/>
            <w:shd w:val="clear" w:color="auto" w:fill="FFFFFF" w:themeFill="background1"/>
            <w:vAlign w:val="center"/>
          </w:tcPr>
          <w:p w14:paraId="7859806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合计</w:t>
            </w:r>
          </w:p>
        </w:tc>
      </w:tr>
      <w:tr w:rsidR="00632E5B" w14:paraId="663FC0BD" w14:textId="77777777" w:rsidTr="001F5A64">
        <w:trPr>
          <w:trHeight w:val="240"/>
        </w:trPr>
        <w:tc>
          <w:tcPr>
            <w:tcW w:w="1928" w:type="dxa"/>
            <w:vMerge/>
            <w:shd w:val="clear" w:color="auto" w:fill="FFFFFF" w:themeFill="background1"/>
            <w:vAlign w:val="center"/>
          </w:tcPr>
          <w:p w14:paraId="59D9400E" w14:textId="77777777" w:rsidR="00632E5B" w:rsidRDefault="00632E5B"/>
        </w:tc>
        <w:tc>
          <w:tcPr>
            <w:tcW w:w="1928" w:type="dxa"/>
            <w:shd w:val="clear" w:color="auto" w:fill="FFFFFF" w:themeFill="background1"/>
            <w:vAlign w:val="center"/>
          </w:tcPr>
          <w:p w14:paraId="7E7B4B6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未来12个月预期信用损失</w:t>
            </w:r>
          </w:p>
        </w:tc>
        <w:tc>
          <w:tcPr>
            <w:tcW w:w="1928" w:type="dxa"/>
            <w:shd w:val="clear" w:color="auto" w:fill="FFFFFF" w:themeFill="background1"/>
            <w:vAlign w:val="center"/>
          </w:tcPr>
          <w:p w14:paraId="5B09757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整个存续期预期信用损失（未发生信用减值）</w:t>
            </w:r>
          </w:p>
        </w:tc>
        <w:tc>
          <w:tcPr>
            <w:tcW w:w="1928" w:type="dxa"/>
            <w:shd w:val="clear" w:color="auto" w:fill="FFFFFF" w:themeFill="background1"/>
            <w:vAlign w:val="center"/>
          </w:tcPr>
          <w:p w14:paraId="14ECC44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整个存续期预期信用损失（已发生信用减值）</w:t>
            </w:r>
          </w:p>
        </w:tc>
        <w:tc>
          <w:tcPr>
            <w:tcW w:w="1928" w:type="dxa"/>
            <w:vMerge/>
            <w:shd w:val="clear" w:color="auto" w:fill="FFFFFF" w:themeFill="background1"/>
            <w:vAlign w:val="center"/>
          </w:tcPr>
          <w:p w14:paraId="5A32B467" w14:textId="77777777" w:rsidR="00632E5B" w:rsidRDefault="00632E5B"/>
        </w:tc>
      </w:tr>
      <w:tr w:rsidR="00632E5B" w14:paraId="012DBC01" w14:textId="77777777" w:rsidTr="001F5A64">
        <w:trPr>
          <w:trHeight w:val="240"/>
        </w:trPr>
        <w:tc>
          <w:tcPr>
            <w:tcW w:w="1928" w:type="dxa"/>
            <w:shd w:val="clear" w:color="auto" w:fill="FFFFFF" w:themeFill="background1"/>
            <w:vAlign w:val="center"/>
          </w:tcPr>
          <w:p w14:paraId="36D1ED0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2024年1月1日余额</w:t>
            </w:r>
          </w:p>
        </w:tc>
        <w:tc>
          <w:tcPr>
            <w:tcW w:w="1928" w:type="dxa"/>
            <w:shd w:val="clear" w:color="auto" w:fill="FFFFFF" w:themeFill="background1"/>
            <w:vAlign w:val="center"/>
          </w:tcPr>
          <w:p w14:paraId="2E7EDB4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3,092,386.01</w:t>
            </w:r>
          </w:p>
        </w:tc>
        <w:tc>
          <w:tcPr>
            <w:tcW w:w="1928" w:type="dxa"/>
            <w:shd w:val="clear" w:color="auto" w:fill="FFFFFF" w:themeFill="background1"/>
            <w:vAlign w:val="center"/>
          </w:tcPr>
          <w:p w14:paraId="53AEA29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87,964,583.42</w:t>
            </w:r>
          </w:p>
        </w:tc>
        <w:tc>
          <w:tcPr>
            <w:tcW w:w="1928" w:type="dxa"/>
            <w:shd w:val="clear" w:color="auto" w:fill="FFFFFF" w:themeFill="background1"/>
            <w:vAlign w:val="center"/>
          </w:tcPr>
          <w:p w14:paraId="6DA10B8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1,981,811,423.32</w:t>
            </w:r>
          </w:p>
        </w:tc>
        <w:tc>
          <w:tcPr>
            <w:tcW w:w="1928" w:type="dxa"/>
            <w:shd w:val="clear" w:color="auto" w:fill="FFFFFF" w:themeFill="background1"/>
            <w:vAlign w:val="center"/>
          </w:tcPr>
          <w:p w14:paraId="5643C6C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2,072,868,392.75</w:t>
            </w:r>
          </w:p>
        </w:tc>
      </w:tr>
      <w:tr w:rsidR="00632E5B" w14:paraId="4B6BEA67" w14:textId="77777777" w:rsidTr="001F5A64">
        <w:trPr>
          <w:trHeight w:val="240"/>
        </w:trPr>
        <w:tc>
          <w:tcPr>
            <w:tcW w:w="1928" w:type="dxa"/>
            <w:shd w:val="clear" w:color="auto" w:fill="FFFFFF" w:themeFill="background1"/>
            <w:vAlign w:val="center"/>
          </w:tcPr>
          <w:p w14:paraId="52922191"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2024年1月1日余额在本期</w:t>
            </w:r>
          </w:p>
        </w:tc>
        <w:tc>
          <w:tcPr>
            <w:tcW w:w="1928" w:type="dxa"/>
            <w:shd w:val="clear" w:color="auto" w:fill="FFFFFF" w:themeFill="background1"/>
            <w:vAlign w:val="center"/>
          </w:tcPr>
          <w:p w14:paraId="4B1EA226" w14:textId="77777777" w:rsidR="00632E5B" w:rsidRDefault="00632E5B"/>
        </w:tc>
        <w:tc>
          <w:tcPr>
            <w:tcW w:w="1928" w:type="dxa"/>
            <w:shd w:val="clear" w:color="auto" w:fill="FFFFFF" w:themeFill="background1"/>
            <w:vAlign w:val="center"/>
          </w:tcPr>
          <w:p w14:paraId="713F7560" w14:textId="77777777" w:rsidR="00632E5B" w:rsidRDefault="00632E5B"/>
        </w:tc>
        <w:tc>
          <w:tcPr>
            <w:tcW w:w="1928" w:type="dxa"/>
            <w:shd w:val="clear" w:color="auto" w:fill="FFFFFF" w:themeFill="background1"/>
            <w:vAlign w:val="center"/>
          </w:tcPr>
          <w:p w14:paraId="2A86E175" w14:textId="77777777" w:rsidR="00632E5B" w:rsidRDefault="00632E5B"/>
        </w:tc>
        <w:tc>
          <w:tcPr>
            <w:tcW w:w="1928" w:type="dxa"/>
            <w:shd w:val="clear" w:color="auto" w:fill="FFFFFF" w:themeFill="background1"/>
            <w:vAlign w:val="center"/>
          </w:tcPr>
          <w:p w14:paraId="13840978" w14:textId="77777777" w:rsidR="00632E5B" w:rsidRDefault="00632E5B"/>
        </w:tc>
      </w:tr>
      <w:tr w:rsidR="00632E5B" w14:paraId="5F9769D1" w14:textId="77777777" w:rsidTr="001F5A64">
        <w:trPr>
          <w:trHeight w:val="240"/>
        </w:trPr>
        <w:tc>
          <w:tcPr>
            <w:tcW w:w="1928" w:type="dxa"/>
            <w:shd w:val="clear" w:color="auto" w:fill="FFFFFF" w:themeFill="background1"/>
            <w:vAlign w:val="center"/>
          </w:tcPr>
          <w:p w14:paraId="060C58E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——转入第二阶段</w:t>
            </w:r>
          </w:p>
        </w:tc>
        <w:tc>
          <w:tcPr>
            <w:tcW w:w="1928" w:type="dxa"/>
            <w:shd w:val="clear" w:color="auto" w:fill="FFFFFF" w:themeFill="background1"/>
            <w:vAlign w:val="center"/>
          </w:tcPr>
          <w:p w14:paraId="22BB1D1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-45,183.84</w:t>
            </w:r>
          </w:p>
        </w:tc>
        <w:tc>
          <w:tcPr>
            <w:tcW w:w="1928" w:type="dxa"/>
            <w:shd w:val="clear" w:color="auto" w:fill="FFFFFF" w:themeFill="background1"/>
            <w:vAlign w:val="center"/>
          </w:tcPr>
          <w:p w14:paraId="7F58A5C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45,183.84</w:t>
            </w:r>
          </w:p>
        </w:tc>
        <w:tc>
          <w:tcPr>
            <w:tcW w:w="1928" w:type="dxa"/>
            <w:shd w:val="clear" w:color="auto" w:fill="FFFFFF" w:themeFill="background1"/>
            <w:vAlign w:val="center"/>
          </w:tcPr>
          <w:p w14:paraId="06DD48CC" w14:textId="77777777" w:rsidR="00632E5B" w:rsidRDefault="00632E5B">
            <w:pPr>
              <w:spacing w:line="240" w:lineRule="exact"/>
              <w:jc w:val="right"/>
              <w:rPr>
                <w:rFonts w:ascii="宋体" w:eastAsia="宋体" w:hAnsi="宋体" w:cs="宋体" w:hint="eastAsia"/>
                <w:sz w:val="18"/>
                <w:szCs w:val="18"/>
              </w:rPr>
            </w:pPr>
          </w:p>
        </w:tc>
        <w:tc>
          <w:tcPr>
            <w:tcW w:w="1928" w:type="dxa"/>
            <w:shd w:val="clear" w:color="auto" w:fill="FFFFFF" w:themeFill="background1"/>
            <w:vAlign w:val="center"/>
          </w:tcPr>
          <w:p w14:paraId="723E6AE3" w14:textId="77777777" w:rsidR="00632E5B" w:rsidRDefault="00632E5B">
            <w:pPr>
              <w:spacing w:line="240" w:lineRule="exact"/>
              <w:jc w:val="right"/>
              <w:rPr>
                <w:rFonts w:ascii="宋体" w:eastAsia="宋体" w:hAnsi="宋体" w:cs="宋体" w:hint="eastAsia"/>
                <w:sz w:val="18"/>
                <w:szCs w:val="18"/>
              </w:rPr>
            </w:pPr>
          </w:p>
        </w:tc>
      </w:tr>
      <w:tr w:rsidR="00632E5B" w14:paraId="5078A94A" w14:textId="77777777" w:rsidTr="001F5A64">
        <w:trPr>
          <w:trHeight w:val="240"/>
        </w:trPr>
        <w:tc>
          <w:tcPr>
            <w:tcW w:w="1928" w:type="dxa"/>
            <w:shd w:val="clear" w:color="auto" w:fill="FFFFFF" w:themeFill="background1"/>
            <w:vAlign w:val="center"/>
          </w:tcPr>
          <w:p w14:paraId="4EC371BC"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——转入第三阶段</w:t>
            </w:r>
          </w:p>
        </w:tc>
        <w:tc>
          <w:tcPr>
            <w:tcW w:w="1928" w:type="dxa"/>
            <w:shd w:val="clear" w:color="auto" w:fill="FFFFFF" w:themeFill="background1"/>
            <w:vAlign w:val="center"/>
          </w:tcPr>
          <w:p w14:paraId="3AEF07F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-1,089,690.95</w:t>
            </w:r>
          </w:p>
        </w:tc>
        <w:tc>
          <w:tcPr>
            <w:tcW w:w="1928" w:type="dxa"/>
            <w:shd w:val="clear" w:color="auto" w:fill="FFFFFF" w:themeFill="background1"/>
            <w:vAlign w:val="center"/>
          </w:tcPr>
          <w:p w14:paraId="7F11AAA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-55,390,326.30</w:t>
            </w:r>
          </w:p>
        </w:tc>
        <w:tc>
          <w:tcPr>
            <w:tcW w:w="1928" w:type="dxa"/>
            <w:shd w:val="clear" w:color="auto" w:fill="FFFFFF" w:themeFill="background1"/>
            <w:vAlign w:val="center"/>
          </w:tcPr>
          <w:p w14:paraId="63CCC8A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56,480,017.25</w:t>
            </w:r>
          </w:p>
        </w:tc>
        <w:tc>
          <w:tcPr>
            <w:tcW w:w="1928" w:type="dxa"/>
            <w:shd w:val="clear" w:color="auto" w:fill="FFFFFF" w:themeFill="background1"/>
            <w:vAlign w:val="center"/>
          </w:tcPr>
          <w:p w14:paraId="423A4512" w14:textId="77777777" w:rsidR="00632E5B" w:rsidRDefault="00632E5B">
            <w:pPr>
              <w:spacing w:line="240" w:lineRule="exact"/>
              <w:jc w:val="right"/>
              <w:rPr>
                <w:rFonts w:ascii="宋体" w:eastAsia="宋体" w:hAnsi="宋体" w:cs="宋体" w:hint="eastAsia"/>
                <w:sz w:val="18"/>
                <w:szCs w:val="18"/>
              </w:rPr>
            </w:pPr>
          </w:p>
        </w:tc>
      </w:tr>
      <w:tr w:rsidR="00632E5B" w14:paraId="08C74F19" w14:textId="77777777" w:rsidTr="001F5A64">
        <w:trPr>
          <w:trHeight w:val="240"/>
        </w:trPr>
        <w:tc>
          <w:tcPr>
            <w:tcW w:w="1928" w:type="dxa"/>
            <w:shd w:val="clear" w:color="auto" w:fill="FFFFFF" w:themeFill="background1"/>
            <w:vAlign w:val="center"/>
          </w:tcPr>
          <w:p w14:paraId="40036F59"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本期计提</w:t>
            </w:r>
          </w:p>
        </w:tc>
        <w:tc>
          <w:tcPr>
            <w:tcW w:w="1928" w:type="dxa"/>
            <w:shd w:val="clear" w:color="auto" w:fill="FFFFFF" w:themeFill="background1"/>
            <w:vAlign w:val="center"/>
          </w:tcPr>
          <w:p w14:paraId="5ED37FA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1,570,657.77</w:t>
            </w:r>
          </w:p>
        </w:tc>
        <w:tc>
          <w:tcPr>
            <w:tcW w:w="1928" w:type="dxa"/>
            <w:shd w:val="clear" w:color="auto" w:fill="FFFFFF" w:themeFill="background1"/>
            <w:vAlign w:val="center"/>
          </w:tcPr>
          <w:p w14:paraId="72D4E6B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9,372,304.99</w:t>
            </w:r>
          </w:p>
        </w:tc>
        <w:tc>
          <w:tcPr>
            <w:tcW w:w="1928" w:type="dxa"/>
            <w:shd w:val="clear" w:color="auto" w:fill="FFFFFF" w:themeFill="background1"/>
            <w:vAlign w:val="center"/>
          </w:tcPr>
          <w:p w14:paraId="6CA4958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248,996,335.01</w:t>
            </w:r>
          </w:p>
        </w:tc>
        <w:tc>
          <w:tcPr>
            <w:tcW w:w="1928" w:type="dxa"/>
            <w:shd w:val="clear" w:color="auto" w:fill="FFFFFF" w:themeFill="background1"/>
            <w:vAlign w:val="center"/>
          </w:tcPr>
          <w:p w14:paraId="010A721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259,939,297.77</w:t>
            </w:r>
          </w:p>
        </w:tc>
      </w:tr>
      <w:tr w:rsidR="00632E5B" w14:paraId="76E4E9D6" w14:textId="77777777" w:rsidTr="001F5A64">
        <w:trPr>
          <w:trHeight w:val="240"/>
        </w:trPr>
        <w:tc>
          <w:tcPr>
            <w:tcW w:w="1928" w:type="dxa"/>
            <w:shd w:val="clear" w:color="auto" w:fill="FFFFFF" w:themeFill="background1"/>
            <w:vAlign w:val="center"/>
          </w:tcPr>
          <w:p w14:paraId="61321FCA"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本期转回</w:t>
            </w:r>
          </w:p>
        </w:tc>
        <w:tc>
          <w:tcPr>
            <w:tcW w:w="1928" w:type="dxa"/>
            <w:shd w:val="clear" w:color="auto" w:fill="FFFFFF" w:themeFill="background1"/>
            <w:vAlign w:val="center"/>
          </w:tcPr>
          <w:p w14:paraId="5AFA661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718,810.25</w:t>
            </w:r>
          </w:p>
        </w:tc>
        <w:tc>
          <w:tcPr>
            <w:tcW w:w="1928" w:type="dxa"/>
            <w:shd w:val="clear" w:color="auto" w:fill="FFFFFF" w:themeFill="background1"/>
            <w:vAlign w:val="center"/>
          </w:tcPr>
          <w:p w14:paraId="532AFFC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16,599,262.98</w:t>
            </w:r>
          </w:p>
        </w:tc>
        <w:tc>
          <w:tcPr>
            <w:tcW w:w="1928" w:type="dxa"/>
            <w:shd w:val="clear" w:color="auto" w:fill="FFFFFF" w:themeFill="background1"/>
            <w:vAlign w:val="center"/>
          </w:tcPr>
          <w:p w14:paraId="33A27DE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33,026.54</w:t>
            </w:r>
          </w:p>
        </w:tc>
        <w:tc>
          <w:tcPr>
            <w:tcW w:w="1928" w:type="dxa"/>
            <w:shd w:val="clear" w:color="auto" w:fill="FFFFFF" w:themeFill="background1"/>
            <w:vAlign w:val="center"/>
          </w:tcPr>
          <w:p w14:paraId="7BC6061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17,351,099.77</w:t>
            </w:r>
          </w:p>
        </w:tc>
      </w:tr>
      <w:tr w:rsidR="00632E5B" w14:paraId="6D33178B" w14:textId="77777777" w:rsidTr="001F5A64">
        <w:trPr>
          <w:trHeight w:val="240"/>
        </w:trPr>
        <w:tc>
          <w:tcPr>
            <w:tcW w:w="1928" w:type="dxa"/>
            <w:shd w:val="clear" w:color="auto" w:fill="FFFFFF" w:themeFill="background1"/>
            <w:vAlign w:val="center"/>
          </w:tcPr>
          <w:p w14:paraId="46EBA137"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本期核销</w:t>
            </w:r>
          </w:p>
        </w:tc>
        <w:tc>
          <w:tcPr>
            <w:tcW w:w="1928" w:type="dxa"/>
            <w:shd w:val="clear" w:color="auto" w:fill="FFFFFF" w:themeFill="background1"/>
            <w:vAlign w:val="center"/>
          </w:tcPr>
          <w:p w14:paraId="5894992A" w14:textId="77777777" w:rsidR="00632E5B" w:rsidRDefault="00632E5B">
            <w:pPr>
              <w:spacing w:line="240" w:lineRule="exact"/>
              <w:jc w:val="right"/>
              <w:rPr>
                <w:rFonts w:ascii="宋体" w:eastAsia="宋体" w:hAnsi="宋体" w:cs="宋体" w:hint="eastAsia"/>
                <w:sz w:val="18"/>
                <w:szCs w:val="18"/>
              </w:rPr>
            </w:pPr>
          </w:p>
        </w:tc>
        <w:tc>
          <w:tcPr>
            <w:tcW w:w="1928" w:type="dxa"/>
            <w:shd w:val="clear" w:color="auto" w:fill="FFFFFF" w:themeFill="background1"/>
            <w:vAlign w:val="center"/>
          </w:tcPr>
          <w:p w14:paraId="57C4C675" w14:textId="77777777" w:rsidR="00632E5B" w:rsidRDefault="00632E5B">
            <w:pPr>
              <w:spacing w:line="240" w:lineRule="exact"/>
              <w:jc w:val="right"/>
              <w:rPr>
                <w:rFonts w:ascii="宋体" w:eastAsia="宋体" w:hAnsi="宋体" w:cs="宋体" w:hint="eastAsia"/>
                <w:sz w:val="18"/>
                <w:szCs w:val="18"/>
              </w:rPr>
            </w:pPr>
          </w:p>
        </w:tc>
        <w:tc>
          <w:tcPr>
            <w:tcW w:w="1928" w:type="dxa"/>
            <w:shd w:val="clear" w:color="auto" w:fill="FFFFFF" w:themeFill="background1"/>
            <w:vAlign w:val="center"/>
          </w:tcPr>
          <w:p w14:paraId="32FE6D6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2,088,885,646.80</w:t>
            </w:r>
          </w:p>
        </w:tc>
        <w:tc>
          <w:tcPr>
            <w:tcW w:w="1928" w:type="dxa"/>
            <w:shd w:val="clear" w:color="auto" w:fill="FFFFFF" w:themeFill="background1"/>
            <w:vAlign w:val="center"/>
          </w:tcPr>
          <w:p w14:paraId="65B85F7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2,088,885,646.80</w:t>
            </w:r>
          </w:p>
        </w:tc>
      </w:tr>
      <w:tr w:rsidR="00632E5B" w14:paraId="1729D554" w14:textId="77777777" w:rsidTr="001F5A64">
        <w:trPr>
          <w:trHeight w:val="240"/>
        </w:trPr>
        <w:tc>
          <w:tcPr>
            <w:tcW w:w="1928" w:type="dxa"/>
            <w:shd w:val="clear" w:color="auto" w:fill="FFFFFF" w:themeFill="background1"/>
            <w:vAlign w:val="center"/>
          </w:tcPr>
          <w:p w14:paraId="5C1B1BF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其他变动</w:t>
            </w:r>
          </w:p>
        </w:tc>
        <w:tc>
          <w:tcPr>
            <w:tcW w:w="1928" w:type="dxa"/>
            <w:shd w:val="clear" w:color="auto" w:fill="FFFFFF" w:themeFill="background1"/>
            <w:vAlign w:val="center"/>
          </w:tcPr>
          <w:p w14:paraId="170DB9B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-2,030,333.59</w:t>
            </w:r>
          </w:p>
        </w:tc>
        <w:tc>
          <w:tcPr>
            <w:tcW w:w="1928" w:type="dxa"/>
            <w:shd w:val="clear" w:color="auto" w:fill="FFFFFF" w:themeFill="background1"/>
            <w:vAlign w:val="center"/>
          </w:tcPr>
          <w:p w14:paraId="049A5E2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-8,722,798.10</w:t>
            </w:r>
          </w:p>
        </w:tc>
        <w:tc>
          <w:tcPr>
            <w:tcW w:w="1928" w:type="dxa"/>
            <w:shd w:val="clear" w:color="auto" w:fill="FFFFFF" w:themeFill="background1"/>
            <w:vAlign w:val="center"/>
          </w:tcPr>
          <w:p w14:paraId="311B9CC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-141,134,285.38</w:t>
            </w:r>
          </w:p>
        </w:tc>
        <w:tc>
          <w:tcPr>
            <w:tcW w:w="1928" w:type="dxa"/>
            <w:shd w:val="clear" w:color="auto" w:fill="FFFFFF" w:themeFill="background1"/>
            <w:vAlign w:val="center"/>
          </w:tcPr>
          <w:p w14:paraId="0B5A02C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-151,887,417.07</w:t>
            </w:r>
            <w:r>
              <w:rPr>
                <w:rFonts w:ascii="Times New Roman" w:eastAsia="宋体" w:hAnsi="Times New Roman" w:cs="Times New Roman"/>
                <w:color w:val="F00000"/>
                <w:vertAlign w:val="superscript"/>
              </w:rPr>
              <w:t>1</w:t>
            </w:r>
          </w:p>
        </w:tc>
      </w:tr>
      <w:tr w:rsidR="00632E5B" w14:paraId="35CD86C8" w14:textId="77777777" w:rsidTr="001F5A64">
        <w:trPr>
          <w:trHeight w:val="240"/>
        </w:trPr>
        <w:tc>
          <w:tcPr>
            <w:tcW w:w="1928" w:type="dxa"/>
            <w:shd w:val="clear" w:color="auto" w:fill="FFFFFF" w:themeFill="background1"/>
            <w:vAlign w:val="center"/>
          </w:tcPr>
          <w:p w14:paraId="3AE9B81B"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2024年12月31日余额</w:t>
            </w:r>
          </w:p>
        </w:tc>
        <w:tc>
          <w:tcPr>
            <w:tcW w:w="1928" w:type="dxa"/>
            <w:shd w:val="clear" w:color="auto" w:fill="FFFFFF" w:themeFill="background1"/>
            <w:vAlign w:val="center"/>
          </w:tcPr>
          <w:p w14:paraId="3348AD5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779,025.15</w:t>
            </w:r>
          </w:p>
        </w:tc>
        <w:tc>
          <w:tcPr>
            <w:tcW w:w="1928" w:type="dxa"/>
            <w:shd w:val="clear" w:color="auto" w:fill="FFFFFF" w:themeFill="background1"/>
            <w:vAlign w:val="center"/>
          </w:tcPr>
          <w:p w14:paraId="062DB72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16,669,684.87</w:t>
            </w:r>
          </w:p>
        </w:tc>
        <w:tc>
          <w:tcPr>
            <w:tcW w:w="1928" w:type="dxa"/>
            <w:shd w:val="clear" w:color="auto" w:fill="FFFFFF" w:themeFill="background1"/>
            <w:vAlign w:val="center"/>
          </w:tcPr>
          <w:p w14:paraId="22D8D60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57,234,816.86</w:t>
            </w:r>
          </w:p>
        </w:tc>
        <w:tc>
          <w:tcPr>
            <w:tcW w:w="1928" w:type="dxa"/>
            <w:shd w:val="clear" w:color="auto" w:fill="FFFFFF" w:themeFill="background1"/>
            <w:vAlign w:val="center"/>
          </w:tcPr>
          <w:p w14:paraId="739853A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74,683,526.88</w:t>
            </w:r>
          </w:p>
        </w:tc>
      </w:tr>
    </w:tbl>
    <w:p w14:paraId="28B87628" w14:textId="33381697" w:rsidR="00632E5B" w:rsidRPr="00EA536C" w:rsidRDefault="00107901">
      <w:pPr>
        <w:rPr>
          <w:rFonts w:asciiTheme="minorEastAsia" w:hAnsiTheme="minorEastAsia" w:hint="eastAsia"/>
        </w:rPr>
      </w:pPr>
      <w:r w:rsidRPr="00EA536C">
        <w:rPr>
          <w:rFonts w:asciiTheme="minorEastAsia" w:hAnsiTheme="minorEastAsia" w:cs="仿宋"/>
        </w:rPr>
        <w:t>注</w:t>
      </w:r>
      <w:r w:rsidR="004D7CC2" w:rsidRPr="00EA536C">
        <w:rPr>
          <w:rFonts w:asciiTheme="minorEastAsia" w:hAnsiTheme="minorEastAsia" w:cs="仿宋" w:hint="eastAsia"/>
        </w:rPr>
        <w:t>1</w:t>
      </w:r>
      <w:r w:rsidRPr="00EA536C">
        <w:rPr>
          <w:rFonts w:asciiTheme="minorEastAsia" w:hAnsiTheme="minorEastAsia" w:cs="仿宋"/>
        </w:rPr>
        <w:t>：其他变动为处置子公司变动-146,559,750.79元，汇率变动导致变动-5,327,666.28元。</w:t>
      </w:r>
    </w:p>
    <w:p w14:paraId="4799ABA8"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各阶段划分依据和坏账准备计提比例</w:t>
      </w:r>
    </w:p>
    <w:tbl>
      <w:tblPr>
        <w:tblW w:w="96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0" w:type="dxa"/>
          <w:right w:w="0" w:type="dxa"/>
        </w:tblCellMar>
        <w:tblLook w:val="04A0" w:firstRow="1" w:lastRow="0" w:firstColumn="1" w:lastColumn="0" w:noHBand="0" w:noVBand="1"/>
      </w:tblPr>
      <w:tblGrid>
        <w:gridCol w:w="1805"/>
        <w:gridCol w:w="1803"/>
        <w:gridCol w:w="2428"/>
        <w:gridCol w:w="1803"/>
        <w:gridCol w:w="1803"/>
      </w:tblGrid>
      <w:tr w:rsidR="00E72F0C" w:rsidRPr="00BE0688" w14:paraId="475F51D7" w14:textId="77777777" w:rsidTr="001F5A64">
        <w:trPr>
          <w:divId w:val="1024019740"/>
          <w:trHeight w:val="489"/>
        </w:trPr>
        <w:tc>
          <w:tcPr>
            <w:tcW w:w="1805" w:type="dxa"/>
            <w:shd w:val="clear" w:color="auto" w:fill="FFFFFF" w:themeFill="background1"/>
            <w:tcMar>
              <w:top w:w="15" w:type="dxa"/>
              <w:left w:w="15" w:type="dxa"/>
              <w:bottom w:w="0" w:type="dxa"/>
              <w:right w:w="15" w:type="dxa"/>
            </w:tcMar>
            <w:vAlign w:val="center"/>
            <w:hideMark/>
          </w:tcPr>
          <w:p w14:paraId="6D5B1EAD" w14:textId="77777777" w:rsidR="00E72F0C" w:rsidRPr="00BE0688" w:rsidRDefault="00107901">
            <w:pPr>
              <w:jc w:val="center"/>
              <w:rPr>
                <w:rFonts w:asciiTheme="minorEastAsia" w:hAnsiTheme="minorEastAsia" w:cs="宋体" w:hint="eastAsia"/>
                <w:color w:val="000000"/>
                <w:sz w:val="18"/>
                <w:szCs w:val="18"/>
              </w:rPr>
            </w:pPr>
            <w:r w:rsidRPr="00BE0688">
              <w:rPr>
                <w:rFonts w:asciiTheme="minorEastAsia" w:hAnsiTheme="minorEastAsia" w:hint="eastAsia"/>
                <w:color w:val="000000"/>
                <w:sz w:val="18"/>
                <w:szCs w:val="18"/>
              </w:rPr>
              <w:t> 阶段 </w:t>
            </w:r>
          </w:p>
        </w:tc>
        <w:tc>
          <w:tcPr>
            <w:tcW w:w="1803" w:type="dxa"/>
            <w:shd w:val="clear" w:color="auto" w:fill="FFFFFF" w:themeFill="background1"/>
            <w:tcMar>
              <w:top w:w="15" w:type="dxa"/>
              <w:left w:w="15" w:type="dxa"/>
              <w:bottom w:w="0" w:type="dxa"/>
              <w:right w:w="15" w:type="dxa"/>
            </w:tcMar>
            <w:vAlign w:val="center"/>
            <w:hideMark/>
          </w:tcPr>
          <w:p w14:paraId="5BB4BA19" w14:textId="77777777" w:rsidR="00E72F0C" w:rsidRPr="00BE0688" w:rsidRDefault="00107901">
            <w:pPr>
              <w:jc w:val="center"/>
              <w:rPr>
                <w:rFonts w:asciiTheme="minorEastAsia" w:hAnsiTheme="minorEastAsia" w:cs="宋体" w:hint="eastAsia"/>
                <w:color w:val="000000"/>
                <w:sz w:val="18"/>
                <w:szCs w:val="18"/>
              </w:rPr>
            </w:pPr>
            <w:r w:rsidRPr="00BE0688">
              <w:rPr>
                <w:rFonts w:asciiTheme="minorEastAsia" w:hAnsiTheme="minorEastAsia" w:hint="eastAsia"/>
                <w:color w:val="000000"/>
                <w:sz w:val="18"/>
                <w:szCs w:val="18"/>
              </w:rPr>
              <w:t> 账面余额 </w:t>
            </w:r>
          </w:p>
        </w:tc>
        <w:tc>
          <w:tcPr>
            <w:tcW w:w="2428" w:type="dxa"/>
            <w:shd w:val="clear" w:color="auto" w:fill="FFFFFF" w:themeFill="background1"/>
            <w:tcMar>
              <w:top w:w="15" w:type="dxa"/>
              <w:left w:w="15" w:type="dxa"/>
              <w:bottom w:w="0" w:type="dxa"/>
              <w:right w:w="15" w:type="dxa"/>
            </w:tcMar>
            <w:vAlign w:val="center"/>
            <w:hideMark/>
          </w:tcPr>
          <w:p w14:paraId="3F54369C" w14:textId="77777777" w:rsidR="00E72F0C" w:rsidRPr="00BE0688" w:rsidRDefault="00107901">
            <w:pPr>
              <w:jc w:val="center"/>
              <w:rPr>
                <w:rFonts w:asciiTheme="minorEastAsia" w:hAnsiTheme="minorEastAsia" w:cs="宋体" w:hint="eastAsia"/>
                <w:color w:val="000000"/>
                <w:sz w:val="18"/>
                <w:szCs w:val="18"/>
              </w:rPr>
            </w:pPr>
            <w:r w:rsidRPr="00BE0688">
              <w:rPr>
                <w:rFonts w:asciiTheme="minorEastAsia" w:hAnsiTheme="minorEastAsia" w:hint="eastAsia"/>
                <w:color w:val="000000"/>
                <w:sz w:val="18"/>
                <w:szCs w:val="18"/>
              </w:rPr>
              <w:t> 坏账准备计提比例（%） </w:t>
            </w:r>
          </w:p>
        </w:tc>
        <w:tc>
          <w:tcPr>
            <w:tcW w:w="1803" w:type="dxa"/>
            <w:shd w:val="clear" w:color="auto" w:fill="FFFFFF" w:themeFill="background1"/>
            <w:tcMar>
              <w:top w:w="15" w:type="dxa"/>
              <w:left w:w="15" w:type="dxa"/>
              <w:bottom w:w="0" w:type="dxa"/>
              <w:right w:w="15" w:type="dxa"/>
            </w:tcMar>
            <w:vAlign w:val="center"/>
            <w:hideMark/>
          </w:tcPr>
          <w:p w14:paraId="1CBFDD3C" w14:textId="77777777" w:rsidR="00E72F0C" w:rsidRPr="00BE0688" w:rsidRDefault="00107901">
            <w:pPr>
              <w:jc w:val="center"/>
              <w:rPr>
                <w:rFonts w:asciiTheme="minorEastAsia" w:hAnsiTheme="minorEastAsia" w:cs="宋体" w:hint="eastAsia"/>
                <w:color w:val="000000"/>
                <w:sz w:val="18"/>
                <w:szCs w:val="18"/>
              </w:rPr>
            </w:pPr>
            <w:r w:rsidRPr="00BE0688">
              <w:rPr>
                <w:rFonts w:asciiTheme="minorEastAsia" w:hAnsiTheme="minorEastAsia" w:hint="eastAsia"/>
                <w:color w:val="000000"/>
                <w:sz w:val="18"/>
                <w:szCs w:val="18"/>
              </w:rPr>
              <w:t> 坏账准备 </w:t>
            </w:r>
          </w:p>
        </w:tc>
        <w:tc>
          <w:tcPr>
            <w:tcW w:w="1803" w:type="dxa"/>
            <w:shd w:val="clear" w:color="auto" w:fill="FFFFFF" w:themeFill="background1"/>
            <w:tcMar>
              <w:top w:w="15" w:type="dxa"/>
              <w:left w:w="15" w:type="dxa"/>
              <w:bottom w:w="0" w:type="dxa"/>
              <w:right w:w="15" w:type="dxa"/>
            </w:tcMar>
            <w:vAlign w:val="center"/>
            <w:hideMark/>
          </w:tcPr>
          <w:p w14:paraId="0797031E" w14:textId="77777777" w:rsidR="00E72F0C" w:rsidRPr="00BE0688" w:rsidRDefault="00107901">
            <w:pPr>
              <w:jc w:val="center"/>
              <w:rPr>
                <w:rFonts w:asciiTheme="minorEastAsia" w:hAnsiTheme="minorEastAsia" w:cs="宋体" w:hint="eastAsia"/>
                <w:color w:val="000000"/>
                <w:sz w:val="18"/>
                <w:szCs w:val="18"/>
              </w:rPr>
            </w:pPr>
            <w:r w:rsidRPr="00BE0688">
              <w:rPr>
                <w:rFonts w:asciiTheme="minorEastAsia" w:hAnsiTheme="minorEastAsia" w:hint="eastAsia"/>
                <w:color w:val="000000"/>
                <w:sz w:val="18"/>
                <w:szCs w:val="18"/>
              </w:rPr>
              <w:t> 账面价值 </w:t>
            </w:r>
          </w:p>
        </w:tc>
      </w:tr>
      <w:tr w:rsidR="00E72F0C" w:rsidRPr="00BE0688" w14:paraId="02C80414" w14:textId="77777777" w:rsidTr="001F5A64">
        <w:trPr>
          <w:divId w:val="1024019740"/>
          <w:trHeight w:val="309"/>
        </w:trPr>
        <w:tc>
          <w:tcPr>
            <w:tcW w:w="1805" w:type="dxa"/>
            <w:shd w:val="clear" w:color="auto" w:fill="FFFFFF" w:themeFill="background1"/>
            <w:tcMar>
              <w:top w:w="15" w:type="dxa"/>
              <w:left w:w="15" w:type="dxa"/>
              <w:bottom w:w="0" w:type="dxa"/>
              <w:right w:w="15" w:type="dxa"/>
            </w:tcMar>
            <w:vAlign w:val="center"/>
            <w:hideMark/>
          </w:tcPr>
          <w:p w14:paraId="2ED38AEF" w14:textId="77777777" w:rsidR="00E72F0C" w:rsidRPr="00BE0688" w:rsidRDefault="00107901">
            <w:pPr>
              <w:jc w:val="center"/>
              <w:rPr>
                <w:rFonts w:asciiTheme="minorEastAsia" w:hAnsiTheme="minorEastAsia" w:cs="宋体" w:hint="eastAsia"/>
                <w:color w:val="000000"/>
                <w:sz w:val="18"/>
                <w:szCs w:val="18"/>
              </w:rPr>
            </w:pPr>
            <w:r w:rsidRPr="00BE0688">
              <w:rPr>
                <w:rFonts w:asciiTheme="minorEastAsia" w:hAnsiTheme="minorEastAsia" w:hint="eastAsia"/>
                <w:color w:val="000000"/>
                <w:sz w:val="18"/>
                <w:szCs w:val="18"/>
              </w:rPr>
              <w:t> 第一阶段 </w:t>
            </w:r>
          </w:p>
        </w:tc>
        <w:tc>
          <w:tcPr>
            <w:tcW w:w="1803" w:type="dxa"/>
            <w:shd w:val="clear" w:color="auto" w:fill="FFFFFF" w:themeFill="background1"/>
            <w:tcMar>
              <w:top w:w="15" w:type="dxa"/>
              <w:left w:w="15" w:type="dxa"/>
              <w:bottom w:w="0" w:type="dxa"/>
              <w:right w:w="15" w:type="dxa"/>
            </w:tcMar>
            <w:vAlign w:val="center"/>
            <w:hideMark/>
          </w:tcPr>
          <w:p w14:paraId="0485C6E6" w14:textId="77777777" w:rsidR="00E72F0C" w:rsidRPr="00BE0688" w:rsidRDefault="00107901">
            <w:pPr>
              <w:jc w:val="center"/>
              <w:rPr>
                <w:rFonts w:asciiTheme="minorEastAsia" w:hAnsiTheme="minorEastAsia" w:cs="宋体" w:hint="eastAsia"/>
                <w:color w:val="000000"/>
                <w:sz w:val="18"/>
                <w:szCs w:val="18"/>
              </w:rPr>
            </w:pPr>
            <w:r w:rsidRPr="00BE0688">
              <w:rPr>
                <w:rFonts w:asciiTheme="minorEastAsia" w:hAnsiTheme="minorEastAsia" w:hint="eastAsia"/>
                <w:color w:val="000000"/>
                <w:sz w:val="18"/>
                <w:szCs w:val="18"/>
              </w:rPr>
              <w:t>  23,117,551.41</w:t>
            </w:r>
          </w:p>
        </w:tc>
        <w:tc>
          <w:tcPr>
            <w:tcW w:w="2428" w:type="dxa"/>
            <w:shd w:val="clear" w:color="auto" w:fill="FFFFFF" w:themeFill="background1"/>
            <w:tcMar>
              <w:top w:w="15" w:type="dxa"/>
              <w:left w:w="15" w:type="dxa"/>
              <w:bottom w:w="0" w:type="dxa"/>
              <w:right w:w="15" w:type="dxa"/>
            </w:tcMar>
            <w:vAlign w:val="center"/>
            <w:hideMark/>
          </w:tcPr>
          <w:p w14:paraId="1B2C1164" w14:textId="77777777" w:rsidR="00E72F0C" w:rsidRPr="00BE0688" w:rsidRDefault="00107901">
            <w:pPr>
              <w:jc w:val="center"/>
              <w:rPr>
                <w:rFonts w:asciiTheme="minorEastAsia" w:hAnsiTheme="minorEastAsia" w:cs="宋体" w:hint="eastAsia"/>
                <w:color w:val="000000"/>
                <w:sz w:val="18"/>
                <w:szCs w:val="18"/>
              </w:rPr>
            </w:pPr>
            <w:r w:rsidRPr="00BE0688">
              <w:rPr>
                <w:rFonts w:asciiTheme="minorEastAsia" w:hAnsiTheme="minorEastAsia" w:hint="eastAsia"/>
                <w:color w:val="000000"/>
                <w:sz w:val="18"/>
                <w:szCs w:val="18"/>
              </w:rPr>
              <w:t>          3.37</w:t>
            </w:r>
          </w:p>
        </w:tc>
        <w:tc>
          <w:tcPr>
            <w:tcW w:w="1803" w:type="dxa"/>
            <w:shd w:val="clear" w:color="auto" w:fill="FFFFFF" w:themeFill="background1"/>
            <w:tcMar>
              <w:top w:w="15" w:type="dxa"/>
              <w:left w:w="0" w:type="dxa"/>
              <w:bottom w:w="0" w:type="dxa"/>
              <w:right w:w="15" w:type="dxa"/>
            </w:tcMar>
            <w:vAlign w:val="center"/>
            <w:hideMark/>
          </w:tcPr>
          <w:p w14:paraId="04A3E6C6" w14:textId="77777777" w:rsidR="00E72F0C" w:rsidRPr="00BE0688" w:rsidRDefault="00107901">
            <w:pPr>
              <w:jc w:val="center"/>
              <w:rPr>
                <w:rFonts w:asciiTheme="minorEastAsia" w:hAnsiTheme="minorEastAsia" w:cs="宋体" w:hint="eastAsia"/>
                <w:color w:val="000000"/>
                <w:sz w:val="18"/>
                <w:szCs w:val="18"/>
              </w:rPr>
            </w:pPr>
            <w:r w:rsidRPr="00BE0688">
              <w:rPr>
                <w:rFonts w:asciiTheme="minorEastAsia" w:hAnsiTheme="minorEastAsia" w:hint="eastAsia"/>
                <w:color w:val="000000"/>
                <w:sz w:val="18"/>
                <w:szCs w:val="18"/>
              </w:rPr>
              <w:t>779,025.15</w:t>
            </w:r>
          </w:p>
        </w:tc>
        <w:tc>
          <w:tcPr>
            <w:tcW w:w="1803" w:type="dxa"/>
            <w:shd w:val="clear" w:color="auto" w:fill="FFFFFF" w:themeFill="background1"/>
            <w:tcMar>
              <w:top w:w="15" w:type="dxa"/>
              <w:left w:w="15" w:type="dxa"/>
              <w:bottom w:w="0" w:type="dxa"/>
              <w:right w:w="15" w:type="dxa"/>
            </w:tcMar>
            <w:vAlign w:val="center"/>
            <w:hideMark/>
          </w:tcPr>
          <w:p w14:paraId="1ED8EB4F" w14:textId="77777777" w:rsidR="00E72F0C" w:rsidRPr="00BE0688" w:rsidRDefault="00107901">
            <w:pPr>
              <w:jc w:val="center"/>
              <w:rPr>
                <w:rFonts w:asciiTheme="minorEastAsia" w:hAnsiTheme="minorEastAsia" w:cs="宋体" w:hint="eastAsia"/>
                <w:color w:val="000000"/>
                <w:sz w:val="18"/>
                <w:szCs w:val="18"/>
              </w:rPr>
            </w:pPr>
            <w:r w:rsidRPr="00BE0688">
              <w:rPr>
                <w:rFonts w:asciiTheme="minorEastAsia" w:hAnsiTheme="minorEastAsia" w:hint="eastAsia"/>
                <w:color w:val="000000"/>
                <w:sz w:val="18"/>
                <w:szCs w:val="18"/>
              </w:rPr>
              <w:t>  22,338,526.26</w:t>
            </w:r>
          </w:p>
        </w:tc>
      </w:tr>
      <w:tr w:rsidR="00E72F0C" w:rsidRPr="00BE0688" w14:paraId="6DCEE335" w14:textId="77777777" w:rsidTr="001F5A64">
        <w:trPr>
          <w:divId w:val="1024019740"/>
          <w:trHeight w:val="309"/>
        </w:trPr>
        <w:tc>
          <w:tcPr>
            <w:tcW w:w="1805" w:type="dxa"/>
            <w:shd w:val="clear" w:color="auto" w:fill="FFFFFF" w:themeFill="background1"/>
            <w:tcMar>
              <w:top w:w="15" w:type="dxa"/>
              <w:left w:w="15" w:type="dxa"/>
              <w:bottom w:w="0" w:type="dxa"/>
              <w:right w:w="15" w:type="dxa"/>
            </w:tcMar>
            <w:vAlign w:val="center"/>
            <w:hideMark/>
          </w:tcPr>
          <w:p w14:paraId="4E512697" w14:textId="77777777" w:rsidR="00E72F0C" w:rsidRPr="00BE0688" w:rsidRDefault="00107901">
            <w:pPr>
              <w:jc w:val="center"/>
              <w:rPr>
                <w:rFonts w:asciiTheme="minorEastAsia" w:hAnsiTheme="minorEastAsia" w:cs="宋体" w:hint="eastAsia"/>
                <w:color w:val="000000"/>
                <w:sz w:val="18"/>
                <w:szCs w:val="18"/>
              </w:rPr>
            </w:pPr>
            <w:r w:rsidRPr="00BE0688">
              <w:rPr>
                <w:rFonts w:asciiTheme="minorEastAsia" w:hAnsiTheme="minorEastAsia" w:hint="eastAsia"/>
                <w:color w:val="000000"/>
                <w:sz w:val="18"/>
                <w:szCs w:val="18"/>
              </w:rPr>
              <w:t> 第二阶段 </w:t>
            </w:r>
          </w:p>
        </w:tc>
        <w:tc>
          <w:tcPr>
            <w:tcW w:w="1803" w:type="dxa"/>
            <w:shd w:val="clear" w:color="auto" w:fill="FFFFFF" w:themeFill="background1"/>
            <w:tcMar>
              <w:top w:w="15" w:type="dxa"/>
              <w:left w:w="15" w:type="dxa"/>
              <w:bottom w:w="0" w:type="dxa"/>
              <w:right w:w="15" w:type="dxa"/>
            </w:tcMar>
            <w:vAlign w:val="center"/>
            <w:hideMark/>
          </w:tcPr>
          <w:p w14:paraId="1A4258F5" w14:textId="77777777" w:rsidR="00E72F0C" w:rsidRPr="00BE0688" w:rsidRDefault="00107901">
            <w:pPr>
              <w:jc w:val="center"/>
              <w:rPr>
                <w:rFonts w:asciiTheme="minorEastAsia" w:hAnsiTheme="minorEastAsia" w:cs="宋体" w:hint="eastAsia"/>
                <w:color w:val="000000"/>
                <w:sz w:val="18"/>
                <w:szCs w:val="18"/>
              </w:rPr>
            </w:pPr>
            <w:r w:rsidRPr="00BE0688">
              <w:rPr>
                <w:rFonts w:asciiTheme="minorEastAsia" w:hAnsiTheme="minorEastAsia" w:hint="eastAsia"/>
                <w:color w:val="000000"/>
                <w:sz w:val="18"/>
                <w:szCs w:val="18"/>
              </w:rPr>
              <w:t>  66,587,749.08</w:t>
            </w:r>
          </w:p>
        </w:tc>
        <w:tc>
          <w:tcPr>
            <w:tcW w:w="2428" w:type="dxa"/>
            <w:shd w:val="clear" w:color="auto" w:fill="FFFFFF" w:themeFill="background1"/>
            <w:tcMar>
              <w:top w:w="15" w:type="dxa"/>
              <w:left w:w="15" w:type="dxa"/>
              <w:bottom w:w="0" w:type="dxa"/>
              <w:right w:w="15" w:type="dxa"/>
            </w:tcMar>
            <w:vAlign w:val="center"/>
            <w:hideMark/>
          </w:tcPr>
          <w:p w14:paraId="7E5B8146" w14:textId="77777777" w:rsidR="00E72F0C" w:rsidRPr="00BE0688" w:rsidRDefault="00107901">
            <w:pPr>
              <w:jc w:val="center"/>
              <w:rPr>
                <w:rFonts w:asciiTheme="minorEastAsia" w:hAnsiTheme="minorEastAsia" w:cs="宋体" w:hint="eastAsia"/>
                <w:color w:val="000000"/>
                <w:sz w:val="18"/>
                <w:szCs w:val="18"/>
              </w:rPr>
            </w:pPr>
            <w:r w:rsidRPr="00BE0688">
              <w:rPr>
                <w:rFonts w:asciiTheme="minorEastAsia" w:hAnsiTheme="minorEastAsia" w:hint="eastAsia"/>
                <w:color w:val="000000"/>
                <w:sz w:val="18"/>
                <w:szCs w:val="18"/>
              </w:rPr>
              <w:t>         25.03</w:t>
            </w:r>
          </w:p>
        </w:tc>
        <w:tc>
          <w:tcPr>
            <w:tcW w:w="1803" w:type="dxa"/>
            <w:shd w:val="clear" w:color="auto" w:fill="FFFFFF" w:themeFill="background1"/>
            <w:tcMar>
              <w:top w:w="15" w:type="dxa"/>
              <w:left w:w="15" w:type="dxa"/>
              <w:bottom w:w="0" w:type="dxa"/>
              <w:right w:w="15" w:type="dxa"/>
            </w:tcMar>
            <w:vAlign w:val="center"/>
            <w:hideMark/>
          </w:tcPr>
          <w:p w14:paraId="177B4535" w14:textId="77777777" w:rsidR="00E72F0C" w:rsidRPr="00BE0688" w:rsidRDefault="00107901">
            <w:pPr>
              <w:jc w:val="center"/>
              <w:rPr>
                <w:rFonts w:asciiTheme="minorEastAsia" w:hAnsiTheme="minorEastAsia" w:cs="宋体" w:hint="eastAsia"/>
                <w:color w:val="000000"/>
                <w:sz w:val="18"/>
                <w:szCs w:val="18"/>
              </w:rPr>
            </w:pPr>
            <w:r w:rsidRPr="00BE0688">
              <w:rPr>
                <w:rFonts w:asciiTheme="minorEastAsia" w:hAnsiTheme="minorEastAsia" w:hint="eastAsia"/>
                <w:color w:val="000000"/>
                <w:sz w:val="18"/>
                <w:szCs w:val="18"/>
              </w:rPr>
              <w:t>  16,669,684.87</w:t>
            </w:r>
          </w:p>
        </w:tc>
        <w:tc>
          <w:tcPr>
            <w:tcW w:w="1803" w:type="dxa"/>
            <w:shd w:val="clear" w:color="auto" w:fill="FFFFFF" w:themeFill="background1"/>
            <w:tcMar>
              <w:top w:w="15" w:type="dxa"/>
              <w:left w:w="15" w:type="dxa"/>
              <w:bottom w:w="0" w:type="dxa"/>
              <w:right w:w="15" w:type="dxa"/>
            </w:tcMar>
            <w:vAlign w:val="center"/>
            <w:hideMark/>
          </w:tcPr>
          <w:p w14:paraId="6F1AAF95" w14:textId="77777777" w:rsidR="00E72F0C" w:rsidRPr="00BE0688" w:rsidRDefault="00107901">
            <w:pPr>
              <w:jc w:val="center"/>
              <w:rPr>
                <w:rFonts w:asciiTheme="minorEastAsia" w:hAnsiTheme="minorEastAsia" w:cs="宋体" w:hint="eastAsia"/>
                <w:color w:val="000000"/>
                <w:sz w:val="18"/>
                <w:szCs w:val="18"/>
              </w:rPr>
            </w:pPr>
            <w:r w:rsidRPr="00BE0688">
              <w:rPr>
                <w:rFonts w:asciiTheme="minorEastAsia" w:hAnsiTheme="minorEastAsia" w:hint="eastAsia"/>
                <w:color w:val="000000"/>
                <w:sz w:val="18"/>
                <w:szCs w:val="18"/>
              </w:rPr>
              <w:t>  49,918,064.21</w:t>
            </w:r>
          </w:p>
        </w:tc>
      </w:tr>
      <w:tr w:rsidR="00E72F0C" w:rsidRPr="00BE0688" w14:paraId="01513E6D" w14:textId="77777777" w:rsidTr="001F5A64">
        <w:trPr>
          <w:divId w:val="1024019740"/>
          <w:trHeight w:val="309"/>
        </w:trPr>
        <w:tc>
          <w:tcPr>
            <w:tcW w:w="1805" w:type="dxa"/>
            <w:shd w:val="clear" w:color="auto" w:fill="FFFFFF" w:themeFill="background1"/>
            <w:tcMar>
              <w:top w:w="15" w:type="dxa"/>
              <w:left w:w="15" w:type="dxa"/>
              <w:bottom w:w="0" w:type="dxa"/>
              <w:right w:w="15" w:type="dxa"/>
            </w:tcMar>
            <w:vAlign w:val="center"/>
            <w:hideMark/>
          </w:tcPr>
          <w:p w14:paraId="34EF60AA" w14:textId="77777777" w:rsidR="00E72F0C" w:rsidRPr="00BE0688" w:rsidRDefault="00107901">
            <w:pPr>
              <w:jc w:val="center"/>
              <w:rPr>
                <w:rFonts w:asciiTheme="minorEastAsia" w:hAnsiTheme="minorEastAsia" w:cs="宋体" w:hint="eastAsia"/>
                <w:color w:val="000000"/>
                <w:sz w:val="18"/>
                <w:szCs w:val="18"/>
              </w:rPr>
            </w:pPr>
            <w:r w:rsidRPr="00BE0688">
              <w:rPr>
                <w:rFonts w:asciiTheme="minorEastAsia" w:hAnsiTheme="minorEastAsia" w:hint="eastAsia"/>
                <w:color w:val="000000"/>
                <w:sz w:val="18"/>
                <w:szCs w:val="18"/>
              </w:rPr>
              <w:t> 第三阶段 </w:t>
            </w:r>
          </w:p>
        </w:tc>
        <w:tc>
          <w:tcPr>
            <w:tcW w:w="1803" w:type="dxa"/>
            <w:shd w:val="clear" w:color="auto" w:fill="FFFFFF" w:themeFill="background1"/>
            <w:tcMar>
              <w:top w:w="15" w:type="dxa"/>
              <w:left w:w="15" w:type="dxa"/>
              <w:bottom w:w="0" w:type="dxa"/>
              <w:right w:w="15" w:type="dxa"/>
            </w:tcMar>
            <w:vAlign w:val="center"/>
            <w:hideMark/>
          </w:tcPr>
          <w:p w14:paraId="5E5C2FB3" w14:textId="77777777" w:rsidR="00E72F0C" w:rsidRPr="00BE0688" w:rsidRDefault="00107901">
            <w:pPr>
              <w:jc w:val="center"/>
              <w:rPr>
                <w:rFonts w:asciiTheme="minorEastAsia" w:hAnsiTheme="minorEastAsia" w:cs="宋体" w:hint="eastAsia"/>
                <w:color w:val="000000"/>
                <w:sz w:val="18"/>
                <w:szCs w:val="18"/>
              </w:rPr>
            </w:pPr>
            <w:r w:rsidRPr="00BE0688">
              <w:rPr>
                <w:rFonts w:asciiTheme="minorEastAsia" w:hAnsiTheme="minorEastAsia" w:hint="eastAsia"/>
                <w:color w:val="000000"/>
                <w:sz w:val="18"/>
                <w:szCs w:val="18"/>
              </w:rPr>
              <w:t>  57,234,816.86</w:t>
            </w:r>
          </w:p>
        </w:tc>
        <w:tc>
          <w:tcPr>
            <w:tcW w:w="2428" w:type="dxa"/>
            <w:shd w:val="clear" w:color="auto" w:fill="FFFFFF" w:themeFill="background1"/>
            <w:tcMar>
              <w:top w:w="15" w:type="dxa"/>
              <w:left w:w="15" w:type="dxa"/>
              <w:bottom w:w="0" w:type="dxa"/>
              <w:right w:w="15" w:type="dxa"/>
            </w:tcMar>
            <w:vAlign w:val="center"/>
            <w:hideMark/>
          </w:tcPr>
          <w:p w14:paraId="119ECCFB" w14:textId="77777777" w:rsidR="00E72F0C" w:rsidRPr="00BE0688" w:rsidRDefault="00107901">
            <w:pPr>
              <w:jc w:val="center"/>
              <w:rPr>
                <w:rFonts w:asciiTheme="minorEastAsia" w:hAnsiTheme="minorEastAsia" w:cs="宋体" w:hint="eastAsia"/>
                <w:color w:val="000000"/>
                <w:sz w:val="18"/>
                <w:szCs w:val="18"/>
              </w:rPr>
            </w:pPr>
            <w:r w:rsidRPr="00BE0688">
              <w:rPr>
                <w:rFonts w:asciiTheme="minorEastAsia" w:hAnsiTheme="minorEastAsia" w:hint="eastAsia"/>
                <w:color w:val="000000"/>
                <w:sz w:val="18"/>
                <w:szCs w:val="18"/>
              </w:rPr>
              <w:t>        100.00</w:t>
            </w:r>
          </w:p>
        </w:tc>
        <w:tc>
          <w:tcPr>
            <w:tcW w:w="1803" w:type="dxa"/>
            <w:shd w:val="clear" w:color="auto" w:fill="FFFFFF" w:themeFill="background1"/>
            <w:tcMar>
              <w:top w:w="15" w:type="dxa"/>
              <w:left w:w="15" w:type="dxa"/>
              <w:bottom w:w="0" w:type="dxa"/>
              <w:right w:w="15" w:type="dxa"/>
            </w:tcMar>
            <w:vAlign w:val="center"/>
            <w:hideMark/>
          </w:tcPr>
          <w:p w14:paraId="142A82B1" w14:textId="77777777" w:rsidR="00E72F0C" w:rsidRPr="00BE0688" w:rsidRDefault="00107901">
            <w:pPr>
              <w:jc w:val="center"/>
              <w:rPr>
                <w:rFonts w:asciiTheme="minorEastAsia" w:hAnsiTheme="minorEastAsia" w:cs="宋体" w:hint="eastAsia"/>
                <w:color w:val="000000"/>
                <w:sz w:val="18"/>
                <w:szCs w:val="18"/>
              </w:rPr>
            </w:pPr>
            <w:r w:rsidRPr="00BE0688">
              <w:rPr>
                <w:rFonts w:asciiTheme="minorEastAsia" w:hAnsiTheme="minorEastAsia" w:hint="eastAsia"/>
                <w:color w:val="000000"/>
                <w:sz w:val="18"/>
                <w:szCs w:val="18"/>
              </w:rPr>
              <w:t>  57,234,816.86</w:t>
            </w:r>
          </w:p>
        </w:tc>
        <w:tc>
          <w:tcPr>
            <w:tcW w:w="1803" w:type="dxa"/>
            <w:shd w:val="clear" w:color="auto" w:fill="FFFFFF" w:themeFill="background1"/>
            <w:tcMar>
              <w:top w:w="15" w:type="dxa"/>
              <w:left w:w="15" w:type="dxa"/>
              <w:bottom w:w="0" w:type="dxa"/>
              <w:right w:w="15" w:type="dxa"/>
            </w:tcMar>
            <w:vAlign w:val="center"/>
            <w:hideMark/>
          </w:tcPr>
          <w:p w14:paraId="3DE47B0C" w14:textId="77777777" w:rsidR="00E72F0C" w:rsidRPr="00BE0688" w:rsidRDefault="00107901">
            <w:pPr>
              <w:jc w:val="center"/>
              <w:rPr>
                <w:rFonts w:asciiTheme="minorEastAsia" w:hAnsiTheme="minorEastAsia" w:cs="宋体" w:hint="eastAsia"/>
                <w:color w:val="000000"/>
                <w:sz w:val="18"/>
                <w:szCs w:val="18"/>
              </w:rPr>
            </w:pPr>
            <w:r w:rsidRPr="00BE0688">
              <w:rPr>
                <w:rFonts w:asciiTheme="minorEastAsia" w:hAnsiTheme="minorEastAsia" w:hint="eastAsia"/>
                <w:color w:val="000000"/>
                <w:sz w:val="18"/>
                <w:szCs w:val="18"/>
              </w:rPr>
              <w:t xml:space="preserve">　</w:t>
            </w:r>
          </w:p>
        </w:tc>
      </w:tr>
      <w:tr w:rsidR="00E72F0C" w:rsidRPr="00BE0688" w14:paraId="5B1AB265" w14:textId="77777777" w:rsidTr="001F5A64">
        <w:trPr>
          <w:divId w:val="1024019740"/>
          <w:trHeight w:val="309"/>
        </w:trPr>
        <w:tc>
          <w:tcPr>
            <w:tcW w:w="1805" w:type="dxa"/>
            <w:shd w:val="clear" w:color="auto" w:fill="FFFFFF" w:themeFill="background1"/>
            <w:tcMar>
              <w:top w:w="15" w:type="dxa"/>
              <w:left w:w="15" w:type="dxa"/>
              <w:bottom w:w="0" w:type="dxa"/>
              <w:right w:w="15" w:type="dxa"/>
            </w:tcMar>
            <w:vAlign w:val="center"/>
            <w:hideMark/>
          </w:tcPr>
          <w:p w14:paraId="24D47E84" w14:textId="77777777" w:rsidR="00E72F0C" w:rsidRPr="00BE0688" w:rsidRDefault="00107901">
            <w:pPr>
              <w:jc w:val="center"/>
              <w:rPr>
                <w:rFonts w:asciiTheme="minorEastAsia" w:hAnsiTheme="minorEastAsia" w:cs="宋体" w:hint="eastAsia"/>
                <w:color w:val="000000"/>
                <w:sz w:val="18"/>
                <w:szCs w:val="18"/>
              </w:rPr>
            </w:pPr>
            <w:r w:rsidRPr="00BE0688">
              <w:rPr>
                <w:rFonts w:asciiTheme="minorEastAsia" w:hAnsiTheme="minorEastAsia" w:hint="eastAsia"/>
                <w:color w:val="000000"/>
                <w:sz w:val="18"/>
                <w:szCs w:val="18"/>
              </w:rPr>
              <w:t> 合计 </w:t>
            </w:r>
          </w:p>
        </w:tc>
        <w:tc>
          <w:tcPr>
            <w:tcW w:w="1803" w:type="dxa"/>
            <w:shd w:val="clear" w:color="auto" w:fill="FFFFFF" w:themeFill="background1"/>
            <w:tcMar>
              <w:top w:w="15" w:type="dxa"/>
              <w:left w:w="15" w:type="dxa"/>
              <w:bottom w:w="0" w:type="dxa"/>
              <w:right w:w="15" w:type="dxa"/>
            </w:tcMar>
            <w:vAlign w:val="center"/>
            <w:hideMark/>
          </w:tcPr>
          <w:p w14:paraId="07065A29" w14:textId="77777777" w:rsidR="00E72F0C" w:rsidRPr="00BE0688" w:rsidRDefault="00107901">
            <w:pPr>
              <w:jc w:val="center"/>
              <w:rPr>
                <w:rFonts w:asciiTheme="minorEastAsia" w:hAnsiTheme="minorEastAsia" w:cs="宋体" w:hint="eastAsia"/>
                <w:color w:val="000000"/>
                <w:sz w:val="18"/>
                <w:szCs w:val="18"/>
              </w:rPr>
            </w:pPr>
            <w:r w:rsidRPr="00BE0688">
              <w:rPr>
                <w:rFonts w:asciiTheme="minorEastAsia" w:hAnsiTheme="minorEastAsia" w:hint="eastAsia"/>
                <w:color w:val="000000"/>
                <w:sz w:val="18"/>
                <w:szCs w:val="18"/>
              </w:rPr>
              <w:t> 146,940,117.35</w:t>
            </w:r>
          </w:p>
        </w:tc>
        <w:tc>
          <w:tcPr>
            <w:tcW w:w="2428" w:type="dxa"/>
            <w:shd w:val="clear" w:color="auto" w:fill="FFFFFF" w:themeFill="background1"/>
            <w:tcMar>
              <w:top w:w="15" w:type="dxa"/>
              <w:left w:w="15" w:type="dxa"/>
              <w:bottom w:w="0" w:type="dxa"/>
              <w:right w:w="15" w:type="dxa"/>
            </w:tcMar>
            <w:vAlign w:val="center"/>
            <w:hideMark/>
          </w:tcPr>
          <w:p w14:paraId="19BD8B76" w14:textId="77777777" w:rsidR="00E72F0C" w:rsidRPr="00BE0688" w:rsidRDefault="00107901">
            <w:pPr>
              <w:jc w:val="center"/>
              <w:rPr>
                <w:rFonts w:asciiTheme="minorEastAsia" w:hAnsiTheme="minorEastAsia" w:cs="宋体" w:hint="eastAsia"/>
                <w:color w:val="000000"/>
                <w:sz w:val="18"/>
                <w:szCs w:val="18"/>
              </w:rPr>
            </w:pPr>
            <w:r w:rsidRPr="00BE0688">
              <w:rPr>
                <w:rFonts w:asciiTheme="minorEastAsia" w:hAnsiTheme="minorEastAsia" w:hint="eastAsia"/>
                <w:color w:val="000000"/>
                <w:sz w:val="18"/>
                <w:szCs w:val="18"/>
              </w:rPr>
              <w:t>         50.83</w:t>
            </w:r>
          </w:p>
        </w:tc>
        <w:tc>
          <w:tcPr>
            <w:tcW w:w="1803" w:type="dxa"/>
            <w:shd w:val="clear" w:color="auto" w:fill="FFFFFF" w:themeFill="background1"/>
            <w:tcMar>
              <w:top w:w="15" w:type="dxa"/>
              <w:left w:w="15" w:type="dxa"/>
              <w:bottom w:w="0" w:type="dxa"/>
              <w:right w:w="15" w:type="dxa"/>
            </w:tcMar>
            <w:vAlign w:val="center"/>
            <w:hideMark/>
          </w:tcPr>
          <w:p w14:paraId="179BDE50" w14:textId="77777777" w:rsidR="00E72F0C" w:rsidRPr="00BE0688" w:rsidRDefault="00107901">
            <w:pPr>
              <w:jc w:val="center"/>
              <w:rPr>
                <w:rFonts w:asciiTheme="minorEastAsia" w:hAnsiTheme="minorEastAsia" w:cs="宋体" w:hint="eastAsia"/>
                <w:color w:val="000000"/>
                <w:sz w:val="18"/>
                <w:szCs w:val="18"/>
              </w:rPr>
            </w:pPr>
            <w:r w:rsidRPr="00BE0688">
              <w:rPr>
                <w:rFonts w:asciiTheme="minorEastAsia" w:hAnsiTheme="minorEastAsia" w:hint="eastAsia"/>
                <w:color w:val="000000"/>
                <w:sz w:val="18"/>
                <w:szCs w:val="18"/>
              </w:rPr>
              <w:t>  74,683,526.88</w:t>
            </w:r>
          </w:p>
        </w:tc>
        <w:tc>
          <w:tcPr>
            <w:tcW w:w="1803" w:type="dxa"/>
            <w:shd w:val="clear" w:color="auto" w:fill="FFFFFF" w:themeFill="background1"/>
            <w:tcMar>
              <w:top w:w="15" w:type="dxa"/>
              <w:left w:w="15" w:type="dxa"/>
              <w:bottom w:w="0" w:type="dxa"/>
              <w:right w:w="15" w:type="dxa"/>
            </w:tcMar>
            <w:vAlign w:val="center"/>
            <w:hideMark/>
          </w:tcPr>
          <w:p w14:paraId="51AC53E1" w14:textId="77777777" w:rsidR="00E72F0C" w:rsidRPr="00BE0688" w:rsidRDefault="00107901">
            <w:pPr>
              <w:jc w:val="center"/>
              <w:rPr>
                <w:rFonts w:asciiTheme="minorEastAsia" w:hAnsiTheme="minorEastAsia" w:cs="宋体" w:hint="eastAsia"/>
                <w:color w:val="000000"/>
                <w:sz w:val="18"/>
                <w:szCs w:val="18"/>
              </w:rPr>
            </w:pPr>
            <w:r w:rsidRPr="00BE0688">
              <w:rPr>
                <w:rFonts w:asciiTheme="minorEastAsia" w:hAnsiTheme="minorEastAsia" w:hint="eastAsia"/>
                <w:color w:val="000000"/>
                <w:sz w:val="18"/>
                <w:szCs w:val="18"/>
              </w:rPr>
              <w:t>  72,256,590.47</w:t>
            </w:r>
          </w:p>
        </w:tc>
      </w:tr>
    </w:tbl>
    <w:p w14:paraId="28D10D09" w14:textId="69693754" w:rsidR="00632E5B" w:rsidRDefault="00107901" w:rsidP="004D7CC2">
      <w:pPr>
        <w:pStyle w:val="a3"/>
        <w:rPr>
          <w:rFonts w:hint="eastAsia"/>
          <w:sz w:val="18"/>
          <w:szCs w:val="18"/>
        </w:rPr>
      </w:pPr>
      <w:r>
        <w:rPr>
          <w:sz w:val="18"/>
          <w:szCs w:val="18"/>
        </w:rPr>
        <w:t>损失准备本期变动金额重大的账面余额变动情况</w:t>
      </w:r>
    </w:p>
    <w:p w14:paraId="76EDD2B4"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1CB94BB0" w14:textId="77777777" w:rsidR="00632E5B" w:rsidRDefault="00107901">
      <w:pPr>
        <w:keepNext/>
        <w:keepLines/>
        <w:spacing w:before="300" w:after="300" w:line="280" w:lineRule="exact"/>
        <w:outlineLvl w:val="4"/>
        <w:rPr>
          <w:rFonts w:ascii="宋体" w:eastAsia="宋体" w:hAnsi="宋体" w:cs="宋体" w:hint="eastAsia"/>
          <w:b/>
          <w:bCs/>
          <w:szCs w:val="21"/>
        </w:rPr>
      </w:pPr>
      <w:bookmarkStart w:id="230" w:name="_Toc989119"/>
      <w:r>
        <w:rPr>
          <w:rFonts w:ascii="宋体" w:eastAsia="宋体" w:hAnsi="宋体" w:cs="宋体"/>
          <w:b/>
          <w:bCs/>
          <w:szCs w:val="21"/>
        </w:rPr>
        <w:t>4） 本期计提、收回或转回的坏账准备情况</w:t>
      </w:r>
      <w:bookmarkEnd w:id="230"/>
    </w:p>
    <w:p w14:paraId="0B996200"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本期计提坏账准备情况：</w:t>
      </w:r>
    </w:p>
    <w:p w14:paraId="16516348" w14:textId="77777777" w:rsidR="00632E5B" w:rsidRDefault="00107901">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091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377"/>
        <w:gridCol w:w="1773"/>
        <w:gridCol w:w="1525"/>
        <w:gridCol w:w="1418"/>
        <w:gridCol w:w="1701"/>
        <w:gridCol w:w="1701"/>
        <w:gridCol w:w="1417"/>
      </w:tblGrid>
      <w:tr w:rsidR="00632E5B" w14:paraId="2AB33499" w14:textId="77777777" w:rsidTr="001F5A64">
        <w:trPr>
          <w:trHeight w:val="240"/>
          <w:jc w:val="center"/>
        </w:trPr>
        <w:tc>
          <w:tcPr>
            <w:tcW w:w="1377" w:type="dxa"/>
            <w:vMerge w:val="restart"/>
            <w:shd w:val="clear" w:color="auto" w:fill="FFFFFF" w:themeFill="background1"/>
            <w:vAlign w:val="center"/>
          </w:tcPr>
          <w:p w14:paraId="4B5A8D5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类别</w:t>
            </w:r>
          </w:p>
        </w:tc>
        <w:tc>
          <w:tcPr>
            <w:tcW w:w="1773" w:type="dxa"/>
            <w:vMerge w:val="restart"/>
            <w:shd w:val="clear" w:color="auto" w:fill="FFFFFF" w:themeFill="background1"/>
            <w:vAlign w:val="center"/>
          </w:tcPr>
          <w:p w14:paraId="6BEDD1D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6345" w:type="dxa"/>
            <w:gridSpan w:val="4"/>
            <w:shd w:val="clear" w:color="auto" w:fill="FFFFFF" w:themeFill="background1"/>
            <w:vAlign w:val="center"/>
          </w:tcPr>
          <w:p w14:paraId="1D9839F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本期变动金额</w:t>
            </w:r>
          </w:p>
        </w:tc>
        <w:tc>
          <w:tcPr>
            <w:tcW w:w="1417" w:type="dxa"/>
            <w:shd w:val="clear" w:color="auto" w:fill="FFFFFF" w:themeFill="background1"/>
            <w:vAlign w:val="center"/>
          </w:tcPr>
          <w:p w14:paraId="73F575C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632E5B" w14:paraId="08B97100" w14:textId="77777777" w:rsidTr="001F5A64">
        <w:trPr>
          <w:trHeight w:val="240"/>
          <w:jc w:val="center"/>
        </w:trPr>
        <w:tc>
          <w:tcPr>
            <w:tcW w:w="1377" w:type="dxa"/>
            <w:vMerge/>
            <w:shd w:val="clear" w:color="auto" w:fill="FFFFFF" w:themeFill="background1"/>
            <w:vAlign w:val="center"/>
          </w:tcPr>
          <w:p w14:paraId="37F59026" w14:textId="77777777" w:rsidR="00632E5B" w:rsidRDefault="00632E5B"/>
        </w:tc>
        <w:tc>
          <w:tcPr>
            <w:tcW w:w="1773" w:type="dxa"/>
            <w:vMerge/>
            <w:shd w:val="clear" w:color="auto" w:fill="FFFFFF" w:themeFill="background1"/>
            <w:vAlign w:val="center"/>
          </w:tcPr>
          <w:p w14:paraId="62A7CEFB" w14:textId="77777777" w:rsidR="00632E5B" w:rsidRDefault="00632E5B"/>
        </w:tc>
        <w:tc>
          <w:tcPr>
            <w:tcW w:w="1525" w:type="dxa"/>
            <w:shd w:val="clear" w:color="auto" w:fill="FFFFFF" w:themeFill="background1"/>
            <w:vAlign w:val="center"/>
          </w:tcPr>
          <w:p w14:paraId="5ABC507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w:t>
            </w:r>
          </w:p>
        </w:tc>
        <w:tc>
          <w:tcPr>
            <w:tcW w:w="1418" w:type="dxa"/>
            <w:shd w:val="clear" w:color="auto" w:fill="FFFFFF" w:themeFill="background1"/>
            <w:vAlign w:val="center"/>
          </w:tcPr>
          <w:p w14:paraId="0567EAE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收回或转回</w:t>
            </w:r>
          </w:p>
        </w:tc>
        <w:tc>
          <w:tcPr>
            <w:tcW w:w="1701" w:type="dxa"/>
            <w:shd w:val="clear" w:color="auto" w:fill="FFFFFF" w:themeFill="background1"/>
            <w:vAlign w:val="center"/>
          </w:tcPr>
          <w:p w14:paraId="7EAB7B8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转销或核销</w:t>
            </w:r>
          </w:p>
        </w:tc>
        <w:tc>
          <w:tcPr>
            <w:tcW w:w="1701" w:type="dxa"/>
            <w:shd w:val="clear" w:color="auto" w:fill="FFFFFF" w:themeFill="background1"/>
            <w:vAlign w:val="center"/>
          </w:tcPr>
          <w:p w14:paraId="13AFD60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1417" w:type="dxa"/>
            <w:shd w:val="clear" w:color="auto" w:fill="FFFFFF" w:themeFill="background1"/>
            <w:vAlign w:val="center"/>
          </w:tcPr>
          <w:p w14:paraId="5BB34DB8" w14:textId="77777777" w:rsidR="00632E5B" w:rsidRDefault="00632E5B"/>
        </w:tc>
      </w:tr>
      <w:tr w:rsidR="00632E5B" w14:paraId="4211EAF5" w14:textId="77777777" w:rsidTr="001F5A64">
        <w:trPr>
          <w:trHeight w:val="240"/>
          <w:jc w:val="center"/>
        </w:trPr>
        <w:tc>
          <w:tcPr>
            <w:tcW w:w="1377" w:type="dxa"/>
            <w:shd w:val="clear" w:color="auto" w:fill="FFFFFF" w:themeFill="background1"/>
            <w:vAlign w:val="center"/>
          </w:tcPr>
          <w:p w14:paraId="4D30C8B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单项计提</w:t>
            </w:r>
          </w:p>
        </w:tc>
        <w:tc>
          <w:tcPr>
            <w:tcW w:w="1773" w:type="dxa"/>
            <w:shd w:val="clear" w:color="auto" w:fill="FFFFFF" w:themeFill="background1"/>
            <w:vAlign w:val="center"/>
          </w:tcPr>
          <w:p w14:paraId="63910BC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1,807,816,265.45</w:t>
            </w:r>
          </w:p>
        </w:tc>
        <w:tc>
          <w:tcPr>
            <w:tcW w:w="1525" w:type="dxa"/>
            <w:shd w:val="clear" w:color="auto" w:fill="FFFFFF" w:themeFill="background1"/>
            <w:vAlign w:val="center"/>
          </w:tcPr>
          <w:p w14:paraId="4E7D3EA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220,990,407.65</w:t>
            </w:r>
          </w:p>
        </w:tc>
        <w:tc>
          <w:tcPr>
            <w:tcW w:w="1418" w:type="dxa"/>
            <w:shd w:val="clear" w:color="auto" w:fill="FFFFFF" w:themeFill="background1"/>
            <w:vAlign w:val="center"/>
          </w:tcPr>
          <w:p w14:paraId="35D8C44A" w14:textId="77777777" w:rsidR="00632E5B" w:rsidRDefault="00632E5B">
            <w:pPr>
              <w:spacing w:line="240" w:lineRule="exact"/>
              <w:jc w:val="right"/>
              <w:rPr>
                <w:rFonts w:ascii="宋体" w:eastAsia="宋体" w:hAnsi="宋体" w:cs="宋体" w:hint="eastAsia"/>
                <w:sz w:val="18"/>
                <w:szCs w:val="18"/>
              </w:rPr>
            </w:pPr>
          </w:p>
        </w:tc>
        <w:tc>
          <w:tcPr>
            <w:tcW w:w="1701" w:type="dxa"/>
            <w:shd w:val="clear" w:color="auto" w:fill="FFFFFF" w:themeFill="background1"/>
            <w:vAlign w:val="center"/>
          </w:tcPr>
          <w:p w14:paraId="57EF12E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1,992,611,212.94</w:t>
            </w:r>
          </w:p>
        </w:tc>
        <w:tc>
          <w:tcPr>
            <w:tcW w:w="1701" w:type="dxa"/>
            <w:shd w:val="clear" w:color="auto" w:fill="FFFFFF" w:themeFill="background1"/>
            <w:vAlign w:val="center"/>
          </w:tcPr>
          <w:p w14:paraId="09B47DA9" w14:textId="77777777" w:rsidR="00632E5B" w:rsidRDefault="00632E5B">
            <w:pPr>
              <w:spacing w:line="240" w:lineRule="exact"/>
              <w:jc w:val="right"/>
              <w:rPr>
                <w:rFonts w:ascii="宋体" w:eastAsia="宋体" w:hAnsi="宋体" w:cs="宋体" w:hint="eastAsia"/>
                <w:sz w:val="18"/>
                <w:szCs w:val="18"/>
              </w:rPr>
            </w:pPr>
          </w:p>
        </w:tc>
        <w:tc>
          <w:tcPr>
            <w:tcW w:w="1417" w:type="dxa"/>
            <w:shd w:val="clear" w:color="auto" w:fill="FFFFFF" w:themeFill="background1"/>
            <w:vAlign w:val="center"/>
          </w:tcPr>
          <w:p w14:paraId="6C45852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36,195,460.16</w:t>
            </w:r>
          </w:p>
        </w:tc>
      </w:tr>
      <w:tr w:rsidR="00632E5B" w14:paraId="013D8D6E" w14:textId="77777777" w:rsidTr="001F5A64">
        <w:trPr>
          <w:trHeight w:val="240"/>
          <w:jc w:val="center"/>
        </w:trPr>
        <w:tc>
          <w:tcPr>
            <w:tcW w:w="1377" w:type="dxa"/>
            <w:shd w:val="clear" w:color="auto" w:fill="FFFFFF" w:themeFill="background1"/>
            <w:vAlign w:val="center"/>
          </w:tcPr>
          <w:p w14:paraId="446F7F1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组合计提</w:t>
            </w:r>
          </w:p>
        </w:tc>
        <w:tc>
          <w:tcPr>
            <w:tcW w:w="1773" w:type="dxa"/>
            <w:shd w:val="clear" w:color="auto" w:fill="FFFFFF" w:themeFill="background1"/>
            <w:vAlign w:val="center"/>
          </w:tcPr>
          <w:p w14:paraId="046A5C4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265,052,127.30</w:t>
            </w:r>
          </w:p>
        </w:tc>
        <w:tc>
          <w:tcPr>
            <w:tcW w:w="1525" w:type="dxa"/>
            <w:shd w:val="clear" w:color="auto" w:fill="FFFFFF" w:themeFill="background1"/>
            <w:vAlign w:val="center"/>
          </w:tcPr>
          <w:p w14:paraId="7F631D5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38,948,890.12</w:t>
            </w:r>
          </w:p>
        </w:tc>
        <w:tc>
          <w:tcPr>
            <w:tcW w:w="1418" w:type="dxa"/>
            <w:shd w:val="clear" w:color="auto" w:fill="FFFFFF" w:themeFill="background1"/>
            <w:vAlign w:val="center"/>
          </w:tcPr>
          <w:p w14:paraId="1869244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17,351,099.77</w:t>
            </w:r>
          </w:p>
        </w:tc>
        <w:tc>
          <w:tcPr>
            <w:tcW w:w="1701" w:type="dxa"/>
            <w:shd w:val="clear" w:color="auto" w:fill="FFFFFF" w:themeFill="background1"/>
            <w:vAlign w:val="center"/>
          </w:tcPr>
          <w:p w14:paraId="14A1FFA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96,274,433.86</w:t>
            </w:r>
          </w:p>
        </w:tc>
        <w:tc>
          <w:tcPr>
            <w:tcW w:w="1701" w:type="dxa"/>
            <w:shd w:val="clear" w:color="auto" w:fill="FFFFFF" w:themeFill="background1"/>
            <w:vAlign w:val="center"/>
          </w:tcPr>
          <w:p w14:paraId="25D887A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-151,887,417.07</w:t>
            </w:r>
          </w:p>
        </w:tc>
        <w:tc>
          <w:tcPr>
            <w:tcW w:w="1417" w:type="dxa"/>
            <w:shd w:val="clear" w:color="auto" w:fill="FFFFFF" w:themeFill="background1"/>
            <w:vAlign w:val="center"/>
          </w:tcPr>
          <w:p w14:paraId="7ED9B68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38,488,066.72</w:t>
            </w:r>
          </w:p>
        </w:tc>
      </w:tr>
      <w:tr w:rsidR="00632E5B" w14:paraId="5FCD99C5" w14:textId="77777777" w:rsidTr="001F5A64">
        <w:trPr>
          <w:trHeight w:val="240"/>
          <w:jc w:val="center"/>
        </w:trPr>
        <w:tc>
          <w:tcPr>
            <w:tcW w:w="1377" w:type="dxa"/>
            <w:shd w:val="clear" w:color="auto" w:fill="FFFFFF" w:themeFill="background1"/>
            <w:vAlign w:val="center"/>
          </w:tcPr>
          <w:p w14:paraId="316763A4"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773" w:type="dxa"/>
            <w:shd w:val="clear" w:color="auto" w:fill="FFFFFF" w:themeFill="background1"/>
            <w:vAlign w:val="center"/>
          </w:tcPr>
          <w:p w14:paraId="66666AA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2,072,868,392.75</w:t>
            </w:r>
          </w:p>
        </w:tc>
        <w:tc>
          <w:tcPr>
            <w:tcW w:w="1525" w:type="dxa"/>
            <w:shd w:val="clear" w:color="auto" w:fill="FFFFFF" w:themeFill="background1"/>
            <w:vAlign w:val="center"/>
          </w:tcPr>
          <w:p w14:paraId="0215CF5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259,939,297.77</w:t>
            </w:r>
          </w:p>
        </w:tc>
        <w:tc>
          <w:tcPr>
            <w:tcW w:w="1418" w:type="dxa"/>
            <w:shd w:val="clear" w:color="auto" w:fill="FFFFFF" w:themeFill="background1"/>
            <w:vAlign w:val="center"/>
          </w:tcPr>
          <w:p w14:paraId="19BEF50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17,351,099.77</w:t>
            </w:r>
          </w:p>
        </w:tc>
        <w:tc>
          <w:tcPr>
            <w:tcW w:w="1701" w:type="dxa"/>
            <w:shd w:val="clear" w:color="auto" w:fill="FFFFFF" w:themeFill="background1"/>
            <w:vAlign w:val="center"/>
          </w:tcPr>
          <w:p w14:paraId="4DC9B8A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2,088,885,646.80</w:t>
            </w:r>
          </w:p>
        </w:tc>
        <w:tc>
          <w:tcPr>
            <w:tcW w:w="1701" w:type="dxa"/>
            <w:shd w:val="clear" w:color="auto" w:fill="FFFFFF" w:themeFill="background1"/>
            <w:vAlign w:val="center"/>
          </w:tcPr>
          <w:p w14:paraId="4EBE8DC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-151,887,417.07</w:t>
            </w:r>
          </w:p>
        </w:tc>
        <w:tc>
          <w:tcPr>
            <w:tcW w:w="1417" w:type="dxa"/>
            <w:shd w:val="clear" w:color="auto" w:fill="FFFFFF" w:themeFill="background1"/>
            <w:vAlign w:val="center"/>
          </w:tcPr>
          <w:p w14:paraId="7F50F4D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74,683,526.88</w:t>
            </w:r>
          </w:p>
        </w:tc>
      </w:tr>
    </w:tbl>
    <w:p w14:paraId="6D910749" w14:textId="1BB3AC51" w:rsidR="00E72F0C" w:rsidRDefault="00107901" w:rsidP="00EA536C">
      <w:pPr>
        <w:pStyle w:val="a3"/>
        <w:spacing w:before="0" w:beforeAutospacing="0" w:after="0" w:afterAutospacing="0"/>
        <w:divId w:val="1006320204"/>
        <w:rPr>
          <w:rFonts w:hint="eastAsia"/>
          <w:sz w:val="18"/>
          <w:szCs w:val="18"/>
        </w:rPr>
      </w:pPr>
      <w:r>
        <w:rPr>
          <w:rFonts w:hint="eastAsia"/>
          <w:sz w:val="18"/>
          <w:szCs w:val="18"/>
        </w:rPr>
        <w:t>注：组合计提-其他变动为处置子公司变动-146,559,750.79元，汇率变动导致变动-5,327,666.28元。</w:t>
      </w:r>
    </w:p>
    <w:p w14:paraId="0FDBDDD5" w14:textId="77777777" w:rsidR="001F5A64" w:rsidRDefault="001F5A64">
      <w:pPr>
        <w:widowControl/>
        <w:rPr>
          <w:rFonts w:ascii="宋体" w:eastAsia="宋体" w:hAnsi="宋体" w:cs="宋体" w:hint="eastAsia"/>
          <w:sz w:val="18"/>
          <w:szCs w:val="18"/>
        </w:rPr>
      </w:pPr>
      <w:r>
        <w:rPr>
          <w:rFonts w:ascii="宋体" w:eastAsia="宋体" w:hAnsi="宋体" w:cs="宋体" w:hint="eastAsia"/>
          <w:sz w:val="18"/>
          <w:szCs w:val="18"/>
        </w:rPr>
        <w:br w:type="page"/>
      </w:r>
    </w:p>
    <w:p w14:paraId="6FD16ADC" w14:textId="0E593891"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lastRenderedPageBreak/>
        <w:t>其中本期坏账准备转回或收回金额重要的：</w:t>
      </w:r>
    </w:p>
    <w:p w14:paraId="4FFD7720" w14:textId="77777777" w:rsidR="00632E5B" w:rsidRDefault="00107901">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81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927"/>
        <w:gridCol w:w="1928"/>
        <w:gridCol w:w="1928"/>
        <w:gridCol w:w="1761"/>
        <w:gridCol w:w="2268"/>
      </w:tblGrid>
      <w:tr w:rsidR="00632E5B" w14:paraId="6E96407C" w14:textId="77777777" w:rsidTr="001F5A64">
        <w:trPr>
          <w:trHeight w:val="240"/>
        </w:trPr>
        <w:tc>
          <w:tcPr>
            <w:tcW w:w="1927" w:type="dxa"/>
            <w:shd w:val="clear" w:color="auto" w:fill="FFFFFF" w:themeFill="background1"/>
            <w:vAlign w:val="center"/>
          </w:tcPr>
          <w:p w14:paraId="49CFF48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单位名称</w:t>
            </w:r>
          </w:p>
        </w:tc>
        <w:tc>
          <w:tcPr>
            <w:tcW w:w="1928" w:type="dxa"/>
            <w:shd w:val="clear" w:color="auto" w:fill="FFFFFF" w:themeFill="background1"/>
            <w:vAlign w:val="center"/>
          </w:tcPr>
          <w:p w14:paraId="49E5643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收回或转回金额</w:t>
            </w:r>
          </w:p>
        </w:tc>
        <w:tc>
          <w:tcPr>
            <w:tcW w:w="1928" w:type="dxa"/>
            <w:shd w:val="clear" w:color="auto" w:fill="FFFFFF" w:themeFill="background1"/>
            <w:vAlign w:val="center"/>
          </w:tcPr>
          <w:p w14:paraId="0043800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转回原因</w:t>
            </w:r>
          </w:p>
        </w:tc>
        <w:tc>
          <w:tcPr>
            <w:tcW w:w="1761" w:type="dxa"/>
            <w:shd w:val="clear" w:color="auto" w:fill="FFFFFF" w:themeFill="background1"/>
            <w:vAlign w:val="center"/>
          </w:tcPr>
          <w:p w14:paraId="38928C4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收回方式</w:t>
            </w:r>
          </w:p>
        </w:tc>
        <w:tc>
          <w:tcPr>
            <w:tcW w:w="2268" w:type="dxa"/>
            <w:shd w:val="clear" w:color="auto" w:fill="FFFFFF" w:themeFill="background1"/>
            <w:vAlign w:val="center"/>
          </w:tcPr>
          <w:p w14:paraId="691BE7B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确定原坏账准备计提比例的依据及其合理性</w:t>
            </w:r>
          </w:p>
        </w:tc>
      </w:tr>
      <w:tr w:rsidR="00632E5B" w14:paraId="250ABF9B" w14:textId="77777777" w:rsidTr="001F5A64">
        <w:trPr>
          <w:trHeight w:val="240"/>
        </w:trPr>
        <w:tc>
          <w:tcPr>
            <w:tcW w:w="1927" w:type="dxa"/>
            <w:shd w:val="clear" w:color="auto" w:fill="FFFFFF" w:themeFill="background1"/>
            <w:vAlign w:val="center"/>
          </w:tcPr>
          <w:p w14:paraId="1534B46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单位1</w:t>
            </w:r>
          </w:p>
        </w:tc>
        <w:tc>
          <w:tcPr>
            <w:tcW w:w="1928" w:type="dxa"/>
            <w:shd w:val="clear" w:color="auto" w:fill="FFFFFF" w:themeFill="background1"/>
            <w:vAlign w:val="center"/>
          </w:tcPr>
          <w:p w14:paraId="21FAC2A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10,000,000.00</w:t>
            </w:r>
          </w:p>
        </w:tc>
        <w:tc>
          <w:tcPr>
            <w:tcW w:w="1928" w:type="dxa"/>
            <w:shd w:val="clear" w:color="auto" w:fill="FFFFFF" w:themeFill="background1"/>
            <w:vAlign w:val="center"/>
          </w:tcPr>
          <w:p w14:paraId="2C09EFE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抵账</w:t>
            </w:r>
          </w:p>
        </w:tc>
        <w:tc>
          <w:tcPr>
            <w:tcW w:w="1761" w:type="dxa"/>
            <w:shd w:val="clear" w:color="auto" w:fill="FFFFFF" w:themeFill="background1"/>
            <w:vAlign w:val="center"/>
          </w:tcPr>
          <w:p w14:paraId="144496E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抵账</w:t>
            </w:r>
          </w:p>
        </w:tc>
        <w:tc>
          <w:tcPr>
            <w:tcW w:w="2268" w:type="dxa"/>
            <w:shd w:val="clear" w:color="auto" w:fill="FFFFFF" w:themeFill="background1"/>
            <w:vAlign w:val="center"/>
          </w:tcPr>
          <w:p w14:paraId="265EFC8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账龄较长，基于谨慎性。</w:t>
            </w:r>
          </w:p>
        </w:tc>
      </w:tr>
      <w:tr w:rsidR="00632E5B" w14:paraId="393A1DA5" w14:textId="77777777" w:rsidTr="001F5A64">
        <w:trPr>
          <w:trHeight w:val="240"/>
        </w:trPr>
        <w:tc>
          <w:tcPr>
            <w:tcW w:w="1927" w:type="dxa"/>
            <w:shd w:val="clear" w:color="auto" w:fill="FFFFFF" w:themeFill="background1"/>
            <w:vAlign w:val="center"/>
          </w:tcPr>
          <w:p w14:paraId="28655AC0"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shd w:val="clear" w:color="auto" w:fill="FFFFFF" w:themeFill="background1"/>
            <w:vAlign w:val="center"/>
          </w:tcPr>
          <w:p w14:paraId="53574F7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10,000,000.00</w:t>
            </w:r>
          </w:p>
        </w:tc>
        <w:tc>
          <w:tcPr>
            <w:tcW w:w="1928" w:type="dxa"/>
            <w:shd w:val="clear" w:color="auto" w:fill="FFFFFF" w:themeFill="background1"/>
            <w:vAlign w:val="center"/>
          </w:tcPr>
          <w:p w14:paraId="57916326" w14:textId="77777777" w:rsidR="00632E5B" w:rsidRDefault="00632E5B"/>
        </w:tc>
        <w:tc>
          <w:tcPr>
            <w:tcW w:w="1761" w:type="dxa"/>
            <w:shd w:val="clear" w:color="auto" w:fill="FFFFFF" w:themeFill="background1"/>
            <w:vAlign w:val="center"/>
          </w:tcPr>
          <w:p w14:paraId="7F95827E" w14:textId="77777777" w:rsidR="00632E5B" w:rsidRDefault="00632E5B"/>
        </w:tc>
        <w:tc>
          <w:tcPr>
            <w:tcW w:w="2268" w:type="dxa"/>
            <w:shd w:val="clear" w:color="auto" w:fill="FFFFFF" w:themeFill="background1"/>
            <w:vAlign w:val="center"/>
          </w:tcPr>
          <w:p w14:paraId="25BC05E0" w14:textId="77777777" w:rsidR="00632E5B" w:rsidRDefault="00632E5B"/>
        </w:tc>
      </w:tr>
    </w:tbl>
    <w:p w14:paraId="02D2ABAC" w14:textId="77777777" w:rsidR="00632E5B" w:rsidRDefault="00107901">
      <w:pPr>
        <w:keepNext/>
        <w:keepLines/>
        <w:spacing w:before="300" w:after="300" w:line="280" w:lineRule="exact"/>
        <w:outlineLvl w:val="4"/>
        <w:rPr>
          <w:rFonts w:ascii="宋体" w:eastAsia="宋体" w:hAnsi="宋体" w:cs="宋体" w:hint="eastAsia"/>
          <w:b/>
          <w:bCs/>
          <w:szCs w:val="21"/>
        </w:rPr>
      </w:pPr>
      <w:bookmarkStart w:id="231" w:name="_Toc989120"/>
      <w:r>
        <w:rPr>
          <w:rFonts w:ascii="宋体" w:eastAsia="宋体" w:hAnsi="宋体" w:cs="宋体"/>
          <w:b/>
          <w:bCs/>
          <w:szCs w:val="21"/>
        </w:rPr>
        <w:t>5） 本期实际核销的其他应收款情况</w:t>
      </w:r>
      <w:bookmarkEnd w:id="231"/>
    </w:p>
    <w:p w14:paraId="67108DF2"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4820"/>
        <w:gridCol w:w="4819"/>
      </w:tblGrid>
      <w:tr w:rsidR="00632E5B" w14:paraId="0A62D2E6" w14:textId="77777777" w:rsidTr="001F5A64">
        <w:trPr>
          <w:trHeight w:val="240"/>
        </w:trPr>
        <w:tc>
          <w:tcPr>
            <w:tcW w:w="4820" w:type="dxa"/>
            <w:shd w:val="clear" w:color="auto" w:fill="FFFFFF" w:themeFill="background1"/>
            <w:vAlign w:val="center"/>
          </w:tcPr>
          <w:p w14:paraId="01225A0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4820" w:type="dxa"/>
            <w:shd w:val="clear" w:color="auto" w:fill="FFFFFF" w:themeFill="background1"/>
            <w:vAlign w:val="center"/>
          </w:tcPr>
          <w:p w14:paraId="1DE58D1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核销金额</w:t>
            </w:r>
          </w:p>
        </w:tc>
      </w:tr>
      <w:tr w:rsidR="00632E5B" w14:paraId="1DB84611" w14:textId="77777777" w:rsidTr="001F5A64">
        <w:trPr>
          <w:trHeight w:val="240"/>
        </w:trPr>
        <w:tc>
          <w:tcPr>
            <w:tcW w:w="4820" w:type="dxa"/>
            <w:shd w:val="clear" w:color="auto" w:fill="FFFFFF" w:themeFill="background1"/>
            <w:vAlign w:val="center"/>
          </w:tcPr>
          <w:p w14:paraId="0C41863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实际核销的其他应收款</w:t>
            </w:r>
          </w:p>
        </w:tc>
        <w:tc>
          <w:tcPr>
            <w:tcW w:w="4820" w:type="dxa"/>
            <w:shd w:val="clear" w:color="auto" w:fill="FFFFFF" w:themeFill="background1"/>
            <w:vAlign w:val="center"/>
          </w:tcPr>
          <w:p w14:paraId="48C737E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2,088,885,646.80</w:t>
            </w:r>
          </w:p>
        </w:tc>
      </w:tr>
    </w:tbl>
    <w:p w14:paraId="4164AB54"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其中重要的其他应收款核销情况：</w:t>
      </w:r>
    </w:p>
    <w:p w14:paraId="4E0D9559" w14:textId="77777777" w:rsidR="00632E5B" w:rsidRDefault="00107901">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813"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606"/>
        <w:gridCol w:w="1606"/>
        <w:gridCol w:w="1780"/>
        <w:gridCol w:w="1607"/>
        <w:gridCol w:w="1607"/>
        <w:gridCol w:w="1607"/>
      </w:tblGrid>
      <w:tr w:rsidR="00632E5B" w14:paraId="2C50F197" w14:textId="77777777" w:rsidTr="001F5A64">
        <w:trPr>
          <w:trHeight w:val="240"/>
        </w:trPr>
        <w:tc>
          <w:tcPr>
            <w:tcW w:w="1606" w:type="dxa"/>
            <w:shd w:val="clear" w:color="auto" w:fill="FFFFFF" w:themeFill="background1"/>
            <w:vAlign w:val="center"/>
          </w:tcPr>
          <w:p w14:paraId="7A275D6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单位名称</w:t>
            </w:r>
          </w:p>
        </w:tc>
        <w:tc>
          <w:tcPr>
            <w:tcW w:w="1606" w:type="dxa"/>
            <w:shd w:val="clear" w:color="auto" w:fill="FFFFFF" w:themeFill="background1"/>
            <w:vAlign w:val="center"/>
          </w:tcPr>
          <w:p w14:paraId="5336619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其他应收款性质</w:t>
            </w:r>
          </w:p>
        </w:tc>
        <w:tc>
          <w:tcPr>
            <w:tcW w:w="1780" w:type="dxa"/>
            <w:shd w:val="clear" w:color="auto" w:fill="FFFFFF" w:themeFill="background1"/>
            <w:vAlign w:val="center"/>
          </w:tcPr>
          <w:p w14:paraId="684A30A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核销金额</w:t>
            </w:r>
          </w:p>
        </w:tc>
        <w:tc>
          <w:tcPr>
            <w:tcW w:w="1607" w:type="dxa"/>
            <w:shd w:val="clear" w:color="auto" w:fill="FFFFFF" w:themeFill="background1"/>
            <w:vAlign w:val="center"/>
          </w:tcPr>
          <w:p w14:paraId="013A226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核销原因</w:t>
            </w:r>
          </w:p>
        </w:tc>
        <w:tc>
          <w:tcPr>
            <w:tcW w:w="1607" w:type="dxa"/>
            <w:shd w:val="clear" w:color="auto" w:fill="FFFFFF" w:themeFill="background1"/>
            <w:vAlign w:val="center"/>
          </w:tcPr>
          <w:p w14:paraId="2E45D2A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履行的核销程序</w:t>
            </w:r>
          </w:p>
        </w:tc>
        <w:tc>
          <w:tcPr>
            <w:tcW w:w="1607" w:type="dxa"/>
            <w:shd w:val="clear" w:color="auto" w:fill="FFFFFF" w:themeFill="background1"/>
            <w:vAlign w:val="center"/>
          </w:tcPr>
          <w:p w14:paraId="47AF54B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款项是否由关联交易产生</w:t>
            </w:r>
          </w:p>
        </w:tc>
      </w:tr>
      <w:tr w:rsidR="00632E5B" w14:paraId="68022022" w14:textId="77777777" w:rsidTr="001F5A64">
        <w:trPr>
          <w:trHeight w:val="240"/>
        </w:trPr>
        <w:tc>
          <w:tcPr>
            <w:tcW w:w="1606" w:type="dxa"/>
            <w:shd w:val="clear" w:color="auto" w:fill="FFFFFF" w:themeFill="background1"/>
            <w:vAlign w:val="center"/>
          </w:tcPr>
          <w:p w14:paraId="3851039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单位2</w:t>
            </w:r>
          </w:p>
        </w:tc>
        <w:tc>
          <w:tcPr>
            <w:tcW w:w="1606" w:type="dxa"/>
            <w:shd w:val="clear" w:color="auto" w:fill="FFFFFF" w:themeFill="background1"/>
            <w:vAlign w:val="center"/>
          </w:tcPr>
          <w:p w14:paraId="1702F07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关联方往来</w:t>
            </w:r>
          </w:p>
        </w:tc>
        <w:tc>
          <w:tcPr>
            <w:tcW w:w="1780" w:type="dxa"/>
            <w:shd w:val="clear" w:color="auto" w:fill="FFFFFF" w:themeFill="background1"/>
            <w:vAlign w:val="center"/>
          </w:tcPr>
          <w:p w14:paraId="66CF41A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1,794,286,167.44</w:t>
            </w:r>
          </w:p>
        </w:tc>
        <w:tc>
          <w:tcPr>
            <w:tcW w:w="1607" w:type="dxa"/>
            <w:shd w:val="clear" w:color="auto" w:fill="FFFFFF" w:themeFill="background1"/>
            <w:vAlign w:val="center"/>
          </w:tcPr>
          <w:p w14:paraId="381636E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无法收回</w:t>
            </w:r>
          </w:p>
        </w:tc>
        <w:tc>
          <w:tcPr>
            <w:tcW w:w="1607" w:type="dxa"/>
            <w:shd w:val="clear" w:color="auto" w:fill="FFFFFF" w:themeFill="background1"/>
            <w:vAlign w:val="center"/>
          </w:tcPr>
          <w:p w14:paraId="4745EFB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第七届董事会第一次会议</w:t>
            </w:r>
          </w:p>
        </w:tc>
        <w:tc>
          <w:tcPr>
            <w:tcW w:w="1607" w:type="dxa"/>
            <w:shd w:val="clear" w:color="auto" w:fill="FFFFFF" w:themeFill="background1"/>
            <w:vAlign w:val="center"/>
          </w:tcPr>
          <w:p w14:paraId="610A6CF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是</w:t>
            </w:r>
          </w:p>
        </w:tc>
      </w:tr>
      <w:tr w:rsidR="00632E5B" w14:paraId="6B3DA75E" w14:textId="77777777" w:rsidTr="001F5A64">
        <w:trPr>
          <w:trHeight w:val="240"/>
        </w:trPr>
        <w:tc>
          <w:tcPr>
            <w:tcW w:w="1606" w:type="dxa"/>
            <w:shd w:val="clear" w:color="auto" w:fill="FFFFFF" w:themeFill="background1"/>
            <w:vAlign w:val="center"/>
          </w:tcPr>
          <w:p w14:paraId="3497963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单位3</w:t>
            </w:r>
          </w:p>
        </w:tc>
        <w:tc>
          <w:tcPr>
            <w:tcW w:w="1606" w:type="dxa"/>
            <w:shd w:val="clear" w:color="auto" w:fill="FFFFFF" w:themeFill="background1"/>
            <w:vAlign w:val="center"/>
          </w:tcPr>
          <w:p w14:paraId="366B6C7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关联方往来</w:t>
            </w:r>
          </w:p>
        </w:tc>
        <w:tc>
          <w:tcPr>
            <w:tcW w:w="1780" w:type="dxa"/>
            <w:shd w:val="clear" w:color="auto" w:fill="FFFFFF" w:themeFill="background1"/>
            <w:vAlign w:val="center"/>
          </w:tcPr>
          <w:p w14:paraId="522DD87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95,876,352.00</w:t>
            </w:r>
          </w:p>
        </w:tc>
        <w:tc>
          <w:tcPr>
            <w:tcW w:w="1607" w:type="dxa"/>
            <w:shd w:val="clear" w:color="auto" w:fill="FFFFFF" w:themeFill="background1"/>
            <w:vAlign w:val="center"/>
          </w:tcPr>
          <w:p w14:paraId="43D5498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无法收回</w:t>
            </w:r>
          </w:p>
        </w:tc>
        <w:tc>
          <w:tcPr>
            <w:tcW w:w="1607" w:type="dxa"/>
            <w:shd w:val="clear" w:color="auto" w:fill="FFFFFF" w:themeFill="background1"/>
            <w:vAlign w:val="center"/>
          </w:tcPr>
          <w:p w14:paraId="6871CDA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第七届董事会第一次会议</w:t>
            </w:r>
          </w:p>
        </w:tc>
        <w:tc>
          <w:tcPr>
            <w:tcW w:w="1607" w:type="dxa"/>
            <w:shd w:val="clear" w:color="auto" w:fill="FFFFFF" w:themeFill="background1"/>
            <w:vAlign w:val="center"/>
          </w:tcPr>
          <w:p w14:paraId="70EA655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是</w:t>
            </w:r>
          </w:p>
        </w:tc>
      </w:tr>
      <w:tr w:rsidR="00632E5B" w14:paraId="7E9F531E" w14:textId="77777777" w:rsidTr="001F5A64">
        <w:trPr>
          <w:trHeight w:val="240"/>
        </w:trPr>
        <w:tc>
          <w:tcPr>
            <w:tcW w:w="1606" w:type="dxa"/>
            <w:shd w:val="clear" w:color="auto" w:fill="FFFFFF" w:themeFill="background1"/>
            <w:vAlign w:val="center"/>
          </w:tcPr>
          <w:p w14:paraId="374AC45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单位4</w:t>
            </w:r>
          </w:p>
        </w:tc>
        <w:tc>
          <w:tcPr>
            <w:tcW w:w="1606" w:type="dxa"/>
            <w:shd w:val="clear" w:color="auto" w:fill="FFFFFF" w:themeFill="background1"/>
            <w:vAlign w:val="center"/>
          </w:tcPr>
          <w:p w14:paraId="4A5B664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暂付款及其他</w:t>
            </w:r>
          </w:p>
        </w:tc>
        <w:tc>
          <w:tcPr>
            <w:tcW w:w="1780" w:type="dxa"/>
            <w:shd w:val="clear" w:color="auto" w:fill="FFFFFF" w:themeFill="background1"/>
            <w:vAlign w:val="center"/>
          </w:tcPr>
          <w:p w14:paraId="2F6F3A0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88,065,300.00</w:t>
            </w:r>
          </w:p>
        </w:tc>
        <w:tc>
          <w:tcPr>
            <w:tcW w:w="1607" w:type="dxa"/>
            <w:shd w:val="clear" w:color="auto" w:fill="FFFFFF" w:themeFill="background1"/>
            <w:vAlign w:val="center"/>
          </w:tcPr>
          <w:p w14:paraId="5912445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无法收回</w:t>
            </w:r>
          </w:p>
        </w:tc>
        <w:tc>
          <w:tcPr>
            <w:tcW w:w="1607" w:type="dxa"/>
            <w:shd w:val="clear" w:color="auto" w:fill="FFFFFF" w:themeFill="background1"/>
            <w:vAlign w:val="center"/>
          </w:tcPr>
          <w:p w14:paraId="2CD5562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第七届董事会第一次会议</w:t>
            </w:r>
          </w:p>
        </w:tc>
        <w:tc>
          <w:tcPr>
            <w:tcW w:w="1607" w:type="dxa"/>
            <w:shd w:val="clear" w:color="auto" w:fill="FFFFFF" w:themeFill="background1"/>
            <w:vAlign w:val="center"/>
          </w:tcPr>
          <w:p w14:paraId="0F5658F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09C0002B" w14:textId="77777777" w:rsidTr="001F5A64">
        <w:trPr>
          <w:trHeight w:val="240"/>
        </w:trPr>
        <w:tc>
          <w:tcPr>
            <w:tcW w:w="1606" w:type="dxa"/>
            <w:shd w:val="clear" w:color="auto" w:fill="FFFFFF" w:themeFill="background1"/>
            <w:vAlign w:val="center"/>
          </w:tcPr>
          <w:p w14:paraId="414494D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单位5</w:t>
            </w:r>
          </w:p>
        </w:tc>
        <w:tc>
          <w:tcPr>
            <w:tcW w:w="1606" w:type="dxa"/>
            <w:shd w:val="clear" w:color="auto" w:fill="FFFFFF" w:themeFill="background1"/>
            <w:vAlign w:val="center"/>
          </w:tcPr>
          <w:p w14:paraId="7F0FE2E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暂付款及其他</w:t>
            </w:r>
          </w:p>
        </w:tc>
        <w:tc>
          <w:tcPr>
            <w:tcW w:w="1780" w:type="dxa"/>
            <w:shd w:val="clear" w:color="auto" w:fill="FFFFFF" w:themeFill="background1"/>
            <w:vAlign w:val="center"/>
          </w:tcPr>
          <w:p w14:paraId="1F81E64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40,972,409.80</w:t>
            </w:r>
          </w:p>
        </w:tc>
        <w:tc>
          <w:tcPr>
            <w:tcW w:w="1607" w:type="dxa"/>
            <w:shd w:val="clear" w:color="auto" w:fill="FFFFFF" w:themeFill="background1"/>
            <w:vAlign w:val="center"/>
          </w:tcPr>
          <w:p w14:paraId="556D255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无法收回</w:t>
            </w:r>
          </w:p>
        </w:tc>
        <w:tc>
          <w:tcPr>
            <w:tcW w:w="1607" w:type="dxa"/>
            <w:shd w:val="clear" w:color="auto" w:fill="FFFFFF" w:themeFill="background1"/>
            <w:vAlign w:val="center"/>
          </w:tcPr>
          <w:p w14:paraId="573F314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第七届董事会第一次会议</w:t>
            </w:r>
          </w:p>
        </w:tc>
        <w:tc>
          <w:tcPr>
            <w:tcW w:w="1607" w:type="dxa"/>
            <w:shd w:val="clear" w:color="auto" w:fill="FFFFFF" w:themeFill="background1"/>
            <w:vAlign w:val="center"/>
          </w:tcPr>
          <w:p w14:paraId="2E518DF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6D5CFD3E" w14:textId="77777777" w:rsidTr="001F5A64">
        <w:trPr>
          <w:trHeight w:val="240"/>
        </w:trPr>
        <w:tc>
          <w:tcPr>
            <w:tcW w:w="1606" w:type="dxa"/>
            <w:shd w:val="clear" w:color="auto" w:fill="FFFFFF" w:themeFill="background1"/>
            <w:vAlign w:val="center"/>
          </w:tcPr>
          <w:p w14:paraId="25D3376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单位6</w:t>
            </w:r>
          </w:p>
        </w:tc>
        <w:tc>
          <w:tcPr>
            <w:tcW w:w="1606" w:type="dxa"/>
            <w:shd w:val="clear" w:color="auto" w:fill="FFFFFF" w:themeFill="background1"/>
            <w:vAlign w:val="center"/>
          </w:tcPr>
          <w:p w14:paraId="3300623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暂付款及其他</w:t>
            </w:r>
          </w:p>
        </w:tc>
        <w:tc>
          <w:tcPr>
            <w:tcW w:w="1780" w:type="dxa"/>
            <w:shd w:val="clear" w:color="auto" w:fill="FFFFFF" w:themeFill="background1"/>
            <w:vAlign w:val="center"/>
          </w:tcPr>
          <w:p w14:paraId="30C40FD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30,000,000.00</w:t>
            </w:r>
          </w:p>
        </w:tc>
        <w:tc>
          <w:tcPr>
            <w:tcW w:w="1607" w:type="dxa"/>
            <w:shd w:val="clear" w:color="auto" w:fill="FFFFFF" w:themeFill="background1"/>
            <w:vAlign w:val="center"/>
          </w:tcPr>
          <w:p w14:paraId="6C9FEE9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无法收回</w:t>
            </w:r>
          </w:p>
        </w:tc>
        <w:tc>
          <w:tcPr>
            <w:tcW w:w="1607" w:type="dxa"/>
            <w:shd w:val="clear" w:color="auto" w:fill="FFFFFF" w:themeFill="background1"/>
            <w:vAlign w:val="center"/>
          </w:tcPr>
          <w:p w14:paraId="4E8FED2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第七届董事会第一次会议</w:t>
            </w:r>
          </w:p>
        </w:tc>
        <w:tc>
          <w:tcPr>
            <w:tcW w:w="1607" w:type="dxa"/>
            <w:shd w:val="clear" w:color="auto" w:fill="FFFFFF" w:themeFill="background1"/>
            <w:vAlign w:val="center"/>
          </w:tcPr>
          <w:p w14:paraId="02896E6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4DCBDED8" w14:textId="77777777" w:rsidTr="001F5A64">
        <w:trPr>
          <w:trHeight w:val="240"/>
        </w:trPr>
        <w:tc>
          <w:tcPr>
            <w:tcW w:w="1606" w:type="dxa"/>
            <w:shd w:val="clear" w:color="auto" w:fill="FFFFFF" w:themeFill="background1"/>
            <w:vAlign w:val="center"/>
          </w:tcPr>
          <w:p w14:paraId="236C2A9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单位7</w:t>
            </w:r>
          </w:p>
        </w:tc>
        <w:tc>
          <w:tcPr>
            <w:tcW w:w="1606" w:type="dxa"/>
            <w:shd w:val="clear" w:color="auto" w:fill="FFFFFF" w:themeFill="background1"/>
            <w:vAlign w:val="center"/>
          </w:tcPr>
          <w:p w14:paraId="07AA9F0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暂付款及其他</w:t>
            </w:r>
          </w:p>
        </w:tc>
        <w:tc>
          <w:tcPr>
            <w:tcW w:w="1780" w:type="dxa"/>
            <w:shd w:val="clear" w:color="auto" w:fill="FFFFFF" w:themeFill="background1"/>
            <w:vAlign w:val="center"/>
          </w:tcPr>
          <w:p w14:paraId="37A37D8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14,000,000.00</w:t>
            </w:r>
          </w:p>
        </w:tc>
        <w:tc>
          <w:tcPr>
            <w:tcW w:w="1607" w:type="dxa"/>
            <w:shd w:val="clear" w:color="auto" w:fill="FFFFFF" w:themeFill="background1"/>
            <w:vAlign w:val="center"/>
          </w:tcPr>
          <w:p w14:paraId="161451E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无法收回</w:t>
            </w:r>
          </w:p>
        </w:tc>
        <w:tc>
          <w:tcPr>
            <w:tcW w:w="1607" w:type="dxa"/>
            <w:shd w:val="clear" w:color="auto" w:fill="FFFFFF" w:themeFill="background1"/>
            <w:vAlign w:val="center"/>
          </w:tcPr>
          <w:p w14:paraId="2497EAC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第七届董事会第一次会议</w:t>
            </w:r>
          </w:p>
        </w:tc>
        <w:tc>
          <w:tcPr>
            <w:tcW w:w="1607" w:type="dxa"/>
            <w:shd w:val="clear" w:color="auto" w:fill="FFFFFF" w:themeFill="background1"/>
            <w:vAlign w:val="center"/>
          </w:tcPr>
          <w:p w14:paraId="7316D3E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071AE23A" w14:textId="77777777" w:rsidTr="001F5A64">
        <w:trPr>
          <w:trHeight w:val="240"/>
        </w:trPr>
        <w:tc>
          <w:tcPr>
            <w:tcW w:w="1606" w:type="dxa"/>
            <w:shd w:val="clear" w:color="auto" w:fill="FFFFFF" w:themeFill="background1"/>
            <w:vAlign w:val="center"/>
          </w:tcPr>
          <w:p w14:paraId="2130D89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606" w:type="dxa"/>
            <w:shd w:val="clear" w:color="auto" w:fill="FFFFFF" w:themeFill="background1"/>
            <w:vAlign w:val="center"/>
          </w:tcPr>
          <w:p w14:paraId="69F2D833" w14:textId="77777777" w:rsidR="00632E5B" w:rsidRDefault="00632E5B"/>
        </w:tc>
        <w:tc>
          <w:tcPr>
            <w:tcW w:w="1780" w:type="dxa"/>
            <w:shd w:val="clear" w:color="auto" w:fill="FFFFFF" w:themeFill="background1"/>
            <w:vAlign w:val="center"/>
          </w:tcPr>
          <w:p w14:paraId="245CFC3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2,063,200,229.24</w:t>
            </w:r>
          </w:p>
        </w:tc>
        <w:tc>
          <w:tcPr>
            <w:tcW w:w="1607" w:type="dxa"/>
            <w:shd w:val="clear" w:color="auto" w:fill="FFFFFF" w:themeFill="background1"/>
            <w:vAlign w:val="center"/>
          </w:tcPr>
          <w:p w14:paraId="1E447BBC" w14:textId="77777777" w:rsidR="00632E5B" w:rsidRDefault="00632E5B"/>
        </w:tc>
        <w:tc>
          <w:tcPr>
            <w:tcW w:w="1607" w:type="dxa"/>
            <w:shd w:val="clear" w:color="auto" w:fill="FFFFFF" w:themeFill="background1"/>
            <w:vAlign w:val="center"/>
          </w:tcPr>
          <w:p w14:paraId="444BA626" w14:textId="77777777" w:rsidR="00632E5B" w:rsidRDefault="00632E5B"/>
        </w:tc>
        <w:tc>
          <w:tcPr>
            <w:tcW w:w="1607" w:type="dxa"/>
            <w:shd w:val="clear" w:color="auto" w:fill="FFFFFF" w:themeFill="background1"/>
            <w:vAlign w:val="center"/>
          </w:tcPr>
          <w:p w14:paraId="2531EB41" w14:textId="77777777" w:rsidR="00632E5B" w:rsidRDefault="00632E5B"/>
        </w:tc>
      </w:tr>
    </w:tbl>
    <w:p w14:paraId="215E151F" w14:textId="77777777" w:rsidR="00632E5B" w:rsidRDefault="00107901">
      <w:pPr>
        <w:keepNext/>
        <w:keepLines/>
        <w:spacing w:before="300" w:after="300" w:line="280" w:lineRule="exact"/>
        <w:outlineLvl w:val="4"/>
        <w:rPr>
          <w:rFonts w:ascii="宋体" w:eastAsia="宋体" w:hAnsi="宋体" w:cs="宋体" w:hint="eastAsia"/>
          <w:b/>
          <w:bCs/>
          <w:szCs w:val="21"/>
        </w:rPr>
      </w:pPr>
      <w:bookmarkStart w:id="232" w:name="_Toc989121"/>
      <w:r>
        <w:rPr>
          <w:rFonts w:ascii="宋体" w:eastAsia="宋体" w:hAnsi="宋体" w:cs="宋体"/>
          <w:b/>
          <w:bCs/>
          <w:szCs w:val="21"/>
        </w:rPr>
        <w:t>6） 按欠款方归集的期末余额前五名的其他应收款情况</w:t>
      </w:r>
      <w:bookmarkEnd w:id="232"/>
    </w:p>
    <w:p w14:paraId="315D09C6"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165"/>
        <w:gridCol w:w="1559"/>
        <w:gridCol w:w="1560"/>
        <w:gridCol w:w="2551"/>
        <w:gridCol w:w="1197"/>
        <w:gridCol w:w="1607"/>
      </w:tblGrid>
      <w:tr w:rsidR="00632E5B" w14:paraId="00D52ADD" w14:textId="77777777" w:rsidTr="001F5A64">
        <w:trPr>
          <w:trHeight w:val="240"/>
        </w:trPr>
        <w:tc>
          <w:tcPr>
            <w:tcW w:w="1165" w:type="dxa"/>
            <w:shd w:val="clear" w:color="auto" w:fill="FFFFFF" w:themeFill="background1"/>
            <w:vAlign w:val="center"/>
          </w:tcPr>
          <w:p w14:paraId="594CBDA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单位名称</w:t>
            </w:r>
          </w:p>
        </w:tc>
        <w:tc>
          <w:tcPr>
            <w:tcW w:w="1559" w:type="dxa"/>
            <w:shd w:val="clear" w:color="auto" w:fill="FFFFFF" w:themeFill="background1"/>
            <w:vAlign w:val="center"/>
          </w:tcPr>
          <w:p w14:paraId="7014AFD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款项的性质</w:t>
            </w:r>
          </w:p>
        </w:tc>
        <w:tc>
          <w:tcPr>
            <w:tcW w:w="1560" w:type="dxa"/>
            <w:shd w:val="clear" w:color="auto" w:fill="FFFFFF" w:themeFill="background1"/>
            <w:vAlign w:val="center"/>
          </w:tcPr>
          <w:p w14:paraId="64ABCFA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2551" w:type="dxa"/>
            <w:shd w:val="clear" w:color="auto" w:fill="FFFFFF" w:themeFill="background1"/>
            <w:vAlign w:val="center"/>
          </w:tcPr>
          <w:p w14:paraId="2E4B461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账龄</w:t>
            </w:r>
          </w:p>
        </w:tc>
        <w:tc>
          <w:tcPr>
            <w:tcW w:w="1197" w:type="dxa"/>
            <w:shd w:val="clear" w:color="auto" w:fill="FFFFFF" w:themeFill="background1"/>
            <w:vAlign w:val="center"/>
          </w:tcPr>
          <w:p w14:paraId="18CDA2B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占其他应收款期末余额合计数的比例</w:t>
            </w:r>
          </w:p>
        </w:tc>
        <w:tc>
          <w:tcPr>
            <w:tcW w:w="1607" w:type="dxa"/>
            <w:shd w:val="clear" w:color="auto" w:fill="FFFFFF" w:themeFill="background1"/>
            <w:vAlign w:val="center"/>
          </w:tcPr>
          <w:p w14:paraId="23E7708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坏账准备期末余额</w:t>
            </w:r>
          </w:p>
        </w:tc>
      </w:tr>
      <w:tr w:rsidR="00632E5B" w14:paraId="6D15D3DB" w14:textId="77777777" w:rsidTr="001F5A64">
        <w:trPr>
          <w:trHeight w:val="240"/>
        </w:trPr>
        <w:tc>
          <w:tcPr>
            <w:tcW w:w="1165" w:type="dxa"/>
            <w:shd w:val="clear" w:color="auto" w:fill="FFFFFF" w:themeFill="background1"/>
            <w:vAlign w:val="center"/>
          </w:tcPr>
          <w:p w14:paraId="0CDA13C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第一名</w:t>
            </w:r>
          </w:p>
        </w:tc>
        <w:tc>
          <w:tcPr>
            <w:tcW w:w="1559" w:type="dxa"/>
            <w:shd w:val="clear" w:color="auto" w:fill="FFFFFF" w:themeFill="background1"/>
            <w:vAlign w:val="center"/>
          </w:tcPr>
          <w:p w14:paraId="2534F18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保证金及押金</w:t>
            </w:r>
          </w:p>
        </w:tc>
        <w:tc>
          <w:tcPr>
            <w:tcW w:w="1560" w:type="dxa"/>
            <w:shd w:val="clear" w:color="auto" w:fill="FFFFFF" w:themeFill="background1"/>
            <w:vAlign w:val="center"/>
          </w:tcPr>
          <w:p w14:paraId="7B22137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40,758,620.00</w:t>
            </w:r>
          </w:p>
        </w:tc>
        <w:tc>
          <w:tcPr>
            <w:tcW w:w="2551" w:type="dxa"/>
            <w:shd w:val="clear" w:color="auto" w:fill="FFFFFF" w:themeFill="background1"/>
            <w:vAlign w:val="center"/>
          </w:tcPr>
          <w:p w14:paraId="6552328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6个月以内5,107,151.00；</w:t>
            </w:r>
          </w:p>
          <w:p w14:paraId="1D6A642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6个月~1年4,900,018.00；</w:t>
            </w:r>
          </w:p>
          <w:p w14:paraId="1590FB9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1～2年26,399,252.00；</w:t>
            </w:r>
          </w:p>
          <w:p w14:paraId="7610BE5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2～3年4,352,199.00</w:t>
            </w:r>
          </w:p>
        </w:tc>
        <w:tc>
          <w:tcPr>
            <w:tcW w:w="1197" w:type="dxa"/>
            <w:shd w:val="clear" w:color="auto" w:fill="FFFFFF" w:themeFill="background1"/>
            <w:vAlign w:val="center"/>
          </w:tcPr>
          <w:p w14:paraId="7B643FA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27.74%</w:t>
            </w:r>
          </w:p>
        </w:tc>
        <w:tc>
          <w:tcPr>
            <w:tcW w:w="1607" w:type="dxa"/>
            <w:shd w:val="clear" w:color="auto" w:fill="FFFFFF" w:themeFill="background1"/>
            <w:vAlign w:val="center"/>
          </w:tcPr>
          <w:p w14:paraId="4FEA5D9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4,240,139.07</w:t>
            </w:r>
          </w:p>
        </w:tc>
      </w:tr>
      <w:tr w:rsidR="00632E5B" w14:paraId="778E6EBD" w14:textId="77777777" w:rsidTr="001F5A64">
        <w:trPr>
          <w:trHeight w:val="240"/>
        </w:trPr>
        <w:tc>
          <w:tcPr>
            <w:tcW w:w="1165" w:type="dxa"/>
            <w:shd w:val="clear" w:color="auto" w:fill="FFFFFF" w:themeFill="background1"/>
            <w:vAlign w:val="center"/>
          </w:tcPr>
          <w:p w14:paraId="796D5C8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第二名</w:t>
            </w:r>
          </w:p>
        </w:tc>
        <w:tc>
          <w:tcPr>
            <w:tcW w:w="1559" w:type="dxa"/>
            <w:shd w:val="clear" w:color="auto" w:fill="FFFFFF" w:themeFill="background1"/>
            <w:vAlign w:val="center"/>
          </w:tcPr>
          <w:p w14:paraId="7382F36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暂付款及其他</w:t>
            </w:r>
          </w:p>
        </w:tc>
        <w:tc>
          <w:tcPr>
            <w:tcW w:w="1560" w:type="dxa"/>
            <w:shd w:val="clear" w:color="auto" w:fill="FFFFFF" w:themeFill="background1"/>
            <w:vAlign w:val="center"/>
          </w:tcPr>
          <w:p w14:paraId="01C1240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18,831,475.43</w:t>
            </w:r>
          </w:p>
        </w:tc>
        <w:tc>
          <w:tcPr>
            <w:tcW w:w="2551" w:type="dxa"/>
            <w:shd w:val="clear" w:color="auto" w:fill="FFFFFF" w:themeFill="background1"/>
            <w:vAlign w:val="center"/>
          </w:tcPr>
          <w:p w14:paraId="698F86B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1～2年</w:t>
            </w:r>
          </w:p>
        </w:tc>
        <w:tc>
          <w:tcPr>
            <w:tcW w:w="1197" w:type="dxa"/>
            <w:shd w:val="clear" w:color="auto" w:fill="FFFFFF" w:themeFill="background1"/>
            <w:vAlign w:val="center"/>
          </w:tcPr>
          <w:p w14:paraId="422F1AF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12.82%</w:t>
            </w:r>
          </w:p>
        </w:tc>
        <w:tc>
          <w:tcPr>
            <w:tcW w:w="1607" w:type="dxa"/>
            <w:shd w:val="clear" w:color="auto" w:fill="FFFFFF" w:themeFill="background1"/>
            <w:vAlign w:val="center"/>
          </w:tcPr>
          <w:p w14:paraId="2429EDA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18,831,475.43</w:t>
            </w:r>
          </w:p>
        </w:tc>
      </w:tr>
      <w:tr w:rsidR="00632E5B" w14:paraId="660F4B4B" w14:textId="77777777" w:rsidTr="001F5A64">
        <w:trPr>
          <w:trHeight w:val="240"/>
        </w:trPr>
        <w:tc>
          <w:tcPr>
            <w:tcW w:w="1165" w:type="dxa"/>
            <w:shd w:val="clear" w:color="auto" w:fill="FFFFFF" w:themeFill="background1"/>
            <w:vAlign w:val="center"/>
          </w:tcPr>
          <w:p w14:paraId="2E3B316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第三名</w:t>
            </w:r>
          </w:p>
        </w:tc>
        <w:tc>
          <w:tcPr>
            <w:tcW w:w="1559" w:type="dxa"/>
            <w:shd w:val="clear" w:color="auto" w:fill="FFFFFF" w:themeFill="background1"/>
            <w:vAlign w:val="center"/>
          </w:tcPr>
          <w:p w14:paraId="2FE3609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暂付款及其他</w:t>
            </w:r>
          </w:p>
        </w:tc>
        <w:tc>
          <w:tcPr>
            <w:tcW w:w="1560" w:type="dxa"/>
            <w:shd w:val="clear" w:color="auto" w:fill="FFFFFF" w:themeFill="background1"/>
            <w:vAlign w:val="center"/>
          </w:tcPr>
          <w:p w14:paraId="40FD335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14,756,182.34</w:t>
            </w:r>
          </w:p>
        </w:tc>
        <w:tc>
          <w:tcPr>
            <w:tcW w:w="2551" w:type="dxa"/>
            <w:shd w:val="clear" w:color="auto" w:fill="FFFFFF" w:themeFill="background1"/>
            <w:vAlign w:val="center"/>
          </w:tcPr>
          <w:p w14:paraId="4CA8143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4年以上</w:t>
            </w:r>
          </w:p>
        </w:tc>
        <w:tc>
          <w:tcPr>
            <w:tcW w:w="1197" w:type="dxa"/>
            <w:shd w:val="clear" w:color="auto" w:fill="FFFFFF" w:themeFill="background1"/>
            <w:vAlign w:val="center"/>
          </w:tcPr>
          <w:p w14:paraId="671D040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10.04%</w:t>
            </w:r>
          </w:p>
        </w:tc>
        <w:tc>
          <w:tcPr>
            <w:tcW w:w="1607" w:type="dxa"/>
            <w:shd w:val="clear" w:color="auto" w:fill="FFFFFF" w:themeFill="background1"/>
            <w:vAlign w:val="center"/>
          </w:tcPr>
          <w:p w14:paraId="5F30969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14,756,182.34</w:t>
            </w:r>
          </w:p>
        </w:tc>
      </w:tr>
      <w:tr w:rsidR="00632E5B" w14:paraId="68D651B6" w14:textId="77777777" w:rsidTr="001F5A64">
        <w:trPr>
          <w:trHeight w:val="240"/>
        </w:trPr>
        <w:tc>
          <w:tcPr>
            <w:tcW w:w="1165" w:type="dxa"/>
            <w:shd w:val="clear" w:color="auto" w:fill="FFFFFF" w:themeFill="background1"/>
            <w:vAlign w:val="center"/>
          </w:tcPr>
          <w:p w14:paraId="73C86DE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第四名</w:t>
            </w:r>
          </w:p>
        </w:tc>
        <w:tc>
          <w:tcPr>
            <w:tcW w:w="1559" w:type="dxa"/>
            <w:shd w:val="clear" w:color="auto" w:fill="FFFFFF" w:themeFill="background1"/>
            <w:vAlign w:val="center"/>
          </w:tcPr>
          <w:p w14:paraId="6B2D728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暂付款及其他</w:t>
            </w:r>
          </w:p>
        </w:tc>
        <w:tc>
          <w:tcPr>
            <w:tcW w:w="1560" w:type="dxa"/>
            <w:shd w:val="clear" w:color="auto" w:fill="FFFFFF" w:themeFill="background1"/>
            <w:vAlign w:val="center"/>
          </w:tcPr>
          <w:p w14:paraId="498FEB6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13,377,485.79</w:t>
            </w:r>
          </w:p>
        </w:tc>
        <w:tc>
          <w:tcPr>
            <w:tcW w:w="2551" w:type="dxa"/>
            <w:shd w:val="clear" w:color="auto" w:fill="FFFFFF" w:themeFill="background1"/>
            <w:vAlign w:val="center"/>
          </w:tcPr>
          <w:p w14:paraId="3145BA9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1～2年</w:t>
            </w:r>
          </w:p>
        </w:tc>
        <w:tc>
          <w:tcPr>
            <w:tcW w:w="1197" w:type="dxa"/>
            <w:shd w:val="clear" w:color="auto" w:fill="FFFFFF" w:themeFill="background1"/>
            <w:vAlign w:val="center"/>
          </w:tcPr>
          <w:p w14:paraId="5B13D7D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9.10%</w:t>
            </w:r>
          </w:p>
        </w:tc>
        <w:tc>
          <w:tcPr>
            <w:tcW w:w="1607" w:type="dxa"/>
            <w:shd w:val="clear" w:color="auto" w:fill="FFFFFF" w:themeFill="background1"/>
            <w:vAlign w:val="center"/>
          </w:tcPr>
          <w:p w14:paraId="234D558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13,377,485.79</w:t>
            </w:r>
          </w:p>
        </w:tc>
      </w:tr>
      <w:tr w:rsidR="00632E5B" w14:paraId="007EABDC" w14:textId="77777777" w:rsidTr="001F5A64">
        <w:trPr>
          <w:trHeight w:val="240"/>
        </w:trPr>
        <w:tc>
          <w:tcPr>
            <w:tcW w:w="1165" w:type="dxa"/>
            <w:shd w:val="clear" w:color="auto" w:fill="FFFFFF" w:themeFill="background1"/>
            <w:vAlign w:val="center"/>
          </w:tcPr>
          <w:p w14:paraId="0109AC2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第五名</w:t>
            </w:r>
          </w:p>
        </w:tc>
        <w:tc>
          <w:tcPr>
            <w:tcW w:w="1559" w:type="dxa"/>
            <w:shd w:val="clear" w:color="auto" w:fill="FFFFFF" w:themeFill="background1"/>
            <w:vAlign w:val="center"/>
          </w:tcPr>
          <w:p w14:paraId="6B1D2EE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保证金及押金</w:t>
            </w:r>
          </w:p>
        </w:tc>
        <w:tc>
          <w:tcPr>
            <w:tcW w:w="1560" w:type="dxa"/>
            <w:shd w:val="clear" w:color="auto" w:fill="FFFFFF" w:themeFill="background1"/>
            <w:vAlign w:val="center"/>
          </w:tcPr>
          <w:p w14:paraId="599C2CC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12,699,354.57</w:t>
            </w:r>
          </w:p>
        </w:tc>
        <w:tc>
          <w:tcPr>
            <w:tcW w:w="2551" w:type="dxa"/>
            <w:shd w:val="clear" w:color="auto" w:fill="FFFFFF" w:themeFill="background1"/>
            <w:vAlign w:val="center"/>
          </w:tcPr>
          <w:p w14:paraId="576DC45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3～4年</w:t>
            </w:r>
          </w:p>
        </w:tc>
        <w:tc>
          <w:tcPr>
            <w:tcW w:w="1197" w:type="dxa"/>
            <w:shd w:val="clear" w:color="auto" w:fill="FFFFFF" w:themeFill="background1"/>
            <w:vAlign w:val="center"/>
          </w:tcPr>
          <w:p w14:paraId="29127B2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8.64%</w:t>
            </w:r>
          </w:p>
        </w:tc>
        <w:tc>
          <w:tcPr>
            <w:tcW w:w="1607" w:type="dxa"/>
            <w:shd w:val="clear" w:color="auto" w:fill="FFFFFF" w:themeFill="background1"/>
            <w:vAlign w:val="center"/>
          </w:tcPr>
          <w:p w14:paraId="450C35F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6,349,677.28</w:t>
            </w:r>
          </w:p>
        </w:tc>
      </w:tr>
      <w:tr w:rsidR="00632E5B" w14:paraId="1E24DF5B" w14:textId="77777777" w:rsidTr="001F5A64">
        <w:trPr>
          <w:trHeight w:val="240"/>
        </w:trPr>
        <w:tc>
          <w:tcPr>
            <w:tcW w:w="1165" w:type="dxa"/>
            <w:shd w:val="clear" w:color="auto" w:fill="FFFFFF" w:themeFill="background1"/>
            <w:vAlign w:val="center"/>
          </w:tcPr>
          <w:p w14:paraId="1693BEB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559" w:type="dxa"/>
            <w:shd w:val="clear" w:color="auto" w:fill="FFFFFF" w:themeFill="background1"/>
            <w:vAlign w:val="center"/>
          </w:tcPr>
          <w:p w14:paraId="3D0810E7" w14:textId="77777777" w:rsidR="00632E5B" w:rsidRDefault="00632E5B"/>
        </w:tc>
        <w:tc>
          <w:tcPr>
            <w:tcW w:w="1560" w:type="dxa"/>
            <w:shd w:val="clear" w:color="auto" w:fill="FFFFFF" w:themeFill="background1"/>
            <w:vAlign w:val="center"/>
          </w:tcPr>
          <w:p w14:paraId="797D498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100,423,118.13</w:t>
            </w:r>
          </w:p>
        </w:tc>
        <w:tc>
          <w:tcPr>
            <w:tcW w:w="2551" w:type="dxa"/>
            <w:shd w:val="clear" w:color="auto" w:fill="FFFFFF" w:themeFill="background1"/>
            <w:vAlign w:val="center"/>
          </w:tcPr>
          <w:p w14:paraId="567A3C25" w14:textId="77777777" w:rsidR="00632E5B" w:rsidRDefault="00632E5B"/>
        </w:tc>
        <w:tc>
          <w:tcPr>
            <w:tcW w:w="1197" w:type="dxa"/>
            <w:shd w:val="clear" w:color="auto" w:fill="FFFFFF" w:themeFill="background1"/>
            <w:vAlign w:val="center"/>
          </w:tcPr>
          <w:p w14:paraId="2A62469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68.34%</w:t>
            </w:r>
          </w:p>
        </w:tc>
        <w:tc>
          <w:tcPr>
            <w:tcW w:w="1607" w:type="dxa"/>
            <w:shd w:val="clear" w:color="auto" w:fill="FFFFFF" w:themeFill="background1"/>
            <w:vAlign w:val="center"/>
          </w:tcPr>
          <w:p w14:paraId="1739C41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57,554,959.91</w:t>
            </w:r>
          </w:p>
        </w:tc>
      </w:tr>
    </w:tbl>
    <w:p w14:paraId="07996B99" w14:textId="77777777" w:rsidR="00632E5B" w:rsidRDefault="00107901">
      <w:pPr>
        <w:pStyle w:val="3"/>
        <w:spacing w:line="280" w:lineRule="exact"/>
        <w:jc w:val="left"/>
        <w:rPr>
          <w:rFonts w:ascii="宋体" w:hAnsi="宋体" w:cs="宋体" w:hint="eastAsia"/>
          <w:b/>
          <w:bCs/>
        </w:rPr>
      </w:pPr>
      <w:bookmarkStart w:id="233" w:name="_Toc989122"/>
      <w:r>
        <w:rPr>
          <w:rFonts w:ascii="宋体" w:hAnsi="宋体" w:cs="宋体"/>
          <w:b/>
          <w:bCs/>
        </w:rPr>
        <w:lastRenderedPageBreak/>
        <w:t>7、预付款项</w:t>
      </w:r>
      <w:bookmarkEnd w:id="233"/>
    </w:p>
    <w:p w14:paraId="23C16F47"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234" w:name="_Toc989123"/>
      <w:r>
        <w:rPr>
          <w:rFonts w:ascii="宋体" w:eastAsia="宋体" w:hAnsi="宋体" w:cs="宋体"/>
          <w:b/>
          <w:bCs/>
          <w:szCs w:val="21"/>
        </w:rPr>
        <w:t>（1） 预付款项按账龄列示</w:t>
      </w:r>
      <w:bookmarkEnd w:id="234"/>
    </w:p>
    <w:p w14:paraId="4ED6AE17"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927"/>
        <w:gridCol w:w="1928"/>
        <w:gridCol w:w="1928"/>
        <w:gridCol w:w="1928"/>
        <w:gridCol w:w="1928"/>
      </w:tblGrid>
      <w:tr w:rsidR="00632E5B" w14:paraId="1141FBDA" w14:textId="77777777" w:rsidTr="001F5A64">
        <w:trPr>
          <w:trHeight w:val="240"/>
        </w:trPr>
        <w:tc>
          <w:tcPr>
            <w:tcW w:w="1928" w:type="dxa"/>
            <w:vMerge w:val="restart"/>
            <w:shd w:val="clear" w:color="auto" w:fill="FFFFFF" w:themeFill="background1"/>
            <w:vAlign w:val="center"/>
          </w:tcPr>
          <w:p w14:paraId="1CE1842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账龄</w:t>
            </w:r>
          </w:p>
        </w:tc>
        <w:tc>
          <w:tcPr>
            <w:tcW w:w="3856" w:type="dxa"/>
            <w:gridSpan w:val="2"/>
            <w:shd w:val="clear" w:color="auto" w:fill="FFFFFF" w:themeFill="background1"/>
            <w:vAlign w:val="center"/>
          </w:tcPr>
          <w:p w14:paraId="1297467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856" w:type="dxa"/>
            <w:gridSpan w:val="2"/>
            <w:shd w:val="clear" w:color="auto" w:fill="FFFFFF" w:themeFill="background1"/>
            <w:vAlign w:val="center"/>
          </w:tcPr>
          <w:p w14:paraId="5077714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632E5B" w14:paraId="31815B74" w14:textId="77777777" w:rsidTr="001F5A64">
        <w:trPr>
          <w:trHeight w:val="240"/>
        </w:trPr>
        <w:tc>
          <w:tcPr>
            <w:tcW w:w="1928" w:type="dxa"/>
            <w:vMerge/>
            <w:shd w:val="clear" w:color="auto" w:fill="FFFFFF" w:themeFill="background1"/>
            <w:vAlign w:val="center"/>
          </w:tcPr>
          <w:p w14:paraId="2B67971D" w14:textId="77777777" w:rsidR="00632E5B" w:rsidRDefault="00632E5B"/>
        </w:tc>
        <w:tc>
          <w:tcPr>
            <w:tcW w:w="1928" w:type="dxa"/>
            <w:shd w:val="clear" w:color="auto" w:fill="FFFFFF" w:themeFill="background1"/>
            <w:vAlign w:val="center"/>
          </w:tcPr>
          <w:p w14:paraId="401D00D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1928" w:type="dxa"/>
            <w:shd w:val="clear" w:color="auto" w:fill="FFFFFF" w:themeFill="background1"/>
            <w:vAlign w:val="center"/>
          </w:tcPr>
          <w:p w14:paraId="33B6E32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比例</w:t>
            </w:r>
          </w:p>
        </w:tc>
        <w:tc>
          <w:tcPr>
            <w:tcW w:w="1928" w:type="dxa"/>
            <w:shd w:val="clear" w:color="auto" w:fill="FFFFFF" w:themeFill="background1"/>
            <w:vAlign w:val="center"/>
          </w:tcPr>
          <w:p w14:paraId="0A34D98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1928" w:type="dxa"/>
            <w:shd w:val="clear" w:color="auto" w:fill="FFFFFF" w:themeFill="background1"/>
            <w:vAlign w:val="center"/>
          </w:tcPr>
          <w:p w14:paraId="28892C9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比例</w:t>
            </w:r>
          </w:p>
        </w:tc>
      </w:tr>
      <w:tr w:rsidR="00632E5B" w14:paraId="3AC0D730" w14:textId="77777777" w:rsidTr="001F5A64">
        <w:trPr>
          <w:trHeight w:val="240"/>
        </w:trPr>
        <w:tc>
          <w:tcPr>
            <w:tcW w:w="1928" w:type="dxa"/>
            <w:shd w:val="clear" w:color="auto" w:fill="FFFFFF" w:themeFill="background1"/>
            <w:vAlign w:val="center"/>
          </w:tcPr>
          <w:p w14:paraId="4A9E3181"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1年以内</w:t>
            </w:r>
          </w:p>
        </w:tc>
        <w:tc>
          <w:tcPr>
            <w:tcW w:w="1928" w:type="dxa"/>
            <w:shd w:val="clear" w:color="auto" w:fill="FFFFFF" w:themeFill="background1"/>
            <w:vAlign w:val="center"/>
          </w:tcPr>
          <w:p w14:paraId="31DDFCD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26,439,689.95</w:t>
            </w:r>
          </w:p>
        </w:tc>
        <w:tc>
          <w:tcPr>
            <w:tcW w:w="1928" w:type="dxa"/>
            <w:shd w:val="clear" w:color="auto" w:fill="FFFFFF" w:themeFill="background1"/>
            <w:vAlign w:val="center"/>
          </w:tcPr>
          <w:p w14:paraId="2C39182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90.92%</w:t>
            </w:r>
          </w:p>
        </w:tc>
        <w:tc>
          <w:tcPr>
            <w:tcW w:w="1928" w:type="dxa"/>
            <w:shd w:val="clear" w:color="auto" w:fill="FFFFFF" w:themeFill="background1"/>
            <w:vAlign w:val="center"/>
          </w:tcPr>
          <w:p w14:paraId="255F459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57,080,888.21</w:t>
            </w:r>
          </w:p>
        </w:tc>
        <w:tc>
          <w:tcPr>
            <w:tcW w:w="1928" w:type="dxa"/>
            <w:shd w:val="clear" w:color="auto" w:fill="FFFFFF" w:themeFill="background1"/>
            <w:vAlign w:val="center"/>
          </w:tcPr>
          <w:p w14:paraId="52FC792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59.30%</w:t>
            </w:r>
          </w:p>
        </w:tc>
      </w:tr>
      <w:tr w:rsidR="00632E5B" w14:paraId="717D9AC1" w14:textId="77777777" w:rsidTr="001F5A64">
        <w:trPr>
          <w:trHeight w:val="240"/>
        </w:trPr>
        <w:tc>
          <w:tcPr>
            <w:tcW w:w="1928" w:type="dxa"/>
            <w:shd w:val="clear" w:color="auto" w:fill="FFFFFF" w:themeFill="background1"/>
            <w:vAlign w:val="center"/>
          </w:tcPr>
          <w:p w14:paraId="130C163F"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1至2年</w:t>
            </w:r>
          </w:p>
        </w:tc>
        <w:tc>
          <w:tcPr>
            <w:tcW w:w="1928" w:type="dxa"/>
            <w:shd w:val="clear" w:color="auto" w:fill="FFFFFF" w:themeFill="background1"/>
            <w:vAlign w:val="center"/>
          </w:tcPr>
          <w:p w14:paraId="51BE1F2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2,235,143.87</w:t>
            </w:r>
          </w:p>
        </w:tc>
        <w:tc>
          <w:tcPr>
            <w:tcW w:w="1928" w:type="dxa"/>
            <w:shd w:val="clear" w:color="auto" w:fill="FFFFFF" w:themeFill="background1"/>
            <w:vAlign w:val="center"/>
          </w:tcPr>
          <w:p w14:paraId="05BD810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7.69%</w:t>
            </w:r>
          </w:p>
        </w:tc>
        <w:tc>
          <w:tcPr>
            <w:tcW w:w="1928" w:type="dxa"/>
            <w:shd w:val="clear" w:color="auto" w:fill="FFFFFF" w:themeFill="background1"/>
            <w:vAlign w:val="center"/>
          </w:tcPr>
          <w:p w14:paraId="520B679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3,111,252.54</w:t>
            </w:r>
          </w:p>
        </w:tc>
        <w:tc>
          <w:tcPr>
            <w:tcW w:w="1928" w:type="dxa"/>
            <w:shd w:val="clear" w:color="auto" w:fill="FFFFFF" w:themeFill="background1"/>
            <w:vAlign w:val="center"/>
          </w:tcPr>
          <w:p w14:paraId="1A9216B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3.23%</w:t>
            </w:r>
          </w:p>
        </w:tc>
      </w:tr>
      <w:tr w:rsidR="00632E5B" w14:paraId="2309482E" w14:textId="77777777" w:rsidTr="001F5A64">
        <w:trPr>
          <w:trHeight w:val="240"/>
        </w:trPr>
        <w:tc>
          <w:tcPr>
            <w:tcW w:w="1928" w:type="dxa"/>
            <w:shd w:val="clear" w:color="auto" w:fill="FFFFFF" w:themeFill="background1"/>
            <w:vAlign w:val="center"/>
          </w:tcPr>
          <w:p w14:paraId="7AA6D41F"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2至3年</w:t>
            </w:r>
          </w:p>
        </w:tc>
        <w:tc>
          <w:tcPr>
            <w:tcW w:w="1928" w:type="dxa"/>
            <w:shd w:val="clear" w:color="auto" w:fill="FFFFFF" w:themeFill="background1"/>
            <w:vAlign w:val="center"/>
          </w:tcPr>
          <w:p w14:paraId="6D24ACC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228,288.57</w:t>
            </w:r>
          </w:p>
        </w:tc>
        <w:tc>
          <w:tcPr>
            <w:tcW w:w="1928" w:type="dxa"/>
            <w:shd w:val="clear" w:color="auto" w:fill="FFFFFF" w:themeFill="background1"/>
            <w:vAlign w:val="center"/>
          </w:tcPr>
          <w:p w14:paraId="3304864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0.79%</w:t>
            </w:r>
          </w:p>
        </w:tc>
        <w:tc>
          <w:tcPr>
            <w:tcW w:w="1928" w:type="dxa"/>
            <w:shd w:val="clear" w:color="auto" w:fill="FFFFFF" w:themeFill="background1"/>
            <w:vAlign w:val="center"/>
          </w:tcPr>
          <w:p w14:paraId="4FA0897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18,683,357.42</w:t>
            </w:r>
          </w:p>
        </w:tc>
        <w:tc>
          <w:tcPr>
            <w:tcW w:w="1928" w:type="dxa"/>
            <w:shd w:val="clear" w:color="auto" w:fill="FFFFFF" w:themeFill="background1"/>
            <w:vAlign w:val="center"/>
          </w:tcPr>
          <w:p w14:paraId="5CC5959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19.41%</w:t>
            </w:r>
          </w:p>
        </w:tc>
      </w:tr>
      <w:tr w:rsidR="00632E5B" w14:paraId="72C993F8" w14:textId="77777777" w:rsidTr="001F5A64">
        <w:trPr>
          <w:trHeight w:val="240"/>
        </w:trPr>
        <w:tc>
          <w:tcPr>
            <w:tcW w:w="1928" w:type="dxa"/>
            <w:shd w:val="clear" w:color="auto" w:fill="FFFFFF" w:themeFill="background1"/>
            <w:vAlign w:val="center"/>
          </w:tcPr>
          <w:p w14:paraId="3622E3A1"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3年以上</w:t>
            </w:r>
          </w:p>
        </w:tc>
        <w:tc>
          <w:tcPr>
            <w:tcW w:w="1928" w:type="dxa"/>
            <w:shd w:val="clear" w:color="auto" w:fill="FFFFFF" w:themeFill="background1"/>
            <w:vAlign w:val="center"/>
          </w:tcPr>
          <w:p w14:paraId="738365E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173,273.20</w:t>
            </w:r>
          </w:p>
        </w:tc>
        <w:tc>
          <w:tcPr>
            <w:tcW w:w="1928" w:type="dxa"/>
            <w:shd w:val="clear" w:color="auto" w:fill="FFFFFF" w:themeFill="background1"/>
            <w:vAlign w:val="center"/>
          </w:tcPr>
          <w:p w14:paraId="12EA88D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0.60%</w:t>
            </w:r>
          </w:p>
        </w:tc>
        <w:tc>
          <w:tcPr>
            <w:tcW w:w="1928" w:type="dxa"/>
            <w:shd w:val="clear" w:color="auto" w:fill="FFFFFF" w:themeFill="background1"/>
            <w:vAlign w:val="center"/>
          </w:tcPr>
          <w:p w14:paraId="4A90AC9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17,383,117.12</w:t>
            </w:r>
          </w:p>
        </w:tc>
        <w:tc>
          <w:tcPr>
            <w:tcW w:w="1928" w:type="dxa"/>
            <w:shd w:val="clear" w:color="auto" w:fill="FFFFFF" w:themeFill="background1"/>
            <w:vAlign w:val="center"/>
          </w:tcPr>
          <w:p w14:paraId="2B3A332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18.06%</w:t>
            </w:r>
          </w:p>
        </w:tc>
      </w:tr>
      <w:tr w:rsidR="00632E5B" w14:paraId="423C8074" w14:textId="77777777" w:rsidTr="001F5A64">
        <w:trPr>
          <w:trHeight w:val="240"/>
        </w:trPr>
        <w:tc>
          <w:tcPr>
            <w:tcW w:w="1928" w:type="dxa"/>
            <w:shd w:val="clear" w:color="auto" w:fill="FFFFFF" w:themeFill="background1"/>
            <w:vAlign w:val="center"/>
          </w:tcPr>
          <w:p w14:paraId="3A3E766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shd w:val="clear" w:color="auto" w:fill="FFFFFF" w:themeFill="background1"/>
            <w:vAlign w:val="center"/>
          </w:tcPr>
          <w:p w14:paraId="0950F0B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29,076,395.59</w:t>
            </w:r>
          </w:p>
        </w:tc>
        <w:tc>
          <w:tcPr>
            <w:tcW w:w="1928" w:type="dxa"/>
            <w:shd w:val="clear" w:color="auto" w:fill="FFFFFF" w:themeFill="background1"/>
            <w:vAlign w:val="center"/>
          </w:tcPr>
          <w:p w14:paraId="012F3ECD" w14:textId="77777777" w:rsidR="00632E5B" w:rsidRDefault="00632E5B"/>
        </w:tc>
        <w:tc>
          <w:tcPr>
            <w:tcW w:w="1928" w:type="dxa"/>
            <w:shd w:val="clear" w:color="auto" w:fill="FFFFFF" w:themeFill="background1"/>
            <w:vAlign w:val="center"/>
          </w:tcPr>
          <w:p w14:paraId="0C88F94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96,258,615.29</w:t>
            </w:r>
          </w:p>
        </w:tc>
        <w:tc>
          <w:tcPr>
            <w:tcW w:w="1928" w:type="dxa"/>
            <w:shd w:val="clear" w:color="auto" w:fill="FFFFFF" w:themeFill="background1"/>
            <w:vAlign w:val="center"/>
          </w:tcPr>
          <w:p w14:paraId="7DD07C46" w14:textId="77777777" w:rsidR="00632E5B" w:rsidRDefault="00632E5B"/>
        </w:tc>
      </w:tr>
    </w:tbl>
    <w:p w14:paraId="2618BD7B"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账龄超过1年且金额重要的预付款项未及时结算原因的说明：</w:t>
      </w:r>
    </w:p>
    <w:p w14:paraId="46CDB9C3"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235" w:name="_Toc989124"/>
      <w:r>
        <w:rPr>
          <w:rFonts w:ascii="宋体" w:eastAsia="宋体" w:hAnsi="宋体" w:cs="宋体"/>
          <w:b/>
          <w:bCs/>
          <w:szCs w:val="21"/>
        </w:rPr>
        <w:t>（2） 按预付对象归集的期末余额前五名的预付款情况</w:t>
      </w:r>
      <w:bookmarkEnd w:id="235"/>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0" w:type="dxa"/>
          <w:right w:w="0" w:type="dxa"/>
        </w:tblCellMar>
        <w:tblLook w:val="04A0" w:firstRow="1" w:lastRow="0" w:firstColumn="1" w:lastColumn="0" w:noHBand="0" w:noVBand="1"/>
      </w:tblPr>
      <w:tblGrid>
        <w:gridCol w:w="4334"/>
        <w:gridCol w:w="2248"/>
        <w:gridCol w:w="3049"/>
      </w:tblGrid>
      <w:tr w:rsidR="00E72F0C" w14:paraId="47FF56D9" w14:textId="77777777" w:rsidTr="001F5A64">
        <w:trPr>
          <w:divId w:val="1210993288"/>
          <w:trHeight w:val="290"/>
        </w:trPr>
        <w:tc>
          <w:tcPr>
            <w:tcW w:w="2250" w:type="pct"/>
            <w:shd w:val="clear" w:color="auto" w:fill="FFFFFF" w:themeFill="background1"/>
            <w:noWrap/>
            <w:tcMar>
              <w:top w:w="0" w:type="dxa"/>
              <w:left w:w="108" w:type="dxa"/>
              <w:bottom w:w="0" w:type="dxa"/>
              <w:right w:w="108" w:type="dxa"/>
            </w:tcMar>
            <w:vAlign w:val="center"/>
            <w:hideMark/>
          </w:tcPr>
          <w:p w14:paraId="5D5C438E" w14:textId="77777777" w:rsidR="00E72F0C" w:rsidRDefault="00107901">
            <w:pPr>
              <w:pStyle w:val="a3"/>
              <w:spacing w:before="0" w:beforeAutospacing="0" w:after="0" w:afterAutospacing="0"/>
              <w:jc w:val="center"/>
              <w:rPr>
                <w:rFonts w:hint="eastAsia"/>
              </w:rPr>
            </w:pPr>
            <w:r>
              <w:rPr>
                <w:rFonts w:hint="eastAsia"/>
                <w:color w:val="000000"/>
                <w:sz w:val="18"/>
                <w:szCs w:val="18"/>
              </w:rPr>
              <w:t>单位名称</w:t>
            </w:r>
          </w:p>
        </w:tc>
        <w:tc>
          <w:tcPr>
            <w:tcW w:w="1167" w:type="pct"/>
            <w:shd w:val="clear" w:color="auto" w:fill="FFFFFF" w:themeFill="background1"/>
            <w:noWrap/>
            <w:tcMar>
              <w:top w:w="0" w:type="dxa"/>
              <w:left w:w="108" w:type="dxa"/>
              <w:bottom w:w="0" w:type="dxa"/>
              <w:right w:w="108" w:type="dxa"/>
            </w:tcMar>
            <w:vAlign w:val="bottom"/>
            <w:hideMark/>
          </w:tcPr>
          <w:p w14:paraId="379896FF" w14:textId="77777777" w:rsidR="00E72F0C" w:rsidRDefault="00107901">
            <w:pPr>
              <w:pStyle w:val="a3"/>
              <w:spacing w:before="0" w:beforeAutospacing="0" w:after="0" w:afterAutospacing="0"/>
              <w:jc w:val="center"/>
              <w:rPr>
                <w:rFonts w:hint="eastAsia"/>
              </w:rPr>
            </w:pPr>
            <w:r>
              <w:rPr>
                <w:rFonts w:hint="eastAsia"/>
                <w:color w:val="000000"/>
                <w:sz w:val="18"/>
                <w:szCs w:val="18"/>
              </w:rPr>
              <w:t>期末余额</w:t>
            </w:r>
          </w:p>
        </w:tc>
        <w:tc>
          <w:tcPr>
            <w:tcW w:w="1584" w:type="pct"/>
            <w:shd w:val="clear" w:color="auto" w:fill="FFFFFF" w:themeFill="background1"/>
            <w:noWrap/>
            <w:tcMar>
              <w:top w:w="0" w:type="dxa"/>
              <w:left w:w="108" w:type="dxa"/>
              <w:bottom w:w="0" w:type="dxa"/>
              <w:right w:w="108" w:type="dxa"/>
            </w:tcMar>
            <w:vAlign w:val="bottom"/>
            <w:hideMark/>
          </w:tcPr>
          <w:p w14:paraId="73E58A80" w14:textId="77777777" w:rsidR="00E72F0C" w:rsidRDefault="00107901">
            <w:pPr>
              <w:pStyle w:val="a3"/>
              <w:spacing w:before="0" w:beforeAutospacing="0" w:after="0" w:afterAutospacing="0"/>
              <w:rPr>
                <w:rFonts w:hint="eastAsia"/>
              </w:rPr>
            </w:pPr>
            <w:r>
              <w:rPr>
                <w:rFonts w:hint="eastAsia"/>
                <w:color w:val="000000"/>
                <w:sz w:val="18"/>
                <w:szCs w:val="18"/>
              </w:rPr>
              <w:t xml:space="preserve"> 占期末余额合计数的比例(%) </w:t>
            </w:r>
          </w:p>
        </w:tc>
      </w:tr>
      <w:tr w:rsidR="00E72F0C" w14:paraId="148EEA1D" w14:textId="77777777" w:rsidTr="001F5A64">
        <w:trPr>
          <w:divId w:val="1210993288"/>
          <w:trHeight w:val="275"/>
        </w:trPr>
        <w:tc>
          <w:tcPr>
            <w:tcW w:w="2250" w:type="pct"/>
            <w:shd w:val="clear" w:color="auto" w:fill="FFFFFF" w:themeFill="background1"/>
            <w:noWrap/>
            <w:tcMar>
              <w:top w:w="0" w:type="dxa"/>
              <w:left w:w="108" w:type="dxa"/>
              <w:bottom w:w="0" w:type="dxa"/>
              <w:right w:w="108" w:type="dxa"/>
            </w:tcMar>
            <w:vAlign w:val="center"/>
            <w:hideMark/>
          </w:tcPr>
          <w:p w14:paraId="29B39089" w14:textId="77777777" w:rsidR="00E72F0C" w:rsidRDefault="00107901">
            <w:pPr>
              <w:pStyle w:val="a3"/>
              <w:spacing w:before="0" w:beforeAutospacing="0" w:after="0" w:afterAutospacing="0"/>
              <w:jc w:val="center"/>
              <w:rPr>
                <w:rFonts w:hint="eastAsia"/>
              </w:rPr>
            </w:pPr>
            <w:r>
              <w:rPr>
                <w:rFonts w:hint="eastAsia"/>
                <w:sz w:val="18"/>
                <w:szCs w:val="18"/>
              </w:rPr>
              <w:t>第一名</w:t>
            </w:r>
          </w:p>
        </w:tc>
        <w:tc>
          <w:tcPr>
            <w:tcW w:w="1167" w:type="pct"/>
            <w:shd w:val="clear" w:color="auto" w:fill="FFFFFF" w:themeFill="background1"/>
            <w:noWrap/>
            <w:tcMar>
              <w:top w:w="0" w:type="dxa"/>
              <w:left w:w="108" w:type="dxa"/>
              <w:bottom w:w="0" w:type="dxa"/>
              <w:right w:w="108" w:type="dxa"/>
            </w:tcMar>
            <w:vAlign w:val="center"/>
            <w:hideMark/>
          </w:tcPr>
          <w:p w14:paraId="68BC991B" w14:textId="77777777" w:rsidR="00E72F0C" w:rsidRDefault="00107901">
            <w:pPr>
              <w:pStyle w:val="a3"/>
              <w:spacing w:before="0" w:beforeAutospacing="0" w:after="0" w:afterAutospacing="0"/>
              <w:jc w:val="right"/>
              <w:rPr>
                <w:rFonts w:hint="eastAsia"/>
              </w:rPr>
            </w:pPr>
            <w:r>
              <w:rPr>
                <w:rFonts w:hint="eastAsia"/>
                <w:sz w:val="18"/>
                <w:szCs w:val="18"/>
              </w:rPr>
              <w:t>5,782,694.21</w:t>
            </w:r>
          </w:p>
        </w:tc>
        <w:tc>
          <w:tcPr>
            <w:tcW w:w="1584" w:type="pct"/>
            <w:shd w:val="clear" w:color="auto" w:fill="FFFFFF" w:themeFill="background1"/>
            <w:noWrap/>
            <w:tcMar>
              <w:top w:w="0" w:type="dxa"/>
              <w:left w:w="108" w:type="dxa"/>
              <w:bottom w:w="0" w:type="dxa"/>
              <w:right w:w="108" w:type="dxa"/>
            </w:tcMar>
            <w:vAlign w:val="center"/>
            <w:hideMark/>
          </w:tcPr>
          <w:p w14:paraId="264A89A3" w14:textId="77777777" w:rsidR="00E72F0C" w:rsidRDefault="00107901">
            <w:pPr>
              <w:pStyle w:val="a3"/>
              <w:spacing w:before="0" w:beforeAutospacing="0" w:after="0" w:afterAutospacing="0"/>
              <w:jc w:val="right"/>
              <w:rPr>
                <w:rFonts w:hint="eastAsia"/>
              </w:rPr>
            </w:pPr>
            <w:r>
              <w:rPr>
                <w:rFonts w:hint="eastAsia"/>
                <w:sz w:val="18"/>
                <w:szCs w:val="18"/>
              </w:rPr>
              <w:t>19.89</w:t>
            </w:r>
          </w:p>
        </w:tc>
      </w:tr>
      <w:tr w:rsidR="00E72F0C" w14:paraId="1519ADFA" w14:textId="77777777" w:rsidTr="001F5A64">
        <w:trPr>
          <w:divId w:val="1210993288"/>
          <w:trHeight w:val="308"/>
        </w:trPr>
        <w:tc>
          <w:tcPr>
            <w:tcW w:w="2250" w:type="pct"/>
            <w:shd w:val="clear" w:color="auto" w:fill="FFFFFF" w:themeFill="background1"/>
            <w:noWrap/>
            <w:tcMar>
              <w:top w:w="0" w:type="dxa"/>
              <w:left w:w="108" w:type="dxa"/>
              <w:bottom w:w="0" w:type="dxa"/>
              <w:right w:w="108" w:type="dxa"/>
            </w:tcMar>
            <w:vAlign w:val="center"/>
            <w:hideMark/>
          </w:tcPr>
          <w:p w14:paraId="49B82158" w14:textId="77777777" w:rsidR="00E72F0C" w:rsidRDefault="00107901">
            <w:pPr>
              <w:pStyle w:val="a3"/>
              <w:spacing w:before="0" w:beforeAutospacing="0" w:after="0" w:afterAutospacing="0"/>
              <w:jc w:val="center"/>
              <w:rPr>
                <w:rFonts w:hint="eastAsia"/>
              </w:rPr>
            </w:pPr>
            <w:r>
              <w:rPr>
                <w:rFonts w:hint="eastAsia"/>
                <w:sz w:val="18"/>
                <w:szCs w:val="18"/>
              </w:rPr>
              <w:t>第二名</w:t>
            </w:r>
          </w:p>
        </w:tc>
        <w:tc>
          <w:tcPr>
            <w:tcW w:w="1167" w:type="pct"/>
            <w:shd w:val="clear" w:color="auto" w:fill="FFFFFF" w:themeFill="background1"/>
            <w:noWrap/>
            <w:tcMar>
              <w:top w:w="0" w:type="dxa"/>
              <w:left w:w="108" w:type="dxa"/>
              <w:bottom w:w="0" w:type="dxa"/>
              <w:right w:w="108" w:type="dxa"/>
            </w:tcMar>
            <w:vAlign w:val="center"/>
            <w:hideMark/>
          </w:tcPr>
          <w:p w14:paraId="37E3F965" w14:textId="77777777" w:rsidR="00E72F0C" w:rsidRDefault="00107901">
            <w:pPr>
              <w:pStyle w:val="a3"/>
              <w:spacing w:before="0" w:beforeAutospacing="0" w:after="0" w:afterAutospacing="0"/>
              <w:jc w:val="right"/>
              <w:rPr>
                <w:rFonts w:hint="eastAsia"/>
              </w:rPr>
            </w:pPr>
            <w:r>
              <w:rPr>
                <w:rFonts w:hint="eastAsia"/>
                <w:sz w:val="18"/>
                <w:szCs w:val="18"/>
              </w:rPr>
              <w:t>3,113,180.09</w:t>
            </w:r>
          </w:p>
        </w:tc>
        <w:tc>
          <w:tcPr>
            <w:tcW w:w="1584" w:type="pct"/>
            <w:shd w:val="clear" w:color="auto" w:fill="FFFFFF" w:themeFill="background1"/>
            <w:noWrap/>
            <w:tcMar>
              <w:top w:w="0" w:type="dxa"/>
              <w:left w:w="108" w:type="dxa"/>
              <w:bottom w:w="0" w:type="dxa"/>
              <w:right w:w="108" w:type="dxa"/>
            </w:tcMar>
            <w:vAlign w:val="center"/>
            <w:hideMark/>
          </w:tcPr>
          <w:p w14:paraId="3FE37C05" w14:textId="77777777" w:rsidR="00E72F0C" w:rsidRDefault="00107901">
            <w:pPr>
              <w:pStyle w:val="a3"/>
              <w:spacing w:before="0" w:beforeAutospacing="0" w:after="0" w:afterAutospacing="0"/>
              <w:jc w:val="right"/>
              <w:rPr>
                <w:rFonts w:hint="eastAsia"/>
              </w:rPr>
            </w:pPr>
            <w:r>
              <w:rPr>
                <w:rFonts w:hint="eastAsia"/>
                <w:sz w:val="18"/>
                <w:szCs w:val="18"/>
              </w:rPr>
              <w:t>10.71</w:t>
            </w:r>
          </w:p>
        </w:tc>
      </w:tr>
      <w:tr w:rsidR="00E72F0C" w14:paraId="54A886D0" w14:textId="77777777" w:rsidTr="001F5A64">
        <w:trPr>
          <w:divId w:val="1210993288"/>
          <w:trHeight w:val="290"/>
        </w:trPr>
        <w:tc>
          <w:tcPr>
            <w:tcW w:w="2250" w:type="pct"/>
            <w:shd w:val="clear" w:color="auto" w:fill="FFFFFF" w:themeFill="background1"/>
            <w:noWrap/>
            <w:tcMar>
              <w:top w:w="0" w:type="dxa"/>
              <w:left w:w="108" w:type="dxa"/>
              <w:bottom w:w="0" w:type="dxa"/>
              <w:right w:w="108" w:type="dxa"/>
            </w:tcMar>
            <w:vAlign w:val="center"/>
            <w:hideMark/>
          </w:tcPr>
          <w:p w14:paraId="1534015A" w14:textId="77777777" w:rsidR="00E72F0C" w:rsidRDefault="00107901">
            <w:pPr>
              <w:pStyle w:val="a3"/>
              <w:spacing w:before="0" w:beforeAutospacing="0" w:after="0" w:afterAutospacing="0"/>
              <w:jc w:val="center"/>
              <w:rPr>
                <w:rFonts w:hint="eastAsia"/>
              </w:rPr>
            </w:pPr>
            <w:r>
              <w:rPr>
                <w:rFonts w:hint="eastAsia"/>
                <w:sz w:val="18"/>
                <w:szCs w:val="18"/>
              </w:rPr>
              <w:t>第三名</w:t>
            </w:r>
          </w:p>
        </w:tc>
        <w:tc>
          <w:tcPr>
            <w:tcW w:w="1167" w:type="pct"/>
            <w:shd w:val="clear" w:color="auto" w:fill="FFFFFF" w:themeFill="background1"/>
            <w:noWrap/>
            <w:tcMar>
              <w:top w:w="0" w:type="dxa"/>
              <w:left w:w="108" w:type="dxa"/>
              <w:bottom w:w="0" w:type="dxa"/>
              <w:right w:w="108" w:type="dxa"/>
            </w:tcMar>
            <w:vAlign w:val="center"/>
            <w:hideMark/>
          </w:tcPr>
          <w:p w14:paraId="07248FA6" w14:textId="77777777" w:rsidR="00E72F0C" w:rsidRDefault="00107901">
            <w:pPr>
              <w:pStyle w:val="a3"/>
              <w:spacing w:before="0" w:beforeAutospacing="0" w:after="0" w:afterAutospacing="0"/>
              <w:jc w:val="right"/>
              <w:rPr>
                <w:rFonts w:hint="eastAsia"/>
              </w:rPr>
            </w:pPr>
            <w:r>
              <w:rPr>
                <w:rFonts w:hint="eastAsia"/>
                <w:sz w:val="18"/>
                <w:szCs w:val="18"/>
              </w:rPr>
              <w:t>2,363,307.61</w:t>
            </w:r>
          </w:p>
        </w:tc>
        <w:tc>
          <w:tcPr>
            <w:tcW w:w="1584" w:type="pct"/>
            <w:shd w:val="clear" w:color="auto" w:fill="FFFFFF" w:themeFill="background1"/>
            <w:noWrap/>
            <w:tcMar>
              <w:top w:w="0" w:type="dxa"/>
              <w:left w:w="108" w:type="dxa"/>
              <w:bottom w:w="0" w:type="dxa"/>
              <w:right w:w="108" w:type="dxa"/>
            </w:tcMar>
            <w:vAlign w:val="center"/>
            <w:hideMark/>
          </w:tcPr>
          <w:p w14:paraId="20A77E64" w14:textId="77777777" w:rsidR="00E72F0C" w:rsidRDefault="00107901">
            <w:pPr>
              <w:pStyle w:val="a3"/>
              <w:spacing w:before="0" w:beforeAutospacing="0" w:after="0" w:afterAutospacing="0"/>
              <w:jc w:val="right"/>
              <w:rPr>
                <w:rFonts w:hint="eastAsia"/>
              </w:rPr>
            </w:pPr>
            <w:r>
              <w:rPr>
                <w:rFonts w:hint="eastAsia"/>
                <w:sz w:val="18"/>
                <w:szCs w:val="18"/>
              </w:rPr>
              <w:t>8.13</w:t>
            </w:r>
          </w:p>
        </w:tc>
      </w:tr>
      <w:tr w:rsidR="00E72F0C" w14:paraId="56A156A3" w14:textId="77777777" w:rsidTr="001F5A64">
        <w:trPr>
          <w:divId w:val="1210993288"/>
          <w:trHeight w:val="317"/>
        </w:trPr>
        <w:tc>
          <w:tcPr>
            <w:tcW w:w="2250" w:type="pct"/>
            <w:shd w:val="clear" w:color="auto" w:fill="FFFFFF" w:themeFill="background1"/>
            <w:noWrap/>
            <w:tcMar>
              <w:top w:w="0" w:type="dxa"/>
              <w:left w:w="108" w:type="dxa"/>
              <w:bottom w:w="0" w:type="dxa"/>
              <w:right w:w="108" w:type="dxa"/>
            </w:tcMar>
            <w:vAlign w:val="center"/>
            <w:hideMark/>
          </w:tcPr>
          <w:p w14:paraId="6048B426" w14:textId="77777777" w:rsidR="00E72F0C" w:rsidRDefault="00107901">
            <w:pPr>
              <w:pStyle w:val="a3"/>
              <w:spacing w:before="0" w:beforeAutospacing="0" w:after="0" w:afterAutospacing="0"/>
              <w:jc w:val="center"/>
              <w:rPr>
                <w:rFonts w:hint="eastAsia"/>
              </w:rPr>
            </w:pPr>
            <w:r>
              <w:rPr>
                <w:rFonts w:hint="eastAsia"/>
                <w:sz w:val="18"/>
                <w:szCs w:val="18"/>
              </w:rPr>
              <w:t>第四名</w:t>
            </w:r>
          </w:p>
        </w:tc>
        <w:tc>
          <w:tcPr>
            <w:tcW w:w="1167" w:type="pct"/>
            <w:shd w:val="clear" w:color="auto" w:fill="FFFFFF" w:themeFill="background1"/>
            <w:noWrap/>
            <w:tcMar>
              <w:top w:w="0" w:type="dxa"/>
              <w:left w:w="108" w:type="dxa"/>
              <w:bottom w:w="0" w:type="dxa"/>
              <w:right w:w="108" w:type="dxa"/>
            </w:tcMar>
            <w:vAlign w:val="center"/>
            <w:hideMark/>
          </w:tcPr>
          <w:p w14:paraId="603406CB" w14:textId="77777777" w:rsidR="00E72F0C" w:rsidRDefault="00107901">
            <w:pPr>
              <w:pStyle w:val="a3"/>
              <w:spacing w:before="0" w:beforeAutospacing="0" w:after="0" w:afterAutospacing="0"/>
              <w:jc w:val="right"/>
              <w:rPr>
                <w:rFonts w:hint="eastAsia"/>
              </w:rPr>
            </w:pPr>
            <w:r>
              <w:rPr>
                <w:rFonts w:hint="eastAsia"/>
                <w:sz w:val="18"/>
                <w:szCs w:val="18"/>
              </w:rPr>
              <w:t>1,940,868.00</w:t>
            </w:r>
          </w:p>
        </w:tc>
        <w:tc>
          <w:tcPr>
            <w:tcW w:w="1584" w:type="pct"/>
            <w:shd w:val="clear" w:color="auto" w:fill="FFFFFF" w:themeFill="background1"/>
            <w:noWrap/>
            <w:tcMar>
              <w:top w:w="0" w:type="dxa"/>
              <w:left w:w="108" w:type="dxa"/>
              <w:bottom w:w="0" w:type="dxa"/>
              <w:right w:w="108" w:type="dxa"/>
            </w:tcMar>
            <w:vAlign w:val="center"/>
            <w:hideMark/>
          </w:tcPr>
          <w:p w14:paraId="46F596A7" w14:textId="77777777" w:rsidR="00E72F0C" w:rsidRDefault="00107901">
            <w:pPr>
              <w:pStyle w:val="a3"/>
              <w:spacing w:before="0" w:beforeAutospacing="0" w:after="0" w:afterAutospacing="0"/>
              <w:jc w:val="right"/>
              <w:rPr>
                <w:rFonts w:hint="eastAsia"/>
              </w:rPr>
            </w:pPr>
            <w:r>
              <w:rPr>
                <w:rFonts w:hint="eastAsia"/>
                <w:sz w:val="18"/>
                <w:szCs w:val="18"/>
              </w:rPr>
              <w:t>6.68</w:t>
            </w:r>
          </w:p>
        </w:tc>
      </w:tr>
      <w:tr w:rsidR="00E72F0C" w14:paraId="50606F16" w14:textId="77777777" w:rsidTr="001F5A64">
        <w:trPr>
          <w:divId w:val="1210993288"/>
          <w:trHeight w:val="321"/>
        </w:trPr>
        <w:tc>
          <w:tcPr>
            <w:tcW w:w="2250" w:type="pct"/>
            <w:shd w:val="clear" w:color="auto" w:fill="FFFFFF" w:themeFill="background1"/>
            <w:noWrap/>
            <w:tcMar>
              <w:top w:w="0" w:type="dxa"/>
              <w:left w:w="108" w:type="dxa"/>
              <w:bottom w:w="0" w:type="dxa"/>
              <w:right w:w="108" w:type="dxa"/>
            </w:tcMar>
            <w:vAlign w:val="center"/>
            <w:hideMark/>
          </w:tcPr>
          <w:p w14:paraId="0685A07B" w14:textId="77777777" w:rsidR="00E72F0C" w:rsidRDefault="00107901">
            <w:pPr>
              <w:pStyle w:val="a3"/>
              <w:spacing w:before="0" w:beforeAutospacing="0" w:after="0" w:afterAutospacing="0"/>
              <w:jc w:val="center"/>
              <w:rPr>
                <w:rFonts w:hint="eastAsia"/>
              </w:rPr>
            </w:pPr>
            <w:r>
              <w:rPr>
                <w:rFonts w:hint="eastAsia"/>
                <w:sz w:val="18"/>
                <w:szCs w:val="18"/>
              </w:rPr>
              <w:t>第五名</w:t>
            </w:r>
          </w:p>
        </w:tc>
        <w:tc>
          <w:tcPr>
            <w:tcW w:w="1167" w:type="pct"/>
            <w:shd w:val="clear" w:color="auto" w:fill="FFFFFF" w:themeFill="background1"/>
            <w:noWrap/>
            <w:tcMar>
              <w:top w:w="0" w:type="dxa"/>
              <w:left w:w="108" w:type="dxa"/>
              <w:bottom w:w="0" w:type="dxa"/>
              <w:right w:w="108" w:type="dxa"/>
            </w:tcMar>
            <w:vAlign w:val="center"/>
            <w:hideMark/>
          </w:tcPr>
          <w:p w14:paraId="4F6A4C6D" w14:textId="77777777" w:rsidR="00E72F0C" w:rsidRDefault="00107901">
            <w:pPr>
              <w:pStyle w:val="a3"/>
              <w:spacing w:before="0" w:beforeAutospacing="0" w:after="0" w:afterAutospacing="0"/>
              <w:jc w:val="right"/>
              <w:rPr>
                <w:rFonts w:hint="eastAsia"/>
              </w:rPr>
            </w:pPr>
            <w:r>
              <w:rPr>
                <w:rFonts w:hint="eastAsia"/>
                <w:sz w:val="18"/>
                <w:szCs w:val="18"/>
              </w:rPr>
              <w:t xml:space="preserve">1,690,915.35 </w:t>
            </w:r>
          </w:p>
        </w:tc>
        <w:tc>
          <w:tcPr>
            <w:tcW w:w="1584" w:type="pct"/>
            <w:shd w:val="clear" w:color="auto" w:fill="FFFFFF" w:themeFill="background1"/>
            <w:noWrap/>
            <w:tcMar>
              <w:top w:w="0" w:type="dxa"/>
              <w:left w:w="108" w:type="dxa"/>
              <w:bottom w:w="0" w:type="dxa"/>
              <w:right w:w="108" w:type="dxa"/>
            </w:tcMar>
            <w:vAlign w:val="center"/>
            <w:hideMark/>
          </w:tcPr>
          <w:p w14:paraId="3C02BED9" w14:textId="77777777" w:rsidR="00E72F0C" w:rsidRDefault="00107901">
            <w:pPr>
              <w:pStyle w:val="a3"/>
              <w:spacing w:before="0" w:beforeAutospacing="0" w:after="0" w:afterAutospacing="0"/>
              <w:jc w:val="right"/>
              <w:rPr>
                <w:rFonts w:hint="eastAsia"/>
              </w:rPr>
            </w:pPr>
            <w:r>
              <w:rPr>
                <w:rFonts w:hint="eastAsia"/>
                <w:sz w:val="18"/>
                <w:szCs w:val="18"/>
              </w:rPr>
              <w:t xml:space="preserve">5.82 </w:t>
            </w:r>
          </w:p>
        </w:tc>
      </w:tr>
      <w:tr w:rsidR="00E72F0C" w14:paraId="2C5CA37D" w14:textId="77777777" w:rsidTr="001F5A64">
        <w:trPr>
          <w:divId w:val="1210993288"/>
          <w:trHeight w:val="302"/>
        </w:trPr>
        <w:tc>
          <w:tcPr>
            <w:tcW w:w="2250" w:type="pct"/>
            <w:shd w:val="clear" w:color="auto" w:fill="FFFFFF" w:themeFill="background1"/>
            <w:noWrap/>
            <w:tcMar>
              <w:top w:w="0" w:type="dxa"/>
              <w:left w:w="108" w:type="dxa"/>
              <w:bottom w:w="0" w:type="dxa"/>
              <w:right w:w="108" w:type="dxa"/>
            </w:tcMar>
            <w:vAlign w:val="bottom"/>
            <w:hideMark/>
          </w:tcPr>
          <w:p w14:paraId="1E927A2F" w14:textId="77777777" w:rsidR="00E72F0C" w:rsidRDefault="00107901">
            <w:pPr>
              <w:pStyle w:val="a3"/>
              <w:spacing w:before="0" w:beforeAutospacing="0" w:after="0" w:afterAutospacing="0"/>
              <w:jc w:val="center"/>
              <w:rPr>
                <w:rFonts w:hint="eastAsia"/>
              </w:rPr>
            </w:pPr>
            <w:r>
              <w:rPr>
                <w:rFonts w:hint="eastAsia"/>
                <w:sz w:val="18"/>
                <w:szCs w:val="18"/>
              </w:rPr>
              <w:t>合计</w:t>
            </w:r>
          </w:p>
        </w:tc>
        <w:tc>
          <w:tcPr>
            <w:tcW w:w="1167" w:type="pct"/>
            <w:shd w:val="clear" w:color="auto" w:fill="FFFFFF" w:themeFill="background1"/>
            <w:noWrap/>
            <w:tcMar>
              <w:top w:w="0" w:type="dxa"/>
              <w:left w:w="108" w:type="dxa"/>
              <w:bottom w:w="0" w:type="dxa"/>
              <w:right w:w="108" w:type="dxa"/>
            </w:tcMar>
            <w:vAlign w:val="center"/>
            <w:hideMark/>
          </w:tcPr>
          <w:p w14:paraId="746612B8" w14:textId="77777777" w:rsidR="00E72F0C" w:rsidRDefault="00107901">
            <w:pPr>
              <w:pStyle w:val="a3"/>
              <w:spacing w:before="0" w:beforeAutospacing="0" w:after="0" w:afterAutospacing="0"/>
              <w:jc w:val="right"/>
              <w:rPr>
                <w:rFonts w:hint="eastAsia"/>
              </w:rPr>
            </w:pPr>
            <w:r>
              <w:rPr>
                <w:rFonts w:hint="eastAsia"/>
                <w:sz w:val="18"/>
                <w:szCs w:val="18"/>
              </w:rPr>
              <w:t xml:space="preserve">14,890,965.26 </w:t>
            </w:r>
          </w:p>
        </w:tc>
        <w:tc>
          <w:tcPr>
            <w:tcW w:w="1584" w:type="pct"/>
            <w:shd w:val="clear" w:color="auto" w:fill="FFFFFF" w:themeFill="background1"/>
            <w:noWrap/>
            <w:tcMar>
              <w:top w:w="0" w:type="dxa"/>
              <w:left w:w="108" w:type="dxa"/>
              <w:bottom w:w="0" w:type="dxa"/>
              <w:right w:w="108" w:type="dxa"/>
            </w:tcMar>
            <w:vAlign w:val="center"/>
            <w:hideMark/>
          </w:tcPr>
          <w:p w14:paraId="0AE91F26" w14:textId="77777777" w:rsidR="00E72F0C" w:rsidRDefault="00107901">
            <w:pPr>
              <w:pStyle w:val="a3"/>
              <w:spacing w:before="0" w:beforeAutospacing="0" w:after="0" w:afterAutospacing="0"/>
              <w:jc w:val="right"/>
              <w:rPr>
                <w:rFonts w:hint="eastAsia"/>
              </w:rPr>
            </w:pPr>
            <w:r>
              <w:rPr>
                <w:rFonts w:hint="eastAsia"/>
                <w:sz w:val="18"/>
                <w:szCs w:val="18"/>
              </w:rPr>
              <w:t xml:space="preserve">51.23 </w:t>
            </w:r>
          </w:p>
        </w:tc>
      </w:tr>
    </w:tbl>
    <w:p w14:paraId="647BB1CF" w14:textId="77777777" w:rsidR="00632E5B" w:rsidRDefault="00107901">
      <w:pPr>
        <w:pStyle w:val="3"/>
        <w:spacing w:line="280" w:lineRule="exact"/>
        <w:jc w:val="left"/>
        <w:rPr>
          <w:rFonts w:ascii="宋体" w:hAnsi="宋体" w:cs="宋体" w:hint="eastAsia"/>
          <w:b/>
          <w:bCs/>
        </w:rPr>
      </w:pPr>
      <w:bookmarkStart w:id="236" w:name="_Toc989125"/>
      <w:r>
        <w:rPr>
          <w:rFonts w:ascii="宋体" w:hAnsi="宋体" w:cs="宋体"/>
          <w:b/>
          <w:bCs/>
        </w:rPr>
        <w:t>8、存货</w:t>
      </w:r>
      <w:bookmarkEnd w:id="236"/>
    </w:p>
    <w:p w14:paraId="78612F68"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公司是否需要遵守房地产行业的披露要求</w:t>
      </w:r>
    </w:p>
    <w:p w14:paraId="4364A77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p w14:paraId="077A1FE2"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237" w:name="_Toc989126"/>
      <w:r>
        <w:rPr>
          <w:rFonts w:ascii="宋体" w:eastAsia="宋体" w:hAnsi="宋体" w:cs="宋体"/>
          <w:b/>
          <w:bCs/>
          <w:szCs w:val="21"/>
        </w:rPr>
        <w:t>（1） 存货分类</w:t>
      </w:r>
      <w:bookmarkEnd w:id="237"/>
    </w:p>
    <w:p w14:paraId="7325E0CA"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045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377"/>
        <w:gridCol w:w="1489"/>
        <w:gridCol w:w="1526"/>
        <w:gridCol w:w="1559"/>
        <w:gridCol w:w="1559"/>
        <w:gridCol w:w="1418"/>
        <w:gridCol w:w="1525"/>
      </w:tblGrid>
      <w:tr w:rsidR="00632E5B" w14:paraId="3DEDF290" w14:textId="77777777" w:rsidTr="001F5A64">
        <w:trPr>
          <w:trHeight w:val="240"/>
          <w:jc w:val="center"/>
        </w:trPr>
        <w:tc>
          <w:tcPr>
            <w:tcW w:w="1377" w:type="dxa"/>
            <w:vMerge w:val="restart"/>
            <w:shd w:val="clear" w:color="auto" w:fill="FFFFFF" w:themeFill="background1"/>
            <w:vAlign w:val="center"/>
          </w:tcPr>
          <w:p w14:paraId="0F2D8E5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4574" w:type="dxa"/>
            <w:gridSpan w:val="3"/>
            <w:shd w:val="clear" w:color="auto" w:fill="FFFFFF" w:themeFill="background1"/>
            <w:vAlign w:val="center"/>
          </w:tcPr>
          <w:p w14:paraId="61BB255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4502" w:type="dxa"/>
            <w:gridSpan w:val="3"/>
            <w:shd w:val="clear" w:color="auto" w:fill="FFFFFF" w:themeFill="background1"/>
            <w:vAlign w:val="center"/>
          </w:tcPr>
          <w:p w14:paraId="6393F36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632E5B" w14:paraId="223FDED5" w14:textId="77777777" w:rsidTr="001F5A64">
        <w:trPr>
          <w:trHeight w:val="240"/>
          <w:jc w:val="center"/>
        </w:trPr>
        <w:tc>
          <w:tcPr>
            <w:tcW w:w="1377" w:type="dxa"/>
            <w:vMerge/>
            <w:shd w:val="clear" w:color="auto" w:fill="FFFFFF" w:themeFill="background1"/>
            <w:vAlign w:val="center"/>
          </w:tcPr>
          <w:p w14:paraId="6C7F5BF8" w14:textId="77777777" w:rsidR="00632E5B" w:rsidRDefault="00632E5B"/>
        </w:tc>
        <w:tc>
          <w:tcPr>
            <w:tcW w:w="1489" w:type="dxa"/>
            <w:shd w:val="clear" w:color="auto" w:fill="FFFFFF" w:themeFill="background1"/>
            <w:vAlign w:val="center"/>
          </w:tcPr>
          <w:p w14:paraId="6CF83B3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526" w:type="dxa"/>
            <w:shd w:val="clear" w:color="auto" w:fill="FFFFFF" w:themeFill="background1"/>
            <w:vAlign w:val="center"/>
          </w:tcPr>
          <w:p w14:paraId="0A05A6F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存货跌价准备或合同履约成本减值准备</w:t>
            </w:r>
          </w:p>
        </w:tc>
        <w:tc>
          <w:tcPr>
            <w:tcW w:w="1559" w:type="dxa"/>
            <w:shd w:val="clear" w:color="auto" w:fill="FFFFFF" w:themeFill="background1"/>
            <w:vAlign w:val="center"/>
          </w:tcPr>
          <w:p w14:paraId="15E446A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c>
          <w:tcPr>
            <w:tcW w:w="1559" w:type="dxa"/>
            <w:shd w:val="clear" w:color="auto" w:fill="FFFFFF" w:themeFill="background1"/>
            <w:vAlign w:val="center"/>
          </w:tcPr>
          <w:p w14:paraId="7177291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418" w:type="dxa"/>
            <w:shd w:val="clear" w:color="auto" w:fill="FFFFFF" w:themeFill="background1"/>
            <w:vAlign w:val="center"/>
          </w:tcPr>
          <w:p w14:paraId="0371437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存货跌价准备或合同履约成本减值准备</w:t>
            </w:r>
          </w:p>
        </w:tc>
        <w:tc>
          <w:tcPr>
            <w:tcW w:w="1525" w:type="dxa"/>
            <w:shd w:val="clear" w:color="auto" w:fill="FFFFFF" w:themeFill="background1"/>
            <w:vAlign w:val="center"/>
          </w:tcPr>
          <w:p w14:paraId="2B34C39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r>
      <w:tr w:rsidR="00632E5B" w14:paraId="4E023D4C" w14:textId="77777777" w:rsidTr="001F5A64">
        <w:trPr>
          <w:trHeight w:val="240"/>
          <w:jc w:val="center"/>
        </w:trPr>
        <w:tc>
          <w:tcPr>
            <w:tcW w:w="1377" w:type="dxa"/>
            <w:shd w:val="clear" w:color="auto" w:fill="FFFFFF" w:themeFill="background1"/>
            <w:vAlign w:val="center"/>
          </w:tcPr>
          <w:p w14:paraId="07545199"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原材料</w:t>
            </w:r>
          </w:p>
        </w:tc>
        <w:tc>
          <w:tcPr>
            <w:tcW w:w="1489" w:type="dxa"/>
            <w:shd w:val="clear" w:color="auto" w:fill="FFFFFF" w:themeFill="background1"/>
            <w:vAlign w:val="center"/>
          </w:tcPr>
          <w:p w14:paraId="48CB013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103,705,171.40</w:t>
            </w:r>
          </w:p>
        </w:tc>
        <w:tc>
          <w:tcPr>
            <w:tcW w:w="1526" w:type="dxa"/>
            <w:shd w:val="clear" w:color="auto" w:fill="FFFFFF" w:themeFill="background1"/>
            <w:vAlign w:val="center"/>
          </w:tcPr>
          <w:p w14:paraId="2EFB9D3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20,172,378.11</w:t>
            </w:r>
          </w:p>
        </w:tc>
        <w:tc>
          <w:tcPr>
            <w:tcW w:w="1559" w:type="dxa"/>
            <w:shd w:val="clear" w:color="auto" w:fill="FFFFFF" w:themeFill="background1"/>
            <w:vAlign w:val="center"/>
          </w:tcPr>
          <w:p w14:paraId="05CBEE5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83,532,793.29</w:t>
            </w:r>
          </w:p>
        </w:tc>
        <w:tc>
          <w:tcPr>
            <w:tcW w:w="1559" w:type="dxa"/>
            <w:shd w:val="clear" w:color="auto" w:fill="FFFFFF" w:themeFill="background1"/>
            <w:vAlign w:val="center"/>
          </w:tcPr>
          <w:p w14:paraId="7B83A73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141,888,357.02</w:t>
            </w:r>
          </w:p>
        </w:tc>
        <w:tc>
          <w:tcPr>
            <w:tcW w:w="1418" w:type="dxa"/>
            <w:shd w:val="clear" w:color="auto" w:fill="FFFFFF" w:themeFill="background1"/>
            <w:vAlign w:val="center"/>
          </w:tcPr>
          <w:p w14:paraId="04B2F5D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2,656,604.73</w:t>
            </w:r>
          </w:p>
        </w:tc>
        <w:tc>
          <w:tcPr>
            <w:tcW w:w="1525" w:type="dxa"/>
            <w:shd w:val="clear" w:color="auto" w:fill="FFFFFF" w:themeFill="background1"/>
            <w:vAlign w:val="center"/>
          </w:tcPr>
          <w:p w14:paraId="608E4BE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139,231,752.29</w:t>
            </w:r>
          </w:p>
        </w:tc>
      </w:tr>
      <w:tr w:rsidR="00632E5B" w14:paraId="11CB2586" w14:textId="77777777" w:rsidTr="001F5A64">
        <w:trPr>
          <w:trHeight w:val="240"/>
          <w:jc w:val="center"/>
        </w:trPr>
        <w:tc>
          <w:tcPr>
            <w:tcW w:w="1377" w:type="dxa"/>
            <w:shd w:val="clear" w:color="auto" w:fill="FFFFFF" w:themeFill="background1"/>
            <w:vAlign w:val="center"/>
          </w:tcPr>
          <w:p w14:paraId="46F673C9"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在产品</w:t>
            </w:r>
          </w:p>
        </w:tc>
        <w:tc>
          <w:tcPr>
            <w:tcW w:w="1489" w:type="dxa"/>
            <w:shd w:val="clear" w:color="auto" w:fill="FFFFFF" w:themeFill="background1"/>
            <w:vAlign w:val="center"/>
          </w:tcPr>
          <w:p w14:paraId="77C4C46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45,900,489.58</w:t>
            </w:r>
          </w:p>
        </w:tc>
        <w:tc>
          <w:tcPr>
            <w:tcW w:w="1526" w:type="dxa"/>
            <w:shd w:val="clear" w:color="auto" w:fill="FFFFFF" w:themeFill="background1"/>
            <w:vAlign w:val="center"/>
          </w:tcPr>
          <w:p w14:paraId="52B084B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1,243,062.18</w:t>
            </w:r>
          </w:p>
        </w:tc>
        <w:tc>
          <w:tcPr>
            <w:tcW w:w="1559" w:type="dxa"/>
            <w:shd w:val="clear" w:color="auto" w:fill="FFFFFF" w:themeFill="background1"/>
            <w:vAlign w:val="center"/>
          </w:tcPr>
          <w:p w14:paraId="58DFD80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44,657,427.40</w:t>
            </w:r>
          </w:p>
        </w:tc>
        <w:tc>
          <w:tcPr>
            <w:tcW w:w="1559" w:type="dxa"/>
            <w:shd w:val="clear" w:color="auto" w:fill="FFFFFF" w:themeFill="background1"/>
            <w:vAlign w:val="center"/>
          </w:tcPr>
          <w:p w14:paraId="1E6ED72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39,171,401.57</w:t>
            </w:r>
          </w:p>
        </w:tc>
        <w:tc>
          <w:tcPr>
            <w:tcW w:w="1418" w:type="dxa"/>
            <w:shd w:val="clear" w:color="auto" w:fill="FFFFFF" w:themeFill="background1"/>
            <w:vAlign w:val="center"/>
          </w:tcPr>
          <w:p w14:paraId="1D4030B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391,570.05</w:t>
            </w:r>
          </w:p>
        </w:tc>
        <w:tc>
          <w:tcPr>
            <w:tcW w:w="1525" w:type="dxa"/>
            <w:shd w:val="clear" w:color="auto" w:fill="FFFFFF" w:themeFill="background1"/>
            <w:vAlign w:val="center"/>
          </w:tcPr>
          <w:p w14:paraId="4299652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38,779,831.52</w:t>
            </w:r>
          </w:p>
        </w:tc>
      </w:tr>
      <w:tr w:rsidR="00632E5B" w14:paraId="1CEB13DE" w14:textId="77777777" w:rsidTr="001F5A64">
        <w:trPr>
          <w:trHeight w:val="240"/>
          <w:jc w:val="center"/>
        </w:trPr>
        <w:tc>
          <w:tcPr>
            <w:tcW w:w="1377" w:type="dxa"/>
            <w:shd w:val="clear" w:color="auto" w:fill="FFFFFF" w:themeFill="background1"/>
            <w:vAlign w:val="center"/>
          </w:tcPr>
          <w:p w14:paraId="396B45AB"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库存商品</w:t>
            </w:r>
          </w:p>
        </w:tc>
        <w:tc>
          <w:tcPr>
            <w:tcW w:w="1489" w:type="dxa"/>
            <w:shd w:val="clear" w:color="auto" w:fill="FFFFFF" w:themeFill="background1"/>
            <w:vAlign w:val="center"/>
          </w:tcPr>
          <w:p w14:paraId="635C8F9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171,025,858.65</w:t>
            </w:r>
          </w:p>
        </w:tc>
        <w:tc>
          <w:tcPr>
            <w:tcW w:w="1526" w:type="dxa"/>
            <w:shd w:val="clear" w:color="auto" w:fill="FFFFFF" w:themeFill="background1"/>
            <w:vAlign w:val="center"/>
          </w:tcPr>
          <w:p w14:paraId="70FE090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25,171,444.61</w:t>
            </w:r>
          </w:p>
        </w:tc>
        <w:tc>
          <w:tcPr>
            <w:tcW w:w="1559" w:type="dxa"/>
            <w:shd w:val="clear" w:color="auto" w:fill="FFFFFF" w:themeFill="background1"/>
            <w:vAlign w:val="center"/>
          </w:tcPr>
          <w:p w14:paraId="5CACEB3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145,854,414.04</w:t>
            </w:r>
          </w:p>
        </w:tc>
        <w:tc>
          <w:tcPr>
            <w:tcW w:w="1559" w:type="dxa"/>
            <w:shd w:val="clear" w:color="auto" w:fill="FFFFFF" w:themeFill="background1"/>
            <w:vAlign w:val="center"/>
          </w:tcPr>
          <w:p w14:paraId="70C98F0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233,428,300.95</w:t>
            </w:r>
          </w:p>
        </w:tc>
        <w:tc>
          <w:tcPr>
            <w:tcW w:w="1418" w:type="dxa"/>
            <w:shd w:val="clear" w:color="auto" w:fill="FFFFFF" w:themeFill="background1"/>
            <w:vAlign w:val="center"/>
          </w:tcPr>
          <w:p w14:paraId="7F81C44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21,625,444.23</w:t>
            </w:r>
          </w:p>
        </w:tc>
        <w:tc>
          <w:tcPr>
            <w:tcW w:w="1525" w:type="dxa"/>
            <w:shd w:val="clear" w:color="auto" w:fill="FFFFFF" w:themeFill="background1"/>
            <w:vAlign w:val="center"/>
          </w:tcPr>
          <w:p w14:paraId="3053E0F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211,802,856.72</w:t>
            </w:r>
          </w:p>
        </w:tc>
      </w:tr>
      <w:tr w:rsidR="00632E5B" w14:paraId="7B0E6A3B" w14:textId="77777777" w:rsidTr="001F5A64">
        <w:trPr>
          <w:trHeight w:val="240"/>
          <w:jc w:val="center"/>
        </w:trPr>
        <w:tc>
          <w:tcPr>
            <w:tcW w:w="1377" w:type="dxa"/>
            <w:shd w:val="clear" w:color="auto" w:fill="FFFFFF" w:themeFill="background1"/>
            <w:vAlign w:val="center"/>
          </w:tcPr>
          <w:p w14:paraId="0165E9D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发出商品</w:t>
            </w:r>
          </w:p>
        </w:tc>
        <w:tc>
          <w:tcPr>
            <w:tcW w:w="1489" w:type="dxa"/>
            <w:shd w:val="clear" w:color="auto" w:fill="FFFFFF" w:themeFill="background1"/>
            <w:vAlign w:val="center"/>
          </w:tcPr>
          <w:p w14:paraId="3DC8ADC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1,463,429.44</w:t>
            </w:r>
          </w:p>
        </w:tc>
        <w:tc>
          <w:tcPr>
            <w:tcW w:w="1526" w:type="dxa"/>
            <w:shd w:val="clear" w:color="auto" w:fill="FFFFFF" w:themeFill="background1"/>
            <w:vAlign w:val="center"/>
          </w:tcPr>
          <w:p w14:paraId="56C0835D" w14:textId="77777777" w:rsidR="00632E5B" w:rsidRDefault="00632E5B">
            <w:pPr>
              <w:spacing w:line="240" w:lineRule="exact"/>
              <w:jc w:val="right"/>
              <w:rPr>
                <w:rFonts w:ascii="宋体" w:eastAsia="宋体" w:hAnsi="宋体" w:cs="宋体" w:hint="eastAsia"/>
                <w:sz w:val="18"/>
                <w:szCs w:val="18"/>
              </w:rPr>
            </w:pPr>
          </w:p>
        </w:tc>
        <w:tc>
          <w:tcPr>
            <w:tcW w:w="1559" w:type="dxa"/>
            <w:shd w:val="clear" w:color="auto" w:fill="FFFFFF" w:themeFill="background1"/>
            <w:vAlign w:val="center"/>
          </w:tcPr>
          <w:p w14:paraId="327C6FB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1,463,429.44</w:t>
            </w:r>
          </w:p>
        </w:tc>
        <w:tc>
          <w:tcPr>
            <w:tcW w:w="1559" w:type="dxa"/>
            <w:shd w:val="clear" w:color="auto" w:fill="FFFFFF" w:themeFill="background1"/>
            <w:vAlign w:val="center"/>
          </w:tcPr>
          <w:p w14:paraId="6AD571C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248,510,233.01</w:t>
            </w:r>
          </w:p>
        </w:tc>
        <w:tc>
          <w:tcPr>
            <w:tcW w:w="1418" w:type="dxa"/>
            <w:shd w:val="clear" w:color="auto" w:fill="FFFFFF" w:themeFill="background1"/>
            <w:vAlign w:val="center"/>
          </w:tcPr>
          <w:p w14:paraId="197BAE86" w14:textId="77777777" w:rsidR="00632E5B" w:rsidRDefault="00632E5B">
            <w:pPr>
              <w:spacing w:line="240" w:lineRule="exact"/>
              <w:jc w:val="right"/>
              <w:rPr>
                <w:rFonts w:ascii="宋体" w:eastAsia="宋体" w:hAnsi="宋体" w:cs="宋体" w:hint="eastAsia"/>
                <w:sz w:val="18"/>
                <w:szCs w:val="18"/>
              </w:rPr>
            </w:pPr>
          </w:p>
        </w:tc>
        <w:tc>
          <w:tcPr>
            <w:tcW w:w="1525" w:type="dxa"/>
            <w:shd w:val="clear" w:color="auto" w:fill="FFFFFF" w:themeFill="background1"/>
            <w:vAlign w:val="center"/>
          </w:tcPr>
          <w:p w14:paraId="38E317A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248,510,233.01</w:t>
            </w:r>
          </w:p>
        </w:tc>
      </w:tr>
      <w:tr w:rsidR="00632E5B" w14:paraId="110082A7" w14:textId="77777777" w:rsidTr="001F5A64">
        <w:trPr>
          <w:trHeight w:val="240"/>
          <w:jc w:val="center"/>
        </w:trPr>
        <w:tc>
          <w:tcPr>
            <w:tcW w:w="1377" w:type="dxa"/>
            <w:shd w:val="clear" w:color="auto" w:fill="FFFFFF" w:themeFill="background1"/>
            <w:vAlign w:val="center"/>
          </w:tcPr>
          <w:p w14:paraId="730E451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低值易耗品</w:t>
            </w:r>
          </w:p>
        </w:tc>
        <w:tc>
          <w:tcPr>
            <w:tcW w:w="1489" w:type="dxa"/>
            <w:shd w:val="clear" w:color="auto" w:fill="FFFFFF" w:themeFill="background1"/>
            <w:vAlign w:val="center"/>
          </w:tcPr>
          <w:p w14:paraId="057DF76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598,013.19</w:t>
            </w:r>
          </w:p>
        </w:tc>
        <w:tc>
          <w:tcPr>
            <w:tcW w:w="1526" w:type="dxa"/>
            <w:shd w:val="clear" w:color="auto" w:fill="FFFFFF" w:themeFill="background1"/>
            <w:vAlign w:val="center"/>
          </w:tcPr>
          <w:p w14:paraId="4C88CEC2" w14:textId="77777777" w:rsidR="00632E5B" w:rsidRDefault="00632E5B">
            <w:pPr>
              <w:spacing w:line="240" w:lineRule="exact"/>
              <w:jc w:val="right"/>
              <w:rPr>
                <w:rFonts w:ascii="宋体" w:eastAsia="宋体" w:hAnsi="宋体" w:cs="宋体" w:hint="eastAsia"/>
                <w:sz w:val="18"/>
                <w:szCs w:val="18"/>
              </w:rPr>
            </w:pPr>
          </w:p>
        </w:tc>
        <w:tc>
          <w:tcPr>
            <w:tcW w:w="1559" w:type="dxa"/>
            <w:shd w:val="clear" w:color="auto" w:fill="FFFFFF" w:themeFill="background1"/>
            <w:vAlign w:val="center"/>
          </w:tcPr>
          <w:p w14:paraId="3770C5F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598,013.19</w:t>
            </w:r>
          </w:p>
        </w:tc>
        <w:tc>
          <w:tcPr>
            <w:tcW w:w="1559" w:type="dxa"/>
            <w:shd w:val="clear" w:color="auto" w:fill="FFFFFF" w:themeFill="background1"/>
            <w:vAlign w:val="center"/>
          </w:tcPr>
          <w:p w14:paraId="7C6848C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682,701.43</w:t>
            </w:r>
          </w:p>
        </w:tc>
        <w:tc>
          <w:tcPr>
            <w:tcW w:w="1418" w:type="dxa"/>
            <w:shd w:val="clear" w:color="auto" w:fill="FFFFFF" w:themeFill="background1"/>
            <w:vAlign w:val="center"/>
          </w:tcPr>
          <w:p w14:paraId="47BC301D" w14:textId="77777777" w:rsidR="00632E5B" w:rsidRDefault="00632E5B">
            <w:pPr>
              <w:spacing w:line="240" w:lineRule="exact"/>
              <w:jc w:val="right"/>
              <w:rPr>
                <w:rFonts w:ascii="宋体" w:eastAsia="宋体" w:hAnsi="宋体" w:cs="宋体" w:hint="eastAsia"/>
                <w:sz w:val="18"/>
                <w:szCs w:val="18"/>
              </w:rPr>
            </w:pPr>
          </w:p>
        </w:tc>
        <w:tc>
          <w:tcPr>
            <w:tcW w:w="1525" w:type="dxa"/>
            <w:shd w:val="clear" w:color="auto" w:fill="FFFFFF" w:themeFill="background1"/>
            <w:vAlign w:val="center"/>
          </w:tcPr>
          <w:p w14:paraId="198EA94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682,701.43</w:t>
            </w:r>
          </w:p>
        </w:tc>
      </w:tr>
      <w:tr w:rsidR="00632E5B" w14:paraId="5E4A194A" w14:textId="77777777" w:rsidTr="001F5A64">
        <w:trPr>
          <w:trHeight w:val="240"/>
          <w:jc w:val="center"/>
        </w:trPr>
        <w:tc>
          <w:tcPr>
            <w:tcW w:w="1377" w:type="dxa"/>
            <w:shd w:val="clear" w:color="auto" w:fill="FFFFFF" w:themeFill="background1"/>
            <w:vAlign w:val="center"/>
          </w:tcPr>
          <w:p w14:paraId="5BA0F83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电站开发产品</w:t>
            </w:r>
          </w:p>
        </w:tc>
        <w:tc>
          <w:tcPr>
            <w:tcW w:w="1489" w:type="dxa"/>
            <w:shd w:val="clear" w:color="auto" w:fill="FFFFFF" w:themeFill="background1"/>
            <w:vAlign w:val="center"/>
          </w:tcPr>
          <w:p w14:paraId="495E3A2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219,944,553.89</w:t>
            </w:r>
          </w:p>
        </w:tc>
        <w:tc>
          <w:tcPr>
            <w:tcW w:w="1526" w:type="dxa"/>
            <w:shd w:val="clear" w:color="auto" w:fill="FFFFFF" w:themeFill="background1"/>
            <w:vAlign w:val="center"/>
          </w:tcPr>
          <w:p w14:paraId="3EE8E50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94,943,574.84</w:t>
            </w:r>
          </w:p>
        </w:tc>
        <w:tc>
          <w:tcPr>
            <w:tcW w:w="1559" w:type="dxa"/>
            <w:shd w:val="clear" w:color="auto" w:fill="FFFFFF" w:themeFill="background1"/>
            <w:vAlign w:val="center"/>
          </w:tcPr>
          <w:p w14:paraId="07A6D34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125,000,979.05</w:t>
            </w:r>
          </w:p>
        </w:tc>
        <w:tc>
          <w:tcPr>
            <w:tcW w:w="1559" w:type="dxa"/>
            <w:shd w:val="clear" w:color="auto" w:fill="FFFFFF" w:themeFill="background1"/>
            <w:vAlign w:val="center"/>
          </w:tcPr>
          <w:p w14:paraId="2603F1D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263,669,094.80</w:t>
            </w:r>
          </w:p>
        </w:tc>
        <w:tc>
          <w:tcPr>
            <w:tcW w:w="1418" w:type="dxa"/>
            <w:shd w:val="clear" w:color="auto" w:fill="FFFFFF" w:themeFill="background1"/>
            <w:vAlign w:val="center"/>
          </w:tcPr>
          <w:p w14:paraId="0061443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34,196,794.39</w:t>
            </w:r>
          </w:p>
        </w:tc>
        <w:tc>
          <w:tcPr>
            <w:tcW w:w="1525" w:type="dxa"/>
            <w:shd w:val="clear" w:color="auto" w:fill="FFFFFF" w:themeFill="background1"/>
            <w:vAlign w:val="center"/>
          </w:tcPr>
          <w:p w14:paraId="2E82783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229,472,300.41</w:t>
            </w:r>
          </w:p>
        </w:tc>
      </w:tr>
      <w:tr w:rsidR="00632E5B" w14:paraId="6818D8E4" w14:textId="77777777" w:rsidTr="001F5A64">
        <w:trPr>
          <w:trHeight w:val="240"/>
          <w:jc w:val="center"/>
        </w:trPr>
        <w:tc>
          <w:tcPr>
            <w:tcW w:w="1377" w:type="dxa"/>
            <w:shd w:val="clear" w:color="auto" w:fill="FFFFFF" w:themeFill="background1"/>
            <w:vAlign w:val="center"/>
          </w:tcPr>
          <w:p w14:paraId="5BB90F2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电站开发成本</w:t>
            </w:r>
          </w:p>
        </w:tc>
        <w:tc>
          <w:tcPr>
            <w:tcW w:w="1489" w:type="dxa"/>
            <w:shd w:val="clear" w:color="auto" w:fill="FFFFFF" w:themeFill="background1"/>
            <w:vAlign w:val="center"/>
          </w:tcPr>
          <w:p w14:paraId="65878B9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24,233,778.13</w:t>
            </w:r>
          </w:p>
        </w:tc>
        <w:tc>
          <w:tcPr>
            <w:tcW w:w="1526" w:type="dxa"/>
            <w:shd w:val="clear" w:color="auto" w:fill="FFFFFF" w:themeFill="background1"/>
            <w:vAlign w:val="center"/>
          </w:tcPr>
          <w:p w14:paraId="1C02BE5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21,896,147.73</w:t>
            </w:r>
          </w:p>
        </w:tc>
        <w:tc>
          <w:tcPr>
            <w:tcW w:w="1559" w:type="dxa"/>
            <w:shd w:val="clear" w:color="auto" w:fill="FFFFFF" w:themeFill="background1"/>
            <w:vAlign w:val="center"/>
          </w:tcPr>
          <w:p w14:paraId="304D59C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2,337,630.40</w:t>
            </w:r>
          </w:p>
        </w:tc>
        <w:tc>
          <w:tcPr>
            <w:tcW w:w="1559" w:type="dxa"/>
            <w:shd w:val="clear" w:color="auto" w:fill="FFFFFF" w:themeFill="background1"/>
            <w:vAlign w:val="center"/>
          </w:tcPr>
          <w:p w14:paraId="22796A3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36,022,871.10</w:t>
            </w:r>
          </w:p>
        </w:tc>
        <w:tc>
          <w:tcPr>
            <w:tcW w:w="1418" w:type="dxa"/>
            <w:shd w:val="clear" w:color="auto" w:fill="FFFFFF" w:themeFill="background1"/>
            <w:vAlign w:val="center"/>
          </w:tcPr>
          <w:p w14:paraId="26ED0B7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20,614,445.27</w:t>
            </w:r>
          </w:p>
        </w:tc>
        <w:tc>
          <w:tcPr>
            <w:tcW w:w="1525" w:type="dxa"/>
            <w:shd w:val="clear" w:color="auto" w:fill="FFFFFF" w:themeFill="background1"/>
            <w:vAlign w:val="center"/>
          </w:tcPr>
          <w:p w14:paraId="6EDE7AC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15,408,425.83</w:t>
            </w:r>
          </w:p>
        </w:tc>
      </w:tr>
      <w:tr w:rsidR="00632E5B" w14:paraId="3DCC3FE0" w14:textId="77777777" w:rsidTr="001F5A64">
        <w:trPr>
          <w:trHeight w:val="240"/>
          <w:jc w:val="center"/>
        </w:trPr>
        <w:tc>
          <w:tcPr>
            <w:tcW w:w="1377" w:type="dxa"/>
            <w:shd w:val="clear" w:color="auto" w:fill="FFFFFF" w:themeFill="background1"/>
            <w:vAlign w:val="center"/>
          </w:tcPr>
          <w:p w14:paraId="1C459073"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489" w:type="dxa"/>
            <w:shd w:val="clear" w:color="auto" w:fill="FFFFFF" w:themeFill="background1"/>
            <w:vAlign w:val="center"/>
          </w:tcPr>
          <w:p w14:paraId="33C35BA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566,871,294.28</w:t>
            </w:r>
          </w:p>
        </w:tc>
        <w:tc>
          <w:tcPr>
            <w:tcW w:w="1526" w:type="dxa"/>
            <w:shd w:val="clear" w:color="auto" w:fill="FFFFFF" w:themeFill="background1"/>
            <w:vAlign w:val="center"/>
          </w:tcPr>
          <w:p w14:paraId="689FE14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163,426,607.47</w:t>
            </w:r>
          </w:p>
        </w:tc>
        <w:tc>
          <w:tcPr>
            <w:tcW w:w="1559" w:type="dxa"/>
            <w:shd w:val="clear" w:color="auto" w:fill="FFFFFF" w:themeFill="background1"/>
            <w:vAlign w:val="center"/>
          </w:tcPr>
          <w:p w14:paraId="5891F87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403,444,686.81</w:t>
            </w:r>
          </w:p>
        </w:tc>
        <w:tc>
          <w:tcPr>
            <w:tcW w:w="1559" w:type="dxa"/>
            <w:shd w:val="clear" w:color="auto" w:fill="FFFFFF" w:themeFill="background1"/>
            <w:vAlign w:val="center"/>
          </w:tcPr>
          <w:p w14:paraId="72F5FCB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963,372,959.88</w:t>
            </w:r>
          </w:p>
        </w:tc>
        <w:tc>
          <w:tcPr>
            <w:tcW w:w="1418" w:type="dxa"/>
            <w:shd w:val="clear" w:color="auto" w:fill="FFFFFF" w:themeFill="background1"/>
            <w:vAlign w:val="center"/>
          </w:tcPr>
          <w:p w14:paraId="61ECF29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79,484,858.67</w:t>
            </w:r>
          </w:p>
        </w:tc>
        <w:tc>
          <w:tcPr>
            <w:tcW w:w="1525" w:type="dxa"/>
            <w:shd w:val="clear" w:color="auto" w:fill="FFFFFF" w:themeFill="background1"/>
            <w:vAlign w:val="center"/>
          </w:tcPr>
          <w:p w14:paraId="5A244DD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883,888,101.21</w:t>
            </w:r>
          </w:p>
        </w:tc>
      </w:tr>
    </w:tbl>
    <w:p w14:paraId="5FBB4260"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238" w:name="_Toc989127"/>
      <w:r>
        <w:rPr>
          <w:rFonts w:ascii="宋体" w:eastAsia="宋体" w:hAnsi="宋体" w:cs="宋体"/>
          <w:b/>
          <w:bCs/>
          <w:szCs w:val="21"/>
        </w:rPr>
        <w:lastRenderedPageBreak/>
        <w:t>（2） 存货跌价准备和合同履约成本减值准备</w:t>
      </w:r>
      <w:bookmarkEnd w:id="238"/>
    </w:p>
    <w:p w14:paraId="2DEE3A16"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00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377"/>
        <w:gridCol w:w="1489"/>
        <w:gridCol w:w="1559"/>
        <w:gridCol w:w="1195"/>
        <w:gridCol w:w="1499"/>
        <w:gridCol w:w="1417"/>
        <w:gridCol w:w="1559"/>
      </w:tblGrid>
      <w:tr w:rsidR="00632E5B" w14:paraId="1843D725" w14:textId="77777777" w:rsidTr="001F5A64">
        <w:trPr>
          <w:trHeight w:val="240"/>
          <w:jc w:val="center"/>
        </w:trPr>
        <w:tc>
          <w:tcPr>
            <w:tcW w:w="1377" w:type="dxa"/>
            <w:vMerge w:val="restart"/>
            <w:shd w:val="clear" w:color="auto" w:fill="FFFFFF" w:themeFill="background1"/>
            <w:vAlign w:val="center"/>
          </w:tcPr>
          <w:p w14:paraId="2737365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489" w:type="dxa"/>
            <w:vMerge w:val="restart"/>
            <w:shd w:val="clear" w:color="auto" w:fill="FFFFFF" w:themeFill="background1"/>
            <w:vAlign w:val="center"/>
          </w:tcPr>
          <w:p w14:paraId="0C2C3AA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2754" w:type="dxa"/>
            <w:gridSpan w:val="2"/>
            <w:shd w:val="clear" w:color="auto" w:fill="FFFFFF" w:themeFill="background1"/>
            <w:vAlign w:val="center"/>
          </w:tcPr>
          <w:p w14:paraId="17D25E4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本期增加金额</w:t>
            </w:r>
          </w:p>
        </w:tc>
        <w:tc>
          <w:tcPr>
            <w:tcW w:w="2916" w:type="dxa"/>
            <w:gridSpan w:val="2"/>
            <w:shd w:val="clear" w:color="auto" w:fill="FFFFFF" w:themeFill="background1"/>
            <w:vAlign w:val="center"/>
          </w:tcPr>
          <w:p w14:paraId="7C7876B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本期减少金额</w:t>
            </w:r>
          </w:p>
        </w:tc>
        <w:tc>
          <w:tcPr>
            <w:tcW w:w="1559" w:type="dxa"/>
            <w:vMerge w:val="restart"/>
            <w:shd w:val="clear" w:color="auto" w:fill="FFFFFF" w:themeFill="background1"/>
            <w:vAlign w:val="center"/>
          </w:tcPr>
          <w:p w14:paraId="346EC33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632E5B" w14:paraId="2D078108" w14:textId="77777777" w:rsidTr="001F5A64">
        <w:trPr>
          <w:trHeight w:val="240"/>
          <w:jc w:val="center"/>
        </w:trPr>
        <w:tc>
          <w:tcPr>
            <w:tcW w:w="1377" w:type="dxa"/>
            <w:vMerge/>
            <w:shd w:val="clear" w:color="auto" w:fill="FFFFFF" w:themeFill="background1"/>
            <w:vAlign w:val="center"/>
          </w:tcPr>
          <w:p w14:paraId="7DA168D3" w14:textId="77777777" w:rsidR="00632E5B" w:rsidRDefault="00632E5B"/>
        </w:tc>
        <w:tc>
          <w:tcPr>
            <w:tcW w:w="1489" w:type="dxa"/>
            <w:vMerge/>
            <w:shd w:val="clear" w:color="auto" w:fill="FFFFFF" w:themeFill="background1"/>
            <w:vAlign w:val="center"/>
          </w:tcPr>
          <w:p w14:paraId="343F644F" w14:textId="77777777" w:rsidR="00632E5B" w:rsidRDefault="00632E5B"/>
        </w:tc>
        <w:tc>
          <w:tcPr>
            <w:tcW w:w="1559" w:type="dxa"/>
            <w:shd w:val="clear" w:color="auto" w:fill="FFFFFF" w:themeFill="background1"/>
            <w:vAlign w:val="center"/>
          </w:tcPr>
          <w:p w14:paraId="7EF7F5B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w:t>
            </w:r>
          </w:p>
        </w:tc>
        <w:tc>
          <w:tcPr>
            <w:tcW w:w="1195" w:type="dxa"/>
            <w:shd w:val="clear" w:color="auto" w:fill="FFFFFF" w:themeFill="background1"/>
            <w:vAlign w:val="center"/>
          </w:tcPr>
          <w:p w14:paraId="0999CD6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1499" w:type="dxa"/>
            <w:shd w:val="clear" w:color="auto" w:fill="FFFFFF" w:themeFill="background1"/>
            <w:vAlign w:val="center"/>
          </w:tcPr>
          <w:p w14:paraId="6C6A18D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转回或转销</w:t>
            </w:r>
          </w:p>
        </w:tc>
        <w:tc>
          <w:tcPr>
            <w:tcW w:w="1417" w:type="dxa"/>
            <w:shd w:val="clear" w:color="auto" w:fill="FFFFFF" w:themeFill="background1"/>
            <w:vAlign w:val="center"/>
          </w:tcPr>
          <w:p w14:paraId="3D491A2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1559" w:type="dxa"/>
            <w:vMerge/>
            <w:shd w:val="clear" w:color="auto" w:fill="FFFFFF" w:themeFill="background1"/>
            <w:vAlign w:val="center"/>
          </w:tcPr>
          <w:p w14:paraId="387CF674" w14:textId="77777777" w:rsidR="00632E5B" w:rsidRDefault="00632E5B"/>
        </w:tc>
      </w:tr>
      <w:tr w:rsidR="00632E5B" w14:paraId="662A789A" w14:textId="77777777" w:rsidTr="001F5A64">
        <w:trPr>
          <w:trHeight w:val="240"/>
          <w:jc w:val="center"/>
        </w:trPr>
        <w:tc>
          <w:tcPr>
            <w:tcW w:w="1377" w:type="dxa"/>
            <w:shd w:val="clear" w:color="auto" w:fill="FFFFFF" w:themeFill="background1"/>
            <w:vAlign w:val="center"/>
          </w:tcPr>
          <w:p w14:paraId="13EDCEED"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原材料</w:t>
            </w:r>
          </w:p>
        </w:tc>
        <w:tc>
          <w:tcPr>
            <w:tcW w:w="1489" w:type="dxa"/>
            <w:shd w:val="clear" w:color="auto" w:fill="FFFFFF" w:themeFill="background1"/>
            <w:vAlign w:val="center"/>
          </w:tcPr>
          <w:p w14:paraId="2528045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2,656,604.73</w:t>
            </w:r>
          </w:p>
        </w:tc>
        <w:tc>
          <w:tcPr>
            <w:tcW w:w="1559" w:type="dxa"/>
            <w:shd w:val="clear" w:color="auto" w:fill="FFFFFF" w:themeFill="background1"/>
            <w:vAlign w:val="center"/>
          </w:tcPr>
          <w:p w14:paraId="0B3C01F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19,494,923.45</w:t>
            </w:r>
          </w:p>
        </w:tc>
        <w:tc>
          <w:tcPr>
            <w:tcW w:w="1195" w:type="dxa"/>
            <w:shd w:val="clear" w:color="auto" w:fill="FFFFFF" w:themeFill="background1"/>
            <w:vAlign w:val="center"/>
          </w:tcPr>
          <w:p w14:paraId="1824DBB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585,462.37</w:t>
            </w:r>
          </w:p>
        </w:tc>
        <w:tc>
          <w:tcPr>
            <w:tcW w:w="1499" w:type="dxa"/>
            <w:shd w:val="clear" w:color="auto" w:fill="FFFFFF" w:themeFill="background1"/>
            <w:vAlign w:val="center"/>
          </w:tcPr>
          <w:p w14:paraId="590ECE8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1,197,055.55</w:t>
            </w:r>
          </w:p>
        </w:tc>
        <w:tc>
          <w:tcPr>
            <w:tcW w:w="1417" w:type="dxa"/>
            <w:shd w:val="clear" w:color="auto" w:fill="FFFFFF" w:themeFill="background1"/>
            <w:vAlign w:val="center"/>
          </w:tcPr>
          <w:p w14:paraId="28160E5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1,367,556.91</w:t>
            </w:r>
          </w:p>
        </w:tc>
        <w:tc>
          <w:tcPr>
            <w:tcW w:w="1559" w:type="dxa"/>
            <w:shd w:val="clear" w:color="auto" w:fill="FFFFFF" w:themeFill="background1"/>
            <w:vAlign w:val="center"/>
          </w:tcPr>
          <w:p w14:paraId="7130549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20,172,378.11</w:t>
            </w:r>
          </w:p>
        </w:tc>
      </w:tr>
      <w:tr w:rsidR="00632E5B" w14:paraId="120A5F2D" w14:textId="77777777" w:rsidTr="001F5A64">
        <w:trPr>
          <w:trHeight w:val="240"/>
          <w:jc w:val="center"/>
        </w:trPr>
        <w:tc>
          <w:tcPr>
            <w:tcW w:w="1377" w:type="dxa"/>
            <w:shd w:val="clear" w:color="auto" w:fill="FFFFFF" w:themeFill="background1"/>
            <w:vAlign w:val="center"/>
          </w:tcPr>
          <w:p w14:paraId="06619214"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在产品</w:t>
            </w:r>
          </w:p>
        </w:tc>
        <w:tc>
          <w:tcPr>
            <w:tcW w:w="1489" w:type="dxa"/>
            <w:shd w:val="clear" w:color="auto" w:fill="FFFFFF" w:themeFill="background1"/>
            <w:vAlign w:val="center"/>
          </w:tcPr>
          <w:p w14:paraId="682DAC7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391,570.05</w:t>
            </w:r>
          </w:p>
        </w:tc>
        <w:tc>
          <w:tcPr>
            <w:tcW w:w="1559" w:type="dxa"/>
            <w:shd w:val="clear" w:color="auto" w:fill="FFFFFF" w:themeFill="background1"/>
            <w:vAlign w:val="center"/>
          </w:tcPr>
          <w:p w14:paraId="3B3ED2C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1,243,062.18</w:t>
            </w:r>
          </w:p>
        </w:tc>
        <w:tc>
          <w:tcPr>
            <w:tcW w:w="1195" w:type="dxa"/>
            <w:shd w:val="clear" w:color="auto" w:fill="FFFFFF" w:themeFill="background1"/>
            <w:vAlign w:val="center"/>
          </w:tcPr>
          <w:p w14:paraId="742841C7" w14:textId="77777777" w:rsidR="00632E5B" w:rsidRDefault="00632E5B">
            <w:pPr>
              <w:spacing w:line="240" w:lineRule="exact"/>
              <w:jc w:val="right"/>
              <w:rPr>
                <w:rFonts w:ascii="宋体" w:eastAsia="宋体" w:hAnsi="宋体" w:cs="宋体" w:hint="eastAsia"/>
                <w:sz w:val="18"/>
                <w:szCs w:val="18"/>
              </w:rPr>
            </w:pPr>
          </w:p>
        </w:tc>
        <w:tc>
          <w:tcPr>
            <w:tcW w:w="1499" w:type="dxa"/>
            <w:shd w:val="clear" w:color="auto" w:fill="FFFFFF" w:themeFill="background1"/>
            <w:vAlign w:val="center"/>
          </w:tcPr>
          <w:p w14:paraId="47705F5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391,570.05</w:t>
            </w:r>
          </w:p>
        </w:tc>
        <w:tc>
          <w:tcPr>
            <w:tcW w:w="1417" w:type="dxa"/>
            <w:shd w:val="clear" w:color="auto" w:fill="FFFFFF" w:themeFill="background1"/>
            <w:vAlign w:val="center"/>
          </w:tcPr>
          <w:p w14:paraId="3D0548D2" w14:textId="77777777" w:rsidR="00632E5B" w:rsidRDefault="00632E5B">
            <w:pPr>
              <w:spacing w:line="240" w:lineRule="exact"/>
              <w:jc w:val="right"/>
              <w:rPr>
                <w:rFonts w:ascii="宋体" w:eastAsia="宋体" w:hAnsi="宋体" w:cs="宋体" w:hint="eastAsia"/>
                <w:sz w:val="18"/>
                <w:szCs w:val="18"/>
              </w:rPr>
            </w:pPr>
          </w:p>
        </w:tc>
        <w:tc>
          <w:tcPr>
            <w:tcW w:w="1559" w:type="dxa"/>
            <w:shd w:val="clear" w:color="auto" w:fill="FFFFFF" w:themeFill="background1"/>
            <w:vAlign w:val="center"/>
          </w:tcPr>
          <w:p w14:paraId="0EC7621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1,243,062.18</w:t>
            </w:r>
          </w:p>
        </w:tc>
      </w:tr>
      <w:tr w:rsidR="00632E5B" w14:paraId="10982A30" w14:textId="77777777" w:rsidTr="001F5A64">
        <w:trPr>
          <w:trHeight w:val="240"/>
          <w:jc w:val="center"/>
        </w:trPr>
        <w:tc>
          <w:tcPr>
            <w:tcW w:w="1377" w:type="dxa"/>
            <w:shd w:val="clear" w:color="auto" w:fill="FFFFFF" w:themeFill="background1"/>
            <w:vAlign w:val="center"/>
          </w:tcPr>
          <w:p w14:paraId="32F206E2"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库存商品</w:t>
            </w:r>
          </w:p>
        </w:tc>
        <w:tc>
          <w:tcPr>
            <w:tcW w:w="1489" w:type="dxa"/>
            <w:shd w:val="clear" w:color="auto" w:fill="FFFFFF" w:themeFill="background1"/>
            <w:vAlign w:val="center"/>
          </w:tcPr>
          <w:p w14:paraId="09FED52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21,625,444.23</w:t>
            </w:r>
          </w:p>
        </w:tc>
        <w:tc>
          <w:tcPr>
            <w:tcW w:w="1559" w:type="dxa"/>
            <w:shd w:val="clear" w:color="auto" w:fill="FFFFFF" w:themeFill="background1"/>
            <w:vAlign w:val="center"/>
          </w:tcPr>
          <w:p w14:paraId="10443D3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14,591,731.23</w:t>
            </w:r>
          </w:p>
        </w:tc>
        <w:tc>
          <w:tcPr>
            <w:tcW w:w="1195" w:type="dxa"/>
            <w:shd w:val="clear" w:color="auto" w:fill="FFFFFF" w:themeFill="background1"/>
            <w:vAlign w:val="center"/>
          </w:tcPr>
          <w:p w14:paraId="24EC5C9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11,195.79</w:t>
            </w:r>
          </w:p>
        </w:tc>
        <w:tc>
          <w:tcPr>
            <w:tcW w:w="1499" w:type="dxa"/>
            <w:shd w:val="clear" w:color="auto" w:fill="FFFFFF" w:themeFill="background1"/>
            <w:vAlign w:val="center"/>
          </w:tcPr>
          <w:p w14:paraId="1AA8D3E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9,954,722.14</w:t>
            </w:r>
          </w:p>
        </w:tc>
        <w:tc>
          <w:tcPr>
            <w:tcW w:w="1417" w:type="dxa"/>
            <w:shd w:val="clear" w:color="auto" w:fill="FFFFFF" w:themeFill="background1"/>
            <w:vAlign w:val="center"/>
          </w:tcPr>
          <w:p w14:paraId="59D58CC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1,102,204.48</w:t>
            </w:r>
          </w:p>
        </w:tc>
        <w:tc>
          <w:tcPr>
            <w:tcW w:w="1559" w:type="dxa"/>
            <w:shd w:val="clear" w:color="auto" w:fill="FFFFFF" w:themeFill="background1"/>
            <w:vAlign w:val="center"/>
          </w:tcPr>
          <w:p w14:paraId="7087461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25,171,444.61</w:t>
            </w:r>
          </w:p>
        </w:tc>
      </w:tr>
      <w:tr w:rsidR="00632E5B" w14:paraId="5B0D7DA9" w14:textId="77777777" w:rsidTr="001F5A64">
        <w:trPr>
          <w:trHeight w:val="240"/>
          <w:jc w:val="center"/>
        </w:trPr>
        <w:tc>
          <w:tcPr>
            <w:tcW w:w="1377" w:type="dxa"/>
            <w:shd w:val="clear" w:color="auto" w:fill="FFFFFF" w:themeFill="background1"/>
            <w:vAlign w:val="center"/>
          </w:tcPr>
          <w:p w14:paraId="38971A7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低值易耗品</w:t>
            </w:r>
          </w:p>
        </w:tc>
        <w:tc>
          <w:tcPr>
            <w:tcW w:w="1489" w:type="dxa"/>
            <w:shd w:val="clear" w:color="auto" w:fill="FFFFFF" w:themeFill="background1"/>
            <w:vAlign w:val="center"/>
          </w:tcPr>
          <w:p w14:paraId="17DF8627" w14:textId="77777777" w:rsidR="00632E5B" w:rsidRDefault="00632E5B">
            <w:pPr>
              <w:spacing w:line="240" w:lineRule="exact"/>
              <w:jc w:val="right"/>
              <w:rPr>
                <w:rFonts w:ascii="宋体" w:eastAsia="宋体" w:hAnsi="宋体" w:cs="宋体" w:hint="eastAsia"/>
                <w:sz w:val="18"/>
                <w:szCs w:val="18"/>
              </w:rPr>
            </w:pPr>
          </w:p>
        </w:tc>
        <w:tc>
          <w:tcPr>
            <w:tcW w:w="1559" w:type="dxa"/>
            <w:shd w:val="clear" w:color="auto" w:fill="FFFFFF" w:themeFill="background1"/>
            <w:vAlign w:val="center"/>
          </w:tcPr>
          <w:p w14:paraId="752A32B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4,137.37</w:t>
            </w:r>
          </w:p>
        </w:tc>
        <w:tc>
          <w:tcPr>
            <w:tcW w:w="1195" w:type="dxa"/>
            <w:shd w:val="clear" w:color="auto" w:fill="FFFFFF" w:themeFill="background1"/>
            <w:vAlign w:val="center"/>
          </w:tcPr>
          <w:p w14:paraId="6EE9CC82" w14:textId="77777777" w:rsidR="00632E5B" w:rsidRDefault="00632E5B">
            <w:pPr>
              <w:spacing w:line="240" w:lineRule="exact"/>
              <w:jc w:val="right"/>
              <w:rPr>
                <w:rFonts w:ascii="宋体" w:eastAsia="宋体" w:hAnsi="宋体" w:cs="宋体" w:hint="eastAsia"/>
                <w:sz w:val="18"/>
                <w:szCs w:val="18"/>
              </w:rPr>
            </w:pPr>
          </w:p>
        </w:tc>
        <w:tc>
          <w:tcPr>
            <w:tcW w:w="1499" w:type="dxa"/>
            <w:shd w:val="clear" w:color="auto" w:fill="FFFFFF" w:themeFill="background1"/>
            <w:vAlign w:val="center"/>
          </w:tcPr>
          <w:p w14:paraId="1A5792A3" w14:textId="77777777" w:rsidR="00632E5B" w:rsidRDefault="00632E5B">
            <w:pPr>
              <w:spacing w:line="240" w:lineRule="exact"/>
              <w:jc w:val="right"/>
              <w:rPr>
                <w:rFonts w:ascii="宋体" w:eastAsia="宋体" w:hAnsi="宋体" w:cs="宋体" w:hint="eastAsia"/>
                <w:sz w:val="18"/>
                <w:szCs w:val="18"/>
              </w:rPr>
            </w:pPr>
          </w:p>
        </w:tc>
        <w:tc>
          <w:tcPr>
            <w:tcW w:w="1417" w:type="dxa"/>
            <w:shd w:val="clear" w:color="auto" w:fill="FFFFFF" w:themeFill="background1"/>
            <w:vAlign w:val="center"/>
          </w:tcPr>
          <w:p w14:paraId="2CA130F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4,137.37</w:t>
            </w:r>
          </w:p>
        </w:tc>
        <w:tc>
          <w:tcPr>
            <w:tcW w:w="1559" w:type="dxa"/>
            <w:shd w:val="clear" w:color="auto" w:fill="FFFFFF" w:themeFill="background1"/>
            <w:vAlign w:val="center"/>
          </w:tcPr>
          <w:p w14:paraId="3EE10F1C" w14:textId="77777777" w:rsidR="00632E5B" w:rsidRDefault="00632E5B">
            <w:pPr>
              <w:spacing w:line="240" w:lineRule="exact"/>
              <w:jc w:val="right"/>
              <w:rPr>
                <w:rFonts w:ascii="宋体" w:eastAsia="宋体" w:hAnsi="宋体" w:cs="宋体" w:hint="eastAsia"/>
                <w:sz w:val="18"/>
                <w:szCs w:val="18"/>
              </w:rPr>
            </w:pPr>
          </w:p>
        </w:tc>
      </w:tr>
      <w:tr w:rsidR="00632E5B" w14:paraId="633504F3" w14:textId="77777777" w:rsidTr="001F5A64">
        <w:trPr>
          <w:trHeight w:val="240"/>
          <w:jc w:val="center"/>
        </w:trPr>
        <w:tc>
          <w:tcPr>
            <w:tcW w:w="1377" w:type="dxa"/>
            <w:shd w:val="clear" w:color="auto" w:fill="FFFFFF" w:themeFill="background1"/>
            <w:vAlign w:val="center"/>
          </w:tcPr>
          <w:p w14:paraId="2F9AAA1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电站开发产品</w:t>
            </w:r>
          </w:p>
        </w:tc>
        <w:tc>
          <w:tcPr>
            <w:tcW w:w="1489" w:type="dxa"/>
            <w:shd w:val="clear" w:color="auto" w:fill="FFFFFF" w:themeFill="background1"/>
            <w:vAlign w:val="center"/>
          </w:tcPr>
          <w:p w14:paraId="5B7C0B3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34,196,794.39</w:t>
            </w:r>
          </w:p>
        </w:tc>
        <w:tc>
          <w:tcPr>
            <w:tcW w:w="1559" w:type="dxa"/>
            <w:shd w:val="clear" w:color="auto" w:fill="FFFFFF" w:themeFill="background1"/>
            <w:vAlign w:val="center"/>
          </w:tcPr>
          <w:p w14:paraId="40C66B0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60,746,780.45</w:t>
            </w:r>
          </w:p>
        </w:tc>
        <w:tc>
          <w:tcPr>
            <w:tcW w:w="1195" w:type="dxa"/>
            <w:shd w:val="clear" w:color="auto" w:fill="FFFFFF" w:themeFill="background1"/>
            <w:vAlign w:val="center"/>
          </w:tcPr>
          <w:p w14:paraId="17041082" w14:textId="77777777" w:rsidR="00632E5B" w:rsidRDefault="00632E5B">
            <w:pPr>
              <w:spacing w:line="240" w:lineRule="exact"/>
              <w:jc w:val="right"/>
              <w:rPr>
                <w:rFonts w:ascii="宋体" w:eastAsia="宋体" w:hAnsi="宋体" w:cs="宋体" w:hint="eastAsia"/>
                <w:sz w:val="18"/>
                <w:szCs w:val="18"/>
              </w:rPr>
            </w:pPr>
          </w:p>
        </w:tc>
        <w:tc>
          <w:tcPr>
            <w:tcW w:w="1499" w:type="dxa"/>
            <w:shd w:val="clear" w:color="auto" w:fill="FFFFFF" w:themeFill="background1"/>
            <w:vAlign w:val="center"/>
          </w:tcPr>
          <w:p w14:paraId="11FA0A78" w14:textId="77777777" w:rsidR="00632E5B" w:rsidRDefault="00632E5B">
            <w:pPr>
              <w:spacing w:line="240" w:lineRule="exact"/>
              <w:jc w:val="right"/>
              <w:rPr>
                <w:rFonts w:ascii="宋体" w:eastAsia="宋体" w:hAnsi="宋体" w:cs="宋体" w:hint="eastAsia"/>
                <w:sz w:val="18"/>
                <w:szCs w:val="18"/>
              </w:rPr>
            </w:pPr>
          </w:p>
        </w:tc>
        <w:tc>
          <w:tcPr>
            <w:tcW w:w="1417" w:type="dxa"/>
            <w:shd w:val="clear" w:color="auto" w:fill="FFFFFF" w:themeFill="background1"/>
            <w:vAlign w:val="center"/>
          </w:tcPr>
          <w:p w14:paraId="40705CC2" w14:textId="77777777" w:rsidR="00632E5B" w:rsidRDefault="00632E5B">
            <w:pPr>
              <w:spacing w:line="240" w:lineRule="exact"/>
              <w:jc w:val="right"/>
              <w:rPr>
                <w:rFonts w:ascii="宋体" w:eastAsia="宋体" w:hAnsi="宋体" w:cs="宋体" w:hint="eastAsia"/>
                <w:sz w:val="18"/>
                <w:szCs w:val="18"/>
              </w:rPr>
            </w:pPr>
          </w:p>
        </w:tc>
        <w:tc>
          <w:tcPr>
            <w:tcW w:w="1559" w:type="dxa"/>
            <w:shd w:val="clear" w:color="auto" w:fill="FFFFFF" w:themeFill="background1"/>
            <w:vAlign w:val="center"/>
          </w:tcPr>
          <w:p w14:paraId="31A35D0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94,943,574.84</w:t>
            </w:r>
          </w:p>
        </w:tc>
      </w:tr>
      <w:tr w:rsidR="00632E5B" w14:paraId="4BA5BE1F" w14:textId="77777777" w:rsidTr="001F5A64">
        <w:trPr>
          <w:trHeight w:val="240"/>
          <w:jc w:val="center"/>
        </w:trPr>
        <w:tc>
          <w:tcPr>
            <w:tcW w:w="1377" w:type="dxa"/>
            <w:shd w:val="clear" w:color="auto" w:fill="FFFFFF" w:themeFill="background1"/>
            <w:vAlign w:val="center"/>
          </w:tcPr>
          <w:p w14:paraId="040BC09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电站开发成本</w:t>
            </w:r>
          </w:p>
        </w:tc>
        <w:tc>
          <w:tcPr>
            <w:tcW w:w="1489" w:type="dxa"/>
            <w:shd w:val="clear" w:color="auto" w:fill="FFFFFF" w:themeFill="background1"/>
            <w:vAlign w:val="center"/>
          </w:tcPr>
          <w:p w14:paraId="51E7F9F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20,614,445.27</w:t>
            </w:r>
          </w:p>
        </w:tc>
        <w:tc>
          <w:tcPr>
            <w:tcW w:w="1559" w:type="dxa"/>
            <w:shd w:val="clear" w:color="auto" w:fill="FFFFFF" w:themeFill="background1"/>
            <w:vAlign w:val="center"/>
          </w:tcPr>
          <w:p w14:paraId="4B6D001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1,224,429.77</w:t>
            </w:r>
          </w:p>
        </w:tc>
        <w:tc>
          <w:tcPr>
            <w:tcW w:w="1195" w:type="dxa"/>
            <w:shd w:val="clear" w:color="auto" w:fill="FFFFFF" w:themeFill="background1"/>
            <w:vAlign w:val="center"/>
          </w:tcPr>
          <w:p w14:paraId="2FA8AB1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57,272.69</w:t>
            </w:r>
          </w:p>
        </w:tc>
        <w:tc>
          <w:tcPr>
            <w:tcW w:w="1499" w:type="dxa"/>
            <w:shd w:val="clear" w:color="auto" w:fill="FFFFFF" w:themeFill="background1"/>
            <w:vAlign w:val="center"/>
          </w:tcPr>
          <w:p w14:paraId="74B8C1E2" w14:textId="77777777" w:rsidR="00632E5B" w:rsidRDefault="00632E5B">
            <w:pPr>
              <w:spacing w:line="240" w:lineRule="exact"/>
              <w:jc w:val="right"/>
              <w:rPr>
                <w:rFonts w:ascii="宋体" w:eastAsia="宋体" w:hAnsi="宋体" w:cs="宋体" w:hint="eastAsia"/>
                <w:sz w:val="18"/>
                <w:szCs w:val="18"/>
              </w:rPr>
            </w:pPr>
          </w:p>
        </w:tc>
        <w:tc>
          <w:tcPr>
            <w:tcW w:w="1417" w:type="dxa"/>
            <w:shd w:val="clear" w:color="auto" w:fill="FFFFFF" w:themeFill="background1"/>
            <w:vAlign w:val="center"/>
          </w:tcPr>
          <w:p w14:paraId="6EF2F934" w14:textId="77777777" w:rsidR="00632E5B" w:rsidRDefault="00632E5B">
            <w:pPr>
              <w:spacing w:line="240" w:lineRule="exact"/>
              <w:jc w:val="right"/>
              <w:rPr>
                <w:rFonts w:ascii="宋体" w:eastAsia="宋体" w:hAnsi="宋体" w:cs="宋体" w:hint="eastAsia"/>
                <w:sz w:val="18"/>
                <w:szCs w:val="18"/>
              </w:rPr>
            </w:pPr>
          </w:p>
        </w:tc>
        <w:tc>
          <w:tcPr>
            <w:tcW w:w="1559" w:type="dxa"/>
            <w:shd w:val="clear" w:color="auto" w:fill="FFFFFF" w:themeFill="background1"/>
            <w:vAlign w:val="center"/>
          </w:tcPr>
          <w:p w14:paraId="7A4F34B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21,896,147.73</w:t>
            </w:r>
          </w:p>
        </w:tc>
      </w:tr>
      <w:tr w:rsidR="00632E5B" w14:paraId="3A8B471D" w14:textId="77777777" w:rsidTr="001F5A64">
        <w:trPr>
          <w:trHeight w:val="240"/>
          <w:jc w:val="center"/>
        </w:trPr>
        <w:tc>
          <w:tcPr>
            <w:tcW w:w="1377" w:type="dxa"/>
            <w:shd w:val="clear" w:color="auto" w:fill="FFFFFF" w:themeFill="background1"/>
            <w:vAlign w:val="center"/>
          </w:tcPr>
          <w:p w14:paraId="307B9849"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489" w:type="dxa"/>
            <w:shd w:val="clear" w:color="auto" w:fill="FFFFFF" w:themeFill="background1"/>
            <w:vAlign w:val="center"/>
          </w:tcPr>
          <w:p w14:paraId="108DE70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79,484,858.67</w:t>
            </w:r>
          </w:p>
        </w:tc>
        <w:tc>
          <w:tcPr>
            <w:tcW w:w="1559" w:type="dxa"/>
            <w:shd w:val="clear" w:color="auto" w:fill="FFFFFF" w:themeFill="background1"/>
            <w:vAlign w:val="center"/>
          </w:tcPr>
          <w:p w14:paraId="2EE4244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97,305,064.45</w:t>
            </w:r>
          </w:p>
        </w:tc>
        <w:tc>
          <w:tcPr>
            <w:tcW w:w="1195" w:type="dxa"/>
            <w:shd w:val="clear" w:color="auto" w:fill="FFFFFF" w:themeFill="background1"/>
            <w:vAlign w:val="center"/>
          </w:tcPr>
          <w:p w14:paraId="0151590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653,930.85</w:t>
            </w:r>
          </w:p>
        </w:tc>
        <w:tc>
          <w:tcPr>
            <w:tcW w:w="1499" w:type="dxa"/>
            <w:shd w:val="clear" w:color="auto" w:fill="FFFFFF" w:themeFill="background1"/>
            <w:vAlign w:val="center"/>
          </w:tcPr>
          <w:p w14:paraId="28D0CD6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11,543,347.74</w:t>
            </w:r>
          </w:p>
        </w:tc>
        <w:tc>
          <w:tcPr>
            <w:tcW w:w="1417" w:type="dxa"/>
            <w:shd w:val="clear" w:color="auto" w:fill="FFFFFF" w:themeFill="background1"/>
            <w:vAlign w:val="center"/>
          </w:tcPr>
          <w:p w14:paraId="6D642E1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2,473,898.76</w:t>
            </w:r>
          </w:p>
        </w:tc>
        <w:tc>
          <w:tcPr>
            <w:tcW w:w="1559" w:type="dxa"/>
            <w:shd w:val="clear" w:color="auto" w:fill="FFFFFF" w:themeFill="background1"/>
            <w:vAlign w:val="center"/>
          </w:tcPr>
          <w:p w14:paraId="374A5AD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163,426,607.47</w:t>
            </w:r>
          </w:p>
        </w:tc>
      </w:tr>
    </w:tbl>
    <w:p w14:paraId="6E615AA4" w14:textId="77777777" w:rsidR="00632E5B" w:rsidRDefault="00107901">
      <w:pPr>
        <w:pStyle w:val="3"/>
        <w:spacing w:line="280" w:lineRule="exact"/>
        <w:jc w:val="left"/>
        <w:rPr>
          <w:rFonts w:ascii="宋体" w:hAnsi="宋体" w:cs="宋体" w:hint="eastAsia"/>
          <w:b/>
          <w:bCs/>
        </w:rPr>
      </w:pPr>
      <w:bookmarkStart w:id="239" w:name="_Toc989128"/>
      <w:r>
        <w:rPr>
          <w:rFonts w:ascii="宋体" w:hAnsi="宋体" w:cs="宋体"/>
          <w:b/>
          <w:bCs/>
        </w:rPr>
        <w:t>9、其他流动资产</w:t>
      </w:r>
      <w:bookmarkEnd w:id="239"/>
    </w:p>
    <w:p w14:paraId="27DF35D3"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62752DC9" w14:textId="77777777" w:rsidTr="001F5A64">
        <w:trPr>
          <w:trHeight w:val="240"/>
        </w:trPr>
        <w:tc>
          <w:tcPr>
            <w:tcW w:w="3213" w:type="dxa"/>
            <w:shd w:val="clear" w:color="auto" w:fill="FFFFFF" w:themeFill="background1"/>
            <w:vAlign w:val="center"/>
          </w:tcPr>
          <w:p w14:paraId="3920970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324EA3F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auto" w:fill="FFFFFF" w:themeFill="background1"/>
            <w:vAlign w:val="center"/>
          </w:tcPr>
          <w:p w14:paraId="0DF3F11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632E5B" w14:paraId="2FB28E1E" w14:textId="77777777" w:rsidTr="001F5A64">
        <w:trPr>
          <w:trHeight w:val="240"/>
        </w:trPr>
        <w:tc>
          <w:tcPr>
            <w:tcW w:w="3213" w:type="dxa"/>
            <w:shd w:val="clear" w:color="auto" w:fill="FFFFFF" w:themeFill="background1"/>
            <w:vAlign w:val="center"/>
          </w:tcPr>
          <w:p w14:paraId="446A72D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待抵扣进项税</w:t>
            </w:r>
          </w:p>
        </w:tc>
        <w:tc>
          <w:tcPr>
            <w:tcW w:w="3213" w:type="dxa"/>
            <w:shd w:val="clear" w:color="auto" w:fill="FFFFFF" w:themeFill="background1"/>
            <w:vAlign w:val="center"/>
          </w:tcPr>
          <w:p w14:paraId="42C3FDB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17,199,208.45</w:t>
            </w:r>
          </w:p>
        </w:tc>
        <w:tc>
          <w:tcPr>
            <w:tcW w:w="3213" w:type="dxa"/>
            <w:shd w:val="clear" w:color="auto" w:fill="FFFFFF" w:themeFill="background1"/>
            <w:vAlign w:val="center"/>
          </w:tcPr>
          <w:p w14:paraId="73E83E7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68,363,562.76</w:t>
            </w:r>
          </w:p>
        </w:tc>
      </w:tr>
      <w:tr w:rsidR="00632E5B" w14:paraId="72E2BE5B" w14:textId="77777777" w:rsidTr="001F5A64">
        <w:trPr>
          <w:trHeight w:val="240"/>
        </w:trPr>
        <w:tc>
          <w:tcPr>
            <w:tcW w:w="3213" w:type="dxa"/>
            <w:shd w:val="clear" w:color="auto" w:fill="FFFFFF" w:themeFill="background1"/>
            <w:vAlign w:val="center"/>
          </w:tcPr>
          <w:p w14:paraId="7002D1A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预缴所得税</w:t>
            </w:r>
          </w:p>
        </w:tc>
        <w:tc>
          <w:tcPr>
            <w:tcW w:w="3213" w:type="dxa"/>
            <w:shd w:val="clear" w:color="auto" w:fill="FFFFFF" w:themeFill="background1"/>
            <w:vAlign w:val="center"/>
          </w:tcPr>
          <w:p w14:paraId="37324C8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118,681.14</w:t>
            </w:r>
          </w:p>
        </w:tc>
        <w:tc>
          <w:tcPr>
            <w:tcW w:w="3213" w:type="dxa"/>
            <w:shd w:val="clear" w:color="auto" w:fill="FFFFFF" w:themeFill="background1"/>
            <w:vAlign w:val="center"/>
          </w:tcPr>
          <w:p w14:paraId="1FAE0AD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1,408,666.19</w:t>
            </w:r>
          </w:p>
        </w:tc>
      </w:tr>
      <w:tr w:rsidR="00632E5B" w14:paraId="50ADCF52" w14:textId="77777777" w:rsidTr="001F5A64">
        <w:trPr>
          <w:trHeight w:val="240"/>
        </w:trPr>
        <w:tc>
          <w:tcPr>
            <w:tcW w:w="3213" w:type="dxa"/>
            <w:shd w:val="clear" w:color="auto" w:fill="FFFFFF" w:themeFill="background1"/>
            <w:vAlign w:val="center"/>
          </w:tcPr>
          <w:p w14:paraId="7FADAA9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3213" w:type="dxa"/>
            <w:shd w:val="clear" w:color="auto" w:fill="FFFFFF" w:themeFill="background1"/>
            <w:vAlign w:val="center"/>
          </w:tcPr>
          <w:p w14:paraId="4476FEC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667,550.03</w:t>
            </w:r>
          </w:p>
        </w:tc>
        <w:tc>
          <w:tcPr>
            <w:tcW w:w="3213" w:type="dxa"/>
            <w:shd w:val="clear" w:color="auto" w:fill="FFFFFF" w:themeFill="background1"/>
            <w:vAlign w:val="center"/>
          </w:tcPr>
          <w:p w14:paraId="24183B7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3,103,154.29</w:t>
            </w:r>
          </w:p>
        </w:tc>
      </w:tr>
      <w:tr w:rsidR="00632E5B" w14:paraId="517FE894" w14:textId="77777777" w:rsidTr="001F5A64">
        <w:trPr>
          <w:trHeight w:val="240"/>
        </w:trPr>
        <w:tc>
          <w:tcPr>
            <w:tcW w:w="3213" w:type="dxa"/>
            <w:shd w:val="clear" w:color="auto" w:fill="FFFFFF" w:themeFill="background1"/>
            <w:vAlign w:val="center"/>
          </w:tcPr>
          <w:p w14:paraId="36F75222"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4916B7E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17,985,439.62</w:t>
            </w:r>
          </w:p>
        </w:tc>
        <w:tc>
          <w:tcPr>
            <w:tcW w:w="3213" w:type="dxa"/>
            <w:shd w:val="clear" w:color="auto" w:fill="FFFFFF" w:themeFill="background1"/>
            <w:vAlign w:val="center"/>
          </w:tcPr>
          <w:p w14:paraId="079A9CD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72,875,383.24</w:t>
            </w:r>
          </w:p>
        </w:tc>
      </w:tr>
    </w:tbl>
    <w:p w14:paraId="752544B3" w14:textId="77777777" w:rsidR="00632E5B" w:rsidRDefault="00107901">
      <w:pPr>
        <w:pStyle w:val="3"/>
        <w:spacing w:line="280" w:lineRule="exact"/>
        <w:jc w:val="left"/>
        <w:rPr>
          <w:rFonts w:ascii="宋体" w:hAnsi="宋体" w:cs="宋体" w:hint="eastAsia"/>
          <w:b/>
          <w:bCs/>
        </w:rPr>
      </w:pPr>
      <w:bookmarkStart w:id="240" w:name="_Toc989129"/>
      <w:r>
        <w:rPr>
          <w:rFonts w:ascii="宋体" w:hAnsi="宋体" w:cs="宋体"/>
          <w:b/>
          <w:bCs/>
        </w:rPr>
        <w:t>10、其他权益工具投资</w:t>
      </w:r>
      <w:bookmarkEnd w:id="240"/>
    </w:p>
    <w:p w14:paraId="31C9703A"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95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071"/>
        <w:gridCol w:w="1370"/>
        <w:gridCol w:w="1417"/>
        <w:gridCol w:w="851"/>
        <w:gridCol w:w="992"/>
        <w:gridCol w:w="851"/>
        <w:gridCol w:w="1275"/>
        <w:gridCol w:w="851"/>
        <w:gridCol w:w="1276"/>
      </w:tblGrid>
      <w:tr w:rsidR="00632E5B" w14:paraId="6C4AB14C" w14:textId="77777777" w:rsidTr="001F5A64">
        <w:trPr>
          <w:trHeight w:val="240"/>
          <w:jc w:val="center"/>
        </w:trPr>
        <w:tc>
          <w:tcPr>
            <w:tcW w:w="1071" w:type="dxa"/>
            <w:shd w:val="clear" w:color="auto" w:fill="FFFFFF" w:themeFill="background1"/>
            <w:vAlign w:val="center"/>
          </w:tcPr>
          <w:p w14:paraId="17E33BD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项目名称</w:t>
            </w:r>
          </w:p>
        </w:tc>
        <w:tc>
          <w:tcPr>
            <w:tcW w:w="1370" w:type="dxa"/>
            <w:shd w:val="clear" w:color="auto" w:fill="FFFFFF" w:themeFill="background1"/>
            <w:vAlign w:val="center"/>
          </w:tcPr>
          <w:p w14:paraId="037A4CC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1417" w:type="dxa"/>
            <w:shd w:val="clear" w:color="auto" w:fill="FFFFFF" w:themeFill="background1"/>
            <w:vAlign w:val="center"/>
          </w:tcPr>
          <w:p w14:paraId="05DFC98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851" w:type="dxa"/>
            <w:shd w:val="clear" w:color="auto" w:fill="FFFFFF" w:themeFill="background1"/>
            <w:vAlign w:val="center"/>
          </w:tcPr>
          <w:p w14:paraId="75422C9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本期计入其他综合收益的利得</w:t>
            </w:r>
          </w:p>
        </w:tc>
        <w:tc>
          <w:tcPr>
            <w:tcW w:w="992" w:type="dxa"/>
            <w:shd w:val="clear" w:color="auto" w:fill="FFFFFF" w:themeFill="background1"/>
            <w:vAlign w:val="center"/>
          </w:tcPr>
          <w:p w14:paraId="06B53E5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本期计入其他综合收益的损失</w:t>
            </w:r>
          </w:p>
        </w:tc>
        <w:tc>
          <w:tcPr>
            <w:tcW w:w="851" w:type="dxa"/>
            <w:shd w:val="clear" w:color="auto" w:fill="FFFFFF" w:themeFill="background1"/>
            <w:vAlign w:val="center"/>
          </w:tcPr>
          <w:p w14:paraId="7225BDA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本期末累计计入其他综合收益的利得</w:t>
            </w:r>
          </w:p>
        </w:tc>
        <w:tc>
          <w:tcPr>
            <w:tcW w:w="1275" w:type="dxa"/>
            <w:shd w:val="clear" w:color="auto" w:fill="FFFFFF" w:themeFill="background1"/>
            <w:vAlign w:val="center"/>
          </w:tcPr>
          <w:p w14:paraId="2CE9FAB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本期末累计计入其他综合收益的损失</w:t>
            </w:r>
          </w:p>
        </w:tc>
        <w:tc>
          <w:tcPr>
            <w:tcW w:w="851" w:type="dxa"/>
            <w:shd w:val="clear" w:color="auto" w:fill="FFFFFF" w:themeFill="background1"/>
            <w:vAlign w:val="center"/>
          </w:tcPr>
          <w:p w14:paraId="27446EA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本期确认的股利收入</w:t>
            </w:r>
          </w:p>
        </w:tc>
        <w:tc>
          <w:tcPr>
            <w:tcW w:w="1276" w:type="dxa"/>
            <w:shd w:val="clear" w:color="auto" w:fill="FFFFFF" w:themeFill="background1"/>
            <w:vAlign w:val="center"/>
          </w:tcPr>
          <w:p w14:paraId="07553E7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指定为以公允价值计量且其变动计入其他综合收益的原因</w:t>
            </w:r>
          </w:p>
        </w:tc>
      </w:tr>
      <w:tr w:rsidR="00632E5B" w14:paraId="7AB19966" w14:textId="77777777" w:rsidTr="001F5A64">
        <w:trPr>
          <w:trHeight w:val="240"/>
          <w:jc w:val="center"/>
        </w:trPr>
        <w:tc>
          <w:tcPr>
            <w:tcW w:w="1071" w:type="dxa"/>
            <w:shd w:val="clear" w:color="auto" w:fill="FFFFFF" w:themeFill="background1"/>
            <w:vAlign w:val="center"/>
          </w:tcPr>
          <w:p w14:paraId="0880AEC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深圳市比克动力电池有限公司</w:t>
            </w:r>
          </w:p>
        </w:tc>
        <w:tc>
          <w:tcPr>
            <w:tcW w:w="1370" w:type="dxa"/>
            <w:shd w:val="clear" w:color="auto" w:fill="FFFFFF" w:themeFill="background1"/>
            <w:vAlign w:val="center"/>
          </w:tcPr>
          <w:p w14:paraId="4BBE50BA" w14:textId="77777777" w:rsidR="00632E5B" w:rsidRPr="000676A6" w:rsidRDefault="00107901">
            <w:pPr>
              <w:spacing w:line="240" w:lineRule="exact"/>
              <w:jc w:val="right"/>
              <w:rPr>
                <w:rFonts w:ascii="宋体" w:eastAsia="宋体" w:hAnsi="宋体" w:cs="宋体" w:hint="eastAsia"/>
                <w:sz w:val="15"/>
                <w:szCs w:val="15"/>
              </w:rPr>
            </w:pPr>
            <w:r w:rsidRPr="000676A6">
              <w:rPr>
                <w:rFonts w:ascii="宋体" w:eastAsia="宋体" w:hAnsi="宋体" w:cs="宋体"/>
                <w:sz w:val="15"/>
                <w:szCs w:val="15"/>
              </w:rPr>
              <w:t>415,163,364.76</w:t>
            </w:r>
          </w:p>
        </w:tc>
        <w:tc>
          <w:tcPr>
            <w:tcW w:w="1417" w:type="dxa"/>
            <w:shd w:val="clear" w:color="auto" w:fill="FFFFFF" w:themeFill="background1"/>
            <w:vAlign w:val="center"/>
          </w:tcPr>
          <w:p w14:paraId="5F2BC523" w14:textId="77777777" w:rsidR="00632E5B" w:rsidRPr="000676A6" w:rsidRDefault="00107901">
            <w:pPr>
              <w:spacing w:line="240" w:lineRule="exact"/>
              <w:jc w:val="right"/>
              <w:rPr>
                <w:rFonts w:ascii="宋体" w:eastAsia="宋体" w:hAnsi="宋体" w:cs="宋体" w:hint="eastAsia"/>
                <w:sz w:val="15"/>
                <w:szCs w:val="15"/>
              </w:rPr>
            </w:pPr>
            <w:r w:rsidRPr="000676A6">
              <w:rPr>
                <w:rFonts w:ascii="宋体" w:eastAsia="宋体" w:hAnsi="宋体" w:cs="宋体"/>
                <w:sz w:val="15"/>
                <w:szCs w:val="15"/>
              </w:rPr>
              <w:t>415,546,194.80</w:t>
            </w:r>
          </w:p>
        </w:tc>
        <w:tc>
          <w:tcPr>
            <w:tcW w:w="851" w:type="dxa"/>
            <w:shd w:val="clear" w:color="auto" w:fill="FFFFFF" w:themeFill="background1"/>
            <w:vAlign w:val="center"/>
          </w:tcPr>
          <w:p w14:paraId="2D36BA30" w14:textId="77777777" w:rsidR="00632E5B" w:rsidRPr="000676A6" w:rsidRDefault="00632E5B">
            <w:pPr>
              <w:spacing w:line="240" w:lineRule="exact"/>
              <w:jc w:val="right"/>
              <w:rPr>
                <w:rFonts w:ascii="宋体" w:eastAsia="宋体" w:hAnsi="宋体" w:cs="宋体" w:hint="eastAsia"/>
                <w:sz w:val="15"/>
                <w:szCs w:val="15"/>
              </w:rPr>
            </w:pPr>
          </w:p>
        </w:tc>
        <w:tc>
          <w:tcPr>
            <w:tcW w:w="992" w:type="dxa"/>
            <w:shd w:val="clear" w:color="auto" w:fill="FFFFFF" w:themeFill="background1"/>
            <w:vAlign w:val="center"/>
          </w:tcPr>
          <w:p w14:paraId="2791A18D" w14:textId="77777777" w:rsidR="00632E5B" w:rsidRPr="000676A6" w:rsidRDefault="00107901">
            <w:pPr>
              <w:spacing w:line="240" w:lineRule="exact"/>
              <w:jc w:val="right"/>
              <w:rPr>
                <w:rFonts w:ascii="宋体" w:eastAsia="宋体" w:hAnsi="宋体" w:cs="宋体" w:hint="eastAsia"/>
                <w:sz w:val="15"/>
                <w:szCs w:val="15"/>
              </w:rPr>
            </w:pPr>
            <w:r w:rsidRPr="000676A6">
              <w:rPr>
                <w:rFonts w:ascii="宋体" w:eastAsia="宋体" w:hAnsi="宋体" w:cs="宋体"/>
                <w:sz w:val="15"/>
                <w:szCs w:val="15"/>
              </w:rPr>
              <w:t>382,830.04</w:t>
            </w:r>
          </w:p>
        </w:tc>
        <w:tc>
          <w:tcPr>
            <w:tcW w:w="851" w:type="dxa"/>
            <w:shd w:val="clear" w:color="auto" w:fill="FFFFFF" w:themeFill="background1"/>
            <w:vAlign w:val="center"/>
          </w:tcPr>
          <w:p w14:paraId="18EF5719" w14:textId="77777777" w:rsidR="00632E5B" w:rsidRPr="000676A6" w:rsidRDefault="00632E5B">
            <w:pPr>
              <w:spacing w:line="240" w:lineRule="exact"/>
              <w:jc w:val="right"/>
              <w:rPr>
                <w:rFonts w:ascii="宋体" w:eastAsia="宋体" w:hAnsi="宋体" w:cs="宋体" w:hint="eastAsia"/>
                <w:sz w:val="15"/>
                <w:szCs w:val="15"/>
              </w:rPr>
            </w:pPr>
          </w:p>
        </w:tc>
        <w:tc>
          <w:tcPr>
            <w:tcW w:w="1275" w:type="dxa"/>
            <w:shd w:val="clear" w:color="auto" w:fill="FFFFFF" w:themeFill="background1"/>
            <w:vAlign w:val="center"/>
          </w:tcPr>
          <w:p w14:paraId="30ED0864" w14:textId="77777777" w:rsidR="00632E5B" w:rsidRPr="000676A6" w:rsidRDefault="00107901">
            <w:pPr>
              <w:spacing w:line="240" w:lineRule="exact"/>
              <w:jc w:val="right"/>
              <w:rPr>
                <w:rFonts w:ascii="宋体" w:eastAsia="宋体" w:hAnsi="宋体" w:cs="宋体" w:hint="eastAsia"/>
                <w:sz w:val="15"/>
                <w:szCs w:val="15"/>
              </w:rPr>
            </w:pPr>
            <w:r w:rsidRPr="000676A6">
              <w:rPr>
                <w:rFonts w:ascii="宋体" w:eastAsia="宋体" w:hAnsi="宋体" w:cs="宋体"/>
                <w:sz w:val="15"/>
                <w:szCs w:val="15"/>
              </w:rPr>
              <w:t>434,836,635.24</w:t>
            </w:r>
          </w:p>
        </w:tc>
        <w:tc>
          <w:tcPr>
            <w:tcW w:w="851" w:type="dxa"/>
            <w:shd w:val="clear" w:color="auto" w:fill="FFFFFF" w:themeFill="background1"/>
            <w:vAlign w:val="center"/>
          </w:tcPr>
          <w:p w14:paraId="1067A18C" w14:textId="77777777" w:rsidR="00632E5B" w:rsidRPr="000676A6" w:rsidRDefault="00632E5B">
            <w:pPr>
              <w:spacing w:line="240" w:lineRule="exact"/>
              <w:jc w:val="right"/>
              <w:rPr>
                <w:rFonts w:ascii="宋体" w:eastAsia="宋体" w:hAnsi="宋体" w:cs="宋体" w:hint="eastAsia"/>
                <w:sz w:val="15"/>
                <w:szCs w:val="15"/>
              </w:rPr>
            </w:pPr>
          </w:p>
        </w:tc>
        <w:tc>
          <w:tcPr>
            <w:tcW w:w="1276" w:type="dxa"/>
            <w:shd w:val="clear" w:color="auto" w:fill="FFFFFF" w:themeFill="background1"/>
            <w:vAlign w:val="center"/>
          </w:tcPr>
          <w:p w14:paraId="72AD3AB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战略性持有</w:t>
            </w:r>
          </w:p>
        </w:tc>
      </w:tr>
      <w:tr w:rsidR="00632E5B" w14:paraId="19762919" w14:textId="77777777" w:rsidTr="001F5A64">
        <w:trPr>
          <w:trHeight w:val="240"/>
          <w:jc w:val="center"/>
        </w:trPr>
        <w:tc>
          <w:tcPr>
            <w:tcW w:w="1071" w:type="dxa"/>
            <w:shd w:val="clear" w:color="auto" w:fill="FFFFFF" w:themeFill="background1"/>
            <w:vAlign w:val="center"/>
          </w:tcPr>
          <w:p w14:paraId="0A56DD1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重庆通耀锻铸有限公司</w:t>
            </w:r>
          </w:p>
        </w:tc>
        <w:tc>
          <w:tcPr>
            <w:tcW w:w="1370" w:type="dxa"/>
            <w:shd w:val="clear" w:color="auto" w:fill="FFFFFF" w:themeFill="background1"/>
            <w:vAlign w:val="center"/>
          </w:tcPr>
          <w:p w14:paraId="416B5DCB" w14:textId="77777777" w:rsidR="00632E5B" w:rsidRPr="000676A6" w:rsidRDefault="00632E5B">
            <w:pPr>
              <w:spacing w:line="240" w:lineRule="exact"/>
              <w:jc w:val="right"/>
              <w:rPr>
                <w:rFonts w:ascii="宋体" w:eastAsia="宋体" w:hAnsi="宋体" w:cs="宋体" w:hint="eastAsia"/>
                <w:sz w:val="15"/>
                <w:szCs w:val="15"/>
              </w:rPr>
            </w:pPr>
          </w:p>
        </w:tc>
        <w:tc>
          <w:tcPr>
            <w:tcW w:w="1417" w:type="dxa"/>
            <w:shd w:val="clear" w:color="auto" w:fill="FFFFFF" w:themeFill="background1"/>
            <w:vAlign w:val="center"/>
          </w:tcPr>
          <w:p w14:paraId="4EFA0A50" w14:textId="77777777" w:rsidR="00632E5B" w:rsidRPr="000676A6" w:rsidRDefault="00632E5B">
            <w:pPr>
              <w:spacing w:line="240" w:lineRule="exact"/>
              <w:jc w:val="right"/>
              <w:rPr>
                <w:rFonts w:ascii="宋体" w:eastAsia="宋体" w:hAnsi="宋体" w:cs="宋体" w:hint="eastAsia"/>
                <w:sz w:val="15"/>
                <w:szCs w:val="15"/>
              </w:rPr>
            </w:pPr>
          </w:p>
        </w:tc>
        <w:tc>
          <w:tcPr>
            <w:tcW w:w="851" w:type="dxa"/>
            <w:shd w:val="clear" w:color="auto" w:fill="FFFFFF" w:themeFill="background1"/>
            <w:vAlign w:val="center"/>
          </w:tcPr>
          <w:p w14:paraId="696A8989" w14:textId="77777777" w:rsidR="00632E5B" w:rsidRPr="000676A6" w:rsidRDefault="00632E5B">
            <w:pPr>
              <w:spacing w:line="240" w:lineRule="exact"/>
              <w:jc w:val="right"/>
              <w:rPr>
                <w:rFonts w:ascii="宋体" w:eastAsia="宋体" w:hAnsi="宋体" w:cs="宋体" w:hint="eastAsia"/>
                <w:sz w:val="15"/>
                <w:szCs w:val="15"/>
              </w:rPr>
            </w:pPr>
          </w:p>
        </w:tc>
        <w:tc>
          <w:tcPr>
            <w:tcW w:w="992" w:type="dxa"/>
            <w:shd w:val="clear" w:color="auto" w:fill="FFFFFF" w:themeFill="background1"/>
            <w:vAlign w:val="center"/>
          </w:tcPr>
          <w:p w14:paraId="372B2AE1" w14:textId="77777777" w:rsidR="00632E5B" w:rsidRPr="000676A6" w:rsidRDefault="00632E5B">
            <w:pPr>
              <w:spacing w:line="240" w:lineRule="exact"/>
              <w:jc w:val="right"/>
              <w:rPr>
                <w:rFonts w:ascii="宋体" w:eastAsia="宋体" w:hAnsi="宋体" w:cs="宋体" w:hint="eastAsia"/>
                <w:sz w:val="15"/>
                <w:szCs w:val="15"/>
              </w:rPr>
            </w:pPr>
          </w:p>
        </w:tc>
        <w:tc>
          <w:tcPr>
            <w:tcW w:w="851" w:type="dxa"/>
            <w:shd w:val="clear" w:color="auto" w:fill="FFFFFF" w:themeFill="background1"/>
            <w:vAlign w:val="center"/>
          </w:tcPr>
          <w:p w14:paraId="0E18D8FA" w14:textId="77777777" w:rsidR="00632E5B" w:rsidRPr="000676A6" w:rsidRDefault="00632E5B">
            <w:pPr>
              <w:spacing w:line="240" w:lineRule="exact"/>
              <w:jc w:val="right"/>
              <w:rPr>
                <w:rFonts w:ascii="宋体" w:eastAsia="宋体" w:hAnsi="宋体" w:cs="宋体" w:hint="eastAsia"/>
                <w:sz w:val="15"/>
                <w:szCs w:val="15"/>
              </w:rPr>
            </w:pPr>
          </w:p>
        </w:tc>
        <w:tc>
          <w:tcPr>
            <w:tcW w:w="1275" w:type="dxa"/>
            <w:shd w:val="clear" w:color="auto" w:fill="FFFFFF" w:themeFill="background1"/>
            <w:vAlign w:val="center"/>
          </w:tcPr>
          <w:p w14:paraId="6A489D20" w14:textId="77777777" w:rsidR="00632E5B" w:rsidRPr="000676A6" w:rsidRDefault="00107901">
            <w:pPr>
              <w:spacing w:line="240" w:lineRule="exact"/>
              <w:jc w:val="right"/>
              <w:rPr>
                <w:rFonts w:ascii="宋体" w:eastAsia="宋体" w:hAnsi="宋体" w:cs="宋体" w:hint="eastAsia"/>
                <w:sz w:val="15"/>
                <w:szCs w:val="15"/>
              </w:rPr>
            </w:pPr>
            <w:r w:rsidRPr="000676A6">
              <w:rPr>
                <w:rFonts w:ascii="宋体" w:eastAsia="宋体" w:hAnsi="宋体" w:cs="宋体"/>
                <w:sz w:val="15"/>
                <w:szCs w:val="15"/>
              </w:rPr>
              <w:t>4,827,931.55</w:t>
            </w:r>
          </w:p>
        </w:tc>
        <w:tc>
          <w:tcPr>
            <w:tcW w:w="851" w:type="dxa"/>
            <w:shd w:val="clear" w:color="auto" w:fill="FFFFFF" w:themeFill="background1"/>
            <w:vAlign w:val="center"/>
          </w:tcPr>
          <w:p w14:paraId="7EC0B834" w14:textId="77777777" w:rsidR="00632E5B" w:rsidRPr="000676A6" w:rsidRDefault="00632E5B">
            <w:pPr>
              <w:spacing w:line="240" w:lineRule="exact"/>
              <w:jc w:val="right"/>
              <w:rPr>
                <w:rFonts w:ascii="宋体" w:eastAsia="宋体" w:hAnsi="宋体" w:cs="宋体" w:hint="eastAsia"/>
                <w:sz w:val="15"/>
                <w:szCs w:val="15"/>
              </w:rPr>
            </w:pPr>
          </w:p>
        </w:tc>
        <w:tc>
          <w:tcPr>
            <w:tcW w:w="1276" w:type="dxa"/>
            <w:shd w:val="clear" w:color="auto" w:fill="FFFFFF" w:themeFill="background1"/>
            <w:vAlign w:val="center"/>
          </w:tcPr>
          <w:p w14:paraId="42678C1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战略性持有</w:t>
            </w:r>
          </w:p>
        </w:tc>
      </w:tr>
      <w:tr w:rsidR="00632E5B" w14:paraId="6859696A" w14:textId="77777777" w:rsidTr="001F5A64">
        <w:trPr>
          <w:trHeight w:val="240"/>
          <w:jc w:val="center"/>
        </w:trPr>
        <w:tc>
          <w:tcPr>
            <w:tcW w:w="1071" w:type="dxa"/>
            <w:shd w:val="clear" w:color="auto" w:fill="FFFFFF" w:themeFill="background1"/>
            <w:vAlign w:val="center"/>
          </w:tcPr>
          <w:p w14:paraId="6513564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370" w:type="dxa"/>
            <w:shd w:val="clear" w:color="auto" w:fill="FFFFFF" w:themeFill="background1"/>
            <w:vAlign w:val="center"/>
          </w:tcPr>
          <w:p w14:paraId="31E1FCD2" w14:textId="77777777" w:rsidR="00632E5B" w:rsidRPr="000676A6" w:rsidRDefault="00107901">
            <w:pPr>
              <w:spacing w:line="240" w:lineRule="exact"/>
              <w:jc w:val="right"/>
              <w:rPr>
                <w:rFonts w:ascii="宋体" w:eastAsia="宋体" w:hAnsi="宋体" w:cs="宋体" w:hint="eastAsia"/>
                <w:sz w:val="15"/>
                <w:szCs w:val="15"/>
              </w:rPr>
            </w:pPr>
            <w:r w:rsidRPr="000676A6">
              <w:rPr>
                <w:rFonts w:ascii="宋体" w:eastAsia="宋体" w:hAnsi="宋体" w:cs="宋体"/>
                <w:sz w:val="15"/>
                <w:szCs w:val="15"/>
              </w:rPr>
              <w:t>415,163,364.76</w:t>
            </w:r>
          </w:p>
        </w:tc>
        <w:tc>
          <w:tcPr>
            <w:tcW w:w="1417" w:type="dxa"/>
            <w:shd w:val="clear" w:color="auto" w:fill="FFFFFF" w:themeFill="background1"/>
            <w:vAlign w:val="center"/>
          </w:tcPr>
          <w:p w14:paraId="45ACD703" w14:textId="77777777" w:rsidR="00632E5B" w:rsidRPr="000676A6" w:rsidRDefault="00107901">
            <w:pPr>
              <w:spacing w:line="240" w:lineRule="exact"/>
              <w:jc w:val="right"/>
              <w:rPr>
                <w:rFonts w:ascii="宋体" w:eastAsia="宋体" w:hAnsi="宋体" w:cs="宋体" w:hint="eastAsia"/>
                <w:sz w:val="15"/>
                <w:szCs w:val="15"/>
              </w:rPr>
            </w:pPr>
            <w:r w:rsidRPr="000676A6">
              <w:rPr>
                <w:rFonts w:ascii="宋体" w:eastAsia="宋体" w:hAnsi="宋体" w:cs="宋体"/>
                <w:sz w:val="15"/>
                <w:szCs w:val="15"/>
              </w:rPr>
              <w:t>415,546,194.80</w:t>
            </w:r>
          </w:p>
        </w:tc>
        <w:tc>
          <w:tcPr>
            <w:tcW w:w="851" w:type="dxa"/>
            <w:shd w:val="clear" w:color="auto" w:fill="FFFFFF" w:themeFill="background1"/>
            <w:vAlign w:val="center"/>
          </w:tcPr>
          <w:p w14:paraId="12C155F3" w14:textId="77777777" w:rsidR="00632E5B" w:rsidRPr="000676A6" w:rsidRDefault="00632E5B">
            <w:pPr>
              <w:spacing w:line="240" w:lineRule="exact"/>
              <w:jc w:val="right"/>
              <w:rPr>
                <w:rFonts w:ascii="宋体" w:eastAsia="宋体" w:hAnsi="宋体" w:cs="宋体" w:hint="eastAsia"/>
                <w:sz w:val="15"/>
                <w:szCs w:val="15"/>
              </w:rPr>
            </w:pPr>
          </w:p>
        </w:tc>
        <w:tc>
          <w:tcPr>
            <w:tcW w:w="992" w:type="dxa"/>
            <w:shd w:val="clear" w:color="auto" w:fill="FFFFFF" w:themeFill="background1"/>
            <w:vAlign w:val="center"/>
          </w:tcPr>
          <w:p w14:paraId="1E0B062C" w14:textId="77777777" w:rsidR="00632E5B" w:rsidRPr="000676A6" w:rsidRDefault="00107901">
            <w:pPr>
              <w:spacing w:line="240" w:lineRule="exact"/>
              <w:jc w:val="right"/>
              <w:rPr>
                <w:rFonts w:ascii="宋体" w:eastAsia="宋体" w:hAnsi="宋体" w:cs="宋体" w:hint="eastAsia"/>
                <w:sz w:val="15"/>
                <w:szCs w:val="15"/>
              </w:rPr>
            </w:pPr>
            <w:r w:rsidRPr="000676A6">
              <w:rPr>
                <w:rFonts w:ascii="宋体" w:eastAsia="宋体" w:hAnsi="宋体" w:cs="宋体"/>
                <w:sz w:val="15"/>
                <w:szCs w:val="15"/>
              </w:rPr>
              <w:t>382,830.04</w:t>
            </w:r>
          </w:p>
        </w:tc>
        <w:tc>
          <w:tcPr>
            <w:tcW w:w="851" w:type="dxa"/>
            <w:shd w:val="clear" w:color="auto" w:fill="FFFFFF" w:themeFill="background1"/>
            <w:vAlign w:val="center"/>
          </w:tcPr>
          <w:p w14:paraId="27F896FC" w14:textId="77777777" w:rsidR="00632E5B" w:rsidRPr="000676A6" w:rsidRDefault="00632E5B">
            <w:pPr>
              <w:spacing w:line="240" w:lineRule="exact"/>
              <w:jc w:val="right"/>
              <w:rPr>
                <w:rFonts w:ascii="宋体" w:eastAsia="宋体" w:hAnsi="宋体" w:cs="宋体" w:hint="eastAsia"/>
                <w:sz w:val="15"/>
                <w:szCs w:val="15"/>
              </w:rPr>
            </w:pPr>
          </w:p>
        </w:tc>
        <w:tc>
          <w:tcPr>
            <w:tcW w:w="1275" w:type="dxa"/>
            <w:shd w:val="clear" w:color="auto" w:fill="FFFFFF" w:themeFill="background1"/>
            <w:vAlign w:val="center"/>
          </w:tcPr>
          <w:p w14:paraId="06C50297" w14:textId="77777777" w:rsidR="00632E5B" w:rsidRPr="000676A6" w:rsidRDefault="00107901">
            <w:pPr>
              <w:spacing w:line="240" w:lineRule="exact"/>
              <w:jc w:val="right"/>
              <w:rPr>
                <w:rFonts w:ascii="宋体" w:eastAsia="宋体" w:hAnsi="宋体" w:cs="宋体" w:hint="eastAsia"/>
                <w:sz w:val="15"/>
                <w:szCs w:val="15"/>
              </w:rPr>
            </w:pPr>
            <w:r w:rsidRPr="000676A6">
              <w:rPr>
                <w:rFonts w:ascii="宋体" w:eastAsia="宋体" w:hAnsi="宋体" w:cs="宋体"/>
                <w:sz w:val="15"/>
                <w:szCs w:val="15"/>
              </w:rPr>
              <w:t>439,664,566.79</w:t>
            </w:r>
          </w:p>
        </w:tc>
        <w:tc>
          <w:tcPr>
            <w:tcW w:w="851" w:type="dxa"/>
            <w:shd w:val="clear" w:color="auto" w:fill="FFFFFF" w:themeFill="background1"/>
            <w:vAlign w:val="center"/>
          </w:tcPr>
          <w:p w14:paraId="4F010171" w14:textId="77777777" w:rsidR="00632E5B" w:rsidRPr="000676A6" w:rsidRDefault="00632E5B">
            <w:pPr>
              <w:spacing w:line="240" w:lineRule="exact"/>
              <w:jc w:val="right"/>
              <w:rPr>
                <w:rFonts w:ascii="宋体" w:eastAsia="宋体" w:hAnsi="宋体" w:cs="宋体" w:hint="eastAsia"/>
                <w:sz w:val="15"/>
                <w:szCs w:val="15"/>
              </w:rPr>
            </w:pPr>
          </w:p>
        </w:tc>
        <w:tc>
          <w:tcPr>
            <w:tcW w:w="1276" w:type="dxa"/>
            <w:shd w:val="clear" w:color="auto" w:fill="FFFFFF" w:themeFill="background1"/>
            <w:vAlign w:val="center"/>
          </w:tcPr>
          <w:p w14:paraId="74A13ACB" w14:textId="77777777" w:rsidR="00632E5B" w:rsidRDefault="00632E5B"/>
        </w:tc>
      </w:tr>
    </w:tbl>
    <w:p w14:paraId="6921752E" w14:textId="77777777" w:rsidR="00C8117C" w:rsidRDefault="00C8117C">
      <w:pPr>
        <w:pStyle w:val="3"/>
        <w:spacing w:line="280" w:lineRule="exact"/>
        <w:jc w:val="left"/>
        <w:rPr>
          <w:rFonts w:ascii="宋体" w:hAnsi="宋体" w:cs="宋体" w:hint="eastAsia"/>
          <w:b/>
          <w:bCs/>
        </w:rPr>
      </w:pPr>
      <w:bookmarkStart w:id="241" w:name="_Toc989130"/>
    </w:p>
    <w:p w14:paraId="699AD0B8" w14:textId="77777777" w:rsidR="00C8117C" w:rsidRDefault="00C8117C">
      <w:pPr>
        <w:widowControl/>
        <w:rPr>
          <w:rFonts w:ascii="宋体" w:eastAsia="宋体" w:hAnsi="宋体" w:cs="宋体" w:hint="eastAsia"/>
          <w:b/>
          <w:bCs/>
          <w:szCs w:val="21"/>
        </w:rPr>
      </w:pPr>
      <w:r>
        <w:rPr>
          <w:rFonts w:ascii="宋体" w:hAnsi="宋体" w:cs="宋体"/>
          <w:b/>
          <w:bCs/>
        </w:rPr>
        <w:br w:type="page"/>
      </w:r>
    </w:p>
    <w:p w14:paraId="01230D71" w14:textId="4399428C" w:rsidR="00632E5B" w:rsidRDefault="00107901">
      <w:pPr>
        <w:pStyle w:val="3"/>
        <w:spacing w:line="280" w:lineRule="exact"/>
        <w:jc w:val="left"/>
        <w:rPr>
          <w:rFonts w:ascii="宋体" w:hAnsi="宋体" w:cs="宋体" w:hint="eastAsia"/>
          <w:b/>
          <w:bCs/>
        </w:rPr>
      </w:pPr>
      <w:r>
        <w:rPr>
          <w:rFonts w:ascii="宋体" w:hAnsi="宋体" w:cs="宋体"/>
          <w:b/>
          <w:bCs/>
        </w:rPr>
        <w:lastRenderedPageBreak/>
        <w:t>11、长期股权投资</w:t>
      </w:r>
      <w:bookmarkEnd w:id="241"/>
    </w:p>
    <w:p w14:paraId="38C75B27"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11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741"/>
        <w:gridCol w:w="1275"/>
        <w:gridCol w:w="741"/>
        <w:gridCol w:w="741"/>
        <w:gridCol w:w="741"/>
        <w:gridCol w:w="1179"/>
        <w:gridCol w:w="741"/>
        <w:gridCol w:w="642"/>
        <w:gridCol w:w="741"/>
        <w:gridCol w:w="1287"/>
        <w:gridCol w:w="382"/>
        <w:gridCol w:w="741"/>
        <w:gridCol w:w="1244"/>
      </w:tblGrid>
      <w:tr w:rsidR="00632E5B" w14:paraId="37D8F48D" w14:textId="77777777" w:rsidTr="001F5A64">
        <w:trPr>
          <w:trHeight w:val="240"/>
          <w:jc w:val="center"/>
        </w:trPr>
        <w:tc>
          <w:tcPr>
            <w:tcW w:w="741" w:type="dxa"/>
            <w:vMerge w:val="restart"/>
            <w:shd w:val="clear" w:color="auto" w:fill="FFFFFF" w:themeFill="background1"/>
            <w:vAlign w:val="center"/>
          </w:tcPr>
          <w:p w14:paraId="5300BC5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被投资单位</w:t>
            </w:r>
          </w:p>
        </w:tc>
        <w:tc>
          <w:tcPr>
            <w:tcW w:w="1275" w:type="dxa"/>
            <w:vMerge w:val="restart"/>
            <w:shd w:val="clear" w:color="auto" w:fill="FFFFFF" w:themeFill="background1"/>
            <w:vAlign w:val="center"/>
          </w:tcPr>
          <w:p w14:paraId="5E470EE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期初余额（账面价值）</w:t>
            </w:r>
          </w:p>
        </w:tc>
        <w:tc>
          <w:tcPr>
            <w:tcW w:w="741" w:type="dxa"/>
            <w:vMerge w:val="restart"/>
            <w:shd w:val="clear" w:color="auto" w:fill="FFFFFF" w:themeFill="background1"/>
            <w:vAlign w:val="center"/>
          </w:tcPr>
          <w:p w14:paraId="6712B86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减值准备期初余额</w:t>
            </w:r>
          </w:p>
        </w:tc>
        <w:tc>
          <w:tcPr>
            <w:tcW w:w="6454" w:type="dxa"/>
            <w:gridSpan w:val="8"/>
            <w:shd w:val="clear" w:color="auto" w:fill="FFFFFF" w:themeFill="background1"/>
            <w:vAlign w:val="center"/>
          </w:tcPr>
          <w:p w14:paraId="543A6D5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本期增减变动</w:t>
            </w:r>
          </w:p>
        </w:tc>
        <w:tc>
          <w:tcPr>
            <w:tcW w:w="741" w:type="dxa"/>
            <w:shd w:val="clear" w:color="auto" w:fill="FFFFFF" w:themeFill="background1"/>
            <w:vAlign w:val="center"/>
          </w:tcPr>
          <w:p w14:paraId="6081757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期末余额（账面价值）</w:t>
            </w:r>
          </w:p>
        </w:tc>
        <w:tc>
          <w:tcPr>
            <w:tcW w:w="1244" w:type="dxa"/>
            <w:shd w:val="clear" w:color="auto" w:fill="FFFFFF" w:themeFill="background1"/>
            <w:vAlign w:val="center"/>
          </w:tcPr>
          <w:p w14:paraId="61849F1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减值准备期末余额</w:t>
            </w:r>
          </w:p>
        </w:tc>
      </w:tr>
      <w:tr w:rsidR="00632E5B" w14:paraId="576C745E" w14:textId="77777777" w:rsidTr="001F5A64">
        <w:trPr>
          <w:trHeight w:val="240"/>
          <w:jc w:val="center"/>
        </w:trPr>
        <w:tc>
          <w:tcPr>
            <w:tcW w:w="741" w:type="dxa"/>
            <w:vMerge/>
            <w:shd w:val="clear" w:color="auto" w:fill="FFFFFF" w:themeFill="background1"/>
            <w:vAlign w:val="center"/>
          </w:tcPr>
          <w:p w14:paraId="192A96F9" w14:textId="77777777" w:rsidR="00632E5B" w:rsidRDefault="00632E5B"/>
        </w:tc>
        <w:tc>
          <w:tcPr>
            <w:tcW w:w="1275" w:type="dxa"/>
            <w:vMerge/>
            <w:shd w:val="clear" w:color="auto" w:fill="FFFFFF" w:themeFill="background1"/>
            <w:vAlign w:val="center"/>
          </w:tcPr>
          <w:p w14:paraId="11EE8874" w14:textId="77777777" w:rsidR="00632E5B" w:rsidRDefault="00632E5B"/>
        </w:tc>
        <w:tc>
          <w:tcPr>
            <w:tcW w:w="741" w:type="dxa"/>
            <w:vMerge/>
            <w:shd w:val="clear" w:color="auto" w:fill="FFFFFF" w:themeFill="background1"/>
            <w:vAlign w:val="center"/>
          </w:tcPr>
          <w:p w14:paraId="06F59440" w14:textId="77777777" w:rsidR="00632E5B" w:rsidRDefault="00632E5B"/>
        </w:tc>
        <w:tc>
          <w:tcPr>
            <w:tcW w:w="741" w:type="dxa"/>
            <w:shd w:val="clear" w:color="auto" w:fill="FFFFFF" w:themeFill="background1"/>
            <w:vAlign w:val="center"/>
          </w:tcPr>
          <w:p w14:paraId="1645010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追加投资</w:t>
            </w:r>
          </w:p>
        </w:tc>
        <w:tc>
          <w:tcPr>
            <w:tcW w:w="741" w:type="dxa"/>
            <w:shd w:val="clear" w:color="auto" w:fill="FFFFFF" w:themeFill="background1"/>
            <w:vAlign w:val="center"/>
          </w:tcPr>
          <w:p w14:paraId="7044BEE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减少投资</w:t>
            </w:r>
          </w:p>
        </w:tc>
        <w:tc>
          <w:tcPr>
            <w:tcW w:w="1179" w:type="dxa"/>
            <w:shd w:val="clear" w:color="auto" w:fill="FFFFFF" w:themeFill="background1"/>
            <w:vAlign w:val="center"/>
          </w:tcPr>
          <w:p w14:paraId="185CBCE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权益法下确认的投资损益</w:t>
            </w:r>
          </w:p>
        </w:tc>
        <w:tc>
          <w:tcPr>
            <w:tcW w:w="741" w:type="dxa"/>
            <w:shd w:val="clear" w:color="auto" w:fill="FFFFFF" w:themeFill="background1"/>
            <w:vAlign w:val="center"/>
          </w:tcPr>
          <w:p w14:paraId="38C8804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其他综合收益调整</w:t>
            </w:r>
          </w:p>
        </w:tc>
        <w:tc>
          <w:tcPr>
            <w:tcW w:w="642" w:type="dxa"/>
            <w:shd w:val="clear" w:color="auto" w:fill="FFFFFF" w:themeFill="background1"/>
            <w:vAlign w:val="center"/>
          </w:tcPr>
          <w:p w14:paraId="7EEDF5C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其他权益变动</w:t>
            </w:r>
          </w:p>
        </w:tc>
        <w:tc>
          <w:tcPr>
            <w:tcW w:w="741" w:type="dxa"/>
            <w:shd w:val="clear" w:color="auto" w:fill="FFFFFF" w:themeFill="background1"/>
            <w:vAlign w:val="center"/>
          </w:tcPr>
          <w:p w14:paraId="09FA2F1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宣告发放现金股利或利润</w:t>
            </w:r>
          </w:p>
        </w:tc>
        <w:tc>
          <w:tcPr>
            <w:tcW w:w="1287" w:type="dxa"/>
            <w:shd w:val="clear" w:color="auto" w:fill="FFFFFF" w:themeFill="background1"/>
            <w:vAlign w:val="center"/>
          </w:tcPr>
          <w:p w14:paraId="5DEDDC9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计提减值准备</w:t>
            </w:r>
          </w:p>
        </w:tc>
        <w:tc>
          <w:tcPr>
            <w:tcW w:w="382" w:type="dxa"/>
            <w:shd w:val="clear" w:color="auto" w:fill="FFFFFF" w:themeFill="background1"/>
            <w:vAlign w:val="center"/>
          </w:tcPr>
          <w:p w14:paraId="0935BA5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741" w:type="dxa"/>
            <w:shd w:val="clear" w:color="auto" w:fill="FFFFFF" w:themeFill="background1"/>
            <w:vAlign w:val="center"/>
          </w:tcPr>
          <w:p w14:paraId="6D3AA219" w14:textId="77777777" w:rsidR="00632E5B" w:rsidRDefault="00632E5B"/>
        </w:tc>
        <w:tc>
          <w:tcPr>
            <w:tcW w:w="1244" w:type="dxa"/>
            <w:shd w:val="clear" w:color="auto" w:fill="FFFFFF" w:themeFill="background1"/>
            <w:vAlign w:val="center"/>
          </w:tcPr>
          <w:p w14:paraId="7D699B01" w14:textId="77777777" w:rsidR="00632E5B" w:rsidRDefault="00632E5B"/>
        </w:tc>
      </w:tr>
      <w:tr w:rsidR="00632E5B" w14:paraId="34942A58" w14:textId="77777777" w:rsidTr="001F5A64">
        <w:trPr>
          <w:trHeight w:val="240"/>
          <w:jc w:val="center"/>
        </w:trPr>
        <w:tc>
          <w:tcPr>
            <w:tcW w:w="11196" w:type="dxa"/>
            <w:gridSpan w:val="13"/>
            <w:shd w:val="clear" w:color="auto" w:fill="FFFFFF" w:themeFill="background1"/>
            <w:vAlign w:val="center"/>
          </w:tcPr>
          <w:p w14:paraId="76B90F7D"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一、合营企业</w:t>
            </w:r>
          </w:p>
        </w:tc>
      </w:tr>
      <w:tr w:rsidR="00632E5B" w14:paraId="4F123B1E" w14:textId="77777777" w:rsidTr="001F5A64">
        <w:trPr>
          <w:trHeight w:val="240"/>
          <w:jc w:val="center"/>
        </w:trPr>
        <w:tc>
          <w:tcPr>
            <w:tcW w:w="11196" w:type="dxa"/>
            <w:gridSpan w:val="13"/>
            <w:shd w:val="clear" w:color="auto" w:fill="FFFFFF" w:themeFill="background1"/>
            <w:vAlign w:val="center"/>
          </w:tcPr>
          <w:p w14:paraId="3329363B"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二、联营企业</w:t>
            </w:r>
          </w:p>
        </w:tc>
      </w:tr>
      <w:tr w:rsidR="00632E5B" w14:paraId="3CF2179E" w14:textId="77777777" w:rsidTr="001F5A64">
        <w:trPr>
          <w:trHeight w:val="240"/>
          <w:jc w:val="center"/>
        </w:trPr>
        <w:tc>
          <w:tcPr>
            <w:tcW w:w="741" w:type="dxa"/>
            <w:shd w:val="clear" w:color="auto" w:fill="FFFFFF" w:themeFill="background1"/>
            <w:vAlign w:val="center"/>
          </w:tcPr>
          <w:p w14:paraId="0972C4E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上海康速金属科技有限公司</w:t>
            </w:r>
          </w:p>
        </w:tc>
        <w:tc>
          <w:tcPr>
            <w:tcW w:w="1275" w:type="dxa"/>
            <w:shd w:val="clear" w:color="auto" w:fill="FFFFFF" w:themeFill="background1"/>
            <w:vAlign w:val="center"/>
          </w:tcPr>
          <w:p w14:paraId="12F83440" w14:textId="77777777" w:rsidR="00632E5B" w:rsidRPr="000676A6" w:rsidRDefault="00107901">
            <w:pPr>
              <w:spacing w:line="240" w:lineRule="exact"/>
              <w:jc w:val="right"/>
              <w:rPr>
                <w:rFonts w:ascii="宋体" w:eastAsia="宋体" w:hAnsi="宋体" w:cs="宋体" w:hint="eastAsia"/>
                <w:sz w:val="15"/>
                <w:szCs w:val="15"/>
              </w:rPr>
            </w:pPr>
            <w:r w:rsidRPr="000676A6">
              <w:rPr>
                <w:rFonts w:ascii="宋体" w:eastAsia="宋体" w:hAnsi="宋体" w:cs="宋体"/>
                <w:sz w:val="15"/>
                <w:szCs w:val="15"/>
              </w:rPr>
              <w:t>14,158,288.31</w:t>
            </w:r>
          </w:p>
        </w:tc>
        <w:tc>
          <w:tcPr>
            <w:tcW w:w="741" w:type="dxa"/>
            <w:shd w:val="clear" w:color="auto" w:fill="FFFFFF" w:themeFill="background1"/>
            <w:vAlign w:val="center"/>
          </w:tcPr>
          <w:p w14:paraId="56F9316C" w14:textId="77777777" w:rsidR="00632E5B" w:rsidRPr="000676A6" w:rsidRDefault="00632E5B">
            <w:pPr>
              <w:spacing w:line="240" w:lineRule="exact"/>
              <w:jc w:val="right"/>
              <w:rPr>
                <w:rFonts w:ascii="宋体" w:eastAsia="宋体" w:hAnsi="宋体" w:cs="宋体" w:hint="eastAsia"/>
                <w:sz w:val="15"/>
                <w:szCs w:val="15"/>
              </w:rPr>
            </w:pPr>
          </w:p>
        </w:tc>
        <w:tc>
          <w:tcPr>
            <w:tcW w:w="741" w:type="dxa"/>
            <w:shd w:val="clear" w:color="auto" w:fill="FFFFFF" w:themeFill="background1"/>
            <w:vAlign w:val="center"/>
          </w:tcPr>
          <w:p w14:paraId="30E9E296" w14:textId="77777777" w:rsidR="00632E5B" w:rsidRPr="000676A6" w:rsidRDefault="00632E5B">
            <w:pPr>
              <w:spacing w:line="240" w:lineRule="exact"/>
              <w:jc w:val="right"/>
              <w:rPr>
                <w:rFonts w:ascii="宋体" w:eastAsia="宋体" w:hAnsi="宋体" w:cs="宋体" w:hint="eastAsia"/>
                <w:sz w:val="15"/>
                <w:szCs w:val="15"/>
              </w:rPr>
            </w:pPr>
          </w:p>
        </w:tc>
        <w:tc>
          <w:tcPr>
            <w:tcW w:w="741" w:type="dxa"/>
            <w:shd w:val="clear" w:color="auto" w:fill="FFFFFF" w:themeFill="background1"/>
            <w:vAlign w:val="center"/>
          </w:tcPr>
          <w:p w14:paraId="17A672FB" w14:textId="77777777" w:rsidR="00632E5B" w:rsidRPr="000676A6" w:rsidRDefault="00632E5B">
            <w:pPr>
              <w:spacing w:line="240" w:lineRule="exact"/>
              <w:jc w:val="right"/>
              <w:rPr>
                <w:rFonts w:ascii="宋体" w:eastAsia="宋体" w:hAnsi="宋体" w:cs="宋体" w:hint="eastAsia"/>
                <w:sz w:val="15"/>
                <w:szCs w:val="15"/>
              </w:rPr>
            </w:pPr>
          </w:p>
        </w:tc>
        <w:tc>
          <w:tcPr>
            <w:tcW w:w="1179" w:type="dxa"/>
            <w:shd w:val="clear" w:color="auto" w:fill="FFFFFF" w:themeFill="background1"/>
            <w:vAlign w:val="center"/>
          </w:tcPr>
          <w:p w14:paraId="6795BC88" w14:textId="77777777" w:rsidR="00632E5B" w:rsidRPr="000676A6" w:rsidRDefault="00107901">
            <w:pPr>
              <w:spacing w:line="240" w:lineRule="exact"/>
              <w:jc w:val="right"/>
              <w:rPr>
                <w:rFonts w:ascii="宋体" w:eastAsia="宋体" w:hAnsi="宋体" w:cs="宋体" w:hint="eastAsia"/>
                <w:sz w:val="15"/>
                <w:szCs w:val="15"/>
              </w:rPr>
            </w:pPr>
            <w:r w:rsidRPr="000676A6">
              <w:rPr>
                <w:rFonts w:ascii="宋体" w:eastAsia="宋体" w:hAnsi="宋体" w:cs="宋体"/>
                <w:sz w:val="15"/>
                <w:szCs w:val="15"/>
              </w:rPr>
              <w:t>-240,222.20</w:t>
            </w:r>
          </w:p>
        </w:tc>
        <w:tc>
          <w:tcPr>
            <w:tcW w:w="741" w:type="dxa"/>
            <w:shd w:val="clear" w:color="auto" w:fill="FFFFFF" w:themeFill="background1"/>
            <w:vAlign w:val="center"/>
          </w:tcPr>
          <w:p w14:paraId="766E93D5" w14:textId="77777777" w:rsidR="00632E5B" w:rsidRPr="000676A6" w:rsidRDefault="00632E5B">
            <w:pPr>
              <w:spacing w:line="240" w:lineRule="exact"/>
              <w:jc w:val="right"/>
              <w:rPr>
                <w:rFonts w:ascii="宋体" w:eastAsia="宋体" w:hAnsi="宋体" w:cs="宋体" w:hint="eastAsia"/>
                <w:sz w:val="15"/>
                <w:szCs w:val="15"/>
              </w:rPr>
            </w:pPr>
          </w:p>
        </w:tc>
        <w:tc>
          <w:tcPr>
            <w:tcW w:w="642" w:type="dxa"/>
            <w:shd w:val="clear" w:color="auto" w:fill="FFFFFF" w:themeFill="background1"/>
            <w:vAlign w:val="center"/>
          </w:tcPr>
          <w:p w14:paraId="0B2A37D6" w14:textId="77777777" w:rsidR="00632E5B" w:rsidRPr="000676A6" w:rsidRDefault="00632E5B">
            <w:pPr>
              <w:spacing w:line="240" w:lineRule="exact"/>
              <w:jc w:val="right"/>
              <w:rPr>
                <w:rFonts w:ascii="宋体" w:eastAsia="宋体" w:hAnsi="宋体" w:cs="宋体" w:hint="eastAsia"/>
                <w:sz w:val="15"/>
                <w:szCs w:val="15"/>
              </w:rPr>
            </w:pPr>
          </w:p>
        </w:tc>
        <w:tc>
          <w:tcPr>
            <w:tcW w:w="741" w:type="dxa"/>
            <w:shd w:val="clear" w:color="auto" w:fill="FFFFFF" w:themeFill="background1"/>
            <w:vAlign w:val="center"/>
          </w:tcPr>
          <w:p w14:paraId="6DACBE1E" w14:textId="77777777" w:rsidR="00632E5B" w:rsidRPr="000676A6" w:rsidRDefault="00632E5B">
            <w:pPr>
              <w:spacing w:line="240" w:lineRule="exact"/>
              <w:jc w:val="right"/>
              <w:rPr>
                <w:rFonts w:ascii="宋体" w:eastAsia="宋体" w:hAnsi="宋体" w:cs="宋体" w:hint="eastAsia"/>
                <w:sz w:val="15"/>
                <w:szCs w:val="15"/>
              </w:rPr>
            </w:pPr>
          </w:p>
        </w:tc>
        <w:tc>
          <w:tcPr>
            <w:tcW w:w="1287" w:type="dxa"/>
            <w:shd w:val="clear" w:color="auto" w:fill="FFFFFF" w:themeFill="background1"/>
            <w:vAlign w:val="center"/>
          </w:tcPr>
          <w:p w14:paraId="170679A4" w14:textId="77777777" w:rsidR="00632E5B" w:rsidRPr="000676A6" w:rsidRDefault="00107901">
            <w:pPr>
              <w:spacing w:line="240" w:lineRule="exact"/>
              <w:jc w:val="right"/>
              <w:rPr>
                <w:rFonts w:ascii="宋体" w:eastAsia="宋体" w:hAnsi="宋体" w:cs="宋体" w:hint="eastAsia"/>
                <w:sz w:val="15"/>
                <w:szCs w:val="15"/>
              </w:rPr>
            </w:pPr>
            <w:r w:rsidRPr="000676A6">
              <w:rPr>
                <w:rFonts w:ascii="宋体" w:eastAsia="宋体" w:hAnsi="宋体" w:cs="宋体"/>
                <w:sz w:val="15"/>
                <w:szCs w:val="15"/>
              </w:rPr>
              <w:t>13,918,066.11</w:t>
            </w:r>
          </w:p>
        </w:tc>
        <w:tc>
          <w:tcPr>
            <w:tcW w:w="382" w:type="dxa"/>
            <w:shd w:val="clear" w:color="auto" w:fill="FFFFFF" w:themeFill="background1"/>
            <w:vAlign w:val="center"/>
          </w:tcPr>
          <w:p w14:paraId="6E753C0D" w14:textId="77777777" w:rsidR="00632E5B" w:rsidRPr="000676A6" w:rsidRDefault="00632E5B">
            <w:pPr>
              <w:spacing w:line="240" w:lineRule="exact"/>
              <w:jc w:val="right"/>
              <w:rPr>
                <w:rFonts w:ascii="宋体" w:eastAsia="宋体" w:hAnsi="宋体" w:cs="宋体" w:hint="eastAsia"/>
                <w:sz w:val="15"/>
                <w:szCs w:val="15"/>
              </w:rPr>
            </w:pPr>
          </w:p>
        </w:tc>
        <w:tc>
          <w:tcPr>
            <w:tcW w:w="741" w:type="dxa"/>
            <w:shd w:val="clear" w:color="auto" w:fill="FFFFFF" w:themeFill="background1"/>
            <w:vAlign w:val="center"/>
          </w:tcPr>
          <w:p w14:paraId="228DB6C3" w14:textId="77777777" w:rsidR="00632E5B" w:rsidRPr="000676A6" w:rsidRDefault="00632E5B">
            <w:pPr>
              <w:spacing w:line="240" w:lineRule="exact"/>
              <w:jc w:val="right"/>
              <w:rPr>
                <w:rFonts w:ascii="宋体" w:eastAsia="宋体" w:hAnsi="宋体" w:cs="宋体" w:hint="eastAsia"/>
                <w:sz w:val="15"/>
                <w:szCs w:val="15"/>
              </w:rPr>
            </w:pPr>
          </w:p>
        </w:tc>
        <w:tc>
          <w:tcPr>
            <w:tcW w:w="1244" w:type="dxa"/>
            <w:shd w:val="clear" w:color="auto" w:fill="FFFFFF" w:themeFill="background1"/>
            <w:vAlign w:val="center"/>
          </w:tcPr>
          <w:p w14:paraId="31A90A04" w14:textId="77777777" w:rsidR="00632E5B" w:rsidRPr="000676A6" w:rsidRDefault="00107901">
            <w:pPr>
              <w:spacing w:line="240" w:lineRule="exact"/>
              <w:jc w:val="right"/>
              <w:rPr>
                <w:rFonts w:ascii="宋体" w:eastAsia="宋体" w:hAnsi="宋体" w:cs="宋体" w:hint="eastAsia"/>
                <w:sz w:val="15"/>
                <w:szCs w:val="15"/>
              </w:rPr>
            </w:pPr>
            <w:r w:rsidRPr="000676A6">
              <w:rPr>
                <w:rFonts w:ascii="宋体" w:eastAsia="宋体" w:hAnsi="宋体" w:cs="宋体"/>
                <w:sz w:val="15"/>
                <w:szCs w:val="15"/>
              </w:rPr>
              <w:t>13,918,066.11</w:t>
            </w:r>
          </w:p>
        </w:tc>
      </w:tr>
      <w:tr w:rsidR="00632E5B" w14:paraId="11641829" w14:textId="77777777" w:rsidTr="001F5A64">
        <w:trPr>
          <w:trHeight w:val="240"/>
          <w:jc w:val="center"/>
        </w:trPr>
        <w:tc>
          <w:tcPr>
            <w:tcW w:w="741" w:type="dxa"/>
            <w:shd w:val="clear" w:color="auto" w:fill="FFFFFF" w:themeFill="background1"/>
            <w:vAlign w:val="center"/>
          </w:tcPr>
          <w:p w14:paraId="2E80CBE9"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小计</w:t>
            </w:r>
          </w:p>
        </w:tc>
        <w:tc>
          <w:tcPr>
            <w:tcW w:w="1275" w:type="dxa"/>
            <w:shd w:val="clear" w:color="auto" w:fill="FFFFFF" w:themeFill="background1"/>
            <w:vAlign w:val="center"/>
          </w:tcPr>
          <w:p w14:paraId="1E1B7660" w14:textId="77777777" w:rsidR="00632E5B" w:rsidRPr="000676A6" w:rsidRDefault="00107901">
            <w:pPr>
              <w:spacing w:line="240" w:lineRule="exact"/>
              <w:jc w:val="right"/>
              <w:rPr>
                <w:rFonts w:ascii="宋体" w:eastAsia="宋体" w:hAnsi="宋体" w:cs="宋体" w:hint="eastAsia"/>
                <w:sz w:val="15"/>
                <w:szCs w:val="15"/>
              </w:rPr>
            </w:pPr>
            <w:r w:rsidRPr="000676A6">
              <w:rPr>
                <w:rFonts w:ascii="宋体" w:eastAsia="宋体" w:hAnsi="宋体" w:cs="宋体"/>
                <w:sz w:val="15"/>
                <w:szCs w:val="15"/>
              </w:rPr>
              <w:t>14,158,288.31</w:t>
            </w:r>
          </w:p>
        </w:tc>
        <w:tc>
          <w:tcPr>
            <w:tcW w:w="741" w:type="dxa"/>
            <w:shd w:val="clear" w:color="auto" w:fill="FFFFFF" w:themeFill="background1"/>
            <w:vAlign w:val="center"/>
          </w:tcPr>
          <w:p w14:paraId="1E98F45A" w14:textId="77777777" w:rsidR="00632E5B" w:rsidRPr="000676A6" w:rsidRDefault="00632E5B">
            <w:pPr>
              <w:spacing w:line="240" w:lineRule="exact"/>
              <w:jc w:val="right"/>
              <w:rPr>
                <w:rFonts w:ascii="宋体" w:eastAsia="宋体" w:hAnsi="宋体" w:cs="宋体" w:hint="eastAsia"/>
                <w:sz w:val="15"/>
                <w:szCs w:val="15"/>
              </w:rPr>
            </w:pPr>
          </w:p>
        </w:tc>
        <w:tc>
          <w:tcPr>
            <w:tcW w:w="741" w:type="dxa"/>
            <w:shd w:val="clear" w:color="auto" w:fill="FFFFFF" w:themeFill="background1"/>
            <w:vAlign w:val="center"/>
          </w:tcPr>
          <w:p w14:paraId="6CE2F25D" w14:textId="77777777" w:rsidR="00632E5B" w:rsidRPr="000676A6" w:rsidRDefault="00632E5B">
            <w:pPr>
              <w:spacing w:line="240" w:lineRule="exact"/>
              <w:jc w:val="right"/>
              <w:rPr>
                <w:rFonts w:ascii="宋体" w:eastAsia="宋体" w:hAnsi="宋体" w:cs="宋体" w:hint="eastAsia"/>
                <w:sz w:val="15"/>
                <w:szCs w:val="15"/>
              </w:rPr>
            </w:pPr>
          </w:p>
        </w:tc>
        <w:tc>
          <w:tcPr>
            <w:tcW w:w="741" w:type="dxa"/>
            <w:shd w:val="clear" w:color="auto" w:fill="FFFFFF" w:themeFill="background1"/>
            <w:vAlign w:val="center"/>
          </w:tcPr>
          <w:p w14:paraId="5978D989" w14:textId="77777777" w:rsidR="00632E5B" w:rsidRPr="000676A6" w:rsidRDefault="00632E5B">
            <w:pPr>
              <w:spacing w:line="240" w:lineRule="exact"/>
              <w:jc w:val="right"/>
              <w:rPr>
                <w:rFonts w:ascii="宋体" w:eastAsia="宋体" w:hAnsi="宋体" w:cs="宋体" w:hint="eastAsia"/>
                <w:sz w:val="15"/>
                <w:szCs w:val="15"/>
              </w:rPr>
            </w:pPr>
          </w:p>
        </w:tc>
        <w:tc>
          <w:tcPr>
            <w:tcW w:w="1179" w:type="dxa"/>
            <w:shd w:val="clear" w:color="auto" w:fill="FFFFFF" w:themeFill="background1"/>
            <w:vAlign w:val="center"/>
          </w:tcPr>
          <w:p w14:paraId="0C3E5170" w14:textId="77777777" w:rsidR="00632E5B" w:rsidRPr="000676A6" w:rsidRDefault="00107901">
            <w:pPr>
              <w:spacing w:line="240" w:lineRule="exact"/>
              <w:jc w:val="right"/>
              <w:rPr>
                <w:rFonts w:ascii="宋体" w:eastAsia="宋体" w:hAnsi="宋体" w:cs="宋体" w:hint="eastAsia"/>
                <w:sz w:val="15"/>
                <w:szCs w:val="15"/>
              </w:rPr>
            </w:pPr>
            <w:r w:rsidRPr="000676A6">
              <w:rPr>
                <w:rFonts w:ascii="宋体" w:eastAsia="宋体" w:hAnsi="宋体" w:cs="宋体"/>
                <w:sz w:val="15"/>
                <w:szCs w:val="15"/>
              </w:rPr>
              <w:t>-240,222.20</w:t>
            </w:r>
          </w:p>
        </w:tc>
        <w:tc>
          <w:tcPr>
            <w:tcW w:w="741" w:type="dxa"/>
            <w:shd w:val="clear" w:color="auto" w:fill="FFFFFF" w:themeFill="background1"/>
            <w:vAlign w:val="center"/>
          </w:tcPr>
          <w:p w14:paraId="4DC6E20B" w14:textId="77777777" w:rsidR="00632E5B" w:rsidRPr="000676A6" w:rsidRDefault="00632E5B">
            <w:pPr>
              <w:spacing w:line="240" w:lineRule="exact"/>
              <w:jc w:val="right"/>
              <w:rPr>
                <w:rFonts w:ascii="宋体" w:eastAsia="宋体" w:hAnsi="宋体" w:cs="宋体" w:hint="eastAsia"/>
                <w:sz w:val="15"/>
                <w:szCs w:val="15"/>
              </w:rPr>
            </w:pPr>
          </w:p>
        </w:tc>
        <w:tc>
          <w:tcPr>
            <w:tcW w:w="642" w:type="dxa"/>
            <w:shd w:val="clear" w:color="auto" w:fill="FFFFFF" w:themeFill="background1"/>
            <w:vAlign w:val="center"/>
          </w:tcPr>
          <w:p w14:paraId="61DAAE37" w14:textId="77777777" w:rsidR="00632E5B" w:rsidRPr="000676A6" w:rsidRDefault="00632E5B">
            <w:pPr>
              <w:spacing w:line="240" w:lineRule="exact"/>
              <w:jc w:val="right"/>
              <w:rPr>
                <w:rFonts w:ascii="宋体" w:eastAsia="宋体" w:hAnsi="宋体" w:cs="宋体" w:hint="eastAsia"/>
                <w:sz w:val="15"/>
                <w:szCs w:val="15"/>
              </w:rPr>
            </w:pPr>
          </w:p>
        </w:tc>
        <w:tc>
          <w:tcPr>
            <w:tcW w:w="741" w:type="dxa"/>
            <w:shd w:val="clear" w:color="auto" w:fill="FFFFFF" w:themeFill="background1"/>
            <w:vAlign w:val="center"/>
          </w:tcPr>
          <w:p w14:paraId="1D5A553D" w14:textId="77777777" w:rsidR="00632E5B" w:rsidRPr="000676A6" w:rsidRDefault="00632E5B">
            <w:pPr>
              <w:spacing w:line="240" w:lineRule="exact"/>
              <w:jc w:val="right"/>
              <w:rPr>
                <w:rFonts w:ascii="宋体" w:eastAsia="宋体" w:hAnsi="宋体" w:cs="宋体" w:hint="eastAsia"/>
                <w:sz w:val="15"/>
                <w:szCs w:val="15"/>
              </w:rPr>
            </w:pPr>
          </w:p>
        </w:tc>
        <w:tc>
          <w:tcPr>
            <w:tcW w:w="1287" w:type="dxa"/>
            <w:shd w:val="clear" w:color="auto" w:fill="FFFFFF" w:themeFill="background1"/>
            <w:vAlign w:val="center"/>
          </w:tcPr>
          <w:p w14:paraId="2D84D629" w14:textId="77777777" w:rsidR="00632E5B" w:rsidRPr="000676A6" w:rsidRDefault="00107901">
            <w:pPr>
              <w:spacing w:line="240" w:lineRule="exact"/>
              <w:jc w:val="right"/>
              <w:rPr>
                <w:rFonts w:ascii="宋体" w:eastAsia="宋体" w:hAnsi="宋体" w:cs="宋体" w:hint="eastAsia"/>
                <w:sz w:val="15"/>
                <w:szCs w:val="15"/>
              </w:rPr>
            </w:pPr>
            <w:r w:rsidRPr="000676A6">
              <w:rPr>
                <w:rFonts w:ascii="宋体" w:eastAsia="宋体" w:hAnsi="宋体" w:cs="宋体"/>
                <w:sz w:val="15"/>
                <w:szCs w:val="15"/>
              </w:rPr>
              <w:t>13,918,066.11</w:t>
            </w:r>
          </w:p>
        </w:tc>
        <w:tc>
          <w:tcPr>
            <w:tcW w:w="382" w:type="dxa"/>
            <w:shd w:val="clear" w:color="auto" w:fill="FFFFFF" w:themeFill="background1"/>
            <w:vAlign w:val="center"/>
          </w:tcPr>
          <w:p w14:paraId="5C18A3EE" w14:textId="77777777" w:rsidR="00632E5B" w:rsidRPr="000676A6" w:rsidRDefault="00632E5B">
            <w:pPr>
              <w:spacing w:line="240" w:lineRule="exact"/>
              <w:jc w:val="right"/>
              <w:rPr>
                <w:rFonts w:ascii="宋体" w:eastAsia="宋体" w:hAnsi="宋体" w:cs="宋体" w:hint="eastAsia"/>
                <w:sz w:val="15"/>
                <w:szCs w:val="15"/>
              </w:rPr>
            </w:pPr>
          </w:p>
        </w:tc>
        <w:tc>
          <w:tcPr>
            <w:tcW w:w="741" w:type="dxa"/>
            <w:shd w:val="clear" w:color="auto" w:fill="FFFFFF" w:themeFill="background1"/>
            <w:vAlign w:val="center"/>
          </w:tcPr>
          <w:p w14:paraId="3855D4C7" w14:textId="77777777" w:rsidR="00632E5B" w:rsidRPr="000676A6" w:rsidRDefault="00632E5B">
            <w:pPr>
              <w:spacing w:line="240" w:lineRule="exact"/>
              <w:jc w:val="right"/>
              <w:rPr>
                <w:rFonts w:ascii="宋体" w:eastAsia="宋体" w:hAnsi="宋体" w:cs="宋体" w:hint="eastAsia"/>
                <w:sz w:val="15"/>
                <w:szCs w:val="15"/>
              </w:rPr>
            </w:pPr>
          </w:p>
        </w:tc>
        <w:tc>
          <w:tcPr>
            <w:tcW w:w="1244" w:type="dxa"/>
            <w:shd w:val="clear" w:color="auto" w:fill="FFFFFF" w:themeFill="background1"/>
            <w:vAlign w:val="center"/>
          </w:tcPr>
          <w:p w14:paraId="4FD09EAC" w14:textId="77777777" w:rsidR="00632E5B" w:rsidRPr="000676A6" w:rsidRDefault="00107901">
            <w:pPr>
              <w:spacing w:line="240" w:lineRule="exact"/>
              <w:jc w:val="right"/>
              <w:rPr>
                <w:rFonts w:ascii="宋体" w:eastAsia="宋体" w:hAnsi="宋体" w:cs="宋体" w:hint="eastAsia"/>
                <w:sz w:val="15"/>
                <w:szCs w:val="15"/>
              </w:rPr>
            </w:pPr>
            <w:r w:rsidRPr="000676A6">
              <w:rPr>
                <w:rFonts w:ascii="宋体" w:eastAsia="宋体" w:hAnsi="宋体" w:cs="宋体"/>
                <w:sz w:val="15"/>
                <w:szCs w:val="15"/>
              </w:rPr>
              <w:t>13,918,066.11</w:t>
            </w:r>
          </w:p>
        </w:tc>
      </w:tr>
      <w:tr w:rsidR="00632E5B" w14:paraId="6F7A2E98" w14:textId="77777777" w:rsidTr="001F5A64">
        <w:trPr>
          <w:trHeight w:val="240"/>
          <w:jc w:val="center"/>
        </w:trPr>
        <w:tc>
          <w:tcPr>
            <w:tcW w:w="741" w:type="dxa"/>
            <w:shd w:val="clear" w:color="auto" w:fill="FFFFFF" w:themeFill="background1"/>
            <w:vAlign w:val="center"/>
          </w:tcPr>
          <w:p w14:paraId="47FF910B"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275" w:type="dxa"/>
            <w:shd w:val="clear" w:color="auto" w:fill="FFFFFF" w:themeFill="background1"/>
            <w:vAlign w:val="center"/>
          </w:tcPr>
          <w:p w14:paraId="326C3D05" w14:textId="77777777" w:rsidR="00632E5B" w:rsidRPr="000676A6" w:rsidRDefault="00107901">
            <w:pPr>
              <w:spacing w:line="240" w:lineRule="exact"/>
              <w:jc w:val="right"/>
              <w:rPr>
                <w:rFonts w:ascii="宋体" w:eastAsia="宋体" w:hAnsi="宋体" w:cs="宋体" w:hint="eastAsia"/>
                <w:sz w:val="15"/>
                <w:szCs w:val="15"/>
              </w:rPr>
            </w:pPr>
            <w:r w:rsidRPr="000676A6">
              <w:rPr>
                <w:rFonts w:ascii="宋体" w:eastAsia="宋体" w:hAnsi="宋体" w:cs="宋体"/>
                <w:sz w:val="15"/>
                <w:szCs w:val="15"/>
              </w:rPr>
              <w:t>14,158,288.31</w:t>
            </w:r>
          </w:p>
        </w:tc>
        <w:tc>
          <w:tcPr>
            <w:tcW w:w="741" w:type="dxa"/>
            <w:shd w:val="clear" w:color="auto" w:fill="FFFFFF" w:themeFill="background1"/>
            <w:vAlign w:val="center"/>
          </w:tcPr>
          <w:p w14:paraId="7D6DC37A" w14:textId="77777777" w:rsidR="00632E5B" w:rsidRPr="000676A6" w:rsidRDefault="00632E5B">
            <w:pPr>
              <w:spacing w:line="240" w:lineRule="exact"/>
              <w:jc w:val="right"/>
              <w:rPr>
                <w:rFonts w:ascii="宋体" w:eastAsia="宋体" w:hAnsi="宋体" w:cs="宋体" w:hint="eastAsia"/>
                <w:sz w:val="15"/>
                <w:szCs w:val="15"/>
              </w:rPr>
            </w:pPr>
          </w:p>
        </w:tc>
        <w:tc>
          <w:tcPr>
            <w:tcW w:w="741" w:type="dxa"/>
            <w:shd w:val="clear" w:color="auto" w:fill="FFFFFF" w:themeFill="background1"/>
            <w:vAlign w:val="center"/>
          </w:tcPr>
          <w:p w14:paraId="76F11747" w14:textId="77777777" w:rsidR="00632E5B" w:rsidRPr="000676A6" w:rsidRDefault="00632E5B">
            <w:pPr>
              <w:spacing w:line="240" w:lineRule="exact"/>
              <w:jc w:val="right"/>
              <w:rPr>
                <w:rFonts w:ascii="宋体" w:eastAsia="宋体" w:hAnsi="宋体" w:cs="宋体" w:hint="eastAsia"/>
                <w:sz w:val="15"/>
                <w:szCs w:val="15"/>
              </w:rPr>
            </w:pPr>
          </w:p>
        </w:tc>
        <w:tc>
          <w:tcPr>
            <w:tcW w:w="741" w:type="dxa"/>
            <w:shd w:val="clear" w:color="auto" w:fill="FFFFFF" w:themeFill="background1"/>
            <w:vAlign w:val="center"/>
          </w:tcPr>
          <w:p w14:paraId="1A16F7A8" w14:textId="77777777" w:rsidR="00632E5B" w:rsidRPr="000676A6" w:rsidRDefault="00632E5B">
            <w:pPr>
              <w:spacing w:line="240" w:lineRule="exact"/>
              <w:jc w:val="right"/>
              <w:rPr>
                <w:rFonts w:ascii="宋体" w:eastAsia="宋体" w:hAnsi="宋体" w:cs="宋体" w:hint="eastAsia"/>
                <w:sz w:val="15"/>
                <w:szCs w:val="15"/>
              </w:rPr>
            </w:pPr>
          </w:p>
        </w:tc>
        <w:tc>
          <w:tcPr>
            <w:tcW w:w="1179" w:type="dxa"/>
            <w:shd w:val="clear" w:color="auto" w:fill="FFFFFF" w:themeFill="background1"/>
            <w:vAlign w:val="center"/>
          </w:tcPr>
          <w:p w14:paraId="7E279B0E" w14:textId="77777777" w:rsidR="00632E5B" w:rsidRPr="000676A6" w:rsidRDefault="00107901">
            <w:pPr>
              <w:spacing w:line="240" w:lineRule="exact"/>
              <w:jc w:val="right"/>
              <w:rPr>
                <w:rFonts w:ascii="宋体" w:eastAsia="宋体" w:hAnsi="宋体" w:cs="宋体" w:hint="eastAsia"/>
                <w:sz w:val="15"/>
                <w:szCs w:val="15"/>
              </w:rPr>
            </w:pPr>
            <w:r w:rsidRPr="000676A6">
              <w:rPr>
                <w:rFonts w:ascii="宋体" w:eastAsia="宋体" w:hAnsi="宋体" w:cs="宋体"/>
                <w:sz w:val="15"/>
                <w:szCs w:val="15"/>
              </w:rPr>
              <w:t>-240,222.20</w:t>
            </w:r>
          </w:p>
        </w:tc>
        <w:tc>
          <w:tcPr>
            <w:tcW w:w="741" w:type="dxa"/>
            <w:shd w:val="clear" w:color="auto" w:fill="FFFFFF" w:themeFill="background1"/>
            <w:vAlign w:val="center"/>
          </w:tcPr>
          <w:p w14:paraId="50745CAC" w14:textId="77777777" w:rsidR="00632E5B" w:rsidRPr="000676A6" w:rsidRDefault="00632E5B">
            <w:pPr>
              <w:spacing w:line="240" w:lineRule="exact"/>
              <w:jc w:val="right"/>
              <w:rPr>
                <w:rFonts w:ascii="宋体" w:eastAsia="宋体" w:hAnsi="宋体" w:cs="宋体" w:hint="eastAsia"/>
                <w:sz w:val="15"/>
                <w:szCs w:val="15"/>
              </w:rPr>
            </w:pPr>
          </w:p>
        </w:tc>
        <w:tc>
          <w:tcPr>
            <w:tcW w:w="642" w:type="dxa"/>
            <w:shd w:val="clear" w:color="auto" w:fill="FFFFFF" w:themeFill="background1"/>
            <w:vAlign w:val="center"/>
          </w:tcPr>
          <w:p w14:paraId="1B14249A" w14:textId="77777777" w:rsidR="00632E5B" w:rsidRPr="000676A6" w:rsidRDefault="00632E5B">
            <w:pPr>
              <w:spacing w:line="240" w:lineRule="exact"/>
              <w:jc w:val="right"/>
              <w:rPr>
                <w:rFonts w:ascii="宋体" w:eastAsia="宋体" w:hAnsi="宋体" w:cs="宋体" w:hint="eastAsia"/>
                <w:sz w:val="15"/>
                <w:szCs w:val="15"/>
              </w:rPr>
            </w:pPr>
          </w:p>
        </w:tc>
        <w:tc>
          <w:tcPr>
            <w:tcW w:w="741" w:type="dxa"/>
            <w:shd w:val="clear" w:color="auto" w:fill="FFFFFF" w:themeFill="background1"/>
            <w:vAlign w:val="center"/>
          </w:tcPr>
          <w:p w14:paraId="6ECCF3EC" w14:textId="77777777" w:rsidR="00632E5B" w:rsidRPr="000676A6" w:rsidRDefault="00632E5B">
            <w:pPr>
              <w:spacing w:line="240" w:lineRule="exact"/>
              <w:jc w:val="right"/>
              <w:rPr>
                <w:rFonts w:ascii="宋体" w:eastAsia="宋体" w:hAnsi="宋体" w:cs="宋体" w:hint="eastAsia"/>
                <w:sz w:val="15"/>
                <w:szCs w:val="15"/>
              </w:rPr>
            </w:pPr>
          </w:p>
        </w:tc>
        <w:tc>
          <w:tcPr>
            <w:tcW w:w="1287" w:type="dxa"/>
            <w:shd w:val="clear" w:color="auto" w:fill="FFFFFF" w:themeFill="background1"/>
            <w:vAlign w:val="center"/>
          </w:tcPr>
          <w:p w14:paraId="47B6859E" w14:textId="77777777" w:rsidR="00632E5B" w:rsidRPr="000676A6" w:rsidRDefault="00107901">
            <w:pPr>
              <w:spacing w:line="240" w:lineRule="exact"/>
              <w:jc w:val="right"/>
              <w:rPr>
                <w:rFonts w:ascii="宋体" w:eastAsia="宋体" w:hAnsi="宋体" w:cs="宋体" w:hint="eastAsia"/>
                <w:sz w:val="15"/>
                <w:szCs w:val="15"/>
              </w:rPr>
            </w:pPr>
            <w:r w:rsidRPr="000676A6">
              <w:rPr>
                <w:rFonts w:ascii="宋体" w:eastAsia="宋体" w:hAnsi="宋体" w:cs="宋体"/>
                <w:sz w:val="15"/>
                <w:szCs w:val="15"/>
              </w:rPr>
              <w:t>13,918,066.11</w:t>
            </w:r>
          </w:p>
        </w:tc>
        <w:tc>
          <w:tcPr>
            <w:tcW w:w="382" w:type="dxa"/>
            <w:shd w:val="clear" w:color="auto" w:fill="FFFFFF" w:themeFill="background1"/>
            <w:vAlign w:val="center"/>
          </w:tcPr>
          <w:p w14:paraId="4030D2FE" w14:textId="77777777" w:rsidR="00632E5B" w:rsidRPr="000676A6" w:rsidRDefault="00632E5B">
            <w:pPr>
              <w:spacing w:line="240" w:lineRule="exact"/>
              <w:jc w:val="right"/>
              <w:rPr>
                <w:rFonts w:ascii="宋体" w:eastAsia="宋体" w:hAnsi="宋体" w:cs="宋体" w:hint="eastAsia"/>
                <w:sz w:val="15"/>
                <w:szCs w:val="15"/>
              </w:rPr>
            </w:pPr>
          </w:p>
        </w:tc>
        <w:tc>
          <w:tcPr>
            <w:tcW w:w="741" w:type="dxa"/>
            <w:shd w:val="clear" w:color="auto" w:fill="FFFFFF" w:themeFill="background1"/>
            <w:vAlign w:val="center"/>
          </w:tcPr>
          <w:p w14:paraId="2C1B36E3" w14:textId="77777777" w:rsidR="00632E5B" w:rsidRPr="000676A6" w:rsidRDefault="00632E5B">
            <w:pPr>
              <w:spacing w:line="240" w:lineRule="exact"/>
              <w:jc w:val="right"/>
              <w:rPr>
                <w:rFonts w:ascii="宋体" w:eastAsia="宋体" w:hAnsi="宋体" w:cs="宋体" w:hint="eastAsia"/>
                <w:sz w:val="15"/>
                <w:szCs w:val="15"/>
              </w:rPr>
            </w:pPr>
          </w:p>
        </w:tc>
        <w:tc>
          <w:tcPr>
            <w:tcW w:w="1244" w:type="dxa"/>
            <w:shd w:val="clear" w:color="auto" w:fill="FFFFFF" w:themeFill="background1"/>
            <w:vAlign w:val="center"/>
          </w:tcPr>
          <w:p w14:paraId="2B15696C" w14:textId="77777777" w:rsidR="00632E5B" w:rsidRPr="000676A6" w:rsidRDefault="00107901">
            <w:pPr>
              <w:spacing w:line="240" w:lineRule="exact"/>
              <w:jc w:val="right"/>
              <w:rPr>
                <w:rFonts w:ascii="宋体" w:eastAsia="宋体" w:hAnsi="宋体" w:cs="宋体" w:hint="eastAsia"/>
                <w:sz w:val="15"/>
                <w:szCs w:val="15"/>
              </w:rPr>
            </w:pPr>
            <w:r w:rsidRPr="000676A6">
              <w:rPr>
                <w:rFonts w:ascii="宋体" w:eastAsia="宋体" w:hAnsi="宋体" w:cs="宋体"/>
                <w:sz w:val="15"/>
                <w:szCs w:val="15"/>
              </w:rPr>
              <w:t>13,918,066.11</w:t>
            </w:r>
          </w:p>
        </w:tc>
      </w:tr>
    </w:tbl>
    <w:p w14:paraId="3D5A7FAB"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可收回金额按公允价值减去处置费用后的净额确定</w:t>
      </w:r>
    </w:p>
    <w:p w14:paraId="53E0A61A"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6C510B42"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可收回金额按预计未来现金流量的现值确定</w:t>
      </w:r>
    </w:p>
    <w:p w14:paraId="7C29DEAE"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2A78F1AB"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其他说明：</w:t>
      </w:r>
    </w:p>
    <w:p w14:paraId="7CDBF8F2" w14:textId="77777777" w:rsidR="00E72F0C" w:rsidRDefault="00107901" w:rsidP="00255FB6">
      <w:pPr>
        <w:pStyle w:val="a3"/>
        <w:spacing w:before="0" w:beforeAutospacing="0" w:after="0" w:afterAutospacing="0"/>
        <w:divId w:val="2078941785"/>
        <w:rPr>
          <w:rFonts w:hint="eastAsia"/>
          <w:sz w:val="18"/>
          <w:szCs w:val="18"/>
        </w:rPr>
      </w:pPr>
      <w:r>
        <w:rPr>
          <w:rFonts w:hint="eastAsia"/>
          <w:sz w:val="18"/>
          <w:szCs w:val="18"/>
        </w:rPr>
        <w:t>  长期股权投资的减值测试情况：上海康速金属科技有限公司截止期末已经资不抵债，且2024年11月26日被列为失信被执行人，预计可收回金额为0。</w:t>
      </w:r>
    </w:p>
    <w:p w14:paraId="1DEA553A" w14:textId="77777777" w:rsidR="00632E5B" w:rsidRDefault="00107901">
      <w:pPr>
        <w:pStyle w:val="3"/>
        <w:spacing w:line="280" w:lineRule="exact"/>
        <w:jc w:val="left"/>
        <w:rPr>
          <w:rFonts w:ascii="宋体" w:hAnsi="宋体" w:cs="宋体" w:hint="eastAsia"/>
          <w:b/>
          <w:bCs/>
        </w:rPr>
      </w:pPr>
      <w:bookmarkStart w:id="242" w:name="_Toc989131"/>
      <w:r>
        <w:rPr>
          <w:rFonts w:ascii="宋体" w:hAnsi="宋体" w:cs="宋体"/>
          <w:b/>
          <w:bCs/>
        </w:rPr>
        <w:t>12、其他非流动金融资产</w:t>
      </w:r>
      <w:bookmarkEnd w:id="242"/>
    </w:p>
    <w:p w14:paraId="41D4488B"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673E10C1" w14:textId="77777777" w:rsidTr="001F5A64">
        <w:trPr>
          <w:trHeight w:val="240"/>
        </w:trPr>
        <w:tc>
          <w:tcPr>
            <w:tcW w:w="3213" w:type="dxa"/>
            <w:shd w:val="clear" w:color="auto" w:fill="FFFFFF" w:themeFill="background1"/>
            <w:vAlign w:val="center"/>
          </w:tcPr>
          <w:p w14:paraId="07EFD85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174C0F6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auto" w:fill="FFFFFF" w:themeFill="background1"/>
            <w:vAlign w:val="center"/>
          </w:tcPr>
          <w:p w14:paraId="5BF87F7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632E5B" w14:paraId="5F688962" w14:textId="77777777" w:rsidTr="001F5A64">
        <w:trPr>
          <w:trHeight w:val="240"/>
        </w:trPr>
        <w:tc>
          <w:tcPr>
            <w:tcW w:w="3213" w:type="dxa"/>
            <w:shd w:val="clear" w:color="auto" w:fill="FFFFFF" w:themeFill="background1"/>
            <w:vAlign w:val="center"/>
          </w:tcPr>
          <w:p w14:paraId="53159BD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铁岭新晖新能源有限公司</w:t>
            </w:r>
          </w:p>
        </w:tc>
        <w:tc>
          <w:tcPr>
            <w:tcW w:w="3213" w:type="dxa"/>
            <w:shd w:val="clear" w:color="auto" w:fill="FFFFFF" w:themeFill="background1"/>
            <w:vAlign w:val="center"/>
          </w:tcPr>
          <w:p w14:paraId="7F099918" w14:textId="77777777" w:rsidR="00632E5B" w:rsidRDefault="00632E5B">
            <w:pPr>
              <w:spacing w:line="240" w:lineRule="exact"/>
              <w:jc w:val="right"/>
              <w:rPr>
                <w:rFonts w:ascii="宋体" w:eastAsia="宋体" w:hAnsi="宋体" w:cs="宋体" w:hint="eastAsia"/>
                <w:sz w:val="18"/>
                <w:szCs w:val="18"/>
              </w:rPr>
            </w:pPr>
          </w:p>
        </w:tc>
        <w:tc>
          <w:tcPr>
            <w:tcW w:w="3213" w:type="dxa"/>
            <w:shd w:val="clear" w:color="auto" w:fill="FFFFFF" w:themeFill="background1"/>
            <w:vAlign w:val="center"/>
          </w:tcPr>
          <w:p w14:paraId="2E431AD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18,241,896.62</w:t>
            </w:r>
          </w:p>
        </w:tc>
      </w:tr>
      <w:tr w:rsidR="00632E5B" w14:paraId="0BD2235A" w14:textId="77777777" w:rsidTr="001F5A64">
        <w:trPr>
          <w:trHeight w:val="240"/>
        </w:trPr>
        <w:tc>
          <w:tcPr>
            <w:tcW w:w="3213" w:type="dxa"/>
            <w:shd w:val="clear" w:color="auto" w:fill="FFFFFF" w:themeFill="background1"/>
            <w:vAlign w:val="center"/>
          </w:tcPr>
          <w:p w14:paraId="486B5D0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铁岭旭晨光伏发电有限公司</w:t>
            </w:r>
          </w:p>
        </w:tc>
        <w:tc>
          <w:tcPr>
            <w:tcW w:w="3213" w:type="dxa"/>
            <w:shd w:val="clear" w:color="auto" w:fill="FFFFFF" w:themeFill="background1"/>
            <w:vAlign w:val="center"/>
          </w:tcPr>
          <w:p w14:paraId="59DD9D81" w14:textId="77777777" w:rsidR="00632E5B" w:rsidRDefault="00632E5B">
            <w:pPr>
              <w:spacing w:line="240" w:lineRule="exact"/>
              <w:jc w:val="right"/>
              <w:rPr>
                <w:rFonts w:ascii="宋体" w:eastAsia="宋体" w:hAnsi="宋体" w:cs="宋体" w:hint="eastAsia"/>
                <w:sz w:val="18"/>
                <w:szCs w:val="18"/>
              </w:rPr>
            </w:pPr>
          </w:p>
        </w:tc>
        <w:tc>
          <w:tcPr>
            <w:tcW w:w="3213" w:type="dxa"/>
            <w:shd w:val="clear" w:color="auto" w:fill="FFFFFF" w:themeFill="background1"/>
            <w:vAlign w:val="center"/>
          </w:tcPr>
          <w:p w14:paraId="25F0394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18,251,642.24</w:t>
            </w:r>
          </w:p>
        </w:tc>
      </w:tr>
      <w:tr w:rsidR="00632E5B" w14:paraId="666333AE" w14:textId="77777777" w:rsidTr="001F5A64">
        <w:trPr>
          <w:trHeight w:val="240"/>
        </w:trPr>
        <w:tc>
          <w:tcPr>
            <w:tcW w:w="3213" w:type="dxa"/>
            <w:shd w:val="clear" w:color="auto" w:fill="FFFFFF" w:themeFill="background1"/>
            <w:vAlign w:val="center"/>
          </w:tcPr>
          <w:p w14:paraId="17A2DCE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铁岭华荣光伏发电有限公司</w:t>
            </w:r>
          </w:p>
        </w:tc>
        <w:tc>
          <w:tcPr>
            <w:tcW w:w="3213" w:type="dxa"/>
            <w:shd w:val="clear" w:color="auto" w:fill="FFFFFF" w:themeFill="background1"/>
            <w:vAlign w:val="center"/>
          </w:tcPr>
          <w:p w14:paraId="5E01865F" w14:textId="77777777" w:rsidR="00632E5B" w:rsidRDefault="00632E5B">
            <w:pPr>
              <w:spacing w:line="240" w:lineRule="exact"/>
              <w:jc w:val="right"/>
              <w:rPr>
                <w:rFonts w:ascii="宋体" w:eastAsia="宋体" w:hAnsi="宋体" w:cs="宋体" w:hint="eastAsia"/>
                <w:sz w:val="18"/>
                <w:szCs w:val="18"/>
              </w:rPr>
            </w:pPr>
          </w:p>
        </w:tc>
        <w:tc>
          <w:tcPr>
            <w:tcW w:w="3213" w:type="dxa"/>
            <w:shd w:val="clear" w:color="auto" w:fill="FFFFFF" w:themeFill="background1"/>
            <w:vAlign w:val="center"/>
          </w:tcPr>
          <w:p w14:paraId="7B8CDF6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17,664,298.75</w:t>
            </w:r>
          </w:p>
        </w:tc>
      </w:tr>
      <w:tr w:rsidR="00632E5B" w14:paraId="098C7DD5" w14:textId="77777777" w:rsidTr="001F5A64">
        <w:trPr>
          <w:trHeight w:val="240"/>
        </w:trPr>
        <w:tc>
          <w:tcPr>
            <w:tcW w:w="3213" w:type="dxa"/>
            <w:shd w:val="clear" w:color="auto" w:fill="FFFFFF" w:themeFill="background1"/>
            <w:vAlign w:val="center"/>
          </w:tcPr>
          <w:p w14:paraId="06C27C2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铁岭轩诚光伏发电有限公司</w:t>
            </w:r>
          </w:p>
        </w:tc>
        <w:tc>
          <w:tcPr>
            <w:tcW w:w="3213" w:type="dxa"/>
            <w:shd w:val="clear" w:color="auto" w:fill="FFFFFF" w:themeFill="background1"/>
            <w:vAlign w:val="center"/>
          </w:tcPr>
          <w:p w14:paraId="6E215A6D" w14:textId="77777777" w:rsidR="00632E5B" w:rsidRDefault="00632E5B">
            <w:pPr>
              <w:spacing w:line="240" w:lineRule="exact"/>
              <w:jc w:val="right"/>
              <w:rPr>
                <w:rFonts w:ascii="宋体" w:eastAsia="宋体" w:hAnsi="宋体" w:cs="宋体" w:hint="eastAsia"/>
                <w:sz w:val="18"/>
                <w:szCs w:val="18"/>
              </w:rPr>
            </w:pPr>
          </w:p>
        </w:tc>
        <w:tc>
          <w:tcPr>
            <w:tcW w:w="3213" w:type="dxa"/>
            <w:shd w:val="clear" w:color="auto" w:fill="FFFFFF" w:themeFill="background1"/>
            <w:vAlign w:val="center"/>
          </w:tcPr>
          <w:p w14:paraId="1096F04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9,323,909.46</w:t>
            </w:r>
          </w:p>
        </w:tc>
      </w:tr>
      <w:tr w:rsidR="00632E5B" w14:paraId="36746068" w14:textId="77777777" w:rsidTr="001F5A64">
        <w:trPr>
          <w:trHeight w:val="240"/>
        </w:trPr>
        <w:tc>
          <w:tcPr>
            <w:tcW w:w="3213" w:type="dxa"/>
            <w:shd w:val="clear" w:color="auto" w:fill="FFFFFF" w:themeFill="background1"/>
            <w:vAlign w:val="center"/>
          </w:tcPr>
          <w:p w14:paraId="6DC4040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13DB94D4" w14:textId="77777777" w:rsidR="00632E5B" w:rsidRDefault="00632E5B">
            <w:pPr>
              <w:spacing w:line="240" w:lineRule="exact"/>
              <w:jc w:val="right"/>
              <w:rPr>
                <w:rFonts w:ascii="宋体" w:eastAsia="宋体" w:hAnsi="宋体" w:cs="宋体" w:hint="eastAsia"/>
                <w:sz w:val="18"/>
                <w:szCs w:val="18"/>
              </w:rPr>
            </w:pPr>
          </w:p>
        </w:tc>
        <w:tc>
          <w:tcPr>
            <w:tcW w:w="3213" w:type="dxa"/>
            <w:shd w:val="clear" w:color="auto" w:fill="FFFFFF" w:themeFill="background1"/>
            <w:vAlign w:val="center"/>
          </w:tcPr>
          <w:p w14:paraId="69E94E7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63,481,747.07</w:t>
            </w:r>
          </w:p>
        </w:tc>
      </w:tr>
    </w:tbl>
    <w:p w14:paraId="29A35790"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其他说明：</w:t>
      </w:r>
    </w:p>
    <w:p w14:paraId="7A630AB9" w14:textId="1FE2B2DF" w:rsidR="00E72F0C" w:rsidRDefault="00107901" w:rsidP="00EA536C">
      <w:pPr>
        <w:pStyle w:val="a3"/>
        <w:spacing w:before="0" w:beforeAutospacing="0" w:after="0" w:afterAutospacing="0"/>
        <w:divId w:val="853112585"/>
        <w:rPr>
          <w:rFonts w:hint="eastAsia"/>
          <w:sz w:val="18"/>
          <w:szCs w:val="18"/>
        </w:rPr>
      </w:pPr>
      <w:r>
        <w:rPr>
          <w:rFonts w:hint="eastAsia"/>
          <w:sz w:val="18"/>
          <w:szCs w:val="18"/>
        </w:rPr>
        <w:t>指定以公允价值计量且其变动计入当期损益的金融资产</w:t>
      </w:r>
      <w:r w:rsidR="00EA536C">
        <w:rPr>
          <w:rFonts w:hint="eastAsia"/>
          <w:sz w:val="18"/>
          <w:szCs w:val="18"/>
        </w:rPr>
        <w:t>。</w:t>
      </w:r>
    </w:p>
    <w:p w14:paraId="62B978C9" w14:textId="77777777" w:rsidR="00C8117C" w:rsidRDefault="00C8117C">
      <w:pPr>
        <w:widowControl/>
        <w:rPr>
          <w:rFonts w:ascii="宋体" w:eastAsia="宋体" w:hAnsi="宋体" w:cs="宋体" w:hint="eastAsia"/>
          <w:b/>
          <w:bCs/>
          <w:szCs w:val="21"/>
        </w:rPr>
      </w:pPr>
      <w:bookmarkStart w:id="243" w:name="_Toc989132"/>
      <w:r>
        <w:rPr>
          <w:rFonts w:ascii="宋体" w:hAnsi="宋体" w:cs="宋体"/>
          <w:b/>
          <w:bCs/>
        </w:rPr>
        <w:br w:type="page"/>
      </w:r>
    </w:p>
    <w:p w14:paraId="449F4C20" w14:textId="37EB8E28" w:rsidR="00632E5B" w:rsidRDefault="00107901">
      <w:pPr>
        <w:pStyle w:val="3"/>
        <w:spacing w:line="280" w:lineRule="exact"/>
        <w:jc w:val="left"/>
        <w:rPr>
          <w:rFonts w:ascii="宋体" w:hAnsi="宋体" w:cs="宋体" w:hint="eastAsia"/>
          <w:b/>
          <w:bCs/>
        </w:rPr>
      </w:pPr>
      <w:r>
        <w:rPr>
          <w:rFonts w:ascii="宋体" w:hAnsi="宋体" w:cs="宋体"/>
          <w:b/>
          <w:bCs/>
        </w:rPr>
        <w:lastRenderedPageBreak/>
        <w:t>13、固定资产</w:t>
      </w:r>
      <w:bookmarkEnd w:id="243"/>
    </w:p>
    <w:p w14:paraId="2E383746"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0B8637AC" w14:textId="77777777" w:rsidTr="001F5A64">
        <w:trPr>
          <w:trHeight w:val="240"/>
        </w:trPr>
        <w:tc>
          <w:tcPr>
            <w:tcW w:w="3213" w:type="dxa"/>
            <w:shd w:val="clear" w:color="auto" w:fill="FFFFFF" w:themeFill="background1"/>
            <w:vAlign w:val="center"/>
          </w:tcPr>
          <w:p w14:paraId="3DAD557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3DB58D2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auto" w:fill="FFFFFF" w:themeFill="background1"/>
            <w:vAlign w:val="center"/>
          </w:tcPr>
          <w:p w14:paraId="78F5DF5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632E5B" w14:paraId="33F993F7" w14:textId="77777777" w:rsidTr="001F5A64">
        <w:trPr>
          <w:trHeight w:val="240"/>
        </w:trPr>
        <w:tc>
          <w:tcPr>
            <w:tcW w:w="3213" w:type="dxa"/>
            <w:shd w:val="clear" w:color="auto" w:fill="FFFFFF" w:themeFill="background1"/>
            <w:vAlign w:val="center"/>
          </w:tcPr>
          <w:p w14:paraId="371268F9"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固定资产</w:t>
            </w:r>
          </w:p>
        </w:tc>
        <w:tc>
          <w:tcPr>
            <w:tcW w:w="3213" w:type="dxa"/>
            <w:shd w:val="clear" w:color="auto" w:fill="FFFFFF" w:themeFill="background1"/>
            <w:vAlign w:val="center"/>
          </w:tcPr>
          <w:p w14:paraId="5851E7B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1,308,107,733.97</w:t>
            </w:r>
          </w:p>
        </w:tc>
        <w:tc>
          <w:tcPr>
            <w:tcW w:w="3213" w:type="dxa"/>
            <w:shd w:val="clear" w:color="auto" w:fill="FFFFFF" w:themeFill="background1"/>
            <w:vAlign w:val="center"/>
          </w:tcPr>
          <w:p w14:paraId="5933D18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2,785,422,629.34</w:t>
            </w:r>
          </w:p>
        </w:tc>
      </w:tr>
      <w:tr w:rsidR="00632E5B" w14:paraId="07BF9BE5" w14:textId="77777777" w:rsidTr="001F5A64">
        <w:trPr>
          <w:trHeight w:val="240"/>
        </w:trPr>
        <w:tc>
          <w:tcPr>
            <w:tcW w:w="3213" w:type="dxa"/>
            <w:shd w:val="clear" w:color="auto" w:fill="FFFFFF" w:themeFill="background1"/>
            <w:vAlign w:val="center"/>
          </w:tcPr>
          <w:p w14:paraId="08AE2A80"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固定资产清理</w:t>
            </w:r>
          </w:p>
        </w:tc>
        <w:tc>
          <w:tcPr>
            <w:tcW w:w="3213" w:type="dxa"/>
            <w:shd w:val="clear" w:color="auto" w:fill="FFFFFF" w:themeFill="background1"/>
            <w:vAlign w:val="center"/>
          </w:tcPr>
          <w:p w14:paraId="1CA113B8" w14:textId="77777777" w:rsidR="00632E5B" w:rsidRDefault="00632E5B">
            <w:pPr>
              <w:spacing w:line="240" w:lineRule="exact"/>
              <w:jc w:val="right"/>
              <w:rPr>
                <w:rFonts w:ascii="宋体" w:eastAsia="宋体" w:hAnsi="宋体" w:cs="宋体" w:hint="eastAsia"/>
                <w:sz w:val="18"/>
                <w:szCs w:val="18"/>
              </w:rPr>
            </w:pPr>
          </w:p>
        </w:tc>
        <w:tc>
          <w:tcPr>
            <w:tcW w:w="3213" w:type="dxa"/>
            <w:shd w:val="clear" w:color="auto" w:fill="FFFFFF" w:themeFill="background1"/>
            <w:vAlign w:val="center"/>
          </w:tcPr>
          <w:p w14:paraId="6A7E3B8E" w14:textId="77777777" w:rsidR="00632E5B" w:rsidRDefault="00632E5B">
            <w:pPr>
              <w:spacing w:line="240" w:lineRule="exact"/>
              <w:jc w:val="right"/>
              <w:rPr>
                <w:rFonts w:ascii="宋体" w:eastAsia="宋体" w:hAnsi="宋体" w:cs="宋体" w:hint="eastAsia"/>
                <w:sz w:val="18"/>
                <w:szCs w:val="18"/>
              </w:rPr>
            </w:pPr>
          </w:p>
        </w:tc>
      </w:tr>
      <w:tr w:rsidR="00632E5B" w14:paraId="7915CA24" w14:textId="77777777" w:rsidTr="001F5A64">
        <w:trPr>
          <w:trHeight w:val="240"/>
        </w:trPr>
        <w:tc>
          <w:tcPr>
            <w:tcW w:w="3213" w:type="dxa"/>
            <w:shd w:val="clear" w:color="auto" w:fill="FFFFFF" w:themeFill="background1"/>
            <w:vAlign w:val="center"/>
          </w:tcPr>
          <w:p w14:paraId="5CCC437B"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2345B4B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1,308,107,733.97</w:t>
            </w:r>
          </w:p>
        </w:tc>
        <w:tc>
          <w:tcPr>
            <w:tcW w:w="3213" w:type="dxa"/>
            <w:shd w:val="clear" w:color="auto" w:fill="FFFFFF" w:themeFill="background1"/>
            <w:vAlign w:val="center"/>
          </w:tcPr>
          <w:p w14:paraId="443324C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2,785,422,629.34</w:t>
            </w:r>
          </w:p>
        </w:tc>
      </w:tr>
    </w:tbl>
    <w:p w14:paraId="53F8B299"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244" w:name="_Toc989133"/>
      <w:r>
        <w:rPr>
          <w:rFonts w:ascii="宋体" w:eastAsia="宋体" w:hAnsi="宋体" w:cs="宋体"/>
          <w:b/>
          <w:bCs/>
          <w:szCs w:val="21"/>
        </w:rPr>
        <w:t>（1） 固定资产情况</w:t>
      </w:r>
      <w:bookmarkEnd w:id="244"/>
    </w:p>
    <w:p w14:paraId="06E88A9A"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52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377"/>
        <w:gridCol w:w="1489"/>
        <w:gridCol w:w="1418"/>
        <w:gridCol w:w="1275"/>
        <w:gridCol w:w="1276"/>
        <w:gridCol w:w="1276"/>
        <w:gridCol w:w="1417"/>
      </w:tblGrid>
      <w:tr w:rsidR="00632E5B" w14:paraId="67DB0CC9" w14:textId="77777777" w:rsidTr="001F5A64">
        <w:trPr>
          <w:trHeight w:val="240"/>
        </w:trPr>
        <w:tc>
          <w:tcPr>
            <w:tcW w:w="1377" w:type="dxa"/>
            <w:shd w:val="clear" w:color="auto" w:fill="FFFFFF" w:themeFill="background1"/>
            <w:vAlign w:val="center"/>
          </w:tcPr>
          <w:p w14:paraId="2219E27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489" w:type="dxa"/>
            <w:shd w:val="clear" w:color="auto" w:fill="FFFFFF" w:themeFill="background1"/>
            <w:vAlign w:val="center"/>
          </w:tcPr>
          <w:p w14:paraId="561151EF" w14:textId="77777777" w:rsidR="00632E5B" w:rsidRDefault="00107901">
            <w:pPr>
              <w:spacing w:line="240" w:lineRule="exact"/>
              <w:jc w:val="center"/>
              <w:rPr>
                <w:rFonts w:ascii="宋体" w:eastAsia="宋体" w:hAnsi="宋体" w:cs="宋体" w:hint="eastAsia"/>
                <w:sz w:val="18"/>
                <w:szCs w:val="18"/>
              </w:rPr>
            </w:pPr>
            <w:r>
              <w:rPr>
                <w:rFonts w:ascii="宋体" w:eastAsia="宋体" w:hAnsi="宋体" w:cs="宋体"/>
                <w:sz w:val="18"/>
                <w:szCs w:val="18"/>
              </w:rPr>
              <w:t>房屋及建筑物</w:t>
            </w:r>
          </w:p>
        </w:tc>
        <w:tc>
          <w:tcPr>
            <w:tcW w:w="1418" w:type="dxa"/>
            <w:shd w:val="clear" w:color="auto" w:fill="FFFFFF" w:themeFill="background1"/>
            <w:vAlign w:val="center"/>
          </w:tcPr>
          <w:p w14:paraId="718116D6" w14:textId="77777777" w:rsidR="00632E5B" w:rsidRDefault="00107901">
            <w:pPr>
              <w:spacing w:line="240" w:lineRule="exact"/>
              <w:jc w:val="center"/>
              <w:rPr>
                <w:rFonts w:ascii="宋体" w:eastAsia="宋体" w:hAnsi="宋体" w:cs="宋体" w:hint="eastAsia"/>
                <w:sz w:val="18"/>
                <w:szCs w:val="18"/>
              </w:rPr>
            </w:pPr>
            <w:r>
              <w:rPr>
                <w:rFonts w:ascii="宋体" w:eastAsia="宋体" w:hAnsi="宋体" w:cs="宋体"/>
                <w:sz w:val="18"/>
                <w:szCs w:val="18"/>
              </w:rPr>
              <w:t>机器设备</w:t>
            </w:r>
          </w:p>
        </w:tc>
        <w:tc>
          <w:tcPr>
            <w:tcW w:w="1275" w:type="dxa"/>
            <w:shd w:val="clear" w:color="auto" w:fill="FFFFFF" w:themeFill="background1"/>
            <w:vAlign w:val="center"/>
          </w:tcPr>
          <w:p w14:paraId="005607DB" w14:textId="77777777" w:rsidR="00632E5B" w:rsidRDefault="00107901">
            <w:pPr>
              <w:spacing w:line="240" w:lineRule="exact"/>
              <w:jc w:val="center"/>
              <w:rPr>
                <w:rFonts w:ascii="宋体" w:eastAsia="宋体" w:hAnsi="宋体" w:cs="宋体" w:hint="eastAsia"/>
                <w:sz w:val="18"/>
                <w:szCs w:val="18"/>
              </w:rPr>
            </w:pPr>
            <w:r>
              <w:rPr>
                <w:rFonts w:ascii="宋体" w:eastAsia="宋体" w:hAnsi="宋体" w:cs="宋体"/>
                <w:sz w:val="18"/>
                <w:szCs w:val="18"/>
              </w:rPr>
              <w:t>运输设备</w:t>
            </w:r>
          </w:p>
        </w:tc>
        <w:tc>
          <w:tcPr>
            <w:tcW w:w="1276" w:type="dxa"/>
            <w:shd w:val="clear" w:color="auto" w:fill="FFFFFF" w:themeFill="background1"/>
            <w:vAlign w:val="center"/>
          </w:tcPr>
          <w:p w14:paraId="7F7816A0" w14:textId="77777777" w:rsidR="00632E5B" w:rsidRDefault="00107901">
            <w:pPr>
              <w:spacing w:line="240" w:lineRule="exact"/>
              <w:jc w:val="center"/>
              <w:rPr>
                <w:rFonts w:ascii="宋体" w:eastAsia="宋体" w:hAnsi="宋体" w:cs="宋体" w:hint="eastAsia"/>
                <w:sz w:val="18"/>
                <w:szCs w:val="18"/>
              </w:rPr>
            </w:pPr>
            <w:r>
              <w:rPr>
                <w:rFonts w:ascii="宋体" w:eastAsia="宋体" w:hAnsi="宋体" w:cs="宋体"/>
                <w:sz w:val="18"/>
                <w:szCs w:val="18"/>
              </w:rPr>
              <w:t>办公及其他设备</w:t>
            </w:r>
          </w:p>
        </w:tc>
        <w:tc>
          <w:tcPr>
            <w:tcW w:w="1276" w:type="dxa"/>
            <w:shd w:val="clear" w:color="auto" w:fill="FFFFFF" w:themeFill="background1"/>
            <w:vAlign w:val="center"/>
          </w:tcPr>
          <w:p w14:paraId="3D08EF90" w14:textId="77777777" w:rsidR="00632E5B" w:rsidRDefault="00107901">
            <w:pPr>
              <w:spacing w:line="240" w:lineRule="exact"/>
              <w:jc w:val="center"/>
              <w:rPr>
                <w:rFonts w:ascii="宋体" w:eastAsia="宋体" w:hAnsi="宋体" w:cs="宋体" w:hint="eastAsia"/>
                <w:sz w:val="18"/>
                <w:szCs w:val="18"/>
              </w:rPr>
            </w:pPr>
            <w:r>
              <w:rPr>
                <w:rFonts w:ascii="宋体" w:eastAsia="宋体" w:hAnsi="宋体" w:cs="宋体"/>
                <w:sz w:val="18"/>
                <w:szCs w:val="18"/>
              </w:rPr>
              <w:t>整体电站</w:t>
            </w:r>
          </w:p>
        </w:tc>
        <w:tc>
          <w:tcPr>
            <w:tcW w:w="1417" w:type="dxa"/>
            <w:shd w:val="clear" w:color="auto" w:fill="FFFFFF" w:themeFill="background1"/>
            <w:vAlign w:val="center"/>
          </w:tcPr>
          <w:p w14:paraId="1ADB3DB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合计</w:t>
            </w:r>
          </w:p>
        </w:tc>
      </w:tr>
      <w:tr w:rsidR="00632E5B" w14:paraId="4F90F8BD" w14:textId="77777777" w:rsidTr="001F5A64">
        <w:trPr>
          <w:trHeight w:val="240"/>
        </w:trPr>
        <w:tc>
          <w:tcPr>
            <w:tcW w:w="1377" w:type="dxa"/>
            <w:shd w:val="clear" w:color="auto" w:fill="FFFFFF" w:themeFill="background1"/>
            <w:vAlign w:val="center"/>
          </w:tcPr>
          <w:p w14:paraId="5986788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一、账面原值：</w:t>
            </w:r>
          </w:p>
        </w:tc>
        <w:tc>
          <w:tcPr>
            <w:tcW w:w="1489" w:type="dxa"/>
            <w:shd w:val="clear" w:color="auto" w:fill="FFFFFF" w:themeFill="background1"/>
            <w:vAlign w:val="center"/>
          </w:tcPr>
          <w:p w14:paraId="16CA900A" w14:textId="77777777" w:rsidR="00632E5B" w:rsidRPr="001A4AB6" w:rsidRDefault="00632E5B">
            <w:pPr>
              <w:spacing w:line="240" w:lineRule="exact"/>
              <w:jc w:val="right"/>
              <w:rPr>
                <w:rFonts w:ascii="宋体" w:eastAsia="宋体" w:hAnsi="宋体" w:cs="宋体" w:hint="eastAsia"/>
                <w:sz w:val="15"/>
                <w:szCs w:val="15"/>
              </w:rPr>
            </w:pPr>
          </w:p>
        </w:tc>
        <w:tc>
          <w:tcPr>
            <w:tcW w:w="1418" w:type="dxa"/>
            <w:shd w:val="clear" w:color="auto" w:fill="FFFFFF" w:themeFill="background1"/>
            <w:vAlign w:val="center"/>
          </w:tcPr>
          <w:p w14:paraId="74047D90" w14:textId="77777777" w:rsidR="00632E5B" w:rsidRPr="001A4AB6" w:rsidRDefault="00632E5B">
            <w:pPr>
              <w:spacing w:line="240" w:lineRule="exact"/>
              <w:jc w:val="right"/>
              <w:rPr>
                <w:rFonts w:ascii="宋体" w:eastAsia="宋体" w:hAnsi="宋体" w:cs="宋体" w:hint="eastAsia"/>
                <w:sz w:val="15"/>
                <w:szCs w:val="15"/>
              </w:rPr>
            </w:pPr>
          </w:p>
        </w:tc>
        <w:tc>
          <w:tcPr>
            <w:tcW w:w="1275" w:type="dxa"/>
            <w:shd w:val="clear" w:color="auto" w:fill="FFFFFF" w:themeFill="background1"/>
            <w:vAlign w:val="center"/>
          </w:tcPr>
          <w:p w14:paraId="6B51E469" w14:textId="77777777" w:rsidR="00632E5B" w:rsidRPr="001A4AB6" w:rsidRDefault="00632E5B">
            <w:pPr>
              <w:spacing w:line="240" w:lineRule="exact"/>
              <w:jc w:val="right"/>
              <w:rPr>
                <w:rFonts w:ascii="宋体" w:eastAsia="宋体" w:hAnsi="宋体" w:cs="宋体" w:hint="eastAsia"/>
                <w:sz w:val="15"/>
                <w:szCs w:val="15"/>
              </w:rPr>
            </w:pPr>
          </w:p>
        </w:tc>
        <w:tc>
          <w:tcPr>
            <w:tcW w:w="1276" w:type="dxa"/>
            <w:shd w:val="clear" w:color="auto" w:fill="FFFFFF" w:themeFill="background1"/>
            <w:vAlign w:val="center"/>
          </w:tcPr>
          <w:p w14:paraId="3FB48DF3" w14:textId="77777777" w:rsidR="00632E5B" w:rsidRPr="001A4AB6" w:rsidRDefault="00632E5B">
            <w:pPr>
              <w:spacing w:line="240" w:lineRule="exact"/>
              <w:jc w:val="right"/>
              <w:rPr>
                <w:rFonts w:ascii="宋体" w:eastAsia="宋体" w:hAnsi="宋体" w:cs="宋体" w:hint="eastAsia"/>
                <w:sz w:val="15"/>
                <w:szCs w:val="15"/>
              </w:rPr>
            </w:pPr>
          </w:p>
        </w:tc>
        <w:tc>
          <w:tcPr>
            <w:tcW w:w="1276" w:type="dxa"/>
            <w:shd w:val="clear" w:color="auto" w:fill="FFFFFF" w:themeFill="background1"/>
            <w:vAlign w:val="center"/>
          </w:tcPr>
          <w:p w14:paraId="0CB67C38" w14:textId="77777777" w:rsidR="00632E5B" w:rsidRPr="001A4AB6" w:rsidRDefault="00632E5B">
            <w:pPr>
              <w:spacing w:line="240" w:lineRule="exact"/>
              <w:jc w:val="right"/>
              <w:rPr>
                <w:rFonts w:ascii="宋体" w:eastAsia="宋体" w:hAnsi="宋体" w:cs="宋体" w:hint="eastAsia"/>
                <w:sz w:val="15"/>
                <w:szCs w:val="15"/>
              </w:rPr>
            </w:pPr>
          </w:p>
        </w:tc>
        <w:tc>
          <w:tcPr>
            <w:tcW w:w="1417" w:type="dxa"/>
            <w:shd w:val="clear" w:color="auto" w:fill="FFFFFF" w:themeFill="background1"/>
            <w:vAlign w:val="center"/>
          </w:tcPr>
          <w:p w14:paraId="4FC83B1F" w14:textId="77777777" w:rsidR="00632E5B" w:rsidRPr="001A4AB6" w:rsidRDefault="00632E5B">
            <w:pPr>
              <w:spacing w:line="240" w:lineRule="exact"/>
              <w:jc w:val="right"/>
              <w:rPr>
                <w:rFonts w:ascii="宋体" w:eastAsia="宋体" w:hAnsi="宋体" w:cs="宋体" w:hint="eastAsia"/>
                <w:sz w:val="15"/>
                <w:szCs w:val="15"/>
              </w:rPr>
            </w:pPr>
          </w:p>
        </w:tc>
      </w:tr>
      <w:tr w:rsidR="00632E5B" w14:paraId="31A7EA12" w14:textId="77777777" w:rsidTr="001F5A64">
        <w:trPr>
          <w:trHeight w:val="240"/>
        </w:trPr>
        <w:tc>
          <w:tcPr>
            <w:tcW w:w="1377" w:type="dxa"/>
            <w:shd w:val="clear" w:color="auto" w:fill="FFFFFF" w:themeFill="background1"/>
            <w:vAlign w:val="center"/>
          </w:tcPr>
          <w:p w14:paraId="07A35AC2"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1.期初余额</w:t>
            </w:r>
          </w:p>
        </w:tc>
        <w:tc>
          <w:tcPr>
            <w:tcW w:w="1489" w:type="dxa"/>
            <w:shd w:val="clear" w:color="auto" w:fill="FFFFFF" w:themeFill="background1"/>
            <w:vAlign w:val="center"/>
          </w:tcPr>
          <w:p w14:paraId="20DD6DC4"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2,293,334,664.68</w:t>
            </w:r>
          </w:p>
        </w:tc>
        <w:tc>
          <w:tcPr>
            <w:tcW w:w="1418" w:type="dxa"/>
            <w:shd w:val="clear" w:color="auto" w:fill="FFFFFF" w:themeFill="background1"/>
            <w:vAlign w:val="center"/>
          </w:tcPr>
          <w:p w14:paraId="69C8AEE6"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3,491,387,704.63</w:t>
            </w:r>
          </w:p>
        </w:tc>
        <w:tc>
          <w:tcPr>
            <w:tcW w:w="1275" w:type="dxa"/>
            <w:shd w:val="clear" w:color="auto" w:fill="FFFFFF" w:themeFill="background1"/>
            <w:vAlign w:val="center"/>
          </w:tcPr>
          <w:p w14:paraId="52EA9E52"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25,271,730.82</w:t>
            </w:r>
          </w:p>
        </w:tc>
        <w:tc>
          <w:tcPr>
            <w:tcW w:w="1276" w:type="dxa"/>
            <w:shd w:val="clear" w:color="auto" w:fill="FFFFFF" w:themeFill="background1"/>
            <w:vAlign w:val="center"/>
          </w:tcPr>
          <w:p w14:paraId="0DC897CB"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152,261,355.27</w:t>
            </w:r>
          </w:p>
        </w:tc>
        <w:tc>
          <w:tcPr>
            <w:tcW w:w="1276" w:type="dxa"/>
            <w:shd w:val="clear" w:color="auto" w:fill="FFFFFF" w:themeFill="background1"/>
            <w:vAlign w:val="center"/>
          </w:tcPr>
          <w:p w14:paraId="6373FEB7"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55,593,683.86</w:t>
            </w:r>
          </w:p>
        </w:tc>
        <w:tc>
          <w:tcPr>
            <w:tcW w:w="1417" w:type="dxa"/>
            <w:shd w:val="clear" w:color="auto" w:fill="FFFFFF" w:themeFill="background1"/>
            <w:vAlign w:val="center"/>
          </w:tcPr>
          <w:p w14:paraId="73FFA69E"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6,017,849,139.26</w:t>
            </w:r>
          </w:p>
        </w:tc>
      </w:tr>
      <w:tr w:rsidR="00632E5B" w14:paraId="09A99083" w14:textId="77777777" w:rsidTr="001F5A64">
        <w:trPr>
          <w:trHeight w:val="240"/>
        </w:trPr>
        <w:tc>
          <w:tcPr>
            <w:tcW w:w="1377" w:type="dxa"/>
            <w:shd w:val="clear" w:color="auto" w:fill="FFFFFF" w:themeFill="background1"/>
            <w:vAlign w:val="center"/>
          </w:tcPr>
          <w:p w14:paraId="11CB72F5"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2.本期增加金额</w:t>
            </w:r>
          </w:p>
        </w:tc>
        <w:tc>
          <w:tcPr>
            <w:tcW w:w="1489" w:type="dxa"/>
            <w:shd w:val="clear" w:color="auto" w:fill="FFFFFF" w:themeFill="background1"/>
            <w:vAlign w:val="center"/>
          </w:tcPr>
          <w:p w14:paraId="4505E03E"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11,567,017.34</w:t>
            </w:r>
          </w:p>
        </w:tc>
        <w:tc>
          <w:tcPr>
            <w:tcW w:w="1418" w:type="dxa"/>
            <w:shd w:val="clear" w:color="auto" w:fill="FFFFFF" w:themeFill="background1"/>
            <w:vAlign w:val="center"/>
          </w:tcPr>
          <w:p w14:paraId="0D78900E"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27,736,671.37</w:t>
            </w:r>
          </w:p>
        </w:tc>
        <w:tc>
          <w:tcPr>
            <w:tcW w:w="1275" w:type="dxa"/>
            <w:shd w:val="clear" w:color="auto" w:fill="FFFFFF" w:themeFill="background1"/>
            <w:vAlign w:val="center"/>
          </w:tcPr>
          <w:p w14:paraId="653B2148"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693,109.74</w:t>
            </w:r>
          </w:p>
        </w:tc>
        <w:tc>
          <w:tcPr>
            <w:tcW w:w="1276" w:type="dxa"/>
            <w:shd w:val="clear" w:color="auto" w:fill="FFFFFF" w:themeFill="background1"/>
            <w:vAlign w:val="center"/>
          </w:tcPr>
          <w:p w14:paraId="2878A9D7"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2,791,035.91</w:t>
            </w:r>
          </w:p>
        </w:tc>
        <w:tc>
          <w:tcPr>
            <w:tcW w:w="1276" w:type="dxa"/>
            <w:shd w:val="clear" w:color="auto" w:fill="FFFFFF" w:themeFill="background1"/>
            <w:vAlign w:val="center"/>
          </w:tcPr>
          <w:p w14:paraId="3818590D" w14:textId="77777777" w:rsidR="00632E5B" w:rsidRPr="001A4AB6" w:rsidRDefault="00632E5B">
            <w:pPr>
              <w:spacing w:line="240" w:lineRule="exact"/>
              <w:jc w:val="right"/>
              <w:rPr>
                <w:rFonts w:ascii="宋体" w:eastAsia="宋体" w:hAnsi="宋体" w:cs="宋体" w:hint="eastAsia"/>
                <w:sz w:val="15"/>
                <w:szCs w:val="15"/>
              </w:rPr>
            </w:pPr>
          </w:p>
        </w:tc>
        <w:tc>
          <w:tcPr>
            <w:tcW w:w="1417" w:type="dxa"/>
            <w:shd w:val="clear" w:color="auto" w:fill="FFFFFF" w:themeFill="background1"/>
            <w:vAlign w:val="center"/>
          </w:tcPr>
          <w:p w14:paraId="191D0731"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42,787,834.36</w:t>
            </w:r>
          </w:p>
        </w:tc>
      </w:tr>
      <w:tr w:rsidR="00632E5B" w14:paraId="22DCE804" w14:textId="77777777" w:rsidTr="001F5A64">
        <w:trPr>
          <w:trHeight w:val="240"/>
        </w:trPr>
        <w:tc>
          <w:tcPr>
            <w:tcW w:w="1377" w:type="dxa"/>
            <w:shd w:val="clear" w:color="auto" w:fill="FFFFFF" w:themeFill="background1"/>
            <w:vAlign w:val="center"/>
          </w:tcPr>
          <w:p w14:paraId="49199D6C" w14:textId="77777777" w:rsidR="00632E5B" w:rsidRDefault="00107901">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（1）购置</w:t>
            </w:r>
          </w:p>
        </w:tc>
        <w:tc>
          <w:tcPr>
            <w:tcW w:w="1489" w:type="dxa"/>
            <w:shd w:val="clear" w:color="auto" w:fill="FFFFFF" w:themeFill="background1"/>
            <w:vAlign w:val="center"/>
          </w:tcPr>
          <w:p w14:paraId="76B91C09"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57,344.00</w:t>
            </w:r>
          </w:p>
        </w:tc>
        <w:tc>
          <w:tcPr>
            <w:tcW w:w="1418" w:type="dxa"/>
            <w:shd w:val="clear" w:color="auto" w:fill="FFFFFF" w:themeFill="background1"/>
            <w:vAlign w:val="center"/>
          </w:tcPr>
          <w:p w14:paraId="36758360"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3,910,715.41</w:t>
            </w:r>
          </w:p>
        </w:tc>
        <w:tc>
          <w:tcPr>
            <w:tcW w:w="1275" w:type="dxa"/>
            <w:shd w:val="clear" w:color="auto" w:fill="FFFFFF" w:themeFill="background1"/>
            <w:vAlign w:val="center"/>
          </w:tcPr>
          <w:p w14:paraId="553DC853"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693,109.74</w:t>
            </w:r>
          </w:p>
        </w:tc>
        <w:tc>
          <w:tcPr>
            <w:tcW w:w="1276" w:type="dxa"/>
            <w:shd w:val="clear" w:color="auto" w:fill="FFFFFF" w:themeFill="background1"/>
            <w:vAlign w:val="center"/>
          </w:tcPr>
          <w:p w14:paraId="3E3AF8CF"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1,179,555.88</w:t>
            </w:r>
          </w:p>
        </w:tc>
        <w:tc>
          <w:tcPr>
            <w:tcW w:w="1276" w:type="dxa"/>
            <w:shd w:val="clear" w:color="auto" w:fill="FFFFFF" w:themeFill="background1"/>
            <w:vAlign w:val="center"/>
          </w:tcPr>
          <w:p w14:paraId="7768032C" w14:textId="77777777" w:rsidR="00632E5B" w:rsidRPr="001A4AB6" w:rsidRDefault="00632E5B">
            <w:pPr>
              <w:spacing w:line="240" w:lineRule="exact"/>
              <w:jc w:val="right"/>
              <w:rPr>
                <w:rFonts w:ascii="宋体" w:eastAsia="宋体" w:hAnsi="宋体" w:cs="宋体" w:hint="eastAsia"/>
                <w:sz w:val="15"/>
                <w:szCs w:val="15"/>
              </w:rPr>
            </w:pPr>
          </w:p>
        </w:tc>
        <w:tc>
          <w:tcPr>
            <w:tcW w:w="1417" w:type="dxa"/>
            <w:shd w:val="clear" w:color="auto" w:fill="FFFFFF" w:themeFill="background1"/>
            <w:vAlign w:val="center"/>
          </w:tcPr>
          <w:p w14:paraId="6C4EB75A"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5,840,725.03</w:t>
            </w:r>
          </w:p>
        </w:tc>
      </w:tr>
      <w:tr w:rsidR="00632E5B" w14:paraId="7D314380" w14:textId="77777777" w:rsidTr="001F5A64">
        <w:trPr>
          <w:trHeight w:val="240"/>
        </w:trPr>
        <w:tc>
          <w:tcPr>
            <w:tcW w:w="1377" w:type="dxa"/>
            <w:shd w:val="clear" w:color="auto" w:fill="FFFFFF" w:themeFill="background1"/>
            <w:vAlign w:val="center"/>
          </w:tcPr>
          <w:p w14:paraId="0FBD9FB9" w14:textId="77777777" w:rsidR="00632E5B" w:rsidRDefault="00107901">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（2）在建工程转入</w:t>
            </w:r>
          </w:p>
        </w:tc>
        <w:tc>
          <w:tcPr>
            <w:tcW w:w="1489" w:type="dxa"/>
            <w:shd w:val="clear" w:color="auto" w:fill="FFFFFF" w:themeFill="background1"/>
            <w:vAlign w:val="center"/>
          </w:tcPr>
          <w:p w14:paraId="78A52D82"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5,735,173.65</w:t>
            </w:r>
          </w:p>
        </w:tc>
        <w:tc>
          <w:tcPr>
            <w:tcW w:w="1418" w:type="dxa"/>
            <w:shd w:val="clear" w:color="auto" w:fill="FFFFFF" w:themeFill="background1"/>
            <w:vAlign w:val="center"/>
          </w:tcPr>
          <w:p w14:paraId="73CFC1FE"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4,621,409.87</w:t>
            </w:r>
          </w:p>
        </w:tc>
        <w:tc>
          <w:tcPr>
            <w:tcW w:w="1275" w:type="dxa"/>
            <w:shd w:val="clear" w:color="auto" w:fill="FFFFFF" w:themeFill="background1"/>
            <w:vAlign w:val="center"/>
          </w:tcPr>
          <w:p w14:paraId="04523187" w14:textId="77777777" w:rsidR="00632E5B" w:rsidRPr="001A4AB6" w:rsidRDefault="00632E5B">
            <w:pPr>
              <w:spacing w:line="240" w:lineRule="exact"/>
              <w:jc w:val="right"/>
              <w:rPr>
                <w:rFonts w:ascii="宋体" w:eastAsia="宋体" w:hAnsi="宋体" w:cs="宋体" w:hint="eastAsia"/>
                <w:sz w:val="15"/>
                <w:szCs w:val="15"/>
              </w:rPr>
            </w:pPr>
          </w:p>
        </w:tc>
        <w:tc>
          <w:tcPr>
            <w:tcW w:w="1276" w:type="dxa"/>
            <w:shd w:val="clear" w:color="auto" w:fill="FFFFFF" w:themeFill="background1"/>
            <w:vAlign w:val="center"/>
          </w:tcPr>
          <w:p w14:paraId="6042AC15"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798,420.85</w:t>
            </w:r>
          </w:p>
        </w:tc>
        <w:tc>
          <w:tcPr>
            <w:tcW w:w="1276" w:type="dxa"/>
            <w:shd w:val="clear" w:color="auto" w:fill="FFFFFF" w:themeFill="background1"/>
            <w:vAlign w:val="center"/>
          </w:tcPr>
          <w:p w14:paraId="78D089A0" w14:textId="77777777" w:rsidR="00632E5B" w:rsidRPr="001A4AB6" w:rsidRDefault="00632E5B">
            <w:pPr>
              <w:spacing w:line="240" w:lineRule="exact"/>
              <w:jc w:val="right"/>
              <w:rPr>
                <w:rFonts w:ascii="宋体" w:eastAsia="宋体" w:hAnsi="宋体" w:cs="宋体" w:hint="eastAsia"/>
                <w:sz w:val="15"/>
                <w:szCs w:val="15"/>
              </w:rPr>
            </w:pPr>
          </w:p>
        </w:tc>
        <w:tc>
          <w:tcPr>
            <w:tcW w:w="1417" w:type="dxa"/>
            <w:shd w:val="clear" w:color="auto" w:fill="FFFFFF" w:themeFill="background1"/>
            <w:vAlign w:val="center"/>
          </w:tcPr>
          <w:p w14:paraId="733CC3D2"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11,155,004.37</w:t>
            </w:r>
          </w:p>
        </w:tc>
      </w:tr>
      <w:tr w:rsidR="00632E5B" w14:paraId="3602E018" w14:textId="77777777" w:rsidTr="001F5A64">
        <w:trPr>
          <w:trHeight w:val="240"/>
        </w:trPr>
        <w:tc>
          <w:tcPr>
            <w:tcW w:w="1377" w:type="dxa"/>
            <w:shd w:val="clear" w:color="auto" w:fill="FFFFFF" w:themeFill="background1"/>
            <w:vAlign w:val="center"/>
          </w:tcPr>
          <w:p w14:paraId="65F77B36" w14:textId="77777777" w:rsidR="00632E5B" w:rsidRDefault="00107901">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（3）企业合并增加</w:t>
            </w:r>
          </w:p>
        </w:tc>
        <w:tc>
          <w:tcPr>
            <w:tcW w:w="1489" w:type="dxa"/>
            <w:shd w:val="clear" w:color="auto" w:fill="FFFFFF" w:themeFill="background1"/>
            <w:vAlign w:val="center"/>
          </w:tcPr>
          <w:p w14:paraId="623EAE3E" w14:textId="77777777" w:rsidR="00632E5B" w:rsidRPr="001A4AB6" w:rsidRDefault="00632E5B">
            <w:pPr>
              <w:spacing w:line="240" w:lineRule="exact"/>
              <w:jc w:val="right"/>
              <w:rPr>
                <w:rFonts w:ascii="宋体" w:eastAsia="宋体" w:hAnsi="宋体" w:cs="宋体" w:hint="eastAsia"/>
                <w:sz w:val="15"/>
                <w:szCs w:val="15"/>
              </w:rPr>
            </w:pPr>
          </w:p>
        </w:tc>
        <w:tc>
          <w:tcPr>
            <w:tcW w:w="1418" w:type="dxa"/>
            <w:shd w:val="clear" w:color="auto" w:fill="FFFFFF" w:themeFill="background1"/>
            <w:vAlign w:val="center"/>
          </w:tcPr>
          <w:p w14:paraId="19AF6262" w14:textId="77777777" w:rsidR="00632E5B" w:rsidRPr="001A4AB6" w:rsidRDefault="00632E5B">
            <w:pPr>
              <w:spacing w:line="240" w:lineRule="exact"/>
              <w:jc w:val="right"/>
              <w:rPr>
                <w:rFonts w:ascii="宋体" w:eastAsia="宋体" w:hAnsi="宋体" w:cs="宋体" w:hint="eastAsia"/>
                <w:sz w:val="15"/>
                <w:szCs w:val="15"/>
              </w:rPr>
            </w:pPr>
          </w:p>
        </w:tc>
        <w:tc>
          <w:tcPr>
            <w:tcW w:w="1275" w:type="dxa"/>
            <w:shd w:val="clear" w:color="auto" w:fill="FFFFFF" w:themeFill="background1"/>
            <w:vAlign w:val="center"/>
          </w:tcPr>
          <w:p w14:paraId="785E059E" w14:textId="77777777" w:rsidR="00632E5B" w:rsidRPr="001A4AB6" w:rsidRDefault="00632E5B">
            <w:pPr>
              <w:spacing w:line="240" w:lineRule="exact"/>
              <w:jc w:val="right"/>
              <w:rPr>
                <w:rFonts w:ascii="宋体" w:eastAsia="宋体" w:hAnsi="宋体" w:cs="宋体" w:hint="eastAsia"/>
                <w:sz w:val="15"/>
                <w:szCs w:val="15"/>
              </w:rPr>
            </w:pPr>
          </w:p>
        </w:tc>
        <w:tc>
          <w:tcPr>
            <w:tcW w:w="1276" w:type="dxa"/>
            <w:shd w:val="clear" w:color="auto" w:fill="FFFFFF" w:themeFill="background1"/>
            <w:vAlign w:val="center"/>
          </w:tcPr>
          <w:p w14:paraId="4A0A6B32" w14:textId="77777777" w:rsidR="00632E5B" w:rsidRPr="001A4AB6" w:rsidRDefault="00632E5B">
            <w:pPr>
              <w:spacing w:line="240" w:lineRule="exact"/>
              <w:jc w:val="right"/>
              <w:rPr>
                <w:rFonts w:ascii="宋体" w:eastAsia="宋体" w:hAnsi="宋体" w:cs="宋体" w:hint="eastAsia"/>
                <w:sz w:val="15"/>
                <w:szCs w:val="15"/>
              </w:rPr>
            </w:pPr>
          </w:p>
        </w:tc>
        <w:tc>
          <w:tcPr>
            <w:tcW w:w="1276" w:type="dxa"/>
            <w:shd w:val="clear" w:color="auto" w:fill="FFFFFF" w:themeFill="background1"/>
            <w:vAlign w:val="center"/>
          </w:tcPr>
          <w:p w14:paraId="0CBF2D1E" w14:textId="77777777" w:rsidR="00632E5B" w:rsidRPr="001A4AB6" w:rsidRDefault="00632E5B">
            <w:pPr>
              <w:spacing w:line="240" w:lineRule="exact"/>
              <w:jc w:val="right"/>
              <w:rPr>
                <w:rFonts w:ascii="宋体" w:eastAsia="宋体" w:hAnsi="宋体" w:cs="宋体" w:hint="eastAsia"/>
                <w:sz w:val="15"/>
                <w:szCs w:val="15"/>
              </w:rPr>
            </w:pPr>
          </w:p>
        </w:tc>
        <w:tc>
          <w:tcPr>
            <w:tcW w:w="1417" w:type="dxa"/>
            <w:shd w:val="clear" w:color="auto" w:fill="FFFFFF" w:themeFill="background1"/>
            <w:vAlign w:val="center"/>
          </w:tcPr>
          <w:p w14:paraId="1D32841C" w14:textId="77777777" w:rsidR="00632E5B" w:rsidRPr="001A4AB6" w:rsidRDefault="00632E5B">
            <w:pPr>
              <w:spacing w:line="240" w:lineRule="exact"/>
              <w:jc w:val="right"/>
              <w:rPr>
                <w:rFonts w:ascii="宋体" w:eastAsia="宋体" w:hAnsi="宋体" w:cs="宋体" w:hint="eastAsia"/>
                <w:sz w:val="15"/>
                <w:szCs w:val="15"/>
              </w:rPr>
            </w:pPr>
          </w:p>
        </w:tc>
      </w:tr>
      <w:tr w:rsidR="00632E5B" w14:paraId="4164E896" w14:textId="77777777" w:rsidTr="001F5A64">
        <w:trPr>
          <w:trHeight w:val="240"/>
        </w:trPr>
        <w:tc>
          <w:tcPr>
            <w:tcW w:w="1377" w:type="dxa"/>
            <w:shd w:val="clear" w:color="auto" w:fill="FFFFFF" w:themeFill="background1"/>
            <w:vAlign w:val="center"/>
          </w:tcPr>
          <w:p w14:paraId="275BBBD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(4)其他（含汇率变动、类别调整等）</w:t>
            </w:r>
          </w:p>
        </w:tc>
        <w:tc>
          <w:tcPr>
            <w:tcW w:w="1489" w:type="dxa"/>
            <w:shd w:val="clear" w:color="auto" w:fill="FFFFFF" w:themeFill="background1"/>
            <w:vAlign w:val="center"/>
          </w:tcPr>
          <w:p w14:paraId="054290D0"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5,774,499.69</w:t>
            </w:r>
          </w:p>
        </w:tc>
        <w:tc>
          <w:tcPr>
            <w:tcW w:w="1418" w:type="dxa"/>
            <w:shd w:val="clear" w:color="auto" w:fill="FFFFFF" w:themeFill="background1"/>
            <w:vAlign w:val="center"/>
          </w:tcPr>
          <w:p w14:paraId="65BA1D47"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19,204,546.09</w:t>
            </w:r>
          </w:p>
        </w:tc>
        <w:tc>
          <w:tcPr>
            <w:tcW w:w="1275" w:type="dxa"/>
            <w:shd w:val="clear" w:color="auto" w:fill="FFFFFF" w:themeFill="background1"/>
            <w:vAlign w:val="center"/>
          </w:tcPr>
          <w:p w14:paraId="300222F5" w14:textId="77777777" w:rsidR="00632E5B" w:rsidRPr="001A4AB6" w:rsidRDefault="00632E5B">
            <w:pPr>
              <w:spacing w:line="240" w:lineRule="exact"/>
              <w:jc w:val="right"/>
              <w:rPr>
                <w:rFonts w:ascii="宋体" w:eastAsia="宋体" w:hAnsi="宋体" w:cs="宋体" w:hint="eastAsia"/>
                <w:sz w:val="15"/>
                <w:szCs w:val="15"/>
              </w:rPr>
            </w:pPr>
          </w:p>
        </w:tc>
        <w:tc>
          <w:tcPr>
            <w:tcW w:w="1276" w:type="dxa"/>
            <w:shd w:val="clear" w:color="auto" w:fill="FFFFFF" w:themeFill="background1"/>
            <w:vAlign w:val="center"/>
          </w:tcPr>
          <w:p w14:paraId="5D03D5A3"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813,059.18</w:t>
            </w:r>
          </w:p>
        </w:tc>
        <w:tc>
          <w:tcPr>
            <w:tcW w:w="1276" w:type="dxa"/>
            <w:shd w:val="clear" w:color="auto" w:fill="FFFFFF" w:themeFill="background1"/>
            <w:vAlign w:val="center"/>
          </w:tcPr>
          <w:p w14:paraId="7727B6BD" w14:textId="77777777" w:rsidR="00632E5B" w:rsidRPr="001A4AB6" w:rsidRDefault="00632E5B">
            <w:pPr>
              <w:spacing w:line="240" w:lineRule="exact"/>
              <w:jc w:val="right"/>
              <w:rPr>
                <w:rFonts w:ascii="宋体" w:eastAsia="宋体" w:hAnsi="宋体" w:cs="宋体" w:hint="eastAsia"/>
                <w:sz w:val="15"/>
                <w:szCs w:val="15"/>
              </w:rPr>
            </w:pPr>
          </w:p>
        </w:tc>
        <w:tc>
          <w:tcPr>
            <w:tcW w:w="1417" w:type="dxa"/>
            <w:shd w:val="clear" w:color="auto" w:fill="FFFFFF" w:themeFill="background1"/>
            <w:vAlign w:val="center"/>
          </w:tcPr>
          <w:p w14:paraId="499A5969"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25,792,104.96</w:t>
            </w:r>
          </w:p>
        </w:tc>
      </w:tr>
      <w:tr w:rsidR="00632E5B" w14:paraId="5EC67360" w14:textId="77777777" w:rsidTr="001F5A64">
        <w:trPr>
          <w:trHeight w:val="240"/>
        </w:trPr>
        <w:tc>
          <w:tcPr>
            <w:tcW w:w="1377" w:type="dxa"/>
            <w:shd w:val="clear" w:color="auto" w:fill="FFFFFF" w:themeFill="background1"/>
            <w:vAlign w:val="center"/>
          </w:tcPr>
          <w:p w14:paraId="573B9B5B"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3.本期减少金额</w:t>
            </w:r>
          </w:p>
        </w:tc>
        <w:tc>
          <w:tcPr>
            <w:tcW w:w="1489" w:type="dxa"/>
            <w:shd w:val="clear" w:color="auto" w:fill="FFFFFF" w:themeFill="background1"/>
            <w:vAlign w:val="center"/>
          </w:tcPr>
          <w:p w14:paraId="24C3DC3C"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437,762,830.87</w:t>
            </w:r>
          </w:p>
        </w:tc>
        <w:tc>
          <w:tcPr>
            <w:tcW w:w="1418" w:type="dxa"/>
            <w:shd w:val="clear" w:color="auto" w:fill="FFFFFF" w:themeFill="background1"/>
            <w:vAlign w:val="center"/>
          </w:tcPr>
          <w:p w14:paraId="08E4AC0A"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586,510,477.56</w:t>
            </w:r>
          </w:p>
        </w:tc>
        <w:tc>
          <w:tcPr>
            <w:tcW w:w="1275" w:type="dxa"/>
            <w:shd w:val="clear" w:color="auto" w:fill="FFFFFF" w:themeFill="background1"/>
            <w:vAlign w:val="center"/>
          </w:tcPr>
          <w:p w14:paraId="47A89EA0"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2,038,678.83</w:t>
            </w:r>
          </w:p>
        </w:tc>
        <w:tc>
          <w:tcPr>
            <w:tcW w:w="1276" w:type="dxa"/>
            <w:shd w:val="clear" w:color="auto" w:fill="FFFFFF" w:themeFill="background1"/>
            <w:vAlign w:val="center"/>
          </w:tcPr>
          <w:p w14:paraId="2ADA334C"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53,464,917.63</w:t>
            </w:r>
          </w:p>
        </w:tc>
        <w:tc>
          <w:tcPr>
            <w:tcW w:w="1276" w:type="dxa"/>
            <w:shd w:val="clear" w:color="auto" w:fill="FFFFFF" w:themeFill="background1"/>
            <w:vAlign w:val="center"/>
          </w:tcPr>
          <w:p w14:paraId="0FEEB5EA"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2,150,830.01</w:t>
            </w:r>
          </w:p>
        </w:tc>
        <w:tc>
          <w:tcPr>
            <w:tcW w:w="1417" w:type="dxa"/>
            <w:shd w:val="clear" w:color="auto" w:fill="FFFFFF" w:themeFill="background1"/>
            <w:vAlign w:val="center"/>
          </w:tcPr>
          <w:p w14:paraId="53C59A8A"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1,081,927,734.90</w:t>
            </w:r>
          </w:p>
        </w:tc>
      </w:tr>
      <w:tr w:rsidR="00632E5B" w14:paraId="76CFD6B7" w14:textId="77777777" w:rsidTr="001F5A64">
        <w:trPr>
          <w:trHeight w:val="240"/>
        </w:trPr>
        <w:tc>
          <w:tcPr>
            <w:tcW w:w="1377" w:type="dxa"/>
            <w:shd w:val="clear" w:color="auto" w:fill="FFFFFF" w:themeFill="background1"/>
            <w:vAlign w:val="center"/>
          </w:tcPr>
          <w:p w14:paraId="7E452282" w14:textId="77777777" w:rsidR="00632E5B" w:rsidRDefault="00107901">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（1）处置或报废</w:t>
            </w:r>
          </w:p>
        </w:tc>
        <w:tc>
          <w:tcPr>
            <w:tcW w:w="1489" w:type="dxa"/>
            <w:shd w:val="clear" w:color="auto" w:fill="FFFFFF" w:themeFill="background1"/>
            <w:vAlign w:val="center"/>
          </w:tcPr>
          <w:p w14:paraId="3D49C000"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163,822.97</w:t>
            </w:r>
          </w:p>
        </w:tc>
        <w:tc>
          <w:tcPr>
            <w:tcW w:w="1418" w:type="dxa"/>
            <w:shd w:val="clear" w:color="auto" w:fill="FFFFFF" w:themeFill="background1"/>
            <w:vAlign w:val="center"/>
          </w:tcPr>
          <w:p w14:paraId="515793B2"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4,231,173.61</w:t>
            </w:r>
          </w:p>
        </w:tc>
        <w:tc>
          <w:tcPr>
            <w:tcW w:w="1275" w:type="dxa"/>
            <w:shd w:val="clear" w:color="auto" w:fill="FFFFFF" w:themeFill="background1"/>
            <w:vAlign w:val="center"/>
          </w:tcPr>
          <w:p w14:paraId="27C9E962"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718,490.68</w:t>
            </w:r>
          </w:p>
        </w:tc>
        <w:tc>
          <w:tcPr>
            <w:tcW w:w="1276" w:type="dxa"/>
            <w:shd w:val="clear" w:color="auto" w:fill="FFFFFF" w:themeFill="background1"/>
            <w:vAlign w:val="center"/>
          </w:tcPr>
          <w:p w14:paraId="080B26A7"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2,198,397.23</w:t>
            </w:r>
          </w:p>
        </w:tc>
        <w:tc>
          <w:tcPr>
            <w:tcW w:w="1276" w:type="dxa"/>
            <w:shd w:val="clear" w:color="auto" w:fill="FFFFFF" w:themeFill="background1"/>
            <w:vAlign w:val="center"/>
          </w:tcPr>
          <w:p w14:paraId="2ED6842D"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2,150,830.01</w:t>
            </w:r>
          </w:p>
        </w:tc>
        <w:tc>
          <w:tcPr>
            <w:tcW w:w="1417" w:type="dxa"/>
            <w:shd w:val="clear" w:color="auto" w:fill="FFFFFF" w:themeFill="background1"/>
            <w:vAlign w:val="center"/>
          </w:tcPr>
          <w:p w14:paraId="76996BF7"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9,462,714.50</w:t>
            </w:r>
          </w:p>
        </w:tc>
      </w:tr>
      <w:tr w:rsidR="00632E5B" w14:paraId="5C4793D7" w14:textId="77777777" w:rsidTr="001F5A64">
        <w:trPr>
          <w:trHeight w:val="240"/>
        </w:trPr>
        <w:tc>
          <w:tcPr>
            <w:tcW w:w="1377" w:type="dxa"/>
            <w:shd w:val="clear" w:color="auto" w:fill="FFFFFF" w:themeFill="background1"/>
            <w:vAlign w:val="center"/>
          </w:tcPr>
          <w:p w14:paraId="1E6D319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(2)转让</w:t>
            </w:r>
          </w:p>
        </w:tc>
        <w:tc>
          <w:tcPr>
            <w:tcW w:w="1489" w:type="dxa"/>
            <w:shd w:val="clear" w:color="auto" w:fill="FFFFFF" w:themeFill="background1"/>
            <w:vAlign w:val="center"/>
          </w:tcPr>
          <w:p w14:paraId="5E13C16C"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803,240.00</w:t>
            </w:r>
          </w:p>
        </w:tc>
        <w:tc>
          <w:tcPr>
            <w:tcW w:w="1418" w:type="dxa"/>
            <w:shd w:val="clear" w:color="auto" w:fill="FFFFFF" w:themeFill="background1"/>
            <w:vAlign w:val="center"/>
          </w:tcPr>
          <w:p w14:paraId="36F03117"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5,663,079.02</w:t>
            </w:r>
          </w:p>
        </w:tc>
        <w:tc>
          <w:tcPr>
            <w:tcW w:w="1275" w:type="dxa"/>
            <w:shd w:val="clear" w:color="auto" w:fill="FFFFFF" w:themeFill="background1"/>
            <w:vAlign w:val="center"/>
          </w:tcPr>
          <w:p w14:paraId="37980590"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361,313.22</w:t>
            </w:r>
          </w:p>
        </w:tc>
        <w:tc>
          <w:tcPr>
            <w:tcW w:w="1276" w:type="dxa"/>
            <w:shd w:val="clear" w:color="auto" w:fill="FFFFFF" w:themeFill="background1"/>
            <w:vAlign w:val="center"/>
          </w:tcPr>
          <w:p w14:paraId="5E1A46B8"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186,898.94</w:t>
            </w:r>
          </w:p>
        </w:tc>
        <w:tc>
          <w:tcPr>
            <w:tcW w:w="1276" w:type="dxa"/>
            <w:shd w:val="clear" w:color="auto" w:fill="FFFFFF" w:themeFill="background1"/>
            <w:vAlign w:val="center"/>
          </w:tcPr>
          <w:p w14:paraId="3117DFC7" w14:textId="77777777" w:rsidR="00632E5B" w:rsidRPr="001A4AB6" w:rsidRDefault="00632E5B">
            <w:pPr>
              <w:spacing w:line="240" w:lineRule="exact"/>
              <w:jc w:val="right"/>
              <w:rPr>
                <w:rFonts w:ascii="宋体" w:eastAsia="宋体" w:hAnsi="宋体" w:cs="宋体" w:hint="eastAsia"/>
                <w:sz w:val="15"/>
                <w:szCs w:val="15"/>
              </w:rPr>
            </w:pPr>
          </w:p>
        </w:tc>
        <w:tc>
          <w:tcPr>
            <w:tcW w:w="1417" w:type="dxa"/>
            <w:shd w:val="clear" w:color="auto" w:fill="FFFFFF" w:themeFill="background1"/>
            <w:vAlign w:val="center"/>
          </w:tcPr>
          <w:p w14:paraId="7BF0B473"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7,014,531.18</w:t>
            </w:r>
          </w:p>
        </w:tc>
      </w:tr>
      <w:tr w:rsidR="00632E5B" w14:paraId="499B6AF4" w14:textId="77777777" w:rsidTr="001F5A64">
        <w:trPr>
          <w:trHeight w:val="240"/>
        </w:trPr>
        <w:tc>
          <w:tcPr>
            <w:tcW w:w="1377" w:type="dxa"/>
            <w:shd w:val="clear" w:color="auto" w:fill="FFFFFF" w:themeFill="background1"/>
            <w:vAlign w:val="center"/>
          </w:tcPr>
          <w:p w14:paraId="40FF86E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(3)转入存货\在建工程\投资性房地产</w:t>
            </w:r>
          </w:p>
        </w:tc>
        <w:tc>
          <w:tcPr>
            <w:tcW w:w="1489" w:type="dxa"/>
            <w:shd w:val="clear" w:color="auto" w:fill="FFFFFF" w:themeFill="background1"/>
            <w:vAlign w:val="center"/>
          </w:tcPr>
          <w:p w14:paraId="25E65589" w14:textId="77777777" w:rsidR="00632E5B" w:rsidRPr="001A4AB6" w:rsidRDefault="00632E5B">
            <w:pPr>
              <w:spacing w:line="240" w:lineRule="exact"/>
              <w:jc w:val="right"/>
              <w:rPr>
                <w:rFonts w:ascii="宋体" w:eastAsia="宋体" w:hAnsi="宋体" w:cs="宋体" w:hint="eastAsia"/>
                <w:sz w:val="15"/>
                <w:szCs w:val="15"/>
              </w:rPr>
            </w:pPr>
          </w:p>
        </w:tc>
        <w:tc>
          <w:tcPr>
            <w:tcW w:w="1418" w:type="dxa"/>
            <w:shd w:val="clear" w:color="auto" w:fill="FFFFFF" w:themeFill="background1"/>
            <w:vAlign w:val="center"/>
          </w:tcPr>
          <w:p w14:paraId="106C1C8C"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1,201,371.51</w:t>
            </w:r>
          </w:p>
        </w:tc>
        <w:tc>
          <w:tcPr>
            <w:tcW w:w="1275" w:type="dxa"/>
            <w:shd w:val="clear" w:color="auto" w:fill="FFFFFF" w:themeFill="background1"/>
            <w:vAlign w:val="center"/>
          </w:tcPr>
          <w:p w14:paraId="1E8FEE0B" w14:textId="77777777" w:rsidR="00632E5B" w:rsidRPr="001A4AB6" w:rsidRDefault="00632E5B">
            <w:pPr>
              <w:spacing w:line="240" w:lineRule="exact"/>
              <w:jc w:val="right"/>
              <w:rPr>
                <w:rFonts w:ascii="宋体" w:eastAsia="宋体" w:hAnsi="宋体" w:cs="宋体" w:hint="eastAsia"/>
                <w:sz w:val="15"/>
                <w:szCs w:val="15"/>
              </w:rPr>
            </w:pPr>
          </w:p>
        </w:tc>
        <w:tc>
          <w:tcPr>
            <w:tcW w:w="1276" w:type="dxa"/>
            <w:shd w:val="clear" w:color="auto" w:fill="FFFFFF" w:themeFill="background1"/>
            <w:vAlign w:val="center"/>
          </w:tcPr>
          <w:p w14:paraId="12ABE4E8"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191,739.46</w:t>
            </w:r>
          </w:p>
        </w:tc>
        <w:tc>
          <w:tcPr>
            <w:tcW w:w="1276" w:type="dxa"/>
            <w:shd w:val="clear" w:color="auto" w:fill="FFFFFF" w:themeFill="background1"/>
            <w:vAlign w:val="center"/>
          </w:tcPr>
          <w:p w14:paraId="677941A4" w14:textId="77777777" w:rsidR="00632E5B" w:rsidRPr="001A4AB6" w:rsidRDefault="00632E5B">
            <w:pPr>
              <w:spacing w:line="240" w:lineRule="exact"/>
              <w:jc w:val="right"/>
              <w:rPr>
                <w:rFonts w:ascii="宋体" w:eastAsia="宋体" w:hAnsi="宋体" w:cs="宋体" w:hint="eastAsia"/>
                <w:sz w:val="15"/>
                <w:szCs w:val="15"/>
              </w:rPr>
            </w:pPr>
          </w:p>
        </w:tc>
        <w:tc>
          <w:tcPr>
            <w:tcW w:w="1417" w:type="dxa"/>
            <w:shd w:val="clear" w:color="auto" w:fill="FFFFFF" w:themeFill="background1"/>
            <w:vAlign w:val="center"/>
          </w:tcPr>
          <w:p w14:paraId="31D8149C"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1,393,110.97</w:t>
            </w:r>
          </w:p>
        </w:tc>
      </w:tr>
      <w:tr w:rsidR="00632E5B" w14:paraId="74096AF2" w14:textId="77777777" w:rsidTr="001F5A64">
        <w:trPr>
          <w:trHeight w:val="240"/>
        </w:trPr>
        <w:tc>
          <w:tcPr>
            <w:tcW w:w="1377" w:type="dxa"/>
            <w:shd w:val="clear" w:color="auto" w:fill="FFFFFF" w:themeFill="background1"/>
            <w:vAlign w:val="center"/>
          </w:tcPr>
          <w:p w14:paraId="6A62FB0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(4)盘亏</w:t>
            </w:r>
          </w:p>
        </w:tc>
        <w:tc>
          <w:tcPr>
            <w:tcW w:w="1489" w:type="dxa"/>
            <w:shd w:val="clear" w:color="auto" w:fill="FFFFFF" w:themeFill="background1"/>
            <w:vAlign w:val="center"/>
          </w:tcPr>
          <w:p w14:paraId="7244A343" w14:textId="77777777" w:rsidR="00632E5B" w:rsidRPr="001A4AB6" w:rsidRDefault="00632E5B">
            <w:pPr>
              <w:spacing w:line="240" w:lineRule="exact"/>
              <w:jc w:val="right"/>
              <w:rPr>
                <w:rFonts w:ascii="宋体" w:eastAsia="宋体" w:hAnsi="宋体" w:cs="宋体" w:hint="eastAsia"/>
                <w:sz w:val="15"/>
                <w:szCs w:val="15"/>
              </w:rPr>
            </w:pPr>
          </w:p>
        </w:tc>
        <w:tc>
          <w:tcPr>
            <w:tcW w:w="1418" w:type="dxa"/>
            <w:shd w:val="clear" w:color="auto" w:fill="FFFFFF" w:themeFill="background1"/>
            <w:vAlign w:val="center"/>
          </w:tcPr>
          <w:p w14:paraId="4E38473C" w14:textId="77777777" w:rsidR="00632E5B" w:rsidRPr="001A4AB6" w:rsidRDefault="00632E5B">
            <w:pPr>
              <w:spacing w:line="240" w:lineRule="exact"/>
              <w:jc w:val="right"/>
              <w:rPr>
                <w:rFonts w:ascii="宋体" w:eastAsia="宋体" w:hAnsi="宋体" w:cs="宋体" w:hint="eastAsia"/>
                <w:sz w:val="15"/>
                <w:szCs w:val="15"/>
              </w:rPr>
            </w:pPr>
          </w:p>
        </w:tc>
        <w:tc>
          <w:tcPr>
            <w:tcW w:w="1275" w:type="dxa"/>
            <w:shd w:val="clear" w:color="auto" w:fill="FFFFFF" w:themeFill="background1"/>
            <w:vAlign w:val="center"/>
          </w:tcPr>
          <w:p w14:paraId="6011B96A" w14:textId="77777777" w:rsidR="00632E5B" w:rsidRPr="001A4AB6" w:rsidRDefault="00632E5B">
            <w:pPr>
              <w:spacing w:line="240" w:lineRule="exact"/>
              <w:jc w:val="right"/>
              <w:rPr>
                <w:rFonts w:ascii="宋体" w:eastAsia="宋体" w:hAnsi="宋体" w:cs="宋体" w:hint="eastAsia"/>
                <w:sz w:val="15"/>
                <w:szCs w:val="15"/>
              </w:rPr>
            </w:pPr>
          </w:p>
        </w:tc>
        <w:tc>
          <w:tcPr>
            <w:tcW w:w="1276" w:type="dxa"/>
            <w:shd w:val="clear" w:color="auto" w:fill="FFFFFF" w:themeFill="background1"/>
            <w:vAlign w:val="center"/>
          </w:tcPr>
          <w:p w14:paraId="2302F193" w14:textId="77777777" w:rsidR="00632E5B" w:rsidRPr="001A4AB6" w:rsidRDefault="00632E5B">
            <w:pPr>
              <w:spacing w:line="240" w:lineRule="exact"/>
              <w:jc w:val="right"/>
              <w:rPr>
                <w:rFonts w:ascii="宋体" w:eastAsia="宋体" w:hAnsi="宋体" w:cs="宋体" w:hint="eastAsia"/>
                <w:sz w:val="15"/>
                <w:szCs w:val="15"/>
              </w:rPr>
            </w:pPr>
          </w:p>
        </w:tc>
        <w:tc>
          <w:tcPr>
            <w:tcW w:w="1276" w:type="dxa"/>
            <w:shd w:val="clear" w:color="auto" w:fill="FFFFFF" w:themeFill="background1"/>
            <w:vAlign w:val="center"/>
          </w:tcPr>
          <w:p w14:paraId="42FA549E" w14:textId="77777777" w:rsidR="00632E5B" w:rsidRPr="001A4AB6" w:rsidRDefault="00632E5B">
            <w:pPr>
              <w:spacing w:line="240" w:lineRule="exact"/>
              <w:jc w:val="right"/>
              <w:rPr>
                <w:rFonts w:ascii="宋体" w:eastAsia="宋体" w:hAnsi="宋体" w:cs="宋体" w:hint="eastAsia"/>
                <w:sz w:val="15"/>
                <w:szCs w:val="15"/>
              </w:rPr>
            </w:pPr>
          </w:p>
        </w:tc>
        <w:tc>
          <w:tcPr>
            <w:tcW w:w="1417" w:type="dxa"/>
            <w:shd w:val="clear" w:color="auto" w:fill="FFFFFF" w:themeFill="background1"/>
            <w:vAlign w:val="center"/>
          </w:tcPr>
          <w:p w14:paraId="188CFE6D" w14:textId="77777777" w:rsidR="00632E5B" w:rsidRPr="001A4AB6" w:rsidRDefault="00632E5B">
            <w:pPr>
              <w:spacing w:line="240" w:lineRule="exact"/>
              <w:jc w:val="right"/>
              <w:rPr>
                <w:rFonts w:ascii="宋体" w:eastAsia="宋体" w:hAnsi="宋体" w:cs="宋体" w:hint="eastAsia"/>
                <w:sz w:val="15"/>
                <w:szCs w:val="15"/>
              </w:rPr>
            </w:pPr>
          </w:p>
        </w:tc>
      </w:tr>
      <w:tr w:rsidR="00632E5B" w14:paraId="77A48315" w14:textId="77777777" w:rsidTr="001F5A64">
        <w:trPr>
          <w:trHeight w:val="240"/>
        </w:trPr>
        <w:tc>
          <w:tcPr>
            <w:tcW w:w="1377" w:type="dxa"/>
            <w:shd w:val="clear" w:color="auto" w:fill="FFFFFF" w:themeFill="background1"/>
            <w:vAlign w:val="center"/>
          </w:tcPr>
          <w:p w14:paraId="2858AD7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(5)企业合并范围变更减少</w:t>
            </w:r>
          </w:p>
        </w:tc>
        <w:tc>
          <w:tcPr>
            <w:tcW w:w="1489" w:type="dxa"/>
            <w:shd w:val="clear" w:color="auto" w:fill="FFFFFF" w:themeFill="background1"/>
            <w:vAlign w:val="center"/>
          </w:tcPr>
          <w:p w14:paraId="6D038944"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435,229,009.57</w:t>
            </w:r>
          </w:p>
        </w:tc>
        <w:tc>
          <w:tcPr>
            <w:tcW w:w="1418" w:type="dxa"/>
            <w:shd w:val="clear" w:color="auto" w:fill="FFFFFF" w:themeFill="background1"/>
            <w:vAlign w:val="center"/>
          </w:tcPr>
          <w:p w14:paraId="3BB5EA24"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575,242,175.23</w:t>
            </w:r>
          </w:p>
        </w:tc>
        <w:tc>
          <w:tcPr>
            <w:tcW w:w="1275" w:type="dxa"/>
            <w:shd w:val="clear" w:color="auto" w:fill="FFFFFF" w:themeFill="background1"/>
            <w:vAlign w:val="center"/>
          </w:tcPr>
          <w:p w14:paraId="4CE44B68"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506,520.92</w:t>
            </w:r>
          </w:p>
        </w:tc>
        <w:tc>
          <w:tcPr>
            <w:tcW w:w="1276" w:type="dxa"/>
            <w:shd w:val="clear" w:color="auto" w:fill="FFFFFF" w:themeFill="background1"/>
            <w:vAlign w:val="center"/>
          </w:tcPr>
          <w:p w14:paraId="6D2DB6EF"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50,617,116.91</w:t>
            </w:r>
          </w:p>
        </w:tc>
        <w:tc>
          <w:tcPr>
            <w:tcW w:w="1276" w:type="dxa"/>
            <w:shd w:val="clear" w:color="auto" w:fill="FFFFFF" w:themeFill="background1"/>
            <w:vAlign w:val="center"/>
          </w:tcPr>
          <w:p w14:paraId="0DCFED15" w14:textId="77777777" w:rsidR="00632E5B" w:rsidRPr="001A4AB6" w:rsidRDefault="00632E5B">
            <w:pPr>
              <w:spacing w:line="240" w:lineRule="exact"/>
              <w:jc w:val="right"/>
              <w:rPr>
                <w:rFonts w:ascii="宋体" w:eastAsia="宋体" w:hAnsi="宋体" w:cs="宋体" w:hint="eastAsia"/>
                <w:sz w:val="15"/>
                <w:szCs w:val="15"/>
              </w:rPr>
            </w:pPr>
          </w:p>
        </w:tc>
        <w:tc>
          <w:tcPr>
            <w:tcW w:w="1417" w:type="dxa"/>
            <w:shd w:val="clear" w:color="auto" w:fill="FFFFFF" w:themeFill="background1"/>
            <w:vAlign w:val="center"/>
          </w:tcPr>
          <w:p w14:paraId="7CC6F4A6"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1,061,594,822.63</w:t>
            </w:r>
          </w:p>
        </w:tc>
      </w:tr>
      <w:tr w:rsidR="00632E5B" w14:paraId="23456A3D" w14:textId="77777777" w:rsidTr="001F5A64">
        <w:trPr>
          <w:trHeight w:val="240"/>
        </w:trPr>
        <w:tc>
          <w:tcPr>
            <w:tcW w:w="1377" w:type="dxa"/>
            <w:shd w:val="clear" w:color="auto" w:fill="FFFFFF" w:themeFill="background1"/>
            <w:vAlign w:val="center"/>
          </w:tcPr>
          <w:p w14:paraId="7D45A35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(6)其他（含汇率变动、类别调整等）</w:t>
            </w:r>
          </w:p>
        </w:tc>
        <w:tc>
          <w:tcPr>
            <w:tcW w:w="1489" w:type="dxa"/>
            <w:shd w:val="clear" w:color="auto" w:fill="FFFFFF" w:themeFill="background1"/>
            <w:vAlign w:val="center"/>
          </w:tcPr>
          <w:p w14:paraId="7398B518"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1,566,758.33</w:t>
            </w:r>
          </w:p>
        </w:tc>
        <w:tc>
          <w:tcPr>
            <w:tcW w:w="1418" w:type="dxa"/>
            <w:shd w:val="clear" w:color="auto" w:fill="FFFFFF" w:themeFill="background1"/>
            <w:vAlign w:val="center"/>
          </w:tcPr>
          <w:p w14:paraId="44684E3B"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172,678.19</w:t>
            </w:r>
          </w:p>
        </w:tc>
        <w:tc>
          <w:tcPr>
            <w:tcW w:w="1275" w:type="dxa"/>
            <w:shd w:val="clear" w:color="auto" w:fill="FFFFFF" w:themeFill="background1"/>
            <w:vAlign w:val="center"/>
          </w:tcPr>
          <w:p w14:paraId="708E18A7"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452,354.01</w:t>
            </w:r>
          </w:p>
        </w:tc>
        <w:tc>
          <w:tcPr>
            <w:tcW w:w="1276" w:type="dxa"/>
            <w:shd w:val="clear" w:color="auto" w:fill="FFFFFF" w:themeFill="background1"/>
            <w:vAlign w:val="center"/>
          </w:tcPr>
          <w:p w14:paraId="1654BC1A"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270,765.09</w:t>
            </w:r>
          </w:p>
        </w:tc>
        <w:tc>
          <w:tcPr>
            <w:tcW w:w="1276" w:type="dxa"/>
            <w:shd w:val="clear" w:color="auto" w:fill="FFFFFF" w:themeFill="background1"/>
            <w:vAlign w:val="center"/>
          </w:tcPr>
          <w:p w14:paraId="4BC0E79E" w14:textId="77777777" w:rsidR="00632E5B" w:rsidRPr="001A4AB6" w:rsidRDefault="00632E5B">
            <w:pPr>
              <w:spacing w:line="240" w:lineRule="exact"/>
              <w:jc w:val="right"/>
              <w:rPr>
                <w:rFonts w:ascii="宋体" w:eastAsia="宋体" w:hAnsi="宋体" w:cs="宋体" w:hint="eastAsia"/>
                <w:sz w:val="15"/>
                <w:szCs w:val="15"/>
              </w:rPr>
            </w:pPr>
          </w:p>
        </w:tc>
        <w:tc>
          <w:tcPr>
            <w:tcW w:w="1417" w:type="dxa"/>
            <w:shd w:val="clear" w:color="auto" w:fill="FFFFFF" w:themeFill="background1"/>
            <w:vAlign w:val="center"/>
          </w:tcPr>
          <w:p w14:paraId="42827EC0"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2,462,555.62</w:t>
            </w:r>
          </w:p>
        </w:tc>
      </w:tr>
      <w:tr w:rsidR="00632E5B" w14:paraId="2B65B7DB" w14:textId="77777777" w:rsidTr="001F5A64">
        <w:trPr>
          <w:trHeight w:val="240"/>
        </w:trPr>
        <w:tc>
          <w:tcPr>
            <w:tcW w:w="1377" w:type="dxa"/>
            <w:shd w:val="clear" w:color="auto" w:fill="FFFFFF" w:themeFill="background1"/>
            <w:vAlign w:val="center"/>
          </w:tcPr>
          <w:p w14:paraId="39095B83"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4.期末余额</w:t>
            </w:r>
          </w:p>
        </w:tc>
        <w:tc>
          <w:tcPr>
            <w:tcW w:w="1489" w:type="dxa"/>
            <w:shd w:val="clear" w:color="auto" w:fill="FFFFFF" w:themeFill="background1"/>
            <w:vAlign w:val="center"/>
          </w:tcPr>
          <w:p w14:paraId="370870A8"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1,867,138,851.15</w:t>
            </w:r>
          </w:p>
        </w:tc>
        <w:tc>
          <w:tcPr>
            <w:tcW w:w="1418" w:type="dxa"/>
            <w:shd w:val="clear" w:color="auto" w:fill="FFFFFF" w:themeFill="background1"/>
            <w:vAlign w:val="center"/>
          </w:tcPr>
          <w:p w14:paraId="59D69C1F"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2,932,613,898.44</w:t>
            </w:r>
          </w:p>
        </w:tc>
        <w:tc>
          <w:tcPr>
            <w:tcW w:w="1275" w:type="dxa"/>
            <w:shd w:val="clear" w:color="auto" w:fill="FFFFFF" w:themeFill="background1"/>
            <w:vAlign w:val="center"/>
          </w:tcPr>
          <w:p w14:paraId="193028DB"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23,926,161.73</w:t>
            </w:r>
          </w:p>
        </w:tc>
        <w:tc>
          <w:tcPr>
            <w:tcW w:w="1276" w:type="dxa"/>
            <w:shd w:val="clear" w:color="auto" w:fill="FFFFFF" w:themeFill="background1"/>
            <w:vAlign w:val="center"/>
          </w:tcPr>
          <w:p w14:paraId="679C19FF"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101,587,473.55</w:t>
            </w:r>
          </w:p>
        </w:tc>
        <w:tc>
          <w:tcPr>
            <w:tcW w:w="1276" w:type="dxa"/>
            <w:shd w:val="clear" w:color="auto" w:fill="FFFFFF" w:themeFill="background1"/>
            <w:vAlign w:val="center"/>
          </w:tcPr>
          <w:p w14:paraId="6A9E2D91"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53,442,853.85</w:t>
            </w:r>
          </w:p>
        </w:tc>
        <w:tc>
          <w:tcPr>
            <w:tcW w:w="1417" w:type="dxa"/>
            <w:shd w:val="clear" w:color="auto" w:fill="FFFFFF" w:themeFill="background1"/>
            <w:vAlign w:val="center"/>
          </w:tcPr>
          <w:p w14:paraId="5146FD06"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4,978,709,238.72</w:t>
            </w:r>
          </w:p>
        </w:tc>
      </w:tr>
      <w:tr w:rsidR="00632E5B" w14:paraId="04341ED1" w14:textId="77777777" w:rsidTr="001F5A64">
        <w:trPr>
          <w:trHeight w:val="240"/>
        </w:trPr>
        <w:tc>
          <w:tcPr>
            <w:tcW w:w="1377" w:type="dxa"/>
            <w:shd w:val="clear" w:color="auto" w:fill="FFFFFF" w:themeFill="background1"/>
            <w:vAlign w:val="center"/>
          </w:tcPr>
          <w:p w14:paraId="784B1CE1"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二、累计折旧</w:t>
            </w:r>
          </w:p>
        </w:tc>
        <w:tc>
          <w:tcPr>
            <w:tcW w:w="1489" w:type="dxa"/>
            <w:shd w:val="clear" w:color="auto" w:fill="FFFFFF" w:themeFill="background1"/>
            <w:vAlign w:val="center"/>
          </w:tcPr>
          <w:p w14:paraId="749FD926" w14:textId="77777777" w:rsidR="00632E5B" w:rsidRPr="001A4AB6" w:rsidRDefault="00632E5B">
            <w:pPr>
              <w:spacing w:line="240" w:lineRule="exact"/>
              <w:jc w:val="right"/>
              <w:rPr>
                <w:rFonts w:ascii="宋体" w:eastAsia="宋体" w:hAnsi="宋体" w:cs="宋体" w:hint="eastAsia"/>
                <w:sz w:val="15"/>
                <w:szCs w:val="15"/>
              </w:rPr>
            </w:pPr>
          </w:p>
        </w:tc>
        <w:tc>
          <w:tcPr>
            <w:tcW w:w="1418" w:type="dxa"/>
            <w:shd w:val="clear" w:color="auto" w:fill="FFFFFF" w:themeFill="background1"/>
            <w:vAlign w:val="center"/>
          </w:tcPr>
          <w:p w14:paraId="335A78EC" w14:textId="77777777" w:rsidR="00632E5B" w:rsidRPr="001A4AB6" w:rsidRDefault="00632E5B">
            <w:pPr>
              <w:spacing w:line="240" w:lineRule="exact"/>
              <w:jc w:val="right"/>
              <w:rPr>
                <w:rFonts w:ascii="宋体" w:eastAsia="宋体" w:hAnsi="宋体" w:cs="宋体" w:hint="eastAsia"/>
                <w:sz w:val="15"/>
                <w:szCs w:val="15"/>
              </w:rPr>
            </w:pPr>
          </w:p>
        </w:tc>
        <w:tc>
          <w:tcPr>
            <w:tcW w:w="1275" w:type="dxa"/>
            <w:shd w:val="clear" w:color="auto" w:fill="FFFFFF" w:themeFill="background1"/>
            <w:vAlign w:val="center"/>
          </w:tcPr>
          <w:p w14:paraId="30DDC1CA" w14:textId="77777777" w:rsidR="00632E5B" w:rsidRPr="001A4AB6" w:rsidRDefault="00632E5B">
            <w:pPr>
              <w:spacing w:line="240" w:lineRule="exact"/>
              <w:jc w:val="right"/>
              <w:rPr>
                <w:rFonts w:ascii="宋体" w:eastAsia="宋体" w:hAnsi="宋体" w:cs="宋体" w:hint="eastAsia"/>
                <w:sz w:val="15"/>
                <w:szCs w:val="15"/>
              </w:rPr>
            </w:pPr>
          </w:p>
        </w:tc>
        <w:tc>
          <w:tcPr>
            <w:tcW w:w="1276" w:type="dxa"/>
            <w:shd w:val="clear" w:color="auto" w:fill="FFFFFF" w:themeFill="background1"/>
            <w:vAlign w:val="center"/>
          </w:tcPr>
          <w:p w14:paraId="466023DF" w14:textId="77777777" w:rsidR="00632E5B" w:rsidRPr="001A4AB6" w:rsidRDefault="00632E5B">
            <w:pPr>
              <w:spacing w:line="240" w:lineRule="exact"/>
              <w:jc w:val="right"/>
              <w:rPr>
                <w:rFonts w:ascii="宋体" w:eastAsia="宋体" w:hAnsi="宋体" w:cs="宋体" w:hint="eastAsia"/>
                <w:sz w:val="15"/>
                <w:szCs w:val="15"/>
              </w:rPr>
            </w:pPr>
          </w:p>
        </w:tc>
        <w:tc>
          <w:tcPr>
            <w:tcW w:w="1276" w:type="dxa"/>
            <w:shd w:val="clear" w:color="auto" w:fill="FFFFFF" w:themeFill="background1"/>
            <w:vAlign w:val="center"/>
          </w:tcPr>
          <w:p w14:paraId="714CF268" w14:textId="77777777" w:rsidR="00632E5B" w:rsidRPr="001A4AB6" w:rsidRDefault="00632E5B">
            <w:pPr>
              <w:spacing w:line="240" w:lineRule="exact"/>
              <w:jc w:val="right"/>
              <w:rPr>
                <w:rFonts w:ascii="宋体" w:eastAsia="宋体" w:hAnsi="宋体" w:cs="宋体" w:hint="eastAsia"/>
                <w:sz w:val="15"/>
                <w:szCs w:val="15"/>
              </w:rPr>
            </w:pPr>
          </w:p>
        </w:tc>
        <w:tc>
          <w:tcPr>
            <w:tcW w:w="1417" w:type="dxa"/>
            <w:shd w:val="clear" w:color="auto" w:fill="FFFFFF" w:themeFill="background1"/>
            <w:vAlign w:val="center"/>
          </w:tcPr>
          <w:p w14:paraId="2FFC7C2A" w14:textId="77777777" w:rsidR="00632E5B" w:rsidRPr="001A4AB6" w:rsidRDefault="00632E5B">
            <w:pPr>
              <w:spacing w:line="240" w:lineRule="exact"/>
              <w:jc w:val="right"/>
              <w:rPr>
                <w:rFonts w:ascii="宋体" w:eastAsia="宋体" w:hAnsi="宋体" w:cs="宋体" w:hint="eastAsia"/>
                <w:sz w:val="15"/>
                <w:szCs w:val="15"/>
              </w:rPr>
            </w:pPr>
          </w:p>
        </w:tc>
      </w:tr>
      <w:tr w:rsidR="00632E5B" w14:paraId="7C70B679" w14:textId="77777777" w:rsidTr="001F5A64">
        <w:trPr>
          <w:trHeight w:val="240"/>
        </w:trPr>
        <w:tc>
          <w:tcPr>
            <w:tcW w:w="1377" w:type="dxa"/>
            <w:shd w:val="clear" w:color="auto" w:fill="FFFFFF" w:themeFill="background1"/>
            <w:vAlign w:val="center"/>
          </w:tcPr>
          <w:p w14:paraId="5E8EFD4F"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1.期初余额</w:t>
            </w:r>
          </w:p>
        </w:tc>
        <w:tc>
          <w:tcPr>
            <w:tcW w:w="1489" w:type="dxa"/>
            <w:shd w:val="clear" w:color="auto" w:fill="FFFFFF" w:themeFill="background1"/>
            <w:vAlign w:val="center"/>
          </w:tcPr>
          <w:p w14:paraId="2E98A12F"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718,023,123.83</w:t>
            </w:r>
          </w:p>
        </w:tc>
        <w:tc>
          <w:tcPr>
            <w:tcW w:w="1418" w:type="dxa"/>
            <w:shd w:val="clear" w:color="auto" w:fill="FFFFFF" w:themeFill="background1"/>
            <w:vAlign w:val="center"/>
          </w:tcPr>
          <w:p w14:paraId="306C479D"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1,650,304,592.70</w:t>
            </w:r>
          </w:p>
        </w:tc>
        <w:tc>
          <w:tcPr>
            <w:tcW w:w="1275" w:type="dxa"/>
            <w:shd w:val="clear" w:color="auto" w:fill="FFFFFF" w:themeFill="background1"/>
            <w:vAlign w:val="center"/>
          </w:tcPr>
          <w:p w14:paraId="45042D13"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24,809,678.58</w:t>
            </w:r>
          </w:p>
        </w:tc>
        <w:tc>
          <w:tcPr>
            <w:tcW w:w="1276" w:type="dxa"/>
            <w:shd w:val="clear" w:color="auto" w:fill="FFFFFF" w:themeFill="background1"/>
            <w:vAlign w:val="center"/>
          </w:tcPr>
          <w:p w14:paraId="4C41FFFA"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108,017,463.98</w:t>
            </w:r>
          </w:p>
        </w:tc>
        <w:tc>
          <w:tcPr>
            <w:tcW w:w="1276" w:type="dxa"/>
            <w:shd w:val="clear" w:color="auto" w:fill="FFFFFF" w:themeFill="background1"/>
            <w:vAlign w:val="center"/>
          </w:tcPr>
          <w:p w14:paraId="1B05FE01"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10,631,780.76</w:t>
            </w:r>
          </w:p>
        </w:tc>
        <w:tc>
          <w:tcPr>
            <w:tcW w:w="1417" w:type="dxa"/>
            <w:shd w:val="clear" w:color="auto" w:fill="FFFFFF" w:themeFill="background1"/>
            <w:vAlign w:val="center"/>
          </w:tcPr>
          <w:p w14:paraId="4FEE1A38"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2,511,786,639.85</w:t>
            </w:r>
          </w:p>
        </w:tc>
      </w:tr>
      <w:tr w:rsidR="00632E5B" w14:paraId="2B8D2150" w14:textId="77777777" w:rsidTr="001F5A64">
        <w:trPr>
          <w:trHeight w:val="240"/>
        </w:trPr>
        <w:tc>
          <w:tcPr>
            <w:tcW w:w="1377" w:type="dxa"/>
            <w:shd w:val="clear" w:color="auto" w:fill="FFFFFF" w:themeFill="background1"/>
            <w:vAlign w:val="center"/>
          </w:tcPr>
          <w:p w14:paraId="0B1541E3"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2.本期增</w:t>
            </w:r>
            <w:r>
              <w:rPr>
                <w:rFonts w:ascii="宋体" w:eastAsia="宋体" w:hAnsi="宋体" w:cs="宋体"/>
                <w:sz w:val="18"/>
                <w:szCs w:val="18"/>
              </w:rPr>
              <w:lastRenderedPageBreak/>
              <w:t>加金额</w:t>
            </w:r>
          </w:p>
        </w:tc>
        <w:tc>
          <w:tcPr>
            <w:tcW w:w="1489" w:type="dxa"/>
            <w:shd w:val="clear" w:color="auto" w:fill="FFFFFF" w:themeFill="background1"/>
            <w:vAlign w:val="center"/>
          </w:tcPr>
          <w:p w14:paraId="498D53BE"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lastRenderedPageBreak/>
              <w:t>108,467,583.54</w:t>
            </w:r>
          </w:p>
        </w:tc>
        <w:tc>
          <w:tcPr>
            <w:tcW w:w="1418" w:type="dxa"/>
            <w:shd w:val="clear" w:color="auto" w:fill="FFFFFF" w:themeFill="background1"/>
            <w:vAlign w:val="center"/>
          </w:tcPr>
          <w:p w14:paraId="4DD2754B"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194,055,365.83</w:t>
            </w:r>
          </w:p>
        </w:tc>
        <w:tc>
          <w:tcPr>
            <w:tcW w:w="1275" w:type="dxa"/>
            <w:shd w:val="clear" w:color="auto" w:fill="FFFFFF" w:themeFill="background1"/>
            <w:vAlign w:val="center"/>
          </w:tcPr>
          <w:p w14:paraId="1DEA8CD9"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1,088,452.38</w:t>
            </w:r>
          </w:p>
        </w:tc>
        <w:tc>
          <w:tcPr>
            <w:tcW w:w="1276" w:type="dxa"/>
            <w:shd w:val="clear" w:color="auto" w:fill="FFFFFF" w:themeFill="background1"/>
            <w:vAlign w:val="center"/>
          </w:tcPr>
          <w:p w14:paraId="4A2A2910"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11,308,981.96</w:t>
            </w:r>
          </w:p>
        </w:tc>
        <w:tc>
          <w:tcPr>
            <w:tcW w:w="1276" w:type="dxa"/>
            <w:shd w:val="clear" w:color="auto" w:fill="FFFFFF" w:themeFill="background1"/>
            <w:vAlign w:val="center"/>
          </w:tcPr>
          <w:p w14:paraId="4E76288C"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2,975,814.48</w:t>
            </w:r>
          </w:p>
        </w:tc>
        <w:tc>
          <w:tcPr>
            <w:tcW w:w="1417" w:type="dxa"/>
            <w:shd w:val="clear" w:color="auto" w:fill="FFFFFF" w:themeFill="background1"/>
            <w:vAlign w:val="center"/>
          </w:tcPr>
          <w:p w14:paraId="25FE659E"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317,896,198.19</w:t>
            </w:r>
          </w:p>
        </w:tc>
      </w:tr>
      <w:tr w:rsidR="00632E5B" w14:paraId="4A78ECA7" w14:textId="77777777" w:rsidTr="001F5A64">
        <w:trPr>
          <w:trHeight w:val="240"/>
        </w:trPr>
        <w:tc>
          <w:tcPr>
            <w:tcW w:w="1377" w:type="dxa"/>
            <w:shd w:val="clear" w:color="auto" w:fill="FFFFFF" w:themeFill="background1"/>
            <w:vAlign w:val="center"/>
          </w:tcPr>
          <w:p w14:paraId="6043B567" w14:textId="77777777" w:rsidR="00632E5B" w:rsidRDefault="00107901">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（1）计提</w:t>
            </w:r>
          </w:p>
        </w:tc>
        <w:tc>
          <w:tcPr>
            <w:tcW w:w="1489" w:type="dxa"/>
            <w:shd w:val="clear" w:color="auto" w:fill="FFFFFF" w:themeFill="background1"/>
            <w:vAlign w:val="center"/>
          </w:tcPr>
          <w:p w14:paraId="20932B3A"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105,946,267.72</w:t>
            </w:r>
          </w:p>
        </w:tc>
        <w:tc>
          <w:tcPr>
            <w:tcW w:w="1418" w:type="dxa"/>
            <w:shd w:val="clear" w:color="auto" w:fill="FFFFFF" w:themeFill="background1"/>
            <w:vAlign w:val="center"/>
          </w:tcPr>
          <w:p w14:paraId="48EE1EBF"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187,589,041.66</w:t>
            </w:r>
          </w:p>
        </w:tc>
        <w:tc>
          <w:tcPr>
            <w:tcW w:w="1275" w:type="dxa"/>
            <w:shd w:val="clear" w:color="auto" w:fill="FFFFFF" w:themeFill="background1"/>
            <w:vAlign w:val="center"/>
          </w:tcPr>
          <w:p w14:paraId="721E5495"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1,026,573.24</w:t>
            </w:r>
          </w:p>
        </w:tc>
        <w:tc>
          <w:tcPr>
            <w:tcW w:w="1276" w:type="dxa"/>
            <w:shd w:val="clear" w:color="auto" w:fill="FFFFFF" w:themeFill="background1"/>
            <w:vAlign w:val="center"/>
          </w:tcPr>
          <w:p w14:paraId="109FD81C"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10,635,546.12</w:t>
            </w:r>
          </w:p>
        </w:tc>
        <w:tc>
          <w:tcPr>
            <w:tcW w:w="1276" w:type="dxa"/>
            <w:shd w:val="clear" w:color="auto" w:fill="FFFFFF" w:themeFill="background1"/>
            <w:vAlign w:val="center"/>
          </w:tcPr>
          <w:p w14:paraId="5F3266F0"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2,975,814.48</w:t>
            </w:r>
          </w:p>
        </w:tc>
        <w:tc>
          <w:tcPr>
            <w:tcW w:w="1417" w:type="dxa"/>
            <w:shd w:val="clear" w:color="auto" w:fill="FFFFFF" w:themeFill="background1"/>
            <w:vAlign w:val="center"/>
          </w:tcPr>
          <w:p w14:paraId="2BA3EAF1"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308,173,243.22</w:t>
            </w:r>
          </w:p>
        </w:tc>
      </w:tr>
      <w:tr w:rsidR="00632E5B" w14:paraId="78A2428D" w14:textId="77777777" w:rsidTr="001F5A64">
        <w:trPr>
          <w:trHeight w:val="240"/>
        </w:trPr>
        <w:tc>
          <w:tcPr>
            <w:tcW w:w="1377" w:type="dxa"/>
            <w:shd w:val="clear" w:color="auto" w:fill="FFFFFF" w:themeFill="background1"/>
            <w:vAlign w:val="center"/>
          </w:tcPr>
          <w:p w14:paraId="1C1B98F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(2)其他（含汇率变动、类别调整等）</w:t>
            </w:r>
          </w:p>
        </w:tc>
        <w:tc>
          <w:tcPr>
            <w:tcW w:w="1489" w:type="dxa"/>
            <w:shd w:val="clear" w:color="auto" w:fill="FFFFFF" w:themeFill="background1"/>
            <w:vAlign w:val="center"/>
          </w:tcPr>
          <w:p w14:paraId="69C8DEF9"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2,521,315.82</w:t>
            </w:r>
          </w:p>
        </w:tc>
        <w:tc>
          <w:tcPr>
            <w:tcW w:w="1418" w:type="dxa"/>
            <w:shd w:val="clear" w:color="auto" w:fill="FFFFFF" w:themeFill="background1"/>
            <w:vAlign w:val="center"/>
          </w:tcPr>
          <w:p w14:paraId="5A1EF815"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6,466,324.17</w:t>
            </w:r>
          </w:p>
        </w:tc>
        <w:tc>
          <w:tcPr>
            <w:tcW w:w="1275" w:type="dxa"/>
            <w:shd w:val="clear" w:color="auto" w:fill="FFFFFF" w:themeFill="background1"/>
            <w:vAlign w:val="center"/>
          </w:tcPr>
          <w:p w14:paraId="7120209B"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61,879.14</w:t>
            </w:r>
          </w:p>
        </w:tc>
        <w:tc>
          <w:tcPr>
            <w:tcW w:w="1276" w:type="dxa"/>
            <w:shd w:val="clear" w:color="auto" w:fill="FFFFFF" w:themeFill="background1"/>
            <w:vAlign w:val="center"/>
          </w:tcPr>
          <w:p w14:paraId="788FD87C"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673,435.84</w:t>
            </w:r>
          </w:p>
        </w:tc>
        <w:tc>
          <w:tcPr>
            <w:tcW w:w="1276" w:type="dxa"/>
            <w:shd w:val="clear" w:color="auto" w:fill="FFFFFF" w:themeFill="background1"/>
            <w:vAlign w:val="center"/>
          </w:tcPr>
          <w:p w14:paraId="417108C1" w14:textId="77777777" w:rsidR="00632E5B" w:rsidRPr="001A4AB6" w:rsidRDefault="00632E5B">
            <w:pPr>
              <w:spacing w:line="240" w:lineRule="exact"/>
              <w:jc w:val="right"/>
              <w:rPr>
                <w:rFonts w:ascii="宋体" w:eastAsia="宋体" w:hAnsi="宋体" w:cs="宋体" w:hint="eastAsia"/>
                <w:sz w:val="15"/>
                <w:szCs w:val="15"/>
              </w:rPr>
            </w:pPr>
          </w:p>
        </w:tc>
        <w:tc>
          <w:tcPr>
            <w:tcW w:w="1417" w:type="dxa"/>
            <w:shd w:val="clear" w:color="auto" w:fill="FFFFFF" w:themeFill="background1"/>
            <w:vAlign w:val="center"/>
          </w:tcPr>
          <w:p w14:paraId="2869A9C2"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9,722,954.97</w:t>
            </w:r>
          </w:p>
        </w:tc>
      </w:tr>
      <w:tr w:rsidR="00632E5B" w14:paraId="107D2A5A" w14:textId="77777777" w:rsidTr="001F5A64">
        <w:trPr>
          <w:trHeight w:val="240"/>
        </w:trPr>
        <w:tc>
          <w:tcPr>
            <w:tcW w:w="1377" w:type="dxa"/>
            <w:shd w:val="clear" w:color="auto" w:fill="FFFFFF" w:themeFill="background1"/>
            <w:vAlign w:val="center"/>
          </w:tcPr>
          <w:p w14:paraId="03E01B94"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3.本期减少金额</w:t>
            </w:r>
          </w:p>
        </w:tc>
        <w:tc>
          <w:tcPr>
            <w:tcW w:w="1489" w:type="dxa"/>
            <w:shd w:val="clear" w:color="auto" w:fill="FFFFFF" w:themeFill="background1"/>
            <w:vAlign w:val="center"/>
          </w:tcPr>
          <w:p w14:paraId="478EB616"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103,915,657.12</w:t>
            </w:r>
          </w:p>
        </w:tc>
        <w:tc>
          <w:tcPr>
            <w:tcW w:w="1418" w:type="dxa"/>
            <w:shd w:val="clear" w:color="auto" w:fill="FFFFFF" w:themeFill="background1"/>
            <w:vAlign w:val="center"/>
          </w:tcPr>
          <w:p w14:paraId="48EC421C"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281,895,545.13</w:t>
            </w:r>
          </w:p>
        </w:tc>
        <w:tc>
          <w:tcPr>
            <w:tcW w:w="1275" w:type="dxa"/>
            <w:shd w:val="clear" w:color="auto" w:fill="FFFFFF" w:themeFill="background1"/>
            <w:vAlign w:val="center"/>
          </w:tcPr>
          <w:p w14:paraId="2AB0F707"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2,605,252.44</w:t>
            </w:r>
          </w:p>
        </w:tc>
        <w:tc>
          <w:tcPr>
            <w:tcW w:w="1276" w:type="dxa"/>
            <w:shd w:val="clear" w:color="auto" w:fill="FFFFFF" w:themeFill="background1"/>
            <w:vAlign w:val="center"/>
          </w:tcPr>
          <w:p w14:paraId="62018CA0"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34,302,126.12</w:t>
            </w:r>
          </w:p>
        </w:tc>
        <w:tc>
          <w:tcPr>
            <w:tcW w:w="1276" w:type="dxa"/>
            <w:shd w:val="clear" w:color="auto" w:fill="FFFFFF" w:themeFill="background1"/>
            <w:vAlign w:val="center"/>
          </w:tcPr>
          <w:p w14:paraId="707CC218"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2,150,830.01</w:t>
            </w:r>
          </w:p>
        </w:tc>
        <w:tc>
          <w:tcPr>
            <w:tcW w:w="1417" w:type="dxa"/>
            <w:shd w:val="clear" w:color="auto" w:fill="FFFFFF" w:themeFill="background1"/>
            <w:vAlign w:val="center"/>
          </w:tcPr>
          <w:p w14:paraId="7D2F091A"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424,869,410.82</w:t>
            </w:r>
          </w:p>
        </w:tc>
      </w:tr>
      <w:tr w:rsidR="00632E5B" w14:paraId="4010BC8E" w14:textId="77777777" w:rsidTr="001F5A64">
        <w:trPr>
          <w:trHeight w:val="240"/>
        </w:trPr>
        <w:tc>
          <w:tcPr>
            <w:tcW w:w="1377" w:type="dxa"/>
            <w:shd w:val="clear" w:color="auto" w:fill="FFFFFF" w:themeFill="background1"/>
            <w:vAlign w:val="center"/>
          </w:tcPr>
          <w:p w14:paraId="2CCE7492" w14:textId="77777777" w:rsidR="00632E5B" w:rsidRDefault="00107901">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（1）处置或报废</w:t>
            </w:r>
          </w:p>
        </w:tc>
        <w:tc>
          <w:tcPr>
            <w:tcW w:w="1489" w:type="dxa"/>
            <w:shd w:val="clear" w:color="auto" w:fill="FFFFFF" w:themeFill="background1"/>
            <w:vAlign w:val="center"/>
          </w:tcPr>
          <w:p w14:paraId="075ACF86"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79,158.61</w:t>
            </w:r>
          </w:p>
        </w:tc>
        <w:tc>
          <w:tcPr>
            <w:tcW w:w="1418" w:type="dxa"/>
            <w:shd w:val="clear" w:color="auto" w:fill="FFFFFF" w:themeFill="background1"/>
            <w:vAlign w:val="center"/>
          </w:tcPr>
          <w:p w14:paraId="41D7E9EC"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3,911,553.16</w:t>
            </w:r>
          </w:p>
        </w:tc>
        <w:tc>
          <w:tcPr>
            <w:tcW w:w="1275" w:type="dxa"/>
            <w:shd w:val="clear" w:color="auto" w:fill="FFFFFF" w:themeFill="background1"/>
            <w:vAlign w:val="center"/>
          </w:tcPr>
          <w:p w14:paraId="1335DCF3"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688,815.86</w:t>
            </w:r>
          </w:p>
        </w:tc>
        <w:tc>
          <w:tcPr>
            <w:tcW w:w="1276" w:type="dxa"/>
            <w:shd w:val="clear" w:color="auto" w:fill="FFFFFF" w:themeFill="background1"/>
            <w:vAlign w:val="center"/>
          </w:tcPr>
          <w:p w14:paraId="146A246E"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1,799,709.96</w:t>
            </w:r>
          </w:p>
        </w:tc>
        <w:tc>
          <w:tcPr>
            <w:tcW w:w="1276" w:type="dxa"/>
            <w:shd w:val="clear" w:color="auto" w:fill="FFFFFF" w:themeFill="background1"/>
            <w:vAlign w:val="center"/>
          </w:tcPr>
          <w:p w14:paraId="470454BF"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2,150,830.01</w:t>
            </w:r>
          </w:p>
        </w:tc>
        <w:tc>
          <w:tcPr>
            <w:tcW w:w="1417" w:type="dxa"/>
            <w:shd w:val="clear" w:color="auto" w:fill="FFFFFF" w:themeFill="background1"/>
            <w:vAlign w:val="center"/>
          </w:tcPr>
          <w:p w14:paraId="0C33F37D"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8,630,067.60</w:t>
            </w:r>
          </w:p>
        </w:tc>
      </w:tr>
      <w:tr w:rsidR="00632E5B" w14:paraId="09DC6B91" w14:textId="77777777" w:rsidTr="001F5A64">
        <w:trPr>
          <w:trHeight w:val="240"/>
        </w:trPr>
        <w:tc>
          <w:tcPr>
            <w:tcW w:w="1377" w:type="dxa"/>
            <w:shd w:val="clear" w:color="auto" w:fill="FFFFFF" w:themeFill="background1"/>
            <w:vAlign w:val="center"/>
          </w:tcPr>
          <w:p w14:paraId="5D1E6BA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(2)转让</w:t>
            </w:r>
          </w:p>
        </w:tc>
        <w:tc>
          <w:tcPr>
            <w:tcW w:w="1489" w:type="dxa"/>
            <w:shd w:val="clear" w:color="auto" w:fill="FFFFFF" w:themeFill="background1"/>
            <w:vAlign w:val="center"/>
          </w:tcPr>
          <w:p w14:paraId="7313C35F"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101,743.68</w:t>
            </w:r>
          </w:p>
        </w:tc>
        <w:tc>
          <w:tcPr>
            <w:tcW w:w="1418" w:type="dxa"/>
            <w:shd w:val="clear" w:color="auto" w:fill="FFFFFF" w:themeFill="background1"/>
            <w:vAlign w:val="center"/>
          </w:tcPr>
          <w:p w14:paraId="583B0314"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1,321,948.77</w:t>
            </w:r>
          </w:p>
        </w:tc>
        <w:tc>
          <w:tcPr>
            <w:tcW w:w="1275" w:type="dxa"/>
            <w:shd w:val="clear" w:color="auto" w:fill="FFFFFF" w:themeFill="background1"/>
            <w:vAlign w:val="center"/>
          </w:tcPr>
          <w:p w14:paraId="6AF201EF"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294,145.39</w:t>
            </w:r>
          </w:p>
        </w:tc>
        <w:tc>
          <w:tcPr>
            <w:tcW w:w="1276" w:type="dxa"/>
            <w:shd w:val="clear" w:color="auto" w:fill="FFFFFF" w:themeFill="background1"/>
            <w:vAlign w:val="center"/>
          </w:tcPr>
          <w:p w14:paraId="61412EB3"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140,763.91</w:t>
            </w:r>
          </w:p>
        </w:tc>
        <w:tc>
          <w:tcPr>
            <w:tcW w:w="1276" w:type="dxa"/>
            <w:shd w:val="clear" w:color="auto" w:fill="FFFFFF" w:themeFill="background1"/>
            <w:vAlign w:val="center"/>
          </w:tcPr>
          <w:p w14:paraId="1CA9730E" w14:textId="77777777" w:rsidR="00632E5B" w:rsidRPr="001A4AB6" w:rsidRDefault="00632E5B">
            <w:pPr>
              <w:spacing w:line="240" w:lineRule="exact"/>
              <w:jc w:val="right"/>
              <w:rPr>
                <w:rFonts w:ascii="宋体" w:eastAsia="宋体" w:hAnsi="宋体" w:cs="宋体" w:hint="eastAsia"/>
                <w:sz w:val="15"/>
                <w:szCs w:val="15"/>
              </w:rPr>
            </w:pPr>
          </w:p>
        </w:tc>
        <w:tc>
          <w:tcPr>
            <w:tcW w:w="1417" w:type="dxa"/>
            <w:shd w:val="clear" w:color="auto" w:fill="FFFFFF" w:themeFill="background1"/>
            <w:vAlign w:val="center"/>
          </w:tcPr>
          <w:p w14:paraId="2BAF9463"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1,858,601.75</w:t>
            </w:r>
          </w:p>
        </w:tc>
      </w:tr>
      <w:tr w:rsidR="00632E5B" w14:paraId="6364FB6B" w14:textId="77777777" w:rsidTr="001F5A64">
        <w:trPr>
          <w:trHeight w:val="240"/>
        </w:trPr>
        <w:tc>
          <w:tcPr>
            <w:tcW w:w="1377" w:type="dxa"/>
            <w:shd w:val="clear" w:color="auto" w:fill="FFFFFF" w:themeFill="background1"/>
            <w:vAlign w:val="center"/>
          </w:tcPr>
          <w:p w14:paraId="681745B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(3)转入存货\在建工程\投资性房地产</w:t>
            </w:r>
          </w:p>
        </w:tc>
        <w:tc>
          <w:tcPr>
            <w:tcW w:w="1489" w:type="dxa"/>
            <w:shd w:val="clear" w:color="auto" w:fill="FFFFFF" w:themeFill="background1"/>
            <w:vAlign w:val="center"/>
          </w:tcPr>
          <w:p w14:paraId="5FDB0FA4" w14:textId="77777777" w:rsidR="00632E5B" w:rsidRPr="001A4AB6" w:rsidRDefault="00632E5B">
            <w:pPr>
              <w:spacing w:line="240" w:lineRule="exact"/>
              <w:jc w:val="right"/>
              <w:rPr>
                <w:rFonts w:ascii="宋体" w:eastAsia="宋体" w:hAnsi="宋体" w:cs="宋体" w:hint="eastAsia"/>
                <w:sz w:val="15"/>
                <w:szCs w:val="15"/>
              </w:rPr>
            </w:pPr>
          </w:p>
        </w:tc>
        <w:tc>
          <w:tcPr>
            <w:tcW w:w="1418" w:type="dxa"/>
            <w:shd w:val="clear" w:color="auto" w:fill="FFFFFF" w:themeFill="background1"/>
            <w:vAlign w:val="center"/>
          </w:tcPr>
          <w:p w14:paraId="71F3F851"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367,400.46</w:t>
            </w:r>
          </w:p>
        </w:tc>
        <w:tc>
          <w:tcPr>
            <w:tcW w:w="1275" w:type="dxa"/>
            <w:shd w:val="clear" w:color="auto" w:fill="FFFFFF" w:themeFill="background1"/>
            <w:vAlign w:val="center"/>
          </w:tcPr>
          <w:p w14:paraId="378A314A" w14:textId="77777777" w:rsidR="00632E5B" w:rsidRPr="001A4AB6" w:rsidRDefault="00632E5B">
            <w:pPr>
              <w:spacing w:line="240" w:lineRule="exact"/>
              <w:jc w:val="right"/>
              <w:rPr>
                <w:rFonts w:ascii="宋体" w:eastAsia="宋体" w:hAnsi="宋体" w:cs="宋体" w:hint="eastAsia"/>
                <w:sz w:val="15"/>
                <w:szCs w:val="15"/>
              </w:rPr>
            </w:pPr>
          </w:p>
        </w:tc>
        <w:tc>
          <w:tcPr>
            <w:tcW w:w="1276" w:type="dxa"/>
            <w:shd w:val="clear" w:color="auto" w:fill="FFFFFF" w:themeFill="background1"/>
            <w:vAlign w:val="center"/>
          </w:tcPr>
          <w:p w14:paraId="4B91B315"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143,117.95</w:t>
            </w:r>
          </w:p>
        </w:tc>
        <w:tc>
          <w:tcPr>
            <w:tcW w:w="1276" w:type="dxa"/>
            <w:shd w:val="clear" w:color="auto" w:fill="FFFFFF" w:themeFill="background1"/>
            <w:vAlign w:val="center"/>
          </w:tcPr>
          <w:p w14:paraId="2F90063F" w14:textId="77777777" w:rsidR="00632E5B" w:rsidRPr="001A4AB6" w:rsidRDefault="00632E5B">
            <w:pPr>
              <w:spacing w:line="240" w:lineRule="exact"/>
              <w:jc w:val="right"/>
              <w:rPr>
                <w:rFonts w:ascii="宋体" w:eastAsia="宋体" w:hAnsi="宋体" w:cs="宋体" w:hint="eastAsia"/>
                <w:sz w:val="15"/>
                <w:szCs w:val="15"/>
              </w:rPr>
            </w:pPr>
          </w:p>
        </w:tc>
        <w:tc>
          <w:tcPr>
            <w:tcW w:w="1417" w:type="dxa"/>
            <w:shd w:val="clear" w:color="auto" w:fill="FFFFFF" w:themeFill="background1"/>
            <w:vAlign w:val="center"/>
          </w:tcPr>
          <w:p w14:paraId="434C5BA7"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510,518.41</w:t>
            </w:r>
          </w:p>
        </w:tc>
      </w:tr>
      <w:tr w:rsidR="00632E5B" w14:paraId="3E7FCF0A" w14:textId="77777777" w:rsidTr="001F5A64">
        <w:trPr>
          <w:trHeight w:val="240"/>
        </w:trPr>
        <w:tc>
          <w:tcPr>
            <w:tcW w:w="1377" w:type="dxa"/>
            <w:shd w:val="clear" w:color="auto" w:fill="FFFFFF" w:themeFill="background1"/>
            <w:vAlign w:val="center"/>
          </w:tcPr>
          <w:p w14:paraId="340E2B5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(4)盘亏</w:t>
            </w:r>
          </w:p>
        </w:tc>
        <w:tc>
          <w:tcPr>
            <w:tcW w:w="1489" w:type="dxa"/>
            <w:shd w:val="clear" w:color="auto" w:fill="FFFFFF" w:themeFill="background1"/>
            <w:vAlign w:val="center"/>
          </w:tcPr>
          <w:p w14:paraId="1EA15890" w14:textId="77777777" w:rsidR="00632E5B" w:rsidRPr="001A4AB6" w:rsidRDefault="00632E5B">
            <w:pPr>
              <w:spacing w:line="240" w:lineRule="exact"/>
              <w:jc w:val="right"/>
              <w:rPr>
                <w:rFonts w:ascii="宋体" w:eastAsia="宋体" w:hAnsi="宋体" w:cs="宋体" w:hint="eastAsia"/>
                <w:sz w:val="15"/>
                <w:szCs w:val="15"/>
              </w:rPr>
            </w:pPr>
          </w:p>
        </w:tc>
        <w:tc>
          <w:tcPr>
            <w:tcW w:w="1418" w:type="dxa"/>
            <w:shd w:val="clear" w:color="auto" w:fill="FFFFFF" w:themeFill="background1"/>
            <w:vAlign w:val="center"/>
          </w:tcPr>
          <w:p w14:paraId="2ECF4961" w14:textId="77777777" w:rsidR="00632E5B" w:rsidRPr="001A4AB6" w:rsidRDefault="00632E5B">
            <w:pPr>
              <w:spacing w:line="240" w:lineRule="exact"/>
              <w:jc w:val="right"/>
              <w:rPr>
                <w:rFonts w:ascii="宋体" w:eastAsia="宋体" w:hAnsi="宋体" w:cs="宋体" w:hint="eastAsia"/>
                <w:sz w:val="15"/>
                <w:szCs w:val="15"/>
              </w:rPr>
            </w:pPr>
          </w:p>
        </w:tc>
        <w:tc>
          <w:tcPr>
            <w:tcW w:w="1275" w:type="dxa"/>
            <w:shd w:val="clear" w:color="auto" w:fill="FFFFFF" w:themeFill="background1"/>
            <w:vAlign w:val="center"/>
          </w:tcPr>
          <w:p w14:paraId="613EE980" w14:textId="77777777" w:rsidR="00632E5B" w:rsidRPr="001A4AB6" w:rsidRDefault="00632E5B">
            <w:pPr>
              <w:spacing w:line="240" w:lineRule="exact"/>
              <w:jc w:val="right"/>
              <w:rPr>
                <w:rFonts w:ascii="宋体" w:eastAsia="宋体" w:hAnsi="宋体" w:cs="宋体" w:hint="eastAsia"/>
                <w:sz w:val="15"/>
                <w:szCs w:val="15"/>
              </w:rPr>
            </w:pPr>
          </w:p>
        </w:tc>
        <w:tc>
          <w:tcPr>
            <w:tcW w:w="1276" w:type="dxa"/>
            <w:shd w:val="clear" w:color="auto" w:fill="FFFFFF" w:themeFill="background1"/>
            <w:vAlign w:val="center"/>
          </w:tcPr>
          <w:p w14:paraId="4590B67B" w14:textId="77777777" w:rsidR="00632E5B" w:rsidRPr="001A4AB6" w:rsidRDefault="00632E5B">
            <w:pPr>
              <w:spacing w:line="240" w:lineRule="exact"/>
              <w:jc w:val="right"/>
              <w:rPr>
                <w:rFonts w:ascii="宋体" w:eastAsia="宋体" w:hAnsi="宋体" w:cs="宋体" w:hint="eastAsia"/>
                <w:sz w:val="15"/>
                <w:szCs w:val="15"/>
              </w:rPr>
            </w:pPr>
          </w:p>
        </w:tc>
        <w:tc>
          <w:tcPr>
            <w:tcW w:w="1276" w:type="dxa"/>
            <w:shd w:val="clear" w:color="auto" w:fill="FFFFFF" w:themeFill="background1"/>
            <w:vAlign w:val="center"/>
          </w:tcPr>
          <w:p w14:paraId="5BB56480" w14:textId="77777777" w:rsidR="00632E5B" w:rsidRPr="001A4AB6" w:rsidRDefault="00632E5B">
            <w:pPr>
              <w:spacing w:line="240" w:lineRule="exact"/>
              <w:jc w:val="right"/>
              <w:rPr>
                <w:rFonts w:ascii="宋体" w:eastAsia="宋体" w:hAnsi="宋体" w:cs="宋体" w:hint="eastAsia"/>
                <w:sz w:val="15"/>
                <w:szCs w:val="15"/>
              </w:rPr>
            </w:pPr>
          </w:p>
        </w:tc>
        <w:tc>
          <w:tcPr>
            <w:tcW w:w="1417" w:type="dxa"/>
            <w:shd w:val="clear" w:color="auto" w:fill="FFFFFF" w:themeFill="background1"/>
            <w:vAlign w:val="center"/>
          </w:tcPr>
          <w:p w14:paraId="58DD57D8" w14:textId="77777777" w:rsidR="00632E5B" w:rsidRPr="001A4AB6" w:rsidRDefault="00632E5B">
            <w:pPr>
              <w:spacing w:line="240" w:lineRule="exact"/>
              <w:jc w:val="right"/>
              <w:rPr>
                <w:rFonts w:ascii="宋体" w:eastAsia="宋体" w:hAnsi="宋体" w:cs="宋体" w:hint="eastAsia"/>
                <w:sz w:val="15"/>
                <w:szCs w:val="15"/>
              </w:rPr>
            </w:pPr>
          </w:p>
        </w:tc>
      </w:tr>
      <w:tr w:rsidR="00632E5B" w14:paraId="3821FE00" w14:textId="77777777" w:rsidTr="001F5A64">
        <w:trPr>
          <w:trHeight w:val="240"/>
        </w:trPr>
        <w:tc>
          <w:tcPr>
            <w:tcW w:w="1377" w:type="dxa"/>
            <w:shd w:val="clear" w:color="auto" w:fill="FFFFFF" w:themeFill="background1"/>
            <w:vAlign w:val="center"/>
          </w:tcPr>
          <w:p w14:paraId="483676B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(5)企业合并范围变更减少</w:t>
            </w:r>
          </w:p>
        </w:tc>
        <w:tc>
          <w:tcPr>
            <w:tcW w:w="1489" w:type="dxa"/>
            <w:shd w:val="clear" w:color="auto" w:fill="FFFFFF" w:themeFill="background1"/>
            <w:vAlign w:val="center"/>
          </w:tcPr>
          <w:p w14:paraId="6C763522"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103,734,754.83</w:t>
            </w:r>
          </w:p>
        </w:tc>
        <w:tc>
          <w:tcPr>
            <w:tcW w:w="1418" w:type="dxa"/>
            <w:shd w:val="clear" w:color="auto" w:fill="FFFFFF" w:themeFill="background1"/>
            <w:vAlign w:val="center"/>
          </w:tcPr>
          <w:p w14:paraId="0DE13897"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275,986,504.99</w:t>
            </w:r>
          </w:p>
        </w:tc>
        <w:tc>
          <w:tcPr>
            <w:tcW w:w="1275" w:type="dxa"/>
            <w:shd w:val="clear" w:color="auto" w:fill="FFFFFF" w:themeFill="background1"/>
            <w:vAlign w:val="center"/>
          </w:tcPr>
          <w:p w14:paraId="1444A73D"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394,207.76</w:t>
            </w:r>
          </w:p>
        </w:tc>
        <w:tc>
          <w:tcPr>
            <w:tcW w:w="1276" w:type="dxa"/>
            <w:shd w:val="clear" w:color="auto" w:fill="FFFFFF" w:themeFill="background1"/>
            <w:vAlign w:val="center"/>
          </w:tcPr>
          <w:p w14:paraId="28D09359"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31,947,769.21</w:t>
            </w:r>
          </w:p>
        </w:tc>
        <w:tc>
          <w:tcPr>
            <w:tcW w:w="1276" w:type="dxa"/>
            <w:shd w:val="clear" w:color="auto" w:fill="FFFFFF" w:themeFill="background1"/>
            <w:vAlign w:val="center"/>
          </w:tcPr>
          <w:p w14:paraId="64B17C0C" w14:textId="77777777" w:rsidR="00632E5B" w:rsidRPr="001A4AB6" w:rsidRDefault="00632E5B">
            <w:pPr>
              <w:spacing w:line="240" w:lineRule="exact"/>
              <w:jc w:val="right"/>
              <w:rPr>
                <w:rFonts w:ascii="宋体" w:eastAsia="宋体" w:hAnsi="宋体" w:cs="宋体" w:hint="eastAsia"/>
                <w:sz w:val="15"/>
                <w:szCs w:val="15"/>
              </w:rPr>
            </w:pPr>
          </w:p>
        </w:tc>
        <w:tc>
          <w:tcPr>
            <w:tcW w:w="1417" w:type="dxa"/>
            <w:shd w:val="clear" w:color="auto" w:fill="FFFFFF" w:themeFill="background1"/>
            <w:vAlign w:val="center"/>
          </w:tcPr>
          <w:p w14:paraId="07F0B37A"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412,063,236.79</w:t>
            </w:r>
          </w:p>
        </w:tc>
      </w:tr>
      <w:tr w:rsidR="00632E5B" w14:paraId="037D33AA" w14:textId="77777777" w:rsidTr="001F5A64">
        <w:trPr>
          <w:trHeight w:val="240"/>
        </w:trPr>
        <w:tc>
          <w:tcPr>
            <w:tcW w:w="1377" w:type="dxa"/>
            <w:shd w:val="clear" w:color="auto" w:fill="FFFFFF" w:themeFill="background1"/>
            <w:vAlign w:val="center"/>
          </w:tcPr>
          <w:p w14:paraId="0B1A261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(6)其他（含汇率变动、类别调整等）</w:t>
            </w:r>
          </w:p>
        </w:tc>
        <w:tc>
          <w:tcPr>
            <w:tcW w:w="1489" w:type="dxa"/>
            <w:shd w:val="clear" w:color="auto" w:fill="FFFFFF" w:themeFill="background1"/>
            <w:vAlign w:val="center"/>
          </w:tcPr>
          <w:p w14:paraId="0532E20C" w14:textId="77777777" w:rsidR="00632E5B" w:rsidRPr="001A4AB6" w:rsidRDefault="00632E5B">
            <w:pPr>
              <w:spacing w:line="240" w:lineRule="exact"/>
              <w:jc w:val="right"/>
              <w:rPr>
                <w:rFonts w:ascii="宋体" w:eastAsia="宋体" w:hAnsi="宋体" w:cs="宋体" w:hint="eastAsia"/>
                <w:sz w:val="15"/>
                <w:szCs w:val="15"/>
              </w:rPr>
            </w:pPr>
          </w:p>
        </w:tc>
        <w:tc>
          <w:tcPr>
            <w:tcW w:w="1418" w:type="dxa"/>
            <w:shd w:val="clear" w:color="auto" w:fill="FFFFFF" w:themeFill="background1"/>
            <w:vAlign w:val="center"/>
          </w:tcPr>
          <w:p w14:paraId="0C169C9C"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308,137.75</w:t>
            </w:r>
          </w:p>
        </w:tc>
        <w:tc>
          <w:tcPr>
            <w:tcW w:w="1275" w:type="dxa"/>
            <w:shd w:val="clear" w:color="auto" w:fill="FFFFFF" w:themeFill="background1"/>
            <w:vAlign w:val="center"/>
          </w:tcPr>
          <w:p w14:paraId="5A82D3A1"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1,228,083.43</w:t>
            </w:r>
          </w:p>
        </w:tc>
        <w:tc>
          <w:tcPr>
            <w:tcW w:w="1276" w:type="dxa"/>
            <w:shd w:val="clear" w:color="auto" w:fill="FFFFFF" w:themeFill="background1"/>
            <w:vAlign w:val="center"/>
          </w:tcPr>
          <w:p w14:paraId="67FDA1DA"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270,765.09</w:t>
            </w:r>
          </w:p>
        </w:tc>
        <w:tc>
          <w:tcPr>
            <w:tcW w:w="1276" w:type="dxa"/>
            <w:shd w:val="clear" w:color="auto" w:fill="FFFFFF" w:themeFill="background1"/>
            <w:vAlign w:val="center"/>
          </w:tcPr>
          <w:p w14:paraId="08370449" w14:textId="77777777" w:rsidR="00632E5B" w:rsidRPr="001A4AB6" w:rsidRDefault="00632E5B">
            <w:pPr>
              <w:spacing w:line="240" w:lineRule="exact"/>
              <w:jc w:val="right"/>
              <w:rPr>
                <w:rFonts w:ascii="宋体" w:eastAsia="宋体" w:hAnsi="宋体" w:cs="宋体" w:hint="eastAsia"/>
                <w:sz w:val="15"/>
                <w:szCs w:val="15"/>
              </w:rPr>
            </w:pPr>
          </w:p>
        </w:tc>
        <w:tc>
          <w:tcPr>
            <w:tcW w:w="1417" w:type="dxa"/>
            <w:shd w:val="clear" w:color="auto" w:fill="FFFFFF" w:themeFill="background1"/>
            <w:vAlign w:val="center"/>
          </w:tcPr>
          <w:p w14:paraId="41AC2110"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1,806,986.27</w:t>
            </w:r>
          </w:p>
        </w:tc>
      </w:tr>
      <w:tr w:rsidR="00632E5B" w14:paraId="76E45C9E" w14:textId="77777777" w:rsidTr="001F5A64">
        <w:trPr>
          <w:trHeight w:val="240"/>
        </w:trPr>
        <w:tc>
          <w:tcPr>
            <w:tcW w:w="1377" w:type="dxa"/>
            <w:shd w:val="clear" w:color="auto" w:fill="FFFFFF" w:themeFill="background1"/>
            <w:vAlign w:val="center"/>
          </w:tcPr>
          <w:p w14:paraId="7533B3DB"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4.期末余额</w:t>
            </w:r>
          </w:p>
        </w:tc>
        <w:tc>
          <w:tcPr>
            <w:tcW w:w="1489" w:type="dxa"/>
            <w:shd w:val="clear" w:color="auto" w:fill="FFFFFF" w:themeFill="background1"/>
            <w:vAlign w:val="center"/>
          </w:tcPr>
          <w:p w14:paraId="5B87D41D"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722,575,050.25</w:t>
            </w:r>
          </w:p>
        </w:tc>
        <w:tc>
          <w:tcPr>
            <w:tcW w:w="1418" w:type="dxa"/>
            <w:shd w:val="clear" w:color="auto" w:fill="FFFFFF" w:themeFill="background1"/>
            <w:vAlign w:val="center"/>
          </w:tcPr>
          <w:p w14:paraId="04E14A9C"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1,562,464,413.40</w:t>
            </w:r>
          </w:p>
        </w:tc>
        <w:tc>
          <w:tcPr>
            <w:tcW w:w="1275" w:type="dxa"/>
            <w:shd w:val="clear" w:color="auto" w:fill="FFFFFF" w:themeFill="background1"/>
            <w:vAlign w:val="center"/>
          </w:tcPr>
          <w:p w14:paraId="51F7EFA1"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23,292,878.52</w:t>
            </w:r>
          </w:p>
        </w:tc>
        <w:tc>
          <w:tcPr>
            <w:tcW w:w="1276" w:type="dxa"/>
            <w:shd w:val="clear" w:color="auto" w:fill="FFFFFF" w:themeFill="background1"/>
            <w:vAlign w:val="center"/>
          </w:tcPr>
          <w:p w14:paraId="2FB0CCBB"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85,024,319.82</w:t>
            </w:r>
          </w:p>
        </w:tc>
        <w:tc>
          <w:tcPr>
            <w:tcW w:w="1276" w:type="dxa"/>
            <w:shd w:val="clear" w:color="auto" w:fill="FFFFFF" w:themeFill="background1"/>
            <w:vAlign w:val="center"/>
          </w:tcPr>
          <w:p w14:paraId="2CAAE239"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11,456,765.23</w:t>
            </w:r>
          </w:p>
        </w:tc>
        <w:tc>
          <w:tcPr>
            <w:tcW w:w="1417" w:type="dxa"/>
            <w:shd w:val="clear" w:color="auto" w:fill="FFFFFF" w:themeFill="background1"/>
            <w:vAlign w:val="center"/>
          </w:tcPr>
          <w:p w14:paraId="32B578B4"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2,404,813,427.23</w:t>
            </w:r>
          </w:p>
        </w:tc>
      </w:tr>
      <w:tr w:rsidR="00632E5B" w14:paraId="544260D8" w14:textId="77777777" w:rsidTr="001F5A64">
        <w:trPr>
          <w:trHeight w:val="240"/>
        </w:trPr>
        <w:tc>
          <w:tcPr>
            <w:tcW w:w="1377" w:type="dxa"/>
            <w:shd w:val="clear" w:color="auto" w:fill="FFFFFF" w:themeFill="background1"/>
            <w:vAlign w:val="center"/>
          </w:tcPr>
          <w:p w14:paraId="31C20153"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三、减值准备</w:t>
            </w:r>
          </w:p>
        </w:tc>
        <w:tc>
          <w:tcPr>
            <w:tcW w:w="1489" w:type="dxa"/>
            <w:shd w:val="clear" w:color="auto" w:fill="FFFFFF" w:themeFill="background1"/>
            <w:vAlign w:val="center"/>
          </w:tcPr>
          <w:p w14:paraId="7AB9A497" w14:textId="77777777" w:rsidR="00632E5B" w:rsidRPr="001A4AB6" w:rsidRDefault="00632E5B">
            <w:pPr>
              <w:spacing w:line="240" w:lineRule="exact"/>
              <w:jc w:val="right"/>
              <w:rPr>
                <w:rFonts w:ascii="宋体" w:eastAsia="宋体" w:hAnsi="宋体" w:cs="宋体" w:hint="eastAsia"/>
                <w:sz w:val="15"/>
                <w:szCs w:val="15"/>
              </w:rPr>
            </w:pPr>
          </w:p>
        </w:tc>
        <w:tc>
          <w:tcPr>
            <w:tcW w:w="1418" w:type="dxa"/>
            <w:shd w:val="clear" w:color="auto" w:fill="FFFFFF" w:themeFill="background1"/>
            <w:vAlign w:val="center"/>
          </w:tcPr>
          <w:p w14:paraId="3EEC3416" w14:textId="77777777" w:rsidR="00632E5B" w:rsidRPr="001A4AB6" w:rsidRDefault="00632E5B">
            <w:pPr>
              <w:spacing w:line="240" w:lineRule="exact"/>
              <w:jc w:val="right"/>
              <w:rPr>
                <w:rFonts w:ascii="宋体" w:eastAsia="宋体" w:hAnsi="宋体" w:cs="宋体" w:hint="eastAsia"/>
                <w:sz w:val="15"/>
                <w:szCs w:val="15"/>
              </w:rPr>
            </w:pPr>
          </w:p>
        </w:tc>
        <w:tc>
          <w:tcPr>
            <w:tcW w:w="1275" w:type="dxa"/>
            <w:shd w:val="clear" w:color="auto" w:fill="FFFFFF" w:themeFill="background1"/>
            <w:vAlign w:val="center"/>
          </w:tcPr>
          <w:p w14:paraId="0696F3F5" w14:textId="77777777" w:rsidR="00632E5B" w:rsidRPr="001A4AB6" w:rsidRDefault="00632E5B">
            <w:pPr>
              <w:spacing w:line="240" w:lineRule="exact"/>
              <w:jc w:val="right"/>
              <w:rPr>
                <w:rFonts w:ascii="宋体" w:eastAsia="宋体" w:hAnsi="宋体" w:cs="宋体" w:hint="eastAsia"/>
                <w:sz w:val="15"/>
                <w:szCs w:val="15"/>
              </w:rPr>
            </w:pPr>
          </w:p>
        </w:tc>
        <w:tc>
          <w:tcPr>
            <w:tcW w:w="1276" w:type="dxa"/>
            <w:shd w:val="clear" w:color="auto" w:fill="FFFFFF" w:themeFill="background1"/>
            <w:vAlign w:val="center"/>
          </w:tcPr>
          <w:p w14:paraId="6819A7D0" w14:textId="77777777" w:rsidR="00632E5B" w:rsidRPr="001A4AB6" w:rsidRDefault="00632E5B">
            <w:pPr>
              <w:spacing w:line="240" w:lineRule="exact"/>
              <w:jc w:val="right"/>
              <w:rPr>
                <w:rFonts w:ascii="宋体" w:eastAsia="宋体" w:hAnsi="宋体" w:cs="宋体" w:hint="eastAsia"/>
                <w:sz w:val="15"/>
                <w:szCs w:val="15"/>
              </w:rPr>
            </w:pPr>
          </w:p>
        </w:tc>
        <w:tc>
          <w:tcPr>
            <w:tcW w:w="1276" w:type="dxa"/>
            <w:shd w:val="clear" w:color="auto" w:fill="FFFFFF" w:themeFill="background1"/>
            <w:vAlign w:val="center"/>
          </w:tcPr>
          <w:p w14:paraId="3B47BE0A" w14:textId="77777777" w:rsidR="00632E5B" w:rsidRPr="001A4AB6" w:rsidRDefault="00632E5B">
            <w:pPr>
              <w:spacing w:line="240" w:lineRule="exact"/>
              <w:jc w:val="right"/>
              <w:rPr>
                <w:rFonts w:ascii="宋体" w:eastAsia="宋体" w:hAnsi="宋体" w:cs="宋体" w:hint="eastAsia"/>
                <w:sz w:val="15"/>
                <w:szCs w:val="15"/>
              </w:rPr>
            </w:pPr>
          </w:p>
        </w:tc>
        <w:tc>
          <w:tcPr>
            <w:tcW w:w="1417" w:type="dxa"/>
            <w:shd w:val="clear" w:color="auto" w:fill="FFFFFF" w:themeFill="background1"/>
            <w:vAlign w:val="center"/>
          </w:tcPr>
          <w:p w14:paraId="4A52598D" w14:textId="77777777" w:rsidR="00632E5B" w:rsidRPr="001A4AB6" w:rsidRDefault="00632E5B">
            <w:pPr>
              <w:spacing w:line="240" w:lineRule="exact"/>
              <w:jc w:val="right"/>
              <w:rPr>
                <w:rFonts w:ascii="宋体" w:eastAsia="宋体" w:hAnsi="宋体" w:cs="宋体" w:hint="eastAsia"/>
                <w:sz w:val="15"/>
                <w:szCs w:val="15"/>
              </w:rPr>
            </w:pPr>
          </w:p>
        </w:tc>
      </w:tr>
      <w:tr w:rsidR="00632E5B" w14:paraId="52B284FB" w14:textId="77777777" w:rsidTr="001F5A64">
        <w:trPr>
          <w:trHeight w:val="240"/>
        </w:trPr>
        <w:tc>
          <w:tcPr>
            <w:tcW w:w="1377" w:type="dxa"/>
            <w:shd w:val="clear" w:color="auto" w:fill="FFFFFF" w:themeFill="background1"/>
            <w:vAlign w:val="center"/>
          </w:tcPr>
          <w:p w14:paraId="118A2A85"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1.期初余额</w:t>
            </w:r>
          </w:p>
        </w:tc>
        <w:tc>
          <w:tcPr>
            <w:tcW w:w="1489" w:type="dxa"/>
            <w:shd w:val="clear" w:color="auto" w:fill="FFFFFF" w:themeFill="background1"/>
            <w:vAlign w:val="center"/>
          </w:tcPr>
          <w:p w14:paraId="7C8DE0F1"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42,453,850.28</w:t>
            </w:r>
          </w:p>
        </w:tc>
        <w:tc>
          <w:tcPr>
            <w:tcW w:w="1418" w:type="dxa"/>
            <w:shd w:val="clear" w:color="auto" w:fill="FFFFFF" w:themeFill="background1"/>
            <w:vAlign w:val="center"/>
          </w:tcPr>
          <w:p w14:paraId="69FB7955"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678,106,159.88</w:t>
            </w:r>
          </w:p>
        </w:tc>
        <w:tc>
          <w:tcPr>
            <w:tcW w:w="1275" w:type="dxa"/>
            <w:shd w:val="clear" w:color="auto" w:fill="FFFFFF" w:themeFill="background1"/>
            <w:vAlign w:val="center"/>
          </w:tcPr>
          <w:p w14:paraId="6F6A8E6A"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20,629.57</w:t>
            </w:r>
          </w:p>
        </w:tc>
        <w:tc>
          <w:tcPr>
            <w:tcW w:w="1276" w:type="dxa"/>
            <w:shd w:val="clear" w:color="auto" w:fill="FFFFFF" w:themeFill="background1"/>
            <w:vAlign w:val="center"/>
          </w:tcPr>
          <w:p w14:paraId="65E65EDC"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59,230.34</w:t>
            </w:r>
          </w:p>
        </w:tc>
        <w:tc>
          <w:tcPr>
            <w:tcW w:w="1276" w:type="dxa"/>
            <w:shd w:val="clear" w:color="auto" w:fill="FFFFFF" w:themeFill="background1"/>
            <w:vAlign w:val="center"/>
          </w:tcPr>
          <w:p w14:paraId="51D1FC8E" w14:textId="77777777" w:rsidR="00632E5B" w:rsidRPr="001A4AB6" w:rsidRDefault="00632E5B">
            <w:pPr>
              <w:spacing w:line="240" w:lineRule="exact"/>
              <w:jc w:val="right"/>
              <w:rPr>
                <w:rFonts w:ascii="宋体" w:eastAsia="宋体" w:hAnsi="宋体" w:cs="宋体" w:hint="eastAsia"/>
                <w:sz w:val="15"/>
                <w:szCs w:val="15"/>
              </w:rPr>
            </w:pPr>
          </w:p>
        </w:tc>
        <w:tc>
          <w:tcPr>
            <w:tcW w:w="1417" w:type="dxa"/>
            <w:shd w:val="clear" w:color="auto" w:fill="FFFFFF" w:themeFill="background1"/>
            <w:vAlign w:val="center"/>
          </w:tcPr>
          <w:p w14:paraId="7FD2BD3B"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720,639,870.07</w:t>
            </w:r>
          </w:p>
        </w:tc>
      </w:tr>
      <w:tr w:rsidR="00632E5B" w14:paraId="529DF022" w14:textId="77777777" w:rsidTr="001F5A64">
        <w:trPr>
          <w:trHeight w:val="240"/>
        </w:trPr>
        <w:tc>
          <w:tcPr>
            <w:tcW w:w="1377" w:type="dxa"/>
            <w:shd w:val="clear" w:color="auto" w:fill="FFFFFF" w:themeFill="background1"/>
            <w:vAlign w:val="center"/>
          </w:tcPr>
          <w:p w14:paraId="25A47776"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2.本期增加金额</w:t>
            </w:r>
          </w:p>
        </w:tc>
        <w:tc>
          <w:tcPr>
            <w:tcW w:w="1489" w:type="dxa"/>
            <w:shd w:val="clear" w:color="auto" w:fill="FFFFFF" w:themeFill="background1"/>
            <w:vAlign w:val="center"/>
          </w:tcPr>
          <w:p w14:paraId="3187C162"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31,965,056.58</w:t>
            </w:r>
          </w:p>
        </w:tc>
        <w:tc>
          <w:tcPr>
            <w:tcW w:w="1418" w:type="dxa"/>
            <w:shd w:val="clear" w:color="auto" w:fill="FFFFFF" w:themeFill="background1"/>
            <w:vAlign w:val="center"/>
          </w:tcPr>
          <w:p w14:paraId="4012AC6F"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541,676,693.09</w:t>
            </w:r>
          </w:p>
        </w:tc>
        <w:tc>
          <w:tcPr>
            <w:tcW w:w="1275" w:type="dxa"/>
            <w:shd w:val="clear" w:color="auto" w:fill="FFFFFF" w:themeFill="background1"/>
            <w:vAlign w:val="center"/>
          </w:tcPr>
          <w:p w14:paraId="276E0461"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72,254.15</w:t>
            </w:r>
          </w:p>
        </w:tc>
        <w:tc>
          <w:tcPr>
            <w:tcW w:w="1276" w:type="dxa"/>
            <w:shd w:val="clear" w:color="auto" w:fill="FFFFFF" w:themeFill="background1"/>
            <w:vAlign w:val="center"/>
          </w:tcPr>
          <w:p w14:paraId="42AABFDA"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454,312.29</w:t>
            </w:r>
          </w:p>
        </w:tc>
        <w:tc>
          <w:tcPr>
            <w:tcW w:w="1276" w:type="dxa"/>
            <w:shd w:val="clear" w:color="auto" w:fill="FFFFFF" w:themeFill="background1"/>
            <w:vAlign w:val="center"/>
          </w:tcPr>
          <w:p w14:paraId="2B8ED408"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12,578,381.04</w:t>
            </w:r>
          </w:p>
        </w:tc>
        <w:tc>
          <w:tcPr>
            <w:tcW w:w="1417" w:type="dxa"/>
            <w:shd w:val="clear" w:color="auto" w:fill="FFFFFF" w:themeFill="background1"/>
            <w:vAlign w:val="center"/>
          </w:tcPr>
          <w:p w14:paraId="2168F579"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586,746,697.15</w:t>
            </w:r>
          </w:p>
        </w:tc>
      </w:tr>
      <w:tr w:rsidR="00632E5B" w14:paraId="324B2CE4" w14:textId="77777777" w:rsidTr="001F5A64">
        <w:trPr>
          <w:trHeight w:val="240"/>
        </w:trPr>
        <w:tc>
          <w:tcPr>
            <w:tcW w:w="1377" w:type="dxa"/>
            <w:shd w:val="clear" w:color="auto" w:fill="FFFFFF" w:themeFill="background1"/>
            <w:vAlign w:val="center"/>
          </w:tcPr>
          <w:p w14:paraId="101225A4" w14:textId="77777777" w:rsidR="00632E5B" w:rsidRDefault="00107901">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（1）计提</w:t>
            </w:r>
          </w:p>
        </w:tc>
        <w:tc>
          <w:tcPr>
            <w:tcW w:w="1489" w:type="dxa"/>
            <w:shd w:val="clear" w:color="auto" w:fill="FFFFFF" w:themeFill="background1"/>
            <w:vAlign w:val="center"/>
          </w:tcPr>
          <w:p w14:paraId="233ABD87"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31,111,453.36</w:t>
            </w:r>
          </w:p>
        </w:tc>
        <w:tc>
          <w:tcPr>
            <w:tcW w:w="1418" w:type="dxa"/>
            <w:shd w:val="clear" w:color="auto" w:fill="FFFFFF" w:themeFill="background1"/>
            <w:vAlign w:val="center"/>
          </w:tcPr>
          <w:p w14:paraId="1F859952"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518,637,056.16</w:t>
            </w:r>
          </w:p>
        </w:tc>
        <w:tc>
          <w:tcPr>
            <w:tcW w:w="1275" w:type="dxa"/>
            <w:shd w:val="clear" w:color="auto" w:fill="FFFFFF" w:themeFill="background1"/>
            <w:vAlign w:val="center"/>
          </w:tcPr>
          <w:p w14:paraId="635797E2"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72,254.15</w:t>
            </w:r>
          </w:p>
        </w:tc>
        <w:tc>
          <w:tcPr>
            <w:tcW w:w="1276" w:type="dxa"/>
            <w:shd w:val="clear" w:color="auto" w:fill="FFFFFF" w:themeFill="background1"/>
            <w:vAlign w:val="center"/>
          </w:tcPr>
          <w:p w14:paraId="326AA2AD"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453,071.64</w:t>
            </w:r>
          </w:p>
        </w:tc>
        <w:tc>
          <w:tcPr>
            <w:tcW w:w="1276" w:type="dxa"/>
            <w:shd w:val="clear" w:color="auto" w:fill="FFFFFF" w:themeFill="background1"/>
            <w:vAlign w:val="center"/>
          </w:tcPr>
          <w:p w14:paraId="3FEF9E11"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12,578,381.04</w:t>
            </w:r>
          </w:p>
        </w:tc>
        <w:tc>
          <w:tcPr>
            <w:tcW w:w="1417" w:type="dxa"/>
            <w:shd w:val="clear" w:color="auto" w:fill="FFFFFF" w:themeFill="background1"/>
            <w:vAlign w:val="center"/>
          </w:tcPr>
          <w:p w14:paraId="668FB622"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562,852,216.35</w:t>
            </w:r>
          </w:p>
        </w:tc>
      </w:tr>
      <w:tr w:rsidR="00632E5B" w14:paraId="67EE17CF" w14:textId="77777777" w:rsidTr="001F5A64">
        <w:trPr>
          <w:trHeight w:val="240"/>
        </w:trPr>
        <w:tc>
          <w:tcPr>
            <w:tcW w:w="1377" w:type="dxa"/>
            <w:shd w:val="clear" w:color="auto" w:fill="FFFFFF" w:themeFill="background1"/>
            <w:vAlign w:val="center"/>
          </w:tcPr>
          <w:p w14:paraId="0905E7F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(2)其他（含汇率变动、类别调整等）</w:t>
            </w:r>
          </w:p>
        </w:tc>
        <w:tc>
          <w:tcPr>
            <w:tcW w:w="1489" w:type="dxa"/>
            <w:shd w:val="clear" w:color="auto" w:fill="FFFFFF" w:themeFill="background1"/>
            <w:vAlign w:val="center"/>
          </w:tcPr>
          <w:p w14:paraId="429FDC78"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853,603.22</w:t>
            </w:r>
          </w:p>
        </w:tc>
        <w:tc>
          <w:tcPr>
            <w:tcW w:w="1418" w:type="dxa"/>
            <w:shd w:val="clear" w:color="auto" w:fill="FFFFFF" w:themeFill="background1"/>
            <w:vAlign w:val="center"/>
          </w:tcPr>
          <w:p w14:paraId="09D9D238"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23,039,636.93</w:t>
            </w:r>
          </w:p>
        </w:tc>
        <w:tc>
          <w:tcPr>
            <w:tcW w:w="1275" w:type="dxa"/>
            <w:shd w:val="clear" w:color="auto" w:fill="FFFFFF" w:themeFill="background1"/>
            <w:vAlign w:val="center"/>
          </w:tcPr>
          <w:p w14:paraId="04627408" w14:textId="77777777" w:rsidR="00632E5B" w:rsidRPr="001A4AB6" w:rsidRDefault="00632E5B">
            <w:pPr>
              <w:spacing w:line="240" w:lineRule="exact"/>
              <w:jc w:val="right"/>
              <w:rPr>
                <w:rFonts w:ascii="宋体" w:eastAsia="宋体" w:hAnsi="宋体" w:cs="宋体" w:hint="eastAsia"/>
                <w:sz w:val="15"/>
                <w:szCs w:val="15"/>
              </w:rPr>
            </w:pPr>
          </w:p>
        </w:tc>
        <w:tc>
          <w:tcPr>
            <w:tcW w:w="1276" w:type="dxa"/>
            <w:shd w:val="clear" w:color="auto" w:fill="FFFFFF" w:themeFill="background1"/>
            <w:vAlign w:val="center"/>
          </w:tcPr>
          <w:p w14:paraId="500A0789"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1,240.65</w:t>
            </w:r>
          </w:p>
        </w:tc>
        <w:tc>
          <w:tcPr>
            <w:tcW w:w="1276" w:type="dxa"/>
            <w:shd w:val="clear" w:color="auto" w:fill="FFFFFF" w:themeFill="background1"/>
            <w:vAlign w:val="center"/>
          </w:tcPr>
          <w:p w14:paraId="2BCFE830" w14:textId="77777777" w:rsidR="00632E5B" w:rsidRPr="001A4AB6" w:rsidRDefault="00632E5B">
            <w:pPr>
              <w:spacing w:line="240" w:lineRule="exact"/>
              <w:jc w:val="right"/>
              <w:rPr>
                <w:rFonts w:ascii="宋体" w:eastAsia="宋体" w:hAnsi="宋体" w:cs="宋体" w:hint="eastAsia"/>
                <w:sz w:val="15"/>
                <w:szCs w:val="15"/>
              </w:rPr>
            </w:pPr>
          </w:p>
        </w:tc>
        <w:tc>
          <w:tcPr>
            <w:tcW w:w="1417" w:type="dxa"/>
            <w:shd w:val="clear" w:color="auto" w:fill="FFFFFF" w:themeFill="background1"/>
            <w:vAlign w:val="center"/>
          </w:tcPr>
          <w:p w14:paraId="620B55F9"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23,894,480.80</w:t>
            </w:r>
          </w:p>
        </w:tc>
      </w:tr>
      <w:tr w:rsidR="00632E5B" w14:paraId="2A4DE789" w14:textId="77777777" w:rsidTr="001F5A64">
        <w:trPr>
          <w:trHeight w:val="240"/>
        </w:trPr>
        <w:tc>
          <w:tcPr>
            <w:tcW w:w="1377" w:type="dxa"/>
            <w:shd w:val="clear" w:color="auto" w:fill="FFFFFF" w:themeFill="background1"/>
            <w:vAlign w:val="center"/>
          </w:tcPr>
          <w:p w14:paraId="34143EAF"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3.本期减少金额</w:t>
            </w:r>
          </w:p>
        </w:tc>
        <w:tc>
          <w:tcPr>
            <w:tcW w:w="1489" w:type="dxa"/>
            <w:shd w:val="clear" w:color="auto" w:fill="FFFFFF" w:themeFill="background1"/>
            <w:vAlign w:val="center"/>
          </w:tcPr>
          <w:p w14:paraId="07B59B4A"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4,987,096.02</w:t>
            </w:r>
          </w:p>
        </w:tc>
        <w:tc>
          <w:tcPr>
            <w:tcW w:w="1418" w:type="dxa"/>
            <w:shd w:val="clear" w:color="auto" w:fill="FFFFFF" w:themeFill="background1"/>
            <w:vAlign w:val="center"/>
          </w:tcPr>
          <w:p w14:paraId="5D1325F2"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36,611,393.68</w:t>
            </w:r>
          </w:p>
        </w:tc>
        <w:tc>
          <w:tcPr>
            <w:tcW w:w="1275" w:type="dxa"/>
            <w:shd w:val="clear" w:color="auto" w:fill="FFFFFF" w:themeFill="background1"/>
            <w:vAlign w:val="center"/>
          </w:tcPr>
          <w:p w14:paraId="42A39A5E" w14:textId="77777777" w:rsidR="00632E5B" w:rsidRPr="001A4AB6" w:rsidRDefault="00632E5B">
            <w:pPr>
              <w:spacing w:line="240" w:lineRule="exact"/>
              <w:jc w:val="right"/>
              <w:rPr>
                <w:rFonts w:ascii="宋体" w:eastAsia="宋体" w:hAnsi="宋体" w:cs="宋体" w:hint="eastAsia"/>
                <w:sz w:val="15"/>
                <w:szCs w:val="15"/>
              </w:rPr>
            </w:pPr>
          </w:p>
        </w:tc>
        <w:tc>
          <w:tcPr>
            <w:tcW w:w="1276" w:type="dxa"/>
            <w:shd w:val="clear" w:color="auto" w:fill="FFFFFF" w:themeFill="background1"/>
            <w:vAlign w:val="center"/>
          </w:tcPr>
          <w:p w14:paraId="1965DFBE" w14:textId="77777777" w:rsidR="00632E5B" w:rsidRPr="001A4AB6" w:rsidRDefault="00632E5B">
            <w:pPr>
              <w:spacing w:line="240" w:lineRule="exact"/>
              <w:jc w:val="right"/>
              <w:rPr>
                <w:rFonts w:ascii="宋体" w:eastAsia="宋体" w:hAnsi="宋体" w:cs="宋体" w:hint="eastAsia"/>
                <w:sz w:val="15"/>
                <w:szCs w:val="15"/>
              </w:rPr>
            </w:pPr>
          </w:p>
        </w:tc>
        <w:tc>
          <w:tcPr>
            <w:tcW w:w="1276" w:type="dxa"/>
            <w:shd w:val="clear" w:color="auto" w:fill="FFFFFF" w:themeFill="background1"/>
            <w:vAlign w:val="center"/>
          </w:tcPr>
          <w:p w14:paraId="74453C75" w14:textId="77777777" w:rsidR="00632E5B" w:rsidRPr="001A4AB6" w:rsidRDefault="00632E5B">
            <w:pPr>
              <w:spacing w:line="240" w:lineRule="exact"/>
              <w:jc w:val="right"/>
              <w:rPr>
                <w:rFonts w:ascii="宋体" w:eastAsia="宋体" w:hAnsi="宋体" w:cs="宋体" w:hint="eastAsia"/>
                <w:sz w:val="15"/>
                <w:szCs w:val="15"/>
              </w:rPr>
            </w:pPr>
          </w:p>
        </w:tc>
        <w:tc>
          <w:tcPr>
            <w:tcW w:w="1417" w:type="dxa"/>
            <w:shd w:val="clear" w:color="auto" w:fill="FFFFFF" w:themeFill="background1"/>
            <w:vAlign w:val="center"/>
          </w:tcPr>
          <w:p w14:paraId="1F2D5CCD"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41,598,489.70</w:t>
            </w:r>
          </w:p>
        </w:tc>
      </w:tr>
      <w:tr w:rsidR="00632E5B" w14:paraId="032D3212" w14:textId="77777777" w:rsidTr="001F5A64">
        <w:trPr>
          <w:trHeight w:val="240"/>
        </w:trPr>
        <w:tc>
          <w:tcPr>
            <w:tcW w:w="1377" w:type="dxa"/>
            <w:shd w:val="clear" w:color="auto" w:fill="FFFFFF" w:themeFill="background1"/>
            <w:vAlign w:val="center"/>
          </w:tcPr>
          <w:p w14:paraId="09B83C0E" w14:textId="77777777" w:rsidR="00632E5B" w:rsidRDefault="00107901">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（1）处置或报废</w:t>
            </w:r>
          </w:p>
        </w:tc>
        <w:tc>
          <w:tcPr>
            <w:tcW w:w="1489" w:type="dxa"/>
            <w:shd w:val="clear" w:color="auto" w:fill="FFFFFF" w:themeFill="background1"/>
            <w:vAlign w:val="center"/>
          </w:tcPr>
          <w:p w14:paraId="7BE48AEC" w14:textId="77777777" w:rsidR="00632E5B" w:rsidRPr="001A4AB6" w:rsidRDefault="00632E5B">
            <w:pPr>
              <w:spacing w:line="240" w:lineRule="exact"/>
              <w:jc w:val="right"/>
              <w:rPr>
                <w:rFonts w:ascii="宋体" w:eastAsia="宋体" w:hAnsi="宋体" w:cs="宋体" w:hint="eastAsia"/>
                <w:sz w:val="15"/>
                <w:szCs w:val="15"/>
              </w:rPr>
            </w:pPr>
          </w:p>
        </w:tc>
        <w:tc>
          <w:tcPr>
            <w:tcW w:w="1418" w:type="dxa"/>
            <w:shd w:val="clear" w:color="auto" w:fill="FFFFFF" w:themeFill="background1"/>
            <w:vAlign w:val="center"/>
          </w:tcPr>
          <w:p w14:paraId="09B27586"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2,783.50</w:t>
            </w:r>
          </w:p>
        </w:tc>
        <w:tc>
          <w:tcPr>
            <w:tcW w:w="1275" w:type="dxa"/>
            <w:shd w:val="clear" w:color="auto" w:fill="FFFFFF" w:themeFill="background1"/>
            <w:vAlign w:val="center"/>
          </w:tcPr>
          <w:p w14:paraId="1E535DD7" w14:textId="77777777" w:rsidR="00632E5B" w:rsidRPr="001A4AB6" w:rsidRDefault="00632E5B">
            <w:pPr>
              <w:spacing w:line="240" w:lineRule="exact"/>
              <w:jc w:val="right"/>
              <w:rPr>
                <w:rFonts w:ascii="宋体" w:eastAsia="宋体" w:hAnsi="宋体" w:cs="宋体" w:hint="eastAsia"/>
                <w:sz w:val="15"/>
                <w:szCs w:val="15"/>
              </w:rPr>
            </w:pPr>
          </w:p>
        </w:tc>
        <w:tc>
          <w:tcPr>
            <w:tcW w:w="1276" w:type="dxa"/>
            <w:shd w:val="clear" w:color="auto" w:fill="FFFFFF" w:themeFill="background1"/>
            <w:vAlign w:val="center"/>
          </w:tcPr>
          <w:p w14:paraId="7F43B181" w14:textId="77777777" w:rsidR="00632E5B" w:rsidRPr="001A4AB6" w:rsidRDefault="00632E5B">
            <w:pPr>
              <w:spacing w:line="240" w:lineRule="exact"/>
              <w:jc w:val="right"/>
              <w:rPr>
                <w:rFonts w:ascii="宋体" w:eastAsia="宋体" w:hAnsi="宋体" w:cs="宋体" w:hint="eastAsia"/>
                <w:sz w:val="15"/>
                <w:szCs w:val="15"/>
              </w:rPr>
            </w:pPr>
          </w:p>
        </w:tc>
        <w:tc>
          <w:tcPr>
            <w:tcW w:w="1276" w:type="dxa"/>
            <w:shd w:val="clear" w:color="auto" w:fill="FFFFFF" w:themeFill="background1"/>
            <w:vAlign w:val="center"/>
          </w:tcPr>
          <w:p w14:paraId="62FDAF1A" w14:textId="77777777" w:rsidR="00632E5B" w:rsidRPr="001A4AB6" w:rsidRDefault="00632E5B">
            <w:pPr>
              <w:spacing w:line="240" w:lineRule="exact"/>
              <w:jc w:val="right"/>
              <w:rPr>
                <w:rFonts w:ascii="宋体" w:eastAsia="宋体" w:hAnsi="宋体" w:cs="宋体" w:hint="eastAsia"/>
                <w:sz w:val="15"/>
                <w:szCs w:val="15"/>
              </w:rPr>
            </w:pPr>
          </w:p>
        </w:tc>
        <w:tc>
          <w:tcPr>
            <w:tcW w:w="1417" w:type="dxa"/>
            <w:shd w:val="clear" w:color="auto" w:fill="FFFFFF" w:themeFill="background1"/>
            <w:vAlign w:val="center"/>
          </w:tcPr>
          <w:p w14:paraId="3933616C"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2,783.50</w:t>
            </w:r>
          </w:p>
        </w:tc>
      </w:tr>
      <w:tr w:rsidR="00632E5B" w14:paraId="7C63B189" w14:textId="77777777" w:rsidTr="001F5A64">
        <w:trPr>
          <w:trHeight w:val="240"/>
        </w:trPr>
        <w:tc>
          <w:tcPr>
            <w:tcW w:w="1377" w:type="dxa"/>
            <w:shd w:val="clear" w:color="auto" w:fill="FFFFFF" w:themeFill="background1"/>
            <w:vAlign w:val="center"/>
          </w:tcPr>
          <w:p w14:paraId="77E69B1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(2)转让</w:t>
            </w:r>
          </w:p>
        </w:tc>
        <w:tc>
          <w:tcPr>
            <w:tcW w:w="1489" w:type="dxa"/>
            <w:shd w:val="clear" w:color="auto" w:fill="FFFFFF" w:themeFill="background1"/>
            <w:vAlign w:val="center"/>
          </w:tcPr>
          <w:p w14:paraId="64D927FC" w14:textId="77777777" w:rsidR="00632E5B" w:rsidRPr="001A4AB6" w:rsidRDefault="00632E5B">
            <w:pPr>
              <w:spacing w:line="240" w:lineRule="exact"/>
              <w:jc w:val="right"/>
              <w:rPr>
                <w:rFonts w:ascii="宋体" w:eastAsia="宋体" w:hAnsi="宋体" w:cs="宋体" w:hint="eastAsia"/>
                <w:sz w:val="15"/>
                <w:szCs w:val="15"/>
              </w:rPr>
            </w:pPr>
          </w:p>
        </w:tc>
        <w:tc>
          <w:tcPr>
            <w:tcW w:w="1418" w:type="dxa"/>
            <w:shd w:val="clear" w:color="auto" w:fill="FFFFFF" w:themeFill="background1"/>
            <w:vAlign w:val="center"/>
          </w:tcPr>
          <w:p w14:paraId="79DFE2E8"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3,896,036.27</w:t>
            </w:r>
          </w:p>
        </w:tc>
        <w:tc>
          <w:tcPr>
            <w:tcW w:w="1275" w:type="dxa"/>
            <w:shd w:val="clear" w:color="auto" w:fill="FFFFFF" w:themeFill="background1"/>
            <w:vAlign w:val="center"/>
          </w:tcPr>
          <w:p w14:paraId="1D10E1DC" w14:textId="77777777" w:rsidR="00632E5B" w:rsidRPr="001A4AB6" w:rsidRDefault="00632E5B">
            <w:pPr>
              <w:spacing w:line="240" w:lineRule="exact"/>
              <w:jc w:val="right"/>
              <w:rPr>
                <w:rFonts w:ascii="宋体" w:eastAsia="宋体" w:hAnsi="宋体" w:cs="宋体" w:hint="eastAsia"/>
                <w:sz w:val="15"/>
                <w:szCs w:val="15"/>
              </w:rPr>
            </w:pPr>
          </w:p>
        </w:tc>
        <w:tc>
          <w:tcPr>
            <w:tcW w:w="1276" w:type="dxa"/>
            <w:shd w:val="clear" w:color="auto" w:fill="FFFFFF" w:themeFill="background1"/>
            <w:vAlign w:val="center"/>
          </w:tcPr>
          <w:p w14:paraId="2BB566E7" w14:textId="77777777" w:rsidR="00632E5B" w:rsidRPr="001A4AB6" w:rsidRDefault="00632E5B">
            <w:pPr>
              <w:spacing w:line="240" w:lineRule="exact"/>
              <w:jc w:val="right"/>
              <w:rPr>
                <w:rFonts w:ascii="宋体" w:eastAsia="宋体" w:hAnsi="宋体" w:cs="宋体" w:hint="eastAsia"/>
                <w:sz w:val="15"/>
                <w:szCs w:val="15"/>
              </w:rPr>
            </w:pPr>
          </w:p>
        </w:tc>
        <w:tc>
          <w:tcPr>
            <w:tcW w:w="1276" w:type="dxa"/>
            <w:shd w:val="clear" w:color="auto" w:fill="FFFFFF" w:themeFill="background1"/>
            <w:vAlign w:val="center"/>
          </w:tcPr>
          <w:p w14:paraId="69396550" w14:textId="77777777" w:rsidR="00632E5B" w:rsidRPr="001A4AB6" w:rsidRDefault="00632E5B">
            <w:pPr>
              <w:spacing w:line="240" w:lineRule="exact"/>
              <w:jc w:val="right"/>
              <w:rPr>
                <w:rFonts w:ascii="宋体" w:eastAsia="宋体" w:hAnsi="宋体" w:cs="宋体" w:hint="eastAsia"/>
                <w:sz w:val="15"/>
                <w:szCs w:val="15"/>
              </w:rPr>
            </w:pPr>
          </w:p>
        </w:tc>
        <w:tc>
          <w:tcPr>
            <w:tcW w:w="1417" w:type="dxa"/>
            <w:shd w:val="clear" w:color="auto" w:fill="FFFFFF" w:themeFill="background1"/>
            <w:vAlign w:val="center"/>
          </w:tcPr>
          <w:p w14:paraId="59F08D25"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3,896,036.27</w:t>
            </w:r>
          </w:p>
        </w:tc>
      </w:tr>
      <w:tr w:rsidR="00632E5B" w14:paraId="659D820D" w14:textId="77777777" w:rsidTr="001F5A64">
        <w:trPr>
          <w:trHeight w:val="240"/>
        </w:trPr>
        <w:tc>
          <w:tcPr>
            <w:tcW w:w="1377" w:type="dxa"/>
            <w:shd w:val="clear" w:color="auto" w:fill="FFFFFF" w:themeFill="background1"/>
            <w:vAlign w:val="center"/>
          </w:tcPr>
          <w:p w14:paraId="179EC09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(3)企业合并范围变更减少</w:t>
            </w:r>
          </w:p>
        </w:tc>
        <w:tc>
          <w:tcPr>
            <w:tcW w:w="1489" w:type="dxa"/>
            <w:shd w:val="clear" w:color="auto" w:fill="FFFFFF" w:themeFill="background1"/>
            <w:vAlign w:val="center"/>
          </w:tcPr>
          <w:p w14:paraId="404F4961" w14:textId="77777777" w:rsidR="00632E5B" w:rsidRPr="001A4AB6" w:rsidRDefault="00632E5B">
            <w:pPr>
              <w:spacing w:line="240" w:lineRule="exact"/>
              <w:jc w:val="right"/>
              <w:rPr>
                <w:rFonts w:ascii="宋体" w:eastAsia="宋体" w:hAnsi="宋体" w:cs="宋体" w:hint="eastAsia"/>
                <w:sz w:val="15"/>
                <w:szCs w:val="15"/>
              </w:rPr>
            </w:pPr>
          </w:p>
        </w:tc>
        <w:tc>
          <w:tcPr>
            <w:tcW w:w="1418" w:type="dxa"/>
            <w:shd w:val="clear" w:color="auto" w:fill="FFFFFF" w:themeFill="background1"/>
            <w:vAlign w:val="center"/>
          </w:tcPr>
          <w:p w14:paraId="3CBEF6FD"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32,712,474.42</w:t>
            </w:r>
          </w:p>
        </w:tc>
        <w:tc>
          <w:tcPr>
            <w:tcW w:w="1275" w:type="dxa"/>
            <w:shd w:val="clear" w:color="auto" w:fill="FFFFFF" w:themeFill="background1"/>
            <w:vAlign w:val="center"/>
          </w:tcPr>
          <w:p w14:paraId="05161F35" w14:textId="77777777" w:rsidR="00632E5B" w:rsidRPr="001A4AB6" w:rsidRDefault="00632E5B">
            <w:pPr>
              <w:spacing w:line="240" w:lineRule="exact"/>
              <w:jc w:val="right"/>
              <w:rPr>
                <w:rFonts w:ascii="宋体" w:eastAsia="宋体" w:hAnsi="宋体" w:cs="宋体" w:hint="eastAsia"/>
                <w:sz w:val="15"/>
                <w:szCs w:val="15"/>
              </w:rPr>
            </w:pPr>
          </w:p>
        </w:tc>
        <w:tc>
          <w:tcPr>
            <w:tcW w:w="1276" w:type="dxa"/>
            <w:shd w:val="clear" w:color="auto" w:fill="FFFFFF" w:themeFill="background1"/>
            <w:vAlign w:val="center"/>
          </w:tcPr>
          <w:p w14:paraId="3CB7D8D2" w14:textId="77777777" w:rsidR="00632E5B" w:rsidRPr="001A4AB6" w:rsidRDefault="00632E5B">
            <w:pPr>
              <w:spacing w:line="240" w:lineRule="exact"/>
              <w:jc w:val="right"/>
              <w:rPr>
                <w:rFonts w:ascii="宋体" w:eastAsia="宋体" w:hAnsi="宋体" w:cs="宋体" w:hint="eastAsia"/>
                <w:sz w:val="15"/>
                <w:szCs w:val="15"/>
              </w:rPr>
            </w:pPr>
          </w:p>
        </w:tc>
        <w:tc>
          <w:tcPr>
            <w:tcW w:w="1276" w:type="dxa"/>
            <w:shd w:val="clear" w:color="auto" w:fill="FFFFFF" w:themeFill="background1"/>
            <w:vAlign w:val="center"/>
          </w:tcPr>
          <w:p w14:paraId="7405BC57" w14:textId="77777777" w:rsidR="00632E5B" w:rsidRPr="001A4AB6" w:rsidRDefault="00632E5B">
            <w:pPr>
              <w:spacing w:line="240" w:lineRule="exact"/>
              <w:jc w:val="right"/>
              <w:rPr>
                <w:rFonts w:ascii="宋体" w:eastAsia="宋体" w:hAnsi="宋体" w:cs="宋体" w:hint="eastAsia"/>
                <w:sz w:val="15"/>
                <w:szCs w:val="15"/>
              </w:rPr>
            </w:pPr>
          </w:p>
        </w:tc>
        <w:tc>
          <w:tcPr>
            <w:tcW w:w="1417" w:type="dxa"/>
            <w:shd w:val="clear" w:color="auto" w:fill="FFFFFF" w:themeFill="background1"/>
            <w:vAlign w:val="center"/>
          </w:tcPr>
          <w:p w14:paraId="1B173D75"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32,712,474.42</w:t>
            </w:r>
          </w:p>
        </w:tc>
      </w:tr>
      <w:tr w:rsidR="00632E5B" w14:paraId="104A57D8" w14:textId="77777777" w:rsidTr="001F5A64">
        <w:trPr>
          <w:trHeight w:val="240"/>
        </w:trPr>
        <w:tc>
          <w:tcPr>
            <w:tcW w:w="1377" w:type="dxa"/>
            <w:shd w:val="clear" w:color="auto" w:fill="FFFFFF" w:themeFill="background1"/>
            <w:vAlign w:val="center"/>
          </w:tcPr>
          <w:p w14:paraId="669310A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(4)其他（含汇率变动、类别调整等）</w:t>
            </w:r>
          </w:p>
        </w:tc>
        <w:tc>
          <w:tcPr>
            <w:tcW w:w="1489" w:type="dxa"/>
            <w:shd w:val="clear" w:color="auto" w:fill="FFFFFF" w:themeFill="background1"/>
            <w:vAlign w:val="center"/>
          </w:tcPr>
          <w:p w14:paraId="32F3A287"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4,987,096.02</w:t>
            </w:r>
          </w:p>
        </w:tc>
        <w:tc>
          <w:tcPr>
            <w:tcW w:w="1418" w:type="dxa"/>
            <w:shd w:val="clear" w:color="auto" w:fill="FFFFFF" w:themeFill="background1"/>
            <w:vAlign w:val="center"/>
          </w:tcPr>
          <w:p w14:paraId="47AEDB2D"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99.49</w:t>
            </w:r>
          </w:p>
        </w:tc>
        <w:tc>
          <w:tcPr>
            <w:tcW w:w="1275" w:type="dxa"/>
            <w:shd w:val="clear" w:color="auto" w:fill="FFFFFF" w:themeFill="background1"/>
            <w:vAlign w:val="center"/>
          </w:tcPr>
          <w:p w14:paraId="1A1B27CA" w14:textId="77777777" w:rsidR="00632E5B" w:rsidRPr="001A4AB6" w:rsidRDefault="00632E5B">
            <w:pPr>
              <w:spacing w:line="240" w:lineRule="exact"/>
              <w:jc w:val="right"/>
              <w:rPr>
                <w:rFonts w:ascii="宋体" w:eastAsia="宋体" w:hAnsi="宋体" w:cs="宋体" w:hint="eastAsia"/>
                <w:sz w:val="15"/>
                <w:szCs w:val="15"/>
              </w:rPr>
            </w:pPr>
          </w:p>
        </w:tc>
        <w:tc>
          <w:tcPr>
            <w:tcW w:w="1276" w:type="dxa"/>
            <w:shd w:val="clear" w:color="auto" w:fill="FFFFFF" w:themeFill="background1"/>
            <w:vAlign w:val="center"/>
          </w:tcPr>
          <w:p w14:paraId="1ED22D14" w14:textId="77777777" w:rsidR="00632E5B" w:rsidRPr="001A4AB6" w:rsidRDefault="00632E5B">
            <w:pPr>
              <w:spacing w:line="240" w:lineRule="exact"/>
              <w:jc w:val="right"/>
              <w:rPr>
                <w:rFonts w:ascii="宋体" w:eastAsia="宋体" w:hAnsi="宋体" w:cs="宋体" w:hint="eastAsia"/>
                <w:sz w:val="15"/>
                <w:szCs w:val="15"/>
              </w:rPr>
            </w:pPr>
          </w:p>
        </w:tc>
        <w:tc>
          <w:tcPr>
            <w:tcW w:w="1276" w:type="dxa"/>
            <w:shd w:val="clear" w:color="auto" w:fill="FFFFFF" w:themeFill="background1"/>
            <w:vAlign w:val="center"/>
          </w:tcPr>
          <w:p w14:paraId="001810B1" w14:textId="77777777" w:rsidR="00632E5B" w:rsidRPr="001A4AB6" w:rsidRDefault="00632E5B">
            <w:pPr>
              <w:spacing w:line="240" w:lineRule="exact"/>
              <w:jc w:val="right"/>
              <w:rPr>
                <w:rFonts w:ascii="宋体" w:eastAsia="宋体" w:hAnsi="宋体" w:cs="宋体" w:hint="eastAsia"/>
                <w:sz w:val="15"/>
                <w:szCs w:val="15"/>
              </w:rPr>
            </w:pPr>
          </w:p>
        </w:tc>
        <w:tc>
          <w:tcPr>
            <w:tcW w:w="1417" w:type="dxa"/>
            <w:shd w:val="clear" w:color="auto" w:fill="FFFFFF" w:themeFill="background1"/>
            <w:vAlign w:val="center"/>
          </w:tcPr>
          <w:p w14:paraId="36450129"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4,987,195.51</w:t>
            </w:r>
          </w:p>
        </w:tc>
      </w:tr>
      <w:tr w:rsidR="00632E5B" w14:paraId="7CD7582C" w14:textId="77777777" w:rsidTr="001F5A64">
        <w:trPr>
          <w:trHeight w:val="240"/>
        </w:trPr>
        <w:tc>
          <w:tcPr>
            <w:tcW w:w="1377" w:type="dxa"/>
            <w:shd w:val="clear" w:color="auto" w:fill="FFFFFF" w:themeFill="background1"/>
            <w:vAlign w:val="center"/>
          </w:tcPr>
          <w:p w14:paraId="0F18A155"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4.期末余额</w:t>
            </w:r>
          </w:p>
        </w:tc>
        <w:tc>
          <w:tcPr>
            <w:tcW w:w="1489" w:type="dxa"/>
            <w:shd w:val="clear" w:color="auto" w:fill="FFFFFF" w:themeFill="background1"/>
            <w:vAlign w:val="center"/>
          </w:tcPr>
          <w:p w14:paraId="3EF205A2"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69,431,810.84</w:t>
            </w:r>
          </w:p>
        </w:tc>
        <w:tc>
          <w:tcPr>
            <w:tcW w:w="1418" w:type="dxa"/>
            <w:shd w:val="clear" w:color="auto" w:fill="FFFFFF" w:themeFill="background1"/>
            <w:vAlign w:val="center"/>
          </w:tcPr>
          <w:p w14:paraId="65CEE3D4"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1,183,171,459.29</w:t>
            </w:r>
          </w:p>
        </w:tc>
        <w:tc>
          <w:tcPr>
            <w:tcW w:w="1275" w:type="dxa"/>
            <w:shd w:val="clear" w:color="auto" w:fill="FFFFFF" w:themeFill="background1"/>
            <w:vAlign w:val="center"/>
          </w:tcPr>
          <w:p w14:paraId="4D071CE6"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92,883.72</w:t>
            </w:r>
          </w:p>
        </w:tc>
        <w:tc>
          <w:tcPr>
            <w:tcW w:w="1276" w:type="dxa"/>
            <w:shd w:val="clear" w:color="auto" w:fill="FFFFFF" w:themeFill="background1"/>
            <w:vAlign w:val="center"/>
          </w:tcPr>
          <w:p w14:paraId="24EC7813"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513,542.63</w:t>
            </w:r>
          </w:p>
        </w:tc>
        <w:tc>
          <w:tcPr>
            <w:tcW w:w="1276" w:type="dxa"/>
            <w:shd w:val="clear" w:color="auto" w:fill="FFFFFF" w:themeFill="background1"/>
            <w:vAlign w:val="center"/>
          </w:tcPr>
          <w:p w14:paraId="1EC7468C"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12,578,381.04</w:t>
            </w:r>
          </w:p>
        </w:tc>
        <w:tc>
          <w:tcPr>
            <w:tcW w:w="1417" w:type="dxa"/>
            <w:shd w:val="clear" w:color="auto" w:fill="FFFFFF" w:themeFill="background1"/>
            <w:vAlign w:val="center"/>
          </w:tcPr>
          <w:p w14:paraId="5DEA33F0"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1,265,788,077.52</w:t>
            </w:r>
          </w:p>
        </w:tc>
      </w:tr>
      <w:tr w:rsidR="00632E5B" w14:paraId="16E6B7BD" w14:textId="77777777" w:rsidTr="001F5A64">
        <w:trPr>
          <w:trHeight w:val="240"/>
        </w:trPr>
        <w:tc>
          <w:tcPr>
            <w:tcW w:w="1377" w:type="dxa"/>
            <w:shd w:val="clear" w:color="auto" w:fill="FFFFFF" w:themeFill="background1"/>
            <w:vAlign w:val="center"/>
          </w:tcPr>
          <w:p w14:paraId="6C5E95F4"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四、账面价值</w:t>
            </w:r>
          </w:p>
        </w:tc>
        <w:tc>
          <w:tcPr>
            <w:tcW w:w="1489" w:type="dxa"/>
            <w:shd w:val="clear" w:color="auto" w:fill="FFFFFF" w:themeFill="background1"/>
            <w:vAlign w:val="center"/>
          </w:tcPr>
          <w:p w14:paraId="03ABA928" w14:textId="77777777" w:rsidR="00632E5B" w:rsidRPr="001A4AB6" w:rsidRDefault="00632E5B">
            <w:pPr>
              <w:spacing w:line="240" w:lineRule="exact"/>
              <w:jc w:val="right"/>
              <w:rPr>
                <w:rFonts w:ascii="宋体" w:eastAsia="宋体" w:hAnsi="宋体" w:cs="宋体" w:hint="eastAsia"/>
                <w:sz w:val="15"/>
                <w:szCs w:val="15"/>
              </w:rPr>
            </w:pPr>
          </w:p>
        </w:tc>
        <w:tc>
          <w:tcPr>
            <w:tcW w:w="1418" w:type="dxa"/>
            <w:shd w:val="clear" w:color="auto" w:fill="FFFFFF" w:themeFill="background1"/>
            <w:vAlign w:val="center"/>
          </w:tcPr>
          <w:p w14:paraId="6B850C37" w14:textId="77777777" w:rsidR="00632E5B" w:rsidRPr="001A4AB6" w:rsidRDefault="00632E5B">
            <w:pPr>
              <w:spacing w:line="240" w:lineRule="exact"/>
              <w:jc w:val="right"/>
              <w:rPr>
                <w:rFonts w:ascii="宋体" w:eastAsia="宋体" w:hAnsi="宋体" w:cs="宋体" w:hint="eastAsia"/>
                <w:sz w:val="15"/>
                <w:szCs w:val="15"/>
              </w:rPr>
            </w:pPr>
          </w:p>
        </w:tc>
        <w:tc>
          <w:tcPr>
            <w:tcW w:w="1275" w:type="dxa"/>
            <w:shd w:val="clear" w:color="auto" w:fill="FFFFFF" w:themeFill="background1"/>
            <w:vAlign w:val="center"/>
          </w:tcPr>
          <w:p w14:paraId="6A328C05" w14:textId="77777777" w:rsidR="00632E5B" w:rsidRPr="001A4AB6" w:rsidRDefault="00632E5B">
            <w:pPr>
              <w:spacing w:line="240" w:lineRule="exact"/>
              <w:jc w:val="right"/>
              <w:rPr>
                <w:rFonts w:ascii="宋体" w:eastAsia="宋体" w:hAnsi="宋体" w:cs="宋体" w:hint="eastAsia"/>
                <w:sz w:val="15"/>
                <w:szCs w:val="15"/>
              </w:rPr>
            </w:pPr>
          </w:p>
        </w:tc>
        <w:tc>
          <w:tcPr>
            <w:tcW w:w="1276" w:type="dxa"/>
            <w:shd w:val="clear" w:color="auto" w:fill="FFFFFF" w:themeFill="background1"/>
            <w:vAlign w:val="center"/>
          </w:tcPr>
          <w:p w14:paraId="30328757" w14:textId="77777777" w:rsidR="00632E5B" w:rsidRPr="001A4AB6" w:rsidRDefault="00632E5B">
            <w:pPr>
              <w:spacing w:line="240" w:lineRule="exact"/>
              <w:jc w:val="right"/>
              <w:rPr>
                <w:rFonts w:ascii="宋体" w:eastAsia="宋体" w:hAnsi="宋体" w:cs="宋体" w:hint="eastAsia"/>
                <w:sz w:val="15"/>
                <w:szCs w:val="15"/>
              </w:rPr>
            </w:pPr>
          </w:p>
        </w:tc>
        <w:tc>
          <w:tcPr>
            <w:tcW w:w="1276" w:type="dxa"/>
            <w:shd w:val="clear" w:color="auto" w:fill="FFFFFF" w:themeFill="background1"/>
            <w:vAlign w:val="center"/>
          </w:tcPr>
          <w:p w14:paraId="1D7EE12F" w14:textId="77777777" w:rsidR="00632E5B" w:rsidRPr="001A4AB6" w:rsidRDefault="00632E5B">
            <w:pPr>
              <w:spacing w:line="240" w:lineRule="exact"/>
              <w:jc w:val="right"/>
              <w:rPr>
                <w:rFonts w:ascii="宋体" w:eastAsia="宋体" w:hAnsi="宋体" w:cs="宋体" w:hint="eastAsia"/>
                <w:sz w:val="15"/>
                <w:szCs w:val="15"/>
              </w:rPr>
            </w:pPr>
          </w:p>
        </w:tc>
        <w:tc>
          <w:tcPr>
            <w:tcW w:w="1417" w:type="dxa"/>
            <w:shd w:val="clear" w:color="auto" w:fill="FFFFFF" w:themeFill="background1"/>
            <w:vAlign w:val="center"/>
          </w:tcPr>
          <w:p w14:paraId="279193FA" w14:textId="77777777" w:rsidR="00632E5B" w:rsidRPr="001A4AB6" w:rsidRDefault="00632E5B">
            <w:pPr>
              <w:spacing w:line="240" w:lineRule="exact"/>
              <w:jc w:val="right"/>
              <w:rPr>
                <w:rFonts w:ascii="宋体" w:eastAsia="宋体" w:hAnsi="宋体" w:cs="宋体" w:hint="eastAsia"/>
                <w:sz w:val="15"/>
                <w:szCs w:val="15"/>
              </w:rPr>
            </w:pPr>
          </w:p>
        </w:tc>
      </w:tr>
      <w:tr w:rsidR="00632E5B" w14:paraId="6938C394" w14:textId="77777777" w:rsidTr="001F5A64">
        <w:trPr>
          <w:trHeight w:val="240"/>
        </w:trPr>
        <w:tc>
          <w:tcPr>
            <w:tcW w:w="1377" w:type="dxa"/>
            <w:shd w:val="clear" w:color="auto" w:fill="FFFFFF" w:themeFill="background1"/>
            <w:vAlign w:val="center"/>
          </w:tcPr>
          <w:p w14:paraId="2C237FF0"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1.期末账面价值</w:t>
            </w:r>
          </w:p>
        </w:tc>
        <w:tc>
          <w:tcPr>
            <w:tcW w:w="1489" w:type="dxa"/>
            <w:shd w:val="clear" w:color="auto" w:fill="FFFFFF" w:themeFill="background1"/>
            <w:vAlign w:val="center"/>
          </w:tcPr>
          <w:p w14:paraId="68EFEF74"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1,075,131,990.06</w:t>
            </w:r>
          </w:p>
        </w:tc>
        <w:tc>
          <w:tcPr>
            <w:tcW w:w="1418" w:type="dxa"/>
            <w:shd w:val="clear" w:color="auto" w:fill="FFFFFF" w:themeFill="background1"/>
            <w:vAlign w:val="center"/>
          </w:tcPr>
          <w:p w14:paraId="57C22A1A"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186,978,025.75</w:t>
            </w:r>
          </w:p>
        </w:tc>
        <w:tc>
          <w:tcPr>
            <w:tcW w:w="1275" w:type="dxa"/>
            <w:shd w:val="clear" w:color="auto" w:fill="FFFFFF" w:themeFill="background1"/>
            <w:vAlign w:val="center"/>
          </w:tcPr>
          <w:p w14:paraId="4ED6160A"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540,399.49</w:t>
            </w:r>
          </w:p>
        </w:tc>
        <w:tc>
          <w:tcPr>
            <w:tcW w:w="1276" w:type="dxa"/>
            <w:shd w:val="clear" w:color="auto" w:fill="FFFFFF" w:themeFill="background1"/>
            <w:vAlign w:val="center"/>
          </w:tcPr>
          <w:p w14:paraId="06185B5F"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16,049,611.10</w:t>
            </w:r>
          </w:p>
        </w:tc>
        <w:tc>
          <w:tcPr>
            <w:tcW w:w="1276" w:type="dxa"/>
            <w:shd w:val="clear" w:color="auto" w:fill="FFFFFF" w:themeFill="background1"/>
            <w:vAlign w:val="center"/>
          </w:tcPr>
          <w:p w14:paraId="6F7607E7"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29,407,707.57</w:t>
            </w:r>
          </w:p>
        </w:tc>
        <w:tc>
          <w:tcPr>
            <w:tcW w:w="1417" w:type="dxa"/>
            <w:shd w:val="clear" w:color="auto" w:fill="FFFFFF" w:themeFill="background1"/>
            <w:vAlign w:val="center"/>
          </w:tcPr>
          <w:p w14:paraId="1E1A1232"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1,308,107,733.97</w:t>
            </w:r>
          </w:p>
        </w:tc>
      </w:tr>
      <w:tr w:rsidR="00632E5B" w14:paraId="2AD29D57" w14:textId="77777777" w:rsidTr="001F5A64">
        <w:trPr>
          <w:trHeight w:val="240"/>
        </w:trPr>
        <w:tc>
          <w:tcPr>
            <w:tcW w:w="1377" w:type="dxa"/>
            <w:shd w:val="clear" w:color="auto" w:fill="FFFFFF" w:themeFill="background1"/>
            <w:vAlign w:val="center"/>
          </w:tcPr>
          <w:p w14:paraId="41B4068B"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2.期初账面价值</w:t>
            </w:r>
          </w:p>
        </w:tc>
        <w:tc>
          <w:tcPr>
            <w:tcW w:w="1489" w:type="dxa"/>
            <w:shd w:val="clear" w:color="auto" w:fill="FFFFFF" w:themeFill="background1"/>
            <w:vAlign w:val="center"/>
          </w:tcPr>
          <w:p w14:paraId="326BCD0D"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1,532,857,690.57</w:t>
            </w:r>
          </w:p>
        </w:tc>
        <w:tc>
          <w:tcPr>
            <w:tcW w:w="1418" w:type="dxa"/>
            <w:shd w:val="clear" w:color="auto" w:fill="FFFFFF" w:themeFill="background1"/>
            <w:vAlign w:val="center"/>
          </w:tcPr>
          <w:p w14:paraId="6CA63B4B"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1,162,976,952.05</w:t>
            </w:r>
          </w:p>
        </w:tc>
        <w:tc>
          <w:tcPr>
            <w:tcW w:w="1275" w:type="dxa"/>
            <w:shd w:val="clear" w:color="auto" w:fill="FFFFFF" w:themeFill="background1"/>
            <w:vAlign w:val="center"/>
          </w:tcPr>
          <w:p w14:paraId="403DA8B4"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441,422.67</w:t>
            </w:r>
          </w:p>
        </w:tc>
        <w:tc>
          <w:tcPr>
            <w:tcW w:w="1276" w:type="dxa"/>
            <w:shd w:val="clear" w:color="auto" w:fill="FFFFFF" w:themeFill="background1"/>
            <w:vAlign w:val="center"/>
          </w:tcPr>
          <w:p w14:paraId="187DCFFE"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44,184,660.95</w:t>
            </w:r>
          </w:p>
        </w:tc>
        <w:tc>
          <w:tcPr>
            <w:tcW w:w="1276" w:type="dxa"/>
            <w:shd w:val="clear" w:color="auto" w:fill="FFFFFF" w:themeFill="background1"/>
            <w:vAlign w:val="center"/>
          </w:tcPr>
          <w:p w14:paraId="2DA10B81"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44,961,903.09</w:t>
            </w:r>
          </w:p>
        </w:tc>
        <w:tc>
          <w:tcPr>
            <w:tcW w:w="1417" w:type="dxa"/>
            <w:shd w:val="clear" w:color="auto" w:fill="FFFFFF" w:themeFill="background1"/>
            <w:vAlign w:val="center"/>
          </w:tcPr>
          <w:p w14:paraId="1643319A" w14:textId="77777777" w:rsidR="00632E5B" w:rsidRPr="001A4AB6" w:rsidRDefault="00107901">
            <w:pPr>
              <w:spacing w:line="240" w:lineRule="exact"/>
              <w:jc w:val="right"/>
              <w:rPr>
                <w:rFonts w:ascii="宋体" w:eastAsia="宋体" w:hAnsi="宋体" w:cs="宋体" w:hint="eastAsia"/>
                <w:sz w:val="15"/>
                <w:szCs w:val="15"/>
              </w:rPr>
            </w:pPr>
            <w:r w:rsidRPr="001A4AB6">
              <w:rPr>
                <w:rFonts w:ascii="宋体" w:eastAsia="宋体" w:hAnsi="宋体" w:cs="宋体"/>
                <w:sz w:val="15"/>
                <w:szCs w:val="15"/>
              </w:rPr>
              <w:t>2,785,422,629.33</w:t>
            </w:r>
          </w:p>
        </w:tc>
      </w:tr>
    </w:tbl>
    <w:p w14:paraId="6CEAD584"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245" w:name="_Toc989134"/>
      <w:r>
        <w:rPr>
          <w:rFonts w:ascii="宋体" w:eastAsia="宋体" w:hAnsi="宋体" w:cs="宋体"/>
          <w:b/>
          <w:bCs/>
          <w:szCs w:val="21"/>
        </w:rPr>
        <w:lastRenderedPageBreak/>
        <w:t>（2） 暂时闲置的固定资产情况</w:t>
      </w:r>
      <w:bookmarkEnd w:id="245"/>
    </w:p>
    <w:p w14:paraId="080E0AAA"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52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606"/>
        <w:gridCol w:w="1685"/>
        <w:gridCol w:w="1606"/>
        <w:gridCol w:w="1607"/>
        <w:gridCol w:w="1607"/>
        <w:gridCol w:w="1417"/>
      </w:tblGrid>
      <w:tr w:rsidR="00632E5B" w14:paraId="07E0F9FD" w14:textId="77777777" w:rsidTr="001F5A64">
        <w:trPr>
          <w:trHeight w:val="240"/>
        </w:trPr>
        <w:tc>
          <w:tcPr>
            <w:tcW w:w="1606" w:type="dxa"/>
            <w:shd w:val="clear" w:color="auto" w:fill="FFFFFF" w:themeFill="background1"/>
            <w:vAlign w:val="center"/>
          </w:tcPr>
          <w:p w14:paraId="1DBBC9D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685" w:type="dxa"/>
            <w:shd w:val="clear" w:color="auto" w:fill="FFFFFF" w:themeFill="background1"/>
            <w:vAlign w:val="center"/>
          </w:tcPr>
          <w:p w14:paraId="483B0BC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账面原值</w:t>
            </w:r>
          </w:p>
        </w:tc>
        <w:tc>
          <w:tcPr>
            <w:tcW w:w="1606" w:type="dxa"/>
            <w:shd w:val="clear" w:color="auto" w:fill="FFFFFF" w:themeFill="background1"/>
            <w:vAlign w:val="center"/>
          </w:tcPr>
          <w:p w14:paraId="1C3FC6D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累计折旧</w:t>
            </w:r>
          </w:p>
        </w:tc>
        <w:tc>
          <w:tcPr>
            <w:tcW w:w="1607" w:type="dxa"/>
            <w:shd w:val="clear" w:color="auto" w:fill="FFFFFF" w:themeFill="background1"/>
            <w:vAlign w:val="center"/>
          </w:tcPr>
          <w:p w14:paraId="55BC992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w:t>
            </w:r>
          </w:p>
        </w:tc>
        <w:tc>
          <w:tcPr>
            <w:tcW w:w="1607" w:type="dxa"/>
            <w:shd w:val="clear" w:color="auto" w:fill="FFFFFF" w:themeFill="background1"/>
            <w:vAlign w:val="center"/>
          </w:tcPr>
          <w:p w14:paraId="3F4D101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c>
          <w:tcPr>
            <w:tcW w:w="1417" w:type="dxa"/>
            <w:shd w:val="clear" w:color="auto" w:fill="FFFFFF" w:themeFill="background1"/>
            <w:vAlign w:val="center"/>
          </w:tcPr>
          <w:p w14:paraId="0A700E4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备注</w:t>
            </w:r>
          </w:p>
        </w:tc>
      </w:tr>
      <w:tr w:rsidR="00632E5B" w14:paraId="158FFCA8" w14:textId="77777777" w:rsidTr="001F5A64">
        <w:trPr>
          <w:trHeight w:val="240"/>
        </w:trPr>
        <w:tc>
          <w:tcPr>
            <w:tcW w:w="1606" w:type="dxa"/>
            <w:shd w:val="clear" w:color="auto" w:fill="FFFFFF" w:themeFill="background1"/>
            <w:vAlign w:val="center"/>
          </w:tcPr>
          <w:p w14:paraId="5CE30ED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房屋及建筑物</w:t>
            </w:r>
          </w:p>
        </w:tc>
        <w:tc>
          <w:tcPr>
            <w:tcW w:w="1685" w:type="dxa"/>
            <w:shd w:val="clear" w:color="auto" w:fill="FFFFFF" w:themeFill="background1"/>
            <w:vAlign w:val="center"/>
          </w:tcPr>
          <w:p w14:paraId="0DBE17B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320,391,417.98</w:t>
            </w:r>
          </w:p>
        </w:tc>
        <w:tc>
          <w:tcPr>
            <w:tcW w:w="1606" w:type="dxa"/>
            <w:shd w:val="clear" w:color="auto" w:fill="FFFFFF" w:themeFill="background1"/>
            <w:vAlign w:val="center"/>
          </w:tcPr>
          <w:p w14:paraId="50A0A2B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126,394,451.43</w:t>
            </w:r>
          </w:p>
        </w:tc>
        <w:tc>
          <w:tcPr>
            <w:tcW w:w="1607" w:type="dxa"/>
            <w:shd w:val="clear" w:color="auto" w:fill="FFFFFF" w:themeFill="background1"/>
            <w:vAlign w:val="center"/>
          </w:tcPr>
          <w:p w14:paraId="3D90360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8,275,842.83</w:t>
            </w:r>
          </w:p>
        </w:tc>
        <w:tc>
          <w:tcPr>
            <w:tcW w:w="1607" w:type="dxa"/>
            <w:shd w:val="clear" w:color="auto" w:fill="FFFFFF" w:themeFill="background1"/>
            <w:vAlign w:val="center"/>
          </w:tcPr>
          <w:p w14:paraId="60749C2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185,721,123.72</w:t>
            </w:r>
          </w:p>
        </w:tc>
        <w:tc>
          <w:tcPr>
            <w:tcW w:w="1417" w:type="dxa"/>
            <w:shd w:val="clear" w:color="auto" w:fill="FFFFFF" w:themeFill="background1"/>
            <w:vAlign w:val="center"/>
          </w:tcPr>
          <w:p w14:paraId="7498660D" w14:textId="77777777" w:rsidR="00632E5B" w:rsidRDefault="00632E5B">
            <w:pPr>
              <w:spacing w:line="240" w:lineRule="exact"/>
              <w:rPr>
                <w:rFonts w:ascii="宋体" w:eastAsia="宋体" w:hAnsi="宋体" w:cs="宋体" w:hint="eastAsia"/>
                <w:sz w:val="18"/>
                <w:szCs w:val="18"/>
              </w:rPr>
            </w:pPr>
          </w:p>
        </w:tc>
      </w:tr>
      <w:tr w:rsidR="00632E5B" w14:paraId="3A35638A" w14:textId="77777777" w:rsidTr="001F5A64">
        <w:trPr>
          <w:trHeight w:val="240"/>
        </w:trPr>
        <w:tc>
          <w:tcPr>
            <w:tcW w:w="1606" w:type="dxa"/>
            <w:shd w:val="clear" w:color="auto" w:fill="FFFFFF" w:themeFill="background1"/>
            <w:vAlign w:val="center"/>
          </w:tcPr>
          <w:p w14:paraId="4FDC7D4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机器设备</w:t>
            </w:r>
          </w:p>
        </w:tc>
        <w:tc>
          <w:tcPr>
            <w:tcW w:w="1685" w:type="dxa"/>
            <w:shd w:val="clear" w:color="auto" w:fill="FFFFFF" w:themeFill="background1"/>
            <w:vAlign w:val="center"/>
          </w:tcPr>
          <w:p w14:paraId="58BF6BE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1,342,125,092.04</w:t>
            </w:r>
          </w:p>
        </w:tc>
        <w:tc>
          <w:tcPr>
            <w:tcW w:w="1606" w:type="dxa"/>
            <w:shd w:val="clear" w:color="auto" w:fill="FFFFFF" w:themeFill="background1"/>
            <w:vAlign w:val="center"/>
          </w:tcPr>
          <w:p w14:paraId="429C607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554,342,097.30</w:t>
            </w:r>
          </w:p>
        </w:tc>
        <w:tc>
          <w:tcPr>
            <w:tcW w:w="1607" w:type="dxa"/>
            <w:shd w:val="clear" w:color="auto" w:fill="FFFFFF" w:themeFill="background1"/>
            <w:vAlign w:val="center"/>
          </w:tcPr>
          <w:p w14:paraId="042D179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750,125,201.84</w:t>
            </w:r>
          </w:p>
        </w:tc>
        <w:tc>
          <w:tcPr>
            <w:tcW w:w="1607" w:type="dxa"/>
            <w:shd w:val="clear" w:color="auto" w:fill="FFFFFF" w:themeFill="background1"/>
            <w:vAlign w:val="center"/>
          </w:tcPr>
          <w:p w14:paraId="50EDA57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37,657,792.90</w:t>
            </w:r>
          </w:p>
        </w:tc>
        <w:tc>
          <w:tcPr>
            <w:tcW w:w="1417" w:type="dxa"/>
            <w:shd w:val="clear" w:color="auto" w:fill="FFFFFF" w:themeFill="background1"/>
            <w:vAlign w:val="center"/>
          </w:tcPr>
          <w:p w14:paraId="47F26C66" w14:textId="77777777" w:rsidR="00632E5B" w:rsidRDefault="00632E5B">
            <w:pPr>
              <w:spacing w:line="240" w:lineRule="exact"/>
              <w:rPr>
                <w:rFonts w:ascii="宋体" w:eastAsia="宋体" w:hAnsi="宋体" w:cs="宋体" w:hint="eastAsia"/>
                <w:sz w:val="18"/>
                <w:szCs w:val="18"/>
              </w:rPr>
            </w:pPr>
          </w:p>
        </w:tc>
      </w:tr>
      <w:tr w:rsidR="00632E5B" w14:paraId="6C7E2E54" w14:textId="77777777" w:rsidTr="001F5A64">
        <w:trPr>
          <w:trHeight w:val="240"/>
        </w:trPr>
        <w:tc>
          <w:tcPr>
            <w:tcW w:w="1606" w:type="dxa"/>
            <w:shd w:val="clear" w:color="auto" w:fill="FFFFFF" w:themeFill="background1"/>
            <w:vAlign w:val="center"/>
          </w:tcPr>
          <w:p w14:paraId="2D3880D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运输设备</w:t>
            </w:r>
          </w:p>
        </w:tc>
        <w:tc>
          <w:tcPr>
            <w:tcW w:w="1685" w:type="dxa"/>
            <w:shd w:val="clear" w:color="auto" w:fill="FFFFFF" w:themeFill="background1"/>
            <w:vAlign w:val="center"/>
          </w:tcPr>
          <w:p w14:paraId="6BB3C4E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2,153,368.13</w:t>
            </w:r>
          </w:p>
        </w:tc>
        <w:tc>
          <w:tcPr>
            <w:tcW w:w="1606" w:type="dxa"/>
            <w:shd w:val="clear" w:color="auto" w:fill="FFFFFF" w:themeFill="background1"/>
            <w:vAlign w:val="center"/>
          </w:tcPr>
          <w:p w14:paraId="6A956AA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1,963,844.08</w:t>
            </w:r>
          </w:p>
        </w:tc>
        <w:tc>
          <w:tcPr>
            <w:tcW w:w="1607" w:type="dxa"/>
            <w:shd w:val="clear" w:color="auto" w:fill="FFFFFF" w:themeFill="background1"/>
            <w:vAlign w:val="center"/>
          </w:tcPr>
          <w:p w14:paraId="012913B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15,418.46</w:t>
            </w:r>
          </w:p>
        </w:tc>
        <w:tc>
          <w:tcPr>
            <w:tcW w:w="1607" w:type="dxa"/>
            <w:shd w:val="clear" w:color="auto" w:fill="FFFFFF" w:themeFill="background1"/>
            <w:vAlign w:val="center"/>
          </w:tcPr>
          <w:p w14:paraId="1FE4EEF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174,105.59</w:t>
            </w:r>
          </w:p>
        </w:tc>
        <w:tc>
          <w:tcPr>
            <w:tcW w:w="1417" w:type="dxa"/>
            <w:shd w:val="clear" w:color="auto" w:fill="FFFFFF" w:themeFill="background1"/>
            <w:vAlign w:val="center"/>
          </w:tcPr>
          <w:p w14:paraId="2CAFB9F8" w14:textId="77777777" w:rsidR="00632E5B" w:rsidRDefault="00632E5B">
            <w:pPr>
              <w:spacing w:line="240" w:lineRule="exact"/>
              <w:rPr>
                <w:rFonts w:ascii="宋体" w:eastAsia="宋体" w:hAnsi="宋体" w:cs="宋体" w:hint="eastAsia"/>
                <w:sz w:val="18"/>
                <w:szCs w:val="18"/>
              </w:rPr>
            </w:pPr>
          </w:p>
        </w:tc>
      </w:tr>
      <w:tr w:rsidR="00632E5B" w14:paraId="21D1A97F" w14:textId="77777777" w:rsidTr="001F5A64">
        <w:trPr>
          <w:trHeight w:val="240"/>
        </w:trPr>
        <w:tc>
          <w:tcPr>
            <w:tcW w:w="1606" w:type="dxa"/>
            <w:shd w:val="clear" w:color="auto" w:fill="FFFFFF" w:themeFill="background1"/>
            <w:vAlign w:val="center"/>
          </w:tcPr>
          <w:p w14:paraId="3FC43CC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办公/电子设备及其他</w:t>
            </w:r>
          </w:p>
        </w:tc>
        <w:tc>
          <w:tcPr>
            <w:tcW w:w="1685" w:type="dxa"/>
            <w:shd w:val="clear" w:color="auto" w:fill="FFFFFF" w:themeFill="background1"/>
            <w:vAlign w:val="center"/>
          </w:tcPr>
          <w:p w14:paraId="665D2C1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32,733,200.57</w:t>
            </w:r>
          </w:p>
        </w:tc>
        <w:tc>
          <w:tcPr>
            <w:tcW w:w="1606" w:type="dxa"/>
            <w:shd w:val="clear" w:color="auto" w:fill="FFFFFF" w:themeFill="background1"/>
            <w:vAlign w:val="center"/>
          </w:tcPr>
          <w:p w14:paraId="1F720B6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26,983,265.52</w:t>
            </w:r>
          </w:p>
        </w:tc>
        <w:tc>
          <w:tcPr>
            <w:tcW w:w="1607" w:type="dxa"/>
            <w:shd w:val="clear" w:color="auto" w:fill="FFFFFF" w:themeFill="background1"/>
            <w:vAlign w:val="center"/>
          </w:tcPr>
          <w:p w14:paraId="752B86F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35,231.00</w:t>
            </w:r>
          </w:p>
        </w:tc>
        <w:tc>
          <w:tcPr>
            <w:tcW w:w="1607" w:type="dxa"/>
            <w:shd w:val="clear" w:color="auto" w:fill="FFFFFF" w:themeFill="background1"/>
            <w:vAlign w:val="center"/>
          </w:tcPr>
          <w:p w14:paraId="21E4AB5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5,714,704.05</w:t>
            </w:r>
          </w:p>
        </w:tc>
        <w:tc>
          <w:tcPr>
            <w:tcW w:w="1417" w:type="dxa"/>
            <w:shd w:val="clear" w:color="auto" w:fill="FFFFFF" w:themeFill="background1"/>
            <w:vAlign w:val="center"/>
          </w:tcPr>
          <w:p w14:paraId="5C8CD4EF" w14:textId="77777777" w:rsidR="00632E5B" w:rsidRDefault="00632E5B">
            <w:pPr>
              <w:spacing w:line="240" w:lineRule="exact"/>
              <w:rPr>
                <w:rFonts w:ascii="宋体" w:eastAsia="宋体" w:hAnsi="宋体" w:cs="宋体" w:hint="eastAsia"/>
                <w:sz w:val="18"/>
                <w:szCs w:val="18"/>
              </w:rPr>
            </w:pPr>
          </w:p>
        </w:tc>
      </w:tr>
      <w:tr w:rsidR="00632E5B" w14:paraId="28D05BA9" w14:textId="77777777" w:rsidTr="001F5A64">
        <w:trPr>
          <w:trHeight w:val="240"/>
        </w:trPr>
        <w:tc>
          <w:tcPr>
            <w:tcW w:w="1606" w:type="dxa"/>
            <w:shd w:val="clear" w:color="auto" w:fill="FFFFFF" w:themeFill="background1"/>
            <w:vAlign w:val="center"/>
          </w:tcPr>
          <w:p w14:paraId="03602A5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合计</w:t>
            </w:r>
          </w:p>
        </w:tc>
        <w:tc>
          <w:tcPr>
            <w:tcW w:w="1685" w:type="dxa"/>
            <w:shd w:val="clear" w:color="auto" w:fill="FFFFFF" w:themeFill="background1"/>
            <w:vAlign w:val="center"/>
          </w:tcPr>
          <w:p w14:paraId="1B45A7E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1,697,403,078.72</w:t>
            </w:r>
          </w:p>
        </w:tc>
        <w:tc>
          <w:tcPr>
            <w:tcW w:w="1606" w:type="dxa"/>
            <w:shd w:val="clear" w:color="auto" w:fill="FFFFFF" w:themeFill="background1"/>
            <w:vAlign w:val="center"/>
          </w:tcPr>
          <w:p w14:paraId="5A46D6E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709,683,658.33</w:t>
            </w:r>
          </w:p>
        </w:tc>
        <w:tc>
          <w:tcPr>
            <w:tcW w:w="1607" w:type="dxa"/>
            <w:shd w:val="clear" w:color="auto" w:fill="FFFFFF" w:themeFill="background1"/>
            <w:vAlign w:val="center"/>
          </w:tcPr>
          <w:p w14:paraId="6AB0410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758,451,694.13</w:t>
            </w:r>
          </w:p>
        </w:tc>
        <w:tc>
          <w:tcPr>
            <w:tcW w:w="1607" w:type="dxa"/>
            <w:shd w:val="clear" w:color="auto" w:fill="FFFFFF" w:themeFill="background1"/>
            <w:vAlign w:val="center"/>
          </w:tcPr>
          <w:p w14:paraId="06BB77D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229,267,726.26</w:t>
            </w:r>
          </w:p>
        </w:tc>
        <w:tc>
          <w:tcPr>
            <w:tcW w:w="1417" w:type="dxa"/>
            <w:shd w:val="clear" w:color="auto" w:fill="FFFFFF" w:themeFill="background1"/>
            <w:vAlign w:val="center"/>
          </w:tcPr>
          <w:p w14:paraId="60F16C30" w14:textId="77777777" w:rsidR="00632E5B" w:rsidRDefault="00632E5B">
            <w:pPr>
              <w:spacing w:line="240" w:lineRule="exact"/>
              <w:rPr>
                <w:rFonts w:ascii="宋体" w:eastAsia="宋体" w:hAnsi="宋体" w:cs="宋体" w:hint="eastAsia"/>
                <w:sz w:val="18"/>
                <w:szCs w:val="18"/>
              </w:rPr>
            </w:pPr>
          </w:p>
        </w:tc>
      </w:tr>
    </w:tbl>
    <w:p w14:paraId="5C591D49"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246" w:name="_Toc989135"/>
      <w:r>
        <w:rPr>
          <w:rFonts w:ascii="宋体" w:eastAsia="宋体" w:hAnsi="宋体" w:cs="宋体"/>
          <w:b/>
          <w:bCs/>
          <w:szCs w:val="21"/>
        </w:rPr>
        <w:t>（3） 通过经营租赁租出的固定资产</w:t>
      </w:r>
      <w:bookmarkEnd w:id="246"/>
    </w:p>
    <w:p w14:paraId="61C570E1"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4820"/>
        <w:gridCol w:w="4819"/>
      </w:tblGrid>
      <w:tr w:rsidR="00632E5B" w14:paraId="006F2C5E" w14:textId="77777777" w:rsidTr="001F5A64">
        <w:trPr>
          <w:trHeight w:val="240"/>
        </w:trPr>
        <w:tc>
          <w:tcPr>
            <w:tcW w:w="4820" w:type="dxa"/>
            <w:shd w:val="clear" w:color="auto" w:fill="FFFFFF" w:themeFill="background1"/>
            <w:vAlign w:val="center"/>
          </w:tcPr>
          <w:p w14:paraId="6E884F2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4820" w:type="dxa"/>
            <w:shd w:val="clear" w:color="auto" w:fill="FFFFFF" w:themeFill="background1"/>
            <w:vAlign w:val="center"/>
          </w:tcPr>
          <w:p w14:paraId="7E50E50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期末账面价值</w:t>
            </w:r>
          </w:p>
        </w:tc>
      </w:tr>
      <w:tr w:rsidR="00632E5B" w14:paraId="0A216EA6" w14:textId="77777777" w:rsidTr="001F5A64">
        <w:trPr>
          <w:trHeight w:val="240"/>
        </w:trPr>
        <w:tc>
          <w:tcPr>
            <w:tcW w:w="4820" w:type="dxa"/>
            <w:shd w:val="clear" w:color="auto" w:fill="FFFFFF" w:themeFill="background1"/>
            <w:vAlign w:val="center"/>
          </w:tcPr>
          <w:p w14:paraId="4405B82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房屋及建筑物</w:t>
            </w:r>
          </w:p>
        </w:tc>
        <w:tc>
          <w:tcPr>
            <w:tcW w:w="4820" w:type="dxa"/>
            <w:shd w:val="clear" w:color="auto" w:fill="FFFFFF" w:themeFill="background1"/>
            <w:vAlign w:val="center"/>
          </w:tcPr>
          <w:p w14:paraId="2A75F41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19,438,813.69</w:t>
            </w:r>
          </w:p>
        </w:tc>
      </w:tr>
    </w:tbl>
    <w:p w14:paraId="3F9E7F71"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247" w:name="_Toc989136"/>
      <w:r>
        <w:rPr>
          <w:rFonts w:ascii="宋体" w:eastAsia="宋体" w:hAnsi="宋体" w:cs="宋体"/>
          <w:b/>
          <w:bCs/>
          <w:szCs w:val="21"/>
        </w:rPr>
        <w:t>（4） 固定资产的减值测试情况</w:t>
      </w:r>
      <w:bookmarkEnd w:id="247"/>
    </w:p>
    <w:p w14:paraId="3E8BE12D"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174A4DFF"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可收回金额按公允价值减去处置费用后的净额确定</w:t>
      </w:r>
    </w:p>
    <w:p w14:paraId="189EF087"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247E2A0F"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97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377"/>
        <w:gridCol w:w="1489"/>
        <w:gridCol w:w="1418"/>
        <w:gridCol w:w="1559"/>
        <w:gridCol w:w="1377"/>
        <w:gridCol w:w="999"/>
        <w:gridCol w:w="1755"/>
      </w:tblGrid>
      <w:tr w:rsidR="00632E5B" w14:paraId="2D87BB23" w14:textId="77777777" w:rsidTr="001F5A64">
        <w:trPr>
          <w:trHeight w:val="240"/>
          <w:jc w:val="center"/>
        </w:trPr>
        <w:tc>
          <w:tcPr>
            <w:tcW w:w="1377" w:type="dxa"/>
            <w:shd w:val="clear" w:color="auto" w:fill="FFFFFF" w:themeFill="background1"/>
            <w:vAlign w:val="center"/>
          </w:tcPr>
          <w:p w14:paraId="1720521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489" w:type="dxa"/>
            <w:shd w:val="clear" w:color="auto" w:fill="FFFFFF" w:themeFill="background1"/>
            <w:vAlign w:val="center"/>
          </w:tcPr>
          <w:p w14:paraId="4DF9677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c>
          <w:tcPr>
            <w:tcW w:w="1418" w:type="dxa"/>
            <w:shd w:val="clear" w:color="auto" w:fill="FFFFFF" w:themeFill="background1"/>
            <w:vAlign w:val="center"/>
          </w:tcPr>
          <w:p w14:paraId="7402FB6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可收回金额</w:t>
            </w:r>
          </w:p>
        </w:tc>
        <w:tc>
          <w:tcPr>
            <w:tcW w:w="1559" w:type="dxa"/>
            <w:shd w:val="clear" w:color="auto" w:fill="FFFFFF" w:themeFill="background1"/>
            <w:vAlign w:val="center"/>
          </w:tcPr>
          <w:p w14:paraId="31744B1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减值金额</w:t>
            </w:r>
          </w:p>
        </w:tc>
        <w:tc>
          <w:tcPr>
            <w:tcW w:w="1377" w:type="dxa"/>
            <w:shd w:val="clear" w:color="auto" w:fill="FFFFFF" w:themeFill="background1"/>
            <w:vAlign w:val="center"/>
          </w:tcPr>
          <w:p w14:paraId="557221C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公允价值和处置费用的确定方式</w:t>
            </w:r>
          </w:p>
        </w:tc>
        <w:tc>
          <w:tcPr>
            <w:tcW w:w="999" w:type="dxa"/>
            <w:shd w:val="clear" w:color="auto" w:fill="FFFFFF" w:themeFill="background1"/>
            <w:vAlign w:val="center"/>
          </w:tcPr>
          <w:p w14:paraId="16878AE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关键参数</w:t>
            </w:r>
          </w:p>
        </w:tc>
        <w:tc>
          <w:tcPr>
            <w:tcW w:w="1755" w:type="dxa"/>
            <w:shd w:val="clear" w:color="auto" w:fill="FFFFFF" w:themeFill="background1"/>
            <w:vAlign w:val="center"/>
          </w:tcPr>
          <w:p w14:paraId="68E8295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关键参数的确定依据</w:t>
            </w:r>
          </w:p>
        </w:tc>
      </w:tr>
      <w:tr w:rsidR="005B0E58" w14:paraId="05F07F4A" w14:textId="77777777" w:rsidTr="001F5A64">
        <w:trPr>
          <w:trHeight w:val="240"/>
          <w:jc w:val="center"/>
        </w:trPr>
        <w:tc>
          <w:tcPr>
            <w:tcW w:w="1377" w:type="dxa"/>
            <w:shd w:val="clear" w:color="auto" w:fill="FFFFFF" w:themeFill="background1"/>
            <w:vAlign w:val="center"/>
          </w:tcPr>
          <w:p w14:paraId="4B230C33" w14:textId="632EFADB" w:rsidR="005B0E58" w:rsidRDefault="005B0E58" w:rsidP="005B0E58">
            <w:pPr>
              <w:spacing w:line="240" w:lineRule="exact"/>
              <w:rPr>
                <w:rFonts w:ascii="宋体" w:eastAsia="宋体" w:hAnsi="宋体" w:cs="宋体" w:hint="eastAsia"/>
                <w:sz w:val="18"/>
                <w:szCs w:val="18"/>
              </w:rPr>
            </w:pPr>
            <w:r>
              <w:rPr>
                <w:rFonts w:ascii="宋体" w:eastAsia="宋体" w:hAnsi="宋体" w:cs="宋体" w:hint="eastAsia"/>
                <w:sz w:val="18"/>
                <w:szCs w:val="18"/>
              </w:rPr>
              <w:t>房屋建筑物、设备</w:t>
            </w:r>
            <w:r>
              <w:rPr>
                <w:rFonts w:ascii="宋体" w:eastAsia="宋体" w:hAnsi="宋体" w:cs="宋体"/>
                <w:sz w:val="18"/>
                <w:szCs w:val="18"/>
              </w:rPr>
              <w:t>1（注1）</w:t>
            </w:r>
          </w:p>
        </w:tc>
        <w:tc>
          <w:tcPr>
            <w:tcW w:w="1489" w:type="dxa"/>
            <w:shd w:val="clear" w:color="auto" w:fill="FFFFFF" w:themeFill="background1"/>
            <w:vAlign w:val="center"/>
          </w:tcPr>
          <w:p w14:paraId="1A97DC3E" w14:textId="77777777" w:rsidR="005B0E58" w:rsidRDefault="005B0E58" w:rsidP="005B0E58">
            <w:pPr>
              <w:spacing w:line="240" w:lineRule="exact"/>
              <w:jc w:val="right"/>
              <w:rPr>
                <w:rFonts w:ascii="宋体" w:eastAsia="宋体" w:hAnsi="宋体" w:cs="宋体" w:hint="eastAsia"/>
                <w:sz w:val="18"/>
                <w:szCs w:val="18"/>
              </w:rPr>
            </w:pPr>
            <w:r>
              <w:rPr>
                <w:rFonts w:ascii="宋体" w:eastAsia="宋体" w:hAnsi="宋体" w:cs="宋体"/>
                <w:sz w:val="18"/>
                <w:szCs w:val="18"/>
              </w:rPr>
              <w:t>51,066,293.95</w:t>
            </w:r>
          </w:p>
        </w:tc>
        <w:tc>
          <w:tcPr>
            <w:tcW w:w="1418" w:type="dxa"/>
            <w:shd w:val="clear" w:color="auto" w:fill="FFFFFF" w:themeFill="background1"/>
            <w:vAlign w:val="center"/>
          </w:tcPr>
          <w:p w14:paraId="4EE8F696" w14:textId="77777777" w:rsidR="005B0E58" w:rsidRDefault="005B0E58" w:rsidP="005B0E58">
            <w:pPr>
              <w:spacing w:line="240" w:lineRule="exact"/>
              <w:jc w:val="right"/>
              <w:rPr>
                <w:rFonts w:ascii="宋体" w:eastAsia="宋体" w:hAnsi="宋体" w:cs="宋体" w:hint="eastAsia"/>
                <w:sz w:val="18"/>
                <w:szCs w:val="18"/>
              </w:rPr>
            </w:pPr>
            <w:r>
              <w:rPr>
                <w:rFonts w:ascii="宋体" w:eastAsia="宋体" w:hAnsi="宋体" w:cs="宋体"/>
                <w:sz w:val="18"/>
                <w:szCs w:val="18"/>
              </w:rPr>
              <w:t>31,229,308.43</w:t>
            </w:r>
          </w:p>
        </w:tc>
        <w:tc>
          <w:tcPr>
            <w:tcW w:w="1559" w:type="dxa"/>
            <w:shd w:val="clear" w:color="auto" w:fill="FFFFFF" w:themeFill="background1"/>
            <w:vAlign w:val="center"/>
          </w:tcPr>
          <w:p w14:paraId="5A48BDF2" w14:textId="77777777" w:rsidR="005B0E58" w:rsidRDefault="005B0E58" w:rsidP="005B0E58">
            <w:pPr>
              <w:spacing w:line="240" w:lineRule="exact"/>
              <w:jc w:val="right"/>
              <w:rPr>
                <w:rFonts w:ascii="宋体" w:eastAsia="宋体" w:hAnsi="宋体" w:cs="宋体" w:hint="eastAsia"/>
                <w:sz w:val="18"/>
                <w:szCs w:val="18"/>
              </w:rPr>
            </w:pPr>
            <w:r>
              <w:rPr>
                <w:rFonts w:ascii="宋体" w:eastAsia="宋体" w:hAnsi="宋体" w:cs="宋体"/>
                <w:sz w:val="18"/>
                <w:szCs w:val="18"/>
              </w:rPr>
              <w:t>19,836,985.52</w:t>
            </w:r>
          </w:p>
        </w:tc>
        <w:tc>
          <w:tcPr>
            <w:tcW w:w="1377" w:type="dxa"/>
            <w:shd w:val="clear" w:color="auto" w:fill="FFFFFF" w:themeFill="background1"/>
            <w:vAlign w:val="center"/>
          </w:tcPr>
          <w:p w14:paraId="33ABC482" w14:textId="77777777" w:rsidR="005B0E58" w:rsidRDefault="005B0E58" w:rsidP="005B0E58">
            <w:pPr>
              <w:spacing w:line="240" w:lineRule="exact"/>
              <w:rPr>
                <w:rFonts w:ascii="宋体" w:eastAsia="宋体" w:hAnsi="宋体" w:cs="宋体" w:hint="eastAsia"/>
                <w:sz w:val="18"/>
                <w:szCs w:val="18"/>
              </w:rPr>
            </w:pPr>
            <w:r>
              <w:rPr>
                <w:rFonts w:ascii="宋体" w:eastAsia="宋体" w:hAnsi="宋体" w:cs="宋体"/>
                <w:sz w:val="18"/>
                <w:szCs w:val="18"/>
              </w:rPr>
              <w:t>公允价值：市场价×修正系数×折扣率；处置费用：印花税和产权交易费</w:t>
            </w:r>
          </w:p>
        </w:tc>
        <w:tc>
          <w:tcPr>
            <w:tcW w:w="999" w:type="dxa"/>
            <w:shd w:val="clear" w:color="auto" w:fill="FFFFFF" w:themeFill="background1"/>
            <w:vAlign w:val="center"/>
          </w:tcPr>
          <w:p w14:paraId="5F9E6FAA" w14:textId="77777777" w:rsidR="005B0E58" w:rsidRDefault="005B0E58" w:rsidP="005B0E58">
            <w:pPr>
              <w:spacing w:line="240" w:lineRule="exact"/>
              <w:rPr>
                <w:rFonts w:ascii="宋体" w:eastAsia="宋体" w:hAnsi="宋体" w:cs="宋体" w:hint="eastAsia"/>
                <w:sz w:val="18"/>
                <w:szCs w:val="18"/>
              </w:rPr>
            </w:pPr>
            <w:r>
              <w:rPr>
                <w:rFonts w:ascii="宋体" w:eastAsia="宋体" w:hAnsi="宋体" w:cs="宋体"/>
                <w:sz w:val="18"/>
                <w:szCs w:val="18"/>
              </w:rPr>
              <w:t>折扣率</w:t>
            </w:r>
          </w:p>
        </w:tc>
        <w:tc>
          <w:tcPr>
            <w:tcW w:w="1755" w:type="dxa"/>
            <w:shd w:val="clear" w:color="auto" w:fill="FFFFFF" w:themeFill="background1"/>
            <w:vAlign w:val="center"/>
          </w:tcPr>
          <w:p w14:paraId="5C2EAEB0" w14:textId="77777777" w:rsidR="005B0E58" w:rsidRDefault="005B0E58" w:rsidP="005B0E58">
            <w:pPr>
              <w:spacing w:line="240" w:lineRule="exact"/>
              <w:rPr>
                <w:rFonts w:ascii="宋体" w:eastAsia="宋体" w:hAnsi="宋体" w:cs="宋体" w:hint="eastAsia"/>
                <w:sz w:val="18"/>
                <w:szCs w:val="18"/>
              </w:rPr>
            </w:pPr>
            <w:r>
              <w:rPr>
                <w:rFonts w:ascii="宋体" w:eastAsia="宋体" w:hAnsi="宋体" w:cs="宋体"/>
                <w:sz w:val="18"/>
                <w:szCs w:val="18"/>
              </w:rPr>
              <w:t>折扣率=通用性修正系数+再利用性修正系数+可拆除难度修正系数+市场状况修正系数+价值量大小修正系数+处置周期修正系数+行业技术更新速度修正系数</w:t>
            </w:r>
          </w:p>
        </w:tc>
      </w:tr>
      <w:tr w:rsidR="005B0E58" w14:paraId="3AD0B00A" w14:textId="77777777" w:rsidTr="001F5A64">
        <w:trPr>
          <w:trHeight w:val="240"/>
          <w:jc w:val="center"/>
        </w:trPr>
        <w:tc>
          <w:tcPr>
            <w:tcW w:w="1377" w:type="dxa"/>
            <w:shd w:val="clear" w:color="auto" w:fill="FFFFFF" w:themeFill="background1"/>
            <w:vAlign w:val="center"/>
          </w:tcPr>
          <w:p w14:paraId="764FFC31" w14:textId="5A12FAFD" w:rsidR="005B0E58" w:rsidRDefault="005B0E58" w:rsidP="005B0E58">
            <w:pPr>
              <w:spacing w:line="240" w:lineRule="exact"/>
              <w:rPr>
                <w:rFonts w:ascii="宋体" w:eastAsia="宋体" w:hAnsi="宋体" w:cs="宋体" w:hint="eastAsia"/>
                <w:sz w:val="18"/>
                <w:szCs w:val="18"/>
              </w:rPr>
            </w:pPr>
            <w:r>
              <w:rPr>
                <w:rFonts w:ascii="宋体" w:eastAsia="宋体" w:hAnsi="宋体" w:cs="宋体" w:hint="eastAsia"/>
                <w:sz w:val="18"/>
                <w:szCs w:val="18"/>
              </w:rPr>
              <w:t>房屋建筑物、设备</w:t>
            </w:r>
            <w:r>
              <w:rPr>
                <w:rFonts w:ascii="宋体" w:eastAsia="宋体" w:hAnsi="宋体" w:cs="宋体"/>
                <w:sz w:val="18"/>
                <w:szCs w:val="18"/>
              </w:rPr>
              <w:t>2（注2）</w:t>
            </w:r>
          </w:p>
        </w:tc>
        <w:tc>
          <w:tcPr>
            <w:tcW w:w="1489" w:type="dxa"/>
            <w:shd w:val="clear" w:color="auto" w:fill="FFFFFF" w:themeFill="background1"/>
            <w:vAlign w:val="center"/>
          </w:tcPr>
          <w:p w14:paraId="758ADA7C" w14:textId="77777777" w:rsidR="005B0E58" w:rsidRDefault="005B0E58" w:rsidP="005B0E58">
            <w:pPr>
              <w:spacing w:line="240" w:lineRule="exact"/>
              <w:jc w:val="right"/>
              <w:rPr>
                <w:rFonts w:ascii="宋体" w:eastAsia="宋体" w:hAnsi="宋体" w:cs="宋体" w:hint="eastAsia"/>
                <w:sz w:val="18"/>
                <w:szCs w:val="18"/>
              </w:rPr>
            </w:pPr>
            <w:r>
              <w:rPr>
                <w:rFonts w:ascii="宋体" w:eastAsia="宋体" w:hAnsi="宋体" w:cs="宋体"/>
                <w:sz w:val="18"/>
                <w:szCs w:val="18"/>
              </w:rPr>
              <w:t>450,123,739.03</w:t>
            </w:r>
          </w:p>
        </w:tc>
        <w:tc>
          <w:tcPr>
            <w:tcW w:w="1418" w:type="dxa"/>
            <w:shd w:val="clear" w:color="auto" w:fill="FFFFFF" w:themeFill="background1"/>
            <w:vAlign w:val="center"/>
          </w:tcPr>
          <w:p w14:paraId="6AECBC75" w14:textId="77777777" w:rsidR="005B0E58" w:rsidRDefault="005B0E58" w:rsidP="005B0E58">
            <w:pPr>
              <w:spacing w:line="240" w:lineRule="exact"/>
              <w:jc w:val="right"/>
              <w:rPr>
                <w:rFonts w:ascii="宋体" w:eastAsia="宋体" w:hAnsi="宋体" w:cs="宋体" w:hint="eastAsia"/>
                <w:sz w:val="18"/>
                <w:szCs w:val="18"/>
              </w:rPr>
            </w:pPr>
            <w:r>
              <w:rPr>
                <w:rFonts w:ascii="宋体" w:eastAsia="宋体" w:hAnsi="宋体" w:cs="宋体"/>
                <w:sz w:val="18"/>
                <w:szCs w:val="18"/>
              </w:rPr>
              <w:t>46,894,786.44</w:t>
            </w:r>
          </w:p>
        </w:tc>
        <w:tc>
          <w:tcPr>
            <w:tcW w:w="1559" w:type="dxa"/>
            <w:shd w:val="clear" w:color="auto" w:fill="FFFFFF" w:themeFill="background1"/>
            <w:vAlign w:val="center"/>
          </w:tcPr>
          <w:p w14:paraId="1706C69F" w14:textId="77777777" w:rsidR="005B0E58" w:rsidRDefault="005B0E58" w:rsidP="005B0E58">
            <w:pPr>
              <w:spacing w:line="240" w:lineRule="exact"/>
              <w:jc w:val="right"/>
              <w:rPr>
                <w:rFonts w:ascii="宋体" w:eastAsia="宋体" w:hAnsi="宋体" w:cs="宋体" w:hint="eastAsia"/>
                <w:sz w:val="18"/>
                <w:szCs w:val="18"/>
              </w:rPr>
            </w:pPr>
            <w:r>
              <w:rPr>
                <w:rFonts w:ascii="宋体" w:eastAsia="宋体" w:hAnsi="宋体" w:cs="宋体"/>
                <w:sz w:val="18"/>
                <w:szCs w:val="18"/>
              </w:rPr>
              <w:t>403,228,952.59</w:t>
            </w:r>
          </w:p>
        </w:tc>
        <w:tc>
          <w:tcPr>
            <w:tcW w:w="1377" w:type="dxa"/>
            <w:shd w:val="clear" w:color="auto" w:fill="FFFFFF" w:themeFill="background1"/>
            <w:vAlign w:val="center"/>
          </w:tcPr>
          <w:p w14:paraId="79FE8DD0" w14:textId="77777777" w:rsidR="005B0E58" w:rsidRDefault="005B0E58" w:rsidP="005B0E58">
            <w:pPr>
              <w:spacing w:line="240" w:lineRule="exact"/>
              <w:rPr>
                <w:rFonts w:ascii="宋体" w:eastAsia="宋体" w:hAnsi="宋体" w:cs="宋体" w:hint="eastAsia"/>
                <w:sz w:val="18"/>
                <w:szCs w:val="18"/>
              </w:rPr>
            </w:pPr>
            <w:r>
              <w:rPr>
                <w:rFonts w:ascii="宋体" w:eastAsia="宋体" w:hAnsi="宋体" w:cs="宋体"/>
                <w:sz w:val="18"/>
                <w:szCs w:val="18"/>
              </w:rPr>
              <w:t>公允价值：材料重量×材料价格、市场价×修正系数×折扣率；处置费用：搬运费、印花税和产权交易费</w:t>
            </w:r>
          </w:p>
        </w:tc>
        <w:tc>
          <w:tcPr>
            <w:tcW w:w="999" w:type="dxa"/>
            <w:shd w:val="clear" w:color="auto" w:fill="FFFFFF" w:themeFill="background1"/>
            <w:vAlign w:val="center"/>
          </w:tcPr>
          <w:p w14:paraId="35934C6A" w14:textId="77777777" w:rsidR="005B0E58" w:rsidRDefault="005B0E58" w:rsidP="005B0E58">
            <w:pPr>
              <w:spacing w:line="240" w:lineRule="exact"/>
              <w:rPr>
                <w:rFonts w:ascii="宋体" w:eastAsia="宋体" w:hAnsi="宋体" w:cs="宋体" w:hint="eastAsia"/>
                <w:sz w:val="18"/>
                <w:szCs w:val="18"/>
              </w:rPr>
            </w:pPr>
            <w:r>
              <w:rPr>
                <w:rFonts w:ascii="宋体" w:eastAsia="宋体" w:hAnsi="宋体" w:cs="宋体"/>
                <w:sz w:val="18"/>
                <w:szCs w:val="18"/>
              </w:rPr>
              <w:t>折扣率</w:t>
            </w:r>
          </w:p>
        </w:tc>
        <w:tc>
          <w:tcPr>
            <w:tcW w:w="1755" w:type="dxa"/>
            <w:shd w:val="clear" w:color="auto" w:fill="FFFFFF" w:themeFill="background1"/>
            <w:vAlign w:val="center"/>
          </w:tcPr>
          <w:p w14:paraId="6EE74F0E" w14:textId="77777777" w:rsidR="005B0E58" w:rsidRDefault="005B0E58" w:rsidP="005B0E58">
            <w:pPr>
              <w:spacing w:line="240" w:lineRule="exact"/>
              <w:rPr>
                <w:rFonts w:ascii="宋体" w:eastAsia="宋体" w:hAnsi="宋体" w:cs="宋体" w:hint="eastAsia"/>
                <w:sz w:val="18"/>
                <w:szCs w:val="18"/>
              </w:rPr>
            </w:pPr>
            <w:r>
              <w:rPr>
                <w:rFonts w:ascii="宋体" w:eastAsia="宋体" w:hAnsi="宋体" w:cs="宋体"/>
                <w:sz w:val="18"/>
                <w:szCs w:val="18"/>
              </w:rPr>
              <w:t>折扣率=通用性修正系数+再利用性修正系数+可拆除难度修正系数+市场状况修正系数+价值量大小修正系数+处置周期修正系数+行业技术更新速度修正系数</w:t>
            </w:r>
          </w:p>
        </w:tc>
      </w:tr>
      <w:tr w:rsidR="005B0E58" w14:paraId="6029C53F" w14:textId="77777777" w:rsidTr="001F5A64">
        <w:trPr>
          <w:trHeight w:val="240"/>
          <w:jc w:val="center"/>
        </w:trPr>
        <w:tc>
          <w:tcPr>
            <w:tcW w:w="1377" w:type="dxa"/>
            <w:shd w:val="clear" w:color="auto" w:fill="FFFFFF" w:themeFill="background1"/>
            <w:vAlign w:val="center"/>
          </w:tcPr>
          <w:p w14:paraId="72FE5575" w14:textId="47E20E77" w:rsidR="005B0E58" w:rsidRDefault="005B0E58" w:rsidP="005B0E58">
            <w:pPr>
              <w:spacing w:line="240" w:lineRule="exact"/>
              <w:rPr>
                <w:rFonts w:ascii="宋体" w:eastAsia="宋体" w:hAnsi="宋体" w:cs="宋体" w:hint="eastAsia"/>
                <w:sz w:val="18"/>
                <w:szCs w:val="18"/>
              </w:rPr>
            </w:pPr>
            <w:r>
              <w:rPr>
                <w:rFonts w:ascii="宋体" w:eastAsia="宋体" w:hAnsi="宋体" w:cs="宋体" w:hint="eastAsia"/>
                <w:sz w:val="18"/>
                <w:szCs w:val="18"/>
              </w:rPr>
              <w:t>房屋建筑物、设备</w:t>
            </w:r>
            <w:r>
              <w:rPr>
                <w:rFonts w:ascii="宋体" w:eastAsia="宋体" w:hAnsi="宋体" w:cs="宋体"/>
                <w:sz w:val="18"/>
                <w:szCs w:val="18"/>
              </w:rPr>
              <w:t>3</w:t>
            </w:r>
          </w:p>
        </w:tc>
        <w:tc>
          <w:tcPr>
            <w:tcW w:w="1489" w:type="dxa"/>
            <w:shd w:val="clear" w:color="auto" w:fill="FFFFFF" w:themeFill="background1"/>
            <w:vAlign w:val="center"/>
          </w:tcPr>
          <w:p w14:paraId="222163F0" w14:textId="77777777" w:rsidR="005B0E58" w:rsidRDefault="005B0E58" w:rsidP="005B0E58">
            <w:pPr>
              <w:spacing w:line="240" w:lineRule="exact"/>
              <w:jc w:val="right"/>
              <w:rPr>
                <w:rFonts w:ascii="宋体" w:eastAsia="宋体" w:hAnsi="宋体" w:cs="宋体" w:hint="eastAsia"/>
                <w:sz w:val="18"/>
                <w:szCs w:val="18"/>
              </w:rPr>
            </w:pPr>
            <w:r>
              <w:rPr>
                <w:rFonts w:ascii="宋体" w:eastAsia="宋体" w:hAnsi="宋体" w:cs="宋体"/>
                <w:sz w:val="18"/>
                <w:szCs w:val="18"/>
              </w:rPr>
              <w:t>733,985.91</w:t>
            </w:r>
          </w:p>
        </w:tc>
        <w:tc>
          <w:tcPr>
            <w:tcW w:w="1418" w:type="dxa"/>
            <w:shd w:val="clear" w:color="auto" w:fill="FFFFFF" w:themeFill="background1"/>
            <w:vAlign w:val="center"/>
          </w:tcPr>
          <w:p w14:paraId="7603C088" w14:textId="77777777" w:rsidR="005B0E58" w:rsidRDefault="005B0E58" w:rsidP="005B0E58">
            <w:pPr>
              <w:spacing w:line="240" w:lineRule="exact"/>
              <w:jc w:val="right"/>
              <w:rPr>
                <w:rFonts w:ascii="宋体" w:eastAsia="宋体" w:hAnsi="宋体" w:cs="宋体" w:hint="eastAsia"/>
                <w:sz w:val="18"/>
                <w:szCs w:val="18"/>
              </w:rPr>
            </w:pPr>
          </w:p>
        </w:tc>
        <w:tc>
          <w:tcPr>
            <w:tcW w:w="1559" w:type="dxa"/>
            <w:shd w:val="clear" w:color="auto" w:fill="FFFFFF" w:themeFill="background1"/>
            <w:vAlign w:val="center"/>
          </w:tcPr>
          <w:p w14:paraId="08FE1327" w14:textId="77777777" w:rsidR="005B0E58" w:rsidRDefault="005B0E58" w:rsidP="005B0E58">
            <w:pPr>
              <w:spacing w:line="240" w:lineRule="exact"/>
              <w:jc w:val="right"/>
              <w:rPr>
                <w:rFonts w:ascii="宋体" w:eastAsia="宋体" w:hAnsi="宋体" w:cs="宋体" w:hint="eastAsia"/>
                <w:sz w:val="18"/>
                <w:szCs w:val="18"/>
              </w:rPr>
            </w:pPr>
            <w:r>
              <w:rPr>
                <w:rFonts w:ascii="宋体" w:eastAsia="宋体" w:hAnsi="宋体" w:cs="宋体"/>
                <w:sz w:val="18"/>
                <w:szCs w:val="18"/>
              </w:rPr>
              <w:t>733,985.91</w:t>
            </w:r>
          </w:p>
        </w:tc>
        <w:tc>
          <w:tcPr>
            <w:tcW w:w="1377" w:type="dxa"/>
            <w:shd w:val="clear" w:color="auto" w:fill="FFFFFF" w:themeFill="background1"/>
            <w:vAlign w:val="center"/>
          </w:tcPr>
          <w:p w14:paraId="16316875" w14:textId="77777777" w:rsidR="005B0E58" w:rsidRDefault="005B0E58" w:rsidP="005B0E58">
            <w:pPr>
              <w:spacing w:line="240" w:lineRule="exact"/>
              <w:rPr>
                <w:rFonts w:ascii="宋体" w:eastAsia="宋体" w:hAnsi="宋体" w:cs="宋体" w:hint="eastAsia"/>
                <w:sz w:val="18"/>
                <w:szCs w:val="18"/>
              </w:rPr>
            </w:pPr>
            <w:r>
              <w:rPr>
                <w:rFonts w:ascii="宋体" w:eastAsia="宋体" w:hAnsi="宋体" w:cs="宋体"/>
                <w:sz w:val="18"/>
                <w:szCs w:val="18"/>
              </w:rPr>
              <w:t>预计无法产生收益，可收回金额为0</w:t>
            </w:r>
          </w:p>
        </w:tc>
        <w:tc>
          <w:tcPr>
            <w:tcW w:w="999" w:type="dxa"/>
            <w:shd w:val="clear" w:color="auto" w:fill="FFFFFF" w:themeFill="background1"/>
            <w:vAlign w:val="center"/>
          </w:tcPr>
          <w:p w14:paraId="00810735" w14:textId="77777777" w:rsidR="005B0E58" w:rsidRDefault="005B0E58" w:rsidP="005B0E58">
            <w:pPr>
              <w:spacing w:line="240" w:lineRule="exact"/>
              <w:rPr>
                <w:rFonts w:ascii="宋体" w:eastAsia="宋体" w:hAnsi="宋体" w:cs="宋体" w:hint="eastAsia"/>
                <w:sz w:val="18"/>
                <w:szCs w:val="18"/>
              </w:rPr>
            </w:pPr>
            <w:r>
              <w:rPr>
                <w:rFonts w:ascii="宋体" w:eastAsia="宋体" w:hAnsi="宋体" w:cs="宋体"/>
                <w:sz w:val="18"/>
                <w:szCs w:val="18"/>
              </w:rPr>
              <w:t>\</w:t>
            </w:r>
          </w:p>
        </w:tc>
        <w:tc>
          <w:tcPr>
            <w:tcW w:w="1755" w:type="dxa"/>
            <w:shd w:val="clear" w:color="auto" w:fill="FFFFFF" w:themeFill="background1"/>
            <w:vAlign w:val="center"/>
          </w:tcPr>
          <w:p w14:paraId="70FE204B" w14:textId="77777777" w:rsidR="005B0E58" w:rsidRDefault="005B0E58" w:rsidP="005B0E58">
            <w:pPr>
              <w:spacing w:line="240" w:lineRule="exact"/>
              <w:rPr>
                <w:rFonts w:ascii="宋体" w:eastAsia="宋体" w:hAnsi="宋体" w:cs="宋体" w:hint="eastAsia"/>
                <w:sz w:val="18"/>
                <w:szCs w:val="18"/>
              </w:rPr>
            </w:pPr>
            <w:r>
              <w:rPr>
                <w:rFonts w:ascii="宋体" w:eastAsia="宋体" w:hAnsi="宋体" w:cs="宋体"/>
                <w:sz w:val="18"/>
                <w:szCs w:val="18"/>
              </w:rPr>
              <w:t>\</w:t>
            </w:r>
          </w:p>
        </w:tc>
      </w:tr>
      <w:tr w:rsidR="00632E5B" w14:paraId="4DDF0383" w14:textId="77777777" w:rsidTr="001F5A64">
        <w:trPr>
          <w:trHeight w:val="240"/>
          <w:jc w:val="center"/>
        </w:trPr>
        <w:tc>
          <w:tcPr>
            <w:tcW w:w="1377" w:type="dxa"/>
            <w:shd w:val="clear" w:color="auto" w:fill="FFFFFF" w:themeFill="background1"/>
            <w:vAlign w:val="center"/>
          </w:tcPr>
          <w:p w14:paraId="3D80EBC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合计</w:t>
            </w:r>
          </w:p>
        </w:tc>
        <w:tc>
          <w:tcPr>
            <w:tcW w:w="1489" w:type="dxa"/>
            <w:shd w:val="clear" w:color="auto" w:fill="FFFFFF" w:themeFill="background1"/>
            <w:vAlign w:val="center"/>
          </w:tcPr>
          <w:p w14:paraId="15E1649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501,924,018.89</w:t>
            </w:r>
          </w:p>
        </w:tc>
        <w:tc>
          <w:tcPr>
            <w:tcW w:w="1418" w:type="dxa"/>
            <w:shd w:val="clear" w:color="auto" w:fill="FFFFFF" w:themeFill="background1"/>
            <w:vAlign w:val="center"/>
          </w:tcPr>
          <w:p w14:paraId="02DBE88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78,124,094.87</w:t>
            </w:r>
          </w:p>
        </w:tc>
        <w:tc>
          <w:tcPr>
            <w:tcW w:w="1559" w:type="dxa"/>
            <w:shd w:val="clear" w:color="auto" w:fill="FFFFFF" w:themeFill="background1"/>
            <w:vAlign w:val="center"/>
          </w:tcPr>
          <w:p w14:paraId="4973E1A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423,799,924.02</w:t>
            </w:r>
          </w:p>
        </w:tc>
        <w:tc>
          <w:tcPr>
            <w:tcW w:w="1377" w:type="dxa"/>
            <w:shd w:val="clear" w:color="auto" w:fill="FFFFFF" w:themeFill="background1"/>
            <w:vAlign w:val="center"/>
          </w:tcPr>
          <w:p w14:paraId="7DA39083" w14:textId="77777777" w:rsidR="00632E5B" w:rsidRDefault="00632E5B"/>
        </w:tc>
        <w:tc>
          <w:tcPr>
            <w:tcW w:w="999" w:type="dxa"/>
            <w:shd w:val="clear" w:color="auto" w:fill="FFFFFF" w:themeFill="background1"/>
            <w:vAlign w:val="center"/>
          </w:tcPr>
          <w:p w14:paraId="06EBFD2F" w14:textId="77777777" w:rsidR="00632E5B" w:rsidRDefault="00632E5B"/>
        </w:tc>
        <w:tc>
          <w:tcPr>
            <w:tcW w:w="1755" w:type="dxa"/>
            <w:shd w:val="clear" w:color="auto" w:fill="FFFFFF" w:themeFill="background1"/>
            <w:vAlign w:val="center"/>
          </w:tcPr>
          <w:p w14:paraId="265CB6D6" w14:textId="77777777" w:rsidR="00632E5B" w:rsidRDefault="00632E5B"/>
        </w:tc>
      </w:tr>
    </w:tbl>
    <w:p w14:paraId="7F969546"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可收回金额按预计未来现金流量的现值确定</w:t>
      </w:r>
    </w:p>
    <w:p w14:paraId="4EE992B8"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0279DA71" w14:textId="77777777" w:rsidR="00C8117C" w:rsidRDefault="00C8117C">
      <w:pPr>
        <w:widowControl/>
        <w:rPr>
          <w:rFonts w:ascii="宋体" w:eastAsia="宋体" w:hAnsi="宋体" w:cs="宋体" w:hint="eastAsia"/>
          <w:sz w:val="18"/>
          <w:szCs w:val="18"/>
        </w:rPr>
      </w:pPr>
      <w:r>
        <w:rPr>
          <w:rFonts w:ascii="宋体" w:eastAsia="宋体" w:hAnsi="宋体" w:cs="宋体"/>
          <w:sz w:val="18"/>
          <w:szCs w:val="18"/>
        </w:rPr>
        <w:br w:type="page"/>
      </w:r>
    </w:p>
    <w:p w14:paraId="71AE7315" w14:textId="6496A662"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lastRenderedPageBreak/>
        <w:t>单位：元</w:t>
      </w:r>
    </w:p>
    <w:tbl>
      <w:tblPr>
        <w:tblW w:w="1048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204"/>
        <w:gridCol w:w="1520"/>
        <w:gridCol w:w="1526"/>
        <w:gridCol w:w="1559"/>
        <w:gridCol w:w="1205"/>
        <w:gridCol w:w="1205"/>
        <w:gridCol w:w="1205"/>
        <w:gridCol w:w="1063"/>
      </w:tblGrid>
      <w:tr w:rsidR="002F5494" w14:paraId="03FBB765" w14:textId="77777777" w:rsidTr="001F5A64">
        <w:trPr>
          <w:trHeight w:val="240"/>
          <w:jc w:val="center"/>
        </w:trPr>
        <w:tc>
          <w:tcPr>
            <w:tcW w:w="1204" w:type="dxa"/>
            <w:shd w:val="clear" w:color="auto" w:fill="FFFFFF" w:themeFill="background1"/>
            <w:vAlign w:val="center"/>
          </w:tcPr>
          <w:p w14:paraId="6F01B92A" w14:textId="77777777" w:rsidR="002F5494" w:rsidRDefault="002F5494" w:rsidP="0011024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520" w:type="dxa"/>
            <w:shd w:val="clear" w:color="auto" w:fill="FFFFFF" w:themeFill="background1"/>
            <w:vAlign w:val="center"/>
          </w:tcPr>
          <w:p w14:paraId="30297692" w14:textId="77777777" w:rsidR="002F5494" w:rsidRDefault="002F5494" w:rsidP="0011024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c>
          <w:tcPr>
            <w:tcW w:w="1526" w:type="dxa"/>
            <w:shd w:val="clear" w:color="auto" w:fill="FFFFFF" w:themeFill="background1"/>
            <w:vAlign w:val="center"/>
          </w:tcPr>
          <w:p w14:paraId="41B691AF" w14:textId="77777777" w:rsidR="002F5494" w:rsidRDefault="002F5494" w:rsidP="0011024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可收回金额</w:t>
            </w:r>
          </w:p>
        </w:tc>
        <w:tc>
          <w:tcPr>
            <w:tcW w:w="1559" w:type="dxa"/>
            <w:shd w:val="clear" w:color="auto" w:fill="FFFFFF" w:themeFill="background1"/>
            <w:vAlign w:val="center"/>
          </w:tcPr>
          <w:p w14:paraId="13FFCDD4" w14:textId="77777777" w:rsidR="002F5494" w:rsidRDefault="002F5494" w:rsidP="0011024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减值金额</w:t>
            </w:r>
          </w:p>
        </w:tc>
        <w:tc>
          <w:tcPr>
            <w:tcW w:w="1205" w:type="dxa"/>
            <w:shd w:val="clear" w:color="auto" w:fill="FFFFFF" w:themeFill="background1"/>
            <w:vAlign w:val="center"/>
          </w:tcPr>
          <w:p w14:paraId="5787FD07" w14:textId="77777777" w:rsidR="002F5494" w:rsidRDefault="002F5494" w:rsidP="0011024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预测期的年限</w:t>
            </w:r>
          </w:p>
        </w:tc>
        <w:tc>
          <w:tcPr>
            <w:tcW w:w="1205" w:type="dxa"/>
            <w:shd w:val="clear" w:color="auto" w:fill="FFFFFF" w:themeFill="background1"/>
            <w:vAlign w:val="center"/>
          </w:tcPr>
          <w:p w14:paraId="1702EC88" w14:textId="77777777" w:rsidR="002F5494" w:rsidRDefault="002F5494" w:rsidP="0011024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预测期的关键参数</w:t>
            </w:r>
          </w:p>
        </w:tc>
        <w:tc>
          <w:tcPr>
            <w:tcW w:w="1205" w:type="dxa"/>
            <w:shd w:val="clear" w:color="auto" w:fill="FFFFFF" w:themeFill="background1"/>
            <w:vAlign w:val="center"/>
          </w:tcPr>
          <w:p w14:paraId="6638E1F7" w14:textId="77777777" w:rsidR="002F5494" w:rsidRDefault="002F5494" w:rsidP="0011024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稳定期的关键参数</w:t>
            </w:r>
          </w:p>
        </w:tc>
        <w:tc>
          <w:tcPr>
            <w:tcW w:w="1063" w:type="dxa"/>
            <w:shd w:val="clear" w:color="auto" w:fill="FFFFFF" w:themeFill="background1"/>
            <w:vAlign w:val="center"/>
          </w:tcPr>
          <w:p w14:paraId="2F41A24A" w14:textId="77777777" w:rsidR="002F5494" w:rsidRDefault="002F5494" w:rsidP="0011024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稳定期的关键参数的确定依据</w:t>
            </w:r>
          </w:p>
        </w:tc>
      </w:tr>
      <w:tr w:rsidR="002F5494" w14:paraId="6E9D1659" w14:textId="77777777" w:rsidTr="001F5A64">
        <w:trPr>
          <w:trHeight w:val="240"/>
          <w:jc w:val="center"/>
        </w:trPr>
        <w:tc>
          <w:tcPr>
            <w:tcW w:w="1204" w:type="dxa"/>
            <w:shd w:val="clear" w:color="auto" w:fill="FFFFFF" w:themeFill="background1"/>
            <w:vAlign w:val="center"/>
          </w:tcPr>
          <w:p w14:paraId="6AB74E3E" w14:textId="77777777" w:rsidR="002F5494" w:rsidRDefault="002F5494" w:rsidP="00110247">
            <w:pPr>
              <w:spacing w:line="240" w:lineRule="exact"/>
              <w:rPr>
                <w:rFonts w:ascii="宋体" w:eastAsia="宋体" w:hAnsi="宋体" w:cs="宋体" w:hint="eastAsia"/>
                <w:sz w:val="18"/>
                <w:szCs w:val="18"/>
              </w:rPr>
            </w:pPr>
            <w:r>
              <w:rPr>
                <w:rFonts w:ascii="宋体" w:eastAsia="宋体" w:hAnsi="宋体" w:cs="宋体" w:hint="eastAsia"/>
                <w:sz w:val="18"/>
                <w:szCs w:val="18"/>
              </w:rPr>
              <w:t>房屋建筑物、设备</w:t>
            </w:r>
            <w:r>
              <w:rPr>
                <w:rFonts w:ascii="宋体" w:eastAsia="宋体" w:hAnsi="宋体" w:cs="宋体"/>
                <w:sz w:val="18"/>
                <w:szCs w:val="18"/>
              </w:rPr>
              <w:t>4（注3）</w:t>
            </w:r>
          </w:p>
        </w:tc>
        <w:tc>
          <w:tcPr>
            <w:tcW w:w="1520" w:type="dxa"/>
            <w:shd w:val="clear" w:color="auto" w:fill="FFFFFF" w:themeFill="background1"/>
            <w:vAlign w:val="center"/>
          </w:tcPr>
          <w:p w14:paraId="15419557" w14:textId="77777777" w:rsidR="002F5494" w:rsidRDefault="002F5494" w:rsidP="00110247">
            <w:pPr>
              <w:spacing w:line="240" w:lineRule="exact"/>
              <w:jc w:val="right"/>
              <w:rPr>
                <w:rFonts w:ascii="宋体" w:eastAsia="宋体" w:hAnsi="宋体" w:cs="宋体" w:hint="eastAsia"/>
                <w:sz w:val="18"/>
                <w:szCs w:val="18"/>
              </w:rPr>
            </w:pPr>
            <w:r>
              <w:rPr>
                <w:rFonts w:ascii="宋体" w:eastAsia="宋体" w:hAnsi="宋体" w:cs="宋体"/>
                <w:sz w:val="18"/>
                <w:szCs w:val="18"/>
              </w:rPr>
              <w:t>212,115,280.76</w:t>
            </w:r>
          </w:p>
        </w:tc>
        <w:tc>
          <w:tcPr>
            <w:tcW w:w="1526" w:type="dxa"/>
            <w:shd w:val="clear" w:color="auto" w:fill="FFFFFF" w:themeFill="background1"/>
            <w:vAlign w:val="center"/>
          </w:tcPr>
          <w:p w14:paraId="100AE4E7" w14:textId="77777777" w:rsidR="002F5494" w:rsidRDefault="002F5494" w:rsidP="00110247">
            <w:pPr>
              <w:spacing w:line="240" w:lineRule="exact"/>
              <w:jc w:val="right"/>
              <w:rPr>
                <w:rFonts w:ascii="宋体" w:eastAsia="宋体" w:hAnsi="宋体" w:cs="宋体" w:hint="eastAsia"/>
                <w:sz w:val="18"/>
                <w:szCs w:val="18"/>
              </w:rPr>
            </w:pPr>
            <w:r>
              <w:rPr>
                <w:rFonts w:ascii="宋体" w:eastAsia="宋体" w:hAnsi="宋体" w:cs="宋体"/>
                <w:sz w:val="18"/>
                <w:szCs w:val="18"/>
              </w:rPr>
              <w:t>85,641,369.46</w:t>
            </w:r>
          </w:p>
        </w:tc>
        <w:tc>
          <w:tcPr>
            <w:tcW w:w="1559" w:type="dxa"/>
            <w:shd w:val="clear" w:color="auto" w:fill="FFFFFF" w:themeFill="background1"/>
            <w:vAlign w:val="center"/>
          </w:tcPr>
          <w:p w14:paraId="0CFC3189" w14:textId="77777777" w:rsidR="002F5494" w:rsidRDefault="002F5494" w:rsidP="00110247">
            <w:pPr>
              <w:spacing w:line="240" w:lineRule="exact"/>
              <w:jc w:val="right"/>
              <w:rPr>
                <w:rFonts w:ascii="宋体" w:eastAsia="宋体" w:hAnsi="宋体" w:cs="宋体" w:hint="eastAsia"/>
                <w:sz w:val="18"/>
                <w:szCs w:val="18"/>
              </w:rPr>
            </w:pPr>
            <w:r>
              <w:rPr>
                <w:rFonts w:ascii="宋体" w:eastAsia="宋体" w:hAnsi="宋体" w:cs="宋体"/>
                <w:sz w:val="18"/>
                <w:szCs w:val="18"/>
              </w:rPr>
              <w:t>126,473,911.30</w:t>
            </w:r>
          </w:p>
        </w:tc>
        <w:tc>
          <w:tcPr>
            <w:tcW w:w="1205" w:type="dxa"/>
            <w:shd w:val="clear" w:color="auto" w:fill="FFFFFF" w:themeFill="background1"/>
            <w:vAlign w:val="center"/>
          </w:tcPr>
          <w:p w14:paraId="4205106A" w14:textId="77777777" w:rsidR="002F5494" w:rsidRDefault="002F5494" w:rsidP="00110247">
            <w:pPr>
              <w:spacing w:line="240" w:lineRule="exact"/>
              <w:rPr>
                <w:rFonts w:ascii="宋体" w:eastAsia="宋体" w:hAnsi="宋体" w:cs="宋体" w:hint="eastAsia"/>
                <w:sz w:val="18"/>
                <w:szCs w:val="18"/>
              </w:rPr>
            </w:pPr>
            <w:r>
              <w:rPr>
                <w:rFonts w:ascii="宋体" w:eastAsia="宋体" w:hAnsi="宋体" w:cs="宋体"/>
                <w:sz w:val="18"/>
                <w:szCs w:val="18"/>
              </w:rPr>
              <w:t>7年</w:t>
            </w:r>
          </w:p>
        </w:tc>
        <w:tc>
          <w:tcPr>
            <w:tcW w:w="1205" w:type="dxa"/>
            <w:shd w:val="clear" w:color="auto" w:fill="FFFFFF" w:themeFill="background1"/>
            <w:vAlign w:val="center"/>
          </w:tcPr>
          <w:p w14:paraId="57537C76" w14:textId="77777777" w:rsidR="002F5494" w:rsidRDefault="002F5494" w:rsidP="00110247">
            <w:pPr>
              <w:spacing w:line="240" w:lineRule="exact"/>
              <w:rPr>
                <w:rFonts w:ascii="宋体" w:eastAsia="宋体" w:hAnsi="宋体" w:cs="宋体" w:hint="eastAsia"/>
                <w:sz w:val="18"/>
                <w:szCs w:val="18"/>
              </w:rPr>
            </w:pPr>
            <w:bookmarkStart w:id="248" w:name="OLE_LINK11"/>
            <w:bookmarkStart w:id="249" w:name="OLE_LINK12"/>
            <w:r w:rsidRPr="00F44E06">
              <w:rPr>
                <w:rFonts w:ascii="宋体" w:eastAsia="宋体" w:hAnsi="宋体" w:cs="宋体" w:hint="eastAsia"/>
                <w:sz w:val="18"/>
                <w:szCs w:val="18"/>
              </w:rPr>
              <w:t>基于该资产组过去的业绩和管理层对市场发展的预期估计</w:t>
            </w:r>
            <w:r>
              <w:rPr>
                <w:rFonts w:ascii="宋体" w:eastAsia="宋体" w:hAnsi="宋体" w:cs="宋体" w:hint="eastAsia"/>
                <w:sz w:val="18"/>
                <w:szCs w:val="18"/>
              </w:rPr>
              <w:t>。</w:t>
            </w:r>
            <w:bookmarkEnd w:id="248"/>
            <w:bookmarkEnd w:id="249"/>
          </w:p>
        </w:tc>
        <w:tc>
          <w:tcPr>
            <w:tcW w:w="1205" w:type="dxa"/>
            <w:shd w:val="clear" w:color="auto" w:fill="FFFFFF" w:themeFill="background1"/>
            <w:vAlign w:val="center"/>
          </w:tcPr>
          <w:p w14:paraId="38DA9F6C" w14:textId="77777777" w:rsidR="002F5494" w:rsidRDefault="002F5494" w:rsidP="00110247">
            <w:pPr>
              <w:spacing w:line="240" w:lineRule="exact"/>
              <w:rPr>
                <w:rFonts w:ascii="宋体" w:eastAsia="宋体" w:hAnsi="宋体" w:cs="宋体" w:hint="eastAsia"/>
                <w:sz w:val="18"/>
                <w:szCs w:val="18"/>
              </w:rPr>
            </w:pPr>
            <w:r>
              <w:rPr>
                <w:rFonts w:ascii="宋体" w:eastAsia="宋体" w:hAnsi="宋体" w:cs="宋体"/>
                <w:sz w:val="18"/>
                <w:szCs w:val="18"/>
              </w:rPr>
              <w:t>稳定期增长率为零</w:t>
            </w:r>
          </w:p>
        </w:tc>
        <w:tc>
          <w:tcPr>
            <w:tcW w:w="1063" w:type="dxa"/>
            <w:shd w:val="clear" w:color="auto" w:fill="FFFFFF" w:themeFill="background1"/>
            <w:vAlign w:val="center"/>
          </w:tcPr>
          <w:p w14:paraId="3622C2EF" w14:textId="77777777" w:rsidR="002F5494" w:rsidRDefault="002F5494" w:rsidP="00110247">
            <w:pPr>
              <w:spacing w:line="240" w:lineRule="exact"/>
              <w:rPr>
                <w:rFonts w:ascii="宋体" w:eastAsia="宋体" w:hAnsi="宋体" w:cs="宋体" w:hint="eastAsia"/>
                <w:sz w:val="18"/>
                <w:szCs w:val="18"/>
              </w:rPr>
            </w:pPr>
            <w:r>
              <w:rPr>
                <w:rFonts w:ascii="宋体" w:eastAsia="宋体" w:hAnsi="宋体" w:cs="宋体"/>
                <w:sz w:val="18"/>
                <w:szCs w:val="18"/>
              </w:rPr>
              <w:t>\</w:t>
            </w:r>
          </w:p>
        </w:tc>
      </w:tr>
      <w:tr w:rsidR="002F5494" w14:paraId="78B78B55" w14:textId="77777777" w:rsidTr="001F5A64">
        <w:trPr>
          <w:trHeight w:val="240"/>
          <w:jc w:val="center"/>
        </w:trPr>
        <w:tc>
          <w:tcPr>
            <w:tcW w:w="1204" w:type="dxa"/>
            <w:shd w:val="clear" w:color="auto" w:fill="FFFFFF" w:themeFill="background1"/>
            <w:vAlign w:val="center"/>
          </w:tcPr>
          <w:p w14:paraId="1B6F5822" w14:textId="77777777" w:rsidR="002F5494" w:rsidRDefault="002F5494" w:rsidP="00110247">
            <w:pPr>
              <w:spacing w:line="240" w:lineRule="exact"/>
              <w:rPr>
                <w:rFonts w:ascii="宋体" w:eastAsia="宋体" w:hAnsi="宋体" w:cs="宋体" w:hint="eastAsia"/>
                <w:sz w:val="18"/>
                <w:szCs w:val="18"/>
              </w:rPr>
            </w:pPr>
            <w:r>
              <w:rPr>
                <w:rFonts w:ascii="宋体" w:eastAsia="宋体" w:hAnsi="宋体" w:cs="宋体" w:hint="eastAsia"/>
                <w:sz w:val="18"/>
                <w:szCs w:val="18"/>
              </w:rPr>
              <w:t>整体电站</w:t>
            </w:r>
            <w:r>
              <w:rPr>
                <w:rFonts w:ascii="宋体" w:eastAsia="宋体" w:hAnsi="宋体" w:cs="宋体"/>
                <w:sz w:val="18"/>
                <w:szCs w:val="18"/>
              </w:rPr>
              <w:t>（注3）</w:t>
            </w:r>
          </w:p>
        </w:tc>
        <w:tc>
          <w:tcPr>
            <w:tcW w:w="1520" w:type="dxa"/>
            <w:shd w:val="clear" w:color="auto" w:fill="FFFFFF" w:themeFill="background1"/>
            <w:vAlign w:val="center"/>
          </w:tcPr>
          <w:p w14:paraId="1994D750" w14:textId="77777777" w:rsidR="002F5494" w:rsidRPr="00F44E06" w:rsidRDefault="002F5494" w:rsidP="00110247">
            <w:pPr>
              <w:rPr>
                <w:rFonts w:ascii="宋体" w:eastAsia="宋体" w:hAnsi="宋体" w:cs="宋体" w:hint="eastAsia"/>
                <w:sz w:val="18"/>
                <w:szCs w:val="18"/>
              </w:rPr>
            </w:pPr>
            <w:r w:rsidRPr="00F44E06">
              <w:rPr>
                <w:rFonts w:ascii="宋体" w:eastAsia="宋体" w:hAnsi="宋体" w:cs="宋体"/>
                <w:sz w:val="18"/>
                <w:szCs w:val="18"/>
              </w:rPr>
              <w:t>41,174,042.39</w:t>
            </w:r>
          </w:p>
          <w:p w14:paraId="7E14CC0F" w14:textId="77777777" w:rsidR="002F5494" w:rsidRDefault="002F5494" w:rsidP="00110247">
            <w:pPr>
              <w:spacing w:line="240" w:lineRule="exact"/>
              <w:jc w:val="right"/>
              <w:rPr>
                <w:rFonts w:ascii="宋体" w:eastAsia="宋体" w:hAnsi="宋体" w:cs="宋体" w:hint="eastAsia"/>
                <w:sz w:val="18"/>
                <w:szCs w:val="18"/>
              </w:rPr>
            </w:pPr>
          </w:p>
        </w:tc>
        <w:tc>
          <w:tcPr>
            <w:tcW w:w="1526" w:type="dxa"/>
            <w:shd w:val="clear" w:color="auto" w:fill="FFFFFF" w:themeFill="background1"/>
            <w:vAlign w:val="center"/>
          </w:tcPr>
          <w:p w14:paraId="7EE55DE5" w14:textId="77777777" w:rsidR="002F5494" w:rsidRPr="00F44E06" w:rsidRDefault="002F5494" w:rsidP="00110247">
            <w:pPr>
              <w:rPr>
                <w:rFonts w:ascii="宋体" w:eastAsia="宋体" w:hAnsi="宋体" w:cs="宋体" w:hint="eastAsia"/>
                <w:sz w:val="18"/>
                <w:szCs w:val="18"/>
              </w:rPr>
            </w:pPr>
            <w:r w:rsidRPr="00F44E06">
              <w:rPr>
                <w:rFonts w:ascii="宋体" w:eastAsia="宋体" w:hAnsi="宋体" w:cs="宋体"/>
                <w:sz w:val="18"/>
                <w:szCs w:val="18"/>
              </w:rPr>
              <w:t>28,595,661.35</w:t>
            </w:r>
          </w:p>
          <w:p w14:paraId="40502389" w14:textId="77777777" w:rsidR="002F5494" w:rsidRDefault="002F5494" w:rsidP="00110247">
            <w:pPr>
              <w:spacing w:line="240" w:lineRule="exact"/>
              <w:jc w:val="right"/>
              <w:rPr>
                <w:rFonts w:ascii="宋体" w:eastAsia="宋体" w:hAnsi="宋体" w:cs="宋体" w:hint="eastAsia"/>
                <w:sz w:val="18"/>
                <w:szCs w:val="18"/>
              </w:rPr>
            </w:pPr>
          </w:p>
        </w:tc>
        <w:tc>
          <w:tcPr>
            <w:tcW w:w="1559" w:type="dxa"/>
            <w:shd w:val="clear" w:color="auto" w:fill="FFFFFF" w:themeFill="background1"/>
            <w:vAlign w:val="center"/>
          </w:tcPr>
          <w:p w14:paraId="5D7016A9" w14:textId="77777777" w:rsidR="002F5494" w:rsidRPr="00F44E06" w:rsidRDefault="002F5494" w:rsidP="00110247">
            <w:pPr>
              <w:rPr>
                <w:rFonts w:ascii="宋体" w:eastAsia="宋体" w:hAnsi="宋体" w:cs="宋体" w:hint="eastAsia"/>
                <w:sz w:val="18"/>
                <w:szCs w:val="18"/>
              </w:rPr>
            </w:pPr>
            <w:r w:rsidRPr="00F44E06">
              <w:rPr>
                <w:rFonts w:ascii="宋体" w:eastAsia="宋体" w:hAnsi="宋体" w:cs="宋体"/>
                <w:sz w:val="18"/>
                <w:szCs w:val="18"/>
              </w:rPr>
              <w:t>12,578,381.04</w:t>
            </w:r>
          </w:p>
          <w:p w14:paraId="30222DB5" w14:textId="77777777" w:rsidR="002F5494" w:rsidRDefault="002F5494" w:rsidP="00110247">
            <w:pPr>
              <w:spacing w:line="240" w:lineRule="exact"/>
              <w:jc w:val="right"/>
              <w:rPr>
                <w:rFonts w:ascii="宋体" w:eastAsia="宋体" w:hAnsi="宋体" w:cs="宋体" w:hint="eastAsia"/>
                <w:sz w:val="18"/>
                <w:szCs w:val="18"/>
              </w:rPr>
            </w:pPr>
          </w:p>
        </w:tc>
        <w:tc>
          <w:tcPr>
            <w:tcW w:w="1205" w:type="dxa"/>
            <w:shd w:val="clear" w:color="auto" w:fill="FFFFFF" w:themeFill="background1"/>
            <w:vAlign w:val="center"/>
          </w:tcPr>
          <w:p w14:paraId="2A404A34" w14:textId="77777777" w:rsidR="002F5494" w:rsidRDefault="002F5494" w:rsidP="00110247">
            <w:pPr>
              <w:spacing w:line="240" w:lineRule="exact"/>
              <w:rPr>
                <w:rFonts w:ascii="宋体" w:eastAsia="宋体" w:hAnsi="宋体" w:cs="宋体" w:hint="eastAsia"/>
                <w:sz w:val="18"/>
                <w:szCs w:val="18"/>
              </w:rPr>
            </w:pPr>
            <w:r>
              <w:rPr>
                <w:rFonts w:ascii="宋体" w:eastAsia="宋体" w:hAnsi="宋体" w:cs="宋体"/>
                <w:sz w:val="18"/>
                <w:szCs w:val="18"/>
              </w:rPr>
              <w:t>11~16年</w:t>
            </w:r>
          </w:p>
        </w:tc>
        <w:tc>
          <w:tcPr>
            <w:tcW w:w="1205" w:type="dxa"/>
            <w:shd w:val="clear" w:color="auto" w:fill="FFFFFF" w:themeFill="background1"/>
            <w:vAlign w:val="center"/>
          </w:tcPr>
          <w:p w14:paraId="7F6B715F" w14:textId="77777777" w:rsidR="002F5494" w:rsidRDefault="002F5494" w:rsidP="00110247">
            <w:pPr>
              <w:spacing w:line="240" w:lineRule="exact"/>
              <w:rPr>
                <w:rFonts w:ascii="宋体" w:eastAsia="宋体" w:hAnsi="宋体" w:cs="宋体" w:hint="eastAsia"/>
                <w:sz w:val="18"/>
                <w:szCs w:val="18"/>
              </w:rPr>
            </w:pPr>
            <w:r w:rsidRPr="00F44E06">
              <w:rPr>
                <w:rFonts w:ascii="宋体" w:eastAsia="宋体" w:hAnsi="宋体" w:cs="宋体" w:hint="eastAsia"/>
                <w:sz w:val="18"/>
                <w:szCs w:val="18"/>
              </w:rPr>
              <w:t>基于该资产组过去的业绩和管理层对市场发展的预期估计</w:t>
            </w:r>
            <w:r>
              <w:rPr>
                <w:rFonts w:ascii="宋体" w:eastAsia="宋体" w:hAnsi="宋体" w:cs="宋体" w:hint="eastAsia"/>
                <w:sz w:val="18"/>
                <w:szCs w:val="18"/>
              </w:rPr>
              <w:t>。</w:t>
            </w:r>
          </w:p>
        </w:tc>
        <w:tc>
          <w:tcPr>
            <w:tcW w:w="1205" w:type="dxa"/>
            <w:shd w:val="clear" w:color="auto" w:fill="FFFFFF" w:themeFill="background1"/>
            <w:vAlign w:val="center"/>
          </w:tcPr>
          <w:p w14:paraId="57E94A76" w14:textId="77777777" w:rsidR="002F5494" w:rsidRDefault="002F5494" w:rsidP="00110247">
            <w:pPr>
              <w:spacing w:line="240" w:lineRule="exact"/>
              <w:rPr>
                <w:rFonts w:ascii="宋体" w:eastAsia="宋体" w:hAnsi="宋体" w:cs="宋体" w:hint="eastAsia"/>
                <w:sz w:val="18"/>
                <w:szCs w:val="18"/>
              </w:rPr>
            </w:pPr>
            <w:r>
              <w:rPr>
                <w:rFonts w:ascii="宋体" w:eastAsia="宋体" w:hAnsi="宋体" w:cs="宋体"/>
                <w:sz w:val="18"/>
                <w:szCs w:val="18"/>
              </w:rPr>
              <w:t>稳定期增长率为零</w:t>
            </w:r>
          </w:p>
        </w:tc>
        <w:tc>
          <w:tcPr>
            <w:tcW w:w="1063" w:type="dxa"/>
            <w:shd w:val="clear" w:color="auto" w:fill="FFFFFF" w:themeFill="background1"/>
            <w:vAlign w:val="center"/>
          </w:tcPr>
          <w:p w14:paraId="2BDA81EF" w14:textId="77777777" w:rsidR="002F5494" w:rsidRDefault="002F5494" w:rsidP="00110247">
            <w:pPr>
              <w:spacing w:line="240" w:lineRule="exact"/>
              <w:rPr>
                <w:rFonts w:ascii="宋体" w:eastAsia="宋体" w:hAnsi="宋体" w:cs="宋体" w:hint="eastAsia"/>
                <w:sz w:val="18"/>
                <w:szCs w:val="18"/>
              </w:rPr>
            </w:pPr>
            <w:r>
              <w:rPr>
                <w:rFonts w:ascii="宋体" w:eastAsia="宋体" w:hAnsi="宋体" w:cs="宋体"/>
                <w:sz w:val="18"/>
                <w:szCs w:val="18"/>
              </w:rPr>
              <w:t>\</w:t>
            </w:r>
          </w:p>
        </w:tc>
      </w:tr>
      <w:tr w:rsidR="002F5494" w14:paraId="38257A79" w14:textId="77777777" w:rsidTr="001F5A64">
        <w:trPr>
          <w:trHeight w:val="240"/>
          <w:jc w:val="center"/>
        </w:trPr>
        <w:tc>
          <w:tcPr>
            <w:tcW w:w="1204" w:type="dxa"/>
            <w:shd w:val="clear" w:color="auto" w:fill="FFFFFF" w:themeFill="background1"/>
            <w:vAlign w:val="center"/>
          </w:tcPr>
          <w:p w14:paraId="34693018" w14:textId="77777777" w:rsidR="002F5494" w:rsidRDefault="002F5494" w:rsidP="0011024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合计</w:t>
            </w:r>
          </w:p>
        </w:tc>
        <w:tc>
          <w:tcPr>
            <w:tcW w:w="1520" w:type="dxa"/>
            <w:shd w:val="clear" w:color="auto" w:fill="FFFFFF" w:themeFill="background1"/>
            <w:vAlign w:val="center"/>
          </w:tcPr>
          <w:p w14:paraId="4266D811" w14:textId="77777777" w:rsidR="002F5494" w:rsidRDefault="002F5494" w:rsidP="00110247">
            <w:pPr>
              <w:spacing w:line="240" w:lineRule="exact"/>
              <w:jc w:val="right"/>
              <w:rPr>
                <w:rFonts w:ascii="宋体" w:eastAsia="宋体" w:hAnsi="宋体" w:cs="宋体" w:hint="eastAsia"/>
                <w:sz w:val="18"/>
                <w:szCs w:val="18"/>
              </w:rPr>
            </w:pPr>
            <w:r>
              <w:rPr>
                <w:rFonts w:ascii="宋体" w:eastAsia="宋体" w:hAnsi="宋体" w:cs="宋体"/>
                <w:sz w:val="18"/>
                <w:szCs w:val="18"/>
              </w:rPr>
              <w:t>253,289,323.15</w:t>
            </w:r>
          </w:p>
        </w:tc>
        <w:tc>
          <w:tcPr>
            <w:tcW w:w="1526" w:type="dxa"/>
            <w:shd w:val="clear" w:color="auto" w:fill="FFFFFF" w:themeFill="background1"/>
            <w:vAlign w:val="center"/>
          </w:tcPr>
          <w:p w14:paraId="7E7BEBB9" w14:textId="77777777" w:rsidR="002F5494" w:rsidRDefault="002F5494" w:rsidP="00110247">
            <w:pPr>
              <w:spacing w:line="240" w:lineRule="exact"/>
              <w:jc w:val="right"/>
              <w:rPr>
                <w:rFonts w:ascii="宋体" w:eastAsia="宋体" w:hAnsi="宋体" w:cs="宋体" w:hint="eastAsia"/>
                <w:sz w:val="18"/>
                <w:szCs w:val="18"/>
              </w:rPr>
            </w:pPr>
            <w:r>
              <w:rPr>
                <w:rFonts w:ascii="宋体" w:eastAsia="宋体" w:hAnsi="宋体" w:cs="宋体"/>
                <w:sz w:val="18"/>
                <w:szCs w:val="18"/>
              </w:rPr>
              <w:t>114,237,030.81</w:t>
            </w:r>
          </w:p>
        </w:tc>
        <w:tc>
          <w:tcPr>
            <w:tcW w:w="1559" w:type="dxa"/>
            <w:shd w:val="clear" w:color="auto" w:fill="FFFFFF" w:themeFill="background1"/>
            <w:vAlign w:val="center"/>
          </w:tcPr>
          <w:p w14:paraId="730F1975" w14:textId="77777777" w:rsidR="002F5494" w:rsidRDefault="002F5494" w:rsidP="00110247">
            <w:pPr>
              <w:spacing w:line="240" w:lineRule="exact"/>
              <w:jc w:val="right"/>
              <w:rPr>
                <w:rFonts w:ascii="宋体" w:eastAsia="宋体" w:hAnsi="宋体" w:cs="宋体" w:hint="eastAsia"/>
                <w:sz w:val="18"/>
                <w:szCs w:val="18"/>
              </w:rPr>
            </w:pPr>
            <w:r>
              <w:rPr>
                <w:rFonts w:ascii="宋体" w:eastAsia="宋体" w:hAnsi="宋体" w:cs="宋体"/>
                <w:sz w:val="18"/>
                <w:szCs w:val="18"/>
              </w:rPr>
              <w:t>139,052,292.34</w:t>
            </w:r>
          </w:p>
        </w:tc>
        <w:tc>
          <w:tcPr>
            <w:tcW w:w="1205" w:type="dxa"/>
            <w:shd w:val="clear" w:color="auto" w:fill="FFFFFF" w:themeFill="background1"/>
            <w:vAlign w:val="center"/>
          </w:tcPr>
          <w:p w14:paraId="25508415" w14:textId="77777777" w:rsidR="002F5494" w:rsidRDefault="002F5494" w:rsidP="00110247"/>
        </w:tc>
        <w:tc>
          <w:tcPr>
            <w:tcW w:w="1205" w:type="dxa"/>
            <w:shd w:val="clear" w:color="auto" w:fill="FFFFFF" w:themeFill="background1"/>
            <w:vAlign w:val="center"/>
          </w:tcPr>
          <w:p w14:paraId="1CE7E6BC" w14:textId="77777777" w:rsidR="002F5494" w:rsidRDefault="002F5494" w:rsidP="00110247"/>
        </w:tc>
        <w:tc>
          <w:tcPr>
            <w:tcW w:w="1205" w:type="dxa"/>
            <w:shd w:val="clear" w:color="auto" w:fill="FFFFFF" w:themeFill="background1"/>
            <w:vAlign w:val="center"/>
          </w:tcPr>
          <w:p w14:paraId="078B6A41" w14:textId="77777777" w:rsidR="002F5494" w:rsidRDefault="002F5494" w:rsidP="00110247"/>
        </w:tc>
        <w:tc>
          <w:tcPr>
            <w:tcW w:w="1063" w:type="dxa"/>
            <w:shd w:val="clear" w:color="auto" w:fill="FFFFFF" w:themeFill="background1"/>
            <w:vAlign w:val="center"/>
          </w:tcPr>
          <w:p w14:paraId="0A77FCAF" w14:textId="77777777" w:rsidR="002F5494" w:rsidRDefault="002F5494" w:rsidP="00110247"/>
        </w:tc>
      </w:tr>
    </w:tbl>
    <w:p w14:paraId="0F655A16" w14:textId="66E3A7E0"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其他说明：</w:t>
      </w:r>
    </w:p>
    <w:p w14:paraId="3E3DB4C4" w14:textId="77777777" w:rsidR="00E72F0C" w:rsidRDefault="00107901" w:rsidP="00255FB6">
      <w:pPr>
        <w:pStyle w:val="a3"/>
        <w:spacing w:before="0" w:beforeAutospacing="0" w:after="0" w:afterAutospacing="0"/>
        <w:divId w:val="1534420990"/>
        <w:rPr>
          <w:rFonts w:hint="eastAsia"/>
          <w:sz w:val="18"/>
          <w:szCs w:val="18"/>
        </w:rPr>
      </w:pPr>
      <w:r>
        <w:rPr>
          <w:rFonts w:hint="eastAsia"/>
          <w:sz w:val="18"/>
          <w:szCs w:val="18"/>
        </w:rPr>
        <w:t>注1：资产组按公允价值减去处置费用确认的金额高于按未来现金流量确认的金额，根据熟高原则，可回收金额按公允价值减去处置费用确认。</w:t>
      </w:r>
      <w:r>
        <w:rPr>
          <w:rFonts w:hint="eastAsia"/>
          <w:sz w:val="18"/>
          <w:szCs w:val="18"/>
        </w:rPr>
        <w:br/>
        <w:t>注2：资产组基本处于停工状态，根据企业管理层对于市场的预测，复工时间尚未明确，难以对资产组涉及的相关业务作出可靠的盈利预测，不适宜采用现金流量折现法进行评估，可回收金额按公允价值减去处置费用确认。</w:t>
      </w:r>
      <w:r>
        <w:rPr>
          <w:rFonts w:hint="eastAsia"/>
          <w:sz w:val="18"/>
          <w:szCs w:val="18"/>
        </w:rPr>
        <w:br/>
        <w:t>注3：资产组缺乏或难以取得同行业类似设备资产组的最近交易价格或者结果，基于企业继续保持对设备资产组预计使用安排、经营规划及盈利预测假设相关经营情况，且企业处于行业正常经营管理能力水平，没有市场因素或者其他因素表明市场参与者按照其他方式使用该资产可以实现价值最大化，通常认为资产组的预计未来净现金流量现值与公允价值并不存在明显差异。在考虑资产组处置费用的情况下，资产组的预计未来净现金流量现值通常会大于等于公允价值减去处置费用的净额，因此，按会计准则和评估准则的相关规定，本次采用现金流折现法确定设备资产组预计未来现金流量的现值进而确定设备资产组的可收回金额。</w:t>
      </w:r>
    </w:p>
    <w:p w14:paraId="604C9493" w14:textId="77777777" w:rsidR="00632E5B" w:rsidRDefault="00107901">
      <w:pPr>
        <w:pStyle w:val="3"/>
        <w:spacing w:line="280" w:lineRule="exact"/>
        <w:jc w:val="left"/>
        <w:rPr>
          <w:rFonts w:ascii="宋体" w:hAnsi="宋体" w:cs="宋体" w:hint="eastAsia"/>
          <w:b/>
          <w:bCs/>
        </w:rPr>
      </w:pPr>
      <w:bookmarkStart w:id="250" w:name="_Toc989137"/>
      <w:r>
        <w:rPr>
          <w:rFonts w:ascii="宋体" w:hAnsi="宋体" w:cs="宋体"/>
          <w:b/>
          <w:bCs/>
        </w:rPr>
        <w:t>14、在建工程</w:t>
      </w:r>
      <w:bookmarkEnd w:id="250"/>
    </w:p>
    <w:p w14:paraId="74ECAF47"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5AF3E3C2" w14:textId="77777777" w:rsidTr="001F5A64">
        <w:trPr>
          <w:trHeight w:val="240"/>
        </w:trPr>
        <w:tc>
          <w:tcPr>
            <w:tcW w:w="3213" w:type="dxa"/>
            <w:shd w:val="clear" w:color="auto" w:fill="FFFFFF" w:themeFill="background1"/>
            <w:vAlign w:val="center"/>
          </w:tcPr>
          <w:p w14:paraId="370D3BD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11BE7DE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auto" w:fill="FFFFFF" w:themeFill="background1"/>
            <w:vAlign w:val="center"/>
          </w:tcPr>
          <w:p w14:paraId="53F0E0F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632E5B" w14:paraId="57794953" w14:textId="77777777" w:rsidTr="001F5A64">
        <w:trPr>
          <w:trHeight w:val="240"/>
        </w:trPr>
        <w:tc>
          <w:tcPr>
            <w:tcW w:w="3213" w:type="dxa"/>
            <w:shd w:val="clear" w:color="auto" w:fill="FFFFFF" w:themeFill="background1"/>
            <w:vAlign w:val="center"/>
          </w:tcPr>
          <w:p w14:paraId="59757CDD"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在建工程</w:t>
            </w:r>
          </w:p>
        </w:tc>
        <w:tc>
          <w:tcPr>
            <w:tcW w:w="3213" w:type="dxa"/>
            <w:shd w:val="clear" w:color="auto" w:fill="FFFFFF" w:themeFill="background1"/>
            <w:vAlign w:val="center"/>
          </w:tcPr>
          <w:p w14:paraId="0B44200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217,756,537.37</w:t>
            </w:r>
          </w:p>
        </w:tc>
        <w:tc>
          <w:tcPr>
            <w:tcW w:w="3213" w:type="dxa"/>
            <w:shd w:val="clear" w:color="auto" w:fill="FFFFFF" w:themeFill="background1"/>
            <w:vAlign w:val="center"/>
          </w:tcPr>
          <w:p w14:paraId="4F8C613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646,128,873.74</w:t>
            </w:r>
          </w:p>
        </w:tc>
      </w:tr>
      <w:tr w:rsidR="00632E5B" w14:paraId="0798A8D5" w14:textId="77777777" w:rsidTr="001F5A64">
        <w:trPr>
          <w:trHeight w:val="240"/>
        </w:trPr>
        <w:tc>
          <w:tcPr>
            <w:tcW w:w="3213" w:type="dxa"/>
            <w:shd w:val="clear" w:color="auto" w:fill="FFFFFF" w:themeFill="background1"/>
            <w:vAlign w:val="center"/>
          </w:tcPr>
          <w:p w14:paraId="62FEDBA7"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663D821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217,756,537.37</w:t>
            </w:r>
          </w:p>
        </w:tc>
        <w:tc>
          <w:tcPr>
            <w:tcW w:w="3213" w:type="dxa"/>
            <w:shd w:val="clear" w:color="auto" w:fill="FFFFFF" w:themeFill="background1"/>
            <w:vAlign w:val="center"/>
          </w:tcPr>
          <w:p w14:paraId="60B47FD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646,128,873.74</w:t>
            </w:r>
          </w:p>
        </w:tc>
      </w:tr>
    </w:tbl>
    <w:p w14:paraId="0691AB6E"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251" w:name="_Toc989138"/>
      <w:r>
        <w:rPr>
          <w:rFonts w:ascii="宋体" w:eastAsia="宋体" w:hAnsi="宋体" w:cs="宋体"/>
          <w:b/>
          <w:bCs/>
          <w:szCs w:val="21"/>
        </w:rPr>
        <w:t>（1） 在建工程情况</w:t>
      </w:r>
      <w:bookmarkEnd w:id="251"/>
    </w:p>
    <w:p w14:paraId="1D6A4958" w14:textId="4EB6FC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377"/>
        <w:gridCol w:w="1377"/>
        <w:gridCol w:w="1377"/>
        <w:gridCol w:w="1377"/>
        <w:gridCol w:w="1377"/>
        <w:gridCol w:w="1377"/>
        <w:gridCol w:w="1377"/>
      </w:tblGrid>
      <w:tr w:rsidR="00B53F91" w14:paraId="62B31D62" w14:textId="77777777" w:rsidTr="001F5A64">
        <w:trPr>
          <w:trHeight w:val="240"/>
        </w:trPr>
        <w:tc>
          <w:tcPr>
            <w:tcW w:w="1377" w:type="dxa"/>
            <w:vMerge w:val="restart"/>
            <w:shd w:val="clear" w:color="auto" w:fill="FFFFFF" w:themeFill="background1"/>
            <w:vAlign w:val="center"/>
          </w:tcPr>
          <w:p w14:paraId="4297E3E1" w14:textId="77777777" w:rsidR="00B53F91" w:rsidRDefault="00B53F91" w:rsidP="0011024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4131" w:type="dxa"/>
            <w:gridSpan w:val="3"/>
            <w:shd w:val="clear" w:color="auto" w:fill="FFFFFF" w:themeFill="background1"/>
            <w:vAlign w:val="center"/>
          </w:tcPr>
          <w:p w14:paraId="580E02E2" w14:textId="77777777" w:rsidR="00B53F91" w:rsidRDefault="00B53F91" w:rsidP="0011024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4131" w:type="dxa"/>
            <w:gridSpan w:val="3"/>
            <w:shd w:val="clear" w:color="auto" w:fill="FFFFFF" w:themeFill="background1"/>
            <w:vAlign w:val="center"/>
          </w:tcPr>
          <w:p w14:paraId="2C917145" w14:textId="77777777" w:rsidR="00B53F91" w:rsidRDefault="00B53F91" w:rsidP="0011024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B53F91" w14:paraId="1A6C8DD0" w14:textId="77777777" w:rsidTr="001F5A64">
        <w:trPr>
          <w:trHeight w:val="240"/>
        </w:trPr>
        <w:tc>
          <w:tcPr>
            <w:tcW w:w="1377" w:type="dxa"/>
            <w:vMerge/>
            <w:shd w:val="clear" w:color="auto" w:fill="FFFFFF" w:themeFill="background1"/>
            <w:vAlign w:val="center"/>
          </w:tcPr>
          <w:p w14:paraId="0C7B3716" w14:textId="77777777" w:rsidR="00B53F91" w:rsidRDefault="00B53F91" w:rsidP="00110247"/>
        </w:tc>
        <w:tc>
          <w:tcPr>
            <w:tcW w:w="1377" w:type="dxa"/>
            <w:shd w:val="clear" w:color="auto" w:fill="FFFFFF" w:themeFill="background1"/>
            <w:vAlign w:val="center"/>
          </w:tcPr>
          <w:p w14:paraId="6DFCEB7B" w14:textId="77777777" w:rsidR="00B53F91" w:rsidRDefault="00B53F91" w:rsidP="0011024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377" w:type="dxa"/>
            <w:shd w:val="clear" w:color="auto" w:fill="FFFFFF" w:themeFill="background1"/>
            <w:vAlign w:val="center"/>
          </w:tcPr>
          <w:p w14:paraId="1AE2B922" w14:textId="77777777" w:rsidR="00B53F91" w:rsidRDefault="00B53F91" w:rsidP="0011024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w:t>
            </w:r>
          </w:p>
        </w:tc>
        <w:tc>
          <w:tcPr>
            <w:tcW w:w="1377" w:type="dxa"/>
            <w:shd w:val="clear" w:color="auto" w:fill="FFFFFF" w:themeFill="background1"/>
            <w:vAlign w:val="center"/>
          </w:tcPr>
          <w:p w14:paraId="06E5131D" w14:textId="77777777" w:rsidR="00B53F91" w:rsidRDefault="00B53F91" w:rsidP="0011024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c>
          <w:tcPr>
            <w:tcW w:w="1377" w:type="dxa"/>
            <w:shd w:val="clear" w:color="auto" w:fill="FFFFFF" w:themeFill="background1"/>
            <w:vAlign w:val="center"/>
          </w:tcPr>
          <w:p w14:paraId="1D1AF722" w14:textId="77777777" w:rsidR="00B53F91" w:rsidRDefault="00B53F91" w:rsidP="0011024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377" w:type="dxa"/>
            <w:shd w:val="clear" w:color="auto" w:fill="FFFFFF" w:themeFill="background1"/>
            <w:vAlign w:val="center"/>
          </w:tcPr>
          <w:p w14:paraId="2E87A4A6" w14:textId="77777777" w:rsidR="00B53F91" w:rsidRDefault="00B53F91" w:rsidP="0011024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w:t>
            </w:r>
          </w:p>
        </w:tc>
        <w:tc>
          <w:tcPr>
            <w:tcW w:w="1377" w:type="dxa"/>
            <w:shd w:val="clear" w:color="auto" w:fill="FFFFFF" w:themeFill="background1"/>
            <w:vAlign w:val="center"/>
          </w:tcPr>
          <w:p w14:paraId="24C45138" w14:textId="77777777" w:rsidR="00B53F91" w:rsidRDefault="00B53F91" w:rsidP="0011024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r>
      <w:tr w:rsidR="00B53F91" w14:paraId="26358483" w14:textId="77777777" w:rsidTr="001F5A64">
        <w:trPr>
          <w:trHeight w:val="240"/>
        </w:trPr>
        <w:tc>
          <w:tcPr>
            <w:tcW w:w="1377" w:type="dxa"/>
            <w:shd w:val="clear" w:color="auto" w:fill="FFFFFF" w:themeFill="background1"/>
            <w:vAlign w:val="center"/>
          </w:tcPr>
          <w:p w14:paraId="51892E71" w14:textId="77777777" w:rsidR="00B53F91" w:rsidRDefault="00B53F91" w:rsidP="00110247">
            <w:pPr>
              <w:spacing w:line="240" w:lineRule="exact"/>
              <w:rPr>
                <w:rFonts w:ascii="宋体" w:eastAsia="宋体" w:hAnsi="宋体" w:cs="宋体" w:hint="eastAsia"/>
                <w:sz w:val="18"/>
                <w:szCs w:val="18"/>
              </w:rPr>
            </w:pPr>
            <w:r>
              <w:rPr>
                <w:rFonts w:ascii="宋体" w:eastAsia="宋体" w:hAnsi="宋体" w:cs="宋体"/>
                <w:sz w:val="18"/>
                <w:szCs w:val="18"/>
              </w:rPr>
              <w:t>东北生产基地（二期）</w:t>
            </w:r>
          </w:p>
        </w:tc>
        <w:tc>
          <w:tcPr>
            <w:tcW w:w="1377" w:type="dxa"/>
            <w:shd w:val="clear" w:color="auto" w:fill="FFFFFF" w:themeFill="background1"/>
            <w:vAlign w:val="center"/>
          </w:tcPr>
          <w:p w14:paraId="16C782A4" w14:textId="77777777" w:rsidR="00B53F91" w:rsidRPr="00BF0CD0" w:rsidRDefault="00B53F91" w:rsidP="00110247">
            <w:pPr>
              <w:spacing w:line="240" w:lineRule="exact"/>
              <w:jc w:val="right"/>
              <w:rPr>
                <w:rFonts w:ascii="宋体" w:eastAsia="宋体" w:hAnsi="宋体" w:cs="宋体" w:hint="eastAsia"/>
                <w:sz w:val="15"/>
                <w:szCs w:val="15"/>
              </w:rPr>
            </w:pPr>
            <w:r w:rsidRPr="00BF0CD0">
              <w:rPr>
                <w:rFonts w:ascii="宋体" w:eastAsia="宋体" w:hAnsi="宋体" w:cs="宋体"/>
                <w:sz w:val="15"/>
                <w:szCs w:val="15"/>
              </w:rPr>
              <w:t>22,180,844.34</w:t>
            </w:r>
          </w:p>
        </w:tc>
        <w:tc>
          <w:tcPr>
            <w:tcW w:w="1377" w:type="dxa"/>
            <w:shd w:val="clear" w:color="auto" w:fill="FFFFFF" w:themeFill="background1"/>
            <w:vAlign w:val="center"/>
          </w:tcPr>
          <w:p w14:paraId="7EEB7C08" w14:textId="77777777" w:rsidR="00B53F91" w:rsidRPr="00BF0CD0" w:rsidRDefault="00B53F91" w:rsidP="00110247">
            <w:pPr>
              <w:spacing w:line="240" w:lineRule="exact"/>
              <w:jc w:val="right"/>
              <w:rPr>
                <w:rFonts w:ascii="宋体" w:eastAsia="宋体" w:hAnsi="宋体" w:cs="宋体" w:hint="eastAsia"/>
                <w:sz w:val="15"/>
                <w:szCs w:val="15"/>
              </w:rPr>
            </w:pPr>
            <w:r w:rsidRPr="00BF0CD0">
              <w:rPr>
                <w:rFonts w:ascii="宋体" w:eastAsia="宋体" w:hAnsi="宋体" w:cs="宋体"/>
                <w:sz w:val="15"/>
                <w:szCs w:val="15"/>
              </w:rPr>
              <w:t>22,180,844.34</w:t>
            </w:r>
          </w:p>
        </w:tc>
        <w:tc>
          <w:tcPr>
            <w:tcW w:w="1377" w:type="dxa"/>
            <w:shd w:val="clear" w:color="auto" w:fill="FFFFFF" w:themeFill="background1"/>
            <w:vAlign w:val="center"/>
          </w:tcPr>
          <w:p w14:paraId="2B02306D" w14:textId="77777777" w:rsidR="00B53F91" w:rsidRPr="00BF0CD0" w:rsidRDefault="00B53F91" w:rsidP="00110247">
            <w:pPr>
              <w:spacing w:line="240" w:lineRule="exact"/>
              <w:jc w:val="right"/>
              <w:rPr>
                <w:rFonts w:ascii="宋体" w:eastAsia="宋体" w:hAnsi="宋体" w:cs="宋体" w:hint="eastAsia"/>
                <w:sz w:val="15"/>
                <w:szCs w:val="15"/>
              </w:rPr>
            </w:pPr>
            <w:r w:rsidRPr="00BF0CD0">
              <w:rPr>
                <w:rFonts w:ascii="宋体" w:eastAsia="宋体" w:hAnsi="宋体" w:cs="宋体"/>
                <w:sz w:val="15"/>
                <w:szCs w:val="15"/>
              </w:rPr>
              <w:t>0.00</w:t>
            </w:r>
          </w:p>
        </w:tc>
        <w:tc>
          <w:tcPr>
            <w:tcW w:w="1377" w:type="dxa"/>
            <w:shd w:val="clear" w:color="auto" w:fill="FFFFFF" w:themeFill="background1"/>
            <w:vAlign w:val="center"/>
          </w:tcPr>
          <w:p w14:paraId="0E088045" w14:textId="77777777" w:rsidR="00B53F91" w:rsidRPr="00BF0CD0" w:rsidRDefault="00B53F91" w:rsidP="00110247">
            <w:pPr>
              <w:spacing w:line="240" w:lineRule="exact"/>
              <w:jc w:val="right"/>
              <w:rPr>
                <w:rFonts w:ascii="宋体" w:eastAsia="宋体" w:hAnsi="宋体" w:cs="宋体" w:hint="eastAsia"/>
                <w:sz w:val="15"/>
                <w:szCs w:val="15"/>
              </w:rPr>
            </w:pPr>
            <w:r w:rsidRPr="00BF0CD0">
              <w:rPr>
                <w:rFonts w:ascii="宋体" w:eastAsia="宋体" w:hAnsi="宋体" w:cs="宋体"/>
                <w:sz w:val="15"/>
                <w:szCs w:val="15"/>
              </w:rPr>
              <w:t>22,653,104.04</w:t>
            </w:r>
          </w:p>
        </w:tc>
        <w:tc>
          <w:tcPr>
            <w:tcW w:w="1377" w:type="dxa"/>
            <w:shd w:val="clear" w:color="auto" w:fill="FFFFFF" w:themeFill="background1"/>
            <w:vAlign w:val="center"/>
          </w:tcPr>
          <w:p w14:paraId="772D9328" w14:textId="77777777" w:rsidR="00B53F91" w:rsidRPr="00BF0CD0" w:rsidRDefault="00B53F91" w:rsidP="00110247">
            <w:pPr>
              <w:spacing w:line="240" w:lineRule="exact"/>
              <w:jc w:val="right"/>
              <w:rPr>
                <w:rFonts w:ascii="宋体" w:eastAsia="宋体" w:hAnsi="宋体" w:cs="宋体" w:hint="eastAsia"/>
                <w:sz w:val="15"/>
                <w:szCs w:val="15"/>
              </w:rPr>
            </w:pPr>
            <w:r w:rsidRPr="00BF0CD0">
              <w:rPr>
                <w:rFonts w:ascii="宋体" w:eastAsia="宋体" w:hAnsi="宋体" w:cs="宋体"/>
                <w:sz w:val="15"/>
                <w:szCs w:val="15"/>
              </w:rPr>
              <w:t>13,548,766.15</w:t>
            </w:r>
          </w:p>
        </w:tc>
        <w:tc>
          <w:tcPr>
            <w:tcW w:w="1377" w:type="dxa"/>
            <w:shd w:val="clear" w:color="auto" w:fill="FFFFFF" w:themeFill="background1"/>
            <w:vAlign w:val="center"/>
          </w:tcPr>
          <w:p w14:paraId="2A73594C" w14:textId="77777777" w:rsidR="00B53F91" w:rsidRPr="00BF0CD0" w:rsidRDefault="00B53F91" w:rsidP="00110247">
            <w:pPr>
              <w:spacing w:line="240" w:lineRule="exact"/>
              <w:jc w:val="right"/>
              <w:rPr>
                <w:rFonts w:ascii="宋体" w:eastAsia="宋体" w:hAnsi="宋体" w:cs="宋体" w:hint="eastAsia"/>
                <w:sz w:val="15"/>
                <w:szCs w:val="15"/>
              </w:rPr>
            </w:pPr>
            <w:r w:rsidRPr="00BF0CD0">
              <w:rPr>
                <w:rFonts w:ascii="宋体" w:eastAsia="宋体" w:hAnsi="宋体" w:cs="宋体"/>
                <w:sz w:val="15"/>
                <w:szCs w:val="15"/>
              </w:rPr>
              <w:t>9,104,337.89</w:t>
            </w:r>
          </w:p>
        </w:tc>
      </w:tr>
      <w:tr w:rsidR="00B53F91" w14:paraId="152F3343" w14:textId="77777777" w:rsidTr="001F5A64">
        <w:trPr>
          <w:trHeight w:val="240"/>
        </w:trPr>
        <w:tc>
          <w:tcPr>
            <w:tcW w:w="1377" w:type="dxa"/>
            <w:shd w:val="clear" w:color="auto" w:fill="FFFFFF" w:themeFill="background1"/>
            <w:vAlign w:val="center"/>
          </w:tcPr>
          <w:p w14:paraId="6E296F80" w14:textId="77777777" w:rsidR="00B53F91" w:rsidRDefault="00B53F91" w:rsidP="00110247">
            <w:pPr>
              <w:spacing w:line="240" w:lineRule="exact"/>
              <w:rPr>
                <w:rFonts w:ascii="宋体" w:eastAsia="宋体" w:hAnsi="宋体" w:cs="宋体" w:hint="eastAsia"/>
                <w:sz w:val="18"/>
                <w:szCs w:val="18"/>
              </w:rPr>
            </w:pPr>
            <w:r>
              <w:rPr>
                <w:rFonts w:ascii="宋体" w:eastAsia="宋体" w:hAnsi="宋体" w:cs="宋体"/>
                <w:sz w:val="18"/>
                <w:szCs w:val="18"/>
              </w:rPr>
              <w:t>青海光纤工程项目三期</w:t>
            </w:r>
          </w:p>
        </w:tc>
        <w:tc>
          <w:tcPr>
            <w:tcW w:w="1377" w:type="dxa"/>
            <w:shd w:val="clear" w:color="auto" w:fill="FFFFFF" w:themeFill="background1"/>
            <w:vAlign w:val="center"/>
          </w:tcPr>
          <w:p w14:paraId="46A78081" w14:textId="77777777" w:rsidR="00B53F91" w:rsidRPr="00BF0CD0" w:rsidRDefault="00B53F91" w:rsidP="00110247">
            <w:pPr>
              <w:spacing w:line="240" w:lineRule="exact"/>
              <w:jc w:val="right"/>
              <w:rPr>
                <w:rFonts w:ascii="宋体" w:eastAsia="宋体" w:hAnsi="宋体" w:cs="宋体" w:hint="eastAsia"/>
                <w:sz w:val="15"/>
                <w:szCs w:val="15"/>
              </w:rPr>
            </w:pPr>
            <w:r w:rsidRPr="00BF0CD0">
              <w:rPr>
                <w:rFonts w:ascii="宋体" w:eastAsia="宋体" w:hAnsi="宋体" w:cs="宋体"/>
                <w:sz w:val="15"/>
                <w:szCs w:val="15"/>
              </w:rPr>
              <w:t>650,986,542.73</w:t>
            </w:r>
          </w:p>
        </w:tc>
        <w:tc>
          <w:tcPr>
            <w:tcW w:w="1377" w:type="dxa"/>
            <w:shd w:val="clear" w:color="auto" w:fill="FFFFFF" w:themeFill="background1"/>
            <w:vAlign w:val="center"/>
          </w:tcPr>
          <w:p w14:paraId="22F9AA35" w14:textId="77777777" w:rsidR="00B53F91" w:rsidRPr="00BF0CD0" w:rsidRDefault="00B53F91" w:rsidP="00110247">
            <w:pPr>
              <w:spacing w:line="240" w:lineRule="exact"/>
              <w:jc w:val="right"/>
              <w:rPr>
                <w:rFonts w:ascii="宋体" w:eastAsia="宋体" w:hAnsi="宋体" w:cs="宋体" w:hint="eastAsia"/>
                <w:sz w:val="15"/>
                <w:szCs w:val="15"/>
              </w:rPr>
            </w:pPr>
            <w:r w:rsidRPr="00BF0CD0">
              <w:rPr>
                <w:rFonts w:ascii="宋体" w:eastAsia="宋体" w:hAnsi="宋体" w:cs="宋体"/>
                <w:sz w:val="15"/>
                <w:szCs w:val="15"/>
              </w:rPr>
              <w:t>438,281,806.31</w:t>
            </w:r>
          </w:p>
        </w:tc>
        <w:tc>
          <w:tcPr>
            <w:tcW w:w="1377" w:type="dxa"/>
            <w:shd w:val="clear" w:color="auto" w:fill="FFFFFF" w:themeFill="background1"/>
            <w:vAlign w:val="center"/>
          </w:tcPr>
          <w:p w14:paraId="5F0388D2" w14:textId="77777777" w:rsidR="00B53F91" w:rsidRPr="00BF0CD0" w:rsidRDefault="00B53F91" w:rsidP="00110247">
            <w:pPr>
              <w:spacing w:line="240" w:lineRule="exact"/>
              <w:jc w:val="right"/>
              <w:rPr>
                <w:rFonts w:ascii="宋体" w:eastAsia="宋体" w:hAnsi="宋体" w:cs="宋体" w:hint="eastAsia"/>
                <w:sz w:val="15"/>
                <w:szCs w:val="15"/>
              </w:rPr>
            </w:pPr>
            <w:r w:rsidRPr="00BF0CD0">
              <w:rPr>
                <w:rFonts w:ascii="宋体" w:eastAsia="宋体" w:hAnsi="宋体" w:cs="宋体"/>
                <w:sz w:val="15"/>
                <w:szCs w:val="15"/>
              </w:rPr>
              <w:t>212,704,736.42</w:t>
            </w:r>
          </w:p>
        </w:tc>
        <w:tc>
          <w:tcPr>
            <w:tcW w:w="1377" w:type="dxa"/>
            <w:shd w:val="clear" w:color="auto" w:fill="FFFFFF" w:themeFill="background1"/>
            <w:vAlign w:val="center"/>
          </w:tcPr>
          <w:p w14:paraId="25A4CAC4" w14:textId="77777777" w:rsidR="00B53F91" w:rsidRPr="00BF0CD0" w:rsidRDefault="00B53F91" w:rsidP="00110247">
            <w:pPr>
              <w:spacing w:line="240" w:lineRule="exact"/>
              <w:jc w:val="right"/>
              <w:rPr>
                <w:rFonts w:ascii="宋体" w:eastAsia="宋体" w:hAnsi="宋体" w:cs="宋体" w:hint="eastAsia"/>
                <w:sz w:val="15"/>
                <w:szCs w:val="15"/>
              </w:rPr>
            </w:pPr>
            <w:r w:rsidRPr="00BF0CD0">
              <w:rPr>
                <w:rFonts w:ascii="宋体" w:eastAsia="宋体" w:hAnsi="宋体" w:cs="宋体"/>
                <w:sz w:val="15"/>
                <w:szCs w:val="15"/>
              </w:rPr>
              <w:t>635,084,293.49</w:t>
            </w:r>
          </w:p>
        </w:tc>
        <w:tc>
          <w:tcPr>
            <w:tcW w:w="1377" w:type="dxa"/>
            <w:shd w:val="clear" w:color="auto" w:fill="FFFFFF" w:themeFill="background1"/>
            <w:vAlign w:val="center"/>
          </w:tcPr>
          <w:p w14:paraId="3E0378F3" w14:textId="77777777" w:rsidR="00B53F91" w:rsidRPr="00BF0CD0" w:rsidRDefault="00B53F91" w:rsidP="00110247">
            <w:pPr>
              <w:spacing w:line="240" w:lineRule="exact"/>
              <w:jc w:val="right"/>
              <w:rPr>
                <w:rFonts w:ascii="宋体" w:eastAsia="宋体" w:hAnsi="宋体" w:cs="宋体" w:hint="eastAsia"/>
                <w:sz w:val="15"/>
                <w:szCs w:val="15"/>
              </w:rPr>
            </w:pPr>
            <w:r w:rsidRPr="00BF0CD0">
              <w:rPr>
                <w:rFonts w:ascii="宋体" w:eastAsia="宋体" w:hAnsi="宋体" w:cs="宋体"/>
                <w:sz w:val="15"/>
                <w:szCs w:val="15"/>
              </w:rPr>
              <w:t>233,494,213.06</w:t>
            </w:r>
          </w:p>
        </w:tc>
        <w:tc>
          <w:tcPr>
            <w:tcW w:w="1377" w:type="dxa"/>
            <w:shd w:val="clear" w:color="auto" w:fill="FFFFFF" w:themeFill="background1"/>
            <w:vAlign w:val="center"/>
          </w:tcPr>
          <w:p w14:paraId="2643E183" w14:textId="77777777" w:rsidR="00B53F91" w:rsidRPr="00BF0CD0" w:rsidRDefault="00B53F91" w:rsidP="00110247">
            <w:pPr>
              <w:spacing w:line="240" w:lineRule="exact"/>
              <w:jc w:val="right"/>
              <w:rPr>
                <w:rFonts w:ascii="宋体" w:eastAsia="宋体" w:hAnsi="宋体" w:cs="宋体" w:hint="eastAsia"/>
                <w:sz w:val="15"/>
                <w:szCs w:val="15"/>
              </w:rPr>
            </w:pPr>
            <w:r w:rsidRPr="00BF0CD0">
              <w:rPr>
                <w:rFonts w:ascii="宋体" w:eastAsia="宋体" w:hAnsi="宋体" w:cs="宋体"/>
                <w:sz w:val="15"/>
                <w:szCs w:val="15"/>
              </w:rPr>
              <w:t>401,590,080.43</w:t>
            </w:r>
          </w:p>
        </w:tc>
      </w:tr>
      <w:tr w:rsidR="00B53F91" w14:paraId="7E2C81B2" w14:textId="77777777" w:rsidTr="001F5A64">
        <w:trPr>
          <w:trHeight w:val="240"/>
        </w:trPr>
        <w:tc>
          <w:tcPr>
            <w:tcW w:w="1377" w:type="dxa"/>
            <w:shd w:val="clear" w:color="auto" w:fill="FFFFFF" w:themeFill="background1"/>
            <w:vAlign w:val="center"/>
          </w:tcPr>
          <w:p w14:paraId="4ECE4E8E" w14:textId="77777777" w:rsidR="00B53F91" w:rsidRDefault="00B53F91" w:rsidP="00110247">
            <w:pPr>
              <w:spacing w:line="240" w:lineRule="exact"/>
              <w:rPr>
                <w:rFonts w:ascii="宋体" w:eastAsia="宋体" w:hAnsi="宋体" w:cs="宋体" w:hint="eastAsia"/>
                <w:sz w:val="18"/>
                <w:szCs w:val="18"/>
              </w:rPr>
            </w:pPr>
            <w:r>
              <w:rPr>
                <w:rFonts w:ascii="宋体" w:eastAsia="宋体" w:hAnsi="宋体" w:cs="宋体"/>
                <w:sz w:val="18"/>
                <w:szCs w:val="18"/>
              </w:rPr>
              <w:t>山东腾晖光电3GW电池项目工程</w:t>
            </w:r>
          </w:p>
        </w:tc>
        <w:tc>
          <w:tcPr>
            <w:tcW w:w="1377" w:type="dxa"/>
            <w:shd w:val="clear" w:color="auto" w:fill="FFFFFF" w:themeFill="background1"/>
            <w:vAlign w:val="center"/>
          </w:tcPr>
          <w:p w14:paraId="5BA886C9" w14:textId="77777777" w:rsidR="00B53F91" w:rsidRPr="00BF0CD0" w:rsidRDefault="00B53F91" w:rsidP="00110247">
            <w:pPr>
              <w:spacing w:line="240" w:lineRule="exact"/>
              <w:jc w:val="right"/>
              <w:rPr>
                <w:rFonts w:ascii="宋体" w:eastAsia="宋体" w:hAnsi="宋体" w:cs="宋体" w:hint="eastAsia"/>
                <w:sz w:val="15"/>
                <w:szCs w:val="15"/>
              </w:rPr>
            </w:pPr>
          </w:p>
        </w:tc>
        <w:tc>
          <w:tcPr>
            <w:tcW w:w="1377" w:type="dxa"/>
            <w:shd w:val="clear" w:color="auto" w:fill="FFFFFF" w:themeFill="background1"/>
            <w:vAlign w:val="center"/>
          </w:tcPr>
          <w:p w14:paraId="6B47A7C1" w14:textId="77777777" w:rsidR="00B53F91" w:rsidRPr="00BF0CD0" w:rsidRDefault="00B53F91" w:rsidP="00110247">
            <w:pPr>
              <w:spacing w:line="240" w:lineRule="exact"/>
              <w:jc w:val="right"/>
              <w:rPr>
                <w:rFonts w:ascii="宋体" w:eastAsia="宋体" w:hAnsi="宋体" w:cs="宋体" w:hint="eastAsia"/>
                <w:sz w:val="15"/>
                <w:szCs w:val="15"/>
              </w:rPr>
            </w:pPr>
          </w:p>
        </w:tc>
        <w:tc>
          <w:tcPr>
            <w:tcW w:w="1377" w:type="dxa"/>
            <w:shd w:val="clear" w:color="auto" w:fill="FFFFFF" w:themeFill="background1"/>
            <w:vAlign w:val="center"/>
          </w:tcPr>
          <w:p w14:paraId="36FB960B" w14:textId="77777777" w:rsidR="00B53F91" w:rsidRPr="00BF0CD0" w:rsidRDefault="00B53F91" w:rsidP="00110247">
            <w:pPr>
              <w:spacing w:line="240" w:lineRule="exact"/>
              <w:jc w:val="right"/>
              <w:rPr>
                <w:rFonts w:ascii="宋体" w:eastAsia="宋体" w:hAnsi="宋体" w:cs="宋体" w:hint="eastAsia"/>
                <w:sz w:val="15"/>
                <w:szCs w:val="15"/>
              </w:rPr>
            </w:pPr>
          </w:p>
        </w:tc>
        <w:tc>
          <w:tcPr>
            <w:tcW w:w="1377" w:type="dxa"/>
            <w:shd w:val="clear" w:color="auto" w:fill="FFFFFF" w:themeFill="background1"/>
            <w:vAlign w:val="center"/>
          </w:tcPr>
          <w:p w14:paraId="6CB7F272" w14:textId="77777777" w:rsidR="00B53F91" w:rsidRPr="00BF0CD0" w:rsidRDefault="00B53F91" w:rsidP="00110247">
            <w:pPr>
              <w:spacing w:line="240" w:lineRule="exact"/>
              <w:jc w:val="right"/>
              <w:rPr>
                <w:rFonts w:ascii="宋体" w:eastAsia="宋体" w:hAnsi="宋体" w:cs="宋体" w:hint="eastAsia"/>
                <w:sz w:val="15"/>
                <w:szCs w:val="15"/>
              </w:rPr>
            </w:pPr>
            <w:r w:rsidRPr="00BF0CD0">
              <w:rPr>
                <w:rFonts w:ascii="宋体" w:eastAsia="宋体" w:hAnsi="宋体" w:cs="宋体"/>
                <w:sz w:val="15"/>
                <w:szCs w:val="15"/>
              </w:rPr>
              <w:t>121,105,313.59</w:t>
            </w:r>
          </w:p>
        </w:tc>
        <w:tc>
          <w:tcPr>
            <w:tcW w:w="1377" w:type="dxa"/>
            <w:shd w:val="clear" w:color="auto" w:fill="FFFFFF" w:themeFill="background1"/>
            <w:vAlign w:val="center"/>
          </w:tcPr>
          <w:p w14:paraId="67DCE012" w14:textId="77777777" w:rsidR="00B53F91" w:rsidRPr="00BF0CD0" w:rsidRDefault="00B53F91" w:rsidP="00110247">
            <w:pPr>
              <w:spacing w:line="240" w:lineRule="exact"/>
              <w:jc w:val="right"/>
              <w:rPr>
                <w:rFonts w:ascii="宋体" w:eastAsia="宋体" w:hAnsi="宋体" w:cs="宋体" w:hint="eastAsia"/>
                <w:sz w:val="15"/>
                <w:szCs w:val="15"/>
              </w:rPr>
            </w:pPr>
          </w:p>
        </w:tc>
        <w:tc>
          <w:tcPr>
            <w:tcW w:w="1377" w:type="dxa"/>
            <w:shd w:val="clear" w:color="auto" w:fill="FFFFFF" w:themeFill="background1"/>
            <w:vAlign w:val="center"/>
          </w:tcPr>
          <w:p w14:paraId="1F8CF8AB" w14:textId="77777777" w:rsidR="00B53F91" w:rsidRPr="00BF0CD0" w:rsidRDefault="00B53F91" w:rsidP="00110247">
            <w:pPr>
              <w:spacing w:line="240" w:lineRule="exact"/>
              <w:jc w:val="right"/>
              <w:rPr>
                <w:rFonts w:ascii="宋体" w:eastAsia="宋体" w:hAnsi="宋体" w:cs="宋体" w:hint="eastAsia"/>
                <w:sz w:val="15"/>
                <w:szCs w:val="15"/>
              </w:rPr>
            </w:pPr>
            <w:r w:rsidRPr="00BF0CD0">
              <w:rPr>
                <w:rFonts w:ascii="宋体" w:eastAsia="宋体" w:hAnsi="宋体" w:cs="宋体"/>
                <w:sz w:val="15"/>
                <w:szCs w:val="15"/>
              </w:rPr>
              <w:t>121,105,313.59</w:t>
            </w:r>
          </w:p>
        </w:tc>
      </w:tr>
      <w:tr w:rsidR="00B53F91" w14:paraId="40161629" w14:textId="77777777" w:rsidTr="001F5A64">
        <w:trPr>
          <w:trHeight w:val="240"/>
        </w:trPr>
        <w:tc>
          <w:tcPr>
            <w:tcW w:w="1377" w:type="dxa"/>
            <w:shd w:val="clear" w:color="auto" w:fill="FFFFFF" w:themeFill="background1"/>
            <w:vAlign w:val="center"/>
          </w:tcPr>
          <w:p w14:paraId="0C78981B" w14:textId="77777777" w:rsidR="00B53F91" w:rsidRDefault="00B53F91" w:rsidP="00110247">
            <w:pPr>
              <w:spacing w:line="240" w:lineRule="exact"/>
              <w:rPr>
                <w:rFonts w:ascii="宋体" w:eastAsia="宋体" w:hAnsi="宋体" w:cs="宋体" w:hint="eastAsia"/>
                <w:sz w:val="18"/>
                <w:szCs w:val="18"/>
              </w:rPr>
            </w:pPr>
            <w:r>
              <w:rPr>
                <w:rFonts w:ascii="宋体" w:eastAsia="宋体" w:hAnsi="宋体" w:cs="宋体"/>
                <w:sz w:val="18"/>
                <w:szCs w:val="18"/>
              </w:rPr>
              <w:lastRenderedPageBreak/>
              <w:t>宿迁腾晖新能源年产12GW光伏组件项目</w:t>
            </w:r>
          </w:p>
        </w:tc>
        <w:tc>
          <w:tcPr>
            <w:tcW w:w="1377" w:type="dxa"/>
            <w:shd w:val="clear" w:color="auto" w:fill="FFFFFF" w:themeFill="background1"/>
            <w:vAlign w:val="center"/>
          </w:tcPr>
          <w:p w14:paraId="097002D4" w14:textId="77777777" w:rsidR="00B53F91" w:rsidRPr="00BF0CD0" w:rsidRDefault="00B53F91" w:rsidP="00110247">
            <w:pPr>
              <w:spacing w:line="240" w:lineRule="exact"/>
              <w:jc w:val="right"/>
              <w:rPr>
                <w:rFonts w:ascii="宋体" w:eastAsia="宋体" w:hAnsi="宋体" w:cs="宋体" w:hint="eastAsia"/>
                <w:sz w:val="15"/>
                <w:szCs w:val="15"/>
              </w:rPr>
            </w:pPr>
          </w:p>
        </w:tc>
        <w:tc>
          <w:tcPr>
            <w:tcW w:w="1377" w:type="dxa"/>
            <w:shd w:val="clear" w:color="auto" w:fill="FFFFFF" w:themeFill="background1"/>
            <w:vAlign w:val="center"/>
          </w:tcPr>
          <w:p w14:paraId="29292947" w14:textId="77777777" w:rsidR="00B53F91" w:rsidRPr="00BF0CD0" w:rsidRDefault="00B53F91" w:rsidP="00110247">
            <w:pPr>
              <w:spacing w:line="240" w:lineRule="exact"/>
              <w:jc w:val="right"/>
              <w:rPr>
                <w:rFonts w:ascii="宋体" w:eastAsia="宋体" w:hAnsi="宋体" w:cs="宋体" w:hint="eastAsia"/>
                <w:sz w:val="15"/>
                <w:szCs w:val="15"/>
              </w:rPr>
            </w:pPr>
          </w:p>
        </w:tc>
        <w:tc>
          <w:tcPr>
            <w:tcW w:w="1377" w:type="dxa"/>
            <w:shd w:val="clear" w:color="auto" w:fill="FFFFFF" w:themeFill="background1"/>
            <w:vAlign w:val="center"/>
          </w:tcPr>
          <w:p w14:paraId="2B214D5B" w14:textId="77777777" w:rsidR="00B53F91" w:rsidRPr="00BF0CD0" w:rsidRDefault="00B53F91" w:rsidP="00110247">
            <w:pPr>
              <w:spacing w:line="240" w:lineRule="exact"/>
              <w:jc w:val="right"/>
              <w:rPr>
                <w:rFonts w:ascii="宋体" w:eastAsia="宋体" w:hAnsi="宋体" w:cs="宋体" w:hint="eastAsia"/>
                <w:sz w:val="15"/>
                <w:szCs w:val="15"/>
              </w:rPr>
            </w:pPr>
          </w:p>
        </w:tc>
        <w:tc>
          <w:tcPr>
            <w:tcW w:w="1377" w:type="dxa"/>
            <w:shd w:val="clear" w:color="auto" w:fill="FFFFFF" w:themeFill="background1"/>
            <w:vAlign w:val="center"/>
          </w:tcPr>
          <w:p w14:paraId="37A15741" w14:textId="77777777" w:rsidR="00B53F91" w:rsidRPr="00BF0CD0" w:rsidRDefault="00B53F91" w:rsidP="00110247">
            <w:pPr>
              <w:spacing w:line="240" w:lineRule="exact"/>
              <w:jc w:val="right"/>
              <w:rPr>
                <w:rFonts w:ascii="宋体" w:eastAsia="宋体" w:hAnsi="宋体" w:cs="宋体" w:hint="eastAsia"/>
                <w:sz w:val="15"/>
                <w:szCs w:val="15"/>
              </w:rPr>
            </w:pPr>
            <w:r w:rsidRPr="00BF0CD0">
              <w:rPr>
                <w:rFonts w:ascii="宋体" w:eastAsia="宋体" w:hAnsi="宋体" w:cs="宋体"/>
                <w:sz w:val="15"/>
                <w:szCs w:val="15"/>
              </w:rPr>
              <w:t>18,172,045.80</w:t>
            </w:r>
          </w:p>
        </w:tc>
        <w:tc>
          <w:tcPr>
            <w:tcW w:w="1377" w:type="dxa"/>
            <w:shd w:val="clear" w:color="auto" w:fill="FFFFFF" w:themeFill="background1"/>
            <w:vAlign w:val="center"/>
          </w:tcPr>
          <w:p w14:paraId="439D1F1F" w14:textId="77777777" w:rsidR="00B53F91" w:rsidRPr="00BF0CD0" w:rsidRDefault="00B53F91" w:rsidP="00110247">
            <w:pPr>
              <w:spacing w:line="240" w:lineRule="exact"/>
              <w:jc w:val="right"/>
              <w:rPr>
                <w:rFonts w:ascii="宋体" w:eastAsia="宋体" w:hAnsi="宋体" w:cs="宋体" w:hint="eastAsia"/>
                <w:sz w:val="15"/>
                <w:szCs w:val="15"/>
              </w:rPr>
            </w:pPr>
          </w:p>
        </w:tc>
        <w:tc>
          <w:tcPr>
            <w:tcW w:w="1377" w:type="dxa"/>
            <w:shd w:val="clear" w:color="auto" w:fill="FFFFFF" w:themeFill="background1"/>
            <w:vAlign w:val="center"/>
          </w:tcPr>
          <w:p w14:paraId="7DBFBF2D" w14:textId="77777777" w:rsidR="00B53F91" w:rsidRPr="00BF0CD0" w:rsidRDefault="00B53F91" w:rsidP="00110247">
            <w:pPr>
              <w:spacing w:line="240" w:lineRule="exact"/>
              <w:jc w:val="right"/>
              <w:rPr>
                <w:rFonts w:ascii="宋体" w:eastAsia="宋体" w:hAnsi="宋体" w:cs="宋体" w:hint="eastAsia"/>
                <w:sz w:val="15"/>
                <w:szCs w:val="15"/>
              </w:rPr>
            </w:pPr>
            <w:r w:rsidRPr="00BF0CD0">
              <w:rPr>
                <w:rFonts w:ascii="宋体" w:eastAsia="宋体" w:hAnsi="宋体" w:cs="宋体"/>
                <w:sz w:val="15"/>
                <w:szCs w:val="15"/>
              </w:rPr>
              <w:t>18,172,045.80</w:t>
            </w:r>
          </w:p>
        </w:tc>
      </w:tr>
      <w:tr w:rsidR="00B53F91" w14:paraId="793111C0" w14:textId="77777777" w:rsidTr="001F5A64">
        <w:trPr>
          <w:trHeight w:val="240"/>
        </w:trPr>
        <w:tc>
          <w:tcPr>
            <w:tcW w:w="1377" w:type="dxa"/>
            <w:shd w:val="clear" w:color="auto" w:fill="FFFFFF" w:themeFill="background1"/>
            <w:vAlign w:val="center"/>
          </w:tcPr>
          <w:p w14:paraId="2A5D03A1" w14:textId="77777777" w:rsidR="00B53F91" w:rsidRDefault="00B53F91" w:rsidP="00110247">
            <w:pPr>
              <w:spacing w:line="240" w:lineRule="exact"/>
              <w:rPr>
                <w:rFonts w:ascii="宋体" w:eastAsia="宋体" w:hAnsi="宋体" w:cs="宋体" w:hint="eastAsia"/>
                <w:sz w:val="18"/>
                <w:szCs w:val="18"/>
              </w:rPr>
            </w:pPr>
            <w:r>
              <w:rPr>
                <w:rFonts w:ascii="宋体" w:eastAsia="宋体" w:hAnsi="宋体" w:cs="宋体"/>
                <w:sz w:val="18"/>
                <w:szCs w:val="18"/>
              </w:rPr>
              <w:t>泗阳5GW高效电池项目工程</w:t>
            </w:r>
          </w:p>
        </w:tc>
        <w:tc>
          <w:tcPr>
            <w:tcW w:w="1377" w:type="dxa"/>
            <w:shd w:val="clear" w:color="auto" w:fill="FFFFFF" w:themeFill="background1"/>
            <w:vAlign w:val="center"/>
          </w:tcPr>
          <w:p w14:paraId="4D60FE12" w14:textId="77777777" w:rsidR="00B53F91" w:rsidRPr="00BF0CD0" w:rsidRDefault="00B53F91" w:rsidP="00110247">
            <w:pPr>
              <w:spacing w:line="240" w:lineRule="exact"/>
              <w:jc w:val="right"/>
              <w:rPr>
                <w:rFonts w:ascii="宋体" w:eastAsia="宋体" w:hAnsi="宋体" w:cs="宋体" w:hint="eastAsia"/>
                <w:sz w:val="15"/>
                <w:szCs w:val="15"/>
              </w:rPr>
            </w:pPr>
          </w:p>
        </w:tc>
        <w:tc>
          <w:tcPr>
            <w:tcW w:w="1377" w:type="dxa"/>
            <w:shd w:val="clear" w:color="auto" w:fill="FFFFFF" w:themeFill="background1"/>
            <w:vAlign w:val="center"/>
          </w:tcPr>
          <w:p w14:paraId="1CFFD66D" w14:textId="77777777" w:rsidR="00B53F91" w:rsidRPr="00BF0CD0" w:rsidRDefault="00B53F91" w:rsidP="00110247">
            <w:pPr>
              <w:spacing w:line="240" w:lineRule="exact"/>
              <w:jc w:val="right"/>
              <w:rPr>
                <w:rFonts w:ascii="宋体" w:eastAsia="宋体" w:hAnsi="宋体" w:cs="宋体" w:hint="eastAsia"/>
                <w:sz w:val="15"/>
                <w:szCs w:val="15"/>
              </w:rPr>
            </w:pPr>
          </w:p>
        </w:tc>
        <w:tc>
          <w:tcPr>
            <w:tcW w:w="1377" w:type="dxa"/>
            <w:shd w:val="clear" w:color="auto" w:fill="FFFFFF" w:themeFill="background1"/>
            <w:vAlign w:val="center"/>
          </w:tcPr>
          <w:p w14:paraId="1DD1DDEE" w14:textId="77777777" w:rsidR="00B53F91" w:rsidRPr="00BF0CD0" w:rsidRDefault="00B53F91" w:rsidP="00110247">
            <w:pPr>
              <w:spacing w:line="240" w:lineRule="exact"/>
              <w:jc w:val="right"/>
              <w:rPr>
                <w:rFonts w:ascii="宋体" w:eastAsia="宋体" w:hAnsi="宋体" w:cs="宋体" w:hint="eastAsia"/>
                <w:sz w:val="15"/>
                <w:szCs w:val="15"/>
              </w:rPr>
            </w:pPr>
          </w:p>
        </w:tc>
        <w:tc>
          <w:tcPr>
            <w:tcW w:w="1377" w:type="dxa"/>
            <w:shd w:val="clear" w:color="auto" w:fill="FFFFFF" w:themeFill="background1"/>
            <w:vAlign w:val="center"/>
          </w:tcPr>
          <w:p w14:paraId="173BAE22" w14:textId="77777777" w:rsidR="00B53F91" w:rsidRPr="00BF0CD0" w:rsidRDefault="00B53F91" w:rsidP="00110247">
            <w:pPr>
              <w:spacing w:line="240" w:lineRule="exact"/>
              <w:jc w:val="right"/>
              <w:rPr>
                <w:rFonts w:ascii="宋体" w:eastAsia="宋体" w:hAnsi="宋体" w:cs="宋体" w:hint="eastAsia"/>
                <w:sz w:val="15"/>
                <w:szCs w:val="15"/>
              </w:rPr>
            </w:pPr>
            <w:r w:rsidRPr="00BF0CD0">
              <w:rPr>
                <w:rFonts w:ascii="宋体" w:eastAsia="宋体" w:hAnsi="宋体" w:cs="宋体"/>
                <w:sz w:val="15"/>
                <w:szCs w:val="15"/>
              </w:rPr>
              <w:t>2,139,909.51</w:t>
            </w:r>
          </w:p>
        </w:tc>
        <w:tc>
          <w:tcPr>
            <w:tcW w:w="1377" w:type="dxa"/>
            <w:shd w:val="clear" w:color="auto" w:fill="FFFFFF" w:themeFill="background1"/>
            <w:vAlign w:val="center"/>
          </w:tcPr>
          <w:p w14:paraId="67940A71" w14:textId="77777777" w:rsidR="00B53F91" w:rsidRPr="00BF0CD0" w:rsidRDefault="00B53F91" w:rsidP="00110247">
            <w:pPr>
              <w:spacing w:line="240" w:lineRule="exact"/>
              <w:jc w:val="right"/>
              <w:rPr>
                <w:rFonts w:ascii="宋体" w:eastAsia="宋体" w:hAnsi="宋体" w:cs="宋体" w:hint="eastAsia"/>
                <w:sz w:val="15"/>
                <w:szCs w:val="15"/>
              </w:rPr>
            </w:pPr>
          </w:p>
        </w:tc>
        <w:tc>
          <w:tcPr>
            <w:tcW w:w="1377" w:type="dxa"/>
            <w:shd w:val="clear" w:color="auto" w:fill="FFFFFF" w:themeFill="background1"/>
            <w:vAlign w:val="center"/>
          </w:tcPr>
          <w:p w14:paraId="356184D1" w14:textId="77777777" w:rsidR="00B53F91" w:rsidRPr="00BF0CD0" w:rsidRDefault="00B53F91" w:rsidP="00110247">
            <w:pPr>
              <w:spacing w:line="240" w:lineRule="exact"/>
              <w:jc w:val="right"/>
              <w:rPr>
                <w:rFonts w:ascii="宋体" w:eastAsia="宋体" w:hAnsi="宋体" w:cs="宋体" w:hint="eastAsia"/>
                <w:sz w:val="15"/>
                <w:szCs w:val="15"/>
              </w:rPr>
            </w:pPr>
            <w:r w:rsidRPr="00BF0CD0">
              <w:rPr>
                <w:rFonts w:ascii="宋体" w:eastAsia="宋体" w:hAnsi="宋体" w:cs="宋体"/>
                <w:sz w:val="15"/>
                <w:szCs w:val="15"/>
              </w:rPr>
              <w:t>2,139,909.51</w:t>
            </w:r>
          </w:p>
        </w:tc>
      </w:tr>
      <w:tr w:rsidR="00B53F91" w14:paraId="0F1A02A7" w14:textId="77777777" w:rsidTr="001F5A64">
        <w:trPr>
          <w:trHeight w:val="240"/>
        </w:trPr>
        <w:tc>
          <w:tcPr>
            <w:tcW w:w="1377" w:type="dxa"/>
            <w:shd w:val="clear" w:color="auto" w:fill="FFFFFF" w:themeFill="background1"/>
            <w:vAlign w:val="center"/>
          </w:tcPr>
          <w:p w14:paraId="6A82EC0E" w14:textId="77777777" w:rsidR="00B53F91" w:rsidRDefault="00B53F91" w:rsidP="00110247">
            <w:pPr>
              <w:spacing w:line="240" w:lineRule="exact"/>
              <w:rPr>
                <w:rFonts w:ascii="宋体" w:eastAsia="宋体" w:hAnsi="宋体" w:cs="宋体" w:hint="eastAsia"/>
                <w:sz w:val="18"/>
                <w:szCs w:val="18"/>
              </w:rPr>
            </w:pPr>
            <w:r>
              <w:rPr>
                <w:rFonts w:ascii="宋体" w:eastAsia="宋体" w:hAnsi="宋体" w:cs="宋体"/>
                <w:sz w:val="18"/>
                <w:szCs w:val="18"/>
              </w:rPr>
              <w:t>泗阳腾晖新能源5GW组件项目</w:t>
            </w:r>
          </w:p>
        </w:tc>
        <w:tc>
          <w:tcPr>
            <w:tcW w:w="1377" w:type="dxa"/>
            <w:shd w:val="clear" w:color="auto" w:fill="FFFFFF" w:themeFill="background1"/>
            <w:vAlign w:val="center"/>
          </w:tcPr>
          <w:p w14:paraId="3BA6D849" w14:textId="77777777" w:rsidR="00B53F91" w:rsidRPr="00BF0CD0" w:rsidRDefault="00B53F91" w:rsidP="00110247">
            <w:pPr>
              <w:spacing w:line="240" w:lineRule="exact"/>
              <w:jc w:val="right"/>
              <w:rPr>
                <w:rFonts w:ascii="宋体" w:eastAsia="宋体" w:hAnsi="宋体" w:cs="宋体" w:hint="eastAsia"/>
                <w:sz w:val="15"/>
                <w:szCs w:val="15"/>
              </w:rPr>
            </w:pPr>
          </w:p>
        </w:tc>
        <w:tc>
          <w:tcPr>
            <w:tcW w:w="1377" w:type="dxa"/>
            <w:shd w:val="clear" w:color="auto" w:fill="FFFFFF" w:themeFill="background1"/>
            <w:vAlign w:val="center"/>
          </w:tcPr>
          <w:p w14:paraId="0AC44463" w14:textId="77777777" w:rsidR="00B53F91" w:rsidRPr="00BF0CD0" w:rsidRDefault="00B53F91" w:rsidP="00110247">
            <w:pPr>
              <w:spacing w:line="240" w:lineRule="exact"/>
              <w:jc w:val="right"/>
              <w:rPr>
                <w:rFonts w:ascii="宋体" w:eastAsia="宋体" w:hAnsi="宋体" w:cs="宋体" w:hint="eastAsia"/>
                <w:sz w:val="15"/>
                <w:szCs w:val="15"/>
              </w:rPr>
            </w:pPr>
          </w:p>
        </w:tc>
        <w:tc>
          <w:tcPr>
            <w:tcW w:w="1377" w:type="dxa"/>
            <w:shd w:val="clear" w:color="auto" w:fill="FFFFFF" w:themeFill="background1"/>
            <w:vAlign w:val="center"/>
          </w:tcPr>
          <w:p w14:paraId="2680319B" w14:textId="77777777" w:rsidR="00B53F91" w:rsidRPr="00BF0CD0" w:rsidRDefault="00B53F91" w:rsidP="00110247">
            <w:pPr>
              <w:spacing w:line="240" w:lineRule="exact"/>
              <w:jc w:val="right"/>
              <w:rPr>
                <w:rFonts w:ascii="宋体" w:eastAsia="宋体" w:hAnsi="宋体" w:cs="宋体" w:hint="eastAsia"/>
                <w:sz w:val="15"/>
                <w:szCs w:val="15"/>
              </w:rPr>
            </w:pPr>
          </w:p>
        </w:tc>
        <w:tc>
          <w:tcPr>
            <w:tcW w:w="1377" w:type="dxa"/>
            <w:shd w:val="clear" w:color="auto" w:fill="FFFFFF" w:themeFill="background1"/>
            <w:vAlign w:val="center"/>
          </w:tcPr>
          <w:p w14:paraId="1EFBBE29" w14:textId="77777777" w:rsidR="00B53F91" w:rsidRPr="00BF0CD0" w:rsidRDefault="00B53F91" w:rsidP="00110247">
            <w:pPr>
              <w:spacing w:line="240" w:lineRule="exact"/>
              <w:jc w:val="right"/>
              <w:rPr>
                <w:rFonts w:ascii="宋体" w:eastAsia="宋体" w:hAnsi="宋体" w:cs="宋体" w:hint="eastAsia"/>
                <w:sz w:val="15"/>
                <w:szCs w:val="15"/>
              </w:rPr>
            </w:pPr>
            <w:r w:rsidRPr="00BF0CD0">
              <w:rPr>
                <w:rFonts w:ascii="宋体" w:eastAsia="宋体" w:hAnsi="宋体" w:cs="宋体"/>
                <w:sz w:val="15"/>
                <w:szCs w:val="15"/>
              </w:rPr>
              <w:t>14,536,696.59</w:t>
            </w:r>
          </w:p>
        </w:tc>
        <w:tc>
          <w:tcPr>
            <w:tcW w:w="1377" w:type="dxa"/>
            <w:shd w:val="clear" w:color="auto" w:fill="FFFFFF" w:themeFill="background1"/>
            <w:vAlign w:val="center"/>
          </w:tcPr>
          <w:p w14:paraId="3ABADCDF" w14:textId="77777777" w:rsidR="00B53F91" w:rsidRPr="00BF0CD0" w:rsidRDefault="00B53F91" w:rsidP="00110247">
            <w:pPr>
              <w:spacing w:line="240" w:lineRule="exact"/>
              <w:jc w:val="right"/>
              <w:rPr>
                <w:rFonts w:ascii="宋体" w:eastAsia="宋体" w:hAnsi="宋体" w:cs="宋体" w:hint="eastAsia"/>
                <w:sz w:val="15"/>
                <w:szCs w:val="15"/>
              </w:rPr>
            </w:pPr>
          </w:p>
        </w:tc>
        <w:tc>
          <w:tcPr>
            <w:tcW w:w="1377" w:type="dxa"/>
            <w:shd w:val="clear" w:color="auto" w:fill="FFFFFF" w:themeFill="background1"/>
            <w:vAlign w:val="center"/>
          </w:tcPr>
          <w:p w14:paraId="2DB836C6" w14:textId="77777777" w:rsidR="00B53F91" w:rsidRPr="00BF0CD0" w:rsidRDefault="00B53F91" w:rsidP="00110247">
            <w:pPr>
              <w:spacing w:line="240" w:lineRule="exact"/>
              <w:jc w:val="right"/>
              <w:rPr>
                <w:rFonts w:ascii="宋体" w:eastAsia="宋体" w:hAnsi="宋体" w:cs="宋体" w:hint="eastAsia"/>
                <w:sz w:val="15"/>
                <w:szCs w:val="15"/>
              </w:rPr>
            </w:pPr>
            <w:r w:rsidRPr="00BF0CD0">
              <w:rPr>
                <w:rFonts w:ascii="宋体" w:eastAsia="宋体" w:hAnsi="宋体" w:cs="宋体"/>
                <w:sz w:val="15"/>
                <w:szCs w:val="15"/>
              </w:rPr>
              <w:t>14,536,696.59</w:t>
            </w:r>
          </w:p>
        </w:tc>
      </w:tr>
      <w:tr w:rsidR="00B53F91" w14:paraId="7E27FBA8" w14:textId="77777777" w:rsidTr="001F5A64">
        <w:trPr>
          <w:trHeight w:val="240"/>
        </w:trPr>
        <w:tc>
          <w:tcPr>
            <w:tcW w:w="1377" w:type="dxa"/>
            <w:shd w:val="clear" w:color="auto" w:fill="FFFFFF" w:themeFill="background1"/>
            <w:vAlign w:val="center"/>
          </w:tcPr>
          <w:p w14:paraId="73E48766" w14:textId="77777777" w:rsidR="00B53F91" w:rsidRDefault="00B53F91" w:rsidP="00110247">
            <w:pPr>
              <w:spacing w:line="240" w:lineRule="exact"/>
              <w:rPr>
                <w:rFonts w:ascii="宋体" w:eastAsia="宋体" w:hAnsi="宋体" w:cs="宋体" w:hint="eastAsia"/>
                <w:sz w:val="18"/>
                <w:szCs w:val="18"/>
              </w:rPr>
            </w:pPr>
            <w:r>
              <w:rPr>
                <w:rFonts w:ascii="宋体" w:eastAsia="宋体" w:hAnsi="宋体" w:cs="宋体"/>
                <w:sz w:val="18"/>
                <w:szCs w:val="18"/>
              </w:rPr>
              <w:t>沛县腾晖新能源年产3GW组件生产线建设项目</w:t>
            </w:r>
          </w:p>
        </w:tc>
        <w:tc>
          <w:tcPr>
            <w:tcW w:w="1377" w:type="dxa"/>
            <w:shd w:val="clear" w:color="auto" w:fill="FFFFFF" w:themeFill="background1"/>
            <w:vAlign w:val="center"/>
          </w:tcPr>
          <w:p w14:paraId="212B3FE1" w14:textId="77777777" w:rsidR="00B53F91" w:rsidRPr="00BF0CD0" w:rsidRDefault="00B53F91" w:rsidP="00110247">
            <w:pPr>
              <w:spacing w:line="240" w:lineRule="exact"/>
              <w:jc w:val="right"/>
              <w:rPr>
                <w:rFonts w:ascii="宋体" w:eastAsia="宋体" w:hAnsi="宋体" w:cs="宋体" w:hint="eastAsia"/>
                <w:sz w:val="15"/>
                <w:szCs w:val="15"/>
              </w:rPr>
            </w:pPr>
          </w:p>
        </w:tc>
        <w:tc>
          <w:tcPr>
            <w:tcW w:w="1377" w:type="dxa"/>
            <w:shd w:val="clear" w:color="auto" w:fill="FFFFFF" w:themeFill="background1"/>
            <w:vAlign w:val="center"/>
          </w:tcPr>
          <w:p w14:paraId="133E5CE7" w14:textId="77777777" w:rsidR="00B53F91" w:rsidRPr="00BF0CD0" w:rsidRDefault="00B53F91" w:rsidP="00110247">
            <w:pPr>
              <w:spacing w:line="240" w:lineRule="exact"/>
              <w:jc w:val="right"/>
              <w:rPr>
                <w:rFonts w:ascii="宋体" w:eastAsia="宋体" w:hAnsi="宋体" w:cs="宋体" w:hint="eastAsia"/>
                <w:sz w:val="15"/>
                <w:szCs w:val="15"/>
              </w:rPr>
            </w:pPr>
          </w:p>
        </w:tc>
        <w:tc>
          <w:tcPr>
            <w:tcW w:w="1377" w:type="dxa"/>
            <w:shd w:val="clear" w:color="auto" w:fill="FFFFFF" w:themeFill="background1"/>
            <w:vAlign w:val="center"/>
          </w:tcPr>
          <w:p w14:paraId="5A7ECC4E" w14:textId="77777777" w:rsidR="00B53F91" w:rsidRPr="00BF0CD0" w:rsidRDefault="00B53F91" w:rsidP="00110247">
            <w:pPr>
              <w:spacing w:line="240" w:lineRule="exact"/>
              <w:jc w:val="right"/>
              <w:rPr>
                <w:rFonts w:ascii="宋体" w:eastAsia="宋体" w:hAnsi="宋体" w:cs="宋体" w:hint="eastAsia"/>
                <w:sz w:val="15"/>
                <w:szCs w:val="15"/>
              </w:rPr>
            </w:pPr>
          </w:p>
        </w:tc>
        <w:tc>
          <w:tcPr>
            <w:tcW w:w="1377" w:type="dxa"/>
            <w:shd w:val="clear" w:color="auto" w:fill="FFFFFF" w:themeFill="background1"/>
            <w:vAlign w:val="center"/>
          </w:tcPr>
          <w:p w14:paraId="4D70A3A0" w14:textId="77777777" w:rsidR="00B53F91" w:rsidRPr="00BF0CD0" w:rsidRDefault="00B53F91" w:rsidP="00110247">
            <w:pPr>
              <w:spacing w:line="240" w:lineRule="exact"/>
              <w:jc w:val="right"/>
              <w:rPr>
                <w:rFonts w:ascii="宋体" w:eastAsia="宋体" w:hAnsi="宋体" w:cs="宋体" w:hint="eastAsia"/>
                <w:sz w:val="15"/>
                <w:szCs w:val="15"/>
              </w:rPr>
            </w:pPr>
            <w:r w:rsidRPr="00BF0CD0">
              <w:rPr>
                <w:rFonts w:ascii="宋体" w:eastAsia="宋体" w:hAnsi="宋体" w:cs="宋体"/>
                <w:sz w:val="15"/>
                <w:szCs w:val="15"/>
              </w:rPr>
              <w:t>72,547,395.65</w:t>
            </w:r>
          </w:p>
        </w:tc>
        <w:tc>
          <w:tcPr>
            <w:tcW w:w="1377" w:type="dxa"/>
            <w:shd w:val="clear" w:color="auto" w:fill="FFFFFF" w:themeFill="background1"/>
            <w:vAlign w:val="center"/>
          </w:tcPr>
          <w:p w14:paraId="7542226A" w14:textId="77777777" w:rsidR="00B53F91" w:rsidRPr="00BF0CD0" w:rsidRDefault="00B53F91" w:rsidP="00110247">
            <w:pPr>
              <w:spacing w:line="240" w:lineRule="exact"/>
              <w:jc w:val="right"/>
              <w:rPr>
                <w:rFonts w:ascii="宋体" w:eastAsia="宋体" w:hAnsi="宋体" w:cs="宋体" w:hint="eastAsia"/>
                <w:sz w:val="15"/>
                <w:szCs w:val="15"/>
              </w:rPr>
            </w:pPr>
          </w:p>
        </w:tc>
        <w:tc>
          <w:tcPr>
            <w:tcW w:w="1377" w:type="dxa"/>
            <w:shd w:val="clear" w:color="auto" w:fill="FFFFFF" w:themeFill="background1"/>
            <w:vAlign w:val="center"/>
          </w:tcPr>
          <w:p w14:paraId="052F2EED" w14:textId="77777777" w:rsidR="00B53F91" w:rsidRPr="00BF0CD0" w:rsidRDefault="00B53F91" w:rsidP="00110247">
            <w:pPr>
              <w:spacing w:line="240" w:lineRule="exact"/>
              <w:jc w:val="right"/>
              <w:rPr>
                <w:rFonts w:ascii="宋体" w:eastAsia="宋体" w:hAnsi="宋体" w:cs="宋体" w:hint="eastAsia"/>
                <w:sz w:val="15"/>
                <w:szCs w:val="15"/>
              </w:rPr>
            </w:pPr>
            <w:r w:rsidRPr="00BF0CD0">
              <w:rPr>
                <w:rFonts w:ascii="宋体" w:eastAsia="宋体" w:hAnsi="宋体" w:cs="宋体"/>
                <w:sz w:val="15"/>
                <w:szCs w:val="15"/>
              </w:rPr>
              <w:t>72,547,395.65</w:t>
            </w:r>
          </w:p>
        </w:tc>
      </w:tr>
      <w:tr w:rsidR="00B53F91" w14:paraId="425D06C8" w14:textId="77777777" w:rsidTr="001F5A64">
        <w:trPr>
          <w:trHeight w:val="240"/>
        </w:trPr>
        <w:tc>
          <w:tcPr>
            <w:tcW w:w="1377" w:type="dxa"/>
            <w:shd w:val="clear" w:color="auto" w:fill="FFFFFF" w:themeFill="background1"/>
            <w:vAlign w:val="center"/>
          </w:tcPr>
          <w:p w14:paraId="5EEE59C2" w14:textId="77777777" w:rsidR="00B53F91" w:rsidRDefault="00B53F91" w:rsidP="00110247">
            <w:pPr>
              <w:spacing w:line="240" w:lineRule="exact"/>
              <w:rPr>
                <w:rFonts w:ascii="宋体" w:eastAsia="宋体" w:hAnsi="宋体" w:cs="宋体" w:hint="eastAsia"/>
                <w:sz w:val="18"/>
                <w:szCs w:val="18"/>
              </w:rPr>
            </w:pPr>
            <w:r>
              <w:rPr>
                <w:rFonts w:ascii="宋体" w:eastAsia="宋体" w:hAnsi="宋体" w:cs="宋体"/>
                <w:sz w:val="18"/>
                <w:szCs w:val="18"/>
              </w:rPr>
              <w:t>其他零星</w:t>
            </w:r>
          </w:p>
        </w:tc>
        <w:tc>
          <w:tcPr>
            <w:tcW w:w="1377" w:type="dxa"/>
            <w:shd w:val="clear" w:color="auto" w:fill="FFFFFF" w:themeFill="background1"/>
            <w:vAlign w:val="center"/>
          </w:tcPr>
          <w:p w14:paraId="78F65FE2" w14:textId="77777777" w:rsidR="00B53F91" w:rsidRPr="00BF0CD0" w:rsidRDefault="00B53F91" w:rsidP="00110247">
            <w:pPr>
              <w:spacing w:line="240" w:lineRule="exact"/>
              <w:jc w:val="right"/>
              <w:rPr>
                <w:rFonts w:ascii="宋体" w:eastAsia="宋体" w:hAnsi="宋体" w:cs="宋体" w:hint="eastAsia"/>
                <w:sz w:val="15"/>
                <w:szCs w:val="15"/>
              </w:rPr>
            </w:pPr>
            <w:r w:rsidRPr="00BF0CD0">
              <w:rPr>
                <w:rFonts w:ascii="宋体" w:eastAsia="宋体" w:hAnsi="宋体" w:cs="宋体"/>
                <w:sz w:val="15"/>
                <w:szCs w:val="15"/>
              </w:rPr>
              <w:t>11,017,748.14</w:t>
            </w:r>
          </w:p>
        </w:tc>
        <w:tc>
          <w:tcPr>
            <w:tcW w:w="1377" w:type="dxa"/>
            <w:shd w:val="clear" w:color="auto" w:fill="FFFFFF" w:themeFill="background1"/>
            <w:vAlign w:val="center"/>
          </w:tcPr>
          <w:p w14:paraId="1EC95D56" w14:textId="77777777" w:rsidR="00B53F91" w:rsidRPr="00BF0CD0" w:rsidRDefault="00B53F91" w:rsidP="00110247">
            <w:pPr>
              <w:spacing w:line="240" w:lineRule="exact"/>
              <w:jc w:val="right"/>
              <w:rPr>
                <w:rFonts w:ascii="宋体" w:eastAsia="宋体" w:hAnsi="宋体" w:cs="宋体" w:hint="eastAsia"/>
                <w:sz w:val="15"/>
                <w:szCs w:val="15"/>
              </w:rPr>
            </w:pPr>
            <w:r w:rsidRPr="00BF0CD0">
              <w:rPr>
                <w:rFonts w:ascii="宋体" w:eastAsia="宋体" w:hAnsi="宋体" w:cs="宋体"/>
                <w:sz w:val="15"/>
                <w:szCs w:val="15"/>
              </w:rPr>
              <w:t>5,965,947.19</w:t>
            </w:r>
          </w:p>
        </w:tc>
        <w:tc>
          <w:tcPr>
            <w:tcW w:w="1377" w:type="dxa"/>
            <w:shd w:val="clear" w:color="auto" w:fill="FFFFFF" w:themeFill="background1"/>
            <w:vAlign w:val="center"/>
          </w:tcPr>
          <w:p w14:paraId="2E0E6603" w14:textId="77777777" w:rsidR="00B53F91" w:rsidRPr="00BF0CD0" w:rsidRDefault="00B53F91" w:rsidP="00110247">
            <w:pPr>
              <w:spacing w:line="240" w:lineRule="exact"/>
              <w:jc w:val="right"/>
              <w:rPr>
                <w:rFonts w:ascii="宋体" w:eastAsia="宋体" w:hAnsi="宋体" w:cs="宋体" w:hint="eastAsia"/>
                <w:sz w:val="15"/>
                <w:szCs w:val="15"/>
              </w:rPr>
            </w:pPr>
            <w:r w:rsidRPr="00BF0CD0">
              <w:rPr>
                <w:rFonts w:ascii="宋体" w:eastAsia="宋体" w:hAnsi="宋体" w:cs="宋体"/>
                <w:sz w:val="15"/>
                <w:szCs w:val="15"/>
              </w:rPr>
              <w:t>5,051,800.95</w:t>
            </w:r>
          </w:p>
        </w:tc>
        <w:tc>
          <w:tcPr>
            <w:tcW w:w="1377" w:type="dxa"/>
            <w:shd w:val="clear" w:color="auto" w:fill="FFFFFF" w:themeFill="background1"/>
            <w:vAlign w:val="center"/>
          </w:tcPr>
          <w:p w14:paraId="796C5CA6" w14:textId="77777777" w:rsidR="00B53F91" w:rsidRPr="00BF0CD0" w:rsidRDefault="00B53F91" w:rsidP="00110247">
            <w:pPr>
              <w:spacing w:line="240" w:lineRule="exact"/>
              <w:jc w:val="right"/>
              <w:rPr>
                <w:rFonts w:ascii="宋体" w:eastAsia="宋体" w:hAnsi="宋体" w:cs="宋体" w:hint="eastAsia"/>
                <w:sz w:val="15"/>
                <w:szCs w:val="15"/>
              </w:rPr>
            </w:pPr>
            <w:r w:rsidRPr="00BF0CD0">
              <w:rPr>
                <w:rFonts w:ascii="宋体" w:eastAsia="宋体" w:hAnsi="宋体" w:cs="宋体"/>
                <w:sz w:val="15"/>
                <w:szCs w:val="15"/>
              </w:rPr>
              <w:t>10,505,120.78</w:t>
            </w:r>
          </w:p>
        </w:tc>
        <w:tc>
          <w:tcPr>
            <w:tcW w:w="1377" w:type="dxa"/>
            <w:shd w:val="clear" w:color="auto" w:fill="FFFFFF" w:themeFill="background1"/>
            <w:vAlign w:val="center"/>
          </w:tcPr>
          <w:p w14:paraId="4D2B4B28" w14:textId="77777777" w:rsidR="00B53F91" w:rsidRPr="00BF0CD0" w:rsidRDefault="00B53F91" w:rsidP="00110247">
            <w:pPr>
              <w:spacing w:line="240" w:lineRule="exact"/>
              <w:jc w:val="right"/>
              <w:rPr>
                <w:rFonts w:ascii="宋体" w:eastAsia="宋体" w:hAnsi="宋体" w:cs="宋体" w:hint="eastAsia"/>
                <w:sz w:val="15"/>
                <w:szCs w:val="15"/>
              </w:rPr>
            </w:pPr>
            <w:r w:rsidRPr="00BF0CD0">
              <w:rPr>
                <w:rFonts w:ascii="宋体" w:eastAsia="宋体" w:hAnsi="宋体" w:cs="宋体"/>
                <w:sz w:val="15"/>
                <w:szCs w:val="15"/>
              </w:rPr>
              <w:t>3,572,026.50</w:t>
            </w:r>
          </w:p>
        </w:tc>
        <w:tc>
          <w:tcPr>
            <w:tcW w:w="1377" w:type="dxa"/>
            <w:shd w:val="clear" w:color="auto" w:fill="FFFFFF" w:themeFill="background1"/>
            <w:vAlign w:val="center"/>
          </w:tcPr>
          <w:p w14:paraId="10EF2B4E" w14:textId="77777777" w:rsidR="00B53F91" w:rsidRPr="00BF0CD0" w:rsidRDefault="00B53F91" w:rsidP="00110247">
            <w:pPr>
              <w:spacing w:line="240" w:lineRule="exact"/>
              <w:jc w:val="right"/>
              <w:rPr>
                <w:rFonts w:ascii="宋体" w:eastAsia="宋体" w:hAnsi="宋体" w:cs="宋体" w:hint="eastAsia"/>
                <w:sz w:val="15"/>
                <w:szCs w:val="15"/>
              </w:rPr>
            </w:pPr>
            <w:r w:rsidRPr="00BF0CD0">
              <w:rPr>
                <w:rFonts w:ascii="宋体" w:eastAsia="宋体" w:hAnsi="宋体" w:cs="宋体"/>
                <w:sz w:val="15"/>
                <w:szCs w:val="15"/>
              </w:rPr>
              <w:t>6,933,094.28</w:t>
            </w:r>
          </w:p>
        </w:tc>
      </w:tr>
      <w:tr w:rsidR="00B53F91" w14:paraId="5A749C85" w14:textId="77777777" w:rsidTr="001F5A64">
        <w:trPr>
          <w:trHeight w:val="240"/>
        </w:trPr>
        <w:tc>
          <w:tcPr>
            <w:tcW w:w="1377" w:type="dxa"/>
            <w:shd w:val="clear" w:color="auto" w:fill="FFFFFF" w:themeFill="background1"/>
            <w:vAlign w:val="center"/>
          </w:tcPr>
          <w:p w14:paraId="05DA1062" w14:textId="77777777" w:rsidR="00B53F91" w:rsidRDefault="00B53F91" w:rsidP="00110247">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377" w:type="dxa"/>
            <w:shd w:val="clear" w:color="auto" w:fill="FFFFFF" w:themeFill="background1"/>
            <w:vAlign w:val="center"/>
          </w:tcPr>
          <w:p w14:paraId="19B33E65" w14:textId="77777777" w:rsidR="00B53F91" w:rsidRPr="00BF0CD0" w:rsidRDefault="00B53F91" w:rsidP="00110247">
            <w:pPr>
              <w:spacing w:line="240" w:lineRule="exact"/>
              <w:jc w:val="right"/>
              <w:rPr>
                <w:rFonts w:ascii="宋体" w:eastAsia="宋体" w:hAnsi="宋体" w:cs="宋体" w:hint="eastAsia"/>
                <w:sz w:val="15"/>
                <w:szCs w:val="15"/>
              </w:rPr>
            </w:pPr>
            <w:r w:rsidRPr="00BF0CD0">
              <w:rPr>
                <w:rFonts w:ascii="宋体" w:eastAsia="宋体" w:hAnsi="宋体" w:cs="宋体"/>
                <w:sz w:val="15"/>
                <w:szCs w:val="15"/>
              </w:rPr>
              <w:fldChar w:fldCharType="begin"/>
            </w:r>
            <w:r w:rsidRPr="00BF0CD0">
              <w:rPr>
                <w:rFonts w:ascii="宋体" w:eastAsia="宋体" w:hAnsi="宋体" w:cs="宋体"/>
                <w:sz w:val="15"/>
                <w:szCs w:val="15"/>
              </w:rPr>
              <w:instrText xml:space="preserve"> =SUM(ABOVE) </w:instrText>
            </w:r>
            <w:r w:rsidRPr="00BF0CD0">
              <w:rPr>
                <w:rFonts w:ascii="宋体" w:eastAsia="宋体" w:hAnsi="宋体" w:cs="宋体"/>
                <w:sz w:val="15"/>
                <w:szCs w:val="15"/>
              </w:rPr>
              <w:fldChar w:fldCharType="separate"/>
            </w:r>
            <w:r w:rsidRPr="00BF0CD0">
              <w:rPr>
                <w:rFonts w:ascii="宋体" w:eastAsia="宋体" w:hAnsi="宋体" w:cs="宋体"/>
                <w:noProof/>
                <w:sz w:val="15"/>
                <w:szCs w:val="15"/>
              </w:rPr>
              <w:t>684,185,135.21</w:t>
            </w:r>
            <w:r w:rsidRPr="00BF0CD0">
              <w:rPr>
                <w:rFonts w:ascii="宋体" w:eastAsia="宋体" w:hAnsi="宋体" w:cs="宋体"/>
                <w:sz w:val="15"/>
                <w:szCs w:val="15"/>
              </w:rPr>
              <w:fldChar w:fldCharType="end"/>
            </w:r>
          </w:p>
        </w:tc>
        <w:tc>
          <w:tcPr>
            <w:tcW w:w="1377" w:type="dxa"/>
            <w:shd w:val="clear" w:color="auto" w:fill="FFFFFF" w:themeFill="background1"/>
            <w:vAlign w:val="center"/>
          </w:tcPr>
          <w:p w14:paraId="0C6D646A" w14:textId="77777777" w:rsidR="00B53F91" w:rsidRPr="00BF0CD0" w:rsidRDefault="00B53F91" w:rsidP="00110247">
            <w:pPr>
              <w:spacing w:line="240" w:lineRule="exact"/>
              <w:jc w:val="right"/>
              <w:rPr>
                <w:rFonts w:ascii="宋体" w:eastAsia="宋体" w:hAnsi="宋体" w:cs="宋体" w:hint="eastAsia"/>
                <w:sz w:val="15"/>
                <w:szCs w:val="15"/>
              </w:rPr>
            </w:pPr>
            <w:r w:rsidRPr="00BF0CD0">
              <w:rPr>
                <w:rFonts w:ascii="宋体" w:eastAsia="宋体" w:hAnsi="宋体" w:cs="宋体"/>
                <w:sz w:val="15"/>
                <w:szCs w:val="15"/>
              </w:rPr>
              <w:t>466,428,597.84</w:t>
            </w:r>
          </w:p>
        </w:tc>
        <w:tc>
          <w:tcPr>
            <w:tcW w:w="1377" w:type="dxa"/>
            <w:shd w:val="clear" w:color="auto" w:fill="FFFFFF" w:themeFill="background1"/>
            <w:vAlign w:val="center"/>
          </w:tcPr>
          <w:p w14:paraId="5BB1E111" w14:textId="77777777" w:rsidR="00B53F91" w:rsidRPr="00BF0CD0" w:rsidRDefault="00B53F91" w:rsidP="00110247">
            <w:pPr>
              <w:spacing w:line="240" w:lineRule="exact"/>
              <w:jc w:val="right"/>
              <w:rPr>
                <w:rFonts w:ascii="宋体" w:eastAsia="宋体" w:hAnsi="宋体" w:cs="宋体" w:hint="eastAsia"/>
                <w:sz w:val="15"/>
                <w:szCs w:val="15"/>
              </w:rPr>
            </w:pPr>
            <w:r w:rsidRPr="00BF0CD0">
              <w:rPr>
                <w:rFonts w:ascii="宋体" w:eastAsia="宋体" w:hAnsi="宋体" w:cs="宋体"/>
                <w:sz w:val="15"/>
                <w:szCs w:val="15"/>
              </w:rPr>
              <w:t>217,756,537.37</w:t>
            </w:r>
          </w:p>
        </w:tc>
        <w:tc>
          <w:tcPr>
            <w:tcW w:w="1377" w:type="dxa"/>
            <w:shd w:val="clear" w:color="auto" w:fill="FFFFFF" w:themeFill="background1"/>
            <w:vAlign w:val="center"/>
          </w:tcPr>
          <w:p w14:paraId="5214299C" w14:textId="77777777" w:rsidR="00B53F91" w:rsidRPr="00BF0CD0" w:rsidRDefault="00B53F91" w:rsidP="00110247">
            <w:pPr>
              <w:spacing w:line="240" w:lineRule="exact"/>
              <w:jc w:val="right"/>
              <w:rPr>
                <w:rFonts w:ascii="宋体" w:eastAsia="宋体" w:hAnsi="宋体" w:cs="宋体" w:hint="eastAsia"/>
                <w:sz w:val="15"/>
                <w:szCs w:val="15"/>
              </w:rPr>
            </w:pPr>
            <w:r w:rsidRPr="00BF0CD0">
              <w:rPr>
                <w:rFonts w:ascii="宋体" w:eastAsia="宋体" w:hAnsi="宋体" w:cs="宋体"/>
                <w:sz w:val="15"/>
                <w:szCs w:val="15"/>
              </w:rPr>
              <w:t>896,743,879.45</w:t>
            </w:r>
          </w:p>
        </w:tc>
        <w:tc>
          <w:tcPr>
            <w:tcW w:w="1377" w:type="dxa"/>
            <w:shd w:val="clear" w:color="auto" w:fill="FFFFFF" w:themeFill="background1"/>
            <w:vAlign w:val="center"/>
          </w:tcPr>
          <w:p w14:paraId="6A8D16BE" w14:textId="77777777" w:rsidR="00B53F91" w:rsidRPr="00BF0CD0" w:rsidRDefault="00B53F91" w:rsidP="00110247">
            <w:pPr>
              <w:spacing w:line="240" w:lineRule="exact"/>
              <w:jc w:val="right"/>
              <w:rPr>
                <w:rFonts w:ascii="宋体" w:eastAsia="宋体" w:hAnsi="宋体" w:cs="宋体" w:hint="eastAsia"/>
                <w:sz w:val="15"/>
                <w:szCs w:val="15"/>
              </w:rPr>
            </w:pPr>
            <w:r w:rsidRPr="00BF0CD0">
              <w:rPr>
                <w:rFonts w:ascii="宋体" w:eastAsia="宋体" w:hAnsi="宋体" w:cs="宋体"/>
                <w:sz w:val="15"/>
                <w:szCs w:val="15"/>
              </w:rPr>
              <w:t>250,615,005.71</w:t>
            </w:r>
          </w:p>
        </w:tc>
        <w:tc>
          <w:tcPr>
            <w:tcW w:w="1377" w:type="dxa"/>
            <w:shd w:val="clear" w:color="auto" w:fill="FFFFFF" w:themeFill="background1"/>
            <w:vAlign w:val="center"/>
          </w:tcPr>
          <w:p w14:paraId="41AE6565" w14:textId="77777777" w:rsidR="00B53F91" w:rsidRPr="00BF0CD0" w:rsidRDefault="00B53F91" w:rsidP="00110247">
            <w:pPr>
              <w:spacing w:line="240" w:lineRule="exact"/>
              <w:jc w:val="right"/>
              <w:rPr>
                <w:rFonts w:ascii="宋体" w:eastAsia="宋体" w:hAnsi="宋体" w:cs="宋体" w:hint="eastAsia"/>
                <w:sz w:val="15"/>
                <w:szCs w:val="15"/>
              </w:rPr>
            </w:pPr>
            <w:r w:rsidRPr="00BF0CD0">
              <w:rPr>
                <w:rFonts w:ascii="宋体" w:eastAsia="宋体" w:hAnsi="宋体" w:cs="宋体"/>
                <w:sz w:val="15"/>
                <w:szCs w:val="15"/>
              </w:rPr>
              <w:t>646,128,873.74</w:t>
            </w:r>
          </w:p>
        </w:tc>
      </w:tr>
    </w:tbl>
    <w:p w14:paraId="00D9EEFA" w14:textId="77777777" w:rsidR="001F5A64" w:rsidRDefault="001F5A64">
      <w:pPr>
        <w:keepNext/>
        <w:keepLines/>
        <w:spacing w:before="300" w:after="300" w:line="280" w:lineRule="exact"/>
        <w:outlineLvl w:val="3"/>
        <w:rPr>
          <w:rFonts w:ascii="宋体" w:eastAsia="宋体" w:hAnsi="宋体" w:cs="宋体" w:hint="eastAsia"/>
          <w:b/>
          <w:bCs/>
          <w:szCs w:val="21"/>
        </w:rPr>
        <w:sectPr w:rsidR="001F5A64" w:rsidSect="00E90C20">
          <w:pgSz w:w="11905" w:h="16840"/>
          <w:pgMar w:top="1440" w:right="1134" w:bottom="1440" w:left="1134" w:header="850" w:footer="992" w:gutter="0"/>
          <w:cols w:space="720"/>
          <w:docGrid w:type="linesAndChars" w:linePitch="312"/>
        </w:sectPr>
      </w:pPr>
      <w:bookmarkStart w:id="252" w:name="_Toc989139"/>
    </w:p>
    <w:p w14:paraId="551328C4" w14:textId="77777777" w:rsidR="00632E5B" w:rsidRDefault="00107901">
      <w:pPr>
        <w:keepNext/>
        <w:keepLines/>
        <w:spacing w:before="300" w:after="300" w:line="280" w:lineRule="exact"/>
        <w:outlineLvl w:val="3"/>
        <w:rPr>
          <w:rFonts w:ascii="宋体" w:eastAsia="宋体" w:hAnsi="宋体" w:cs="宋体" w:hint="eastAsia"/>
          <w:b/>
          <w:bCs/>
          <w:szCs w:val="21"/>
        </w:rPr>
      </w:pPr>
      <w:r>
        <w:rPr>
          <w:rFonts w:ascii="宋体" w:eastAsia="宋体" w:hAnsi="宋体" w:cs="宋体"/>
          <w:b/>
          <w:bCs/>
          <w:szCs w:val="21"/>
        </w:rPr>
        <w:lastRenderedPageBreak/>
        <w:t>（2） 重要在建工程项目本期变动情况</w:t>
      </w:r>
      <w:bookmarkEnd w:id="252"/>
    </w:p>
    <w:p w14:paraId="5B0FD280"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399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131"/>
        <w:gridCol w:w="1418"/>
        <w:gridCol w:w="1278"/>
        <w:gridCol w:w="1273"/>
        <w:gridCol w:w="1134"/>
        <w:gridCol w:w="1276"/>
        <w:gridCol w:w="1276"/>
        <w:gridCol w:w="850"/>
        <w:gridCol w:w="676"/>
        <w:gridCol w:w="1199"/>
        <w:gridCol w:w="819"/>
        <w:gridCol w:w="708"/>
        <w:gridCol w:w="958"/>
      </w:tblGrid>
      <w:tr w:rsidR="001F5A64" w:rsidRPr="00040A18" w14:paraId="5627F5FB" w14:textId="77777777" w:rsidTr="001F5A64">
        <w:trPr>
          <w:trHeight w:val="240"/>
        </w:trPr>
        <w:tc>
          <w:tcPr>
            <w:tcW w:w="1131" w:type="dxa"/>
            <w:shd w:val="clear" w:color="auto" w:fill="FFFFFF" w:themeFill="background1"/>
            <w:vAlign w:val="center"/>
          </w:tcPr>
          <w:p w14:paraId="090B568A" w14:textId="77777777" w:rsidR="00632E5B" w:rsidRPr="00040A18" w:rsidRDefault="00107901">
            <w:pPr>
              <w:spacing w:before="40" w:after="40" w:line="240" w:lineRule="exact"/>
              <w:jc w:val="center"/>
              <w:rPr>
                <w:rFonts w:ascii="宋体" w:eastAsia="宋体" w:hAnsi="宋体" w:cs="宋体" w:hint="eastAsia"/>
                <w:sz w:val="15"/>
                <w:szCs w:val="15"/>
              </w:rPr>
            </w:pPr>
            <w:r w:rsidRPr="00040A18">
              <w:rPr>
                <w:rFonts w:ascii="宋体" w:eastAsia="宋体" w:hAnsi="宋体" w:cs="宋体"/>
                <w:sz w:val="15"/>
                <w:szCs w:val="15"/>
              </w:rPr>
              <w:t>项目名称</w:t>
            </w:r>
          </w:p>
        </w:tc>
        <w:tc>
          <w:tcPr>
            <w:tcW w:w="1418" w:type="dxa"/>
            <w:shd w:val="clear" w:color="auto" w:fill="FFFFFF" w:themeFill="background1"/>
            <w:vAlign w:val="center"/>
          </w:tcPr>
          <w:p w14:paraId="13039E0A" w14:textId="77777777" w:rsidR="00632E5B" w:rsidRPr="00040A18" w:rsidRDefault="00107901">
            <w:pPr>
              <w:spacing w:before="40" w:after="40" w:line="240" w:lineRule="exact"/>
              <w:jc w:val="center"/>
              <w:rPr>
                <w:rFonts w:ascii="宋体" w:eastAsia="宋体" w:hAnsi="宋体" w:cs="宋体" w:hint="eastAsia"/>
                <w:sz w:val="15"/>
                <w:szCs w:val="15"/>
              </w:rPr>
            </w:pPr>
            <w:r w:rsidRPr="00040A18">
              <w:rPr>
                <w:rFonts w:ascii="宋体" w:eastAsia="宋体" w:hAnsi="宋体" w:cs="宋体"/>
                <w:sz w:val="15"/>
                <w:szCs w:val="15"/>
              </w:rPr>
              <w:t>预算数</w:t>
            </w:r>
          </w:p>
        </w:tc>
        <w:tc>
          <w:tcPr>
            <w:tcW w:w="1278" w:type="dxa"/>
            <w:shd w:val="clear" w:color="auto" w:fill="FFFFFF" w:themeFill="background1"/>
            <w:vAlign w:val="center"/>
          </w:tcPr>
          <w:p w14:paraId="0CD29810" w14:textId="77777777" w:rsidR="00632E5B" w:rsidRPr="00040A18" w:rsidRDefault="00107901">
            <w:pPr>
              <w:spacing w:before="40" w:after="40" w:line="240" w:lineRule="exact"/>
              <w:jc w:val="center"/>
              <w:rPr>
                <w:rFonts w:ascii="宋体" w:eastAsia="宋体" w:hAnsi="宋体" w:cs="宋体" w:hint="eastAsia"/>
                <w:sz w:val="15"/>
                <w:szCs w:val="15"/>
              </w:rPr>
            </w:pPr>
            <w:r w:rsidRPr="00040A18">
              <w:rPr>
                <w:rFonts w:ascii="宋体" w:eastAsia="宋体" w:hAnsi="宋体" w:cs="宋体"/>
                <w:sz w:val="15"/>
                <w:szCs w:val="15"/>
              </w:rPr>
              <w:t>期初余额</w:t>
            </w:r>
          </w:p>
        </w:tc>
        <w:tc>
          <w:tcPr>
            <w:tcW w:w="1273" w:type="dxa"/>
            <w:shd w:val="clear" w:color="auto" w:fill="FFFFFF" w:themeFill="background1"/>
            <w:vAlign w:val="center"/>
          </w:tcPr>
          <w:p w14:paraId="06205AA8" w14:textId="77777777" w:rsidR="00632E5B" w:rsidRPr="00040A18" w:rsidRDefault="00107901">
            <w:pPr>
              <w:spacing w:before="40" w:after="40" w:line="240" w:lineRule="exact"/>
              <w:jc w:val="center"/>
              <w:rPr>
                <w:rFonts w:ascii="宋体" w:eastAsia="宋体" w:hAnsi="宋体" w:cs="宋体" w:hint="eastAsia"/>
                <w:sz w:val="15"/>
                <w:szCs w:val="15"/>
              </w:rPr>
            </w:pPr>
            <w:r w:rsidRPr="00040A18">
              <w:rPr>
                <w:rFonts w:ascii="宋体" w:eastAsia="宋体" w:hAnsi="宋体" w:cs="宋体"/>
                <w:sz w:val="15"/>
                <w:szCs w:val="15"/>
              </w:rPr>
              <w:t>本期增加金额</w:t>
            </w:r>
          </w:p>
        </w:tc>
        <w:tc>
          <w:tcPr>
            <w:tcW w:w="1134" w:type="dxa"/>
            <w:shd w:val="clear" w:color="auto" w:fill="FFFFFF" w:themeFill="background1"/>
            <w:vAlign w:val="center"/>
          </w:tcPr>
          <w:p w14:paraId="2242A564" w14:textId="77777777" w:rsidR="00632E5B" w:rsidRPr="00040A18" w:rsidRDefault="00107901">
            <w:pPr>
              <w:spacing w:before="40" w:after="40" w:line="240" w:lineRule="exact"/>
              <w:jc w:val="center"/>
              <w:rPr>
                <w:rFonts w:ascii="宋体" w:eastAsia="宋体" w:hAnsi="宋体" w:cs="宋体" w:hint="eastAsia"/>
                <w:sz w:val="15"/>
                <w:szCs w:val="15"/>
              </w:rPr>
            </w:pPr>
            <w:r w:rsidRPr="00040A18">
              <w:rPr>
                <w:rFonts w:ascii="宋体" w:eastAsia="宋体" w:hAnsi="宋体" w:cs="宋体"/>
                <w:sz w:val="15"/>
                <w:szCs w:val="15"/>
              </w:rPr>
              <w:t>本期转入固定资产金额</w:t>
            </w:r>
          </w:p>
        </w:tc>
        <w:tc>
          <w:tcPr>
            <w:tcW w:w="1276" w:type="dxa"/>
            <w:shd w:val="clear" w:color="auto" w:fill="FFFFFF" w:themeFill="background1"/>
            <w:vAlign w:val="center"/>
          </w:tcPr>
          <w:p w14:paraId="71CFB64E" w14:textId="77777777" w:rsidR="00632E5B" w:rsidRPr="00040A18" w:rsidRDefault="00107901">
            <w:pPr>
              <w:spacing w:before="40" w:after="40" w:line="240" w:lineRule="exact"/>
              <w:jc w:val="center"/>
              <w:rPr>
                <w:rFonts w:ascii="宋体" w:eastAsia="宋体" w:hAnsi="宋体" w:cs="宋体" w:hint="eastAsia"/>
                <w:sz w:val="15"/>
                <w:szCs w:val="15"/>
              </w:rPr>
            </w:pPr>
            <w:r w:rsidRPr="00040A18">
              <w:rPr>
                <w:rFonts w:ascii="宋体" w:eastAsia="宋体" w:hAnsi="宋体" w:cs="宋体"/>
                <w:sz w:val="15"/>
                <w:szCs w:val="15"/>
              </w:rPr>
              <w:t>本期其他减少金额</w:t>
            </w:r>
          </w:p>
        </w:tc>
        <w:tc>
          <w:tcPr>
            <w:tcW w:w="1276" w:type="dxa"/>
            <w:shd w:val="clear" w:color="auto" w:fill="FFFFFF" w:themeFill="background1"/>
            <w:vAlign w:val="center"/>
          </w:tcPr>
          <w:p w14:paraId="4891CB64" w14:textId="77777777" w:rsidR="00632E5B" w:rsidRPr="00040A18" w:rsidRDefault="00107901">
            <w:pPr>
              <w:spacing w:before="40" w:after="40" w:line="240" w:lineRule="exact"/>
              <w:jc w:val="center"/>
              <w:rPr>
                <w:rFonts w:ascii="宋体" w:eastAsia="宋体" w:hAnsi="宋体" w:cs="宋体" w:hint="eastAsia"/>
                <w:sz w:val="15"/>
                <w:szCs w:val="15"/>
              </w:rPr>
            </w:pPr>
            <w:r w:rsidRPr="00040A18">
              <w:rPr>
                <w:rFonts w:ascii="宋体" w:eastAsia="宋体" w:hAnsi="宋体" w:cs="宋体"/>
                <w:sz w:val="15"/>
                <w:szCs w:val="15"/>
              </w:rPr>
              <w:t>期末余额</w:t>
            </w:r>
          </w:p>
        </w:tc>
        <w:tc>
          <w:tcPr>
            <w:tcW w:w="850" w:type="dxa"/>
            <w:shd w:val="clear" w:color="auto" w:fill="FFFFFF" w:themeFill="background1"/>
            <w:vAlign w:val="center"/>
          </w:tcPr>
          <w:p w14:paraId="1C349B50" w14:textId="77777777" w:rsidR="00632E5B" w:rsidRPr="00040A18" w:rsidRDefault="00107901">
            <w:pPr>
              <w:spacing w:before="40" w:after="40" w:line="240" w:lineRule="exact"/>
              <w:jc w:val="center"/>
              <w:rPr>
                <w:rFonts w:ascii="宋体" w:eastAsia="宋体" w:hAnsi="宋体" w:cs="宋体" w:hint="eastAsia"/>
                <w:sz w:val="15"/>
                <w:szCs w:val="15"/>
              </w:rPr>
            </w:pPr>
            <w:r w:rsidRPr="00040A18">
              <w:rPr>
                <w:rFonts w:ascii="宋体" w:eastAsia="宋体" w:hAnsi="宋体" w:cs="宋体"/>
                <w:sz w:val="15"/>
                <w:szCs w:val="15"/>
              </w:rPr>
              <w:t>工程累计投入占预算比例</w:t>
            </w:r>
          </w:p>
        </w:tc>
        <w:tc>
          <w:tcPr>
            <w:tcW w:w="676" w:type="dxa"/>
            <w:shd w:val="clear" w:color="auto" w:fill="FFFFFF" w:themeFill="background1"/>
            <w:vAlign w:val="center"/>
          </w:tcPr>
          <w:p w14:paraId="293719B1" w14:textId="77777777" w:rsidR="00632E5B" w:rsidRPr="00040A18" w:rsidRDefault="00107901">
            <w:pPr>
              <w:spacing w:before="40" w:after="40" w:line="240" w:lineRule="exact"/>
              <w:jc w:val="center"/>
              <w:rPr>
                <w:rFonts w:ascii="宋体" w:eastAsia="宋体" w:hAnsi="宋体" w:cs="宋体" w:hint="eastAsia"/>
                <w:sz w:val="15"/>
                <w:szCs w:val="15"/>
              </w:rPr>
            </w:pPr>
            <w:r w:rsidRPr="00040A18">
              <w:rPr>
                <w:rFonts w:ascii="宋体" w:eastAsia="宋体" w:hAnsi="宋体" w:cs="宋体"/>
                <w:sz w:val="15"/>
                <w:szCs w:val="15"/>
              </w:rPr>
              <w:t>工程进度</w:t>
            </w:r>
          </w:p>
        </w:tc>
        <w:tc>
          <w:tcPr>
            <w:tcW w:w="1199" w:type="dxa"/>
            <w:shd w:val="clear" w:color="auto" w:fill="FFFFFF" w:themeFill="background1"/>
            <w:vAlign w:val="center"/>
          </w:tcPr>
          <w:p w14:paraId="41E155AC" w14:textId="77777777" w:rsidR="00632E5B" w:rsidRPr="00040A18" w:rsidRDefault="00107901">
            <w:pPr>
              <w:spacing w:before="40" w:after="40" w:line="240" w:lineRule="exact"/>
              <w:jc w:val="center"/>
              <w:rPr>
                <w:rFonts w:ascii="宋体" w:eastAsia="宋体" w:hAnsi="宋体" w:cs="宋体" w:hint="eastAsia"/>
                <w:sz w:val="15"/>
                <w:szCs w:val="15"/>
              </w:rPr>
            </w:pPr>
            <w:r w:rsidRPr="00040A18">
              <w:rPr>
                <w:rFonts w:ascii="宋体" w:eastAsia="宋体" w:hAnsi="宋体" w:cs="宋体"/>
                <w:sz w:val="15"/>
                <w:szCs w:val="15"/>
              </w:rPr>
              <w:t>利息资本化累计金额</w:t>
            </w:r>
          </w:p>
        </w:tc>
        <w:tc>
          <w:tcPr>
            <w:tcW w:w="819" w:type="dxa"/>
            <w:shd w:val="clear" w:color="auto" w:fill="FFFFFF" w:themeFill="background1"/>
            <w:vAlign w:val="center"/>
          </w:tcPr>
          <w:p w14:paraId="7CA06E10" w14:textId="77777777" w:rsidR="00632E5B" w:rsidRPr="00040A18" w:rsidRDefault="00107901">
            <w:pPr>
              <w:spacing w:before="40" w:after="40" w:line="240" w:lineRule="exact"/>
              <w:jc w:val="center"/>
              <w:rPr>
                <w:rFonts w:ascii="宋体" w:eastAsia="宋体" w:hAnsi="宋体" w:cs="宋体" w:hint="eastAsia"/>
                <w:sz w:val="15"/>
                <w:szCs w:val="15"/>
              </w:rPr>
            </w:pPr>
            <w:r w:rsidRPr="00040A18">
              <w:rPr>
                <w:rFonts w:ascii="宋体" w:eastAsia="宋体" w:hAnsi="宋体" w:cs="宋体"/>
                <w:sz w:val="15"/>
                <w:szCs w:val="15"/>
              </w:rPr>
              <w:t>其中：本期利息资本化金额</w:t>
            </w:r>
          </w:p>
        </w:tc>
        <w:tc>
          <w:tcPr>
            <w:tcW w:w="708" w:type="dxa"/>
            <w:shd w:val="clear" w:color="auto" w:fill="FFFFFF" w:themeFill="background1"/>
            <w:vAlign w:val="center"/>
          </w:tcPr>
          <w:p w14:paraId="31AB6010" w14:textId="77777777" w:rsidR="00632E5B" w:rsidRPr="00040A18" w:rsidRDefault="00107901">
            <w:pPr>
              <w:spacing w:before="40" w:after="40" w:line="240" w:lineRule="exact"/>
              <w:jc w:val="center"/>
              <w:rPr>
                <w:rFonts w:ascii="宋体" w:eastAsia="宋体" w:hAnsi="宋体" w:cs="宋体" w:hint="eastAsia"/>
                <w:sz w:val="15"/>
                <w:szCs w:val="15"/>
              </w:rPr>
            </w:pPr>
            <w:r w:rsidRPr="00040A18">
              <w:rPr>
                <w:rFonts w:ascii="宋体" w:eastAsia="宋体" w:hAnsi="宋体" w:cs="宋体"/>
                <w:sz w:val="15"/>
                <w:szCs w:val="15"/>
              </w:rPr>
              <w:t>本期利息资本化率</w:t>
            </w:r>
          </w:p>
        </w:tc>
        <w:tc>
          <w:tcPr>
            <w:tcW w:w="958" w:type="dxa"/>
            <w:shd w:val="clear" w:color="auto" w:fill="FFFFFF" w:themeFill="background1"/>
            <w:vAlign w:val="center"/>
          </w:tcPr>
          <w:p w14:paraId="16911038" w14:textId="77777777" w:rsidR="00632E5B" w:rsidRPr="00040A18" w:rsidRDefault="00107901">
            <w:pPr>
              <w:spacing w:before="40" w:after="40" w:line="240" w:lineRule="exact"/>
              <w:jc w:val="center"/>
              <w:rPr>
                <w:rFonts w:ascii="宋体" w:eastAsia="宋体" w:hAnsi="宋体" w:cs="宋体" w:hint="eastAsia"/>
                <w:sz w:val="15"/>
                <w:szCs w:val="15"/>
              </w:rPr>
            </w:pPr>
            <w:r w:rsidRPr="00040A18">
              <w:rPr>
                <w:rFonts w:ascii="宋体" w:eastAsia="宋体" w:hAnsi="宋体" w:cs="宋体"/>
                <w:sz w:val="15"/>
                <w:szCs w:val="15"/>
              </w:rPr>
              <w:t>资金来源</w:t>
            </w:r>
          </w:p>
        </w:tc>
      </w:tr>
      <w:tr w:rsidR="006409EF" w:rsidRPr="00040A18" w14:paraId="591EDBC8" w14:textId="77777777" w:rsidTr="001F5A64">
        <w:trPr>
          <w:trHeight w:val="240"/>
        </w:trPr>
        <w:tc>
          <w:tcPr>
            <w:tcW w:w="1131" w:type="dxa"/>
            <w:shd w:val="clear" w:color="auto" w:fill="FFFFFF" w:themeFill="background1"/>
            <w:vAlign w:val="center"/>
          </w:tcPr>
          <w:p w14:paraId="56147C84" w14:textId="77777777" w:rsidR="006409EF" w:rsidRPr="00040A18" w:rsidRDefault="006409EF">
            <w:pPr>
              <w:spacing w:line="240" w:lineRule="exact"/>
              <w:rPr>
                <w:rFonts w:ascii="宋体" w:eastAsia="宋体" w:hAnsi="宋体" w:cs="宋体" w:hint="eastAsia"/>
                <w:sz w:val="15"/>
                <w:szCs w:val="15"/>
              </w:rPr>
            </w:pPr>
            <w:r w:rsidRPr="00040A18">
              <w:rPr>
                <w:rFonts w:ascii="宋体" w:eastAsia="宋体" w:hAnsi="宋体" w:cs="宋体"/>
                <w:sz w:val="15"/>
                <w:szCs w:val="15"/>
              </w:rPr>
              <w:t>东北生产基地（二期）</w:t>
            </w:r>
          </w:p>
        </w:tc>
        <w:tc>
          <w:tcPr>
            <w:tcW w:w="1418" w:type="dxa"/>
            <w:shd w:val="clear" w:color="auto" w:fill="FFFFFF" w:themeFill="background1"/>
            <w:vAlign w:val="center"/>
          </w:tcPr>
          <w:p w14:paraId="6AF9C817"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45,000,000.00</w:t>
            </w:r>
          </w:p>
        </w:tc>
        <w:tc>
          <w:tcPr>
            <w:tcW w:w="1278" w:type="dxa"/>
            <w:shd w:val="clear" w:color="auto" w:fill="FFFFFF" w:themeFill="background1"/>
            <w:vAlign w:val="center"/>
          </w:tcPr>
          <w:p w14:paraId="0B7E0907"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22,653,104.04</w:t>
            </w:r>
          </w:p>
        </w:tc>
        <w:tc>
          <w:tcPr>
            <w:tcW w:w="1273" w:type="dxa"/>
            <w:shd w:val="clear" w:color="auto" w:fill="FFFFFF" w:themeFill="background1"/>
            <w:vAlign w:val="center"/>
          </w:tcPr>
          <w:p w14:paraId="7D2D0FF4"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112,797.49</w:t>
            </w:r>
          </w:p>
        </w:tc>
        <w:tc>
          <w:tcPr>
            <w:tcW w:w="1134" w:type="dxa"/>
            <w:shd w:val="clear" w:color="auto" w:fill="FFFFFF" w:themeFill="background1"/>
            <w:vAlign w:val="center"/>
          </w:tcPr>
          <w:p w14:paraId="44CA0F9B"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585,057.19</w:t>
            </w:r>
          </w:p>
        </w:tc>
        <w:tc>
          <w:tcPr>
            <w:tcW w:w="1276" w:type="dxa"/>
            <w:shd w:val="clear" w:color="auto" w:fill="FFFFFF" w:themeFill="background1"/>
            <w:vAlign w:val="center"/>
          </w:tcPr>
          <w:p w14:paraId="16C592D7" w14:textId="77777777" w:rsidR="006409EF" w:rsidRPr="00040A18" w:rsidRDefault="006409EF">
            <w:pPr>
              <w:spacing w:line="240" w:lineRule="exact"/>
              <w:jc w:val="right"/>
              <w:rPr>
                <w:rFonts w:ascii="宋体" w:eastAsia="宋体" w:hAnsi="宋体" w:cs="宋体" w:hint="eastAsia"/>
                <w:sz w:val="15"/>
                <w:szCs w:val="15"/>
              </w:rPr>
            </w:pPr>
          </w:p>
        </w:tc>
        <w:tc>
          <w:tcPr>
            <w:tcW w:w="1276" w:type="dxa"/>
            <w:shd w:val="clear" w:color="auto" w:fill="FFFFFF" w:themeFill="background1"/>
            <w:vAlign w:val="center"/>
          </w:tcPr>
          <w:p w14:paraId="349EFA4D"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22,180,844.34</w:t>
            </w:r>
          </w:p>
        </w:tc>
        <w:tc>
          <w:tcPr>
            <w:tcW w:w="850" w:type="dxa"/>
            <w:shd w:val="clear" w:color="auto" w:fill="FFFFFF" w:themeFill="background1"/>
            <w:vAlign w:val="center"/>
          </w:tcPr>
          <w:p w14:paraId="51F53EA7"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58.33%</w:t>
            </w:r>
          </w:p>
        </w:tc>
        <w:tc>
          <w:tcPr>
            <w:tcW w:w="676" w:type="dxa"/>
            <w:shd w:val="clear" w:color="auto" w:fill="FFFFFF" w:themeFill="background1"/>
            <w:vAlign w:val="center"/>
          </w:tcPr>
          <w:p w14:paraId="48716EF9" w14:textId="77777777" w:rsidR="006409EF" w:rsidRPr="00040A18" w:rsidRDefault="006409EF">
            <w:pPr>
              <w:spacing w:line="240" w:lineRule="exact"/>
              <w:rPr>
                <w:rFonts w:ascii="宋体" w:eastAsia="宋体" w:hAnsi="宋体" w:cs="宋体" w:hint="eastAsia"/>
                <w:sz w:val="15"/>
                <w:szCs w:val="15"/>
              </w:rPr>
            </w:pPr>
            <w:r w:rsidRPr="00040A18">
              <w:rPr>
                <w:rFonts w:ascii="宋体" w:eastAsia="宋体" w:hAnsi="宋体" w:cs="宋体"/>
                <w:sz w:val="15"/>
                <w:szCs w:val="15"/>
              </w:rPr>
              <w:t>60%</w:t>
            </w:r>
          </w:p>
        </w:tc>
        <w:tc>
          <w:tcPr>
            <w:tcW w:w="1199" w:type="dxa"/>
            <w:shd w:val="clear" w:color="auto" w:fill="FFFFFF" w:themeFill="background1"/>
            <w:vAlign w:val="center"/>
          </w:tcPr>
          <w:p w14:paraId="42BB2C49" w14:textId="77777777" w:rsidR="006409EF" w:rsidRPr="00040A18" w:rsidRDefault="006409EF">
            <w:pPr>
              <w:spacing w:line="240" w:lineRule="exact"/>
              <w:jc w:val="right"/>
              <w:rPr>
                <w:rFonts w:ascii="宋体" w:eastAsia="宋体" w:hAnsi="宋体" w:cs="宋体" w:hint="eastAsia"/>
                <w:sz w:val="15"/>
                <w:szCs w:val="15"/>
              </w:rPr>
            </w:pPr>
          </w:p>
        </w:tc>
        <w:tc>
          <w:tcPr>
            <w:tcW w:w="819" w:type="dxa"/>
            <w:shd w:val="clear" w:color="auto" w:fill="FFFFFF" w:themeFill="background1"/>
            <w:vAlign w:val="center"/>
          </w:tcPr>
          <w:p w14:paraId="219EC097" w14:textId="77777777" w:rsidR="006409EF" w:rsidRPr="00040A18" w:rsidRDefault="006409EF">
            <w:pPr>
              <w:spacing w:line="240" w:lineRule="exact"/>
              <w:jc w:val="right"/>
              <w:rPr>
                <w:rFonts w:ascii="宋体" w:eastAsia="宋体" w:hAnsi="宋体" w:cs="宋体" w:hint="eastAsia"/>
                <w:sz w:val="15"/>
                <w:szCs w:val="15"/>
              </w:rPr>
            </w:pPr>
          </w:p>
        </w:tc>
        <w:tc>
          <w:tcPr>
            <w:tcW w:w="708" w:type="dxa"/>
            <w:shd w:val="clear" w:color="auto" w:fill="FFFFFF" w:themeFill="background1"/>
            <w:vAlign w:val="center"/>
          </w:tcPr>
          <w:p w14:paraId="624F330D" w14:textId="77777777" w:rsidR="006409EF" w:rsidRPr="00040A18" w:rsidRDefault="006409EF">
            <w:pPr>
              <w:spacing w:line="240" w:lineRule="exact"/>
              <w:jc w:val="right"/>
              <w:rPr>
                <w:rFonts w:ascii="宋体" w:eastAsia="宋体" w:hAnsi="宋体" w:cs="宋体" w:hint="eastAsia"/>
                <w:sz w:val="15"/>
                <w:szCs w:val="15"/>
              </w:rPr>
            </w:pPr>
          </w:p>
        </w:tc>
        <w:tc>
          <w:tcPr>
            <w:tcW w:w="958" w:type="dxa"/>
            <w:shd w:val="clear" w:color="auto" w:fill="FFFFFF" w:themeFill="background1"/>
            <w:vAlign w:val="center"/>
          </w:tcPr>
          <w:p w14:paraId="13665D88" w14:textId="77777777" w:rsidR="006409EF" w:rsidRPr="00040A18" w:rsidRDefault="006409EF" w:rsidP="006409EF">
            <w:pPr>
              <w:widowControl/>
              <w:jc w:val="center"/>
              <w:textAlignment w:val="bottom"/>
              <w:rPr>
                <w:rFonts w:ascii="宋体" w:hAnsi="宋体" w:cs="宋体" w:hint="eastAsia"/>
                <w:color w:val="000000"/>
                <w:sz w:val="15"/>
                <w:szCs w:val="15"/>
              </w:rPr>
            </w:pPr>
            <w:r w:rsidRPr="00040A18">
              <w:rPr>
                <w:rFonts w:ascii="宋体" w:hAnsi="宋体" w:cs="宋体" w:hint="eastAsia"/>
                <w:color w:val="000000"/>
                <w:kern w:val="0"/>
                <w:sz w:val="15"/>
                <w:szCs w:val="15"/>
                <w:lang w:bidi="ar"/>
              </w:rPr>
              <w:t>自筹资金</w:t>
            </w:r>
          </w:p>
        </w:tc>
      </w:tr>
      <w:tr w:rsidR="006409EF" w:rsidRPr="00040A18" w14:paraId="03BCC28F" w14:textId="77777777" w:rsidTr="001F5A64">
        <w:trPr>
          <w:trHeight w:val="240"/>
        </w:trPr>
        <w:tc>
          <w:tcPr>
            <w:tcW w:w="1131" w:type="dxa"/>
            <w:shd w:val="clear" w:color="auto" w:fill="FFFFFF" w:themeFill="background1"/>
            <w:vAlign w:val="center"/>
          </w:tcPr>
          <w:p w14:paraId="0FE27C66" w14:textId="77777777" w:rsidR="006409EF" w:rsidRPr="00040A18" w:rsidRDefault="006409EF">
            <w:pPr>
              <w:spacing w:line="240" w:lineRule="exact"/>
              <w:rPr>
                <w:rFonts w:ascii="宋体" w:eastAsia="宋体" w:hAnsi="宋体" w:cs="宋体" w:hint="eastAsia"/>
                <w:sz w:val="15"/>
                <w:szCs w:val="15"/>
              </w:rPr>
            </w:pPr>
            <w:r w:rsidRPr="00040A18">
              <w:rPr>
                <w:rFonts w:ascii="宋体" w:eastAsia="宋体" w:hAnsi="宋体" w:cs="宋体"/>
                <w:sz w:val="15"/>
                <w:szCs w:val="15"/>
              </w:rPr>
              <w:t>青海光纤工程项目三期</w:t>
            </w:r>
          </w:p>
        </w:tc>
        <w:tc>
          <w:tcPr>
            <w:tcW w:w="1418" w:type="dxa"/>
            <w:shd w:val="clear" w:color="auto" w:fill="FFFFFF" w:themeFill="background1"/>
            <w:vAlign w:val="center"/>
          </w:tcPr>
          <w:p w14:paraId="7ECB0861"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744,362,200.00</w:t>
            </w:r>
          </w:p>
        </w:tc>
        <w:tc>
          <w:tcPr>
            <w:tcW w:w="1278" w:type="dxa"/>
            <w:shd w:val="clear" w:color="auto" w:fill="FFFFFF" w:themeFill="background1"/>
            <w:vAlign w:val="center"/>
          </w:tcPr>
          <w:p w14:paraId="4E0D5B56"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635,084,293.49</w:t>
            </w:r>
          </w:p>
        </w:tc>
        <w:tc>
          <w:tcPr>
            <w:tcW w:w="1273" w:type="dxa"/>
            <w:shd w:val="clear" w:color="auto" w:fill="FFFFFF" w:themeFill="background1"/>
            <w:vAlign w:val="center"/>
          </w:tcPr>
          <w:p w14:paraId="7175D3DF"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15,902,249.24</w:t>
            </w:r>
          </w:p>
        </w:tc>
        <w:tc>
          <w:tcPr>
            <w:tcW w:w="1134" w:type="dxa"/>
            <w:shd w:val="clear" w:color="auto" w:fill="FFFFFF" w:themeFill="background1"/>
            <w:vAlign w:val="center"/>
          </w:tcPr>
          <w:p w14:paraId="504E05DA" w14:textId="77777777" w:rsidR="006409EF" w:rsidRPr="00040A18" w:rsidRDefault="006409EF">
            <w:pPr>
              <w:spacing w:line="240" w:lineRule="exact"/>
              <w:jc w:val="right"/>
              <w:rPr>
                <w:rFonts w:ascii="宋体" w:eastAsia="宋体" w:hAnsi="宋体" w:cs="宋体" w:hint="eastAsia"/>
                <w:sz w:val="15"/>
                <w:szCs w:val="15"/>
              </w:rPr>
            </w:pPr>
          </w:p>
        </w:tc>
        <w:tc>
          <w:tcPr>
            <w:tcW w:w="1276" w:type="dxa"/>
            <w:shd w:val="clear" w:color="auto" w:fill="FFFFFF" w:themeFill="background1"/>
            <w:vAlign w:val="center"/>
          </w:tcPr>
          <w:p w14:paraId="5C434F24" w14:textId="77777777" w:rsidR="006409EF" w:rsidRPr="00040A18" w:rsidRDefault="006409EF">
            <w:pPr>
              <w:spacing w:line="240" w:lineRule="exact"/>
              <w:jc w:val="right"/>
              <w:rPr>
                <w:rFonts w:ascii="宋体" w:eastAsia="宋体" w:hAnsi="宋体" w:cs="宋体" w:hint="eastAsia"/>
                <w:sz w:val="15"/>
                <w:szCs w:val="15"/>
              </w:rPr>
            </w:pPr>
          </w:p>
        </w:tc>
        <w:tc>
          <w:tcPr>
            <w:tcW w:w="1276" w:type="dxa"/>
            <w:shd w:val="clear" w:color="auto" w:fill="FFFFFF" w:themeFill="background1"/>
            <w:vAlign w:val="center"/>
          </w:tcPr>
          <w:p w14:paraId="1D3FF4D8"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650,986,542.73</w:t>
            </w:r>
          </w:p>
        </w:tc>
        <w:tc>
          <w:tcPr>
            <w:tcW w:w="850" w:type="dxa"/>
            <w:shd w:val="clear" w:color="auto" w:fill="FFFFFF" w:themeFill="background1"/>
            <w:vAlign w:val="center"/>
          </w:tcPr>
          <w:p w14:paraId="39A0B100"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87.46%</w:t>
            </w:r>
          </w:p>
        </w:tc>
        <w:tc>
          <w:tcPr>
            <w:tcW w:w="676" w:type="dxa"/>
            <w:shd w:val="clear" w:color="auto" w:fill="FFFFFF" w:themeFill="background1"/>
            <w:vAlign w:val="center"/>
          </w:tcPr>
          <w:p w14:paraId="64B31F1F" w14:textId="77777777" w:rsidR="006409EF" w:rsidRPr="00040A18" w:rsidRDefault="006409EF">
            <w:pPr>
              <w:spacing w:line="240" w:lineRule="exact"/>
              <w:rPr>
                <w:rFonts w:ascii="宋体" w:eastAsia="宋体" w:hAnsi="宋体" w:cs="宋体" w:hint="eastAsia"/>
                <w:sz w:val="15"/>
                <w:szCs w:val="15"/>
              </w:rPr>
            </w:pPr>
            <w:r w:rsidRPr="00040A18">
              <w:rPr>
                <w:rFonts w:ascii="宋体" w:eastAsia="宋体" w:hAnsi="宋体" w:cs="宋体"/>
                <w:sz w:val="15"/>
                <w:szCs w:val="15"/>
              </w:rPr>
              <w:t>90%</w:t>
            </w:r>
          </w:p>
        </w:tc>
        <w:tc>
          <w:tcPr>
            <w:tcW w:w="1199" w:type="dxa"/>
            <w:shd w:val="clear" w:color="auto" w:fill="FFFFFF" w:themeFill="background1"/>
            <w:vAlign w:val="center"/>
          </w:tcPr>
          <w:p w14:paraId="46BDC519" w14:textId="77777777" w:rsidR="006409EF" w:rsidRPr="00040A18" w:rsidRDefault="006409EF">
            <w:pPr>
              <w:spacing w:line="240" w:lineRule="exact"/>
              <w:jc w:val="right"/>
              <w:rPr>
                <w:rFonts w:ascii="宋体" w:eastAsia="宋体" w:hAnsi="宋体" w:cs="宋体" w:hint="eastAsia"/>
                <w:sz w:val="15"/>
                <w:szCs w:val="15"/>
              </w:rPr>
            </w:pPr>
          </w:p>
        </w:tc>
        <w:tc>
          <w:tcPr>
            <w:tcW w:w="819" w:type="dxa"/>
            <w:shd w:val="clear" w:color="auto" w:fill="FFFFFF" w:themeFill="background1"/>
            <w:vAlign w:val="center"/>
          </w:tcPr>
          <w:p w14:paraId="793F2BF1" w14:textId="77777777" w:rsidR="006409EF" w:rsidRPr="00040A18" w:rsidRDefault="006409EF">
            <w:pPr>
              <w:spacing w:line="240" w:lineRule="exact"/>
              <w:jc w:val="right"/>
              <w:rPr>
                <w:rFonts w:ascii="宋体" w:eastAsia="宋体" w:hAnsi="宋体" w:cs="宋体" w:hint="eastAsia"/>
                <w:sz w:val="15"/>
                <w:szCs w:val="15"/>
              </w:rPr>
            </w:pPr>
          </w:p>
        </w:tc>
        <w:tc>
          <w:tcPr>
            <w:tcW w:w="708" w:type="dxa"/>
            <w:shd w:val="clear" w:color="auto" w:fill="FFFFFF" w:themeFill="background1"/>
            <w:vAlign w:val="center"/>
          </w:tcPr>
          <w:p w14:paraId="0785B0EB" w14:textId="77777777" w:rsidR="006409EF" w:rsidRPr="00040A18" w:rsidRDefault="006409EF">
            <w:pPr>
              <w:spacing w:line="240" w:lineRule="exact"/>
              <w:jc w:val="right"/>
              <w:rPr>
                <w:rFonts w:ascii="宋体" w:eastAsia="宋体" w:hAnsi="宋体" w:cs="宋体" w:hint="eastAsia"/>
                <w:sz w:val="15"/>
                <w:szCs w:val="15"/>
              </w:rPr>
            </w:pPr>
          </w:p>
        </w:tc>
        <w:tc>
          <w:tcPr>
            <w:tcW w:w="958" w:type="dxa"/>
            <w:shd w:val="clear" w:color="auto" w:fill="FFFFFF" w:themeFill="background1"/>
            <w:vAlign w:val="center"/>
          </w:tcPr>
          <w:p w14:paraId="2EE0DE4B" w14:textId="77777777" w:rsidR="006409EF" w:rsidRPr="00040A18" w:rsidRDefault="006409EF" w:rsidP="006409EF">
            <w:pPr>
              <w:widowControl/>
              <w:jc w:val="center"/>
              <w:textAlignment w:val="bottom"/>
              <w:rPr>
                <w:rFonts w:ascii="宋体" w:hAnsi="宋体" w:cs="宋体" w:hint="eastAsia"/>
                <w:color w:val="000000"/>
                <w:sz w:val="15"/>
                <w:szCs w:val="15"/>
              </w:rPr>
            </w:pPr>
            <w:r w:rsidRPr="00040A18">
              <w:rPr>
                <w:rFonts w:ascii="宋体" w:hAnsi="宋体" w:cs="宋体" w:hint="eastAsia"/>
                <w:color w:val="000000"/>
                <w:kern w:val="0"/>
                <w:sz w:val="15"/>
                <w:szCs w:val="15"/>
                <w:lang w:bidi="ar"/>
              </w:rPr>
              <w:t>募集+自筹</w:t>
            </w:r>
          </w:p>
        </w:tc>
      </w:tr>
      <w:tr w:rsidR="006409EF" w:rsidRPr="00040A18" w14:paraId="464EF268" w14:textId="77777777" w:rsidTr="001F5A64">
        <w:trPr>
          <w:trHeight w:val="240"/>
        </w:trPr>
        <w:tc>
          <w:tcPr>
            <w:tcW w:w="1131" w:type="dxa"/>
            <w:shd w:val="clear" w:color="auto" w:fill="FFFFFF" w:themeFill="background1"/>
            <w:vAlign w:val="center"/>
          </w:tcPr>
          <w:p w14:paraId="7B809D38" w14:textId="77777777" w:rsidR="006409EF" w:rsidRPr="00040A18" w:rsidRDefault="006409EF">
            <w:pPr>
              <w:spacing w:line="240" w:lineRule="exact"/>
              <w:rPr>
                <w:rFonts w:ascii="宋体" w:eastAsia="宋体" w:hAnsi="宋体" w:cs="宋体" w:hint="eastAsia"/>
                <w:sz w:val="15"/>
                <w:szCs w:val="15"/>
              </w:rPr>
            </w:pPr>
            <w:r w:rsidRPr="00040A18">
              <w:rPr>
                <w:rFonts w:ascii="宋体" w:eastAsia="宋体" w:hAnsi="宋体" w:cs="宋体"/>
                <w:sz w:val="15"/>
                <w:szCs w:val="15"/>
              </w:rPr>
              <w:t>山东腾晖光电3GW电池项目工程</w:t>
            </w:r>
          </w:p>
        </w:tc>
        <w:tc>
          <w:tcPr>
            <w:tcW w:w="1418" w:type="dxa"/>
            <w:shd w:val="clear" w:color="auto" w:fill="FFFFFF" w:themeFill="background1"/>
            <w:vAlign w:val="center"/>
          </w:tcPr>
          <w:p w14:paraId="101C732B"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720,000,000.00</w:t>
            </w:r>
          </w:p>
        </w:tc>
        <w:tc>
          <w:tcPr>
            <w:tcW w:w="1278" w:type="dxa"/>
            <w:shd w:val="clear" w:color="auto" w:fill="FFFFFF" w:themeFill="background1"/>
            <w:vAlign w:val="center"/>
          </w:tcPr>
          <w:p w14:paraId="2E7AFBFC"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121,105,313.59</w:t>
            </w:r>
          </w:p>
        </w:tc>
        <w:tc>
          <w:tcPr>
            <w:tcW w:w="1273" w:type="dxa"/>
            <w:shd w:val="clear" w:color="auto" w:fill="FFFFFF" w:themeFill="background1"/>
            <w:vAlign w:val="center"/>
          </w:tcPr>
          <w:p w14:paraId="3F21B156" w14:textId="77777777" w:rsidR="006409EF" w:rsidRPr="00040A18" w:rsidRDefault="006409EF">
            <w:pPr>
              <w:spacing w:line="240" w:lineRule="exact"/>
              <w:jc w:val="right"/>
              <w:rPr>
                <w:rFonts w:ascii="宋体" w:eastAsia="宋体" w:hAnsi="宋体" w:cs="宋体" w:hint="eastAsia"/>
                <w:sz w:val="15"/>
                <w:szCs w:val="15"/>
              </w:rPr>
            </w:pPr>
          </w:p>
        </w:tc>
        <w:tc>
          <w:tcPr>
            <w:tcW w:w="1134" w:type="dxa"/>
            <w:shd w:val="clear" w:color="auto" w:fill="FFFFFF" w:themeFill="background1"/>
            <w:vAlign w:val="center"/>
          </w:tcPr>
          <w:p w14:paraId="0A9D1254" w14:textId="77777777" w:rsidR="006409EF" w:rsidRPr="00040A18" w:rsidRDefault="006409EF">
            <w:pPr>
              <w:spacing w:line="240" w:lineRule="exact"/>
              <w:jc w:val="right"/>
              <w:rPr>
                <w:rFonts w:ascii="宋体" w:eastAsia="宋体" w:hAnsi="宋体" w:cs="宋体" w:hint="eastAsia"/>
                <w:sz w:val="15"/>
                <w:szCs w:val="15"/>
              </w:rPr>
            </w:pPr>
          </w:p>
        </w:tc>
        <w:tc>
          <w:tcPr>
            <w:tcW w:w="1276" w:type="dxa"/>
            <w:shd w:val="clear" w:color="auto" w:fill="FFFFFF" w:themeFill="background1"/>
            <w:vAlign w:val="center"/>
          </w:tcPr>
          <w:p w14:paraId="46D4CB13"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121,105,313.59</w:t>
            </w:r>
          </w:p>
        </w:tc>
        <w:tc>
          <w:tcPr>
            <w:tcW w:w="1276" w:type="dxa"/>
            <w:shd w:val="clear" w:color="auto" w:fill="FFFFFF" w:themeFill="background1"/>
            <w:vAlign w:val="center"/>
          </w:tcPr>
          <w:p w14:paraId="6C7F7855" w14:textId="77777777" w:rsidR="006409EF" w:rsidRPr="00040A18" w:rsidRDefault="006409EF">
            <w:pPr>
              <w:spacing w:line="240" w:lineRule="exact"/>
              <w:jc w:val="right"/>
              <w:rPr>
                <w:rFonts w:ascii="宋体" w:eastAsia="宋体" w:hAnsi="宋体" w:cs="宋体" w:hint="eastAsia"/>
                <w:sz w:val="15"/>
                <w:szCs w:val="15"/>
              </w:rPr>
            </w:pPr>
          </w:p>
        </w:tc>
        <w:tc>
          <w:tcPr>
            <w:tcW w:w="850" w:type="dxa"/>
            <w:shd w:val="clear" w:color="auto" w:fill="FFFFFF" w:themeFill="background1"/>
            <w:vAlign w:val="center"/>
          </w:tcPr>
          <w:p w14:paraId="71384C50"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19.00%</w:t>
            </w:r>
          </w:p>
        </w:tc>
        <w:tc>
          <w:tcPr>
            <w:tcW w:w="676" w:type="dxa"/>
            <w:shd w:val="clear" w:color="auto" w:fill="FFFFFF" w:themeFill="background1"/>
            <w:vAlign w:val="center"/>
          </w:tcPr>
          <w:p w14:paraId="17D48796" w14:textId="77777777" w:rsidR="006409EF" w:rsidRPr="00040A18" w:rsidRDefault="006409EF">
            <w:pPr>
              <w:spacing w:line="240" w:lineRule="exact"/>
              <w:rPr>
                <w:rFonts w:ascii="宋体" w:eastAsia="宋体" w:hAnsi="宋体" w:cs="宋体" w:hint="eastAsia"/>
                <w:sz w:val="15"/>
                <w:szCs w:val="15"/>
              </w:rPr>
            </w:pPr>
            <w:r w:rsidRPr="00040A18">
              <w:rPr>
                <w:rFonts w:ascii="宋体" w:eastAsia="宋体" w:hAnsi="宋体" w:cs="宋体"/>
                <w:sz w:val="15"/>
                <w:szCs w:val="15"/>
              </w:rPr>
              <w:t>19%</w:t>
            </w:r>
          </w:p>
        </w:tc>
        <w:tc>
          <w:tcPr>
            <w:tcW w:w="1199" w:type="dxa"/>
            <w:shd w:val="clear" w:color="auto" w:fill="FFFFFF" w:themeFill="background1"/>
            <w:vAlign w:val="center"/>
          </w:tcPr>
          <w:p w14:paraId="4F6235F8" w14:textId="77777777" w:rsidR="006409EF" w:rsidRPr="00040A18" w:rsidRDefault="006409EF">
            <w:pPr>
              <w:spacing w:line="240" w:lineRule="exact"/>
              <w:jc w:val="right"/>
              <w:rPr>
                <w:rFonts w:ascii="宋体" w:eastAsia="宋体" w:hAnsi="宋体" w:cs="宋体" w:hint="eastAsia"/>
                <w:sz w:val="15"/>
                <w:szCs w:val="15"/>
              </w:rPr>
            </w:pPr>
          </w:p>
        </w:tc>
        <w:tc>
          <w:tcPr>
            <w:tcW w:w="819" w:type="dxa"/>
            <w:shd w:val="clear" w:color="auto" w:fill="FFFFFF" w:themeFill="background1"/>
            <w:vAlign w:val="center"/>
          </w:tcPr>
          <w:p w14:paraId="05BD58F1" w14:textId="77777777" w:rsidR="006409EF" w:rsidRPr="00040A18" w:rsidRDefault="006409EF">
            <w:pPr>
              <w:spacing w:line="240" w:lineRule="exact"/>
              <w:jc w:val="right"/>
              <w:rPr>
                <w:rFonts w:ascii="宋体" w:eastAsia="宋体" w:hAnsi="宋体" w:cs="宋体" w:hint="eastAsia"/>
                <w:sz w:val="15"/>
                <w:szCs w:val="15"/>
              </w:rPr>
            </w:pPr>
          </w:p>
        </w:tc>
        <w:tc>
          <w:tcPr>
            <w:tcW w:w="708" w:type="dxa"/>
            <w:shd w:val="clear" w:color="auto" w:fill="FFFFFF" w:themeFill="background1"/>
            <w:vAlign w:val="center"/>
          </w:tcPr>
          <w:p w14:paraId="4C09D3F7" w14:textId="77777777" w:rsidR="006409EF" w:rsidRPr="00040A18" w:rsidRDefault="006409EF">
            <w:pPr>
              <w:spacing w:line="240" w:lineRule="exact"/>
              <w:jc w:val="right"/>
              <w:rPr>
                <w:rFonts w:ascii="宋体" w:eastAsia="宋体" w:hAnsi="宋体" w:cs="宋体" w:hint="eastAsia"/>
                <w:sz w:val="15"/>
                <w:szCs w:val="15"/>
              </w:rPr>
            </w:pPr>
          </w:p>
        </w:tc>
        <w:tc>
          <w:tcPr>
            <w:tcW w:w="958" w:type="dxa"/>
            <w:shd w:val="clear" w:color="auto" w:fill="FFFFFF" w:themeFill="background1"/>
            <w:vAlign w:val="center"/>
          </w:tcPr>
          <w:p w14:paraId="30159056" w14:textId="77777777" w:rsidR="006409EF" w:rsidRPr="00040A18" w:rsidRDefault="006409EF" w:rsidP="006409EF">
            <w:pPr>
              <w:widowControl/>
              <w:jc w:val="center"/>
              <w:textAlignment w:val="bottom"/>
              <w:rPr>
                <w:rFonts w:ascii="宋体" w:hAnsi="宋体" w:cs="宋体" w:hint="eastAsia"/>
                <w:color w:val="000000"/>
                <w:sz w:val="15"/>
                <w:szCs w:val="15"/>
              </w:rPr>
            </w:pPr>
            <w:r w:rsidRPr="00040A18">
              <w:rPr>
                <w:rFonts w:ascii="宋体" w:hAnsi="宋体" w:cs="宋体" w:hint="eastAsia"/>
                <w:color w:val="000000"/>
                <w:kern w:val="0"/>
                <w:sz w:val="15"/>
                <w:szCs w:val="15"/>
                <w:lang w:bidi="ar"/>
              </w:rPr>
              <w:t>自筹资金</w:t>
            </w:r>
          </w:p>
        </w:tc>
      </w:tr>
      <w:tr w:rsidR="006409EF" w:rsidRPr="00040A18" w14:paraId="32A109B7" w14:textId="77777777" w:rsidTr="001F5A64">
        <w:trPr>
          <w:trHeight w:val="240"/>
        </w:trPr>
        <w:tc>
          <w:tcPr>
            <w:tcW w:w="1131" w:type="dxa"/>
            <w:shd w:val="clear" w:color="auto" w:fill="FFFFFF" w:themeFill="background1"/>
            <w:vAlign w:val="center"/>
          </w:tcPr>
          <w:p w14:paraId="5DB65E57" w14:textId="77777777" w:rsidR="006409EF" w:rsidRPr="00040A18" w:rsidRDefault="006409EF">
            <w:pPr>
              <w:spacing w:line="240" w:lineRule="exact"/>
              <w:rPr>
                <w:rFonts w:ascii="宋体" w:eastAsia="宋体" w:hAnsi="宋体" w:cs="宋体" w:hint="eastAsia"/>
                <w:sz w:val="15"/>
                <w:szCs w:val="15"/>
              </w:rPr>
            </w:pPr>
            <w:r w:rsidRPr="00040A18">
              <w:rPr>
                <w:rFonts w:ascii="宋体" w:eastAsia="宋体" w:hAnsi="宋体" w:cs="宋体"/>
                <w:sz w:val="15"/>
                <w:szCs w:val="15"/>
              </w:rPr>
              <w:t>宿迁腾晖新能源年产12GW光伏组件项目</w:t>
            </w:r>
          </w:p>
        </w:tc>
        <w:tc>
          <w:tcPr>
            <w:tcW w:w="1418" w:type="dxa"/>
            <w:shd w:val="clear" w:color="auto" w:fill="FFFFFF" w:themeFill="background1"/>
            <w:vAlign w:val="center"/>
          </w:tcPr>
          <w:p w14:paraId="384E1249"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920,000,000.00</w:t>
            </w:r>
          </w:p>
        </w:tc>
        <w:tc>
          <w:tcPr>
            <w:tcW w:w="1278" w:type="dxa"/>
            <w:shd w:val="clear" w:color="auto" w:fill="FFFFFF" w:themeFill="background1"/>
            <w:vAlign w:val="center"/>
          </w:tcPr>
          <w:p w14:paraId="26205CD4"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18,172,045.80</w:t>
            </w:r>
          </w:p>
        </w:tc>
        <w:tc>
          <w:tcPr>
            <w:tcW w:w="1273" w:type="dxa"/>
            <w:shd w:val="clear" w:color="auto" w:fill="FFFFFF" w:themeFill="background1"/>
            <w:vAlign w:val="center"/>
          </w:tcPr>
          <w:p w14:paraId="4295F07B"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589,750.41</w:t>
            </w:r>
          </w:p>
        </w:tc>
        <w:tc>
          <w:tcPr>
            <w:tcW w:w="1134" w:type="dxa"/>
            <w:shd w:val="clear" w:color="auto" w:fill="FFFFFF" w:themeFill="background1"/>
            <w:vAlign w:val="center"/>
          </w:tcPr>
          <w:p w14:paraId="0D3772C2"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182,300.00</w:t>
            </w:r>
          </w:p>
        </w:tc>
        <w:tc>
          <w:tcPr>
            <w:tcW w:w="1276" w:type="dxa"/>
            <w:shd w:val="clear" w:color="auto" w:fill="FFFFFF" w:themeFill="background1"/>
            <w:vAlign w:val="center"/>
          </w:tcPr>
          <w:p w14:paraId="233A2850"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18,579,496.21</w:t>
            </w:r>
          </w:p>
        </w:tc>
        <w:tc>
          <w:tcPr>
            <w:tcW w:w="1276" w:type="dxa"/>
            <w:shd w:val="clear" w:color="auto" w:fill="FFFFFF" w:themeFill="background1"/>
            <w:vAlign w:val="center"/>
          </w:tcPr>
          <w:p w14:paraId="09294282" w14:textId="77777777" w:rsidR="006409EF" w:rsidRPr="00040A18" w:rsidRDefault="006409EF">
            <w:pPr>
              <w:spacing w:line="240" w:lineRule="exact"/>
              <w:jc w:val="right"/>
              <w:rPr>
                <w:rFonts w:ascii="宋体" w:eastAsia="宋体" w:hAnsi="宋体" w:cs="宋体" w:hint="eastAsia"/>
                <w:sz w:val="15"/>
                <w:szCs w:val="15"/>
              </w:rPr>
            </w:pPr>
          </w:p>
        </w:tc>
        <w:tc>
          <w:tcPr>
            <w:tcW w:w="850" w:type="dxa"/>
            <w:shd w:val="clear" w:color="auto" w:fill="FFFFFF" w:themeFill="background1"/>
            <w:vAlign w:val="center"/>
          </w:tcPr>
          <w:p w14:paraId="0EE9269C"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16.53%</w:t>
            </w:r>
          </w:p>
        </w:tc>
        <w:tc>
          <w:tcPr>
            <w:tcW w:w="676" w:type="dxa"/>
            <w:shd w:val="clear" w:color="auto" w:fill="FFFFFF" w:themeFill="background1"/>
            <w:vAlign w:val="center"/>
          </w:tcPr>
          <w:p w14:paraId="217AD6B0" w14:textId="77777777" w:rsidR="006409EF" w:rsidRPr="00040A18" w:rsidRDefault="006409EF">
            <w:pPr>
              <w:spacing w:line="240" w:lineRule="exact"/>
              <w:rPr>
                <w:rFonts w:ascii="宋体" w:eastAsia="宋体" w:hAnsi="宋体" w:cs="宋体" w:hint="eastAsia"/>
                <w:sz w:val="15"/>
                <w:szCs w:val="15"/>
              </w:rPr>
            </w:pPr>
            <w:r w:rsidRPr="00040A18">
              <w:rPr>
                <w:rFonts w:ascii="宋体" w:eastAsia="宋体" w:hAnsi="宋体" w:cs="宋体"/>
                <w:sz w:val="15"/>
                <w:szCs w:val="15"/>
              </w:rPr>
              <w:t>16%</w:t>
            </w:r>
          </w:p>
        </w:tc>
        <w:tc>
          <w:tcPr>
            <w:tcW w:w="1199" w:type="dxa"/>
            <w:shd w:val="clear" w:color="auto" w:fill="FFFFFF" w:themeFill="background1"/>
            <w:vAlign w:val="center"/>
          </w:tcPr>
          <w:p w14:paraId="008AD145"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6,035,000.03</w:t>
            </w:r>
          </w:p>
        </w:tc>
        <w:tc>
          <w:tcPr>
            <w:tcW w:w="819" w:type="dxa"/>
            <w:shd w:val="clear" w:color="auto" w:fill="FFFFFF" w:themeFill="background1"/>
            <w:vAlign w:val="center"/>
          </w:tcPr>
          <w:p w14:paraId="688AE170" w14:textId="77777777" w:rsidR="006409EF" w:rsidRPr="00040A18" w:rsidRDefault="006409EF">
            <w:pPr>
              <w:spacing w:line="240" w:lineRule="exact"/>
              <w:jc w:val="right"/>
              <w:rPr>
                <w:rFonts w:ascii="宋体" w:eastAsia="宋体" w:hAnsi="宋体" w:cs="宋体" w:hint="eastAsia"/>
                <w:sz w:val="15"/>
                <w:szCs w:val="15"/>
              </w:rPr>
            </w:pPr>
          </w:p>
        </w:tc>
        <w:tc>
          <w:tcPr>
            <w:tcW w:w="708" w:type="dxa"/>
            <w:shd w:val="clear" w:color="auto" w:fill="FFFFFF" w:themeFill="background1"/>
            <w:vAlign w:val="center"/>
          </w:tcPr>
          <w:p w14:paraId="32F76752" w14:textId="77777777" w:rsidR="006409EF" w:rsidRPr="00040A18" w:rsidRDefault="006409EF">
            <w:pPr>
              <w:spacing w:line="240" w:lineRule="exact"/>
              <w:jc w:val="right"/>
              <w:rPr>
                <w:rFonts w:ascii="宋体" w:eastAsia="宋体" w:hAnsi="宋体" w:cs="宋体" w:hint="eastAsia"/>
                <w:sz w:val="15"/>
                <w:szCs w:val="15"/>
              </w:rPr>
            </w:pPr>
          </w:p>
        </w:tc>
        <w:tc>
          <w:tcPr>
            <w:tcW w:w="958" w:type="dxa"/>
            <w:shd w:val="clear" w:color="auto" w:fill="FFFFFF" w:themeFill="background1"/>
            <w:vAlign w:val="center"/>
          </w:tcPr>
          <w:p w14:paraId="58438DBA" w14:textId="77777777" w:rsidR="006409EF" w:rsidRPr="00040A18" w:rsidRDefault="006409EF" w:rsidP="006409EF">
            <w:pPr>
              <w:widowControl/>
              <w:jc w:val="center"/>
              <w:textAlignment w:val="bottom"/>
              <w:rPr>
                <w:rFonts w:ascii="宋体" w:hAnsi="宋体" w:cs="宋体" w:hint="eastAsia"/>
                <w:color w:val="000000"/>
                <w:sz w:val="15"/>
                <w:szCs w:val="15"/>
              </w:rPr>
            </w:pPr>
            <w:r w:rsidRPr="00040A18">
              <w:rPr>
                <w:rFonts w:ascii="宋体" w:hAnsi="宋体" w:cs="宋体" w:hint="eastAsia"/>
                <w:color w:val="000000"/>
                <w:kern w:val="0"/>
                <w:sz w:val="15"/>
                <w:szCs w:val="15"/>
                <w:lang w:bidi="ar"/>
              </w:rPr>
              <w:t>外部借款+自筹资金</w:t>
            </w:r>
          </w:p>
        </w:tc>
      </w:tr>
      <w:tr w:rsidR="006409EF" w:rsidRPr="00040A18" w14:paraId="7723CE96" w14:textId="77777777" w:rsidTr="001F5A64">
        <w:trPr>
          <w:trHeight w:val="240"/>
        </w:trPr>
        <w:tc>
          <w:tcPr>
            <w:tcW w:w="1131" w:type="dxa"/>
            <w:shd w:val="clear" w:color="auto" w:fill="FFFFFF" w:themeFill="background1"/>
            <w:vAlign w:val="center"/>
          </w:tcPr>
          <w:p w14:paraId="66FE6F98" w14:textId="77777777" w:rsidR="006409EF" w:rsidRPr="00040A18" w:rsidRDefault="006409EF">
            <w:pPr>
              <w:spacing w:line="240" w:lineRule="exact"/>
              <w:rPr>
                <w:rFonts w:ascii="宋体" w:eastAsia="宋体" w:hAnsi="宋体" w:cs="宋体" w:hint="eastAsia"/>
                <w:sz w:val="15"/>
                <w:szCs w:val="15"/>
              </w:rPr>
            </w:pPr>
            <w:r w:rsidRPr="00040A18">
              <w:rPr>
                <w:rFonts w:ascii="宋体" w:eastAsia="宋体" w:hAnsi="宋体" w:cs="宋体"/>
                <w:sz w:val="15"/>
                <w:szCs w:val="15"/>
              </w:rPr>
              <w:t>泗阳5GW高效电池项目工程</w:t>
            </w:r>
          </w:p>
        </w:tc>
        <w:tc>
          <w:tcPr>
            <w:tcW w:w="1418" w:type="dxa"/>
            <w:shd w:val="clear" w:color="auto" w:fill="FFFFFF" w:themeFill="background1"/>
            <w:vAlign w:val="center"/>
          </w:tcPr>
          <w:p w14:paraId="4A0C0A50"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1,100,000,000.00</w:t>
            </w:r>
          </w:p>
        </w:tc>
        <w:tc>
          <w:tcPr>
            <w:tcW w:w="1278" w:type="dxa"/>
            <w:shd w:val="clear" w:color="auto" w:fill="FFFFFF" w:themeFill="background1"/>
            <w:vAlign w:val="center"/>
          </w:tcPr>
          <w:p w14:paraId="4AF46EB6"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2,139,909.51</w:t>
            </w:r>
          </w:p>
        </w:tc>
        <w:tc>
          <w:tcPr>
            <w:tcW w:w="1273" w:type="dxa"/>
            <w:shd w:val="clear" w:color="auto" w:fill="FFFFFF" w:themeFill="background1"/>
            <w:vAlign w:val="center"/>
          </w:tcPr>
          <w:p w14:paraId="1E48192E"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742,983.18</w:t>
            </w:r>
          </w:p>
        </w:tc>
        <w:tc>
          <w:tcPr>
            <w:tcW w:w="1134" w:type="dxa"/>
            <w:shd w:val="clear" w:color="auto" w:fill="FFFFFF" w:themeFill="background1"/>
            <w:vAlign w:val="center"/>
          </w:tcPr>
          <w:p w14:paraId="4EFAC41D"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1,977,784.48</w:t>
            </w:r>
          </w:p>
        </w:tc>
        <w:tc>
          <w:tcPr>
            <w:tcW w:w="1276" w:type="dxa"/>
            <w:shd w:val="clear" w:color="auto" w:fill="FFFFFF" w:themeFill="background1"/>
            <w:vAlign w:val="center"/>
          </w:tcPr>
          <w:p w14:paraId="0542748A"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905,108.21</w:t>
            </w:r>
          </w:p>
        </w:tc>
        <w:tc>
          <w:tcPr>
            <w:tcW w:w="1276" w:type="dxa"/>
            <w:shd w:val="clear" w:color="auto" w:fill="FFFFFF" w:themeFill="background1"/>
            <w:vAlign w:val="center"/>
          </w:tcPr>
          <w:p w14:paraId="617D8A1A" w14:textId="77777777" w:rsidR="006409EF" w:rsidRPr="00040A18" w:rsidRDefault="006409EF">
            <w:pPr>
              <w:spacing w:line="240" w:lineRule="exact"/>
              <w:jc w:val="right"/>
              <w:rPr>
                <w:rFonts w:ascii="宋体" w:eastAsia="宋体" w:hAnsi="宋体" w:cs="宋体" w:hint="eastAsia"/>
                <w:sz w:val="15"/>
                <w:szCs w:val="15"/>
              </w:rPr>
            </w:pPr>
          </w:p>
        </w:tc>
        <w:tc>
          <w:tcPr>
            <w:tcW w:w="850" w:type="dxa"/>
            <w:shd w:val="clear" w:color="auto" w:fill="FFFFFF" w:themeFill="background1"/>
            <w:vAlign w:val="center"/>
          </w:tcPr>
          <w:p w14:paraId="2827FB96"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62.07%</w:t>
            </w:r>
          </w:p>
        </w:tc>
        <w:tc>
          <w:tcPr>
            <w:tcW w:w="676" w:type="dxa"/>
            <w:shd w:val="clear" w:color="auto" w:fill="FFFFFF" w:themeFill="background1"/>
            <w:vAlign w:val="center"/>
          </w:tcPr>
          <w:p w14:paraId="20EB71CD" w14:textId="77777777" w:rsidR="006409EF" w:rsidRPr="00040A18" w:rsidRDefault="006409EF">
            <w:pPr>
              <w:spacing w:line="240" w:lineRule="exact"/>
              <w:rPr>
                <w:rFonts w:ascii="宋体" w:eastAsia="宋体" w:hAnsi="宋体" w:cs="宋体" w:hint="eastAsia"/>
                <w:sz w:val="15"/>
                <w:szCs w:val="15"/>
              </w:rPr>
            </w:pPr>
            <w:r w:rsidRPr="00040A18">
              <w:rPr>
                <w:rFonts w:ascii="宋体" w:eastAsia="宋体" w:hAnsi="宋体" w:cs="宋体"/>
                <w:sz w:val="15"/>
                <w:szCs w:val="15"/>
              </w:rPr>
              <w:t>75%</w:t>
            </w:r>
          </w:p>
        </w:tc>
        <w:tc>
          <w:tcPr>
            <w:tcW w:w="1199" w:type="dxa"/>
            <w:shd w:val="clear" w:color="auto" w:fill="FFFFFF" w:themeFill="background1"/>
            <w:vAlign w:val="center"/>
          </w:tcPr>
          <w:p w14:paraId="037983D1" w14:textId="77777777" w:rsidR="006409EF" w:rsidRPr="00040A18" w:rsidRDefault="006409EF">
            <w:pPr>
              <w:spacing w:line="240" w:lineRule="exact"/>
              <w:jc w:val="right"/>
              <w:rPr>
                <w:rFonts w:ascii="宋体" w:eastAsia="宋体" w:hAnsi="宋体" w:cs="宋体" w:hint="eastAsia"/>
                <w:sz w:val="15"/>
                <w:szCs w:val="15"/>
              </w:rPr>
            </w:pPr>
          </w:p>
        </w:tc>
        <w:tc>
          <w:tcPr>
            <w:tcW w:w="819" w:type="dxa"/>
            <w:shd w:val="clear" w:color="auto" w:fill="FFFFFF" w:themeFill="background1"/>
            <w:vAlign w:val="center"/>
          </w:tcPr>
          <w:p w14:paraId="67C2A132" w14:textId="77777777" w:rsidR="006409EF" w:rsidRPr="00040A18" w:rsidRDefault="006409EF">
            <w:pPr>
              <w:spacing w:line="240" w:lineRule="exact"/>
              <w:jc w:val="right"/>
              <w:rPr>
                <w:rFonts w:ascii="宋体" w:eastAsia="宋体" w:hAnsi="宋体" w:cs="宋体" w:hint="eastAsia"/>
                <w:sz w:val="15"/>
                <w:szCs w:val="15"/>
              </w:rPr>
            </w:pPr>
          </w:p>
        </w:tc>
        <w:tc>
          <w:tcPr>
            <w:tcW w:w="708" w:type="dxa"/>
            <w:shd w:val="clear" w:color="auto" w:fill="FFFFFF" w:themeFill="background1"/>
            <w:vAlign w:val="center"/>
          </w:tcPr>
          <w:p w14:paraId="30AEE4D0" w14:textId="77777777" w:rsidR="006409EF" w:rsidRPr="00040A18" w:rsidRDefault="006409EF">
            <w:pPr>
              <w:spacing w:line="240" w:lineRule="exact"/>
              <w:jc w:val="right"/>
              <w:rPr>
                <w:rFonts w:ascii="宋体" w:eastAsia="宋体" w:hAnsi="宋体" w:cs="宋体" w:hint="eastAsia"/>
                <w:sz w:val="15"/>
                <w:szCs w:val="15"/>
              </w:rPr>
            </w:pPr>
          </w:p>
        </w:tc>
        <w:tc>
          <w:tcPr>
            <w:tcW w:w="958" w:type="dxa"/>
            <w:shd w:val="clear" w:color="auto" w:fill="FFFFFF" w:themeFill="background1"/>
            <w:vAlign w:val="center"/>
          </w:tcPr>
          <w:p w14:paraId="408CDDBF" w14:textId="77777777" w:rsidR="006409EF" w:rsidRPr="00040A18" w:rsidRDefault="006409EF" w:rsidP="006409EF">
            <w:pPr>
              <w:widowControl/>
              <w:jc w:val="center"/>
              <w:textAlignment w:val="bottom"/>
              <w:rPr>
                <w:rFonts w:ascii="宋体" w:hAnsi="宋体" w:cs="宋体" w:hint="eastAsia"/>
                <w:color w:val="000000"/>
                <w:sz w:val="15"/>
                <w:szCs w:val="15"/>
              </w:rPr>
            </w:pPr>
            <w:r w:rsidRPr="00040A18">
              <w:rPr>
                <w:rFonts w:ascii="宋体" w:hAnsi="宋体" w:cs="宋体" w:hint="eastAsia"/>
                <w:color w:val="000000"/>
                <w:kern w:val="0"/>
                <w:sz w:val="15"/>
                <w:szCs w:val="15"/>
                <w:lang w:bidi="ar"/>
              </w:rPr>
              <w:t>自筹资金</w:t>
            </w:r>
          </w:p>
        </w:tc>
      </w:tr>
      <w:tr w:rsidR="006409EF" w:rsidRPr="00040A18" w14:paraId="30863395" w14:textId="77777777" w:rsidTr="001F5A64">
        <w:trPr>
          <w:trHeight w:val="240"/>
        </w:trPr>
        <w:tc>
          <w:tcPr>
            <w:tcW w:w="1131" w:type="dxa"/>
            <w:shd w:val="clear" w:color="auto" w:fill="FFFFFF" w:themeFill="background1"/>
            <w:vAlign w:val="center"/>
          </w:tcPr>
          <w:p w14:paraId="33B94768" w14:textId="77777777" w:rsidR="006409EF" w:rsidRPr="00040A18" w:rsidRDefault="006409EF">
            <w:pPr>
              <w:spacing w:line="240" w:lineRule="exact"/>
              <w:rPr>
                <w:rFonts w:ascii="宋体" w:eastAsia="宋体" w:hAnsi="宋体" w:cs="宋体" w:hint="eastAsia"/>
                <w:sz w:val="15"/>
                <w:szCs w:val="15"/>
              </w:rPr>
            </w:pPr>
            <w:r w:rsidRPr="00040A18">
              <w:rPr>
                <w:rFonts w:ascii="宋体" w:eastAsia="宋体" w:hAnsi="宋体" w:cs="宋体"/>
                <w:sz w:val="15"/>
                <w:szCs w:val="15"/>
              </w:rPr>
              <w:t>泗阳腾晖新能源5GW组件项目</w:t>
            </w:r>
          </w:p>
        </w:tc>
        <w:tc>
          <w:tcPr>
            <w:tcW w:w="1418" w:type="dxa"/>
            <w:shd w:val="clear" w:color="auto" w:fill="FFFFFF" w:themeFill="background1"/>
            <w:vAlign w:val="center"/>
          </w:tcPr>
          <w:p w14:paraId="65F51E72"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560,000,000.00</w:t>
            </w:r>
          </w:p>
        </w:tc>
        <w:tc>
          <w:tcPr>
            <w:tcW w:w="1278" w:type="dxa"/>
            <w:shd w:val="clear" w:color="auto" w:fill="FFFFFF" w:themeFill="background1"/>
            <w:vAlign w:val="center"/>
          </w:tcPr>
          <w:p w14:paraId="079DE810"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14,536,696.59</w:t>
            </w:r>
          </w:p>
        </w:tc>
        <w:tc>
          <w:tcPr>
            <w:tcW w:w="1273" w:type="dxa"/>
            <w:shd w:val="clear" w:color="auto" w:fill="FFFFFF" w:themeFill="background1"/>
            <w:vAlign w:val="center"/>
          </w:tcPr>
          <w:p w14:paraId="4FDC6FD3"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871,614.82</w:t>
            </w:r>
          </w:p>
        </w:tc>
        <w:tc>
          <w:tcPr>
            <w:tcW w:w="1134" w:type="dxa"/>
            <w:shd w:val="clear" w:color="auto" w:fill="FFFFFF" w:themeFill="background1"/>
            <w:vAlign w:val="center"/>
          </w:tcPr>
          <w:p w14:paraId="56BACC77"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2,998,093.58</w:t>
            </w:r>
          </w:p>
        </w:tc>
        <w:tc>
          <w:tcPr>
            <w:tcW w:w="1276" w:type="dxa"/>
            <w:shd w:val="clear" w:color="auto" w:fill="FFFFFF" w:themeFill="background1"/>
            <w:vAlign w:val="center"/>
          </w:tcPr>
          <w:p w14:paraId="5742D0C3"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12,410,217.83</w:t>
            </w:r>
          </w:p>
        </w:tc>
        <w:tc>
          <w:tcPr>
            <w:tcW w:w="1276" w:type="dxa"/>
            <w:shd w:val="clear" w:color="auto" w:fill="FFFFFF" w:themeFill="background1"/>
            <w:vAlign w:val="center"/>
          </w:tcPr>
          <w:p w14:paraId="394FB962" w14:textId="77777777" w:rsidR="006409EF" w:rsidRPr="00040A18" w:rsidRDefault="006409EF">
            <w:pPr>
              <w:spacing w:line="240" w:lineRule="exact"/>
              <w:jc w:val="right"/>
              <w:rPr>
                <w:rFonts w:ascii="宋体" w:eastAsia="宋体" w:hAnsi="宋体" w:cs="宋体" w:hint="eastAsia"/>
                <w:sz w:val="15"/>
                <w:szCs w:val="15"/>
              </w:rPr>
            </w:pPr>
          </w:p>
        </w:tc>
        <w:tc>
          <w:tcPr>
            <w:tcW w:w="850" w:type="dxa"/>
            <w:shd w:val="clear" w:color="auto" w:fill="FFFFFF" w:themeFill="background1"/>
            <w:vAlign w:val="center"/>
          </w:tcPr>
          <w:p w14:paraId="4287B7B2"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41.92%</w:t>
            </w:r>
          </w:p>
        </w:tc>
        <w:tc>
          <w:tcPr>
            <w:tcW w:w="676" w:type="dxa"/>
            <w:shd w:val="clear" w:color="auto" w:fill="FFFFFF" w:themeFill="background1"/>
            <w:vAlign w:val="center"/>
          </w:tcPr>
          <w:p w14:paraId="6B9F125C" w14:textId="77777777" w:rsidR="006409EF" w:rsidRPr="00040A18" w:rsidRDefault="006409EF">
            <w:pPr>
              <w:spacing w:line="240" w:lineRule="exact"/>
              <w:rPr>
                <w:rFonts w:ascii="宋体" w:eastAsia="宋体" w:hAnsi="宋体" w:cs="宋体" w:hint="eastAsia"/>
                <w:sz w:val="15"/>
                <w:szCs w:val="15"/>
              </w:rPr>
            </w:pPr>
            <w:r w:rsidRPr="00040A18">
              <w:rPr>
                <w:rFonts w:ascii="宋体" w:eastAsia="宋体" w:hAnsi="宋体" w:cs="宋体"/>
                <w:sz w:val="15"/>
                <w:szCs w:val="15"/>
              </w:rPr>
              <w:t>40%</w:t>
            </w:r>
          </w:p>
        </w:tc>
        <w:tc>
          <w:tcPr>
            <w:tcW w:w="1199" w:type="dxa"/>
            <w:shd w:val="clear" w:color="auto" w:fill="FFFFFF" w:themeFill="background1"/>
            <w:vAlign w:val="center"/>
          </w:tcPr>
          <w:p w14:paraId="50904670" w14:textId="77777777" w:rsidR="006409EF" w:rsidRPr="00040A18" w:rsidRDefault="006409EF">
            <w:pPr>
              <w:spacing w:line="240" w:lineRule="exact"/>
              <w:jc w:val="right"/>
              <w:rPr>
                <w:rFonts w:ascii="宋体" w:eastAsia="宋体" w:hAnsi="宋体" w:cs="宋体" w:hint="eastAsia"/>
                <w:sz w:val="15"/>
                <w:szCs w:val="15"/>
              </w:rPr>
            </w:pPr>
          </w:p>
        </w:tc>
        <w:tc>
          <w:tcPr>
            <w:tcW w:w="819" w:type="dxa"/>
            <w:shd w:val="clear" w:color="auto" w:fill="FFFFFF" w:themeFill="background1"/>
            <w:vAlign w:val="center"/>
          </w:tcPr>
          <w:p w14:paraId="49EB09A2" w14:textId="77777777" w:rsidR="006409EF" w:rsidRPr="00040A18" w:rsidRDefault="006409EF">
            <w:pPr>
              <w:spacing w:line="240" w:lineRule="exact"/>
              <w:jc w:val="right"/>
              <w:rPr>
                <w:rFonts w:ascii="宋体" w:eastAsia="宋体" w:hAnsi="宋体" w:cs="宋体" w:hint="eastAsia"/>
                <w:sz w:val="15"/>
                <w:szCs w:val="15"/>
              </w:rPr>
            </w:pPr>
          </w:p>
        </w:tc>
        <w:tc>
          <w:tcPr>
            <w:tcW w:w="708" w:type="dxa"/>
            <w:shd w:val="clear" w:color="auto" w:fill="FFFFFF" w:themeFill="background1"/>
            <w:vAlign w:val="center"/>
          </w:tcPr>
          <w:p w14:paraId="58DD689D" w14:textId="77777777" w:rsidR="006409EF" w:rsidRPr="00040A18" w:rsidRDefault="006409EF">
            <w:pPr>
              <w:spacing w:line="240" w:lineRule="exact"/>
              <w:jc w:val="right"/>
              <w:rPr>
                <w:rFonts w:ascii="宋体" w:eastAsia="宋体" w:hAnsi="宋体" w:cs="宋体" w:hint="eastAsia"/>
                <w:sz w:val="15"/>
                <w:szCs w:val="15"/>
              </w:rPr>
            </w:pPr>
          </w:p>
        </w:tc>
        <w:tc>
          <w:tcPr>
            <w:tcW w:w="958" w:type="dxa"/>
            <w:shd w:val="clear" w:color="auto" w:fill="FFFFFF" w:themeFill="background1"/>
            <w:vAlign w:val="center"/>
          </w:tcPr>
          <w:p w14:paraId="410323EE" w14:textId="77777777" w:rsidR="006409EF" w:rsidRPr="00040A18" w:rsidRDefault="006409EF" w:rsidP="006409EF">
            <w:pPr>
              <w:widowControl/>
              <w:jc w:val="center"/>
              <w:textAlignment w:val="bottom"/>
              <w:rPr>
                <w:rFonts w:ascii="宋体" w:hAnsi="宋体" w:cs="宋体" w:hint="eastAsia"/>
                <w:color w:val="000000"/>
                <w:sz w:val="15"/>
                <w:szCs w:val="15"/>
              </w:rPr>
            </w:pPr>
            <w:r w:rsidRPr="00040A18">
              <w:rPr>
                <w:rFonts w:ascii="宋体" w:hAnsi="宋体" w:cs="宋体" w:hint="eastAsia"/>
                <w:color w:val="000000"/>
                <w:kern w:val="0"/>
                <w:sz w:val="15"/>
                <w:szCs w:val="15"/>
                <w:lang w:bidi="ar"/>
              </w:rPr>
              <w:t>自筹资金</w:t>
            </w:r>
          </w:p>
        </w:tc>
      </w:tr>
      <w:tr w:rsidR="006409EF" w:rsidRPr="00040A18" w14:paraId="1EFD5165" w14:textId="77777777" w:rsidTr="001F5A64">
        <w:trPr>
          <w:trHeight w:val="240"/>
        </w:trPr>
        <w:tc>
          <w:tcPr>
            <w:tcW w:w="1131" w:type="dxa"/>
            <w:shd w:val="clear" w:color="auto" w:fill="FFFFFF" w:themeFill="background1"/>
            <w:vAlign w:val="center"/>
          </w:tcPr>
          <w:p w14:paraId="2775B7F8" w14:textId="77777777" w:rsidR="006409EF" w:rsidRPr="00040A18" w:rsidRDefault="006409EF">
            <w:pPr>
              <w:spacing w:line="240" w:lineRule="exact"/>
              <w:rPr>
                <w:rFonts w:ascii="宋体" w:eastAsia="宋体" w:hAnsi="宋体" w:cs="宋体" w:hint="eastAsia"/>
                <w:sz w:val="15"/>
                <w:szCs w:val="15"/>
              </w:rPr>
            </w:pPr>
            <w:r w:rsidRPr="00040A18">
              <w:rPr>
                <w:rFonts w:ascii="宋体" w:eastAsia="宋体" w:hAnsi="宋体" w:cs="宋体"/>
                <w:sz w:val="15"/>
                <w:szCs w:val="15"/>
              </w:rPr>
              <w:t>沛县腾晖新能源年产3GW组件生产线建设项目</w:t>
            </w:r>
          </w:p>
        </w:tc>
        <w:tc>
          <w:tcPr>
            <w:tcW w:w="1418" w:type="dxa"/>
            <w:shd w:val="clear" w:color="auto" w:fill="FFFFFF" w:themeFill="background1"/>
            <w:vAlign w:val="center"/>
          </w:tcPr>
          <w:p w14:paraId="6A1F5A97"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290,000,000.00</w:t>
            </w:r>
          </w:p>
        </w:tc>
        <w:tc>
          <w:tcPr>
            <w:tcW w:w="1278" w:type="dxa"/>
            <w:shd w:val="clear" w:color="auto" w:fill="FFFFFF" w:themeFill="background1"/>
            <w:vAlign w:val="center"/>
          </w:tcPr>
          <w:p w14:paraId="4FE34738"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72,547,395.65</w:t>
            </w:r>
          </w:p>
        </w:tc>
        <w:tc>
          <w:tcPr>
            <w:tcW w:w="1273" w:type="dxa"/>
            <w:shd w:val="clear" w:color="auto" w:fill="FFFFFF" w:themeFill="background1"/>
            <w:vAlign w:val="center"/>
          </w:tcPr>
          <w:p w14:paraId="5D300C8E"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11,238,479.82</w:t>
            </w:r>
          </w:p>
        </w:tc>
        <w:tc>
          <w:tcPr>
            <w:tcW w:w="1134" w:type="dxa"/>
            <w:shd w:val="clear" w:color="auto" w:fill="FFFFFF" w:themeFill="background1"/>
            <w:vAlign w:val="center"/>
          </w:tcPr>
          <w:p w14:paraId="175E7BEE"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72,610.61</w:t>
            </w:r>
          </w:p>
        </w:tc>
        <w:tc>
          <w:tcPr>
            <w:tcW w:w="1276" w:type="dxa"/>
            <w:shd w:val="clear" w:color="auto" w:fill="FFFFFF" w:themeFill="background1"/>
            <w:vAlign w:val="center"/>
          </w:tcPr>
          <w:p w14:paraId="1EC512DC"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83,713,264.86</w:t>
            </w:r>
          </w:p>
        </w:tc>
        <w:tc>
          <w:tcPr>
            <w:tcW w:w="1276" w:type="dxa"/>
            <w:shd w:val="clear" w:color="auto" w:fill="FFFFFF" w:themeFill="background1"/>
            <w:vAlign w:val="center"/>
          </w:tcPr>
          <w:p w14:paraId="09713AA5" w14:textId="77777777" w:rsidR="006409EF" w:rsidRPr="00040A18" w:rsidRDefault="006409EF">
            <w:pPr>
              <w:spacing w:line="240" w:lineRule="exact"/>
              <w:jc w:val="right"/>
              <w:rPr>
                <w:rFonts w:ascii="宋体" w:eastAsia="宋体" w:hAnsi="宋体" w:cs="宋体" w:hint="eastAsia"/>
                <w:sz w:val="15"/>
                <w:szCs w:val="15"/>
              </w:rPr>
            </w:pPr>
          </w:p>
        </w:tc>
        <w:tc>
          <w:tcPr>
            <w:tcW w:w="850" w:type="dxa"/>
            <w:shd w:val="clear" w:color="auto" w:fill="FFFFFF" w:themeFill="background1"/>
            <w:vAlign w:val="center"/>
          </w:tcPr>
          <w:p w14:paraId="57E392AC"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46.03%</w:t>
            </w:r>
          </w:p>
        </w:tc>
        <w:tc>
          <w:tcPr>
            <w:tcW w:w="676" w:type="dxa"/>
            <w:shd w:val="clear" w:color="auto" w:fill="FFFFFF" w:themeFill="background1"/>
            <w:vAlign w:val="center"/>
          </w:tcPr>
          <w:p w14:paraId="507EBC4E" w14:textId="77777777" w:rsidR="006409EF" w:rsidRPr="00040A18" w:rsidRDefault="006409EF">
            <w:pPr>
              <w:spacing w:line="240" w:lineRule="exact"/>
              <w:rPr>
                <w:rFonts w:ascii="宋体" w:eastAsia="宋体" w:hAnsi="宋体" w:cs="宋体" w:hint="eastAsia"/>
                <w:sz w:val="15"/>
                <w:szCs w:val="15"/>
              </w:rPr>
            </w:pPr>
            <w:r w:rsidRPr="00040A18">
              <w:rPr>
                <w:rFonts w:ascii="宋体" w:eastAsia="宋体" w:hAnsi="宋体" w:cs="宋体"/>
                <w:sz w:val="15"/>
                <w:szCs w:val="15"/>
              </w:rPr>
              <w:t>75%</w:t>
            </w:r>
          </w:p>
        </w:tc>
        <w:tc>
          <w:tcPr>
            <w:tcW w:w="1199" w:type="dxa"/>
            <w:shd w:val="clear" w:color="auto" w:fill="FFFFFF" w:themeFill="background1"/>
            <w:vAlign w:val="center"/>
          </w:tcPr>
          <w:p w14:paraId="290AE4CA" w14:textId="77777777" w:rsidR="006409EF" w:rsidRPr="00040A18" w:rsidRDefault="006409EF">
            <w:pPr>
              <w:spacing w:line="240" w:lineRule="exact"/>
              <w:jc w:val="right"/>
              <w:rPr>
                <w:rFonts w:ascii="宋体" w:eastAsia="宋体" w:hAnsi="宋体" w:cs="宋体" w:hint="eastAsia"/>
                <w:sz w:val="15"/>
                <w:szCs w:val="15"/>
              </w:rPr>
            </w:pPr>
          </w:p>
        </w:tc>
        <w:tc>
          <w:tcPr>
            <w:tcW w:w="819" w:type="dxa"/>
            <w:shd w:val="clear" w:color="auto" w:fill="FFFFFF" w:themeFill="background1"/>
            <w:vAlign w:val="center"/>
          </w:tcPr>
          <w:p w14:paraId="21F7D4CE" w14:textId="77777777" w:rsidR="006409EF" w:rsidRPr="00040A18" w:rsidRDefault="006409EF">
            <w:pPr>
              <w:spacing w:line="240" w:lineRule="exact"/>
              <w:jc w:val="right"/>
              <w:rPr>
                <w:rFonts w:ascii="宋体" w:eastAsia="宋体" w:hAnsi="宋体" w:cs="宋体" w:hint="eastAsia"/>
                <w:sz w:val="15"/>
                <w:szCs w:val="15"/>
              </w:rPr>
            </w:pPr>
          </w:p>
        </w:tc>
        <w:tc>
          <w:tcPr>
            <w:tcW w:w="708" w:type="dxa"/>
            <w:shd w:val="clear" w:color="auto" w:fill="FFFFFF" w:themeFill="background1"/>
            <w:vAlign w:val="center"/>
          </w:tcPr>
          <w:p w14:paraId="3BAB97E3" w14:textId="77777777" w:rsidR="006409EF" w:rsidRPr="00040A18" w:rsidRDefault="006409EF">
            <w:pPr>
              <w:spacing w:line="240" w:lineRule="exact"/>
              <w:jc w:val="right"/>
              <w:rPr>
                <w:rFonts w:ascii="宋体" w:eastAsia="宋体" w:hAnsi="宋体" w:cs="宋体" w:hint="eastAsia"/>
                <w:sz w:val="15"/>
                <w:szCs w:val="15"/>
              </w:rPr>
            </w:pPr>
          </w:p>
        </w:tc>
        <w:tc>
          <w:tcPr>
            <w:tcW w:w="958" w:type="dxa"/>
            <w:shd w:val="clear" w:color="auto" w:fill="FFFFFF" w:themeFill="background1"/>
            <w:vAlign w:val="center"/>
          </w:tcPr>
          <w:p w14:paraId="40EEAA05" w14:textId="77777777" w:rsidR="006409EF" w:rsidRPr="00040A18" w:rsidRDefault="006409EF" w:rsidP="006409EF">
            <w:pPr>
              <w:widowControl/>
              <w:jc w:val="center"/>
              <w:textAlignment w:val="bottom"/>
              <w:rPr>
                <w:rFonts w:ascii="宋体" w:hAnsi="宋体" w:cs="宋体" w:hint="eastAsia"/>
                <w:color w:val="000000"/>
                <w:sz w:val="15"/>
                <w:szCs w:val="15"/>
              </w:rPr>
            </w:pPr>
            <w:r w:rsidRPr="00040A18">
              <w:rPr>
                <w:rFonts w:ascii="宋体" w:hAnsi="宋体" w:cs="宋体" w:hint="eastAsia"/>
                <w:color w:val="000000"/>
                <w:kern w:val="0"/>
                <w:sz w:val="15"/>
                <w:szCs w:val="15"/>
                <w:lang w:bidi="ar"/>
              </w:rPr>
              <w:t>自筹资金</w:t>
            </w:r>
          </w:p>
        </w:tc>
      </w:tr>
      <w:tr w:rsidR="006409EF" w:rsidRPr="00040A18" w14:paraId="5F49406F" w14:textId="77777777" w:rsidTr="001F5A64">
        <w:trPr>
          <w:trHeight w:val="240"/>
        </w:trPr>
        <w:tc>
          <w:tcPr>
            <w:tcW w:w="1131" w:type="dxa"/>
            <w:shd w:val="clear" w:color="auto" w:fill="FFFFFF" w:themeFill="background1"/>
            <w:vAlign w:val="center"/>
          </w:tcPr>
          <w:p w14:paraId="77283F6B" w14:textId="77777777" w:rsidR="006409EF" w:rsidRPr="00040A18" w:rsidRDefault="006409EF">
            <w:pPr>
              <w:spacing w:before="40" w:after="40" w:line="240" w:lineRule="exact"/>
              <w:rPr>
                <w:rFonts w:ascii="宋体" w:eastAsia="宋体" w:hAnsi="宋体" w:cs="宋体" w:hint="eastAsia"/>
                <w:sz w:val="15"/>
                <w:szCs w:val="15"/>
              </w:rPr>
            </w:pPr>
            <w:r w:rsidRPr="00040A18">
              <w:rPr>
                <w:rFonts w:ascii="宋体" w:eastAsia="宋体" w:hAnsi="宋体" w:cs="宋体"/>
                <w:sz w:val="15"/>
                <w:szCs w:val="15"/>
              </w:rPr>
              <w:t>合计</w:t>
            </w:r>
          </w:p>
        </w:tc>
        <w:tc>
          <w:tcPr>
            <w:tcW w:w="1418" w:type="dxa"/>
            <w:shd w:val="clear" w:color="auto" w:fill="FFFFFF" w:themeFill="background1"/>
            <w:vAlign w:val="center"/>
          </w:tcPr>
          <w:p w14:paraId="5E15E0C2"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4,379,362,200.00</w:t>
            </w:r>
          </w:p>
        </w:tc>
        <w:tc>
          <w:tcPr>
            <w:tcW w:w="1278" w:type="dxa"/>
            <w:shd w:val="clear" w:color="auto" w:fill="FFFFFF" w:themeFill="background1"/>
            <w:vAlign w:val="center"/>
          </w:tcPr>
          <w:p w14:paraId="085C5A1B"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886,238,758.67</w:t>
            </w:r>
          </w:p>
        </w:tc>
        <w:tc>
          <w:tcPr>
            <w:tcW w:w="1273" w:type="dxa"/>
            <w:shd w:val="clear" w:color="auto" w:fill="FFFFFF" w:themeFill="background1"/>
            <w:vAlign w:val="center"/>
          </w:tcPr>
          <w:p w14:paraId="59F9794D"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29,457,874.96</w:t>
            </w:r>
          </w:p>
        </w:tc>
        <w:tc>
          <w:tcPr>
            <w:tcW w:w="1134" w:type="dxa"/>
            <w:shd w:val="clear" w:color="auto" w:fill="FFFFFF" w:themeFill="background1"/>
            <w:vAlign w:val="center"/>
          </w:tcPr>
          <w:p w14:paraId="52AF615A"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5,815,845.86</w:t>
            </w:r>
          </w:p>
        </w:tc>
        <w:tc>
          <w:tcPr>
            <w:tcW w:w="1276" w:type="dxa"/>
            <w:shd w:val="clear" w:color="auto" w:fill="FFFFFF" w:themeFill="background1"/>
            <w:vAlign w:val="center"/>
          </w:tcPr>
          <w:p w14:paraId="2D36A67E"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236,713,400.70</w:t>
            </w:r>
            <w:r w:rsidRPr="00040A18">
              <w:rPr>
                <w:rFonts w:ascii="Times New Roman" w:eastAsia="宋体" w:hAnsi="Times New Roman" w:cs="Times New Roman"/>
                <w:color w:val="F00000"/>
                <w:sz w:val="15"/>
                <w:szCs w:val="15"/>
                <w:vertAlign w:val="superscript"/>
              </w:rPr>
              <w:t>1</w:t>
            </w:r>
          </w:p>
        </w:tc>
        <w:tc>
          <w:tcPr>
            <w:tcW w:w="1276" w:type="dxa"/>
            <w:shd w:val="clear" w:color="auto" w:fill="FFFFFF" w:themeFill="background1"/>
            <w:vAlign w:val="center"/>
          </w:tcPr>
          <w:p w14:paraId="249DFFB9"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673,167,387.07</w:t>
            </w:r>
          </w:p>
        </w:tc>
        <w:tc>
          <w:tcPr>
            <w:tcW w:w="850" w:type="dxa"/>
            <w:shd w:val="clear" w:color="auto" w:fill="FFFFFF" w:themeFill="background1"/>
            <w:vAlign w:val="center"/>
          </w:tcPr>
          <w:p w14:paraId="5C682EC7" w14:textId="77777777" w:rsidR="006409EF" w:rsidRPr="00040A18" w:rsidRDefault="006409EF">
            <w:pPr>
              <w:rPr>
                <w:sz w:val="15"/>
                <w:szCs w:val="15"/>
              </w:rPr>
            </w:pPr>
          </w:p>
        </w:tc>
        <w:tc>
          <w:tcPr>
            <w:tcW w:w="676" w:type="dxa"/>
            <w:shd w:val="clear" w:color="auto" w:fill="FFFFFF" w:themeFill="background1"/>
            <w:vAlign w:val="center"/>
          </w:tcPr>
          <w:p w14:paraId="23D76894" w14:textId="77777777" w:rsidR="006409EF" w:rsidRPr="00040A18" w:rsidRDefault="006409EF">
            <w:pPr>
              <w:rPr>
                <w:sz w:val="15"/>
                <w:szCs w:val="15"/>
              </w:rPr>
            </w:pPr>
          </w:p>
        </w:tc>
        <w:tc>
          <w:tcPr>
            <w:tcW w:w="1199" w:type="dxa"/>
            <w:shd w:val="clear" w:color="auto" w:fill="FFFFFF" w:themeFill="background1"/>
            <w:vAlign w:val="center"/>
          </w:tcPr>
          <w:p w14:paraId="19D3B8E7" w14:textId="77777777" w:rsidR="006409EF" w:rsidRPr="00040A18" w:rsidRDefault="006409EF">
            <w:pPr>
              <w:spacing w:line="240" w:lineRule="exact"/>
              <w:jc w:val="right"/>
              <w:rPr>
                <w:rFonts w:ascii="宋体" w:eastAsia="宋体" w:hAnsi="宋体" w:cs="宋体" w:hint="eastAsia"/>
                <w:sz w:val="15"/>
                <w:szCs w:val="15"/>
              </w:rPr>
            </w:pPr>
            <w:r w:rsidRPr="00040A18">
              <w:rPr>
                <w:rFonts w:ascii="宋体" w:eastAsia="宋体" w:hAnsi="宋体" w:cs="宋体"/>
                <w:sz w:val="15"/>
                <w:szCs w:val="15"/>
              </w:rPr>
              <w:t>6,035,000.03</w:t>
            </w:r>
          </w:p>
        </w:tc>
        <w:tc>
          <w:tcPr>
            <w:tcW w:w="819" w:type="dxa"/>
            <w:shd w:val="clear" w:color="auto" w:fill="FFFFFF" w:themeFill="background1"/>
            <w:vAlign w:val="center"/>
          </w:tcPr>
          <w:p w14:paraId="6A69462A" w14:textId="77777777" w:rsidR="006409EF" w:rsidRPr="00040A18" w:rsidRDefault="006409EF">
            <w:pPr>
              <w:spacing w:line="240" w:lineRule="exact"/>
              <w:jc w:val="right"/>
              <w:rPr>
                <w:rFonts w:ascii="宋体" w:eastAsia="宋体" w:hAnsi="宋体" w:cs="宋体" w:hint="eastAsia"/>
                <w:sz w:val="15"/>
                <w:szCs w:val="15"/>
              </w:rPr>
            </w:pPr>
          </w:p>
        </w:tc>
        <w:tc>
          <w:tcPr>
            <w:tcW w:w="708" w:type="dxa"/>
            <w:shd w:val="clear" w:color="auto" w:fill="FFFFFF" w:themeFill="background1"/>
            <w:vAlign w:val="center"/>
          </w:tcPr>
          <w:p w14:paraId="63B5A7B3" w14:textId="77777777" w:rsidR="006409EF" w:rsidRPr="00040A18" w:rsidRDefault="006409EF">
            <w:pPr>
              <w:spacing w:line="240" w:lineRule="exact"/>
              <w:jc w:val="right"/>
              <w:rPr>
                <w:rFonts w:ascii="宋体" w:eastAsia="宋体" w:hAnsi="宋体" w:cs="宋体" w:hint="eastAsia"/>
                <w:sz w:val="15"/>
                <w:szCs w:val="15"/>
              </w:rPr>
            </w:pPr>
          </w:p>
        </w:tc>
        <w:tc>
          <w:tcPr>
            <w:tcW w:w="958" w:type="dxa"/>
            <w:shd w:val="clear" w:color="auto" w:fill="FFFFFF" w:themeFill="background1"/>
            <w:vAlign w:val="center"/>
          </w:tcPr>
          <w:p w14:paraId="4AEF7430" w14:textId="77777777" w:rsidR="006409EF" w:rsidRPr="00040A18" w:rsidRDefault="006409EF">
            <w:pPr>
              <w:rPr>
                <w:sz w:val="15"/>
                <w:szCs w:val="15"/>
              </w:rPr>
            </w:pPr>
          </w:p>
        </w:tc>
      </w:tr>
    </w:tbl>
    <w:p w14:paraId="1839CADA" w14:textId="1C0F4B8C" w:rsidR="00632E5B" w:rsidRPr="00255FB6" w:rsidRDefault="00107901">
      <w:pPr>
        <w:rPr>
          <w:rFonts w:asciiTheme="minorEastAsia" w:hAnsiTheme="minorEastAsia" w:hint="eastAsia"/>
          <w:sz w:val="18"/>
        </w:rPr>
      </w:pPr>
      <w:r w:rsidRPr="00255FB6">
        <w:rPr>
          <w:rFonts w:asciiTheme="minorEastAsia" w:hAnsiTheme="minorEastAsia" w:cs="仿宋"/>
          <w:sz w:val="18"/>
        </w:rPr>
        <w:t>注</w:t>
      </w:r>
      <w:r w:rsidR="00255FB6">
        <w:rPr>
          <w:rFonts w:asciiTheme="minorEastAsia" w:hAnsiTheme="minorEastAsia" w:cs="仿宋" w:hint="eastAsia"/>
          <w:sz w:val="18"/>
        </w:rPr>
        <w:t>1</w:t>
      </w:r>
      <w:r w:rsidRPr="00255FB6">
        <w:rPr>
          <w:rFonts w:asciiTheme="minorEastAsia" w:hAnsiTheme="minorEastAsia" w:cs="仿宋"/>
          <w:sz w:val="18"/>
        </w:rPr>
        <w:t>：山东腾晖光电3GW电池项目工程、宿迁腾晖新能源年产12GW光伏组件项目、泗阳5GW高效电池项目工程、泗阳腾晖新能源5GW组件项目、沛县腾晖新能源年产3GW 组件生产线建设项目其他减少系处置子公司变动导致。</w:t>
      </w:r>
    </w:p>
    <w:p w14:paraId="43B1A1F2" w14:textId="77777777" w:rsidR="001F5A64" w:rsidRDefault="001F5A64">
      <w:pPr>
        <w:keepNext/>
        <w:keepLines/>
        <w:spacing w:before="300" w:after="300" w:line="280" w:lineRule="exact"/>
        <w:outlineLvl w:val="3"/>
        <w:rPr>
          <w:rFonts w:ascii="宋体" w:eastAsia="宋体" w:hAnsi="宋体" w:cs="宋体" w:hint="eastAsia"/>
          <w:b/>
          <w:bCs/>
          <w:szCs w:val="21"/>
        </w:rPr>
        <w:sectPr w:rsidR="001F5A64" w:rsidSect="001F5A64">
          <w:pgSz w:w="16840" w:h="11905" w:orient="landscape"/>
          <w:pgMar w:top="1134" w:right="1440" w:bottom="1134" w:left="1440" w:header="851" w:footer="992" w:gutter="0"/>
          <w:cols w:space="720"/>
          <w:docGrid w:type="lines" w:linePitch="312"/>
        </w:sectPr>
      </w:pPr>
      <w:bookmarkStart w:id="253" w:name="_Toc989140"/>
    </w:p>
    <w:p w14:paraId="7C27CF94" w14:textId="77777777" w:rsidR="00632E5B" w:rsidRDefault="00107901">
      <w:pPr>
        <w:keepNext/>
        <w:keepLines/>
        <w:spacing w:before="300" w:after="300" w:line="280" w:lineRule="exact"/>
        <w:outlineLvl w:val="3"/>
        <w:rPr>
          <w:rFonts w:ascii="宋体" w:eastAsia="宋体" w:hAnsi="宋体" w:cs="宋体" w:hint="eastAsia"/>
          <w:b/>
          <w:bCs/>
          <w:szCs w:val="21"/>
        </w:rPr>
      </w:pPr>
      <w:r>
        <w:rPr>
          <w:rFonts w:ascii="宋体" w:eastAsia="宋体" w:hAnsi="宋体" w:cs="宋体"/>
          <w:b/>
          <w:bCs/>
          <w:szCs w:val="21"/>
        </w:rPr>
        <w:lastRenderedPageBreak/>
        <w:t>（3） 本期计提在建工程减值准备情况</w:t>
      </w:r>
      <w:bookmarkEnd w:id="253"/>
    </w:p>
    <w:p w14:paraId="1E535E6C"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606"/>
        <w:gridCol w:w="1606"/>
        <w:gridCol w:w="1606"/>
        <w:gridCol w:w="1607"/>
        <w:gridCol w:w="1607"/>
        <w:gridCol w:w="1607"/>
      </w:tblGrid>
      <w:tr w:rsidR="00632E5B" w14:paraId="48B65277" w14:textId="77777777" w:rsidTr="001F5A64">
        <w:trPr>
          <w:trHeight w:val="240"/>
        </w:trPr>
        <w:tc>
          <w:tcPr>
            <w:tcW w:w="1606" w:type="dxa"/>
            <w:shd w:val="clear" w:color="auto" w:fill="FFFFFF" w:themeFill="background1"/>
            <w:vAlign w:val="center"/>
          </w:tcPr>
          <w:p w14:paraId="7F5A203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606" w:type="dxa"/>
            <w:shd w:val="clear" w:color="auto" w:fill="FFFFFF" w:themeFill="background1"/>
            <w:vAlign w:val="center"/>
          </w:tcPr>
          <w:p w14:paraId="3F93972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606" w:type="dxa"/>
            <w:shd w:val="clear" w:color="auto" w:fill="FFFFFF" w:themeFill="background1"/>
            <w:vAlign w:val="center"/>
          </w:tcPr>
          <w:p w14:paraId="1C1BA37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1606" w:type="dxa"/>
            <w:shd w:val="clear" w:color="auto" w:fill="FFFFFF" w:themeFill="background1"/>
            <w:vAlign w:val="center"/>
          </w:tcPr>
          <w:p w14:paraId="6B59F6D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1606" w:type="dxa"/>
            <w:shd w:val="clear" w:color="auto" w:fill="FFFFFF" w:themeFill="background1"/>
            <w:vAlign w:val="center"/>
          </w:tcPr>
          <w:p w14:paraId="755ECF2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1606" w:type="dxa"/>
            <w:shd w:val="clear" w:color="auto" w:fill="FFFFFF" w:themeFill="background1"/>
            <w:vAlign w:val="center"/>
          </w:tcPr>
          <w:p w14:paraId="513DBE3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计提原因</w:t>
            </w:r>
          </w:p>
        </w:tc>
      </w:tr>
      <w:tr w:rsidR="00632E5B" w14:paraId="19FA2C55" w14:textId="77777777" w:rsidTr="001F5A64">
        <w:trPr>
          <w:trHeight w:val="240"/>
        </w:trPr>
        <w:tc>
          <w:tcPr>
            <w:tcW w:w="1606" w:type="dxa"/>
            <w:shd w:val="clear" w:color="auto" w:fill="FFFFFF" w:themeFill="background1"/>
            <w:vAlign w:val="center"/>
          </w:tcPr>
          <w:p w14:paraId="158671F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东北生产基地（二期）</w:t>
            </w:r>
          </w:p>
        </w:tc>
        <w:tc>
          <w:tcPr>
            <w:tcW w:w="1606" w:type="dxa"/>
            <w:shd w:val="clear" w:color="auto" w:fill="FFFFFF" w:themeFill="background1"/>
            <w:vAlign w:val="center"/>
          </w:tcPr>
          <w:p w14:paraId="61CE657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13,548,766.15</w:t>
            </w:r>
          </w:p>
        </w:tc>
        <w:tc>
          <w:tcPr>
            <w:tcW w:w="1606" w:type="dxa"/>
            <w:shd w:val="clear" w:color="auto" w:fill="FFFFFF" w:themeFill="background1"/>
            <w:vAlign w:val="center"/>
          </w:tcPr>
          <w:p w14:paraId="46189A6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8,632,078.19</w:t>
            </w:r>
          </w:p>
        </w:tc>
        <w:tc>
          <w:tcPr>
            <w:tcW w:w="1606" w:type="dxa"/>
            <w:shd w:val="clear" w:color="auto" w:fill="FFFFFF" w:themeFill="background1"/>
            <w:vAlign w:val="center"/>
          </w:tcPr>
          <w:p w14:paraId="38E7E5B1"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3363785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22,180,844.34</w:t>
            </w:r>
          </w:p>
        </w:tc>
        <w:tc>
          <w:tcPr>
            <w:tcW w:w="1606" w:type="dxa"/>
            <w:shd w:val="clear" w:color="auto" w:fill="FFFFFF" w:themeFill="background1"/>
            <w:vAlign w:val="center"/>
          </w:tcPr>
          <w:p w14:paraId="0A0C6E8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项目无法达到预期收益</w:t>
            </w:r>
          </w:p>
        </w:tc>
      </w:tr>
      <w:tr w:rsidR="00632E5B" w14:paraId="224431E5" w14:textId="77777777" w:rsidTr="001F5A64">
        <w:trPr>
          <w:trHeight w:val="240"/>
        </w:trPr>
        <w:tc>
          <w:tcPr>
            <w:tcW w:w="1606" w:type="dxa"/>
            <w:shd w:val="clear" w:color="auto" w:fill="FFFFFF" w:themeFill="background1"/>
            <w:vAlign w:val="center"/>
          </w:tcPr>
          <w:p w14:paraId="2D837E3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青海光纤工程项目三期</w:t>
            </w:r>
          </w:p>
        </w:tc>
        <w:tc>
          <w:tcPr>
            <w:tcW w:w="1606" w:type="dxa"/>
            <w:shd w:val="clear" w:color="auto" w:fill="FFFFFF" w:themeFill="background1"/>
            <w:vAlign w:val="center"/>
          </w:tcPr>
          <w:p w14:paraId="288CD1F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233,494,213.06</w:t>
            </w:r>
          </w:p>
        </w:tc>
        <w:tc>
          <w:tcPr>
            <w:tcW w:w="1606" w:type="dxa"/>
            <w:shd w:val="clear" w:color="auto" w:fill="FFFFFF" w:themeFill="background1"/>
            <w:vAlign w:val="center"/>
          </w:tcPr>
          <w:p w14:paraId="3D5F414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204,787,593.25</w:t>
            </w:r>
          </w:p>
        </w:tc>
        <w:tc>
          <w:tcPr>
            <w:tcW w:w="1606" w:type="dxa"/>
            <w:shd w:val="clear" w:color="auto" w:fill="FFFFFF" w:themeFill="background1"/>
            <w:vAlign w:val="center"/>
          </w:tcPr>
          <w:p w14:paraId="0A5901A4"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13A09BD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438,281,806.31</w:t>
            </w:r>
          </w:p>
        </w:tc>
        <w:tc>
          <w:tcPr>
            <w:tcW w:w="1606" w:type="dxa"/>
            <w:shd w:val="clear" w:color="auto" w:fill="FFFFFF" w:themeFill="background1"/>
            <w:vAlign w:val="center"/>
          </w:tcPr>
          <w:p w14:paraId="13864CF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调试未达预期、市场饱和</w:t>
            </w:r>
          </w:p>
        </w:tc>
      </w:tr>
      <w:tr w:rsidR="00632E5B" w14:paraId="5FE54D1B" w14:textId="77777777" w:rsidTr="001F5A64">
        <w:trPr>
          <w:trHeight w:val="240"/>
        </w:trPr>
        <w:tc>
          <w:tcPr>
            <w:tcW w:w="1606" w:type="dxa"/>
            <w:shd w:val="clear" w:color="auto" w:fill="FFFFFF" w:themeFill="background1"/>
            <w:vAlign w:val="center"/>
          </w:tcPr>
          <w:p w14:paraId="2D3AE99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其他零星</w:t>
            </w:r>
          </w:p>
        </w:tc>
        <w:tc>
          <w:tcPr>
            <w:tcW w:w="1606" w:type="dxa"/>
            <w:shd w:val="clear" w:color="auto" w:fill="FFFFFF" w:themeFill="background1"/>
            <w:vAlign w:val="center"/>
          </w:tcPr>
          <w:p w14:paraId="481F558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3,572,026.50</w:t>
            </w:r>
          </w:p>
        </w:tc>
        <w:tc>
          <w:tcPr>
            <w:tcW w:w="1606" w:type="dxa"/>
            <w:shd w:val="clear" w:color="auto" w:fill="FFFFFF" w:themeFill="background1"/>
            <w:vAlign w:val="center"/>
          </w:tcPr>
          <w:p w14:paraId="75215E4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2,393,920.69</w:t>
            </w:r>
          </w:p>
        </w:tc>
        <w:tc>
          <w:tcPr>
            <w:tcW w:w="1606" w:type="dxa"/>
            <w:shd w:val="clear" w:color="auto" w:fill="FFFFFF" w:themeFill="background1"/>
            <w:vAlign w:val="center"/>
          </w:tcPr>
          <w:p w14:paraId="1C29DCA0"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0D01A71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5,965,947.19</w:t>
            </w:r>
          </w:p>
        </w:tc>
        <w:tc>
          <w:tcPr>
            <w:tcW w:w="1606" w:type="dxa"/>
            <w:shd w:val="clear" w:color="auto" w:fill="FFFFFF" w:themeFill="background1"/>
            <w:vAlign w:val="center"/>
          </w:tcPr>
          <w:p w14:paraId="1373E35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技术迭代</w:t>
            </w:r>
          </w:p>
        </w:tc>
      </w:tr>
      <w:tr w:rsidR="00632E5B" w14:paraId="40F71BE8" w14:textId="77777777" w:rsidTr="001F5A64">
        <w:trPr>
          <w:trHeight w:val="240"/>
        </w:trPr>
        <w:tc>
          <w:tcPr>
            <w:tcW w:w="1606" w:type="dxa"/>
            <w:shd w:val="clear" w:color="auto" w:fill="FFFFFF" w:themeFill="background1"/>
            <w:vAlign w:val="center"/>
          </w:tcPr>
          <w:p w14:paraId="7ACBF01A"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606" w:type="dxa"/>
            <w:shd w:val="clear" w:color="auto" w:fill="FFFFFF" w:themeFill="background1"/>
            <w:vAlign w:val="center"/>
          </w:tcPr>
          <w:p w14:paraId="7CC719D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250,615,005.71</w:t>
            </w:r>
          </w:p>
        </w:tc>
        <w:tc>
          <w:tcPr>
            <w:tcW w:w="1606" w:type="dxa"/>
            <w:shd w:val="clear" w:color="auto" w:fill="FFFFFF" w:themeFill="background1"/>
            <w:vAlign w:val="center"/>
          </w:tcPr>
          <w:p w14:paraId="7D374BC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215,813,592.13</w:t>
            </w:r>
          </w:p>
        </w:tc>
        <w:tc>
          <w:tcPr>
            <w:tcW w:w="1606" w:type="dxa"/>
            <w:shd w:val="clear" w:color="auto" w:fill="FFFFFF" w:themeFill="background1"/>
            <w:vAlign w:val="center"/>
          </w:tcPr>
          <w:p w14:paraId="4D642408"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15C72D0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466,428,597.84</w:t>
            </w:r>
          </w:p>
        </w:tc>
        <w:tc>
          <w:tcPr>
            <w:tcW w:w="1606" w:type="dxa"/>
            <w:shd w:val="clear" w:color="auto" w:fill="FFFFFF" w:themeFill="background1"/>
            <w:vAlign w:val="center"/>
          </w:tcPr>
          <w:p w14:paraId="15177BD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r>
    </w:tbl>
    <w:p w14:paraId="6516667C"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254" w:name="_Toc989141"/>
      <w:r>
        <w:rPr>
          <w:rFonts w:ascii="宋体" w:eastAsia="宋体" w:hAnsi="宋体" w:cs="宋体"/>
          <w:b/>
          <w:bCs/>
          <w:szCs w:val="21"/>
        </w:rPr>
        <w:t>（4） 在建工程的减值测试情况</w:t>
      </w:r>
      <w:bookmarkEnd w:id="254"/>
    </w:p>
    <w:p w14:paraId="2766843B"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22EB9577"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可收回金额按公允价值减去处置费用后的净额确定</w:t>
      </w:r>
    </w:p>
    <w:p w14:paraId="42D1BB64"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030EB7E9"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可收回金额按预计未来现金流量的现值确定</w:t>
      </w:r>
    </w:p>
    <w:p w14:paraId="66B20B2E"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5763E3FD"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882"/>
        <w:gridCol w:w="1559"/>
        <w:gridCol w:w="1559"/>
        <w:gridCol w:w="1559"/>
        <w:gridCol w:w="709"/>
        <w:gridCol w:w="1559"/>
        <w:gridCol w:w="851"/>
        <w:gridCol w:w="961"/>
      </w:tblGrid>
      <w:tr w:rsidR="00632E5B" w14:paraId="5908EE57" w14:textId="77777777" w:rsidTr="001F5A64">
        <w:trPr>
          <w:trHeight w:val="240"/>
        </w:trPr>
        <w:tc>
          <w:tcPr>
            <w:tcW w:w="882" w:type="dxa"/>
            <w:shd w:val="clear" w:color="auto" w:fill="FFFFFF" w:themeFill="background1"/>
            <w:vAlign w:val="center"/>
          </w:tcPr>
          <w:p w14:paraId="2E2E508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559" w:type="dxa"/>
            <w:shd w:val="clear" w:color="auto" w:fill="FFFFFF" w:themeFill="background1"/>
            <w:vAlign w:val="center"/>
          </w:tcPr>
          <w:p w14:paraId="41D523C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c>
          <w:tcPr>
            <w:tcW w:w="1559" w:type="dxa"/>
            <w:shd w:val="clear" w:color="auto" w:fill="FFFFFF" w:themeFill="background1"/>
            <w:vAlign w:val="center"/>
          </w:tcPr>
          <w:p w14:paraId="28CACBC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可收回金额</w:t>
            </w:r>
          </w:p>
        </w:tc>
        <w:tc>
          <w:tcPr>
            <w:tcW w:w="1559" w:type="dxa"/>
            <w:shd w:val="clear" w:color="auto" w:fill="FFFFFF" w:themeFill="background1"/>
            <w:vAlign w:val="center"/>
          </w:tcPr>
          <w:p w14:paraId="06F98C5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减值金额</w:t>
            </w:r>
          </w:p>
        </w:tc>
        <w:tc>
          <w:tcPr>
            <w:tcW w:w="709" w:type="dxa"/>
            <w:shd w:val="clear" w:color="auto" w:fill="FFFFFF" w:themeFill="background1"/>
            <w:vAlign w:val="center"/>
          </w:tcPr>
          <w:p w14:paraId="2E8A55D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预测期的年限</w:t>
            </w:r>
          </w:p>
        </w:tc>
        <w:tc>
          <w:tcPr>
            <w:tcW w:w="1559" w:type="dxa"/>
            <w:shd w:val="clear" w:color="auto" w:fill="FFFFFF" w:themeFill="background1"/>
            <w:vAlign w:val="center"/>
          </w:tcPr>
          <w:p w14:paraId="0C0B668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预测期的关键参数</w:t>
            </w:r>
          </w:p>
        </w:tc>
        <w:tc>
          <w:tcPr>
            <w:tcW w:w="851" w:type="dxa"/>
            <w:shd w:val="clear" w:color="auto" w:fill="FFFFFF" w:themeFill="background1"/>
            <w:vAlign w:val="center"/>
          </w:tcPr>
          <w:p w14:paraId="2C6931F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稳定期的关键参数</w:t>
            </w:r>
          </w:p>
        </w:tc>
        <w:tc>
          <w:tcPr>
            <w:tcW w:w="961" w:type="dxa"/>
            <w:shd w:val="clear" w:color="auto" w:fill="FFFFFF" w:themeFill="background1"/>
            <w:vAlign w:val="center"/>
          </w:tcPr>
          <w:p w14:paraId="5AADCFC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稳定期的关键参数的确定依据</w:t>
            </w:r>
          </w:p>
        </w:tc>
      </w:tr>
      <w:tr w:rsidR="00632E5B" w14:paraId="6B6F8668" w14:textId="77777777" w:rsidTr="001F5A64">
        <w:trPr>
          <w:trHeight w:val="240"/>
        </w:trPr>
        <w:tc>
          <w:tcPr>
            <w:tcW w:w="882" w:type="dxa"/>
            <w:shd w:val="clear" w:color="auto" w:fill="FFFFFF" w:themeFill="background1"/>
            <w:vAlign w:val="center"/>
          </w:tcPr>
          <w:p w14:paraId="46AC72C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青海光纤工程项目三期</w:t>
            </w:r>
          </w:p>
        </w:tc>
        <w:tc>
          <w:tcPr>
            <w:tcW w:w="1559" w:type="dxa"/>
            <w:shd w:val="clear" w:color="auto" w:fill="FFFFFF" w:themeFill="background1"/>
            <w:vAlign w:val="center"/>
          </w:tcPr>
          <w:p w14:paraId="60BBD05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345,789,656.82</w:t>
            </w:r>
          </w:p>
        </w:tc>
        <w:tc>
          <w:tcPr>
            <w:tcW w:w="1559" w:type="dxa"/>
            <w:shd w:val="clear" w:color="auto" w:fill="FFFFFF" w:themeFill="background1"/>
            <w:vAlign w:val="center"/>
          </w:tcPr>
          <w:p w14:paraId="2035C06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141,002,063.57</w:t>
            </w:r>
          </w:p>
        </w:tc>
        <w:tc>
          <w:tcPr>
            <w:tcW w:w="1559" w:type="dxa"/>
            <w:shd w:val="clear" w:color="auto" w:fill="FFFFFF" w:themeFill="background1"/>
            <w:vAlign w:val="center"/>
          </w:tcPr>
          <w:p w14:paraId="4923EF5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204,787,593.25</w:t>
            </w:r>
          </w:p>
        </w:tc>
        <w:tc>
          <w:tcPr>
            <w:tcW w:w="709" w:type="dxa"/>
            <w:shd w:val="clear" w:color="auto" w:fill="FFFFFF" w:themeFill="background1"/>
            <w:vAlign w:val="center"/>
          </w:tcPr>
          <w:p w14:paraId="02A28D7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7年</w:t>
            </w:r>
          </w:p>
        </w:tc>
        <w:tc>
          <w:tcPr>
            <w:tcW w:w="1559" w:type="dxa"/>
            <w:shd w:val="clear" w:color="auto" w:fill="FFFFFF" w:themeFill="background1"/>
            <w:vAlign w:val="center"/>
          </w:tcPr>
          <w:p w14:paraId="311AD1E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折现率：10.10%</w:t>
            </w:r>
          </w:p>
          <w:p w14:paraId="6CF4189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收入增长率：66.88%、44.03%、51.97%、20.12%、0.00%</w:t>
            </w:r>
          </w:p>
        </w:tc>
        <w:tc>
          <w:tcPr>
            <w:tcW w:w="851" w:type="dxa"/>
            <w:shd w:val="clear" w:color="auto" w:fill="FFFFFF" w:themeFill="background1"/>
            <w:vAlign w:val="center"/>
          </w:tcPr>
          <w:p w14:paraId="6B6018C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稳定期增长率为零</w:t>
            </w:r>
          </w:p>
        </w:tc>
        <w:tc>
          <w:tcPr>
            <w:tcW w:w="961" w:type="dxa"/>
            <w:shd w:val="clear" w:color="auto" w:fill="FFFFFF" w:themeFill="background1"/>
            <w:vAlign w:val="center"/>
          </w:tcPr>
          <w:p w14:paraId="60A3152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w:t>
            </w:r>
          </w:p>
        </w:tc>
      </w:tr>
      <w:tr w:rsidR="00632E5B" w14:paraId="1856FADD" w14:textId="77777777" w:rsidTr="001F5A64">
        <w:trPr>
          <w:trHeight w:val="240"/>
        </w:trPr>
        <w:tc>
          <w:tcPr>
            <w:tcW w:w="882" w:type="dxa"/>
            <w:shd w:val="clear" w:color="auto" w:fill="FFFFFF" w:themeFill="background1"/>
            <w:vAlign w:val="center"/>
          </w:tcPr>
          <w:p w14:paraId="30842CA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合计</w:t>
            </w:r>
          </w:p>
        </w:tc>
        <w:tc>
          <w:tcPr>
            <w:tcW w:w="1559" w:type="dxa"/>
            <w:shd w:val="clear" w:color="auto" w:fill="FFFFFF" w:themeFill="background1"/>
            <w:vAlign w:val="center"/>
          </w:tcPr>
          <w:p w14:paraId="59B2F47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345,789,656.82</w:t>
            </w:r>
          </w:p>
        </w:tc>
        <w:tc>
          <w:tcPr>
            <w:tcW w:w="1559" w:type="dxa"/>
            <w:shd w:val="clear" w:color="auto" w:fill="FFFFFF" w:themeFill="background1"/>
            <w:vAlign w:val="center"/>
          </w:tcPr>
          <w:p w14:paraId="415855B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141,002,063.57</w:t>
            </w:r>
          </w:p>
        </w:tc>
        <w:tc>
          <w:tcPr>
            <w:tcW w:w="1559" w:type="dxa"/>
            <w:shd w:val="clear" w:color="auto" w:fill="FFFFFF" w:themeFill="background1"/>
            <w:vAlign w:val="center"/>
          </w:tcPr>
          <w:p w14:paraId="74DE007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204,787,593.25</w:t>
            </w:r>
          </w:p>
        </w:tc>
        <w:tc>
          <w:tcPr>
            <w:tcW w:w="709" w:type="dxa"/>
            <w:shd w:val="clear" w:color="auto" w:fill="FFFFFF" w:themeFill="background1"/>
            <w:vAlign w:val="center"/>
          </w:tcPr>
          <w:p w14:paraId="03C48FAE" w14:textId="77777777" w:rsidR="00632E5B" w:rsidRDefault="00632E5B"/>
        </w:tc>
        <w:tc>
          <w:tcPr>
            <w:tcW w:w="1559" w:type="dxa"/>
            <w:shd w:val="clear" w:color="auto" w:fill="FFFFFF" w:themeFill="background1"/>
            <w:vAlign w:val="center"/>
          </w:tcPr>
          <w:p w14:paraId="26C8AD66" w14:textId="77777777" w:rsidR="00632E5B" w:rsidRDefault="00632E5B"/>
        </w:tc>
        <w:tc>
          <w:tcPr>
            <w:tcW w:w="851" w:type="dxa"/>
            <w:shd w:val="clear" w:color="auto" w:fill="FFFFFF" w:themeFill="background1"/>
            <w:vAlign w:val="center"/>
          </w:tcPr>
          <w:p w14:paraId="7BB0FBD1" w14:textId="77777777" w:rsidR="00632E5B" w:rsidRDefault="00632E5B"/>
        </w:tc>
        <w:tc>
          <w:tcPr>
            <w:tcW w:w="961" w:type="dxa"/>
            <w:shd w:val="clear" w:color="auto" w:fill="FFFFFF" w:themeFill="background1"/>
            <w:vAlign w:val="center"/>
          </w:tcPr>
          <w:p w14:paraId="4FB971FE" w14:textId="77777777" w:rsidR="00632E5B" w:rsidRDefault="00632E5B"/>
        </w:tc>
      </w:tr>
    </w:tbl>
    <w:p w14:paraId="3A071840"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其他说明：</w:t>
      </w:r>
    </w:p>
    <w:p w14:paraId="3D3A21BF" w14:textId="0F7C6C4B" w:rsidR="00E72F0C" w:rsidRDefault="00107901" w:rsidP="0060240A">
      <w:pPr>
        <w:pStyle w:val="a3"/>
        <w:spacing w:before="0" w:beforeAutospacing="0" w:after="0" w:afterAutospacing="0"/>
        <w:jc w:val="both"/>
        <w:divId w:val="2082676966"/>
        <w:rPr>
          <w:rFonts w:hint="eastAsia"/>
          <w:sz w:val="18"/>
          <w:szCs w:val="18"/>
        </w:rPr>
      </w:pPr>
      <w:r>
        <w:rPr>
          <w:rFonts w:hint="eastAsia"/>
          <w:sz w:val="18"/>
          <w:szCs w:val="18"/>
        </w:rPr>
        <w:t>  注：</w:t>
      </w:r>
      <w:r w:rsidR="0060240A" w:rsidRPr="0060240A">
        <w:rPr>
          <w:rFonts w:hint="eastAsia"/>
          <w:sz w:val="18"/>
          <w:szCs w:val="18"/>
        </w:rPr>
        <w:t>资产组缺乏或难以取得同行业类似设备资产组的最近交易价格或者结果，基于企业继续保持对设备资产组预计使用安排、经营规划及盈利预测假设相关经营情况，且企业处于行业正常经营管理能力水平，没有市场因素或者其他因素表明市场参与者按照其他方式使用该资产可以实现价值最大化，通常认为资产组的预计未来净现金流量现值与公允价值并不存在明显差异。在考虑资产组处置费用的情况下，资产组的预计未来净现金流量现值通常会大于等于公允价值减去处置费用的净额，因此，按会计准则和评估准则的相关规定，本次采用现金流折现法确定设备资产组预计未来现金流量的现值进而确定设备资产组的可收回金额。</w:t>
      </w:r>
    </w:p>
    <w:p w14:paraId="7A2D75B3" w14:textId="77777777" w:rsidR="00632E5B" w:rsidRDefault="00107901">
      <w:pPr>
        <w:pStyle w:val="3"/>
        <w:spacing w:line="280" w:lineRule="exact"/>
        <w:jc w:val="left"/>
        <w:rPr>
          <w:rFonts w:ascii="宋体" w:hAnsi="宋体" w:cs="宋体" w:hint="eastAsia"/>
          <w:b/>
          <w:bCs/>
        </w:rPr>
      </w:pPr>
      <w:bookmarkStart w:id="255" w:name="_Toc989142"/>
      <w:r>
        <w:rPr>
          <w:rFonts w:ascii="宋体" w:hAnsi="宋体" w:cs="宋体"/>
          <w:b/>
          <w:bCs/>
        </w:rPr>
        <w:t>15、使用权资产</w:t>
      </w:r>
      <w:bookmarkEnd w:id="255"/>
    </w:p>
    <w:p w14:paraId="3D0941A6"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256" w:name="_Toc989143"/>
      <w:r>
        <w:rPr>
          <w:rFonts w:ascii="宋体" w:eastAsia="宋体" w:hAnsi="宋体" w:cs="宋体"/>
          <w:b/>
          <w:bCs/>
          <w:szCs w:val="21"/>
        </w:rPr>
        <w:t>（1） 使用权资产情况</w:t>
      </w:r>
      <w:bookmarkEnd w:id="256"/>
    </w:p>
    <w:p w14:paraId="27284D41"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2409"/>
        <w:gridCol w:w="2410"/>
        <w:gridCol w:w="2410"/>
        <w:gridCol w:w="2410"/>
      </w:tblGrid>
      <w:tr w:rsidR="00632E5B" w14:paraId="091F4EB0" w14:textId="77777777" w:rsidTr="001F5A64">
        <w:trPr>
          <w:trHeight w:val="240"/>
        </w:trPr>
        <w:tc>
          <w:tcPr>
            <w:tcW w:w="2410" w:type="dxa"/>
            <w:shd w:val="clear" w:color="auto" w:fill="FFFFFF" w:themeFill="background1"/>
            <w:vAlign w:val="center"/>
          </w:tcPr>
          <w:p w14:paraId="5028892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2410" w:type="dxa"/>
            <w:shd w:val="clear" w:color="auto" w:fill="FFFFFF" w:themeFill="background1"/>
            <w:vAlign w:val="center"/>
          </w:tcPr>
          <w:p w14:paraId="3E23B05C" w14:textId="77777777" w:rsidR="00632E5B" w:rsidRDefault="00107901">
            <w:pPr>
              <w:spacing w:line="240" w:lineRule="exact"/>
              <w:jc w:val="center"/>
              <w:rPr>
                <w:rFonts w:ascii="宋体" w:eastAsia="宋体" w:hAnsi="宋体" w:cs="宋体" w:hint="eastAsia"/>
                <w:sz w:val="18"/>
                <w:szCs w:val="18"/>
              </w:rPr>
            </w:pPr>
            <w:r>
              <w:rPr>
                <w:rFonts w:ascii="宋体" w:eastAsia="宋体" w:hAnsi="宋体" w:cs="宋体"/>
                <w:sz w:val="18"/>
                <w:szCs w:val="18"/>
              </w:rPr>
              <w:t>房屋及建筑物</w:t>
            </w:r>
          </w:p>
        </w:tc>
        <w:tc>
          <w:tcPr>
            <w:tcW w:w="2410" w:type="dxa"/>
            <w:shd w:val="clear" w:color="auto" w:fill="FFFFFF" w:themeFill="background1"/>
            <w:vAlign w:val="center"/>
          </w:tcPr>
          <w:p w14:paraId="7A317C8E" w14:textId="77777777" w:rsidR="00632E5B" w:rsidRDefault="00107901">
            <w:pPr>
              <w:spacing w:line="240" w:lineRule="exact"/>
              <w:jc w:val="center"/>
              <w:rPr>
                <w:rFonts w:ascii="宋体" w:eastAsia="宋体" w:hAnsi="宋体" w:cs="宋体" w:hint="eastAsia"/>
                <w:sz w:val="18"/>
                <w:szCs w:val="18"/>
              </w:rPr>
            </w:pPr>
            <w:r>
              <w:rPr>
                <w:rFonts w:ascii="宋体" w:eastAsia="宋体" w:hAnsi="宋体" w:cs="宋体"/>
                <w:sz w:val="18"/>
                <w:szCs w:val="18"/>
              </w:rPr>
              <w:t xml:space="preserve">  土地使用权</w:t>
            </w:r>
          </w:p>
        </w:tc>
        <w:tc>
          <w:tcPr>
            <w:tcW w:w="2410" w:type="dxa"/>
            <w:shd w:val="clear" w:color="auto" w:fill="FFFFFF" w:themeFill="background1"/>
            <w:vAlign w:val="center"/>
          </w:tcPr>
          <w:p w14:paraId="57844A3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合计</w:t>
            </w:r>
          </w:p>
        </w:tc>
      </w:tr>
      <w:tr w:rsidR="00632E5B" w14:paraId="79CB861B" w14:textId="77777777" w:rsidTr="001F5A64">
        <w:trPr>
          <w:trHeight w:val="240"/>
        </w:trPr>
        <w:tc>
          <w:tcPr>
            <w:tcW w:w="2410" w:type="dxa"/>
            <w:shd w:val="clear" w:color="auto" w:fill="FFFFFF" w:themeFill="background1"/>
            <w:vAlign w:val="center"/>
          </w:tcPr>
          <w:p w14:paraId="111A665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一、账面原值</w:t>
            </w:r>
          </w:p>
        </w:tc>
        <w:tc>
          <w:tcPr>
            <w:tcW w:w="2410" w:type="dxa"/>
            <w:shd w:val="clear" w:color="auto" w:fill="FFFFFF" w:themeFill="background1"/>
            <w:vAlign w:val="center"/>
          </w:tcPr>
          <w:p w14:paraId="3CD4FE7C"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52339D95"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2131425C" w14:textId="77777777" w:rsidR="00632E5B" w:rsidRDefault="00632E5B">
            <w:pPr>
              <w:spacing w:line="240" w:lineRule="exact"/>
              <w:jc w:val="right"/>
              <w:rPr>
                <w:rFonts w:ascii="宋体" w:eastAsia="宋体" w:hAnsi="宋体" w:cs="宋体" w:hint="eastAsia"/>
                <w:sz w:val="18"/>
                <w:szCs w:val="18"/>
              </w:rPr>
            </w:pPr>
          </w:p>
        </w:tc>
      </w:tr>
      <w:tr w:rsidR="00632E5B" w14:paraId="2CC14E25" w14:textId="77777777" w:rsidTr="001F5A64">
        <w:trPr>
          <w:trHeight w:val="240"/>
        </w:trPr>
        <w:tc>
          <w:tcPr>
            <w:tcW w:w="2410" w:type="dxa"/>
            <w:shd w:val="clear" w:color="auto" w:fill="FFFFFF" w:themeFill="background1"/>
            <w:vAlign w:val="center"/>
          </w:tcPr>
          <w:p w14:paraId="0FE4ACFA"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1.期初余额</w:t>
            </w:r>
          </w:p>
        </w:tc>
        <w:tc>
          <w:tcPr>
            <w:tcW w:w="2410" w:type="dxa"/>
            <w:shd w:val="clear" w:color="auto" w:fill="FFFFFF" w:themeFill="background1"/>
            <w:vAlign w:val="center"/>
          </w:tcPr>
          <w:p w14:paraId="52CCAD5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123,812,348.58</w:t>
            </w:r>
          </w:p>
        </w:tc>
        <w:tc>
          <w:tcPr>
            <w:tcW w:w="2410" w:type="dxa"/>
            <w:shd w:val="clear" w:color="auto" w:fill="FFFFFF" w:themeFill="background1"/>
            <w:vAlign w:val="center"/>
          </w:tcPr>
          <w:p w14:paraId="1122B72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3,109,004.83</w:t>
            </w:r>
          </w:p>
        </w:tc>
        <w:tc>
          <w:tcPr>
            <w:tcW w:w="2410" w:type="dxa"/>
            <w:shd w:val="clear" w:color="auto" w:fill="FFFFFF" w:themeFill="background1"/>
            <w:vAlign w:val="center"/>
          </w:tcPr>
          <w:p w14:paraId="7BD81C4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126,921,353.41</w:t>
            </w:r>
          </w:p>
        </w:tc>
      </w:tr>
      <w:tr w:rsidR="00632E5B" w14:paraId="30D989F5" w14:textId="77777777" w:rsidTr="001F5A64">
        <w:trPr>
          <w:trHeight w:val="240"/>
        </w:trPr>
        <w:tc>
          <w:tcPr>
            <w:tcW w:w="2410" w:type="dxa"/>
            <w:shd w:val="clear" w:color="auto" w:fill="FFFFFF" w:themeFill="background1"/>
            <w:vAlign w:val="center"/>
          </w:tcPr>
          <w:p w14:paraId="0EDFBB95"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2.本期增加金额</w:t>
            </w:r>
          </w:p>
        </w:tc>
        <w:tc>
          <w:tcPr>
            <w:tcW w:w="2410" w:type="dxa"/>
            <w:shd w:val="clear" w:color="auto" w:fill="FFFFFF" w:themeFill="background1"/>
            <w:vAlign w:val="center"/>
          </w:tcPr>
          <w:p w14:paraId="382C0A5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5,178,487.13</w:t>
            </w:r>
          </w:p>
        </w:tc>
        <w:tc>
          <w:tcPr>
            <w:tcW w:w="2410" w:type="dxa"/>
            <w:shd w:val="clear" w:color="auto" w:fill="FFFFFF" w:themeFill="background1"/>
            <w:vAlign w:val="center"/>
          </w:tcPr>
          <w:p w14:paraId="0C9467F9"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346564D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5,178,487.13</w:t>
            </w:r>
          </w:p>
        </w:tc>
      </w:tr>
      <w:tr w:rsidR="00632E5B" w14:paraId="6216C459" w14:textId="77777777" w:rsidTr="001F5A64">
        <w:trPr>
          <w:trHeight w:val="240"/>
        </w:trPr>
        <w:tc>
          <w:tcPr>
            <w:tcW w:w="2410" w:type="dxa"/>
            <w:shd w:val="clear" w:color="auto" w:fill="FFFFFF" w:themeFill="background1"/>
            <w:vAlign w:val="center"/>
          </w:tcPr>
          <w:p w14:paraId="248E424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lastRenderedPageBreak/>
              <w:t>（1）新增租赁</w:t>
            </w:r>
          </w:p>
        </w:tc>
        <w:tc>
          <w:tcPr>
            <w:tcW w:w="2410" w:type="dxa"/>
            <w:shd w:val="clear" w:color="auto" w:fill="FFFFFF" w:themeFill="background1"/>
            <w:vAlign w:val="center"/>
          </w:tcPr>
          <w:p w14:paraId="0091D2E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5,123,665.07</w:t>
            </w:r>
          </w:p>
        </w:tc>
        <w:tc>
          <w:tcPr>
            <w:tcW w:w="2410" w:type="dxa"/>
            <w:shd w:val="clear" w:color="auto" w:fill="FFFFFF" w:themeFill="background1"/>
            <w:vAlign w:val="center"/>
          </w:tcPr>
          <w:p w14:paraId="75547600"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443FE3E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5,123,665.07</w:t>
            </w:r>
          </w:p>
        </w:tc>
      </w:tr>
      <w:tr w:rsidR="00632E5B" w14:paraId="7BB1898F" w14:textId="77777777" w:rsidTr="001F5A64">
        <w:trPr>
          <w:trHeight w:val="240"/>
        </w:trPr>
        <w:tc>
          <w:tcPr>
            <w:tcW w:w="2410" w:type="dxa"/>
            <w:shd w:val="clear" w:color="auto" w:fill="FFFFFF" w:themeFill="background1"/>
            <w:vAlign w:val="center"/>
          </w:tcPr>
          <w:p w14:paraId="1E77635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（2）企业合并增加</w:t>
            </w:r>
          </w:p>
        </w:tc>
        <w:tc>
          <w:tcPr>
            <w:tcW w:w="2410" w:type="dxa"/>
            <w:shd w:val="clear" w:color="auto" w:fill="FFFFFF" w:themeFill="background1"/>
            <w:vAlign w:val="center"/>
          </w:tcPr>
          <w:p w14:paraId="652B1F14"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425422A0"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30C11E3B" w14:textId="77777777" w:rsidR="00632E5B" w:rsidRDefault="00632E5B">
            <w:pPr>
              <w:spacing w:line="240" w:lineRule="exact"/>
              <w:jc w:val="right"/>
              <w:rPr>
                <w:rFonts w:ascii="宋体" w:eastAsia="宋体" w:hAnsi="宋体" w:cs="宋体" w:hint="eastAsia"/>
                <w:sz w:val="18"/>
                <w:szCs w:val="18"/>
              </w:rPr>
            </w:pPr>
          </w:p>
        </w:tc>
      </w:tr>
      <w:tr w:rsidR="00632E5B" w14:paraId="25A8A4E0" w14:textId="77777777" w:rsidTr="001F5A64">
        <w:trPr>
          <w:trHeight w:val="240"/>
        </w:trPr>
        <w:tc>
          <w:tcPr>
            <w:tcW w:w="2410" w:type="dxa"/>
            <w:shd w:val="clear" w:color="auto" w:fill="FFFFFF" w:themeFill="background1"/>
            <w:vAlign w:val="center"/>
          </w:tcPr>
          <w:p w14:paraId="64F721C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（3）其他</w:t>
            </w:r>
          </w:p>
        </w:tc>
        <w:tc>
          <w:tcPr>
            <w:tcW w:w="2410" w:type="dxa"/>
            <w:shd w:val="clear" w:color="auto" w:fill="FFFFFF" w:themeFill="background1"/>
            <w:vAlign w:val="center"/>
          </w:tcPr>
          <w:p w14:paraId="77D74EE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54,822.06</w:t>
            </w:r>
          </w:p>
        </w:tc>
        <w:tc>
          <w:tcPr>
            <w:tcW w:w="2410" w:type="dxa"/>
            <w:shd w:val="clear" w:color="auto" w:fill="FFFFFF" w:themeFill="background1"/>
            <w:vAlign w:val="center"/>
          </w:tcPr>
          <w:p w14:paraId="19FB6ABC"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5D3A6E5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54,822.06</w:t>
            </w:r>
          </w:p>
        </w:tc>
      </w:tr>
      <w:tr w:rsidR="00632E5B" w14:paraId="0F738E89" w14:textId="77777777" w:rsidTr="001F5A64">
        <w:trPr>
          <w:trHeight w:val="240"/>
        </w:trPr>
        <w:tc>
          <w:tcPr>
            <w:tcW w:w="2410" w:type="dxa"/>
            <w:shd w:val="clear" w:color="auto" w:fill="FFFFFF" w:themeFill="background1"/>
            <w:vAlign w:val="center"/>
          </w:tcPr>
          <w:p w14:paraId="51C9FCF7"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3.本期减少金额</w:t>
            </w:r>
          </w:p>
        </w:tc>
        <w:tc>
          <w:tcPr>
            <w:tcW w:w="2410" w:type="dxa"/>
            <w:shd w:val="clear" w:color="auto" w:fill="FFFFFF" w:themeFill="background1"/>
            <w:vAlign w:val="center"/>
          </w:tcPr>
          <w:p w14:paraId="4CFA768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121,001,173.33</w:t>
            </w:r>
          </w:p>
        </w:tc>
        <w:tc>
          <w:tcPr>
            <w:tcW w:w="2410" w:type="dxa"/>
            <w:shd w:val="clear" w:color="auto" w:fill="FFFFFF" w:themeFill="background1"/>
            <w:vAlign w:val="center"/>
          </w:tcPr>
          <w:p w14:paraId="3FA22156"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49E5C99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121,001,173.33</w:t>
            </w:r>
          </w:p>
        </w:tc>
      </w:tr>
      <w:tr w:rsidR="00632E5B" w14:paraId="7923A444" w14:textId="77777777" w:rsidTr="001F5A64">
        <w:trPr>
          <w:trHeight w:val="240"/>
        </w:trPr>
        <w:tc>
          <w:tcPr>
            <w:tcW w:w="2410" w:type="dxa"/>
            <w:shd w:val="clear" w:color="auto" w:fill="FFFFFF" w:themeFill="background1"/>
            <w:vAlign w:val="center"/>
          </w:tcPr>
          <w:p w14:paraId="5F2FC7B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（1）租赁到期</w:t>
            </w:r>
          </w:p>
        </w:tc>
        <w:tc>
          <w:tcPr>
            <w:tcW w:w="2410" w:type="dxa"/>
            <w:shd w:val="clear" w:color="auto" w:fill="FFFFFF" w:themeFill="background1"/>
            <w:vAlign w:val="center"/>
          </w:tcPr>
          <w:p w14:paraId="470E1FF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1,732,425.67</w:t>
            </w:r>
          </w:p>
        </w:tc>
        <w:tc>
          <w:tcPr>
            <w:tcW w:w="2410" w:type="dxa"/>
            <w:shd w:val="clear" w:color="auto" w:fill="FFFFFF" w:themeFill="background1"/>
            <w:vAlign w:val="center"/>
          </w:tcPr>
          <w:p w14:paraId="03EDD23A"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55A6C01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1,732,425.67</w:t>
            </w:r>
          </w:p>
        </w:tc>
      </w:tr>
      <w:tr w:rsidR="00632E5B" w14:paraId="39EBC844" w14:textId="77777777" w:rsidTr="001F5A64">
        <w:trPr>
          <w:trHeight w:val="240"/>
        </w:trPr>
        <w:tc>
          <w:tcPr>
            <w:tcW w:w="2410" w:type="dxa"/>
            <w:shd w:val="clear" w:color="auto" w:fill="FFFFFF" w:themeFill="background1"/>
            <w:vAlign w:val="center"/>
          </w:tcPr>
          <w:p w14:paraId="6761BF3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（2）租赁范围减小</w:t>
            </w:r>
          </w:p>
        </w:tc>
        <w:tc>
          <w:tcPr>
            <w:tcW w:w="2410" w:type="dxa"/>
            <w:shd w:val="clear" w:color="auto" w:fill="FFFFFF" w:themeFill="background1"/>
            <w:vAlign w:val="center"/>
          </w:tcPr>
          <w:p w14:paraId="2BF153DC"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642ADF35"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5BC1EE9C" w14:textId="77777777" w:rsidR="00632E5B" w:rsidRDefault="00632E5B">
            <w:pPr>
              <w:spacing w:line="240" w:lineRule="exact"/>
              <w:jc w:val="right"/>
              <w:rPr>
                <w:rFonts w:ascii="宋体" w:eastAsia="宋体" w:hAnsi="宋体" w:cs="宋体" w:hint="eastAsia"/>
                <w:sz w:val="18"/>
                <w:szCs w:val="18"/>
              </w:rPr>
            </w:pPr>
          </w:p>
        </w:tc>
      </w:tr>
      <w:tr w:rsidR="00632E5B" w14:paraId="74D96B9F" w14:textId="77777777" w:rsidTr="001F5A64">
        <w:trPr>
          <w:trHeight w:val="240"/>
        </w:trPr>
        <w:tc>
          <w:tcPr>
            <w:tcW w:w="2410" w:type="dxa"/>
            <w:shd w:val="clear" w:color="auto" w:fill="FFFFFF" w:themeFill="background1"/>
            <w:vAlign w:val="center"/>
          </w:tcPr>
          <w:p w14:paraId="256E9A4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（3）租赁价格降低</w:t>
            </w:r>
          </w:p>
        </w:tc>
        <w:tc>
          <w:tcPr>
            <w:tcW w:w="2410" w:type="dxa"/>
            <w:shd w:val="clear" w:color="auto" w:fill="FFFFFF" w:themeFill="background1"/>
            <w:vAlign w:val="center"/>
          </w:tcPr>
          <w:p w14:paraId="1F20FA12"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4F26566F"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0CCECE9F" w14:textId="77777777" w:rsidR="00632E5B" w:rsidRDefault="00632E5B">
            <w:pPr>
              <w:spacing w:line="240" w:lineRule="exact"/>
              <w:jc w:val="right"/>
              <w:rPr>
                <w:rFonts w:ascii="宋体" w:eastAsia="宋体" w:hAnsi="宋体" w:cs="宋体" w:hint="eastAsia"/>
                <w:sz w:val="18"/>
                <w:szCs w:val="18"/>
              </w:rPr>
            </w:pPr>
          </w:p>
        </w:tc>
      </w:tr>
      <w:tr w:rsidR="00632E5B" w14:paraId="5AD0E0EB" w14:textId="77777777" w:rsidTr="001F5A64">
        <w:trPr>
          <w:trHeight w:val="240"/>
        </w:trPr>
        <w:tc>
          <w:tcPr>
            <w:tcW w:w="2410" w:type="dxa"/>
            <w:shd w:val="clear" w:color="auto" w:fill="FFFFFF" w:themeFill="background1"/>
            <w:vAlign w:val="center"/>
          </w:tcPr>
          <w:p w14:paraId="5402A60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（4）企业合并范围变更减少</w:t>
            </w:r>
          </w:p>
        </w:tc>
        <w:tc>
          <w:tcPr>
            <w:tcW w:w="2410" w:type="dxa"/>
            <w:shd w:val="clear" w:color="auto" w:fill="FFFFFF" w:themeFill="background1"/>
            <w:vAlign w:val="center"/>
          </w:tcPr>
          <w:p w14:paraId="04A735E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119,268,747.66</w:t>
            </w:r>
          </w:p>
        </w:tc>
        <w:tc>
          <w:tcPr>
            <w:tcW w:w="2410" w:type="dxa"/>
            <w:shd w:val="clear" w:color="auto" w:fill="FFFFFF" w:themeFill="background1"/>
            <w:vAlign w:val="center"/>
          </w:tcPr>
          <w:p w14:paraId="1DCC9C77"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4D9B532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119,268,747.66</w:t>
            </w:r>
          </w:p>
        </w:tc>
      </w:tr>
      <w:tr w:rsidR="00632E5B" w14:paraId="2BBFFCA2" w14:textId="77777777" w:rsidTr="001F5A64">
        <w:trPr>
          <w:trHeight w:val="240"/>
        </w:trPr>
        <w:tc>
          <w:tcPr>
            <w:tcW w:w="2410" w:type="dxa"/>
            <w:shd w:val="clear" w:color="auto" w:fill="FFFFFF" w:themeFill="background1"/>
            <w:vAlign w:val="center"/>
          </w:tcPr>
          <w:p w14:paraId="1A517F9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（5）其他</w:t>
            </w:r>
          </w:p>
        </w:tc>
        <w:tc>
          <w:tcPr>
            <w:tcW w:w="2410" w:type="dxa"/>
            <w:shd w:val="clear" w:color="auto" w:fill="FFFFFF" w:themeFill="background1"/>
            <w:vAlign w:val="center"/>
          </w:tcPr>
          <w:p w14:paraId="4398DD75"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5A74B947"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4AF4C896" w14:textId="77777777" w:rsidR="00632E5B" w:rsidRDefault="00632E5B">
            <w:pPr>
              <w:spacing w:line="240" w:lineRule="exact"/>
              <w:jc w:val="right"/>
              <w:rPr>
                <w:rFonts w:ascii="宋体" w:eastAsia="宋体" w:hAnsi="宋体" w:cs="宋体" w:hint="eastAsia"/>
                <w:sz w:val="18"/>
                <w:szCs w:val="18"/>
              </w:rPr>
            </w:pPr>
          </w:p>
        </w:tc>
      </w:tr>
      <w:tr w:rsidR="00632E5B" w14:paraId="020C7137" w14:textId="77777777" w:rsidTr="001F5A64">
        <w:trPr>
          <w:trHeight w:val="240"/>
        </w:trPr>
        <w:tc>
          <w:tcPr>
            <w:tcW w:w="2410" w:type="dxa"/>
            <w:shd w:val="clear" w:color="auto" w:fill="FFFFFF" w:themeFill="background1"/>
            <w:vAlign w:val="center"/>
          </w:tcPr>
          <w:p w14:paraId="7F4B9A08"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4.期末余额</w:t>
            </w:r>
          </w:p>
        </w:tc>
        <w:tc>
          <w:tcPr>
            <w:tcW w:w="2410" w:type="dxa"/>
            <w:shd w:val="clear" w:color="auto" w:fill="FFFFFF" w:themeFill="background1"/>
            <w:vAlign w:val="center"/>
          </w:tcPr>
          <w:p w14:paraId="1261142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7,989,662.38</w:t>
            </w:r>
          </w:p>
        </w:tc>
        <w:tc>
          <w:tcPr>
            <w:tcW w:w="2410" w:type="dxa"/>
            <w:shd w:val="clear" w:color="auto" w:fill="FFFFFF" w:themeFill="background1"/>
            <w:vAlign w:val="center"/>
          </w:tcPr>
          <w:p w14:paraId="314FD22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3,109,004.83</w:t>
            </w:r>
          </w:p>
        </w:tc>
        <w:tc>
          <w:tcPr>
            <w:tcW w:w="2410" w:type="dxa"/>
            <w:shd w:val="clear" w:color="auto" w:fill="FFFFFF" w:themeFill="background1"/>
            <w:vAlign w:val="center"/>
          </w:tcPr>
          <w:p w14:paraId="5E3DC07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11,098,667.21</w:t>
            </w:r>
          </w:p>
        </w:tc>
      </w:tr>
      <w:tr w:rsidR="00632E5B" w14:paraId="46AC8615" w14:textId="77777777" w:rsidTr="001F5A64">
        <w:trPr>
          <w:trHeight w:val="240"/>
        </w:trPr>
        <w:tc>
          <w:tcPr>
            <w:tcW w:w="2410" w:type="dxa"/>
            <w:shd w:val="clear" w:color="auto" w:fill="FFFFFF" w:themeFill="background1"/>
            <w:vAlign w:val="center"/>
          </w:tcPr>
          <w:p w14:paraId="32600D5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二、累计折旧</w:t>
            </w:r>
          </w:p>
        </w:tc>
        <w:tc>
          <w:tcPr>
            <w:tcW w:w="2410" w:type="dxa"/>
            <w:shd w:val="clear" w:color="auto" w:fill="FFFFFF" w:themeFill="background1"/>
            <w:vAlign w:val="center"/>
          </w:tcPr>
          <w:p w14:paraId="29EDA672"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1D171EFC"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1B0C6C89" w14:textId="77777777" w:rsidR="00632E5B" w:rsidRDefault="00632E5B">
            <w:pPr>
              <w:spacing w:line="240" w:lineRule="exact"/>
              <w:jc w:val="right"/>
              <w:rPr>
                <w:rFonts w:ascii="宋体" w:eastAsia="宋体" w:hAnsi="宋体" w:cs="宋体" w:hint="eastAsia"/>
                <w:sz w:val="18"/>
                <w:szCs w:val="18"/>
              </w:rPr>
            </w:pPr>
          </w:p>
        </w:tc>
      </w:tr>
      <w:tr w:rsidR="00632E5B" w14:paraId="7D825DCD" w14:textId="77777777" w:rsidTr="001F5A64">
        <w:trPr>
          <w:trHeight w:val="240"/>
        </w:trPr>
        <w:tc>
          <w:tcPr>
            <w:tcW w:w="2410" w:type="dxa"/>
            <w:shd w:val="clear" w:color="auto" w:fill="FFFFFF" w:themeFill="background1"/>
            <w:vAlign w:val="center"/>
          </w:tcPr>
          <w:p w14:paraId="63A0A3F3"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1.期初余额</w:t>
            </w:r>
          </w:p>
        </w:tc>
        <w:tc>
          <w:tcPr>
            <w:tcW w:w="2410" w:type="dxa"/>
            <w:shd w:val="clear" w:color="auto" w:fill="FFFFFF" w:themeFill="background1"/>
            <w:vAlign w:val="center"/>
          </w:tcPr>
          <w:p w14:paraId="24BE96B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52,552,814.46</w:t>
            </w:r>
          </w:p>
        </w:tc>
        <w:tc>
          <w:tcPr>
            <w:tcW w:w="2410" w:type="dxa"/>
            <w:shd w:val="clear" w:color="auto" w:fill="FFFFFF" w:themeFill="background1"/>
            <w:vAlign w:val="center"/>
          </w:tcPr>
          <w:p w14:paraId="3EA7CFF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1,061,364.72</w:t>
            </w:r>
          </w:p>
        </w:tc>
        <w:tc>
          <w:tcPr>
            <w:tcW w:w="2410" w:type="dxa"/>
            <w:shd w:val="clear" w:color="auto" w:fill="FFFFFF" w:themeFill="background1"/>
            <w:vAlign w:val="center"/>
          </w:tcPr>
          <w:p w14:paraId="46E2953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53,614,179.18</w:t>
            </w:r>
          </w:p>
        </w:tc>
      </w:tr>
      <w:tr w:rsidR="00632E5B" w14:paraId="39FC2819" w14:textId="77777777" w:rsidTr="001F5A64">
        <w:trPr>
          <w:trHeight w:val="240"/>
        </w:trPr>
        <w:tc>
          <w:tcPr>
            <w:tcW w:w="2410" w:type="dxa"/>
            <w:shd w:val="clear" w:color="auto" w:fill="FFFFFF" w:themeFill="background1"/>
            <w:vAlign w:val="center"/>
          </w:tcPr>
          <w:p w14:paraId="0D557BFC"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2.本期增加金额</w:t>
            </w:r>
          </w:p>
        </w:tc>
        <w:tc>
          <w:tcPr>
            <w:tcW w:w="2410" w:type="dxa"/>
            <w:shd w:val="clear" w:color="auto" w:fill="FFFFFF" w:themeFill="background1"/>
            <w:vAlign w:val="center"/>
          </w:tcPr>
          <w:p w14:paraId="2382256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25,468,301.56</w:t>
            </w:r>
          </w:p>
        </w:tc>
        <w:tc>
          <w:tcPr>
            <w:tcW w:w="2410" w:type="dxa"/>
            <w:shd w:val="clear" w:color="auto" w:fill="FFFFFF" w:themeFill="background1"/>
            <w:vAlign w:val="center"/>
          </w:tcPr>
          <w:p w14:paraId="52E286E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128,182.56</w:t>
            </w:r>
          </w:p>
        </w:tc>
        <w:tc>
          <w:tcPr>
            <w:tcW w:w="2410" w:type="dxa"/>
            <w:shd w:val="clear" w:color="auto" w:fill="FFFFFF" w:themeFill="background1"/>
            <w:vAlign w:val="center"/>
          </w:tcPr>
          <w:p w14:paraId="575D867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25,596,484.12</w:t>
            </w:r>
          </w:p>
        </w:tc>
      </w:tr>
      <w:tr w:rsidR="00632E5B" w14:paraId="422B6FB0" w14:textId="77777777" w:rsidTr="001F5A64">
        <w:trPr>
          <w:trHeight w:val="240"/>
        </w:trPr>
        <w:tc>
          <w:tcPr>
            <w:tcW w:w="2410" w:type="dxa"/>
            <w:shd w:val="clear" w:color="auto" w:fill="FFFFFF" w:themeFill="background1"/>
            <w:vAlign w:val="center"/>
          </w:tcPr>
          <w:p w14:paraId="199B08A6" w14:textId="77777777" w:rsidR="00632E5B" w:rsidRDefault="00107901">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（1）计提</w:t>
            </w:r>
          </w:p>
        </w:tc>
        <w:tc>
          <w:tcPr>
            <w:tcW w:w="2410" w:type="dxa"/>
            <w:shd w:val="clear" w:color="auto" w:fill="FFFFFF" w:themeFill="background1"/>
            <w:vAlign w:val="center"/>
          </w:tcPr>
          <w:p w14:paraId="6BA7794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25,457,641.72</w:t>
            </w:r>
          </w:p>
        </w:tc>
        <w:tc>
          <w:tcPr>
            <w:tcW w:w="2410" w:type="dxa"/>
            <w:shd w:val="clear" w:color="auto" w:fill="FFFFFF" w:themeFill="background1"/>
            <w:vAlign w:val="center"/>
          </w:tcPr>
          <w:p w14:paraId="12E59D9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128,182.56</w:t>
            </w:r>
          </w:p>
        </w:tc>
        <w:tc>
          <w:tcPr>
            <w:tcW w:w="2410" w:type="dxa"/>
            <w:shd w:val="clear" w:color="auto" w:fill="FFFFFF" w:themeFill="background1"/>
            <w:vAlign w:val="center"/>
          </w:tcPr>
          <w:p w14:paraId="0DDBBE9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25,585,824.28</w:t>
            </w:r>
          </w:p>
        </w:tc>
      </w:tr>
      <w:tr w:rsidR="00632E5B" w14:paraId="0A737E09" w14:textId="77777777" w:rsidTr="001F5A64">
        <w:trPr>
          <w:trHeight w:val="240"/>
        </w:trPr>
        <w:tc>
          <w:tcPr>
            <w:tcW w:w="2410" w:type="dxa"/>
            <w:shd w:val="clear" w:color="auto" w:fill="FFFFFF" w:themeFill="background1"/>
            <w:vAlign w:val="center"/>
          </w:tcPr>
          <w:p w14:paraId="17687BB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（2）企业合并增加</w:t>
            </w:r>
          </w:p>
        </w:tc>
        <w:tc>
          <w:tcPr>
            <w:tcW w:w="2410" w:type="dxa"/>
            <w:shd w:val="clear" w:color="auto" w:fill="FFFFFF" w:themeFill="background1"/>
            <w:vAlign w:val="center"/>
          </w:tcPr>
          <w:p w14:paraId="1E5E1D74"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1B9CB10D"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65410541" w14:textId="77777777" w:rsidR="00632E5B" w:rsidRDefault="00632E5B">
            <w:pPr>
              <w:spacing w:line="240" w:lineRule="exact"/>
              <w:jc w:val="right"/>
              <w:rPr>
                <w:rFonts w:ascii="宋体" w:eastAsia="宋体" w:hAnsi="宋体" w:cs="宋体" w:hint="eastAsia"/>
                <w:sz w:val="18"/>
                <w:szCs w:val="18"/>
              </w:rPr>
            </w:pPr>
          </w:p>
        </w:tc>
      </w:tr>
      <w:tr w:rsidR="00632E5B" w14:paraId="30CC2BEA" w14:textId="77777777" w:rsidTr="001F5A64">
        <w:trPr>
          <w:trHeight w:val="240"/>
        </w:trPr>
        <w:tc>
          <w:tcPr>
            <w:tcW w:w="2410" w:type="dxa"/>
            <w:shd w:val="clear" w:color="auto" w:fill="FFFFFF" w:themeFill="background1"/>
            <w:vAlign w:val="center"/>
          </w:tcPr>
          <w:p w14:paraId="0BB6D69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（3）其他</w:t>
            </w:r>
          </w:p>
        </w:tc>
        <w:tc>
          <w:tcPr>
            <w:tcW w:w="2410" w:type="dxa"/>
            <w:shd w:val="clear" w:color="auto" w:fill="FFFFFF" w:themeFill="background1"/>
            <w:vAlign w:val="center"/>
          </w:tcPr>
          <w:p w14:paraId="0052547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10,659.84</w:t>
            </w:r>
          </w:p>
        </w:tc>
        <w:tc>
          <w:tcPr>
            <w:tcW w:w="2410" w:type="dxa"/>
            <w:shd w:val="clear" w:color="auto" w:fill="FFFFFF" w:themeFill="background1"/>
            <w:vAlign w:val="center"/>
          </w:tcPr>
          <w:p w14:paraId="717F2043"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35058BA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10,659.84</w:t>
            </w:r>
          </w:p>
        </w:tc>
      </w:tr>
      <w:tr w:rsidR="00632E5B" w14:paraId="51DBD120" w14:textId="77777777" w:rsidTr="001F5A64">
        <w:trPr>
          <w:trHeight w:val="240"/>
        </w:trPr>
        <w:tc>
          <w:tcPr>
            <w:tcW w:w="2410" w:type="dxa"/>
            <w:shd w:val="clear" w:color="auto" w:fill="FFFFFF" w:themeFill="background1"/>
            <w:vAlign w:val="center"/>
          </w:tcPr>
          <w:p w14:paraId="23BD6F19"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3.本期减少金额</w:t>
            </w:r>
          </w:p>
        </w:tc>
        <w:tc>
          <w:tcPr>
            <w:tcW w:w="2410" w:type="dxa"/>
            <w:shd w:val="clear" w:color="auto" w:fill="FFFFFF" w:themeFill="background1"/>
            <w:vAlign w:val="center"/>
          </w:tcPr>
          <w:p w14:paraId="355BE9A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75,927,201.25</w:t>
            </w:r>
          </w:p>
        </w:tc>
        <w:tc>
          <w:tcPr>
            <w:tcW w:w="2410" w:type="dxa"/>
            <w:shd w:val="clear" w:color="auto" w:fill="FFFFFF" w:themeFill="background1"/>
            <w:vAlign w:val="center"/>
          </w:tcPr>
          <w:p w14:paraId="2220524A"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4D019C7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75,927,201.25</w:t>
            </w:r>
          </w:p>
        </w:tc>
      </w:tr>
      <w:tr w:rsidR="00632E5B" w14:paraId="4A1255E9" w14:textId="77777777" w:rsidTr="001F5A64">
        <w:trPr>
          <w:trHeight w:val="240"/>
        </w:trPr>
        <w:tc>
          <w:tcPr>
            <w:tcW w:w="2410" w:type="dxa"/>
            <w:shd w:val="clear" w:color="auto" w:fill="FFFFFF" w:themeFill="background1"/>
            <w:vAlign w:val="center"/>
          </w:tcPr>
          <w:p w14:paraId="78F2A14C" w14:textId="77777777" w:rsidR="00632E5B" w:rsidRDefault="00107901">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（1）处置</w:t>
            </w:r>
          </w:p>
        </w:tc>
        <w:tc>
          <w:tcPr>
            <w:tcW w:w="2410" w:type="dxa"/>
            <w:shd w:val="clear" w:color="auto" w:fill="FFFFFF" w:themeFill="background1"/>
            <w:vAlign w:val="center"/>
          </w:tcPr>
          <w:p w14:paraId="0F22D74D"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46AA4DA9"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0E721813" w14:textId="77777777" w:rsidR="00632E5B" w:rsidRDefault="00632E5B">
            <w:pPr>
              <w:spacing w:line="240" w:lineRule="exact"/>
              <w:jc w:val="right"/>
              <w:rPr>
                <w:rFonts w:ascii="宋体" w:eastAsia="宋体" w:hAnsi="宋体" w:cs="宋体" w:hint="eastAsia"/>
                <w:sz w:val="18"/>
                <w:szCs w:val="18"/>
              </w:rPr>
            </w:pPr>
          </w:p>
        </w:tc>
      </w:tr>
      <w:tr w:rsidR="00632E5B" w14:paraId="22E3A6FD" w14:textId="77777777" w:rsidTr="001F5A64">
        <w:trPr>
          <w:trHeight w:val="240"/>
        </w:trPr>
        <w:tc>
          <w:tcPr>
            <w:tcW w:w="2410" w:type="dxa"/>
            <w:shd w:val="clear" w:color="auto" w:fill="FFFFFF" w:themeFill="background1"/>
            <w:vAlign w:val="center"/>
          </w:tcPr>
          <w:p w14:paraId="3C76B0A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（1）租赁到期</w:t>
            </w:r>
          </w:p>
        </w:tc>
        <w:tc>
          <w:tcPr>
            <w:tcW w:w="2410" w:type="dxa"/>
            <w:shd w:val="clear" w:color="auto" w:fill="FFFFFF" w:themeFill="background1"/>
            <w:vAlign w:val="center"/>
          </w:tcPr>
          <w:p w14:paraId="3063A47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1,732,425.67</w:t>
            </w:r>
          </w:p>
        </w:tc>
        <w:tc>
          <w:tcPr>
            <w:tcW w:w="2410" w:type="dxa"/>
            <w:shd w:val="clear" w:color="auto" w:fill="FFFFFF" w:themeFill="background1"/>
            <w:vAlign w:val="center"/>
          </w:tcPr>
          <w:p w14:paraId="79A8A8F0"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5666053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1,732,425.67</w:t>
            </w:r>
          </w:p>
        </w:tc>
      </w:tr>
      <w:tr w:rsidR="00632E5B" w14:paraId="22F707F8" w14:textId="77777777" w:rsidTr="001F5A64">
        <w:trPr>
          <w:trHeight w:val="240"/>
        </w:trPr>
        <w:tc>
          <w:tcPr>
            <w:tcW w:w="2410" w:type="dxa"/>
            <w:shd w:val="clear" w:color="auto" w:fill="FFFFFF" w:themeFill="background1"/>
            <w:vAlign w:val="center"/>
          </w:tcPr>
          <w:p w14:paraId="128A09B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（2）租赁范围减小</w:t>
            </w:r>
          </w:p>
        </w:tc>
        <w:tc>
          <w:tcPr>
            <w:tcW w:w="2410" w:type="dxa"/>
            <w:shd w:val="clear" w:color="auto" w:fill="FFFFFF" w:themeFill="background1"/>
            <w:vAlign w:val="center"/>
          </w:tcPr>
          <w:p w14:paraId="54A43242"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3A28FA53"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51180EA7" w14:textId="77777777" w:rsidR="00632E5B" w:rsidRDefault="00632E5B">
            <w:pPr>
              <w:spacing w:line="240" w:lineRule="exact"/>
              <w:jc w:val="right"/>
              <w:rPr>
                <w:rFonts w:ascii="宋体" w:eastAsia="宋体" w:hAnsi="宋体" w:cs="宋体" w:hint="eastAsia"/>
                <w:sz w:val="18"/>
                <w:szCs w:val="18"/>
              </w:rPr>
            </w:pPr>
          </w:p>
        </w:tc>
      </w:tr>
      <w:tr w:rsidR="00632E5B" w14:paraId="69043C35" w14:textId="77777777" w:rsidTr="001F5A64">
        <w:trPr>
          <w:trHeight w:val="240"/>
        </w:trPr>
        <w:tc>
          <w:tcPr>
            <w:tcW w:w="2410" w:type="dxa"/>
            <w:shd w:val="clear" w:color="auto" w:fill="FFFFFF" w:themeFill="background1"/>
            <w:vAlign w:val="center"/>
          </w:tcPr>
          <w:p w14:paraId="79F96CC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（3）租赁价格降低</w:t>
            </w:r>
          </w:p>
        </w:tc>
        <w:tc>
          <w:tcPr>
            <w:tcW w:w="2410" w:type="dxa"/>
            <w:shd w:val="clear" w:color="auto" w:fill="FFFFFF" w:themeFill="background1"/>
            <w:vAlign w:val="center"/>
          </w:tcPr>
          <w:p w14:paraId="70CE7377"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3B309B89"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52CBA19F" w14:textId="77777777" w:rsidR="00632E5B" w:rsidRDefault="00632E5B">
            <w:pPr>
              <w:spacing w:line="240" w:lineRule="exact"/>
              <w:jc w:val="right"/>
              <w:rPr>
                <w:rFonts w:ascii="宋体" w:eastAsia="宋体" w:hAnsi="宋体" w:cs="宋体" w:hint="eastAsia"/>
                <w:sz w:val="18"/>
                <w:szCs w:val="18"/>
              </w:rPr>
            </w:pPr>
          </w:p>
        </w:tc>
      </w:tr>
      <w:tr w:rsidR="00632E5B" w14:paraId="2A0BE897" w14:textId="77777777" w:rsidTr="001F5A64">
        <w:trPr>
          <w:trHeight w:val="240"/>
        </w:trPr>
        <w:tc>
          <w:tcPr>
            <w:tcW w:w="2410" w:type="dxa"/>
            <w:shd w:val="clear" w:color="auto" w:fill="FFFFFF" w:themeFill="background1"/>
            <w:vAlign w:val="center"/>
          </w:tcPr>
          <w:p w14:paraId="6286A93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（4）企业合并范围变更减少</w:t>
            </w:r>
          </w:p>
        </w:tc>
        <w:tc>
          <w:tcPr>
            <w:tcW w:w="2410" w:type="dxa"/>
            <w:shd w:val="clear" w:color="auto" w:fill="FFFFFF" w:themeFill="background1"/>
            <w:vAlign w:val="center"/>
          </w:tcPr>
          <w:p w14:paraId="6316E61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74,194,775.58</w:t>
            </w:r>
          </w:p>
        </w:tc>
        <w:tc>
          <w:tcPr>
            <w:tcW w:w="2410" w:type="dxa"/>
            <w:shd w:val="clear" w:color="auto" w:fill="FFFFFF" w:themeFill="background1"/>
            <w:vAlign w:val="center"/>
          </w:tcPr>
          <w:p w14:paraId="00860043"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2FC4C02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74,194,775.58</w:t>
            </w:r>
          </w:p>
        </w:tc>
      </w:tr>
      <w:tr w:rsidR="00632E5B" w14:paraId="3ACCC9B3" w14:textId="77777777" w:rsidTr="001F5A64">
        <w:trPr>
          <w:trHeight w:val="240"/>
        </w:trPr>
        <w:tc>
          <w:tcPr>
            <w:tcW w:w="2410" w:type="dxa"/>
            <w:shd w:val="clear" w:color="auto" w:fill="FFFFFF" w:themeFill="background1"/>
            <w:vAlign w:val="center"/>
          </w:tcPr>
          <w:p w14:paraId="25E6C11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（5）其他</w:t>
            </w:r>
          </w:p>
        </w:tc>
        <w:tc>
          <w:tcPr>
            <w:tcW w:w="2410" w:type="dxa"/>
            <w:shd w:val="clear" w:color="auto" w:fill="FFFFFF" w:themeFill="background1"/>
            <w:vAlign w:val="center"/>
          </w:tcPr>
          <w:p w14:paraId="208A2B1E"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6FA4EFFB"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25975CB8" w14:textId="77777777" w:rsidR="00632E5B" w:rsidRDefault="00632E5B">
            <w:pPr>
              <w:spacing w:line="240" w:lineRule="exact"/>
              <w:jc w:val="right"/>
              <w:rPr>
                <w:rFonts w:ascii="宋体" w:eastAsia="宋体" w:hAnsi="宋体" w:cs="宋体" w:hint="eastAsia"/>
                <w:sz w:val="18"/>
                <w:szCs w:val="18"/>
              </w:rPr>
            </w:pPr>
          </w:p>
        </w:tc>
      </w:tr>
      <w:tr w:rsidR="00632E5B" w14:paraId="622ECDBA" w14:textId="77777777" w:rsidTr="001F5A64">
        <w:trPr>
          <w:trHeight w:val="240"/>
        </w:trPr>
        <w:tc>
          <w:tcPr>
            <w:tcW w:w="2410" w:type="dxa"/>
            <w:shd w:val="clear" w:color="auto" w:fill="FFFFFF" w:themeFill="background1"/>
            <w:vAlign w:val="center"/>
          </w:tcPr>
          <w:p w14:paraId="5D629D1C"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4.期末余额</w:t>
            </w:r>
          </w:p>
        </w:tc>
        <w:tc>
          <w:tcPr>
            <w:tcW w:w="2410" w:type="dxa"/>
            <w:shd w:val="clear" w:color="auto" w:fill="FFFFFF" w:themeFill="background1"/>
            <w:vAlign w:val="center"/>
          </w:tcPr>
          <w:p w14:paraId="2B32272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2,093,914.77</w:t>
            </w:r>
          </w:p>
        </w:tc>
        <w:tc>
          <w:tcPr>
            <w:tcW w:w="2410" w:type="dxa"/>
            <w:shd w:val="clear" w:color="auto" w:fill="FFFFFF" w:themeFill="background1"/>
            <w:vAlign w:val="center"/>
          </w:tcPr>
          <w:p w14:paraId="3E14867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1,189,547.28</w:t>
            </w:r>
          </w:p>
        </w:tc>
        <w:tc>
          <w:tcPr>
            <w:tcW w:w="2410" w:type="dxa"/>
            <w:shd w:val="clear" w:color="auto" w:fill="FFFFFF" w:themeFill="background1"/>
            <w:vAlign w:val="center"/>
          </w:tcPr>
          <w:p w14:paraId="34775CC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3,283,462.05</w:t>
            </w:r>
          </w:p>
        </w:tc>
      </w:tr>
      <w:tr w:rsidR="00632E5B" w14:paraId="0D20BE64" w14:textId="77777777" w:rsidTr="001F5A64">
        <w:trPr>
          <w:trHeight w:val="240"/>
        </w:trPr>
        <w:tc>
          <w:tcPr>
            <w:tcW w:w="2410" w:type="dxa"/>
            <w:shd w:val="clear" w:color="auto" w:fill="FFFFFF" w:themeFill="background1"/>
            <w:vAlign w:val="center"/>
          </w:tcPr>
          <w:p w14:paraId="38974272"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三、减值准备</w:t>
            </w:r>
          </w:p>
        </w:tc>
        <w:tc>
          <w:tcPr>
            <w:tcW w:w="2410" w:type="dxa"/>
            <w:shd w:val="clear" w:color="auto" w:fill="FFFFFF" w:themeFill="background1"/>
            <w:vAlign w:val="center"/>
          </w:tcPr>
          <w:p w14:paraId="1DDCDC25"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3CF62AEB"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4AD94B0B" w14:textId="77777777" w:rsidR="00632E5B" w:rsidRDefault="00632E5B">
            <w:pPr>
              <w:spacing w:line="240" w:lineRule="exact"/>
              <w:jc w:val="right"/>
              <w:rPr>
                <w:rFonts w:ascii="宋体" w:eastAsia="宋体" w:hAnsi="宋体" w:cs="宋体" w:hint="eastAsia"/>
                <w:sz w:val="18"/>
                <w:szCs w:val="18"/>
              </w:rPr>
            </w:pPr>
          </w:p>
        </w:tc>
      </w:tr>
      <w:tr w:rsidR="00632E5B" w14:paraId="69E037C2" w14:textId="77777777" w:rsidTr="001F5A64">
        <w:trPr>
          <w:trHeight w:val="240"/>
        </w:trPr>
        <w:tc>
          <w:tcPr>
            <w:tcW w:w="2410" w:type="dxa"/>
            <w:shd w:val="clear" w:color="auto" w:fill="FFFFFF" w:themeFill="background1"/>
            <w:vAlign w:val="center"/>
          </w:tcPr>
          <w:p w14:paraId="3C34AA31"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1.期初余额</w:t>
            </w:r>
          </w:p>
        </w:tc>
        <w:tc>
          <w:tcPr>
            <w:tcW w:w="2410" w:type="dxa"/>
            <w:shd w:val="clear" w:color="auto" w:fill="FFFFFF" w:themeFill="background1"/>
            <w:vAlign w:val="center"/>
          </w:tcPr>
          <w:p w14:paraId="4B71E58E"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6B804490"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32D32932" w14:textId="77777777" w:rsidR="00632E5B" w:rsidRDefault="00632E5B">
            <w:pPr>
              <w:spacing w:line="240" w:lineRule="exact"/>
              <w:jc w:val="right"/>
              <w:rPr>
                <w:rFonts w:ascii="宋体" w:eastAsia="宋体" w:hAnsi="宋体" w:cs="宋体" w:hint="eastAsia"/>
                <w:sz w:val="18"/>
                <w:szCs w:val="18"/>
              </w:rPr>
            </w:pPr>
          </w:p>
        </w:tc>
      </w:tr>
      <w:tr w:rsidR="00632E5B" w14:paraId="7A78DF7A" w14:textId="77777777" w:rsidTr="001F5A64">
        <w:trPr>
          <w:trHeight w:val="240"/>
        </w:trPr>
        <w:tc>
          <w:tcPr>
            <w:tcW w:w="2410" w:type="dxa"/>
            <w:shd w:val="clear" w:color="auto" w:fill="FFFFFF" w:themeFill="background1"/>
            <w:vAlign w:val="center"/>
          </w:tcPr>
          <w:p w14:paraId="59C7EA16"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2.本期增加金额</w:t>
            </w:r>
          </w:p>
        </w:tc>
        <w:tc>
          <w:tcPr>
            <w:tcW w:w="2410" w:type="dxa"/>
            <w:shd w:val="clear" w:color="auto" w:fill="FFFFFF" w:themeFill="background1"/>
            <w:vAlign w:val="center"/>
          </w:tcPr>
          <w:p w14:paraId="656C3B50"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042C466E"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31969FB0" w14:textId="77777777" w:rsidR="00632E5B" w:rsidRDefault="00632E5B">
            <w:pPr>
              <w:spacing w:line="240" w:lineRule="exact"/>
              <w:jc w:val="right"/>
              <w:rPr>
                <w:rFonts w:ascii="宋体" w:eastAsia="宋体" w:hAnsi="宋体" w:cs="宋体" w:hint="eastAsia"/>
                <w:sz w:val="18"/>
                <w:szCs w:val="18"/>
              </w:rPr>
            </w:pPr>
          </w:p>
        </w:tc>
      </w:tr>
      <w:tr w:rsidR="00632E5B" w14:paraId="5E5E3D05" w14:textId="77777777" w:rsidTr="001F5A64">
        <w:trPr>
          <w:trHeight w:val="240"/>
        </w:trPr>
        <w:tc>
          <w:tcPr>
            <w:tcW w:w="2410" w:type="dxa"/>
            <w:shd w:val="clear" w:color="auto" w:fill="FFFFFF" w:themeFill="background1"/>
            <w:vAlign w:val="center"/>
          </w:tcPr>
          <w:p w14:paraId="0A224289" w14:textId="77777777" w:rsidR="00632E5B" w:rsidRDefault="00107901">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（1）计提</w:t>
            </w:r>
          </w:p>
        </w:tc>
        <w:tc>
          <w:tcPr>
            <w:tcW w:w="2410" w:type="dxa"/>
            <w:shd w:val="clear" w:color="auto" w:fill="FFFFFF" w:themeFill="background1"/>
            <w:vAlign w:val="center"/>
          </w:tcPr>
          <w:p w14:paraId="5F5F34F2"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627F0413"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3DCC36C7" w14:textId="77777777" w:rsidR="00632E5B" w:rsidRDefault="00632E5B">
            <w:pPr>
              <w:spacing w:line="240" w:lineRule="exact"/>
              <w:jc w:val="right"/>
              <w:rPr>
                <w:rFonts w:ascii="宋体" w:eastAsia="宋体" w:hAnsi="宋体" w:cs="宋体" w:hint="eastAsia"/>
                <w:sz w:val="18"/>
                <w:szCs w:val="18"/>
              </w:rPr>
            </w:pPr>
          </w:p>
        </w:tc>
      </w:tr>
      <w:tr w:rsidR="00632E5B" w14:paraId="004BD1DC" w14:textId="77777777" w:rsidTr="001F5A64">
        <w:trPr>
          <w:trHeight w:val="240"/>
        </w:trPr>
        <w:tc>
          <w:tcPr>
            <w:tcW w:w="2410" w:type="dxa"/>
            <w:shd w:val="clear" w:color="auto" w:fill="FFFFFF" w:themeFill="background1"/>
            <w:vAlign w:val="center"/>
          </w:tcPr>
          <w:p w14:paraId="6057C2A7" w14:textId="77777777" w:rsidR="00632E5B" w:rsidRDefault="00632E5B">
            <w:pPr>
              <w:spacing w:line="240" w:lineRule="exact"/>
              <w:rPr>
                <w:rFonts w:ascii="宋体" w:eastAsia="宋体" w:hAnsi="宋体" w:cs="宋体" w:hint="eastAsia"/>
                <w:sz w:val="18"/>
                <w:szCs w:val="18"/>
              </w:rPr>
            </w:pPr>
          </w:p>
        </w:tc>
        <w:tc>
          <w:tcPr>
            <w:tcW w:w="2410" w:type="dxa"/>
            <w:shd w:val="clear" w:color="auto" w:fill="FFFFFF" w:themeFill="background1"/>
            <w:vAlign w:val="center"/>
          </w:tcPr>
          <w:p w14:paraId="21D378B5"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48CA6AC8"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186F48E2" w14:textId="77777777" w:rsidR="00632E5B" w:rsidRDefault="00632E5B">
            <w:pPr>
              <w:spacing w:line="240" w:lineRule="exact"/>
              <w:jc w:val="right"/>
              <w:rPr>
                <w:rFonts w:ascii="宋体" w:eastAsia="宋体" w:hAnsi="宋体" w:cs="宋体" w:hint="eastAsia"/>
                <w:sz w:val="18"/>
                <w:szCs w:val="18"/>
              </w:rPr>
            </w:pPr>
          </w:p>
        </w:tc>
      </w:tr>
      <w:tr w:rsidR="00632E5B" w14:paraId="3AD9F59B" w14:textId="77777777" w:rsidTr="001F5A64">
        <w:trPr>
          <w:trHeight w:val="240"/>
        </w:trPr>
        <w:tc>
          <w:tcPr>
            <w:tcW w:w="2410" w:type="dxa"/>
            <w:shd w:val="clear" w:color="auto" w:fill="FFFFFF" w:themeFill="background1"/>
            <w:vAlign w:val="center"/>
          </w:tcPr>
          <w:p w14:paraId="77BE8A88"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3.本期减少金额</w:t>
            </w:r>
          </w:p>
        </w:tc>
        <w:tc>
          <w:tcPr>
            <w:tcW w:w="2410" w:type="dxa"/>
            <w:shd w:val="clear" w:color="auto" w:fill="FFFFFF" w:themeFill="background1"/>
            <w:vAlign w:val="center"/>
          </w:tcPr>
          <w:p w14:paraId="63D58AA7"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12350BA7"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180CB720" w14:textId="77777777" w:rsidR="00632E5B" w:rsidRDefault="00632E5B">
            <w:pPr>
              <w:spacing w:line="240" w:lineRule="exact"/>
              <w:jc w:val="right"/>
              <w:rPr>
                <w:rFonts w:ascii="宋体" w:eastAsia="宋体" w:hAnsi="宋体" w:cs="宋体" w:hint="eastAsia"/>
                <w:sz w:val="18"/>
                <w:szCs w:val="18"/>
              </w:rPr>
            </w:pPr>
          </w:p>
        </w:tc>
      </w:tr>
      <w:tr w:rsidR="00632E5B" w14:paraId="0C87E8B1" w14:textId="77777777" w:rsidTr="001F5A64">
        <w:trPr>
          <w:trHeight w:val="240"/>
        </w:trPr>
        <w:tc>
          <w:tcPr>
            <w:tcW w:w="2410" w:type="dxa"/>
            <w:shd w:val="clear" w:color="auto" w:fill="FFFFFF" w:themeFill="background1"/>
            <w:vAlign w:val="center"/>
          </w:tcPr>
          <w:p w14:paraId="56B010E0" w14:textId="77777777" w:rsidR="00632E5B" w:rsidRDefault="00107901">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（1）处置</w:t>
            </w:r>
          </w:p>
        </w:tc>
        <w:tc>
          <w:tcPr>
            <w:tcW w:w="2410" w:type="dxa"/>
            <w:shd w:val="clear" w:color="auto" w:fill="FFFFFF" w:themeFill="background1"/>
            <w:vAlign w:val="center"/>
          </w:tcPr>
          <w:p w14:paraId="3B844BD9"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5D5EA1F1"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127779CA" w14:textId="77777777" w:rsidR="00632E5B" w:rsidRDefault="00632E5B">
            <w:pPr>
              <w:spacing w:line="240" w:lineRule="exact"/>
              <w:jc w:val="right"/>
              <w:rPr>
                <w:rFonts w:ascii="宋体" w:eastAsia="宋体" w:hAnsi="宋体" w:cs="宋体" w:hint="eastAsia"/>
                <w:sz w:val="18"/>
                <w:szCs w:val="18"/>
              </w:rPr>
            </w:pPr>
          </w:p>
        </w:tc>
      </w:tr>
      <w:tr w:rsidR="00632E5B" w14:paraId="4DD8B122" w14:textId="77777777" w:rsidTr="001F5A64">
        <w:trPr>
          <w:trHeight w:val="240"/>
        </w:trPr>
        <w:tc>
          <w:tcPr>
            <w:tcW w:w="2410" w:type="dxa"/>
            <w:shd w:val="clear" w:color="auto" w:fill="FFFFFF" w:themeFill="background1"/>
            <w:vAlign w:val="center"/>
          </w:tcPr>
          <w:p w14:paraId="54F68B84" w14:textId="77777777" w:rsidR="00632E5B" w:rsidRDefault="00632E5B">
            <w:pPr>
              <w:spacing w:line="240" w:lineRule="exact"/>
              <w:rPr>
                <w:rFonts w:ascii="宋体" w:eastAsia="宋体" w:hAnsi="宋体" w:cs="宋体" w:hint="eastAsia"/>
                <w:sz w:val="18"/>
                <w:szCs w:val="18"/>
              </w:rPr>
            </w:pPr>
          </w:p>
        </w:tc>
        <w:tc>
          <w:tcPr>
            <w:tcW w:w="2410" w:type="dxa"/>
            <w:shd w:val="clear" w:color="auto" w:fill="FFFFFF" w:themeFill="background1"/>
            <w:vAlign w:val="center"/>
          </w:tcPr>
          <w:p w14:paraId="11533028"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3F6B22E8"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0C26F6DA" w14:textId="77777777" w:rsidR="00632E5B" w:rsidRDefault="00632E5B">
            <w:pPr>
              <w:spacing w:line="240" w:lineRule="exact"/>
              <w:jc w:val="right"/>
              <w:rPr>
                <w:rFonts w:ascii="宋体" w:eastAsia="宋体" w:hAnsi="宋体" w:cs="宋体" w:hint="eastAsia"/>
                <w:sz w:val="18"/>
                <w:szCs w:val="18"/>
              </w:rPr>
            </w:pPr>
          </w:p>
        </w:tc>
      </w:tr>
      <w:tr w:rsidR="00632E5B" w14:paraId="74F4B0A5" w14:textId="77777777" w:rsidTr="001F5A64">
        <w:trPr>
          <w:trHeight w:val="240"/>
        </w:trPr>
        <w:tc>
          <w:tcPr>
            <w:tcW w:w="2410" w:type="dxa"/>
            <w:shd w:val="clear" w:color="auto" w:fill="FFFFFF" w:themeFill="background1"/>
            <w:vAlign w:val="center"/>
          </w:tcPr>
          <w:p w14:paraId="0D103813"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4.期末余额</w:t>
            </w:r>
          </w:p>
        </w:tc>
        <w:tc>
          <w:tcPr>
            <w:tcW w:w="2410" w:type="dxa"/>
            <w:shd w:val="clear" w:color="auto" w:fill="FFFFFF" w:themeFill="background1"/>
            <w:vAlign w:val="center"/>
          </w:tcPr>
          <w:p w14:paraId="4243F8C2"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44AB0BBC"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70EDFC4B" w14:textId="77777777" w:rsidR="00632E5B" w:rsidRDefault="00632E5B">
            <w:pPr>
              <w:spacing w:line="240" w:lineRule="exact"/>
              <w:jc w:val="right"/>
              <w:rPr>
                <w:rFonts w:ascii="宋体" w:eastAsia="宋体" w:hAnsi="宋体" w:cs="宋体" w:hint="eastAsia"/>
                <w:sz w:val="18"/>
                <w:szCs w:val="18"/>
              </w:rPr>
            </w:pPr>
          </w:p>
        </w:tc>
      </w:tr>
      <w:tr w:rsidR="00632E5B" w14:paraId="6E28B6A3" w14:textId="77777777" w:rsidTr="001F5A64">
        <w:trPr>
          <w:trHeight w:val="240"/>
        </w:trPr>
        <w:tc>
          <w:tcPr>
            <w:tcW w:w="2410" w:type="dxa"/>
            <w:shd w:val="clear" w:color="auto" w:fill="FFFFFF" w:themeFill="background1"/>
            <w:vAlign w:val="center"/>
          </w:tcPr>
          <w:p w14:paraId="6A299D41"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四、账面价值</w:t>
            </w:r>
          </w:p>
        </w:tc>
        <w:tc>
          <w:tcPr>
            <w:tcW w:w="2410" w:type="dxa"/>
            <w:shd w:val="clear" w:color="auto" w:fill="FFFFFF" w:themeFill="background1"/>
            <w:vAlign w:val="center"/>
          </w:tcPr>
          <w:p w14:paraId="5982B56E"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06772F9B"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2569FD57" w14:textId="77777777" w:rsidR="00632E5B" w:rsidRDefault="00632E5B">
            <w:pPr>
              <w:spacing w:line="240" w:lineRule="exact"/>
              <w:jc w:val="right"/>
              <w:rPr>
                <w:rFonts w:ascii="宋体" w:eastAsia="宋体" w:hAnsi="宋体" w:cs="宋体" w:hint="eastAsia"/>
                <w:sz w:val="18"/>
                <w:szCs w:val="18"/>
              </w:rPr>
            </w:pPr>
          </w:p>
        </w:tc>
      </w:tr>
      <w:tr w:rsidR="00632E5B" w14:paraId="6DCF350B" w14:textId="77777777" w:rsidTr="001F5A64">
        <w:trPr>
          <w:trHeight w:val="240"/>
        </w:trPr>
        <w:tc>
          <w:tcPr>
            <w:tcW w:w="2410" w:type="dxa"/>
            <w:shd w:val="clear" w:color="auto" w:fill="FFFFFF" w:themeFill="background1"/>
            <w:vAlign w:val="center"/>
          </w:tcPr>
          <w:p w14:paraId="2AF388B9"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1.期末账面价值</w:t>
            </w:r>
          </w:p>
        </w:tc>
        <w:tc>
          <w:tcPr>
            <w:tcW w:w="2410" w:type="dxa"/>
            <w:shd w:val="clear" w:color="auto" w:fill="FFFFFF" w:themeFill="background1"/>
            <w:vAlign w:val="center"/>
          </w:tcPr>
          <w:p w14:paraId="5BD0DE4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5,895,747.61</w:t>
            </w:r>
          </w:p>
        </w:tc>
        <w:tc>
          <w:tcPr>
            <w:tcW w:w="2410" w:type="dxa"/>
            <w:shd w:val="clear" w:color="auto" w:fill="FFFFFF" w:themeFill="background1"/>
            <w:vAlign w:val="center"/>
          </w:tcPr>
          <w:p w14:paraId="76EBFEB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1,919,457.55</w:t>
            </w:r>
          </w:p>
        </w:tc>
        <w:tc>
          <w:tcPr>
            <w:tcW w:w="2410" w:type="dxa"/>
            <w:shd w:val="clear" w:color="auto" w:fill="FFFFFF" w:themeFill="background1"/>
            <w:vAlign w:val="center"/>
          </w:tcPr>
          <w:p w14:paraId="5696AF4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7,815,205.16</w:t>
            </w:r>
          </w:p>
        </w:tc>
      </w:tr>
      <w:tr w:rsidR="00632E5B" w14:paraId="78845782" w14:textId="77777777" w:rsidTr="001F5A64">
        <w:trPr>
          <w:trHeight w:val="240"/>
        </w:trPr>
        <w:tc>
          <w:tcPr>
            <w:tcW w:w="2410" w:type="dxa"/>
            <w:shd w:val="clear" w:color="auto" w:fill="FFFFFF" w:themeFill="background1"/>
            <w:vAlign w:val="center"/>
          </w:tcPr>
          <w:p w14:paraId="4132E9AC"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2.期初账面价值</w:t>
            </w:r>
          </w:p>
        </w:tc>
        <w:tc>
          <w:tcPr>
            <w:tcW w:w="2410" w:type="dxa"/>
            <w:shd w:val="clear" w:color="auto" w:fill="FFFFFF" w:themeFill="background1"/>
            <w:vAlign w:val="center"/>
          </w:tcPr>
          <w:p w14:paraId="593B3CE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71,259,534.12</w:t>
            </w:r>
          </w:p>
        </w:tc>
        <w:tc>
          <w:tcPr>
            <w:tcW w:w="2410" w:type="dxa"/>
            <w:shd w:val="clear" w:color="auto" w:fill="FFFFFF" w:themeFill="background1"/>
            <w:vAlign w:val="center"/>
          </w:tcPr>
          <w:p w14:paraId="509D614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2,047,640.11</w:t>
            </w:r>
          </w:p>
        </w:tc>
        <w:tc>
          <w:tcPr>
            <w:tcW w:w="2410" w:type="dxa"/>
            <w:shd w:val="clear" w:color="auto" w:fill="FFFFFF" w:themeFill="background1"/>
            <w:vAlign w:val="center"/>
          </w:tcPr>
          <w:p w14:paraId="40AAEE4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73,307,174.23</w:t>
            </w:r>
          </w:p>
        </w:tc>
      </w:tr>
    </w:tbl>
    <w:p w14:paraId="081E1323"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257" w:name="_Toc989144"/>
      <w:r>
        <w:rPr>
          <w:rFonts w:ascii="宋体" w:eastAsia="宋体" w:hAnsi="宋体" w:cs="宋体"/>
          <w:b/>
          <w:bCs/>
          <w:szCs w:val="21"/>
        </w:rPr>
        <w:t>（2） 使用权资产的减值测试情况</w:t>
      </w:r>
      <w:bookmarkEnd w:id="257"/>
    </w:p>
    <w:p w14:paraId="04D0D167"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5B2254AF" w14:textId="77777777" w:rsidR="001F5A64" w:rsidRDefault="001F5A64">
      <w:pPr>
        <w:widowControl/>
        <w:rPr>
          <w:rFonts w:ascii="宋体" w:eastAsia="宋体" w:hAnsi="宋体" w:cs="宋体" w:hint="eastAsia"/>
          <w:b/>
          <w:bCs/>
          <w:szCs w:val="21"/>
        </w:rPr>
      </w:pPr>
      <w:bookmarkStart w:id="258" w:name="_Toc989145"/>
      <w:r>
        <w:rPr>
          <w:rFonts w:ascii="宋体" w:hAnsi="宋体" w:cs="宋体" w:hint="eastAsia"/>
          <w:b/>
          <w:bCs/>
        </w:rPr>
        <w:br w:type="page"/>
      </w:r>
    </w:p>
    <w:p w14:paraId="10522C79" w14:textId="48936F51" w:rsidR="00632E5B" w:rsidRDefault="00107901">
      <w:pPr>
        <w:pStyle w:val="3"/>
        <w:spacing w:line="280" w:lineRule="exact"/>
        <w:jc w:val="left"/>
        <w:rPr>
          <w:rFonts w:ascii="宋体" w:hAnsi="宋体" w:cs="宋体" w:hint="eastAsia"/>
          <w:b/>
          <w:bCs/>
        </w:rPr>
      </w:pPr>
      <w:r>
        <w:rPr>
          <w:rFonts w:ascii="宋体" w:hAnsi="宋体" w:cs="宋体"/>
          <w:b/>
          <w:bCs/>
        </w:rPr>
        <w:lastRenderedPageBreak/>
        <w:t>16、无形资产</w:t>
      </w:r>
      <w:bookmarkEnd w:id="258"/>
    </w:p>
    <w:p w14:paraId="3B80D854"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259" w:name="_Toc989146"/>
      <w:r>
        <w:rPr>
          <w:rFonts w:ascii="宋体" w:eastAsia="宋体" w:hAnsi="宋体" w:cs="宋体"/>
          <w:b/>
          <w:bCs/>
          <w:szCs w:val="21"/>
        </w:rPr>
        <w:t>（1） 无形资产情况</w:t>
      </w:r>
      <w:bookmarkEnd w:id="259"/>
    </w:p>
    <w:p w14:paraId="58F7EC1A"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606"/>
        <w:gridCol w:w="1606"/>
        <w:gridCol w:w="1606"/>
        <w:gridCol w:w="1607"/>
        <w:gridCol w:w="1607"/>
        <w:gridCol w:w="1607"/>
      </w:tblGrid>
      <w:tr w:rsidR="00632E5B" w14:paraId="108A181B" w14:textId="77777777" w:rsidTr="001F5A64">
        <w:trPr>
          <w:trHeight w:val="240"/>
        </w:trPr>
        <w:tc>
          <w:tcPr>
            <w:tcW w:w="1606" w:type="dxa"/>
            <w:shd w:val="clear" w:color="auto" w:fill="FFFFFF" w:themeFill="background1"/>
            <w:vAlign w:val="center"/>
          </w:tcPr>
          <w:p w14:paraId="3A29764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606" w:type="dxa"/>
            <w:shd w:val="clear" w:color="auto" w:fill="FFFFFF" w:themeFill="background1"/>
            <w:vAlign w:val="center"/>
          </w:tcPr>
          <w:p w14:paraId="63AAD9D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土地使用权</w:t>
            </w:r>
          </w:p>
        </w:tc>
        <w:tc>
          <w:tcPr>
            <w:tcW w:w="1606" w:type="dxa"/>
            <w:shd w:val="clear" w:color="auto" w:fill="FFFFFF" w:themeFill="background1"/>
            <w:vAlign w:val="center"/>
          </w:tcPr>
          <w:p w14:paraId="2C74878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专利权</w:t>
            </w:r>
          </w:p>
        </w:tc>
        <w:tc>
          <w:tcPr>
            <w:tcW w:w="1606" w:type="dxa"/>
            <w:shd w:val="clear" w:color="auto" w:fill="FFFFFF" w:themeFill="background1"/>
            <w:vAlign w:val="center"/>
          </w:tcPr>
          <w:p w14:paraId="0D7FAE7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非专利技术</w:t>
            </w:r>
          </w:p>
        </w:tc>
        <w:tc>
          <w:tcPr>
            <w:tcW w:w="1606" w:type="dxa"/>
            <w:shd w:val="clear" w:color="auto" w:fill="FFFFFF" w:themeFill="background1"/>
            <w:vAlign w:val="center"/>
          </w:tcPr>
          <w:p w14:paraId="7653F692" w14:textId="77777777" w:rsidR="00632E5B" w:rsidRDefault="00107901">
            <w:pPr>
              <w:spacing w:line="240" w:lineRule="exact"/>
              <w:jc w:val="center"/>
              <w:rPr>
                <w:rFonts w:ascii="宋体" w:eastAsia="宋体" w:hAnsi="宋体" w:cs="宋体" w:hint="eastAsia"/>
                <w:sz w:val="18"/>
                <w:szCs w:val="18"/>
              </w:rPr>
            </w:pPr>
            <w:r>
              <w:rPr>
                <w:rFonts w:ascii="宋体" w:eastAsia="宋体" w:hAnsi="宋体" w:cs="宋体"/>
                <w:sz w:val="18"/>
                <w:szCs w:val="18"/>
              </w:rPr>
              <w:t>软件</w:t>
            </w:r>
          </w:p>
        </w:tc>
        <w:tc>
          <w:tcPr>
            <w:tcW w:w="1606" w:type="dxa"/>
            <w:shd w:val="clear" w:color="auto" w:fill="FFFFFF" w:themeFill="background1"/>
            <w:vAlign w:val="center"/>
          </w:tcPr>
          <w:p w14:paraId="0E2730D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合计</w:t>
            </w:r>
          </w:p>
        </w:tc>
      </w:tr>
      <w:tr w:rsidR="00632E5B" w14:paraId="76072E27" w14:textId="77777777" w:rsidTr="001F5A64">
        <w:trPr>
          <w:trHeight w:val="240"/>
        </w:trPr>
        <w:tc>
          <w:tcPr>
            <w:tcW w:w="1606" w:type="dxa"/>
            <w:shd w:val="clear" w:color="auto" w:fill="FFFFFF" w:themeFill="background1"/>
            <w:vAlign w:val="center"/>
          </w:tcPr>
          <w:p w14:paraId="1CCB6F6B"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一、账面原值</w:t>
            </w:r>
          </w:p>
        </w:tc>
        <w:tc>
          <w:tcPr>
            <w:tcW w:w="1606" w:type="dxa"/>
            <w:shd w:val="clear" w:color="auto" w:fill="FFFFFF" w:themeFill="background1"/>
            <w:vAlign w:val="center"/>
          </w:tcPr>
          <w:p w14:paraId="437E2AC5"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5A3BABAB"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3E35B2BC"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2D16BA8D"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5BFF8E69" w14:textId="77777777" w:rsidR="00632E5B" w:rsidRDefault="00632E5B">
            <w:pPr>
              <w:spacing w:line="240" w:lineRule="exact"/>
              <w:jc w:val="right"/>
              <w:rPr>
                <w:rFonts w:ascii="宋体" w:eastAsia="宋体" w:hAnsi="宋体" w:cs="宋体" w:hint="eastAsia"/>
                <w:sz w:val="18"/>
                <w:szCs w:val="18"/>
              </w:rPr>
            </w:pPr>
          </w:p>
        </w:tc>
      </w:tr>
      <w:tr w:rsidR="00632E5B" w14:paraId="624666D4" w14:textId="77777777" w:rsidTr="001F5A64">
        <w:trPr>
          <w:trHeight w:val="240"/>
        </w:trPr>
        <w:tc>
          <w:tcPr>
            <w:tcW w:w="1606" w:type="dxa"/>
            <w:shd w:val="clear" w:color="auto" w:fill="FFFFFF" w:themeFill="background1"/>
            <w:vAlign w:val="center"/>
          </w:tcPr>
          <w:p w14:paraId="0C829079"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1.期初余额</w:t>
            </w:r>
          </w:p>
        </w:tc>
        <w:tc>
          <w:tcPr>
            <w:tcW w:w="1606" w:type="dxa"/>
            <w:shd w:val="clear" w:color="auto" w:fill="FFFFFF" w:themeFill="background1"/>
            <w:vAlign w:val="center"/>
          </w:tcPr>
          <w:p w14:paraId="07ED20A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345,354,591.15</w:t>
            </w:r>
          </w:p>
        </w:tc>
        <w:tc>
          <w:tcPr>
            <w:tcW w:w="1606" w:type="dxa"/>
            <w:shd w:val="clear" w:color="auto" w:fill="FFFFFF" w:themeFill="background1"/>
            <w:vAlign w:val="center"/>
          </w:tcPr>
          <w:p w14:paraId="2F09ED4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451,415.13</w:t>
            </w:r>
          </w:p>
        </w:tc>
        <w:tc>
          <w:tcPr>
            <w:tcW w:w="1606" w:type="dxa"/>
            <w:shd w:val="clear" w:color="auto" w:fill="FFFFFF" w:themeFill="background1"/>
            <w:vAlign w:val="center"/>
          </w:tcPr>
          <w:p w14:paraId="2AE06B06"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7E76A1C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40,768,108.26</w:t>
            </w:r>
          </w:p>
        </w:tc>
        <w:tc>
          <w:tcPr>
            <w:tcW w:w="1606" w:type="dxa"/>
            <w:shd w:val="clear" w:color="auto" w:fill="FFFFFF" w:themeFill="background1"/>
            <w:vAlign w:val="center"/>
          </w:tcPr>
          <w:p w14:paraId="2829AFB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386,574,114.54</w:t>
            </w:r>
          </w:p>
        </w:tc>
      </w:tr>
      <w:tr w:rsidR="00632E5B" w14:paraId="0C402CA2" w14:textId="77777777" w:rsidTr="001F5A64">
        <w:trPr>
          <w:trHeight w:val="240"/>
        </w:trPr>
        <w:tc>
          <w:tcPr>
            <w:tcW w:w="1606" w:type="dxa"/>
            <w:shd w:val="clear" w:color="auto" w:fill="FFFFFF" w:themeFill="background1"/>
            <w:vAlign w:val="center"/>
          </w:tcPr>
          <w:p w14:paraId="41E3B612"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2.本期增加金额</w:t>
            </w:r>
          </w:p>
        </w:tc>
        <w:tc>
          <w:tcPr>
            <w:tcW w:w="1606" w:type="dxa"/>
            <w:shd w:val="clear" w:color="auto" w:fill="FFFFFF" w:themeFill="background1"/>
            <w:vAlign w:val="center"/>
          </w:tcPr>
          <w:p w14:paraId="57CCAF5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774,935.50</w:t>
            </w:r>
          </w:p>
        </w:tc>
        <w:tc>
          <w:tcPr>
            <w:tcW w:w="1606" w:type="dxa"/>
            <w:shd w:val="clear" w:color="auto" w:fill="FFFFFF" w:themeFill="background1"/>
            <w:vAlign w:val="center"/>
          </w:tcPr>
          <w:p w14:paraId="626ED45F"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50D63CD1"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45E804E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35,515.86</w:t>
            </w:r>
          </w:p>
        </w:tc>
        <w:tc>
          <w:tcPr>
            <w:tcW w:w="1606" w:type="dxa"/>
            <w:shd w:val="clear" w:color="auto" w:fill="FFFFFF" w:themeFill="background1"/>
            <w:vAlign w:val="center"/>
          </w:tcPr>
          <w:p w14:paraId="710FF53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810,451.36</w:t>
            </w:r>
          </w:p>
        </w:tc>
      </w:tr>
      <w:tr w:rsidR="00632E5B" w14:paraId="2B2B7694" w14:textId="77777777" w:rsidTr="001F5A64">
        <w:trPr>
          <w:trHeight w:val="240"/>
        </w:trPr>
        <w:tc>
          <w:tcPr>
            <w:tcW w:w="1606" w:type="dxa"/>
            <w:shd w:val="clear" w:color="auto" w:fill="FFFFFF" w:themeFill="background1"/>
            <w:vAlign w:val="center"/>
          </w:tcPr>
          <w:p w14:paraId="14FD05EA" w14:textId="77777777" w:rsidR="00632E5B" w:rsidRDefault="00107901">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（1）购置</w:t>
            </w:r>
          </w:p>
        </w:tc>
        <w:tc>
          <w:tcPr>
            <w:tcW w:w="1606" w:type="dxa"/>
            <w:shd w:val="clear" w:color="auto" w:fill="FFFFFF" w:themeFill="background1"/>
            <w:vAlign w:val="center"/>
          </w:tcPr>
          <w:p w14:paraId="49D8AB4A"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18300216"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04CCD56C"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41243207"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24A00D50" w14:textId="77777777" w:rsidR="00632E5B" w:rsidRDefault="00632E5B">
            <w:pPr>
              <w:spacing w:line="240" w:lineRule="exact"/>
              <w:jc w:val="right"/>
              <w:rPr>
                <w:rFonts w:ascii="宋体" w:eastAsia="宋体" w:hAnsi="宋体" w:cs="宋体" w:hint="eastAsia"/>
                <w:sz w:val="18"/>
                <w:szCs w:val="18"/>
              </w:rPr>
            </w:pPr>
          </w:p>
        </w:tc>
      </w:tr>
      <w:tr w:rsidR="00632E5B" w14:paraId="2DB8F459" w14:textId="77777777" w:rsidTr="001F5A64">
        <w:trPr>
          <w:trHeight w:val="240"/>
        </w:trPr>
        <w:tc>
          <w:tcPr>
            <w:tcW w:w="1606" w:type="dxa"/>
            <w:shd w:val="clear" w:color="auto" w:fill="FFFFFF" w:themeFill="background1"/>
            <w:vAlign w:val="center"/>
          </w:tcPr>
          <w:p w14:paraId="3D70CE4D" w14:textId="77777777" w:rsidR="00632E5B" w:rsidRDefault="00107901">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（2）内部研发</w:t>
            </w:r>
          </w:p>
        </w:tc>
        <w:tc>
          <w:tcPr>
            <w:tcW w:w="1606" w:type="dxa"/>
            <w:shd w:val="clear" w:color="auto" w:fill="FFFFFF" w:themeFill="background1"/>
            <w:vAlign w:val="center"/>
          </w:tcPr>
          <w:p w14:paraId="2BA74534"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4B169E94"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3DCE6091"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315B7B7C"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1D9D119A" w14:textId="77777777" w:rsidR="00632E5B" w:rsidRDefault="00632E5B">
            <w:pPr>
              <w:spacing w:line="240" w:lineRule="exact"/>
              <w:jc w:val="right"/>
              <w:rPr>
                <w:rFonts w:ascii="宋体" w:eastAsia="宋体" w:hAnsi="宋体" w:cs="宋体" w:hint="eastAsia"/>
                <w:sz w:val="18"/>
                <w:szCs w:val="18"/>
              </w:rPr>
            </w:pPr>
          </w:p>
        </w:tc>
      </w:tr>
      <w:tr w:rsidR="00632E5B" w14:paraId="6479E157" w14:textId="77777777" w:rsidTr="001F5A64">
        <w:trPr>
          <w:trHeight w:val="240"/>
        </w:trPr>
        <w:tc>
          <w:tcPr>
            <w:tcW w:w="1606" w:type="dxa"/>
            <w:shd w:val="clear" w:color="auto" w:fill="FFFFFF" w:themeFill="background1"/>
            <w:vAlign w:val="center"/>
          </w:tcPr>
          <w:p w14:paraId="2B82C50A" w14:textId="77777777" w:rsidR="00632E5B" w:rsidRDefault="00107901">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（3）企业合并增加</w:t>
            </w:r>
          </w:p>
        </w:tc>
        <w:tc>
          <w:tcPr>
            <w:tcW w:w="1606" w:type="dxa"/>
            <w:shd w:val="clear" w:color="auto" w:fill="FFFFFF" w:themeFill="background1"/>
            <w:vAlign w:val="center"/>
          </w:tcPr>
          <w:p w14:paraId="52CDC7C7"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3B761182"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3B8A7780"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4A174A15"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7A81E6A2" w14:textId="77777777" w:rsidR="00632E5B" w:rsidRDefault="00632E5B">
            <w:pPr>
              <w:spacing w:line="240" w:lineRule="exact"/>
              <w:jc w:val="right"/>
              <w:rPr>
                <w:rFonts w:ascii="宋体" w:eastAsia="宋体" w:hAnsi="宋体" w:cs="宋体" w:hint="eastAsia"/>
                <w:sz w:val="18"/>
                <w:szCs w:val="18"/>
              </w:rPr>
            </w:pPr>
          </w:p>
        </w:tc>
      </w:tr>
      <w:tr w:rsidR="00632E5B" w14:paraId="06CD811A" w14:textId="77777777" w:rsidTr="001F5A64">
        <w:trPr>
          <w:trHeight w:val="240"/>
        </w:trPr>
        <w:tc>
          <w:tcPr>
            <w:tcW w:w="1606" w:type="dxa"/>
            <w:shd w:val="clear" w:color="auto" w:fill="FFFFFF" w:themeFill="background1"/>
            <w:vAlign w:val="center"/>
          </w:tcPr>
          <w:p w14:paraId="32C6B6A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(4)其他</w:t>
            </w:r>
          </w:p>
        </w:tc>
        <w:tc>
          <w:tcPr>
            <w:tcW w:w="1606" w:type="dxa"/>
            <w:shd w:val="clear" w:color="auto" w:fill="FFFFFF" w:themeFill="background1"/>
            <w:vAlign w:val="center"/>
          </w:tcPr>
          <w:p w14:paraId="0C58E0C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774,935.50</w:t>
            </w:r>
          </w:p>
        </w:tc>
        <w:tc>
          <w:tcPr>
            <w:tcW w:w="1606" w:type="dxa"/>
            <w:shd w:val="clear" w:color="auto" w:fill="FFFFFF" w:themeFill="background1"/>
            <w:vAlign w:val="center"/>
          </w:tcPr>
          <w:p w14:paraId="48B52005"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679A29D8"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20442EF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35,515.86</w:t>
            </w:r>
          </w:p>
        </w:tc>
        <w:tc>
          <w:tcPr>
            <w:tcW w:w="1606" w:type="dxa"/>
            <w:shd w:val="clear" w:color="auto" w:fill="FFFFFF" w:themeFill="background1"/>
            <w:vAlign w:val="center"/>
          </w:tcPr>
          <w:p w14:paraId="72CB92D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810,451.36</w:t>
            </w:r>
          </w:p>
        </w:tc>
      </w:tr>
      <w:tr w:rsidR="00632E5B" w14:paraId="3F21CC9A" w14:textId="77777777" w:rsidTr="001F5A64">
        <w:trPr>
          <w:trHeight w:val="240"/>
        </w:trPr>
        <w:tc>
          <w:tcPr>
            <w:tcW w:w="1606" w:type="dxa"/>
            <w:shd w:val="clear" w:color="auto" w:fill="FFFFFF" w:themeFill="background1"/>
            <w:vAlign w:val="center"/>
          </w:tcPr>
          <w:p w14:paraId="14DE7613"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3.本期减少金额</w:t>
            </w:r>
          </w:p>
        </w:tc>
        <w:tc>
          <w:tcPr>
            <w:tcW w:w="1606" w:type="dxa"/>
            <w:shd w:val="clear" w:color="auto" w:fill="FFFFFF" w:themeFill="background1"/>
            <w:vAlign w:val="center"/>
          </w:tcPr>
          <w:p w14:paraId="3564702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26,114.68</w:t>
            </w:r>
          </w:p>
        </w:tc>
        <w:tc>
          <w:tcPr>
            <w:tcW w:w="1606" w:type="dxa"/>
            <w:shd w:val="clear" w:color="auto" w:fill="FFFFFF" w:themeFill="background1"/>
            <w:vAlign w:val="center"/>
          </w:tcPr>
          <w:p w14:paraId="692F32F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2,998.82</w:t>
            </w:r>
          </w:p>
        </w:tc>
        <w:tc>
          <w:tcPr>
            <w:tcW w:w="1606" w:type="dxa"/>
            <w:shd w:val="clear" w:color="auto" w:fill="FFFFFF" w:themeFill="background1"/>
            <w:vAlign w:val="center"/>
          </w:tcPr>
          <w:p w14:paraId="52C2899D"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0C26371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3,061,054.61</w:t>
            </w:r>
          </w:p>
        </w:tc>
        <w:tc>
          <w:tcPr>
            <w:tcW w:w="1606" w:type="dxa"/>
            <w:shd w:val="clear" w:color="auto" w:fill="FFFFFF" w:themeFill="background1"/>
            <w:vAlign w:val="center"/>
          </w:tcPr>
          <w:p w14:paraId="311CF64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3,090,168.11</w:t>
            </w:r>
          </w:p>
        </w:tc>
      </w:tr>
      <w:tr w:rsidR="00632E5B" w14:paraId="63558865" w14:textId="77777777" w:rsidTr="001F5A64">
        <w:trPr>
          <w:trHeight w:val="240"/>
        </w:trPr>
        <w:tc>
          <w:tcPr>
            <w:tcW w:w="1606" w:type="dxa"/>
            <w:shd w:val="clear" w:color="auto" w:fill="FFFFFF" w:themeFill="background1"/>
            <w:vAlign w:val="center"/>
          </w:tcPr>
          <w:p w14:paraId="0EB3079D" w14:textId="77777777" w:rsidR="00632E5B" w:rsidRDefault="00107901">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（1）处置</w:t>
            </w:r>
          </w:p>
        </w:tc>
        <w:tc>
          <w:tcPr>
            <w:tcW w:w="1606" w:type="dxa"/>
            <w:shd w:val="clear" w:color="auto" w:fill="FFFFFF" w:themeFill="background1"/>
            <w:vAlign w:val="center"/>
          </w:tcPr>
          <w:p w14:paraId="0537D972"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4A9DA1DC"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1C575EA6"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5ED6C518"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70540BCC" w14:textId="77777777" w:rsidR="00632E5B" w:rsidRDefault="00632E5B">
            <w:pPr>
              <w:spacing w:line="240" w:lineRule="exact"/>
              <w:jc w:val="right"/>
              <w:rPr>
                <w:rFonts w:ascii="宋体" w:eastAsia="宋体" w:hAnsi="宋体" w:cs="宋体" w:hint="eastAsia"/>
                <w:sz w:val="18"/>
                <w:szCs w:val="18"/>
              </w:rPr>
            </w:pPr>
          </w:p>
        </w:tc>
      </w:tr>
      <w:tr w:rsidR="00632E5B" w14:paraId="7B83671E" w14:textId="77777777" w:rsidTr="001F5A64">
        <w:trPr>
          <w:trHeight w:val="240"/>
        </w:trPr>
        <w:tc>
          <w:tcPr>
            <w:tcW w:w="1606" w:type="dxa"/>
            <w:shd w:val="clear" w:color="auto" w:fill="FFFFFF" w:themeFill="background1"/>
            <w:vAlign w:val="center"/>
          </w:tcPr>
          <w:p w14:paraId="635E6B1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(2)转让</w:t>
            </w:r>
          </w:p>
        </w:tc>
        <w:tc>
          <w:tcPr>
            <w:tcW w:w="1606" w:type="dxa"/>
            <w:shd w:val="clear" w:color="auto" w:fill="FFFFFF" w:themeFill="background1"/>
            <w:vAlign w:val="center"/>
          </w:tcPr>
          <w:p w14:paraId="38407BB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26,114.68</w:t>
            </w:r>
          </w:p>
        </w:tc>
        <w:tc>
          <w:tcPr>
            <w:tcW w:w="1606" w:type="dxa"/>
            <w:shd w:val="clear" w:color="auto" w:fill="FFFFFF" w:themeFill="background1"/>
            <w:vAlign w:val="center"/>
          </w:tcPr>
          <w:p w14:paraId="1CD64A09"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63E30419"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17212234"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6D29E6A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26,114.68</w:t>
            </w:r>
          </w:p>
        </w:tc>
      </w:tr>
      <w:tr w:rsidR="00632E5B" w14:paraId="77BDB18A" w14:textId="77777777" w:rsidTr="001F5A64">
        <w:trPr>
          <w:trHeight w:val="240"/>
        </w:trPr>
        <w:tc>
          <w:tcPr>
            <w:tcW w:w="1606" w:type="dxa"/>
            <w:shd w:val="clear" w:color="auto" w:fill="FFFFFF" w:themeFill="background1"/>
            <w:vAlign w:val="center"/>
          </w:tcPr>
          <w:p w14:paraId="7B17D5D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(3)企业合并范围变更减少</w:t>
            </w:r>
          </w:p>
        </w:tc>
        <w:tc>
          <w:tcPr>
            <w:tcW w:w="1606" w:type="dxa"/>
            <w:shd w:val="clear" w:color="auto" w:fill="FFFFFF" w:themeFill="background1"/>
            <w:vAlign w:val="center"/>
          </w:tcPr>
          <w:p w14:paraId="5C749C1C"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0095BEC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2,139.28</w:t>
            </w:r>
          </w:p>
        </w:tc>
        <w:tc>
          <w:tcPr>
            <w:tcW w:w="1606" w:type="dxa"/>
            <w:shd w:val="clear" w:color="auto" w:fill="FFFFFF" w:themeFill="background1"/>
            <w:vAlign w:val="center"/>
          </w:tcPr>
          <w:p w14:paraId="0BC3D120"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723A786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3,061,054.61</w:t>
            </w:r>
          </w:p>
        </w:tc>
        <w:tc>
          <w:tcPr>
            <w:tcW w:w="1606" w:type="dxa"/>
            <w:shd w:val="clear" w:color="auto" w:fill="FFFFFF" w:themeFill="background1"/>
            <w:vAlign w:val="center"/>
          </w:tcPr>
          <w:p w14:paraId="4829696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3,063,193.89</w:t>
            </w:r>
          </w:p>
        </w:tc>
      </w:tr>
      <w:tr w:rsidR="00632E5B" w14:paraId="217D2BD8" w14:textId="77777777" w:rsidTr="001F5A64">
        <w:trPr>
          <w:trHeight w:val="240"/>
        </w:trPr>
        <w:tc>
          <w:tcPr>
            <w:tcW w:w="1606" w:type="dxa"/>
            <w:shd w:val="clear" w:color="auto" w:fill="FFFFFF" w:themeFill="background1"/>
            <w:vAlign w:val="center"/>
          </w:tcPr>
          <w:p w14:paraId="4350F78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(4)其他</w:t>
            </w:r>
          </w:p>
        </w:tc>
        <w:tc>
          <w:tcPr>
            <w:tcW w:w="1606" w:type="dxa"/>
            <w:shd w:val="clear" w:color="auto" w:fill="FFFFFF" w:themeFill="background1"/>
            <w:vAlign w:val="center"/>
          </w:tcPr>
          <w:p w14:paraId="14344A83"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351B48F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859.54</w:t>
            </w:r>
          </w:p>
        </w:tc>
        <w:tc>
          <w:tcPr>
            <w:tcW w:w="1606" w:type="dxa"/>
            <w:shd w:val="clear" w:color="auto" w:fill="FFFFFF" w:themeFill="background1"/>
            <w:vAlign w:val="center"/>
          </w:tcPr>
          <w:p w14:paraId="72CB59F0"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7E463216"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65FC776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859.54</w:t>
            </w:r>
          </w:p>
        </w:tc>
      </w:tr>
      <w:tr w:rsidR="00632E5B" w14:paraId="7A11BD98" w14:textId="77777777" w:rsidTr="001F5A64">
        <w:trPr>
          <w:trHeight w:val="240"/>
        </w:trPr>
        <w:tc>
          <w:tcPr>
            <w:tcW w:w="1606" w:type="dxa"/>
            <w:shd w:val="clear" w:color="auto" w:fill="FFFFFF" w:themeFill="background1"/>
            <w:vAlign w:val="center"/>
          </w:tcPr>
          <w:p w14:paraId="5A07C240"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4.期末余额</w:t>
            </w:r>
          </w:p>
        </w:tc>
        <w:tc>
          <w:tcPr>
            <w:tcW w:w="1606" w:type="dxa"/>
            <w:shd w:val="clear" w:color="auto" w:fill="FFFFFF" w:themeFill="background1"/>
            <w:vAlign w:val="center"/>
          </w:tcPr>
          <w:p w14:paraId="76B407B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346,103,411.97</w:t>
            </w:r>
          </w:p>
        </w:tc>
        <w:tc>
          <w:tcPr>
            <w:tcW w:w="1606" w:type="dxa"/>
            <w:shd w:val="clear" w:color="auto" w:fill="FFFFFF" w:themeFill="background1"/>
            <w:vAlign w:val="center"/>
          </w:tcPr>
          <w:p w14:paraId="7398B19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448,416.31</w:t>
            </w:r>
          </w:p>
        </w:tc>
        <w:tc>
          <w:tcPr>
            <w:tcW w:w="1606" w:type="dxa"/>
            <w:shd w:val="clear" w:color="auto" w:fill="FFFFFF" w:themeFill="background1"/>
            <w:vAlign w:val="center"/>
          </w:tcPr>
          <w:p w14:paraId="43E31F2A"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7B2F789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37,742,569.51</w:t>
            </w:r>
          </w:p>
        </w:tc>
        <w:tc>
          <w:tcPr>
            <w:tcW w:w="1606" w:type="dxa"/>
            <w:shd w:val="clear" w:color="auto" w:fill="FFFFFF" w:themeFill="background1"/>
            <w:vAlign w:val="center"/>
          </w:tcPr>
          <w:p w14:paraId="6731BC4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384,294,397.79</w:t>
            </w:r>
          </w:p>
        </w:tc>
      </w:tr>
      <w:tr w:rsidR="00632E5B" w14:paraId="0EB59923" w14:textId="77777777" w:rsidTr="001F5A64">
        <w:trPr>
          <w:trHeight w:val="240"/>
        </w:trPr>
        <w:tc>
          <w:tcPr>
            <w:tcW w:w="1606" w:type="dxa"/>
            <w:shd w:val="clear" w:color="auto" w:fill="FFFFFF" w:themeFill="background1"/>
            <w:vAlign w:val="center"/>
          </w:tcPr>
          <w:p w14:paraId="15A37871"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二、累计摊销</w:t>
            </w:r>
          </w:p>
        </w:tc>
        <w:tc>
          <w:tcPr>
            <w:tcW w:w="1606" w:type="dxa"/>
            <w:shd w:val="clear" w:color="auto" w:fill="FFFFFF" w:themeFill="background1"/>
            <w:vAlign w:val="center"/>
          </w:tcPr>
          <w:p w14:paraId="3B504338"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112F8FB7"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68A9272F"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3C512FC2"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11A1FEB8" w14:textId="77777777" w:rsidR="00632E5B" w:rsidRDefault="00632E5B">
            <w:pPr>
              <w:spacing w:line="240" w:lineRule="exact"/>
              <w:jc w:val="right"/>
              <w:rPr>
                <w:rFonts w:ascii="宋体" w:eastAsia="宋体" w:hAnsi="宋体" w:cs="宋体" w:hint="eastAsia"/>
                <w:sz w:val="18"/>
                <w:szCs w:val="18"/>
              </w:rPr>
            </w:pPr>
          </w:p>
        </w:tc>
      </w:tr>
      <w:tr w:rsidR="00632E5B" w14:paraId="039D5FDC" w14:textId="77777777" w:rsidTr="001F5A64">
        <w:trPr>
          <w:trHeight w:val="240"/>
        </w:trPr>
        <w:tc>
          <w:tcPr>
            <w:tcW w:w="1606" w:type="dxa"/>
            <w:shd w:val="clear" w:color="auto" w:fill="FFFFFF" w:themeFill="background1"/>
            <w:vAlign w:val="center"/>
          </w:tcPr>
          <w:p w14:paraId="67C08158"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1.期初余额</w:t>
            </w:r>
          </w:p>
        </w:tc>
        <w:tc>
          <w:tcPr>
            <w:tcW w:w="1606" w:type="dxa"/>
            <w:shd w:val="clear" w:color="auto" w:fill="FFFFFF" w:themeFill="background1"/>
            <w:vAlign w:val="center"/>
          </w:tcPr>
          <w:p w14:paraId="5F2EFE8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65,466,988.17</w:t>
            </w:r>
          </w:p>
        </w:tc>
        <w:tc>
          <w:tcPr>
            <w:tcW w:w="1606" w:type="dxa"/>
            <w:shd w:val="clear" w:color="auto" w:fill="FFFFFF" w:themeFill="background1"/>
            <w:vAlign w:val="center"/>
          </w:tcPr>
          <w:p w14:paraId="28E89BE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278,990.21</w:t>
            </w:r>
          </w:p>
        </w:tc>
        <w:tc>
          <w:tcPr>
            <w:tcW w:w="1606" w:type="dxa"/>
            <w:shd w:val="clear" w:color="auto" w:fill="FFFFFF" w:themeFill="background1"/>
            <w:vAlign w:val="center"/>
          </w:tcPr>
          <w:p w14:paraId="7EB0B7BD"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5C85C5E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33,249,137.67</w:t>
            </w:r>
          </w:p>
        </w:tc>
        <w:tc>
          <w:tcPr>
            <w:tcW w:w="1606" w:type="dxa"/>
            <w:shd w:val="clear" w:color="auto" w:fill="FFFFFF" w:themeFill="background1"/>
            <w:vAlign w:val="center"/>
          </w:tcPr>
          <w:p w14:paraId="1306B6B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98,995,116.05</w:t>
            </w:r>
          </w:p>
        </w:tc>
      </w:tr>
      <w:tr w:rsidR="00632E5B" w14:paraId="00484D25" w14:textId="77777777" w:rsidTr="001F5A64">
        <w:trPr>
          <w:trHeight w:val="240"/>
        </w:trPr>
        <w:tc>
          <w:tcPr>
            <w:tcW w:w="1606" w:type="dxa"/>
            <w:shd w:val="clear" w:color="auto" w:fill="FFFFFF" w:themeFill="background1"/>
            <w:vAlign w:val="center"/>
          </w:tcPr>
          <w:p w14:paraId="47731D50"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2.本期增加金额</w:t>
            </w:r>
          </w:p>
        </w:tc>
        <w:tc>
          <w:tcPr>
            <w:tcW w:w="1606" w:type="dxa"/>
            <w:shd w:val="clear" w:color="auto" w:fill="FFFFFF" w:themeFill="background1"/>
            <w:vAlign w:val="center"/>
          </w:tcPr>
          <w:p w14:paraId="26386E3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5,372,038.27</w:t>
            </w:r>
          </w:p>
        </w:tc>
        <w:tc>
          <w:tcPr>
            <w:tcW w:w="1606" w:type="dxa"/>
            <w:shd w:val="clear" w:color="auto" w:fill="FFFFFF" w:themeFill="background1"/>
            <w:vAlign w:val="center"/>
          </w:tcPr>
          <w:p w14:paraId="5DE8F9E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45,393.00</w:t>
            </w:r>
          </w:p>
        </w:tc>
        <w:tc>
          <w:tcPr>
            <w:tcW w:w="1606" w:type="dxa"/>
            <w:shd w:val="clear" w:color="auto" w:fill="FFFFFF" w:themeFill="background1"/>
            <w:vAlign w:val="center"/>
          </w:tcPr>
          <w:p w14:paraId="4DC7655C"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758869D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2,545,870.18</w:t>
            </w:r>
          </w:p>
        </w:tc>
        <w:tc>
          <w:tcPr>
            <w:tcW w:w="1606" w:type="dxa"/>
            <w:shd w:val="clear" w:color="auto" w:fill="FFFFFF" w:themeFill="background1"/>
            <w:vAlign w:val="center"/>
          </w:tcPr>
          <w:p w14:paraId="0D513AC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7,963,301.45</w:t>
            </w:r>
          </w:p>
        </w:tc>
      </w:tr>
      <w:tr w:rsidR="00632E5B" w14:paraId="2C80025F" w14:textId="77777777" w:rsidTr="001F5A64">
        <w:trPr>
          <w:trHeight w:val="240"/>
        </w:trPr>
        <w:tc>
          <w:tcPr>
            <w:tcW w:w="1606" w:type="dxa"/>
            <w:shd w:val="clear" w:color="auto" w:fill="FFFFFF" w:themeFill="background1"/>
            <w:vAlign w:val="center"/>
          </w:tcPr>
          <w:p w14:paraId="70C4330B" w14:textId="77777777" w:rsidR="00632E5B" w:rsidRDefault="00107901">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（1）计提</w:t>
            </w:r>
          </w:p>
        </w:tc>
        <w:tc>
          <w:tcPr>
            <w:tcW w:w="1606" w:type="dxa"/>
            <w:shd w:val="clear" w:color="auto" w:fill="FFFFFF" w:themeFill="background1"/>
            <w:vAlign w:val="center"/>
          </w:tcPr>
          <w:p w14:paraId="31E72C7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5,372,038.27</w:t>
            </w:r>
          </w:p>
        </w:tc>
        <w:tc>
          <w:tcPr>
            <w:tcW w:w="1606" w:type="dxa"/>
            <w:shd w:val="clear" w:color="auto" w:fill="FFFFFF" w:themeFill="background1"/>
            <w:vAlign w:val="center"/>
          </w:tcPr>
          <w:p w14:paraId="0CA11EF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45,393.00</w:t>
            </w:r>
          </w:p>
        </w:tc>
        <w:tc>
          <w:tcPr>
            <w:tcW w:w="1606" w:type="dxa"/>
            <w:shd w:val="clear" w:color="auto" w:fill="FFFFFF" w:themeFill="background1"/>
            <w:vAlign w:val="center"/>
          </w:tcPr>
          <w:p w14:paraId="1C2D550E"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1224A87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2,545,870.18</w:t>
            </w:r>
          </w:p>
        </w:tc>
        <w:tc>
          <w:tcPr>
            <w:tcW w:w="1606" w:type="dxa"/>
            <w:shd w:val="clear" w:color="auto" w:fill="FFFFFF" w:themeFill="background1"/>
            <w:vAlign w:val="center"/>
          </w:tcPr>
          <w:p w14:paraId="235FC7C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7,963,301.45</w:t>
            </w:r>
          </w:p>
        </w:tc>
      </w:tr>
      <w:tr w:rsidR="00632E5B" w14:paraId="7BE243A8" w14:textId="77777777" w:rsidTr="001F5A64">
        <w:trPr>
          <w:trHeight w:val="240"/>
        </w:trPr>
        <w:tc>
          <w:tcPr>
            <w:tcW w:w="1606" w:type="dxa"/>
            <w:shd w:val="clear" w:color="auto" w:fill="FFFFFF" w:themeFill="background1"/>
            <w:vAlign w:val="center"/>
          </w:tcPr>
          <w:p w14:paraId="45E7D1A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(4)其他</w:t>
            </w:r>
          </w:p>
        </w:tc>
        <w:tc>
          <w:tcPr>
            <w:tcW w:w="1606" w:type="dxa"/>
            <w:shd w:val="clear" w:color="auto" w:fill="FFFFFF" w:themeFill="background1"/>
            <w:vAlign w:val="center"/>
          </w:tcPr>
          <w:p w14:paraId="6961BC2B"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657C9DAD"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78B9F0CD"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1057EB73"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17F061BD" w14:textId="77777777" w:rsidR="00632E5B" w:rsidRDefault="00632E5B">
            <w:pPr>
              <w:spacing w:line="240" w:lineRule="exact"/>
              <w:jc w:val="right"/>
              <w:rPr>
                <w:rFonts w:ascii="宋体" w:eastAsia="宋体" w:hAnsi="宋体" w:cs="宋体" w:hint="eastAsia"/>
                <w:sz w:val="18"/>
                <w:szCs w:val="18"/>
              </w:rPr>
            </w:pPr>
          </w:p>
        </w:tc>
      </w:tr>
      <w:tr w:rsidR="00632E5B" w14:paraId="588B79A5" w14:textId="77777777" w:rsidTr="001F5A64">
        <w:trPr>
          <w:trHeight w:val="240"/>
        </w:trPr>
        <w:tc>
          <w:tcPr>
            <w:tcW w:w="1606" w:type="dxa"/>
            <w:shd w:val="clear" w:color="auto" w:fill="FFFFFF" w:themeFill="background1"/>
            <w:vAlign w:val="center"/>
          </w:tcPr>
          <w:p w14:paraId="324A867C"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3.本期减少金额</w:t>
            </w:r>
          </w:p>
        </w:tc>
        <w:tc>
          <w:tcPr>
            <w:tcW w:w="1606" w:type="dxa"/>
            <w:shd w:val="clear" w:color="auto" w:fill="FFFFFF" w:themeFill="background1"/>
            <w:vAlign w:val="center"/>
          </w:tcPr>
          <w:p w14:paraId="7015FFA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41,955.50</w:t>
            </w:r>
          </w:p>
        </w:tc>
        <w:tc>
          <w:tcPr>
            <w:tcW w:w="1606" w:type="dxa"/>
            <w:shd w:val="clear" w:color="auto" w:fill="FFFFFF" w:themeFill="background1"/>
            <w:vAlign w:val="center"/>
          </w:tcPr>
          <w:p w14:paraId="16FDF494"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279C80BF"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3A03F4F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2,868,016.52</w:t>
            </w:r>
          </w:p>
        </w:tc>
        <w:tc>
          <w:tcPr>
            <w:tcW w:w="1606" w:type="dxa"/>
            <w:shd w:val="clear" w:color="auto" w:fill="FFFFFF" w:themeFill="background1"/>
            <w:vAlign w:val="center"/>
          </w:tcPr>
          <w:p w14:paraId="44D91F1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2,909,972.02</w:t>
            </w:r>
          </w:p>
        </w:tc>
      </w:tr>
      <w:tr w:rsidR="00632E5B" w14:paraId="56E5716A" w14:textId="77777777" w:rsidTr="001F5A64">
        <w:trPr>
          <w:trHeight w:val="240"/>
        </w:trPr>
        <w:tc>
          <w:tcPr>
            <w:tcW w:w="1606" w:type="dxa"/>
            <w:shd w:val="clear" w:color="auto" w:fill="FFFFFF" w:themeFill="background1"/>
            <w:vAlign w:val="center"/>
          </w:tcPr>
          <w:p w14:paraId="79C68E2C" w14:textId="77777777" w:rsidR="00632E5B" w:rsidRDefault="00107901">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（1）处置</w:t>
            </w:r>
          </w:p>
        </w:tc>
        <w:tc>
          <w:tcPr>
            <w:tcW w:w="1606" w:type="dxa"/>
            <w:shd w:val="clear" w:color="auto" w:fill="FFFFFF" w:themeFill="background1"/>
            <w:vAlign w:val="center"/>
          </w:tcPr>
          <w:p w14:paraId="51492904"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7EB7622E"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5C3E75D8"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633BD87A"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09ECA793" w14:textId="77777777" w:rsidR="00632E5B" w:rsidRDefault="00632E5B">
            <w:pPr>
              <w:spacing w:line="240" w:lineRule="exact"/>
              <w:jc w:val="right"/>
              <w:rPr>
                <w:rFonts w:ascii="宋体" w:eastAsia="宋体" w:hAnsi="宋体" w:cs="宋体" w:hint="eastAsia"/>
                <w:sz w:val="18"/>
                <w:szCs w:val="18"/>
              </w:rPr>
            </w:pPr>
          </w:p>
        </w:tc>
      </w:tr>
      <w:tr w:rsidR="00632E5B" w14:paraId="661FFE05" w14:textId="77777777" w:rsidTr="001F5A64">
        <w:trPr>
          <w:trHeight w:val="240"/>
        </w:trPr>
        <w:tc>
          <w:tcPr>
            <w:tcW w:w="1606" w:type="dxa"/>
            <w:shd w:val="clear" w:color="auto" w:fill="FFFFFF" w:themeFill="background1"/>
            <w:vAlign w:val="center"/>
          </w:tcPr>
          <w:p w14:paraId="3B3CE67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(2)转让</w:t>
            </w:r>
          </w:p>
        </w:tc>
        <w:tc>
          <w:tcPr>
            <w:tcW w:w="1606" w:type="dxa"/>
            <w:shd w:val="clear" w:color="auto" w:fill="FFFFFF" w:themeFill="background1"/>
            <w:vAlign w:val="center"/>
          </w:tcPr>
          <w:p w14:paraId="2A635AB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2,132.48</w:t>
            </w:r>
          </w:p>
        </w:tc>
        <w:tc>
          <w:tcPr>
            <w:tcW w:w="1606" w:type="dxa"/>
            <w:shd w:val="clear" w:color="auto" w:fill="FFFFFF" w:themeFill="background1"/>
            <w:vAlign w:val="center"/>
          </w:tcPr>
          <w:p w14:paraId="409B4039"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1EFB9138"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33FEC1E6"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4F61630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2,132.48</w:t>
            </w:r>
          </w:p>
        </w:tc>
      </w:tr>
      <w:tr w:rsidR="00632E5B" w14:paraId="346AF8AD" w14:textId="77777777" w:rsidTr="001F5A64">
        <w:trPr>
          <w:trHeight w:val="240"/>
        </w:trPr>
        <w:tc>
          <w:tcPr>
            <w:tcW w:w="1606" w:type="dxa"/>
            <w:shd w:val="clear" w:color="auto" w:fill="FFFFFF" w:themeFill="background1"/>
            <w:vAlign w:val="center"/>
          </w:tcPr>
          <w:p w14:paraId="7460EBC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(3)企业合并范围变更减少</w:t>
            </w:r>
          </w:p>
        </w:tc>
        <w:tc>
          <w:tcPr>
            <w:tcW w:w="1606" w:type="dxa"/>
            <w:shd w:val="clear" w:color="auto" w:fill="FFFFFF" w:themeFill="background1"/>
            <w:vAlign w:val="center"/>
          </w:tcPr>
          <w:p w14:paraId="4542ACC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39,823.02</w:t>
            </w:r>
          </w:p>
        </w:tc>
        <w:tc>
          <w:tcPr>
            <w:tcW w:w="1606" w:type="dxa"/>
            <w:shd w:val="clear" w:color="auto" w:fill="FFFFFF" w:themeFill="background1"/>
            <w:vAlign w:val="center"/>
          </w:tcPr>
          <w:p w14:paraId="29EA3212"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188F9ABB"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582FC8A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2,772,767.91</w:t>
            </w:r>
          </w:p>
        </w:tc>
        <w:tc>
          <w:tcPr>
            <w:tcW w:w="1606" w:type="dxa"/>
            <w:shd w:val="clear" w:color="auto" w:fill="FFFFFF" w:themeFill="background1"/>
            <w:vAlign w:val="center"/>
          </w:tcPr>
          <w:p w14:paraId="3C30BA6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2,812,590.93</w:t>
            </w:r>
          </w:p>
        </w:tc>
      </w:tr>
      <w:tr w:rsidR="00632E5B" w14:paraId="678E4A3E" w14:textId="77777777" w:rsidTr="001F5A64">
        <w:trPr>
          <w:trHeight w:val="240"/>
        </w:trPr>
        <w:tc>
          <w:tcPr>
            <w:tcW w:w="1606" w:type="dxa"/>
            <w:shd w:val="clear" w:color="auto" w:fill="FFFFFF" w:themeFill="background1"/>
            <w:vAlign w:val="center"/>
          </w:tcPr>
          <w:p w14:paraId="06D2CBB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(4)其他</w:t>
            </w:r>
          </w:p>
        </w:tc>
        <w:tc>
          <w:tcPr>
            <w:tcW w:w="1606" w:type="dxa"/>
            <w:shd w:val="clear" w:color="auto" w:fill="FFFFFF" w:themeFill="background1"/>
            <w:vAlign w:val="center"/>
          </w:tcPr>
          <w:p w14:paraId="5FDE9854"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7986AEB8"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3EE9D1BD"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2B20141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95,248.61</w:t>
            </w:r>
          </w:p>
        </w:tc>
        <w:tc>
          <w:tcPr>
            <w:tcW w:w="1606" w:type="dxa"/>
            <w:shd w:val="clear" w:color="auto" w:fill="FFFFFF" w:themeFill="background1"/>
            <w:vAlign w:val="center"/>
          </w:tcPr>
          <w:p w14:paraId="08B01E7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95,248.61</w:t>
            </w:r>
          </w:p>
        </w:tc>
      </w:tr>
      <w:tr w:rsidR="00632E5B" w14:paraId="6E9D4605" w14:textId="77777777" w:rsidTr="001F5A64">
        <w:trPr>
          <w:trHeight w:val="240"/>
        </w:trPr>
        <w:tc>
          <w:tcPr>
            <w:tcW w:w="1606" w:type="dxa"/>
            <w:shd w:val="clear" w:color="auto" w:fill="FFFFFF" w:themeFill="background1"/>
            <w:vAlign w:val="center"/>
          </w:tcPr>
          <w:p w14:paraId="58C32C80"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4.期末余额</w:t>
            </w:r>
          </w:p>
        </w:tc>
        <w:tc>
          <w:tcPr>
            <w:tcW w:w="1606" w:type="dxa"/>
            <w:shd w:val="clear" w:color="auto" w:fill="FFFFFF" w:themeFill="background1"/>
            <w:vAlign w:val="center"/>
          </w:tcPr>
          <w:p w14:paraId="528F0DA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70,797,070.94</w:t>
            </w:r>
          </w:p>
        </w:tc>
        <w:tc>
          <w:tcPr>
            <w:tcW w:w="1606" w:type="dxa"/>
            <w:shd w:val="clear" w:color="auto" w:fill="FFFFFF" w:themeFill="background1"/>
            <w:vAlign w:val="center"/>
          </w:tcPr>
          <w:p w14:paraId="550ABF3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324,383.21</w:t>
            </w:r>
          </w:p>
        </w:tc>
        <w:tc>
          <w:tcPr>
            <w:tcW w:w="1606" w:type="dxa"/>
            <w:shd w:val="clear" w:color="auto" w:fill="FFFFFF" w:themeFill="background1"/>
            <w:vAlign w:val="center"/>
          </w:tcPr>
          <w:p w14:paraId="18577AA1"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6F08227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32,926,991.33</w:t>
            </w:r>
          </w:p>
        </w:tc>
        <w:tc>
          <w:tcPr>
            <w:tcW w:w="1606" w:type="dxa"/>
            <w:shd w:val="clear" w:color="auto" w:fill="FFFFFF" w:themeFill="background1"/>
            <w:vAlign w:val="center"/>
          </w:tcPr>
          <w:p w14:paraId="261E2C7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104,048,445.48</w:t>
            </w:r>
          </w:p>
        </w:tc>
      </w:tr>
      <w:tr w:rsidR="00632E5B" w14:paraId="1C022EAD" w14:textId="77777777" w:rsidTr="001F5A64">
        <w:trPr>
          <w:trHeight w:val="240"/>
        </w:trPr>
        <w:tc>
          <w:tcPr>
            <w:tcW w:w="1606" w:type="dxa"/>
            <w:shd w:val="clear" w:color="auto" w:fill="FFFFFF" w:themeFill="background1"/>
            <w:vAlign w:val="center"/>
          </w:tcPr>
          <w:p w14:paraId="229417C4"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三、减值准备</w:t>
            </w:r>
          </w:p>
        </w:tc>
        <w:tc>
          <w:tcPr>
            <w:tcW w:w="1606" w:type="dxa"/>
            <w:shd w:val="clear" w:color="auto" w:fill="FFFFFF" w:themeFill="background1"/>
            <w:vAlign w:val="center"/>
          </w:tcPr>
          <w:p w14:paraId="26608E0D"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61364603"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7A28D141"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0AF0A799"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4D5A4B28" w14:textId="77777777" w:rsidR="00632E5B" w:rsidRDefault="00632E5B">
            <w:pPr>
              <w:spacing w:line="240" w:lineRule="exact"/>
              <w:jc w:val="right"/>
              <w:rPr>
                <w:rFonts w:ascii="宋体" w:eastAsia="宋体" w:hAnsi="宋体" w:cs="宋体" w:hint="eastAsia"/>
                <w:sz w:val="18"/>
                <w:szCs w:val="18"/>
              </w:rPr>
            </w:pPr>
          </w:p>
        </w:tc>
      </w:tr>
      <w:tr w:rsidR="00632E5B" w14:paraId="61DD7C48" w14:textId="77777777" w:rsidTr="001F5A64">
        <w:trPr>
          <w:trHeight w:val="240"/>
        </w:trPr>
        <w:tc>
          <w:tcPr>
            <w:tcW w:w="1606" w:type="dxa"/>
            <w:shd w:val="clear" w:color="auto" w:fill="FFFFFF" w:themeFill="background1"/>
            <w:vAlign w:val="center"/>
          </w:tcPr>
          <w:p w14:paraId="1AC560F7"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1.期初余额</w:t>
            </w:r>
          </w:p>
        </w:tc>
        <w:tc>
          <w:tcPr>
            <w:tcW w:w="1606" w:type="dxa"/>
            <w:shd w:val="clear" w:color="auto" w:fill="FFFFFF" w:themeFill="background1"/>
            <w:vAlign w:val="center"/>
          </w:tcPr>
          <w:p w14:paraId="2125AD7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3,153,172.37</w:t>
            </w:r>
          </w:p>
        </w:tc>
        <w:tc>
          <w:tcPr>
            <w:tcW w:w="1606" w:type="dxa"/>
            <w:shd w:val="clear" w:color="auto" w:fill="FFFFFF" w:themeFill="background1"/>
            <w:vAlign w:val="center"/>
          </w:tcPr>
          <w:p w14:paraId="3D7C5784"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66364003"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4A42A3DB"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7994F08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3,153,172.37</w:t>
            </w:r>
          </w:p>
        </w:tc>
      </w:tr>
      <w:tr w:rsidR="00632E5B" w14:paraId="0AD3A9FC" w14:textId="77777777" w:rsidTr="001F5A64">
        <w:trPr>
          <w:trHeight w:val="240"/>
        </w:trPr>
        <w:tc>
          <w:tcPr>
            <w:tcW w:w="1606" w:type="dxa"/>
            <w:shd w:val="clear" w:color="auto" w:fill="FFFFFF" w:themeFill="background1"/>
            <w:vAlign w:val="center"/>
          </w:tcPr>
          <w:p w14:paraId="08F5CA60"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2.本期增加金额</w:t>
            </w:r>
          </w:p>
        </w:tc>
        <w:tc>
          <w:tcPr>
            <w:tcW w:w="1606" w:type="dxa"/>
            <w:shd w:val="clear" w:color="auto" w:fill="FFFFFF" w:themeFill="background1"/>
            <w:vAlign w:val="center"/>
          </w:tcPr>
          <w:p w14:paraId="58616DC9"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2CBD989B"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00942AF5"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4F40B8C4"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00FD2727" w14:textId="77777777" w:rsidR="00632E5B" w:rsidRDefault="00632E5B">
            <w:pPr>
              <w:spacing w:line="240" w:lineRule="exact"/>
              <w:jc w:val="right"/>
              <w:rPr>
                <w:rFonts w:ascii="宋体" w:eastAsia="宋体" w:hAnsi="宋体" w:cs="宋体" w:hint="eastAsia"/>
                <w:sz w:val="18"/>
                <w:szCs w:val="18"/>
              </w:rPr>
            </w:pPr>
          </w:p>
        </w:tc>
      </w:tr>
      <w:tr w:rsidR="00632E5B" w14:paraId="317375C3" w14:textId="77777777" w:rsidTr="001F5A64">
        <w:trPr>
          <w:trHeight w:val="240"/>
        </w:trPr>
        <w:tc>
          <w:tcPr>
            <w:tcW w:w="1606" w:type="dxa"/>
            <w:shd w:val="clear" w:color="auto" w:fill="FFFFFF" w:themeFill="background1"/>
            <w:vAlign w:val="center"/>
          </w:tcPr>
          <w:p w14:paraId="752CDF78" w14:textId="77777777" w:rsidR="00632E5B" w:rsidRDefault="00107901">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（1）计提</w:t>
            </w:r>
          </w:p>
        </w:tc>
        <w:tc>
          <w:tcPr>
            <w:tcW w:w="1606" w:type="dxa"/>
            <w:shd w:val="clear" w:color="auto" w:fill="FFFFFF" w:themeFill="background1"/>
            <w:vAlign w:val="center"/>
          </w:tcPr>
          <w:p w14:paraId="5585E967"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0D57FEBF"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03D48F33"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0C8658A5"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19035F80" w14:textId="77777777" w:rsidR="00632E5B" w:rsidRDefault="00632E5B">
            <w:pPr>
              <w:spacing w:line="240" w:lineRule="exact"/>
              <w:jc w:val="right"/>
              <w:rPr>
                <w:rFonts w:ascii="宋体" w:eastAsia="宋体" w:hAnsi="宋体" w:cs="宋体" w:hint="eastAsia"/>
                <w:sz w:val="18"/>
                <w:szCs w:val="18"/>
              </w:rPr>
            </w:pPr>
          </w:p>
        </w:tc>
      </w:tr>
      <w:tr w:rsidR="00632E5B" w14:paraId="3947EAB1" w14:textId="77777777" w:rsidTr="001F5A64">
        <w:trPr>
          <w:trHeight w:val="240"/>
        </w:trPr>
        <w:tc>
          <w:tcPr>
            <w:tcW w:w="1606" w:type="dxa"/>
            <w:shd w:val="clear" w:color="auto" w:fill="FFFFFF" w:themeFill="background1"/>
            <w:vAlign w:val="center"/>
          </w:tcPr>
          <w:p w14:paraId="35797F86"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111E0EAD"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4925B1E7"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4626C774"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58BE937E"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222D2743" w14:textId="77777777" w:rsidR="00632E5B" w:rsidRDefault="00632E5B">
            <w:pPr>
              <w:spacing w:line="240" w:lineRule="exact"/>
              <w:jc w:val="right"/>
              <w:rPr>
                <w:rFonts w:ascii="宋体" w:eastAsia="宋体" w:hAnsi="宋体" w:cs="宋体" w:hint="eastAsia"/>
                <w:sz w:val="18"/>
                <w:szCs w:val="18"/>
              </w:rPr>
            </w:pPr>
          </w:p>
        </w:tc>
      </w:tr>
      <w:tr w:rsidR="00632E5B" w14:paraId="7702F8D4" w14:textId="77777777" w:rsidTr="001F5A64">
        <w:trPr>
          <w:trHeight w:val="240"/>
        </w:trPr>
        <w:tc>
          <w:tcPr>
            <w:tcW w:w="1606" w:type="dxa"/>
            <w:shd w:val="clear" w:color="auto" w:fill="FFFFFF" w:themeFill="background1"/>
            <w:vAlign w:val="center"/>
          </w:tcPr>
          <w:p w14:paraId="1703485E"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lastRenderedPageBreak/>
              <w:t>3.本期减少金额</w:t>
            </w:r>
          </w:p>
        </w:tc>
        <w:tc>
          <w:tcPr>
            <w:tcW w:w="1606" w:type="dxa"/>
            <w:shd w:val="clear" w:color="auto" w:fill="FFFFFF" w:themeFill="background1"/>
            <w:vAlign w:val="center"/>
          </w:tcPr>
          <w:p w14:paraId="73FBFD3C"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252EE4C1"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130A80A1"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14F56307"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24E4C269" w14:textId="77777777" w:rsidR="00632E5B" w:rsidRDefault="00632E5B">
            <w:pPr>
              <w:spacing w:line="240" w:lineRule="exact"/>
              <w:jc w:val="right"/>
              <w:rPr>
                <w:rFonts w:ascii="宋体" w:eastAsia="宋体" w:hAnsi="宋体" w:cs="宋体" w:hint="eastAsia"/>
                <w:sz w:val="18"/>
                <w:szCs w:val="18"/>
              </w:rPr>
            </w:pPr>
          </w:p>
        </w:tc>
      </w:tr>
      <w:tr w:rsidR="00632E5B" w14:paraId="1799CABF" w14:textId="77777777" w:rsidTr="001F5A64">
        <w:trPr>
          <w:trHeight w:val="240"/>
        </w:trPr>
        <w:tc>
          <w:tcPr>
            <w:tcW w:w="1606" w:type="dxa"/>
            <w:shd w:val="clear" w:color="auto" w:fill="FFFFFF" w:themeFill="background1"/>
            <w:vAlign w:val="center"/>
          </w:tcPr>
          <w:p w14:paraId="4810D02E" w14:textId="77777777" w:rsidR="00632E5B" w:rsidRDefault="00107901">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（1）处置</w:t>
            </w:r>
          </w:p>
        </w:tc>
        <w:tc>
          <w:tcPr>
            <w:tcW w:w="1606" w:type="dxa"/>
            <w:shd w:val="clear" w:color="auto" w:fill="FFFFFF" w:themeFill="background1"/>
            <w:vAlign w:val="center"/>
          </w:tcPr>
          <w:p w14:paraId="480F5598"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0F537CBE"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10E5344E"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44145F6A"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5C9D3F7F" w14:textId="77777777" w:rsidR="00632E5B" w:rsidRDefault="00632E5B">
            <w:pPr>
              <w:spacing w:line="240" w:lineRule="exact"/>
              <w:jc w:val="right"/>
              <w:rPr>
                <w:rFonts w:ascii="宋体" w:eastAsia="宋体" w:hAnsi="宋体" w:cs="宋体" w:hint="eastAsia"/>
                <w:sz w:val="18"/>
                <w:szCs w:val="18"/>
              </w:rPr>
            </w:pPr>
          </w:p>
        </w:tc>
      </w:tr>
      <w:tr w:rsidR="00632E5B" w14:paraId="3AD81722" w14:textId="77777777" w:rsidTr="001F5A64">
        <w:trPr>
          <w:trHeight w:val="240"/>
        </w:trPr>
        <w:tc>
          <w:tcPr>
            <w:tcW w:w="1606" w:type="dxa"/>
            <w:shd w:val="clear" w:color="auto" w:fill="FFFFFF" w:themeFill="background1"/>
            <w:vAlign w:val="center"/>
          </w:tcPr>
          <w:p w14:paraId="0203D28A" w14:textId="77777777" w:rsidR="00632E5B" w:rsidRDefault="00632E5B">
            <w:pPr>
              <w:spacing w:line="240" w:lineRule="exact"/>
              <w:rPr>
                <w:rFonts w:ascii="宋体" w:eastAsia="宋体" w:hAnsi="宋体" w:cs="宋体" w:hint="eastAsia"/>
                <w:sz w:val="18"/>
                <w:szCs w:val="18"/>
              </w:rPr>
            </w:pPr>
          </w:p>
        </w:tc>
        <w:tc>
          <w:tcPr>
            <w:tcW w:w="1606" w:type="dxa"/>
            <w:shd w:val="clear" w:color="auto" w:fill="FFFFFF" w:themeFill="background1"/>
            <w:vAlign w:val="center"/>
          </w:tcPr>
          <w:p w14:paraId="67B0A0BE"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7E138418"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4DBF9337"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497F809E"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3B760CDC" w14:textId="77777777" w:rsidR="00632E5B" w:rsidRDefault="00632E5B">
            <w:pPr>
              <w:spacing w:line="240" w:lineRule="exact"/>
              <w:jc w:val="right"/>
              <w:rPr>
                <w:rFonts w:ascii="宋体" w:eastAsia="宋体" w:hAnsi="宋体" w:cs="宋体" w:hint="eastAsia"/>
                <w:sz w:val="18"/>
                <w:szCs w:val="18"/>
              </w:rPr>
            </w:pPr>
          </w:p>
        </w:tc>
      </w:tr>
      <w:tr w:rsidR="00632E5B" w14:paraId="7A65BD07" w14:textId="77777777" w:rsidTr="001F5A64">
        <w:trPr>
          <w:trHeight w:val="240"/>
        </w:trPr>
        <w:tc>
          <w:tcPr>
            <w:tcW w:w="1606" w:type="dxa"/>
            <w:shd w:val="clear" w:color="auto" w:fill="FFFFFF" w:themeFill="background1"/>
            <w:vAlign w:val="center"/>
          </w:tcPr>
          <w:p w14:paraId="0EFC4A92"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4.期末余额</w:t>
            </w:r>
          </w:p>
        </w:tc>
        <w:tc>
          <w:tcPr>
            <w:tcW w:w="1606" w:type="dxa"/>
            <w:shd w:val="clear" w:color="auto" w:fill="FFFFFF" w:themeFill="background1"/>
            <w:vAlign w:val="center"/>
          </w:tcPr>
          <w:p w14:paraId="7FC586F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3,153,172.37</w:t>
            </w:r>
          </w:p>
        </w:tc>
        <w:tc>
          <w:tcPr>
            <w:tcW w:w="1606" w:type="dxa"/>
            <w:shd w:val="clear" w:color="auto" w:fill="FFFFFF" w:themeFill="background1"/>
            <w:vAlign w:val="center"/>
          </w:tcPr>
          <w:p w14:paraId="57D8DB2C"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355D0E9C"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4E065887"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647F156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3,153,172.37</w:t>
            </w:r>
          </w:p>
        </w:tc>
      </w:tr>
      <w:tr w:rsidR="00632E5B" w14:paraId="3D6D904F" w14:textId="77777777" w:rsidTr="001F5A64">
        <w:trPr>
          <w:trHeight w:val="240"/>
        </w:trPr>
        <w:tc>
          <w:tcPr>
            <w:tcW w:w="1606" w:type="dxa"/>
            <w:shd w:val="clear" w:color="auto" w:fill="FFFFFF" w:themeFill="background1"/>
            <w:vAlign w:val="center"/>
          </w:tcPr>
          <w:p w14:paraId="2C11ABDB"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四、账面价值</w:t>
            </w:r>
          </w:p>
        </w:tc>
        <w:tc>
          <w:tcPr>
            <w:tcW w:w="1606" w:type="dxa"/>
            <w:shd w:val="clear" w:color="auto" w:fill="FFFFFF" w:themeFill="background1"/>
            <w:vAlign w:val="center"/>
          </w:tcPr>
          <w:p w14:paraId="3CFAC334"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7B1F8923"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03DD0F76"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52A6CC33"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63F4B26B" w14:textId="77777777" w:rsidR="00632E5B" w:rsidRDefault="00632E5B">
            <w:pPr>
              <w:spacing w:line="240" w:lineRule="exact"/>
              <w:jc w:val="right"/>
              <w:rPr>
                <w:rFonts w:ascii="宋体" w:eastAsia="宋体" w:hAnsi="宋体" w:cs="宋体" w:hint="eastAsia"/>
                <w:sz w:val="18"/>
                <w:szCs w:val="18"/>
              </w:rPr>
            </w:pPr>
          </w:p>
        </w:tc>
      </w:tr>
      <w:tr w:rsidR="00632E5B" w14:paraId="46494EA5" w14:textId="77777777" w:rsidTr="001F5A64">
        <w:trPr>
          <w:trHeight w:val="240"/>
        </w:trPr>
        <w:tc>
          <w:tcPr>
            <w:tcW w:w="1606" w:type="dxa"/>
            <w:shd w:val="clear" w:color="auto" w:fill="FFFFFF" w:themeFill="background1"/>
            <w:vAlign w:val="center"/>
          </w:tcPr>
          <w:p w14:paraId="2F45ED95"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1.期末账面价值</w:t>
            </w:r>
          </w:p>
        </w:tc>
        <w:tc>
          <w:tcPr>
            <w:tcW w:w="1606" w:type="dxa"/>
            <w:shd w:val="clear" w:color="auto" w:fill="FFFFFF" w:themeFill="background1"/>
            <w:vAlign w:val="center"/>
          </w:tcPr>
          <w:p w14:paraId="28B8408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272,153,168.66</w:t>
            </w:r>
          </w:p>
        </w:tc>
        <w:tc>
          <w:tcPr>
            <w:tcW w:w="1606" w:type="dxa"/>
            <w:shd w:val="clear" w:color="auto" w:fill="FFFFFF" w:themeFill="background1"/>
            <w:vAlign w:val="center"/>
          </w:tcPr>
          <w:p w14:paraId="3F9034E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124,033.10</w:t>
            </w:r>
          </w:p>
        </w:tc>
        <w:tc>
          <w:tcPr>
            <w:tcW w:w="1606" w:type="dxa"/>
            <w:shd w:val="clear" w:color="auto" w:fill="FFFFFF" w:themeFill="background1"/>
            <w:vAlign w:val="center"/>
          </w:tcPr>
          <w:p w14:paraId="1A49CB00"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1BFD6D0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4,815,578.18</w:t>
            </w:r>
          </w:p>
        </w:tc>
        <w:tc>
          <w:tcPr>
            <w:tcW w:w="1606" w:type="dxa"/>
            <w:shd w:val="clear" w:color="auto" w:fill="FFFFFF" w:themeFill="background1"/>
            <w:vAlign w:val="center"/>
          </w:tcPr>
          <w:p w14:paraId="644BAD6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277,092,779.94</w:t>
            </w:r>
          </w:p>
        </w:tc>
      </w:tr>
      <w:tr w:rsidR="00632E5B" w14:paraId="0BEB3B6A" w14:textId="77777777" w:rsidTr="001F5A64">
        <w:trPr>
          <w:trHeight w:val="240"/>
        </w:trPr>
        <w:tc>
          <w:tcPr>
            <w:tcW w:w="1606" w:type="dxa"/>
            <w:shd w:val="clear" w:color="auto" w:fill="FFFFFF" w:themeFill="background1"/>
            <w:vAlign w:val="center"/>
          </w:tcPr>
          <w:p w14:paraId="055AE92F"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2.期初账面价值</w:t>
            </w:r>
          </w:p>
        </w:tc>
        <w:tc>
          <w:tcPr>
            <w:tcW w:w="1606" w:type="dxa"/>
            <w:shd w:val="clear" w:color="auto" w:fill="FFFFFF" w:themeFill="background1"/>
            <w:vAlign w:val="center"/>
          </w:tcPr>
          <w:p w14:paraId="0BB0705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276,734,430.61</w:t>
            </w:r>
          </w:p>
        </w:tc>
        <w:tc>
          <w:tcPr>
            <w:tcW w:w="1606" w:type="dxa"/>
            <w:shd w:val="clear" w:color="auto" w:fill="FFFFFF" w:themeFill="background1"/>
            <w:vAlign w:val="center"/>
          </w:tcPr>
          <w:p w14:paraId="0AD373C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172,424.92</w:t>
            </w:r>
          </w:p>
        </w:tc>
        <w:tc>
          <w:tcPr>
            <w:tcW w:w="1606" w:type="dxa"/>
            <w:shd w:val="clear" w:color="auto" w:fill="FFFFFF" w:themeFill="background1"/>
            <w:vAlign w:val="center"/>
          </w:tcPr>
          <w:p w14:paraId="6D0D8AE2"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3B95E80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7,518,970.59</w:t>
            </w:r>
          </w:p>
        </w:tc>
        <w:tc>
          <w:tcPr>
            <w:tcW w:w="1606" w:type="dxa"/>
            <w:shd w:val="clear" w:color="auto" w:fill="FFFFFF" w:themeFill="background1"/>
            <w:vAlign w:val="center"/>
          </w:tcPr>
          <w:p w14:paraId="00F32BF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284,425,826.12</w:t>
            </w:r>
          </w:p>
        </w:tc>
      </w:tr>
    </w:tbl>
    <w:p w14:paraId="5A53155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本期末通过公司内部研发形成的无形资产占无形资产余额的比例。</w:t>
      </w:r>
    </w:p>
    <w:p w14:paraId="4065B887"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260" w:name="_Toc989147"/>
      <w:r>
        <w:rPr>
          <w:rFonts w:ascii="宋体" w:eastAsia="宋体" w:hAnsi="宋体" w:cs="宋体"/>
          <w:b/>
          <w:bCs/>
          <w:szCs w:val="21"/>
        </w:rPr>
        <w:t>（2） 确认为无形资产的数据资源</w:t>
      </w:r>
      <w:bookmarkEnd w:id="260"/>
    </w:p>
    <w:p w14:paraId="1964EB03"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F988F02"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261" w:name="_Toc989148"/>
      <w:r>
        <w:rPr>
          <w:rFonts w:ascii="宋体" w:eastAsia="宋体" w:hAnsi="宋体" w:cs="宋体"/>
          <w:b/>
          <w:bCs/>
          <w:szCs w:val="21"/>
        </w:rPr>
        <w:t>（3） 无形资产的减值测试情况</w:t>
      </w:r>
      <w:bookmarkEnd w:id="261"/>
    </w:p>
    <w:p w14:paraId="2AB30D0E"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20896F2" w14:textId="77777777" w:rsidR="00632E5B" w:rsidRDefault="00107901">
      <w:pPr>
        <w:pStyle w:val="3"/>
        <w:spacing w:line="280" w:lineRule="exact"/>
        <w:jc w:val="left"/>
        <w:rPr>
          <w:rFonts w:ascii="宋体" w:hAnsi="宋体" w:cs="宋体" w:hint="eastAsia"/>
          <w:b/>
          <w:bCs/>
        </w:rPr>
      </w:pPr>
      <w:bookmarkStart w:id="262" w:name="_Toc989149"/>
      <w:r>
        <w:rPr>
          <w:rFonts w:ascii="宋体" w:hAnsi="宋体" w:cs="宋体"/>
          <w:b/>
          <w:bCs/>
        </w:rPr>
        <w:t>17、商誉</w:t>
      </w:r>
      <w:bookmarkEnd w:id="262"/>
    </w:p>
    <w:p w14:paraId="0E9398FC"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263" w:name="_Toc989150"/>
      <w:r>
        <w:rPr>
          <w:rFonts w:ascii="宋体" w:eastAsia="宋体" w:hAnsi="宋体" w:cs="宋体"/>
          <w:b/>
          <w:bCs/>
          <w:szCs w:val="21"/>
        </w:rPr>
        <w:t>（1） 商誉账面原值</w:t>
      </w:r>
      <w:bookmarkEnd w:id="263"/>
    </w:p>
    <w:p w14:paraId="4F60B192"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377"/>
        <w:gridCol w:w="1489"/>
        <w:gridCol w:w="1265"/>
        <w:gridCol w:w="1377"/>
        <w:gridCol w:w="1377"/>
        <w:gridCol w:w="1226"/>
        <w:gridCol w:w="1528"/>
      </w:tblGrid>
      <w:tr w:rsidR="00632E5B" w14:paraId="09588516" w14:textId="77777777" w:rsidTr="001F5A64">
        <w:trPr>
          <w:trHeight w:val="240"/>
        </w:trPr>
        <w:tc>
          <w:tcPr>
            <w:tcW w:w="1377" w:type="dxa"/>
            <w:vMerge w:val="restart"/>
            <w:shd w:val="clear" w:color="auto" w:fill="FFFFFF" w:themeFill="background1"/>
            <w:vAlign w:val="center"/>
          </w:tcPr>
          <w:p w14:paraId="4B89067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被投资单位名称或形成商誉的事项</w:t>
            </w:r>
          </w:p>
        </w:tc>
        <w:tc>
          <w:tcPr>
            <w:tcW w:w="1489" w:type="dxa"/>
            <w:vMerge w:val="restart"/>
            <w:shd w:val="clear" w:color="auto" w:fill="FFFFFF" w:themeFill="background1"/>
            <w:vAlign w:val="center"/>
          </w:tcPr>
          <w:p w14:paraId="62C976D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2642" w:type="dxa"/>
            <w:gridSpan w:val="2"/>
            <w:shd w:val="clear" w:color="auto" w:fill="FFFFFF" w:themeFill="background1"/>
            <w:vAlign w:val="center"/>
          </w:tcPr>
          <w:p w14:paraId="65E1FD9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2603" w:type="dxa"/>
            <w:gridSpan w:val="2"/>
            <w:shd w:val="clear" w:color="auto" w:fill="FFFFFF" w:themeFill="background1"/>
            <w:vAlign w:val="center"/>
          </w:tcPr>
          <w:p w14:paraId="29CB372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1528" w:type="dxa"/>
            <w:vMerge w:val="restart"/>
            <w:shd w:val="clear" w:color="auto" w:fill="FFFFFF" w:themeFill="background1"/>
            <w:vAlign w:val="center"/>
          </w:tcPr>
          <w:p w14:paraId="740F486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632E5B" w14:paraId="780EF919" w14:textId="77777777" w:rsidTr="001F5A64">
        <w:trPr>
          <w:trHeight w:val="240"/>
        </w:trPr>
        <w:tc>
          <w:tcPr>
            <w:tcW w:w="1377" w:type="dxa"/>
            <w:vMerge/>
            <w:shd w:val="clear" w:color="auto" w:fill="FFFFFF" w:themeFill="background1"/>
            <w:vAlign w:val="center"/>
          </w:tcPr>
          <w:p w14:paraId="23F65A5C" w14:textId="77777777" w:rsidR="00632E5B" w:rsidRDefault="00632E5B"/>
        </w:tc>
        <w:tc>
          <w:tcPr>
            <w:tcW w:w="1489" w:type="dxa"/>
            <w:vMerge/>
            <w:shd w:val="clear" w:color="auto" w:fill="FFFFFF" w:themeFill="background1"/>
            <w:vAlign w:val="center"/>
          </w:tcPr>
          <w:p w14:paraId="3CF54C32" w14:textId="77777777" w:rsidR="00632E5B" w:rsidRDefault="00632E5B"/>
        </w:tc>
        <w:tc>
          <w:tcPr>
            <w:tcW w:w="1265" w:type="dxa"/>
            <w:shd w:val="clear" w:color="auto" w:fill="FFFFFF" w:themeFill="background1"/>
            <w:vAlign w:val="center"/>
          </w:tcPr>
          <w:p w14:paraId="2978ECA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企业合并形成的</w:t>
            </w:r>
          </w:p>
        </w:tc>
        <w:tc>
          <w:tcPr>
            <w:tcW w:w="1377" w:type="dxa"/>
            <w:shd w:val="clear" w:color="auto" w:fill="FFFFFF" w:themeFill="background1"/>
            <w:vAlign w:val="center"/>
          </w:tcPr>
          <w:p w14:paraId="1F1BE8B6" w14:textId="77777777" w:rsidR="00632E5B" w:rsidRDefault="00632E5B">
            <w:pPr>
              <w:spacing w:line="240" w:lineRule="exact"/>
              <w:jc w:val="center"/>
              <w:rPr>
                <w:rFonts w:ascii="宋体" w:eastAsia="宋体" w:hAnsi="宋体" w:cs="宋体" w:hint="eastAsia"/>
                <w:sz w:val="18"/>
                <w:szCs w:val="18"/>
              </w:rPr>
            </w:pPr>
          </w:p>
        </w:tc>
        <w:tc>
          <w:tcPr>
            <w:tcW w:w="1377" w:type="dxa"/>
            <w:shd w:val="clear" w:color="auto" w:fill="FFFFFF" w:themeFill="background1"/>
            <w:vAlign w:val="center"/>
          </w:tcPr>
          <w:p w14:paraId="0CBB556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处置</w:t>
            </w:r>
          </w:p>
        </w:tc>
        <w:tc>
          <w:tcPr>
            <w:tcW w:w="1226" w:type="dxa"/>
            <w:shd w:val="clear" w:color="auto" w:fill="FFFFFF" w:themeFill="background1"/>
            <w:vAlign w:val="center"/>
          </w:tcPr>
          <w:p w14:paraId="09C713C1" w14:textId="77777777" w:rsidR="00632E5B" w:rsidRDefault="00632E5B">
            <w:pPr>
              <w:spacing w:line="240" w:lineRule="exact"/>
              <w:jc w:val="center"/>
              <w:rPr>
                <w:rFonts w:ascii="宋体" w:eastAsia="宋体" w:hAnsi="宋体" w:cs="宋体" w:hint="eastAsia"/>
                <w:sz w:val="18"/>
                <w:szCs w:val="18"/>
              </w:rPr>
            </w:pPr>
          </w:p>
        </w:tc>
        <w:tc>
          <w:tcPr>
            <w:tcW w:w="1528" w:type="dxa"/>
            <w:vMerge/>
            <w:shd w:val="clear" w:color="auto" w:fill="FFFFFF" w:themeFill="background1"/>
            <w:vAlign w:val="center"/>
          </w:tcPr>
          <w:p w14:paraId="354D785B" w14:textId="77777777" w:rsidR="00632E5B" w:rsidRDefault="00632E5B"/>
        </w:tc>
      </w:tr>
      <w:tr w:rsidR="00632E5B" w14:paraId="76399C53" w14:textId="77777777" w:rsidTr="001F5A64">
        <w:trPr>
          <w:trHeight w:val="240"/>
        </w:trPr>
        <w:tc>
          <w:tcPr>
            <w:tcW w:w="1377" w:type="dxa"/>
            <w:shd w:val="clear" w:color="auto" w:fill="FFFFFF" w:themeFill="background1"/>
            <w:vAlign w:val="center"/>
          </w:tcPr>
          <w:p w14:paraId="71771D3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常州船用电缆有限责任公司商誉</w:t>
            </w:r>
          </w:p>
        </w:tc>
        <w:tc>
          <w:tcPr>
            <w:tcW w:w="1489" w:type="dxa"/>
            <w:shd w:val="clear" w:color="auto" w:fill="FFFFFF" w:themeFill="background1"/>
            <w:vAlign w:val="center"/>
          </w:tcPr>
          <w:p w14:paraId="01A84E1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89,715,381.76</w:t>
            </w:r>
          </w:p>
        </w:tc>
        <w:tc>
          <w:tcPr>
            <w:tcW w:w="1265" w:type="dxa"/>
            <w:shd w:val="clear" w:color="auto" w:fill="FFFFFF" w:themeFill="background1"/>
            <w:vAlign w:val="center"/>
          </w:tcPr>
          <w:p w14:paraId="30C8F8D0" w14:textId="77777777" w:rsidR="00632E5B" w:rsidRDefault="00632E5B">
            <w:pPr>
              <w:spacing w:line="240" w:lineRule="exact"/>
              <w:jc w:val="right"/>
              <w:rPr>
                <w:rFonts w:ascii="宋体" w:eastAsia="宋体" w:hAnsi="宋体" w:cs="宋体" w:hint="eastAsia"/>
                <w:sz w:val="18"/>
                <w:szCs w:val="18"/>
              </w:rPr>
            </w:pPr>
          </w:p>
        </w:tc>
        <w:tc>
          <w:tcPr>
            <w:tcW w:w="1377" w:type="dxa"/>
            <w:shd w:val="clear" w:color="auto" w:fill="FFFFFF" w:themeFill="background1"/>
            <w:vAlign w:val="center"/>
          </w:tcPr>
          <w:p w14:paraId="28FE1457" w14:textId="77777777" w:rsidR="00632E5B" w:rsidRDefault="00632E5B">
            <w:pPr>
              <w:spacing w:line="240" w:lineRule="exact"/>
              <w:jc w:val="right"/>
              <w:rPr>
                <w:rFonts w:ascii="宋体" w:eastAsia="宋体" w:hAnsi="宋体" w:cs="宋体" w:hint="eastAsia"/>
                <w:sz w:val="18"/>
                <w:szCs w:val="18"/>
              </w:rPr>
            </w:pPr>
          </w:p>
        </w:tc>
        <w:tc>
          <w:tcPr>
            <w:tcW w:w="1377" w:type="dxa"/>
            <w:shd w:val="clear" w:color="auto" w:fill="FFFFFF" w:themeFill="background1"/>
            <w:vAlign w:val="center"/>
          </w:tcPr>
          <w:p w14:paraId="365F053E" w14:textId="77777777" w:rsidR="00632E5B" w:rsidRDefault="00632E5B">
            <w:pPr>
              <w:spacing w:line="240" w:lineRule="exact"/>
              <w:jc w:val="right"/>
              <w:rPr>
                <w:rFonts w:ascii="宋体" w:eastAsia="宋体" w:hAnsi="宋体" w:cs="宋体" w:hint="eastAsia"/>
                <w:sz w:val="18"/>
                <w:szCs w:val="18"/>
              </w:rPr>
            </w:pPr>
          </w:p>
        </w:tc>
        <w:tc>
          <w:tcPr>
            <w:tcW w:w="1226" w:type="dxa"/>
            <w:shd w:val="clear" w:color="auto" w:fill="FFFFFF" w:themeFill="background1"/>
            <w:vAlign w:val="center"/>
          </w:tcPr>
          <w:p w14:paraId="7658DD1F" w14:textId="77777777" w:rsidR="00632E5B" w:rsidRDefault="00632E5B">
            <w:pPr>
              <w:spacing w:line="240" w:lineRule="exact"/>
              <w:jc w:val="right"/>
              <w:rPr>
                <w:rFonts w:ascii="宋体" w:eastAsia="宋体" w:hAnsi="宋体" w:cs="宋体" w:hint="eastAsia"/>
                <w:sz w:val="18"/>
                <w:szCs w:val="18"/>
              </w:rPr>
            </w:pPr>
          </w:p>
        </w:tc>
        <w:tc>
          <w:tcPr>
            <w:tcW w:w="1528" w:type="dxa"/>
            <w:shd w:val="clear" w:color="auto" w:fill="FFFFFF" w:themeFill="background1"/>
            <w:vAlign w:val="center"/>
          </w:tcPr>
          <w:p w14:paraId="4A27DC4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89,715,381.76</w:t>
            </w:r>
          </w:p>
        </w:tc>
      </w:tr>
      <w:tr w:rsidR="00632E5B" w14:paraId="2A59844E" w14:textId="77777777" w:rsidTr="001F5A64">
        <w:trPr>
          <w:trHeight w:val="240"/>
        </w:trPr>
        <w:tc>
          <w:tcPr>
            <w:tcW w:w="1377" w:type="dxa"/>
            <w:shd w:val="clear" w:color="auto" w:fill="FFFFFF" w:themeFill="background1"/>
            <w:vAlign w:val="center"/>
          </w:tcPr>
          <w:p w14:paraId="1B2F1FE1"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489" w:type="dxa"/>
            <w:shd w:val="clear" w:color="auto" w:fill="FFFFFF" w:themeFill="background1"/>
            <w:vAlign w:val="center"/>
          </w:tcPr>
          <w:p w14:paraId="79E6BAC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89,715,381.76</w:t>
            </w:r>
          </w:p>
        </w:tc>
        <w:tc>
          <w:tcPr>
            <w:tcW w:w="1265" w:type="dxa"/>
            <w:shd w:val="clear" w:color="auto" w:fill="FFFFFF" w:themeFill="background1"/>
            <w:vAlign w:val="center"/>
          </w:tcPr>
          <w:p w14:paraId="23992FED" w14:textId="77777777" w:rsidR="00632E5B" w:rsidRDefault="00632E5B">
            <w:pPr>
              <w:spacing w:line="240" w:lineRule="exact"/>
              <w:jc w:val="right"/>
              <w:rPr>
                <w:rFonts w:ascii="宋体" w:eastAsia="宋体" w:hAnsi="宋体" w:cs="宋体" w:hint="eastAsia"/>
                <w:sz w:val="18"/>
                <w:szCs w:val="18"/>
              </w:rPr>
            </w:pPr>
          </w:p>
        </w:tc>
        <w:tc>
          <w:tcPr>
            <w:tcW w:w="1377" w:type="dxa"/>
            <w:shd w:val="clear" w:color="auto" w:fill="FFFFFF" w:themeFill="background1"/>
            <w:vAlign w:val="center"/>
          </w:tcPr>
          <w:p w14:paraId="46D06ED7" w14:textId="77777777" w:rsidR="00632E5B" w:rsidRDefault="00632E5B">
            <w:pPr>
              <w:spacing w:line="240" w:lineRule="exact"/>
              <w:jc w:val="right"/>
              <w:rPr>
                <w:rFonts w:ascii="宋体" w:eastAsia="宋体" w:hAnsi="宋体" w:cs="宋体" w:hint="eastAsia"/>
                <w:sz w:val="18"/>
                <w:szCs w:val="18"/>
              </w:rPr>
            </w:pPr>
          </w:p>
        </w:tc>
        <w:tc>
          <w:tcPr>
            <w:tcW w:w="1377" w:type="dxa"/>
            <w:shd w:val="clear" w:color="auto" w:fill="FFFFFF" w:themeFill="background1"/>
            <w:vAlign w:val="center"/>
          </w:tcPr>
          <w:p w14:paraId="4538FC7B" w14:textId="77777777" w:rsidR="00632E5B" w:rsidRDefault="00632E5B">
            <w:pPr>
              <w:spacing w:line="240" w:lineRule="exact"/>
              <w:jc w:val="right"/>
              <w:rPr>
                <w:rFonts w:ascii="宋体" w:eastAsia="宋体" w:hAnsi="宋体" w:cs="宋体" w:hint="eastAsia"/>
                <w:sz w:val="18"/>
                <w:szCs w:val="18"/>
              </w:rPr>
            </w:pPr>
          </w:p>
        </w:tc>
        <w:tc>
          <w:tcPr>
            <w:tcW w:w="1226" w:type="dxa"/>
            <w:shd w:val="clear" w:color="auto" w:fill="FFFFFF" w:themeFill="background1"/>
            <w:vAlign w:val="center"/>
          </w:tcPr>
          <w:p w14:paraId="363AD460" w14:textId="77777777" w:rsidR="00632E5B" w:rsidRDefault="00632E5B">
            <w:pPr>
              <w:spacing w:line="240" w:lineRule="exact"/>
              <w:jc w:val="right"/>
              <w:rPr>
                <w:rFonts w:ascii="宋体" w:eastAsia="宋体" w:hAnsi="宋体" w:cs="宋体" w:hint="eastAsia"/>
                <w:sz w:val="18"/>
                <w:szCs w:val="18"/>
              </w:rPr>
            </w:pPr>
          </w:p>
        </w:tc>
        <w:tc>
          <w:tcPr>
            <w:tcW w:w="1528" w:type="dxa"/>
            <w:shd w:val="clear" w:color="auto" w:fill="FFFFFF" w:themeFill="background1"/>
            <w:vAlign w:val="center"/>
          </w:tcPr>
          <w:p w14:paraId="09F22A9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89,715,381.76</w:t>
            </w:r>
          </w:p>
        </w:tc>
      </w:tr>
    </w:tbl>
    <w:p w14:paraId="473571D0"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264" w:name="_Toc989151"/>
      <w:r>
        <w:rPr>
          <w:rFonts w:ascii="宋体" w:eastAsia="宋体" w:hAnsi="宋体" w:cs="宋体"/>
          <w:b/>
          <w:bCs/>
          <w:szCs w:val="21"/>
        </w:rPr>
        <w:t>（2） 商誉减值准备</w:t>
      </w:r>
      <w:bookmarkEnd w:id="264"/>
    </w:p>
    <w:p w14:paraId="685C0B5B"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377"/>
        <w:gridCol w:w="1489"/>
        <w:gridCol w:w="1265"/>
        <w:gridCol w:w="1377"/>
        <w:gridCol w:w="1377"/>
        <w:gridCol w:w="1226"/>
        <w:gridCol w:w="1528"/>
      </w:tblGrid>
      <w:tr w:rsidR="00632E5B" w14:paraId="7A35C990" w14:textId="77777777" w:rsidTr="001F5A64">
        <w:trPr>
          <w:trHeight w:val="240"/>
        </w:trPr>
        <w:tc>
          <w:tcPr>
            <w:tcW w:w="1377" w:type="dxa"/>
            <w:vMerge w:val="restart"/>
            <w:shd w:val="clear" w:color="auto" w:fill="FFFFFF" w:themeFill="background1"/>
            <w:vAlign w:val="center"/>
          </w:tcPr>
          <w:p w14:paraId="2E2C973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被投资单位名称或形成商誉的事项</w:t>
            </w:r>
          </w:p>
        </w:tc>
        <w:tc>
          <w:tcPr>
            <w:tcW w:w="1489" w:type="dxa"/>
            <w:vMerge w:val="restart"/>
            <w:shd w:val="clear" w:color="auto" w:fill="FFFFFF" w:themeFill="background1"/>
            <w:vAlign w:val="center"/>
          </w:tcPr>
          <w:p w14:paraId="7FB3290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2642" w:type="dxa"/>
            <w:gridSpan w:val="2"/>
            <w:shd w:val="clear" w:color="auto" w:fill="FFFFFF" w:themeFill="background1"/>
            <w:vAlign w:val="center"/>
          </w:tcPr>
          <w:p w14:paraId="17399C8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2603" w:type="dxa"/>
            <w:gridSpan w:val="2"/>
            <w:shd w:val="clear" w:color="auto" w:fill="FFFFFF" w:themeFill="background1"/>
            <w:vAlign w:val="center"/>
          </w:tcPr>
          <w:p w14:paraId="1837B14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1528" w:type="dxa"/>
            <w:vMerge w:val="restart"/>
            <w:shd w:val="clear" w:color="auto" w:fill="FFFFFF" w:themeFill="background1"/>
            <w:vAlign w:val="center"/>
          </w:tcPr>
          <w:p w14:paraId="2B97D0E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632E5B" w14:paraId="5C388C24" w14:textId="77777777" w:rsidTr="001F5A64">
        <w:trPr>
          <w:trHeight w:val="240"/>
        </w:trPr>
        <w:tc>
          <w:tcPr>
            <w:tcW w:w="1377" w:type="dxa"/>
            <w:vMerge/>
            <w:shd w:val="clear" w:color="auto" w:fill="FFFFFF" w:themeFill="background1"/>
            <w:vAlign w:val="center"/>
          </w:tcPr>
          <w:p w14:paraId="7C829A7C" w14:textId="77777777" w:rsidR="00632E5B" w:rsidRDefault="00632E5B"/>
        </w:tc>
        <w:tc>
          <w:tcPr>
            <w:tcW w:w="1489" w:type="dxa"/>
            <w:vMerge/>
            <w:shd w:val="clear" w:color="auto" w:fill="FFFFFF" w:themeFill="background1"/>
            <w:vAlign w:val="center"/>
          </w:tcPr>
          <w:p w14:paraId="396D8CF2" w14:textId="77777777" w:rsidR="00632E5B" w:rsidRDefault="00632E5B"/>
        </w:tc>
        <w:tc>
          <w:tcPr>
            <w:tcW w:w="1265" w:type="dxa"/>
            <w:shd w:val="clear" w:color="auto" w:fill="FFFFFF" w:themeFill="background1"/>
            <w:vAlign w:val="center"/>
          </w:tcPr>
          <w:p w14:paraId="3AC4EA2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w:t>
            </w:r>
          </w:p>
        </w:tc>
        <w:tc>
          <w:tcPr>
            <w:tcW w:w="1377" w:type="dxa"/>
            <w:shd w:val="clear" w:color="auto" w:fill="FFFFFF" w:themeFill="background1"/>
            <w:vAlign w:val="center"/>
          </w:tcPr>
          <w:p w14:paraId="2F584DB0" w14:textId="77777777" w:rsidR="00632E5B" w:rsidRDefault="00632E5B">
            <w:pPr>
              <w:spacing w:line="240" w:lineRule="exact"/>
              <w:jc w:val="center"/>
              <w:rPr>
                <w:rFonts w:ascii="宋体" w:eastAsia="宋体" w:hAnsi="宋体" w:cs="宋体" w:hint="eastAsia"/>
                <w:sz w:val="18"/>
                <w:szCs w:val="18"/>
              </w:rPr>
            </w:pPr>
          </w:p>
        </w:tc>
        <w:tc>
          <w:tcPr>
            <w:tcW w:w="1377" w:type="dxa"/>
            <w:shd w:val="clear" w:color="auto" w:fill="FFFFFF" w:themeFill="background1"/>
            <w:vAlign w:val="center"/>
          </w:tcPr>
          <w:p w14:paraId="69A9192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处置</w:t>
            </w:r>
          </w:p>
        </w:tc>
        <w:tc>
          <w:tcPr>
            <w:tcW w:w="1226" w:type="dxa"/>
            <w:shd w:val="clear" w:color="auto" w:fill="FFFFFF" w:themeFill="background1"/>
            <w:vAlign w:val="center"/>
          </w:tcPr>
          <w:p w14:paraId="1736BA32" w14:textId="77777777" w:rsidR="00632E5B" w:rsidRDefault="00632E5B">
            <w:pPr>
              <w:spacing w:line="240" w:lineRule="exact"/>
              <w:jc w:val="center"/>
              <w:rPr>
                <w:rFonts w:ascii="宋体" w:eastAsia="宋体" w:hAnsi="宋体" w:cs="宋体" w:hint="eastAsia"/>
                <w:sz w:val="18"/>
                <w:szCs w:val="18"/>
              </w:rPr>
            </w:pPr>
          </w:p>
        </w:tc>
        <w:tc>
          <w:tcPr>
            <w:tcW w:w="1528" w:type="dxa"/>
            <w:vMerge/>
            <w:shd w:val="clear" w:color="auto" w:fill="FFFFFF" w:themeFill="background1"/>
            <w:vAlign w:val="center"/>
          </w:tcPr>
          <w:p w14:paraId="2991DF84" w14:textId="77777777" w:rsidR="00632E5B" w:rsidRDefault="00632E5B"/>
        </w:tc>
      </w:tr>
      <w:tr w:rsidR="00632E5B" w14:paraId="481F83DC" w14:textId="77777777" w:rsidTr="001F5A64">
        <w:trPr>
          <w:trHeight w:val="240"/>
        </w:trPr>
        <w:tc>
          <w:tcPr>
            <w:tcW w:w="1377" w:type="dxa"/>
            <w:shd w:val="clear" w:color="auto" w:fill="FFFFFF" w:themeFill="background1"/>
            <w:vAlign w:val="center"/>
          </w:tcPr>
          <w:p w14:paraId="00651BF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常州船用电缆有限责任公司商誉</w:t>
            </w:r>
          </w:p>
        </w:tc>
        <w:tc>
          <w:tcPr>
            <w:tcW w:w="1489" w:type="dxa"/>
            <w:shd w:val="clear" w:color="auto" w:fill="FFFFFF" w:themeFill="background1"/>
            <w:vAlign w:val="center"/>
          </w:tcPr>
          <w:p w14:paraId="41EEB93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89,715,381.76</w:t>
            </w:r>
          </w:p>
        </w:tc>
        <w:tc>
          <w:tcPr>
            <w:tcW w:w="1265" w:type="dxa"/>
            <w:shd w:val="clear" w:color="auto" w:fill="FFFFFF" w:themeFill="background1"/>
            <w:vAlign w:val="center"/>
          </w:tcPr>
          <w:p w14:paraId="7E44F8DA" w14:textId="77777777" w:rsidR="00632E5B" w:rsidRDefault="00632E5B">
            <w:pPr>
              <w:spacing w:line="240" w:lineRule="exact"/>
              <w:jc w:val="right"/>
              <w:rPr>
                <w:rFonts w:ascii="宋体" w:eastAsia="宋体" w:hAnsi="宋体" w:cs="宋体" w:hint="eastAsia"/>
                <w:sz w:val="18"/>
                <w:szCs w:val="18"/>
              </w:rPr>
            </w:pPr>
          </w:p>
        </w:tc>
        <w:tc>
          <w:tcPr>
            <w:tcW w:w="1377" w:type="dxa"/>
            <w:shd w:val="clear" w:color="auto" w:fill="FFFFFF" w:themeFill="background1"/>
            <w:vAlign w:val="center"/>
          </w:tcPr>
          <w:p w14:paraId="370BCB6A" w14:textId="77777777" w:rsidR="00632E5B" w:rsidRDefault="00632E5B">
            <w:pPr>
              <w:spacing w:line="240" w:lineRule="exact"/>
              <w:jc w:val="right"/>
              <w:rPr>
                <w:rFonts w:ascii="宋体" w:eastAsia="宋体" w:hAnsi="宋体" w:cs="宋体" w:hint="eastAsia"/>
                <w:sz w:val="18"/>
                <w:szCs w:val="18"/>
              </w:rPr>
            </w:pPr>
          </w:p>
        </w:tc>
        <w:tc>
          <w:tcPr>
            <w:tcW w:w="1377" w:type="dxa"/>
            <w:shd w:val="clear" w:color="auto" w:fill="FFFFFF" w:themeFill="background1"/>
            <w:vAlign w:val="center"/>
          </w:tcPr>
          <w:p w14:paraId="5A87840A" w14:textId="77777777" w:rsidR="00632E5B" w:rsidRDefault="00632E5B">
            <w:pPr>
              <w:spacing w:line="240" w:lineRule="exact"/>
              <w:jc w:val="right"/>
              <w:rPr>
                <w:rFonts w:ascii="宋体" w:eastAsia="宋体" w:hAnsi="宋体" w:cs="宋体" w:hint="eastAsia"/>
                <w:sz w:val="18"/>
                <w:szCs w:val="18"/>
              </w:rPr>
            </w:pPr>
          </w:p>
        </w:tc>
        <w:tc>
          <w:tcPr>
            <w:tcW w:w="1226" w:type="dxa"/>
            <w:shd w:val="clear" w:color="auto" w:fill="FFFFFF" w:themeFill="background1"/>
            <w:vAlign w:val="center"/>
          </w:tcPr>
          <w:p w14:paraId="1BE14801" w14:textId="77777777" w:rsidR="00632E5B" w:rsidRDefault="00632E5B">
            <w:pPr>
              <w:spacing w:line="240" w:lineRule="exact"/>
              <w:jc w:val="right"/>
              <w:rPr>
                <w:rFonts w:ascii="宋体" w:eastAsia="宋体" w:hAnsi="宋体" w:cs="宋体" w:hint="eastAsia"/>
                <w:sz w:val="18"/>
                <w:szCs w:val="18"/>
              </w:rPr>
            </w:pPr>
          </w:p>
        </w:tc>
        <w:tc>
          <w:tcPr>
            <w:tcW w:w="1528" w:type="dxa"/>
            <w:shd w:val="clear" w:color="auto" w:fill="FFFFFF" w:themeFill="background1"/>
            <w:vAlign w:val="center"/>
          </w:tcPr>
          <w:p w14:paraId="2C94161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89,715,381.76</w:t>
            </w:r>
          </w:p>
        </w:tc>
      </w:tr>
      <w:tr w:rsidR="00632E5B" w14:paraId="0A9610D5" w14:textId="77777777" w:rsidTr="001F5A64">
        <w:trPr>
          <w:trHeight w:val="240"/>
        </w:trPr>
        <w:tc>
          <w:tcPr>
            <w:tcW w:w="1377" w:type="dxa"/>
            <w:shd w:val="clear" w:color="auto" w:fill="FFFFFF" w:themeFill="background1"/>
            <w:vAlign w:val="center"/>
          </w:tcPr>
          <w:p w14:paraId="7C12682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489" w:type="dxa"/>
            <w:shd w:val="clear" w:color="auto" w:fill="FFFFFF" w:themeFill="background1"/>
            <w:vAlign w:val="center"/>
          </w:tcPr>
          <w:p w14:paraId="6932D38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89,715,381.76</w:t>
            </w:r>
          </w:p>
        </w:tc>
        <w:tc>
          <w:tcPr>
            <w:tcW w:w="1265" w:type="dxa"/>
            <w:shd w:val="clear" w:color="auto" w:fill="FFFFFF" w:themeFill="background1"/>
            <w:vAlign w:val="center"/>
          </w:tcPr>
          <w:p w14:paraId="5DEA7601" w14:textId="77777777" w:rsidR="00632E5B" w:rsidRDefault="00632E5B">
            <w:pPr>
              <w:spacing w:line="240" w:lineRule="exact"/>
              <w:jc w:val="right"/>
              <w:rPr>
                <w:rFonts w:ascii="宋体" w:eastAsia="宋体" w:hAnsi="宋体" w:cs="宋体" w:hint="eastAsia"/>
                <w:sz w:val="18"/>
                <w:szCs w:val="18"/>
              </w:rPr>
            </w:pPr>
          </w:p>
        </w:tc>
        <w:tc>
          <w:tcPr>
            <w:tcW w:w="1377" w:type="dxa"/>
            <w:shd w:val="clear" w:color="auto" w:fill="FFFFFF" w:themeFill="background1"/>
            <w:vAlign w:val="center"/>
          </w:tcPr>
          <w:p w14:paraId="06BDDD88" w14:textId="77777777" w:rsidR="00632E5B" w:rsidRDefault="00632E5B">
            <w:pPr>
              <w:spacing w:line="240" w:lineRule="exact"/>
              <w:jc w:val="right"/>
              <w:rPr>
                <w:rFonts w:ascii="宋体" w:eastAsia="宋体" w:hAnsi="宋体" w:cs="宋体" w:hint="eastAsia"/>
                <w:sz w:val="18"/>
                <w:szCs w:val="18"/>
              </w:rPr>
            </w:pPr>
          </w:p>
        </w:tc>
        <w:tc>
          <w:tcPr>
            <w:tcW w:w="1377" w:type="dxa"/>
            <w:shd w:val="clear" w:color="auto" w:fill="FFFFFF" w:themeFill="background1"/>
            <w:vAlign w:val="center"/>
          </w:tcPr>
          <w:p w14:paraId="3CE863BA" w14:textId="77777777" w:rsidR="00632E5B" w:rsidRDefault="00632E5B">
            <w:pPr>
              <w:spacing w:line="240" w:lineRule="exact"/>
              <w:jc w:val="right"/>
              <w:rPr>
                <w:rFonts w:ascii="宋体" w:eastAsia="宋体" w:hAnsi="宋体" w:cs="宋体" w:hint="eastAsia"/>
                <w:sz w:val="18"/>
                <w:szCs w:val="18"/>
              </w:rPr>
            </w:pPr>
          </w:p>
        </w:tc>
        <w:tc>
          <w:tcPr>
            <w:tcW w:w="1226" w:type="dxa"/>
            <w:shd w:val="clear" w:color="auto" w:fill="FFFFFF" w:themeFill="background1"/>
            <w:vAlign w:val="center"/>
          </w:tcPr>
          <w:p w14:paraId="3A46AEB0" w14:textId="77777777" w:rsidR="00632E5B" w:rsidRDefault="00632E5B">
            <w:pPr>
              <w:spacing w:line="240" w:lineRule="exact"/>
              <w:jc w:val="right"/>
              <w:rPr>
                <w:rFonts w:ascii="宋体" w:eastAsia="宋体" w:hAnsi="宋体" w:cs="宋体" w:hint="eastAsia"/>
                <w:sz w:val="18"/>
                <w:szCs w:val="18"/>
              </w:rPr>
            </w:pPr>
          </w:p>
        </w:tc>
        <w:tc>
          <w:tcPr>
            <w:tcW w:w="1528" w:type="dxa"/>
            <w:shd w:val="clear" w:color="auto" w:fill="FFFFFF" w:themeFill="background1"/>
            <w:vAlign w:val="center"/>
          </w:tcPr>
          <w:p w14:paraId="44A860C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89,715,381.76</w:t>
            </w:r>
          </w:p>
        </w:tc>
      </w:tr>
    </w:tbl>
    <w:p w14:paraId="59FE2DD0" w14:textId="77777777" w:rsidR="001F5A64" w:rsidRDefault="001F5A64">
      <w:pPr>
        <w:pStyle w:val="3"/>
        <w:spacing w:line="280" w:lineRule="exact"/>
        <w:jc w:val="left"/>
        <w:rPr>
          <w:rFonts w:ascii="宋体" w:hAnsi="宋体" w:cs="宋体" w:hint="eastAsia"/>
          <w:b/>
          <w:bCs/>
        </w:rPr>
      </w:pPr>
      <w:bookmarkStart w:id="265" w:name="_Toc989152"/>
    </w:p>
    <w:p w14:paraId="6734D4FB" w14:textId="77777777" w:rsidR="001F5A64" w:rsidRDefault="001F5A64">
      <w:pPr>
        <w:widowControl/>
        <w:rPr>
          <w:rFonts w:ascii="宋体" w:eastAsia="宋体" w:hAnsi="宋体" w:cs="宋体" w:hint="eastAsia"/>
          <w:b/>
          <w:bCs/>
          <w:szCs w:val="21"/>
        </w:rPr>
      </w:pPr>
      <w:r>
        <w:rPr>
          <w:rFonts w:ascii="宋体" w:hAnsi="宋体" w:cs="宋体" w:hint="eastAsia"/>
          <w:b/>
          <w:bCs/>
        </w:rPr>
        <w:br w:type="page"/>
      </w:r>
    </w:p>
    <w:p w14:paraId="3A1080FD" w14:textId="073068E5" w:rsidR="00632E5B" w:rsidRDefault="00107901">
      <w:pPr>
        <w:pStyle w:val="3"/>
        <w:spacing w:line="280" w:lineRule="exact"/>
        <w:jc w:val="left"/>
        <w:rPr>
          <w:rFonts w:ascii="宋体" w:hAnsi="宋体" w:cs="宋体" w:hint="eastAsia"/>
          <w:b/>
          <w:bCs/>
        </w:rPr>
      </w:pPr>
      <w:r>
        <w:rPr>
          <w:rFonts w:ascii="宋体" w:hAnsi="宋体" w:cs="宋体"/>
          <w:b/>
          <w:bCs/>
        </w:rPr>
        <w:lastRenderedPageBreak/>
        <w:t>18、长期待摊费用</w:t>
      </w:r>
      <w:bookmarkEnd w:id="265"/>
    </w:p>
    <w:p w14:paraId="263139EF"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606"/>
        <w:gridCol w:w="1606"/>
        <w:gridCol w:w="1606"/>
        <w:gridCol w:w="1607"/>
        <w:gridCol w:w="1607"/>
        <w:gridCol w:w="1607"/>
      </w:tblGrid>
      <w:tr w:rsidR="00632E5B" w14:paraId="66DD7F3A" w14:textId="77777777" w:rsidTr="001F5A64">
        <w:trPr>
          <w:trHeight w:val="240"/>
        </w:trPr>
        <w:tc>
          <w:tcPr>
            <w:tcW w:w="1606" w:type="dxa"/>
            <w:shd w:val="clear" w:color="auto" w:fill="FFFFFF" w:themeFill="background1"/>
            <w:vAlign w:val="center"/>
          </w:tcPr>
          <w:p w14:paraId="49885F5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606" w:type="dxa"/>
            <w:shd w:val="clear" w:color="auto" w:fill="FFFFFF" w:themeFill="background1"/>
            <w:vAlign w:val="center"/>
          </w:tcPr>
          <w:p w14:paraId="0FBF4EF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606" w:type="dxa"/>
            <w:shd w:val="clear" w:color="auto" w:fill="FFFFFF" w:themeFill="background1"/>
            <w:vAlign w:val="center"/>
          </w:tcPr>
          <w:p w14:paraId="394483C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本期增加金额</w:t>
            </w:r>
          </w:p>
        </w:tc>
        <w:tc>
          <w:tcPr>
            <w:tcW w:w="1606" w:type="dxa"/>
            <w:shd w:val="clear" w:color="auto" w:fill="FFFFFF" w:themeFill="background1"/>
            <w:vAlign w:val="center"/>
          </w:tcPr>
          <w:p w14:paraId="1480A91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本期摊销金额</w:t>
            </w:r>
          </w:p>
        </w:tc>
        <w:tc>
          <w:tcPr>
            <w:tcW w:w="1606" w:type="dxa"/>
            <w:shd w:val="clear" w:color="auto" w:fill="FFFFFF" w:themeFill="background1"/>
            <w:vAlign w:val="center"/>
          </w:tcPr>
          <w:p w14:paraId="26E4710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其他减少金额</w:t>
            </w:r>
          </w:p>
        </w:tc>
        <w:tc>
          <w:tcPr>
            <w:tcW w:w="1606" w:type="dxa"/>
            <w:shd w:val="clear" w:color="auto" w:fill="FFFFFF" w:themeFill="background1"/>
            <w:vAlign w:val="center"/>
          </w:tcPr>
          <w:p w14:paraId="24D051C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632E5B" w14:paraId="17244B25" w14:textId="77777777" w:rsidTr="001F5A64">
        <w:trPr>
          <w:trHeight w:val="240"/>
        </w:trPr>
        <w:tc>
          <w:tcPr>
            <w:tcW w:w="1606" w:type="dxa"/>
            <w:shd w:val="clear" w:color="auto" w:fill="FFFFFF" w:themeFill="background1"/>
            <w:vAlign w:val="center"/>
          </w:tcPr>
          <w:p w14:paraId="5A66C8A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装修费</w:t>
            </w:r>
          </w:p>
        </w:tc>
        <w:tc>
          <w:tcPr>
            <w:tcW w:w="1606" w:type="dxa"/>
            <w:shd w:val="clear" w:color="auto" w:fill="FFFFFF" w:themeFill="background1"/>
            <w:vAlign w:val="center"/>
          </w:tcPr>
          <w:p w14:paraId="342CC72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21,152,670.90</w:t>
            </w:r>
          </w:p>
        </w:tc>
        <w:tc>
          <w:tcPr>
            <w:tcW w:w="1606" w:type="dxa"/>
            <w:shd w:val="clear" w:color="auto" w:fill="FFFFFF" w:themeFill="background1"/>
            <w:vAlign w:val="center"/>
          </w:tcPr>
          <w:p w14:paraId="34E0C8C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1,506,398.43</w:t>
            </w:r>
          </w:p>
        </w:tc>
        <w:tc>
          <w:tcPr>
            <w:tcW w:w="1606" w:type="dxa"/>
            <w:shd w:val="clear" w:color="auto" w:fill="FFFFFF" w:themeFill="background1"/>
            <w:vAlign w:val="center"/>
          </w:tcPr>
          <w:p w14:paraId="2E83818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5,219,945.98</w:t>
            </w:r>
          </w:p>
        </w:tc>
        <w:tc>
          <w:tcPr>
            <w:tcW w:w="1606" w:type="dxa"/>
            <w:shd w:val="clear" w:color="auto" w:fill="FFFFFF" w:themeFill="background1"/>
            <w:vAlign w:val="center"/>
          </w:tcPr>
          <w:p w14:paraId="060D5FA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16,750,547.66</w:t>
            </w:r>
          </w:p>
        </w:tc>
        <w:tc>
          <w:tcPr>
            <w:tcW w:w="1606" w:type="dxa"/>
            <w:shd w:val="clear" w:color="auto" w:fill="FFFFFF" w:themeFill="background1"/>
            <w:vAlign w:val="center"/>
          </w:tcPr>
          <w:p w14:paraId="4A1B5F5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688,575.69</w:t>
            </w:r>
          </w:p>
        </w:tc>
      </w:tr>
      <w:tr w:rsidR="00632E5B" w14:paraId="2719C481" w14:textId="77777777" w:rsidTr="001F5A64">
        <w:trPr>
          <w:trHeight w:val="240"/>
        </w:trPr>
        <w:tc>
          <w:tcPr>
            <w:tcW w:w="1606" w:type="dxa"/>
            <w:shd w:val="clear" w:color="auto" w:fill="FFFFFF" w:themeFill="background1"/>
            <w:vAlign w:val="center"/>
          </w:tcPr>
          <w:p w14:paraId="66637E1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租赁费</w:t>
            </w:r>
          </w:p>
        </w:tc>
        <w:tc>
          <w:tcPr>
            <w:tcW w:w="1606" w:type="dxa"/>
            <w:shd w:val="clear" w:color="auto" w:fill="FFFFFF" w:themeFill="background1"/>
            <w:vAlign w:val="center"/>
          </w:tcPr>
          <w:p w14:paraId="11E831C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295,333.84</w:t>
            </w:r>
          </w:p>
        </w:tc>
        <w:tc>
          <w:tcPr>
            <w:tcW w:w="1606" w:type="dxa"/>
            <w:shd w:val="clear" w:color="auto" w:fill="FFFFFF" w:themeFill="background1"/>
            <w:vAlign w:val="center"/>
          </w:tcPr>
          <w:p w14:paraId="13CABD2B"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63C7E99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295,333.84</w:t>
            </w:r>
          </w:p>
        </w:tc>
        <w:tc>
          <w:tcPr>
            <w:tcW w:w="1606" w:type="dxa"/>
            <w:shd w:val="clear" w:color="auto" w:fill="FFFFFF" w:themeFill="background1"/>
            <w:vAlign w:val="center"/>
          </w:tcPr>
          <w:p w14:paraId="0759574C"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0976A161" w14:textId="77777777" w:rsidR="00632E5B" w:rsidRDefault="00632E5B">
            <w:pPr>
              <w:spacing w:line="240" w:lineRule="exact"/>
              <w:jc w:val="right"/>
              <w:rPr>
                <w:rFonts w:ascii="宋体" w:eastAsia="宋体" w:hAnsi="宋体" w:cs="宋体" w:hint="eastAsia"/>
                <w:sz w:val="18"/>
                <w:szCs w:val="18"/>
              </w:rPr>
            </w:pPr>
          </w:p>
        </w:tc>
      </w:tr>
      <w:tr w:rsidR="00632E5B" w14:paraId="62AD2758" w14:textId="77777777" w:rsidTr="001F5A64">
        <w:trPr>
          <w:trHeight w:val="240"/>
        </w:trPr>
        <w:tc>
          <w:tcPr>
            <w:tcW w:w="1606" w:type="dxa"/>
            <w:shd w:val="clear" w:color="auto" w:fill="FFFFFF" w:themeFill="background1"/>
            <w:vAlign w:val="center"/>
          </w:tcPr>
          <w:p w14:paraId="2294608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1606" w:type="dxa"/>
            <w:shd w:val="clear" w:color="auto" w:fill="FFFFFF" w:themeFill="background1"/>
            <w:vAlign w:val="center"/>
          </w:tcPr>
          <w:p w14:paraId="314808D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1,066,289.96</w:t>
            </w:r>
          </w:p>
        </w:tc>
        <w:tc>
          <w:tcPr>
            <w:tcW w:w="1606" w:type="dxa"/>
            <w:shd w:val="clear" w:color="auto" w:fill="FFFFFF" w:themeFill="background1"/>
            <w:vAlign w:val="center"/>
          </w:tcPr>
          <w:p w14:paraId="3386F16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12,685.00</w:t>
            </w:r>
          </w:p>
        </w:tc>
        <w:tc>
          <w:tcPr>
            <w:tcW w:w="1606" w:type="dxa"/>
            <w:shd w:val="clear" w:color="auto" w:fill="FFFFFF" w:themeFill="background1"/>
            <w:vAlign w:val="center"/>
          </w:tcPr>
          <w:p w14:paraId="5AE6B33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519,161.91</w:t>
            </w:r>
          </w:p>
        </w:tc>
        <w:tc>
          <w:tcPr>
            <w:tcW w:w="1606" w:type="dxa"/>
            <w:shd w:val="clear" w:color="auto" w:fill="FFFFFF" w:themeFill="background1"/>
            <w:vAlign w:val="center"/>
          </w:tcPr>
          <w:p w14:paraId="5F76E9F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328,856.28</w:t>
            </w:r>
          </w:p>
        </w:tc>
        <w:tc>
          <w:tcPr>
            <w:tcW w:w="1606" w:type="dxa"/>
            <w:shd w:val="clear" w:color="auto" w:fill="FFFFFF" w:themeFill="background1"/>
            <w:vAlign w:val="center"/>
          </w:tcPr>
          <w:p w14:paraId="6FF9F15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230,956.77</w:t>
            </w:r>
          </w:p>
        </w:tc>
      </w:tr>
      <w:tr w:rsidR="00632E5B" w14:paraId="5C406E0D" w14:textId="77777777" w:rsidTr="001F5A64">
        <w:trPr>
          <w:trHeight w:val="240"/>
        </w:trPr>
        <w:tc>
          <w:tcPr>
            <w:tcW w:w="1606" w:type="dxa"/>
            <w:shd w:val="clear" w:color="auto" w:fill="FFFFFF" w:themeFill="background1"/>
            <w:vAlign w:val="center"/>
          </w:tcPr>
          <w:p w14:paraId="27CB3B67"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606" w:type="dxa"/>
            <w:shd w:val="clear" w:color="auto" w:fill="FFFFFF" w:themeFill="background1"/>
            <w:vAlign w:val="center"/>
          </w:tcPr>
          <w:p w14:paraId="3AB2AF7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22,514,294.70</w:t>
            </w:r>
          </w:p>
        </w:tc>
        <w:tc>
          <w:tcPr>
            <w:tcW w:w="1606" w:type="dxa"/>
            <w:shd w:val="clear" w:color="auto" w:fill="FFFFFF" w:themeFill="background1"/>
            <w:vAlign w:val="center"/>
          </w:tcPr>
          <w:p w14:paraId="74033CC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1,519,083.43</w:t>
            </w:r>
          </w:p>
        </w:tc>
        <w:tc>
          <w:tcPr>
            <w:tcW w:w="1606" w:type="dxa"/>
            <w:shd w:val="clear" w:color="auto" w:fill="FFFFFF" w:themeFill="background1"/>
            <w:vAlign w:val="center"/>
          </w:tcPr>
          <w:p w14:paraId="3B3F8D7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6,034,441.73</w:t>
            </w:r>
          </w:p>
        </w:tc>
        <w:tc>
          <w:tcPr>
            <w:tcW w:w="1606" w:type="dxa"/>
            <w:shd w:val="clear" w:color="auto" w:fill="FFFFFF" w:themeFill="background1"/>
            <w:vAlign w:val="center"/>
          </w:tcPr>
          <w:p w14:paraId="1023BD2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17,079,403.94</w:t>
            </w:r>
          </w:p>
        </w:tc>
        <w:tc>
          <w:tcPr>
            <w:tcW w:w="1606" w:type="dxa"/>
            <w:shd w:val="clear" w:color="auto" w:fill="FFFFFF" w:themeFill="background1"/>
            <w:vAlign w:val="center"/>
          </w:tcPr>
          <w:p w14:paraId="461CDC6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919,532.46</w:t>
            </w:r>
          </w:p>
        </w:tc>
      </w:tr>
    </w:tbl>
    <w:p w14:paraId="2ECAD49F"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其他说明：</w:t>
      </w:r>
    </w:p>
    <w:p w14:paraId="364BA0D1" w14:textId="77777777" w:rsidR="00E72F0C" w:rsidRDefault="00107901" w:rsidP="00255FB6">
      <w:pPr>
        <w:pStyle w:val="a3"/>
        <w:spacing w:before="0" w:beforeAutospacing="0" w:after="0" w:afterAutospacing="0"/>
        <w:divId w:val="1379622252"/>
        <w:rPr>
          <w:rFonts w:hint="eastAsia"/>
          <w:sz w:val="18"/>
          <w:szCs w:val="18"/>
        </w:rPr>
      </w:pPr>
      <w:r>
        <w:rPr>
          <w:rFonts w:hint="eastAsia"/>
          <w:sz w:val="18"/>
          <w:szCs w:val="18"/>
        </w:rPr>
        <w:t>  装修费项目其他减少为处置子公司减少16,506,271.59元，汇率变动减少244,276.07元；其他项目其他减少为处置子公司减少492,649.33元，汇率变动减少-163,793.05元。</w:t>
      </w:r>
    </w:p>
    <w:p w14:paraId="0E654F97" w14:textId="77777777" w:rsidR="00632E5B" w:rsidRDefault="00107901">
      <w:pPr>
        <w:pStyle w:val="3"/>
        <w:spacing w:line="280" w:lineRule="exact"/>
        <w:jc w:val="left"/>
        <w:rPr>
          <w:rFonts w:ascii="宋体" w:hAnsi="宋体" w:cs="宋体" w:hint="eastAsia"/>
          <w:b/>
          <w:bCs/>
        </w:rPr>
      </w:pPr>
      <w:bookmarkStart w:id="266" w:name="_Toc989153"/>
      <w:r>
        <w:rPr>
          <w:rFonts w:ascii="宋体" w:hAnsi="宋体" w:cs="宋体"/>
          <w:b/>
          <w:bCs/>
        </w:rPr>
        <w:t>19、递延所得税资产/递延所得税负债</w:t>
      </w:r>
      <w:bookmarkEnd w:id="266"/>
    </w:p>
    <w:p w14:paraId="5FAB0947"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267" w:name="_Toc989154"/>
      <w:r>
        <w:rPr>
          <w:rFonts w:ascii="宋体" w:eastAsia="宋体" w:hAnsi="宋体" w:cs="宋体"/>
          <w:b/>
          <w:bCs/>
          <w:szCs w:val="21"/>
        </w:rPr>
        <w:t>（1） 未经抵销的递延所得税资产</w:t>
      </w:r>
      <w:bookmarkEnd w:id="267"/>
    </w:p>
    <w:p w14:paraId="3F8FD630"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927"/>
        <w:gridCol w:w="1928"/>
        <w:gridCol w:w="1928"/>
        <w:gridCol w:w="1928"/>
        <w:gridCol w:w="1928"/>
      </w:tblGrid>
      <w:tr w:rsidR="00632E5B" w14:paraId="733CF643" w14:textId="77777777" w:rsidTr="001F5A64">
        <w:trPr>
          <w:trHeight w:val="240"/>
        </w:trPr>
        <w:tc>
          <w:tcPr>
            <w:tcW w:w="1928" w:type="dxa"/>
            <w:vMerge w:val="restart"/>
            <w:shd w:val="clear" w:color="auto" w:fill="FFFFFF" w:themeFill="background1"/>
            <w:vAlign w:val="center"/>
          </w:tcPr>
          <w:p w14:paraId="0C18D0C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856" w:type="dxa"/>
            <w:gridSpan w:val="2"/>
            <w:shd w:val="clear" w:color="auto" w:fill="FFFFFF" w:themeFill="background1"/>
            <w:vAlign w:val="center"/>
          </w:tcPr>
          <w:p w14:paraId="2F0DED8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856" w:type="dxa"/>
            <w:gridSpan w:val="2"/>
            <w:shd w:val="clear" w:color="auto" w:fill="FFFFFF" w:themeFill="background1"/>
            <w:vAlign w:val="center"/>
          </w:tcPr>
          <w:p w14:paraId="445E5DB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632E5B" w14:paraId="40847B41" w14:textId="77777777" w:rsidTr="001F5A64">
        <w:trPr>
          <w:trHeight w:val="240"/>
        </w:trPr>
        <w:tc>
          <w:tcPr>
            <w:tcW w:w="1928" w:type="dxa"/>
            <w:vMerge/>
            <w:shd w:val="clear" w:color="auto" w:fill="FFFFFF" w:themeFill="background1"/>
            <w:vAlign w:val="center"/>
          </w:tcPr>
          <w:p w14:paraId="04C05391" w14:textId="77777777" w:rsidR="00632E5B" w:rsidRDefault="00632E5B"/>
        </w:tc>
        <w:tc>
          <w:tcPr>
            <w:tcW w:w="1928" w:type="dxa"/>
            <w:shd w:val="clear" w:color="auto" w:fill="FFFFFF" w:themeFill="background1"/>
            <w:vAlign w:val="center"/>
          </w:tcPr>
          <w:p w14:paraId="6152927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可抵扣暂时性差异</w:t>
            </w:r>
          </w:p>
        </w:tc>
        <w:tc>
          <w:tcPr>
            <w:tcW w:w="1928" w:type="dxa"/>
            <w:shd w:val="clear" w:color="auto" w:fill="FFFFFF" w:themeFill="background1"/>
            <w:vAlign w:val="center"/>
          </w:tcPr>
          <w:p w14:paraId="37C94F7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递延所得税资产</w:t>
            </w:r>
          </w:p>
        </w:tc>
        <w:tc>
          <w:tcPr>
            <w:tcW w:w="1928" w:type="dxa"/>
            <w:shd w:val="clear" w:color="auto" w:fill="FFFFFF" w:themeFill="background1"/>
            <w:vAlign w:val="center"/>
          </w:tcPr>
          <w:p w14:paraId="40FB8F6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可抵扣暂时性差异</w:t>
            </w:r>
          </w:p>
        </w:tc>
        <w:tc>
          <w:tcPr>
            <w:tcW w:w="1928" w:type="dxa"/>
            <w:shd w:val="clear" w:color="auto" w:fill="FFFFFF" w:themeFill="background1"/>
            <w:vAlign w:val="center"/>
          </w:tcPr>
          <w:p w14:paraId="0DBA561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递延所得税资产</w:t>
            </w:r>
          </w:p>
        </w:tc>
      </w:tr>
      <w:tr w:rsidR="00632E5B" w14:paraId="1805F8C4" w14:textId="77777777" w:rsidTr="001F5A64">
        <w:trPr>
          <w:trHeight w:val="240"/>
        </w:trPr>
        <w:tc>
          <w:tcPr>
            <w:tcW w:w="1928" w:type="dxa"/>
            <w:shd w:val="clear" w:color="auto" w:fill="FFFFFF" w:themeFill="background1"/>
            <w:vAlign w:val="center"/>
          </w:tcPr>
          <w:p w14:paraId="3579457B"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资产减值准备</w:t>
            </w:r>
          </w:p>
        </w:tc>
        <w:tc>
          <w:tcPr>
            <w:tcW w:w="1928" w:type="dxa"/>
            <w:shd w:val="clear" w:color="auto" w:fill="FFFFFF" w:themeFill="background1"/>
            <w:vAlign w:val="center"/>
          </w:tcPr>
          <w:p w14:paraId="086B437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12,470,328.45</w:t>
            </w:r>
          </w:p>
        </w:tc>
        <w:tc>
          <w:tcPr>
            <w:tcW w:w="1928" w:type="dxa"/>
            <w:shd w:val="clear" w:color="auto" w:fill="FFFFFF" w:themeFill="background1"/>
            <w:vAlign w:val="center"/>
          </w:tcPr>
          <w:p w14:paraId="1609216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1,870,549.26</w:t>
            </w:r>
          </w:p>
        </w:tc>
        <w:tc>
          <w:tcPr>
            <w:tcW w:w="1928" w:type="dxa"/>
            <w:shd w:val="clear" w:color="auto" w:fill="FFFFFF" w:themeFill="background1"/>
            <w:vAlign w:val="center"/>
          </w:tcPr>
          <w:p w14:paraId="7752293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17,406,946.90</w:t>
            </w:r>
          </w:p>
        </w:tc>
        <w:tc>
          <w:tcPr>
            <w:tcW w:w="1928" w:type="dxa"/>
            <w:shd w:val="clear" w:color="auto" w:fill="FFFFFF" w:themeFill="background1"/>
            <w:vAlign w:val="center"/>
          </w:tcPr>
          <w:p w14:paraId="26048F9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2,611,042.04</w:t>
            </w:r>
          </w:p>
        </w:tc>
      </w:tr>
      <w:tr w:rsidR="00632E5B" w14:paraId="19667D4E" w14:textId="77777777" w:rsidTr="001F5A64">
        <w:trPr>
          <w:trHeight w:val="240"/>
        </w:trPr>
        <w:tc>
          <w:tcPr>
            <w:tcW w:w="1928" w:type="dxa"/>
            <w:shd w:val="clear" w:color="auto" w:fill="FFFFFF" w:themeFill="background1"/>
            <w:vAlign w:val="center"/>
          </w:tcPr>
          <w:p w14:paraId="3825274F"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内部交易未实现利润</w:t>
            </w:r>
          </w:p>
        </w:tc>
        <w:tc>
          <w:tcPr>
            <w:tcW w:w="1928" w:type="dxa"/>
            <w:shd w:val="clear" w:color="auto" w:fill="FFFFFF" w:themeFill="background1"/>
            <w:vAlign w:val="center"/>
          </w:tcPr>
          <w:p w14:paraId="0461CCB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6,390,983.88</w:t>
            </w:r>
          </w:p>
        </w:tc>
        <w:tc>
          <w:tcPr>
            <w:tcW w:w="1928" w:type="dxa"/>
            <w:shd w:val="clear" w:color="auto" w:fill="FFFFFF" w:themeFill="background1"/>
            <w:vAlign w:val="center"/>
          </w:tcPr>
          <w:p w14:paraId="36F6E86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958,647.58</w:t>
            </w:r>
          </w:p>
        </w:tc>
        <w:tc>
          <w:tcPr>
            <w:tcW w:w="1928" w:type="dxa"/>
            <w:shd w:val="clear" w:color="auto" w:fill="FFFFFF" w:themeFill="background1"/>
            <w:vAlign w:val="center"/>
          </w:tcPr>
          <w:p w14:paraId="393EE7E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6,669,984.20</w:t>
            </w:r>
          </w:p>
        </w:tc>
        <w:tc>
          <w:tcPr>
            <w:tcW w:w="1928" w:type="dxa"/>
            <w:shd w:val="clear" w:color="auto" w:fill="FFFFFF" w:themeFill="background1"/>
            <w:vAlign w:val="center"/>
          </w:tcPr>
          <w:p w14:paraId="3D524D2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1,000,497.63</w:t>
            </w:r>
          </w:p>
        </w:tc>
      </w:tr>
      <w:tr w:rsidR="00632E5B" w14:paraId="16F05128" w14:textId="77777777" w:rsidTr="001F5A64">
        <w:trPr>
          <w:trHeight w:val="240"/>
        </w:trPr>
        <w:tc>
          <w:tcPr>
            <w:tcW w:w="1928" w:type="dxa"/>
            <w:shd w:val="clear" w:color="auto" w:fill="FFFFFF" w:themeFill="background1"/>
            <w:vAlign w:val="center"/>
          </w:tcPr>
          <w:p w14:paraId="0BE1CC4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租赁负债</w:t>
            </w:r>
          </w:p>
        </w:tc>
        <w:tc>
          <w:tcPr>
            <w:tcW w:w="1928" w:type="dxa"/>
            <w:shd w:val="clear" w:color="auto" w:fill="FFFFFF" w:themeFill="background1"/>
            <w:vAlign w:val="center"/>
          </w:tcPr>
          <w:p w14:paraId="7066FA2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3,876,064.06</w:t>
            </w:r>
          </w:p>
        </w:tc>
        <w:tc>
          <w:tcPr>
            <w:tcW w:w="1928" w:type="dxa"/>
            <w:shd w:val="clear" w:color="auto" w:fill="FFFFFF" w:themeFill="background1"/>
            <w:vAlign w:val="center"/>
          </w:tcPr>
          <w:p w14:paraId="399706F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969,016.02</w:t>
            </w:r>
          </w:p>
        </w:tc>
        <w:tc>
          <w:tcPr>
            <w:tcW w:w="1928" w:type="dxa"/>
            <w:shd w:val="clear" w:color="auto" w:fill="FFFFFF" w:themeFill="background1"/>
            <w:vAlign w:val="center"/>
          </w:tcPr>
          <w:p w14:paraId="71F28A6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165,085,345.19</w:t>
            </w:r>
          </w:p>
        </w:tc>
        <w:tc>
          <w:tcPr>
            <w:tcW w:w="1928" w:type="dxa"/>
            <w:shd w:val="clear" w:color="auto" w:fill="FFFFFF" w:themeFill="background1"/>
            <w:vAlign w:val="center"/>
          </w:tcPr>
          <w:p w14:paraId="00B410A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27,513,293.61</w:t>
            </w:r>
          </w:p>
        </w:tc>
      </w:tr>
      <w:tr w:rsidR="00632E5B" w14:paraId="3B6AC353" w14:textId="77777777" w:rsidTr="001F5A64">
        <w:trPr>
          <w:trHeight w:val="240"/>
        </w:trPr>
        <w:tc>
          <w:tcPr>
            <w:tcW w:w="1928" w:type="dxa"/>
            <w:shd w:val="clear" w:color="auto" w:fill="FFFFFF" w:themeFill="background1"/>
            <w:vAlign w:val="center"/>
          </w:tcPr>
          <w:p w14:paraId="1C6627A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递延收益</w:t>
            </w:r>
          </w:p>
        </w:tc>
        <w:tc>
          <w:tcPr>
            <w:tcW w:w="1928" w:type="dxa"/>
            <w:shd w:val="clear" w:color="auto" w:fill="FFFFFF" w:themeFill="background1"/>
            <w:vAlign w:val="center"/>
          </w:tcPr>
          <w:p w14:paraId="160AFE0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472,296.06</w:t>
            </w:r>
          </w:p>
        </w:tc>
        <w:tc>
          <w:tcPr>
            <w:tcW w:w="1928" w:type="dxa"/>
            <w:shd w:val="clear" w:color="auto" w:fill="FFFFFF" w:themeFill="background1"/>
            <w:vAlign w:val="center"/>
          </w:tcPr>
          <w:p w14:paraId="3EC02D0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70,844.41</w:t>
            </w:r>
          </w:p>
        </w:tc>
        <w:tc>
          <w:tcPr>
            <w:tcW w:w="1928" w:type="dxa"/>
            <w:shd w:val="clear" w:color="auto" w:fill="FFFFFF" w:themeFill="background1"/>
            <w:vAlign w:val="center"/>
          </w:tcPr>
          <w:p w14:paraId="6D8BEC2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508,626.50</w:t>
            </w:r>
          </w:p>
        </w:tc>
        <w:tc>
          <w:tcPr>
            <w:tcW w:w="1928" w:type="dxa"/>
            <w:shd w:val="clear" w:color="auto" w:fill="FFFFFF" w:themeFill="background1"/>
            <w:vAlign w:val="center"/>
          </w:tcPr>
          <w:p w14:paraId="2BF043E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76,293.97</w:t>
            </w:r>
          </w:p>
        </w:tc>
      </w:tr>
      <w:tr w:rsidR="00632E5B" w14:paraId="3C81D157" w14:textId="77777777" w:rsidTr="001F5A64">
        <w:trPr>
          <w:trHeight w:val="240"/>
        </w:trPr>
        <w:tc>
          <w:tcPr>
            <w:tcW w:w="1928" w:type="dxa"/>
            <w:shd w:val="clear" w:color="auto" w:fill="FFFFFF" w:themeFill="background1"/>
            <w:vAlign w:val="center"/>
          </w:tcPr>
          <w:p w14:paraId="09D4140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shd w:val="clear" w:color="auto" w:fill="FFFFFF" w:themeFill="background1"/>
            <w:vAlign w:val="center"/>
          </w:tcPr>
          <w:p w14:paraId="2811385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23,209,672.45</w:t>
            </w:r>
          </w:p>
        </w:tc>
        <w:tc>
          <w:tcPr>
            <w:tcW w:w="1928" w:type="dxa"/>
            <w:shd w:val="clear" w:color="auto" w:fill="FFFFFF" w:themeFill="background1"/>
            <w:vAlign w:val="center"/>
          </w:tcPr>
          <w:p w14:paraId="37AA6B3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3,869,057.27</w:t>
            </w:r>
          </w:p>
        </w:tc>
        <w:tc>
          <w:tcPr>
            <w:tcW w:w="1928" w:type="dxa"/>
            <w:shd w:val="clear" w:color="auto" w:fill="FFFFFF" w:themeFill="background1"/>
            <w:vAlign w:val="center"/>
          </w:tcPr>
          <w:p w14:paraId="1FE01D7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189,670,902.79</w:t>
            </w:r>
          </w:p>
        </w:tc>
        <w:tc>
          <w:tcPr>
            <w:tcW w:w="1928" w:type="dxa"/>
            <w:shd w:val="clear" w:color="auto" w:fill="FFFFFF" w:themeFill="background1"/>
            <w:vAlign w:val="center"/>
          </w:tcPr>
          <w:p w14:paraId="73D7E53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31,201,127.25</w:t>
            </w:r>
          </w:p>
        </w:tc>
      </w:tr>
    </w:tbl>
    <w:p w14:paraId="5B48C667"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268" w:name="_Toc989155"/>
      <w:r>
        <w:rPr>
          <w:rFonts w:ascii="宋体" w:eastAsia="宋体" w:hAnsi="宋体" w:cs="宋体"/>
          <w:b/>
          <w:bCs/>
          <w:szCs w:val="21"/>
        </w:rPr>
        <w:t>（2） 未经抵销的递延所得税负债</w:t>
      </w:r>
      <w:bookmarkEnd w:id="268"/>
    </w:p>
    <w:p w14:paraId="11F0486B"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927"/>
        <w:gridCol w:w="1928"/>
        <w:gridCol w:w="1928"/>
        <w:gridCol w:w="1928"/>
        <w:gridCol w:w="1928"/>
      </w:tblGrid>
      <w:tr w:rsidR="00632E5B" w14:paraId="12CDA129" w14:textId="77777777" w:rsidTr="001F5A64">
        <w:trPr>
          <w:trHeight w:val="240"/>
        </w:trPr>
        <w:tc>
          <w:tcPr>
            <w:tcW w:w="1928" w:type="dxa"/>
            <w:vMerge w:val="restart"/>
            <w:shd w:val="clear" w:color="auto" w:fill="FFFFFF" w:themeFill="background1"/>
            <w:vAlign w:val="center"/>
          </w:tcPr>
          <w:p w14:paraId="4A16F30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856" w:type="dxa"/>
            <w:gridSpan w:val="2"/>
            <w:shd w:val="clear" w:color="auto" w:fill="FFFFFF" w:themeFill="background1"/>
            <w:vAlign w:val="center"/>
          </w:tcPr>
          <w:p w14:paraId="6D7662A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856" w:type="dxa"/>
            <w:gridSpan w:val="2"/>
            <w:shd w:val="clear" w:color="auto" w:fill="FFFFFF" w:themeFill="background1"/>
            <w:vAlign w:val="center"/>
          </w:tcPr>
          <w:p w14:paraId="71B39E5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632E5B" w14:paraId="7C7DA669" w14:textId="77777777" w:rsidTr="001F5A64">
        <w:trPr>
          <w:trHeight w:val="240"/>
        </w:trPr>
        <w:tc>
          <w:tcPr>
            <w:tcW w:w="1928" w:type="dxa"/>
            <w:vMerge/>
            <w:shd w:val="clear" w:color="auto" w:fill="FFFFFF" w:themeFill="background1"/>
            <w:vAlign w:val="center"/>
          </w:tcPr>
          <w:p w14:paraId="75AC4EA0" w14:textId="77777777" w:rsidR="00632E5B" w:rsidRDefault="00632E5B"/>
        </w:tc>
        <w:tc>
          <w:tcPr>
            <w:tcW w:w="1928" w:type="dxa"/>
            <w:shd w:val="clear" w:color="auto" w:fill="FFFFFF" w:themeFill="background1"/>
            <w:vAlign w:val="center"/>
          </w:tcPr>
          <w:p w14:paraId="6E513AD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应纳税暂时性差异</w:t>
            </w:r>
          </w:p>
        </w:tc>
        <w:tc>
          <w:tcPr>
            <w:tcW w:w="1928" w:type="dxa"/>
            <w:shd w:val="clear" w:color="auto" w:fill="FFFFFF" w:themeFill="background1"/>
            <w:vAlign w:val="center"/>
          </w:tcPr>
          <w:p w14:paraId="3D4A7D4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递延所得税负债</w:t>
            </w:r>
          </w:p>
        </w:tc>
        <w:tc>
          <w:tcPr>
            <w:tcW w:w="1928" w:type="dxa"/>
            <w:shd w:val="clear" w:color="auto" w:fill="FFFFFF" w:themeFill="background1"/>
            <w:vAlign w:val="center"/>
          </w:tcPr>
          <w:p w14:paraId="6DB5EC4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应纳税暂时性差异</w:t>
            </w:r>
          </w:p>
        </w:tc>
        <w:tc>
          <w:tcPr>
            <w:tcW w:w="1928" w:type="dxa"/>
            <w:shd w:val="clear" w:color="auto" w:fill="FFFFFF" w:themeFill="background1"/>
            <w:vAlign w:val="center"/>
          </w:tcPr>
          <w:p w14:paraId="773662E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递延所得税负债</w:t>
            </w:r>
          </w:p>
        </w:tc>
      </w:tr>
      <w:tr w:rsidR="00632E5B" w14:paraId="7766011C" w14:textId="77777777" w:rsidTr="001F5A64">
        <w:trPr>
          <w:trHeight w:val="240"/>
        </w:trPr>
        <w:tc>
          <w:tcPr>
            <w:tcW w:w="1928" w:type="dxa"/>
            <w:shd w:val="clear" w:color="auto" w:fill="FFFFFF" w:themeFill="background1"/>
            <w:vAlign w:val="center"/>
          </w:tcPr>
          <w:p w14:paraId="7B6610A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交易性金融资产公允价值变动</w:t>
            </w:r>
          </w:p>
        </w:tc>
        <w:tc>
          <w:tcPr>
            <w:tcW w:w="1928" w:type="dxa"/>
            <w:shd w:val="clear" w:color="auto" w:fill="FFFFFF" w:themeFill="background1"/>
            <w:vAlign w:val="center"/>
          </w:tcPr>
          <w:p w14:paraId="15993F3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2,292,300.00</w:t>
            </w:r>
          </w:p>
        </w:tc>
        <w:tc>
          <w:tcPr>
            <w:tcW w:w="1928" w:type="dxa"/>
            <w:shd w:val="clear" w:color="auto" w:fill="FFFFFF" w:themeFill="background1"/>
            <w:vAlign w:val="center"/>
          </w:tcPr>
          <w:p w14:paraId="331B008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573,075.00</w:t>
            </w:r>
          </w:p>
        </w:tc>
        <w:tc>
          <w:tcPr>
            <w:tcW w:w="1928" w:type="dxa"/>
            <w:shd w:val="clear" w:color="auto" w:fill="FFFFFF" w:themeFill="background1"/>
            <w:vAlign w:val="center"/>
          </w:tcPr>
          <w:p w14:paraId="2DEF922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12,583,995.73</w:t>
            </w:r>
          </w:p>
        </w:tc>
        <w:tc>
          <w:tcPr>
            <w:tcW w:w="1928" w:type="dxa"/>
            <w:shd w:val="clear" w:color="auto" w:fill="FFFFFF" w:themeFill="background1"/>
            <w:vAlign w:val="center"/>
          </w:tcPr>
          <w:p w14:paraId="5AC5F57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1,887,599.36</w:t>
            </w:r>
          </w:p>
        </w:tc>
      </w:tr>
      <w:tr w:rsidR="00632E5B" w14:paraId="799F08B6" w14:textId="77777777" w:rsidTr="001F5A64">
        <w:trPr>
          <w:trHeight w:val="240"/>
        </w:trPr>
        <w:tc>
          <w:tcPr>
            <w:tcW w:w="1928" w:type="dxa"/>
            <w:shd w:val="clear" w:color="auto" w:fill="FFFFFF" w:themeFill="background1"/>
            <w:vAlign w:val="center"/>
          </w:tcPr>
          <w:p w14:paraId="1F45823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使用权资产</w:t>
            </w:r>
          </w:p>
        </w:tc>
        <w:tc>
          <w:tcPr>
            <w:tcW w:w="1928" w:type="dxa"/>
            <w:shd w:val="clear" w:color="auto" w:fill="FFFFFF" w:themeFill="background1"/>
            <w:vAlign w:val="center"/>
          </w:tcPr>
          <w:p w14:paraId="48A03E6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3,643,645.52</w:t>
            </w:r>
          </w:p>
        </w:tc>
        <w:tc>
          <w:tcPr>
            <w:tcW w:w="1928" w:type="dxa"/>
            <w:shd w:val="clear" w:color="auto" w:fill="FFFFFF" w:themeFill="background1"/>
            <w:vAlign w:val="center"/>
          </w:tcPr>
          <w:p w14:paraId="4686125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910,911.38</w:t>
            </w:r>
          </w:p>
        </w:tc>
        <w:tc>
          <w:tcPr>
            <w:tcW w:w="1928" w:type="dxa"/>
            <w:shd w:val="clear" w:color="auto" w:fill="FFFFFF" w:themeFill="background1"/>
            <w:vAlign w:val="center"/>
          </w:tcPr>
          <w:p w14:paraId="207B4EA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73,307,174.23</w:t>
            </w:r>
          </w:p>
        </w:tc>
        <w:tc>
          <w:tcPr>
            <w:tcW w:w="1928" w:type="dxa"/>
            <w:shd w:val="clear" w:color="auto" w:fill="FFFFFF" w:themeFill="background1"/>
            <w:vAlign w:val="center"/>
          </w:tcPr>
          <w:p w14:paraId="35863B5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11,442,251.17</w:t>
            </w:r>
          </w:p>
        </w:tc>
      </w:tr>
      <w:tr w:rsidR="00632E5B" w14:paraId="2217CC22" w14:textId="77777777" w:rsidTr="001F5A64">
        <w:trPr>
          <w:trHeight w:val="240"/>
        </w:trPr>
        <w:tc>
          <w:tcPr>
            <w:tcW w:w="1928" w:type="dxa"/>
            <w:shd w:val="clear" w:color="auto" w:fill="FFFFFF" w:themeFill="background1"/>
            <w:vAlign w:val="center"/>
          </w:tcPr>
          <w:p w14:paraId="651E305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其他非流动金融资产公允价值变动</w:t>
            </w:r>
          </w:p>
        </w:tc>
        <w:tc>
          <w:tcPr>
            <w:tcW w:w="1928" w:type="dxa"/>
            <w:shd w:val="clear" w:color="auto" w:fill="FFFFFF" w:themeFill="background1"/>
            <w:vAlign w:val="center"/>
          </w:tcPr>
          <w:p w14:paraId="52316E1E" w14:textId="77777777" w:rsidR="00632E5B" w:rsidRDefault="00632E5B">
            <w:pPr>
              <w:spacing w:line="240" w:lineRule="exact"/>
              <w:jc w:val="right"/>
              <w:rPr>
                <w:rFonts w:ascii="宋体" w:eastAsia="宋体" w:hAnsi="宋体" w:cs="宋体" w:hint="eastAsia"/>
                <w:sz w:val="18"/>
                <w:szCs w:val="18"/>
              </w:rPr>
            </w:pPr>
          </w:p>
        </w:tc>
        <w:tc>
          <w:tcPr>
            <w:tcW w:w="1928" w:type="dxa"/>
            <w:shd w:val="clear" w:color="auto" w:fill="FFFFFF" w:themeFill="background1"/>
            <w:vAlign w:val="center"/>
          </w:tcPr>
          <w:p w14:paraId="4D5A600C" w14:textId="77777777" w:rsidR="00632E5B" w:rsidRDefault="00632E5B">
            <w:pPr>
              <w:spacing w:line="240" w:lineRule="exact"/>
              <w:jc w:val="right"/>
              <w:rPr>
                <w:rFonts w:ascii="宋体" w:eastAsia="宋体" w:hAnsi="宋体" w:cs="宋体" w:hint="eastAsia"/>
                <w:sz w:val="18"/>
                <w:szCs w:val="18"/>
              </w:rPr>
            </w:pPr>
          </w:p>
        </w:tc>
        <w:tc>
          <w:tcPr>
            <w:tcW w:w="1928" w:type="dxa"/>
            <w:shd w:val="clear" w:color="auto" w:fill="FFFFFF" w:themeFill="background1"/>
            <w:vAlign w:val="center"/>
          </w:tcPr>
          <w:p w14:paraId="1F237C7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31,117,957.07</w:t>
            </w:r>
          </w:p>
        </w:tc>
        <w:tc>
          <w:tcPr>
            <w:tcW w:w="1928" w:type="dxa"/>
            <w:shd w:val="clear" w:color="auto" w:fill="FFFFFF" w:themeFill="background1"/>
            <w:vAlign w:val="center"/>
          </w:tcPr>
          <w:p w14:paraId="2F6A750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1,555,897.85</w:t>
            </w:r>
          </w:p>
        </w:tc>
      </w:tr>
      <w:tr w:rsidR="00632E5B" w14:paraId="722B80EE" w14:textId="77777777" w:rsidTr="001F5A64">
        <w:trPr>
          <w:trHeight w:val="240"/>
        </w:trPr>
        <w:tc>
          <w:tcPr>
            <w:tcW w:w="1928" w:type="dxa"/>
            <w:shd w:val="clear" w:color="auto" w:fill="FFFFFF" w:themeFill="background1"/>
            <w:vAlign w:val="center"/>
          </w:tcPr>
          <w:p w14:paraId="05FEF83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shd w:val="clear" w:color="auto" w:fill="FFFFFF" w:themeFill="background1"/>
            <w:vAlign w:val="center"/>
          </w:tcPr>
          <w:p w14:paraId="2186055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5,935,945.52</w:t>
            </w:r>
          </w:p>
        </w:tc>
        <w:tc>
          <w:tcPr>
            <w:tcW w:w="1928" w:type="dxa"/>
            <w:shd w:val="clear" w:color="auto" w:fill="FFFFFF" w:themeFill="background1"/>
            <w:vAlign w:val="center"/>
          </w:tcPr>
          <w:p w14:paraId="2D88AC6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1,483,986.38</w:t>
            </w:r>
          </w:p>
        </w:tc>
        <w:tc>
          <w:tcPr>
            <w:tcW w:w="1928" w:type="dxa"/>
            <w:shd w:val="clear" w:color="auto" w:fill="FFFFFF" w:themeFill="background1"/>
            <w:vAlign w:val="center"/>
          </w:tcPr>
          <w:p w14:paraId="6F49FF2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117,009,127.03</w:t>
            </w:r>
          </w:p>
        </w:tc>
        <w:tc>
          <w:tcPr>
            <w:tcW w:w="1928" w:type="dxa"/>
            <w:shd w:val="clear" w:color="auto" w:fill="FFFFFF" w:themeFill="background1"/>
            <w:vAlign w:val="center"/>
          </w:tcPr>
          <w:p w14:paraId="04CE1C9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14,885,748.38</w:t>
            </w:r>
          </w:p>
        </w:tc>
      </w:tr>
    </w:tbl>
    <w:p w14:paraId="09FE0D85"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269" w:name="_Toc989156"/>
      <w:r>
        <w:rPr>
          <w:rFonts w:ascii="宋体" w:eastAsia="宋体" w:hAnsi="宋体" w:cs="宋体"/>
          <w:b/>
          <w:bCs/>
          <w:szCs w:val="21"/>
        </w:rPr>
        <w:t>（3） 以抵销后净额列示的递延所得税资产或负债</w:t>
      </w:r>
      <w:bookmarkEnd w:id="269"/>
    </w:p>
    <w:p w14:paraId="72595FE2"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927"/>
        <w:gridCol w:w="1928"/>
        <w:gridCol w:w="1928"/>
        <w:gridCol w:w="1928"/>
        <w:gridCol w:w="1928"/>
      </w:tblGrid>
      <w:tr w:rsidR="00632E5B" w14:paraId="1E8D8F50" w14:textId="77777777" w:rsidTr="001F5A64">
        <w:trPr>
          <w:trHeight w:val="240"/>
        </w:trPr>
        <w:tc>
          <w:tcPr>
            <w:tcW w:w="1928" w:type="dxa"/>
            <w:shd w:val="clear" w:color="auto" w:fill="FFFFFF" w:themeFill="background1"/>
            <w:vAlign w:val="center"/>
          </w:tcPr>
          <w:p w14:paraId="69C0669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928" w:type="dxa"/>
            <w:shd w:val="clear" w:color="auto" w:fill="FFFFFF" w:themeFill="background1"/>
            <w:vAlign w:val="center"/>
          </w:tcPr>
          <w:p w14:paraId="152DD5F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递延所得税资产和负债期末互抵金额</w:t>
            </w:r>
          </w:p>
        </w:tc>
        <w:tc>
          <w:tcPr>
            <w:tcW w:w="1928" w:type="dxa"/>
            <w:shd w:val="clear" w:color="auto" w:fill="FFFFFF" w:themeFill="background1"/>
            <w:vAlign w:val="center"/>
          </w:tcPr>
          <w:p w14:paraId="1A76A71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抵销后递延所得税资产或负债期末余额</w:t>
            </w:r>
          </w:p>
        </w:tc>
        <w:tc>
          <w:tcPr>
            <w:tcW w:w="1928" w:type="dxa"/>
            <w:shd w:val="clear" w:color="auto" w:fill="FFFFFF" w:themeFill="background1"/>
            <w:vAlign w:val="center"/>
          </w:tcPr>
          <w:p w14:paraId="54F5244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递延所得税资产和负债期初互抵金额</w:t>
            </w:r>
          </w:p>
        </w:tc>
        <w:tc>
          <w:tcPr>
            <w:tcW w:w="1928" w:type="dxa"/>
            <w:shd w:val="clear" w:color="auto" w:fill="FFFFFF" w:themeFill="background1"/>
            <w:vAlign w:val="center"/>
          </w:tcPr>
          <w:p w14:paraId="5B7E7CF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抵销后递延所得税资产或负债期初余额</w:t>
            </w:r>
          </w:p>
        </w:tc>
      </w:tr>
      <w:tr w:rsidR="00632E5B" w14:paraId="5582CD29" w14:textId="77777777" w:rsidTr="001F5A64">
        <w:trPr>
          <w:trHeight w:val="240"/>
        </w:trPr>
        <w:tc>
          <w:tcPr>
            <w:tcW w:w="1928" w:type="dxa"/>
            <w:shd w:val="clear" w:color="auto" w:fill="FFFFFF" w:themeFill="background1"/>
            <w:vAlign w:val="center"/>
          </w:tcPr>
          <w:p w14:paraId="37BFB9A5"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递延所得税资产</w:t>
            </w:r>
          </w:p>
        </w:tc>
        <w:tc>
          <w:tcPr>
            <w:tcW w:w="1928" w:type="dxa"/>
            <w:shd w:val="clear" w:color="auto" w:fill="FFFFFF" w:themeFill="background1"/>
            <w:vAlign w:val="center"/>
          </w:tcPr>
          <w:p w14:paraId="5141B0A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865,658.83</w:t>
            </w:r>
          </w:p>
        </w:tc>
        <w:tc>
          <w:tcPr>
            <w:tcW w:w="1928" w:type="dxa"/>
            <w:shd w:val="clear" w:color="auto" w:fill="FFFFFF" w:themeFill="background1"/>
            <w:vAlign w:val="center"/>
          </w:tcPr>
          <w:p w14:paraId="6022DBF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3,003,398.44</w:t>
            </w:r>
          </w:p>
        </w:tc>
        <w:tc>
          <w:tcPr>
            <w:tcW w:w="1928" w:type="dxa"/>
            <w:shd w:val="clear" w:color="auto" w:fill="FFFFFF" w:themeFill="background1"/>
            <w:vAlign w:val="center"/>
          </w:tcPr>
          <w:p w14:paraId="345DA91D" w14:textId="77777777" w:rsidR="00632E5B" w:rsidRDefault="00632E5B">
            <w:pPr>
              <w:spacing w:line="240" w:lineRule="exact"/>
              <w:jc w:val="right"/>
              <w:rPr>
                <w:rFonts w:ascii="宋体" w:eastAsia="宋体" w:hAnsi="宋体" w:cs="宋体" w:hint="eastAsia"/>
                <w:sz w:val="18"/>
                <w:szCs w:val="18"/>
              </w:rPr>
            </w:pPr>
          </w:p>
        </w:tc>
        <w:tc>
          <w:tcPr>
            <w:tcW w:w="1928" w:type="dxa"/>
            <w:shd w:val="clear" w:color="auto" w:fill="FFFFFF" w:themeFill="background1"/>
            <w:vAlign w:val="center"/>
          </w:tcPr>
          <w:p w14:paraId="082D863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31,201,127.25</w:t>
            </w:r>
          </w:p>
        </w:tc>
      </w:tr>
      <w:tr w:rsidR="00632E5B" w14:paraId="5EEB5CAC" w14:textId="77777777" w:rsidTr="001F5A64">
        <w:trPr>
          <w:trHeight w:val="240"/>
        </w:trPr>
        <w:tc>
          <w:tcPr>
            <w:tcW w:w="1928" w:type="dxa"/>
            <w:shd w:val="clear" w:color="auto" w:fill="FFFFFF" w:themeFill="background1"/>
            <w:vAlign w:val="center"/>
          </w:tcPr>
          <w:p w14:paraId="16058E4A"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递延所得税负债</w:t>
            </w:r>
          </w:p>
        </w:tc>
        <w:tc>
          <w:tcPr>
            <w:tcW w:w="1928" w:type="dxa"/>
            <w:shd w:val="clear" w:color="auto" w:fill="FFFFFF" w:themeFill="background1"/>
            <w:vAlign w:val="center"/>
          </w:tcPr>
          <w:p w14:paraId="6E30720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865,658.83</w:t>
            </w:r>
          </w:p>
        </w:tc>
        <w:tc>
          <w:tcPr>
            <w:tcW w:w="1928" w:type="dxa"/>
            <w:shd w:val="clear" w:color="auto" w:fill="FFFFFF" w:themeFill="background1"/>
            <w:vAlign w:val="center"/>
          </w:tcPr>
          <w:p w14:paraId="5393DC9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618,327.55</w:t>
            </w:r>
          </w:p>
        </w:tc>
        <w:tc>
          <w:tcPr>
            <w:tcW w:w="1928" w:type="dxa"/>
            <w:shd w:val="clear" w:color="auto" w:fill="FFFFFF" w:themeFill="background1"/>
            <w:vAlign w:val="center"/>
          </w:tcPr>
          <w:p w14:paraId="6A81BF74" w14:textId="77777777" w:rsidR="00632E5B" w:rsidRDefault="00632E5B">
            <w:pPr>
              <w:spacing w:line="240" w:lineRule="exact"/>
              <w:jc w:val="right"/>
              <w:rPr>
                <w:rFonts w:ascii="宋体" w:eastAsia="宋体" w:hAnsi="宋体" w:cs="宋体" w:hint="eastAsia"/>
                <w:sz w:val="18"/>
                <w:szCs w:val="18"/>
              </w:rPr>
            </w:pPr>
          </w:p>
        </w:tc>
        <w:tc>
          <w:tcPr>
            <w:tcW w:w="1928" w:type="dxa"/>
            <w:shd w:val="clear" w:color="auto" w:fill="FFFFFF" w:themeFill="background1"/>
            <w:vAlign w:val="center"/>
          </w:tcPr>
          <w:p w14:paraId="0E9AACF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14,885,748.38</w:t>
            </w:r>
          </w:p>
        </w:tc>
      </w:tr>
    </w:tbl>
    <w:p w14:paraId="064F0882"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270" w:name="_Toc989157"/>
      <w:r>
        <w:rPr>
          <w:rFonts w:ascii="宋体" w:eastAsia="宋体" w:hAnsi="宋体" w:cs="宋体"/>
          <w:b/>
          <w:bCs/>
          <w:szCs w:val="21"/>
        </w:rPr>
        <w:lastRenderedPageBreak/>
        <w:t>（4） 未确认递延所得税资产明细</w:t>
      </w:r>
      <w:bookmarkEnd w:id="270"/>
    </w:p>
    <w:p w14:paraId="2106046C"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48A4DD7D" w14:textId="77777777" w:rsidTr="001F5A64">
        <w:trPr>
          <w:trHeight w:val="240"/>
        </w:trPr>
        <w:tc>
          <w:tcPr>
            <w:tcW w:w="3213" w:type="dxa"/>
            <w:shd w:val="clear" w:color="auto" w:fill="FFFFFF" w:themeFill="background1"/>
            <w:vAlign w:val="center"/>
          </w:tcPr>
          <w:p w14:paraId="7EE4689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1B8E56E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auto" w:fill="FFFFFF" w:themeFill="background1"/>
            <w:vAlign w:val="center"/>
          </w:tcPr>
          <w:p w14:paraId="3EA7DBB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632E5B" w14:paraId="167BE79C" w14:textId="77777777" w:rsidTr="001F5A64">
        <w:trPr>
          <w:trHeight w:val="240"/>
        </w:trPr>
        <w:tc>
          <w:tcPr>
            <w:tcW w:w="3213" w:type="dxa"/>
            <w:shd w:val="clear" w:color="auto" w:fill="FFFFFF" w:themeFill="background1"/>
            <w:vAlign w:val="center"/>
          </w:tcPr>
          <w:p w14:paraId="77D1CE5C"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可抵扣暂时性差异</w:t>
            </w:r>
          </w:p>
        </w:tc>
        <w:tc>
          <w:tcPr>
            <w:tcW w:w="3213" w:type="dxa"/>
            <w:shd w:val="clear" w:color="auto" w:fill="FFFFFF" w:themeFill="background1"/>
            <w:vAlign w:val="center"/>
          </w:tcPr>
          <w:p w14:paraId="46E6AA5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3,508,457,735.01</w:t>
            </w:r>
          </w:p>
        </w:tc>
        <w:tc>
          <w:tcPr>
            <w:tcW w:w="3213" w:type="dxa"/>
            <w:shd w:val="clear" w:color="auto" w:fill="FFFFFF" w:themeFill="background1"/>
            <w:vAlign w:val="center"/>
          </w:tcPr>
          <w:p w14:paraId="1A219C7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5,428,446,817.19</w:t>
            </w:r>
          </w:p>
        </w:tc>
      </w:tr>
      <w:tr w:rsidR="00632E5B" w14:paraId="398E7AC6" w14:textId="77777777" w:rsidTr="001F5A64">
        <w:trPr>
          <w:trHeight w:val="240"/>
        </w:trPr>
        <w:tc>
          <w:tcPr>
            <w:tcW w:w="3213" w:type="dxa"/>
            <w:shd w:val="clear" w:color="auto" w:fill="FFFFFF" w:themeFill="background1"/>
            <w:vAlign w:val="center"/>
          </w:tcPr>
          <w:p w14:paraId="2A70FA81"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可抵扣亏损</w:t>
            </w:r>
          </w:p>
        </w:tc>
        <w:tc>
          <w:tcPr>
            <w:tcW w:w="3213" w:type="dxa"/>
            <w:shd w:val="clear" w:color="auto" w:fill="FFFFFF" w:themeFill="background1"/>
            <w:vAlign w:val="center"/>
          </w:tcPr>
          <w:p w14:paraId="4B46EE7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4,931,289,014.37</w:t>
            </w:r>
          </w:p>
        </w:tc>
        <w:tc>
          <w:tcPr>
            <w:tcW w:w="3213" w:type="dxa"/>
            <w:shd w:val="clear" w:color="auto" w:fill="FFFFFF" w:themeFill="background1"/>
            <w:vAlign w:val="center"/>
          </w:tcPr>
          <w:p w14:paraId="7B384A7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6,275,190,674.96</w:t>
            </w:r>
          </w:p>
        </w:tc>
      </w:tr>
      <w:tr w:rsidR="00632E5B" w14:paraId="35BE94B2" w14:textId="77777777" w:rsidTr="001F5A64">
        <w:trPr>
          <w:trHeight w:val="240"/>
        </w:trPr>
        <w:tc>
          <w:tcPr>
            <w:tcW w:w="3213" w:type="dxa"/>
            <w:shd w:val="clear" w:color="auto" w:fill="FFFFFF" w:themeFill="background1"/>
            <w:vAlign w:val="center"/>
          </w:tcPr>
          <w:p w14:paraId="2A08BDFF"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2C6D9EB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8,439,746,749.38</w:t>
            </w:r>
          </w:p>
        </w:tc>
        <w:tc>
          <w:tcPr>
            <w:tcW w:w="3213" w:type="dxa"/>
            <w:shd w:val="clear" w:color="auto" w:fill="FFFFFF" w:themeFill="background1"/>
            <w:vAlign w:val="center"/>
          </w:tcPr>
          <w:p w14:paraId="046F1D2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11,703,637,492.15</w:t>
            </w:r>
          </w:p>
        </w:tc>
      </w:tr>
    </w:tbl>
    <w:p w14:paraId="6B5B5298"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271" w:name="_Toc989158"/>
      <w:r>
        <w:rPr>
          <w:rFonts w:ascii="宋体" w:eastAsia="宋体" w:hAnsi="宋体" w:cs="宋体"/>
          <w:b/>
          <w:bCs/>
          <w:szCs w:val="21"/>
        </w:rPr>
        <w:t>（5） 未确认递延所得税资产的可抵扣亏损将于以下年度到期</w:t>
      </w:r>
      <w:bookmarkEnd w:id="271"/>
    </w:p>
    <w:p w14:paraId="297C7A92"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2409"/>
        <w:gridCol w:w="2410"/>
        <w:gridCol w:w="2410"/>
        <w:gridCol w:w="2410"/>
      </w:tblGrid>
      <w:tr w:rsidR="00632E5B" w14:paraId="4F4DDE43" w14:textId="77777777" w:rsidTr="001F5A64">
        <w:trPr>
          <w:trHeight w:val="240"/>
        </w:trPr>
        <w:tc>
          <w:tcPr>
            <w:tcW w:w="2410" w:type="dxa"/>
            <w:shd w:val="clear" w:color="auto" w:fill="FFFFFF" w:themeFill="background1"/>
            <w:vAlign w:val="center"/>
          </w:tcPr>
          <w:p w14:paraId="2776F58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年份</w:t>
            </w:r>
          </w:p>
        </w:tc>
        <w:tc>
          <w:tcPr>
            <w:tcW w:w="2410" w:type="dxa"/>
            <w:shd w:val="clear" w:color="auto" w:fill="FFFFFF" w:themeFill="background1"/>
            <w:vAlign w:val="center"/>
          </w:tcPr>
          <w:p w14:paraId="19B50DC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期末金额</w:t>
            </w:r>
          </w:p>
        </w:tc>
        <w:tc>
          <w:tcPr>
            <w:tcW w:w="2410" w:type="dxa"/>
            <w:shd w:val="clear" w:color="auto" w:fill="FFFFFF" w:themeFill="background1"/>
            <w:vAlign w:val="center"/>
          </w:tcPr>
          <w:p w14:paraId="51DDB8A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期初金额</w:t>
            </w:r>
          </w:p>
        </w:tc>
        <w:tc>
          <w:tcPr>
            <w:tcW w:w="2410" w:type="dxa"/>
            <w:shd w:val="clear" w:color="auto" w:fill="FFFFFF" w:themeFill="background1"/>
            <w:vAlign w:val="center"/>
          </w:tcPr>
          <w:p w14:paraId="420184B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备注</w:t>
            </w:r>
          </w:p>
        </w:tc>
      </w:tr>
      <w:tr w:rsidR="00632E5B" w14:paraId="2CB56C1A" w14:textId="77777777" w:rsidTr="001F5A64">
        <w:trPr>
          <w:trHeight w:val="240"/>
        </w:trPr>
        <w:tc>
          <w:tcPr>
            <w:tcW w:w="2410" w:type="dxa"/>
            <w:shd w:val="clear" w:color="auto" w:fill="FFFFFF" w:themeFill="background1"/>
            <w:vAlign w:val="center"/>
          </w:tcPr>
          <w:p w14:paraId="7954927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2024年度</w:t>
            </w:r>
          </w:p>
        </w:tc>
        <w:tc>
          <w:tcPr>
            <w:tcW w:w="2410" w:type="dxa"/>
            <w:shd w:val="clear" w:color="auto" w:fill="FFFFFF" w:themeFill="background1"/>
            <w:vAlign w:val="center"/>
          </w:tcPr>
          <w:p w14:paraId="3C84EA07"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5212EAE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7,591,508.61</w:t>
            </w:r>
          </w:p>
        </w:tc>
        <w:tc>
          <w:tcPr>
            <w:tcW w:w="2410" w:type="dxa"/>
            <w:shd w:val="clear" w:color="auto" w:fill="FFFFFF" w:themeFill="background1"/>
            <w:vAlign w:val="center"/>
          </w:tcPr>
          <w:p w14:paraId="3ACB84E1" w14:textId="77777777" w:rsidR="00632E5B" w:rsidRDefault="00632E5B">
            <w:pPr>
              <w:spacing w:line="240" w:lineRule="exact"/>
              <w:rPr>
                <w:rFonts w:ascii="宋体" w:eastAsia="宋体" w:hAnsi="宋体" w:cs="宋体" w:hint="eastAsia"/>
                <w:sz w:val="18"/>
                <w:szCs w:val="18"/>
              </w:rPr>
            </w:pPr>
          </w:p>
        </w:tc>
      </w:tr>
      <w:tr w:rsidR="00632E5B" w14:paraId="464872D5" w14:textId="77777777" w:rsidTr="001F5A64">
        <w:trPr>
          <w:trHeight w:val="240"/>
        </w:trPr>
        <w:tc>
          <w:tcPr>
            <w:tcW w:w="2410" w:type="dxa"/>
            <w:shd w:val="clear" w:color="auto" w:fill="FFFFFF" w:themeFill="background1"/>
            <w:vAlign w:val="center"/>
          </w:tcPr>
          <w:p w14:paraId="4700FC6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2025年度</w:t>
            </w:r>
          </w:p>
        </w:tc>
        <w:tc>
          <w:tcPr>
            <w:tcW w:w="2410" w:type="dxa"/>
            <w:shd w:val="clear" w:color="auto" w:fill="FFFFFF" w:themeFill="background1"/>
            <w:vAlign w:val="center"/>
          </w:tcPr>
          <w:p w14:paraId="0BE00F4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16,136,697.67</w:t>
            </w:r>
          </w:p>
        </w:tc>
        <w:tc>
          <w:tcPr>
            <w:tcW w:w="2410" w:type="dxa"/>
            <w:shd w:val="clear" w:color="auto" w:fill="FFFFFF" w:themeFill="background1"/>
            <w:vAlign w:val="center"/>
          </w:tcPr>
          <w:p w14:paraId="2DB5F28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16,772,613.40</w:t>
            </w:r>
          </w:p>
        </w:tc>
        <w:tc>
          <w:tcPr>
            <w:tcW w:w="2410" w:type="dxa"/>
            <w:shd w:val="clear" w:color="auto" w:fill="FFFFFF" w:themeFill="background1"/>
            <w:vAlign w:val="center"/>
          </w:tcPr>
          <w:p w14:paraId="3826DF11" w14:textId="77777777" w:rsidR="00632E5B" w:rsidRDefault="00632E5B">
            <w:pPr>
              <w:spacing w:line="240" w:lineRule="exact"/>
              <w:rPr>
                <w:rFonts w:ascii="宋体" w:eastAsia="宋体" w:hAnsi="宋体" w:cs="宋体" w:hint="eastAsia"/>
                <w:sz w:val="18"/>
                <w:szCs w:val="18"/>
              </w:rPr>
            </w:pPr>
          </w:p>
        </w:tc>
      </w:tr>
      <w:tr w:rsidR="00632E5B" w14:paraId="0C905A74" w14:textId="77777777" w:rsidTr="001F5A64">
        <w:trPr>
          <w:trHeight w:val="240"/>
        </w:trPr>
        <w:tc>
          <w:tcPr>
            <w:tcW w:w="2410" w:type="dxa"/>
            <w:shd w:val="clear" w:color="auto" w:fill="FFFFFF" w:themeFill="background1"/>
            <w:vAlign w:val="center"/>
          </w:tcPr>
          <w:p w14:paraId="646A1F2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2026年度</w:t>
            </w:r>
          </w:p>
        </w:tc>
        <w:tc>
          <w:tcPr>
            <w:tcW w:w="2410" w:type="dxa"/>
            <w:shd w:val="clear" w:color="auto" w:fill="FFFFFF" w:themeFill="background1"/>
            <w:vAlign w:val="center"/>
          </w:tcPr>
          <w:p w14:paraId="563B24B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84,186,585.17</w:t>
            </w:r>
          </w:p>
        </w:tc>
        <w:tc>
          <w:tcPr>
            <w:tcW w:w="2410" w:type="dxa"/>
            <w:shd w:val="clear" w:color="auto" w:fill="FFFFFF" w:themeFill="background1"/>
            <w:vAlign w:val="center"/>
          </w:tcPr>
          <w:p w14:paraId="35FB733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120,609,523.39</w:t>
            </w:r>
          </w:p>
        </w:tc>
        <w:tc>
          <w:tcPr>
            <w:tcW w:w="2410" w:type="dxa"/>
            <w:shd w:val="clear" w:color="auto" w:fill="FFFFFF" w:themeFill="background1"/>
            <w:vAlign w:val="center"/>
          </w:tcPr>
          <w:p w14:paraId="0A80DC4E" w14:textId="77777777" w:rsidR="00632E5B" w:rsidRDefault="00632E5B">
            <w:pPr>
              <w:spacing w:line="240" w:lineRule="exact"/>
              <w:rPr>
                <w:rFonts w:ascii="宋体" w:eastAsia="宋体" w:hAnsi="宋体" w:cs="宋体" w:hint="eastAsia"/>
                <w:sz w:val="18"/>
                <w:szCs w:val="18"/>
              </w:rPr>
            </w:pPr>
          </w:p>
        </w:tc>
      </w:tr>
      <w:tr w:rsidR="00632E5B" w14:paraId="31ABB548" w14:textId="77777777" w:rsidTr="001F5A64">
        <w:trPr>
          <w:trHeight w:val="240"/>
        </w:trPr>
        <w:tc>
          <w:tcPr>
            <w:tcW w:w="2410" w:type="dxa"/>
            <w:shd w:val="clear" w:color="auto" w:fill="FFFFFF" w:themeFill="background1"/>
            <w:vAlign w:val="center"/>
          </w:tcPr>
          <w:p w14:paraId="18EADDD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2027年度</w:t>
            </w:r>
          </w:p>
        </w:tc>
        <w:tc>
          <w:tcPr>
            <w:tcW w:w="2410" w:type="dxa"/>
            <w:shd w:val="clear" w:color="auto" w:fill="FFFFFF" w:themeFill="background1"/>
            <w:vAlign w:val="center"/>
          </w:tcPr>
          <w:p w14:paraId="054E83A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11,256,614.18</w:t>
            </w:r>
          </w:p>
        </w:tc>
        <w:tc>
          <w:tcPr>
            <w:tcW w:w="2410" w:type="dxa"/>
            <w:shd w:val="clear" w:color="auto" w:fill="FFFFFF" w:themeFill="background1"/>
            <w:vAlign w:val="center"/>
          </w:tcPr>
          <w:p w14:paraId="301DC77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102,593,166.37</w:t>
            </w:r>
          </w:p>
        </w:tc>
        <w:tc>
          <w:tcPr>
            <w:tcW w:w="2410" w:type="dxa"/>
            <w:shd w:val="clear" w:color="auto" w:fill="FFFFFF" w:themeFill="background1"/>
            <w:vAlign w:val="center"/>
          </w:tcPr>
          <w:p w14:paraId="01799DE9" w14:textId="77777777" w:rsidR="00632E5B" w:rsidRDefault="00632E5B">
            <w:pPr>
              <w:spacing w:line="240" w:lineRule="exact"/>
              <w:rPr>
                <w:rFonts w:ascii="宋体" w:eastAsia="宋体" w:hAnsi="宋体" w:cs="宋体" w:hint="eastAsia"/>
                <w:sz w:val="18"/>
                <w:szCs w:val="18"/>
              </w:rPr>
            </w:pPr>
          </w:p>
        </w:tc>
      </w:tr>
      <w:tr w:rsidR="00632E5B" w14:paraId="0BD55D16" w14:textId="77777777" w:rsidTr="001F5A64">
        <w:trPr>
          <w:trHeight w:val="240"/>
        </w:trPr>
        <w:tc>
          <w:tcPr>
            <w:tcW w:w="2410" w:type="dxa"/>
            <w:shd w:val="clear" w:color="auto" w:fill="FFFFFF" w:themeFill="background1"/>
            <w:vAlign w:val="center"/>
          </w:tcPr>
          <w:p w14:paraId="2356697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2028年度</w:t>
            </w:r>
          </w:p>
        </w:tc>
        <w:tc>
          <w:tcPr>
            <w:tcW w:w="2410" w:type="dxa"/>
            <w:shd w:val="clear" w:color="auto" w:fill="FFFFFF" w:themeFill="background1"/>
            <w:vAlign w:val="center"/>
          </w:tcPr>
          <w:p w14:paraId="4519E00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40,616,700.20</w:t>
            </w:r>
          </w:p>
        </w:tc>
        <w:tc>
          <w:tcPr>
            <w:tcW w:w="2410" w:type="dxa"/>
            <w:shd w:val="clear" w:color="auto" w:fill="FFFFFF" w:themeFill="background1"/>
            <w:vAlign w:val="center"/>
          </w:tcPr>
          <w:p w14:paraId="0CB529A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139,447,272.76</w:t>
            </w:r>
          </w:p>
        </w:tc>
        <w:tc>
          <w:tcPr>
            <w:tcW w:w="2410" w:type="dxa"/>
            <w:shd w:val="clear" w:color="auto" w:fill="FFFFFF" w:themeFill="background1"/>
            <w:vAlign w:val="center"/>
          </w:tcPr>
          <w:p w14:paraId="1D0CB701" w14:textId="77777777" w:rsidR="00632E5B" w:rsidRDefault="00632E5B">
            <w:pPr>
              <w:spacing w:line="240" w:lineRule="exact"/>
              <w:rPr>
                <w:rFonts w:ascii="宋体" w:eastAsia="宋体" w:hAnsi="宋体" w:cs="宋体" w:hint="eastAsia"/>
                <w:sz w:val="18"/>
                <w:szCs w:val="18"/>
              </w:rPr>
            </w:pPr>
          </w:p>
        </w:tc>
      </w:tr>
      <w:tr w:rsidR="00632E5B" w14:paraId="593C2F42" w14:textId="77777777" w:rsidTr="001F5A64">
        <w:trPr>
          <w:trHeight w:val="240"/>
        </w:trPr>
        <w:tc>
          <w:tcPr>
            <w:tcW w:w="2410" w:type="dxa"/>
            <w:shd w:val="clear" w:color="auto" w:fill="FFFFFF" w:themeFill="background1"/>
            <w:vAlign w:val="center"/>
          </w:tcPr>
          <w:p w14:paraId="1360BF8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2029年度</w:t>
            </w:r>
          </w:p>
        </w:tc>
        <w:tc>
          <w:tcPr>
            <w:tcW w:w="2410" w:type="dxa"/>
            <w:shd w:val="clear" w:color="auto" w:fill="FFFFFF" w:themeFill="background1"/>
            <w:vAlign w:val="center"/>
          </w:tcPr>
          <w:p w14:paraId="01A164A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785,522,442.91</w:t>
            </w:r>
          </w:p>
        </w:tc>
        <w:tc>
          <w:tcPr>
            <w:tcW w:w="2410" w:type="dxa"/>
            <w:shd w:val="clear" w:color="auto" w:fill="FFFFFF" w:themeFill="background1"/>
            <w:vAlign w:val="center"/>
          </w:tcPr>
          <w:p w14:paraId="279F521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570,574,242.58</w:t>
            </w:r>
          </w:p>
        </w:tc>
        <w:tc>
          <w:tcPr>
            <w:tcW w:w="2410" w:type="dxa"/>
            <w:shd w:val="clear" w:color="auto" w:fill="FFFFFF" w:themeFill="background1"/>
            <w:vAlign w:val="center"/>
          </w:tcPr>
          <w:p w14:paraId="261D9DD1" w14:textId="77777777" w:rsidR="00632E5B" w:rsidRDefault="00632E5B">
            <w:pPr>
              <w:spacing w:line="240" w:lineRule="exact"/>
              <w:rPr>
                <w:rFonts w:ascii="宋体" w:eastAsia="宋体" w:hAnsi="宋体" w:cs="宋体" w:hint="eastAsia"/>
                <w:sz w:val="18"/>
                <w:szCs w:val="18"/>
              </w:rPr>
            </w:pPr>
          </w:p>
        </w:tc>
      </w:tr>
      <w:tr w:rsidR="00632E5B" w14:paraId="4A5AB0EF" w14:textId="77777777" w:rsidTr="001F5A64">
        <w:trPr>
          <w:trHeight w:val="240"/>
        </w:trPr>
        <w:tc>
          <w:tcPr>
            <w:tcW w:w="2410" w:type="dxa"/>
            <w:shd w:val="clear" w:color="auto" w:fill="FFFFFF" w:themeFill="background1"/>
            <w:vAlign w:val="center"/>
          </w:tcPr>
          <w:p w14:paraId="74EDCE6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2030年度</w:t>
            </w:r>
          </w:p>
        </w:tc>
        <w:tc>
          <w:tcPr>
            <w:tcW w:w="2410" w:type="dxa"/>
            <w:shd w:val="clear" w:color="auto" w:fill="FFFFFF" w:themeFill="background1"/>
            <w:vAlign w:val="center"/>
          </w:tcPr>
          <w:p w14:paraId="621347D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1,407,449,370.34</w:t>
            </w:r>
          </w:p>
        </w:tc>
        <w:tc>
          <w:tcPr>
            <w:tcW w:w="2410" w:type="dxa"/>
            <w:shd w:val="clear" w:color="auto" w:fill="FFFFFF" w:themeFill="background1"/>
            <w:vAlign w:val="center"/>
          </w:tcPr>
          <w:p w14:paraId="18B7CC7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1,526,037,169.91</w:t>
            </w:r>
          </w:p>
        </w:tc>
        <w:tc>
          <w:tcPr>
            <w:tcW w:w="2410" w:type="dxa"/>
            <w:shd w:val="clear" w:color="auto" w:fill="FFFFFF" w:themeFill="background1"/>
            <w:vAlign w:val="center"/>
          </w:tcPr>
          <w:p w14:paraId="5E2B9E09" w14:textId="77777777" w:rsidR="00632E5B" w:rsidRDefault="00632E5B">
            <w:pPr>
              <w:spacing w:line="240" w:lineRule="exact"/>
              <w:rPr>
                <w:rFonts w:ascii="宋体" w:eastAsia="宋体" w:hAnsi="宋体" w:cs="宋体" w:hint="eastAsia"/>
                <w:sz w:val="18"/>
                <w:szCs w:val="18"/>
              </w:rPr>
            </w:pPr>
          </w:p>
        </w:tc>
      </w:tr>
      <w:tr w:rsidR="00632E5B" w14:paraId="57BB602C" w14:textId="77777777" w:rsidTr="001F5A64">
        <w:trPr>
          <w:trHeight w:val="240"/>
        </w:trPr>
        <w:tc>
          <w:tcPr>
            <w:tcW w:w="2410" w:type="dxa"/>
            <w:shd w:val="clear" w:color="auto" w:fill="FFFFFF" w:themeFill="background1"/>
            <w:vAlign w:val="center"/>
          </w:tcPr>
          <w:p w14:paraId="1442AFB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2031年度</w:t>
            </w:r>
          </w:p>
        </w:tc>
        <w:tc>
          <w:tcPr>
            <w:tcW w:w="2410" w:type="dxa"/>
            <w:shd w:val="clear" w:color="auto" w:fill="FFFFFF" w:themeFill="background1"/>
            <w:vAlign w:val="center"/>
          </w:tcPr>
          <w:p w14:paraId="5D5BF91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1,055,313,132.56</w:t>
            </w:r>
          </w:p>
        </w:tc>
        <w:tc>
          <w:tcPr>
            <w:tcW w:w="2410" w:type="dxa"/>
            <w:shd w:val="clear" w:color="auto" w:fill="FFFFFF" w:themeFill="background1"/>
            <w:vAlign w:val="center"/>
          </w:tcPr>
          <w:p w14:paraId="2C6FB9A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1,194,867,993.22</w:t>
            </w:r>
          </w:p>
        </w:tc>
        <w:tc>
          <w:tcPr>
            <w:tcW w:w="2410" w:type="dxa"/>
            <w:shd w:val="clear" w:color="auto" w:fill="FFFFFF" w:themeFill="background1"/>
            <w:vAlign w:val="center"/>
          </w:tcPr>
          <w:p w14:paraId="553119E6" w14:textId="77777777" w:rsidR="00632E5B" w:rsidRDefault="00632E5B">
            <w:pPr>
              <w:spacing w:line="240" w:lineRule="exact"/>
              <w:rPr>
                <w:rFonts w:ascii="宋体" w:eastAsia="宋体" w:hAnsi="宋体" w:cs="宋体" w:hint="eastAsia"/>
                <w:sz w:val="18"/>
                <w:szCs w:val="18"/>
              </w:rPr>
            </w:pPr>
          </w:p>
        </w:tc>
      </w:tr>
      <w:tr w:rsidR="00632E5B" w14:paraId="798A3B45" w14:textId="77777777" w:rsidTr="001F5A64">
        <w:trPr>
          <w:trHeight w:val="240"/>
        </w:trPr>
        <w:tc>
          <w:tcPr>
            <w:tcW w:w="2410" w:type="dxa"/>
            <w:shd w:val="clear" w:color="auto" w:fill="FFFFFF" w:themeFill="background1"/>
            <w:vAlign w:val="center"/>
          </w:tcPr>
          <w:p w14:paraId="4A656D1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2032年度</w:t>
            </w:r>
          </w:p>
        </w:tc>
        <w:tc>
          <w:tcPr>
            <w:tcW w:w="2410" w:type="dxa"/>
            <w:shd w:val="clear" w:color="auto" w:fill="FFFFFF" w:themeFill="background1"/>
            <w:vAlign w:val="center"/>
          </w:tcPr>
          <w:p w14:paraId="30172E4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294,608,771.81</w:t>
            </w:r>
          </w:p>
        </w:tc>
        <w:tc>
          <w:tcPr>
            <w:tcW w:w="2410" w:type="dxa"/>
            <w:shd w:val="clear" w:color="auto" w:fill="FFFFFF" w:themeFill="background1"/>
            <w:vAlign w:val="center"/>
          </w:tcPr>
          <w:p w14:paraId="045622B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1,878,688,374.13</w:t>
            </w:r>
          </w:p>
        </w:tc>
        <w:tc>
          <w:tcPr>
            <w:tcW w:w="2410" w:type="dxa"/>
            <w:shd w:val="clear" w:color="auto" w:fill="FFFFFF" w:themeFill="background1"/>
            <w:vAlign w:val="center"/>
          </w:tcPr>
          <w:p w14:paraId="777FB686" w14:textId="77777777" w:rsidR="00632E5B" w:rsidRDefault="00632E5B">
            <w:pPr>
              <w:spacing w:line="240" w:lineRule="exact"/>
              <w:rPr>
                <w:rFonts w:ascii="宋体" w:eastAsia="宋体" w:hAnsi="宋体" w:cs="宋体" w:hint="eastAsia"/>
                <w:sz w:val="18"/>
                <w:szCs w:val="18"/>
              </w:rPr>
            </w:pPr>
          </w:p>
        </w:tc>
      </w:tr>
      <w:tr w:rsidR="00632E5B" w14:paraId="0DF17554" w14:textId="77777777" w:rsidTr="001F5A64">
        <w:trPr>
          <w:trHeight w:val="240"/>
        </w:trPr>
        <w:tc>
          <w:tcPr>
            <w:tcW w:w="2410" w:type="dxa"/>
            <w:shd w:val="clear" w:color="auto" w:fill="FFFFFF" w:themeFill="background1"/>
            <w:vAlign w:val="center"/>
          </w:tcPr>
          <w:p w14:paraId="4710CB5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2033年度</w:t>
            </w:r>
          </w:p>
        </w:tc>
        <w:tc>
          <w:tcPr>
            <w:tcW w:w="2410" w:type="dxa"/>
            <w:shd w:val="clear" w:color="auto" w:fill="FFFFFF" w:themeFill="background1"/>
            <w:vAlign w:val="center"/>
          </w:tcPr>
          <w:p w14:paraId="6A568E0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440,928,823.77</w:t>
            </w:r>
          </w:p>
        </w:tc>
        <w:tc>
          <w:tcPr>
            <w:tcW w:w="2410" w:type="dxa"/>
            <w:shd w:val="clear" w:color="auto" w:fill="FFFFFF" w:themeFill="background1"/>
            <w:vAlign w:val="center"/>
          </w:tcPr>
          <w:p w14:paraId="15932A7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718,008,810.59</w:t>
            </w:r>
          </w:p>
        </w:tc>
        <w:tc>
          <w:tcPr>
            <w:tcW w:w="2410" w:type="dxa"/>
            <w:shd w:val="clear" w:color="auto" w:fill="FFFFFF" w:themeFill="background1"/>
            <w:vAlign w:val="center"/>
          </w:tcPr>
          <w:p w14:paraId="49D1BAA0" w14:textId="77777777" w:rsidR="00632E5B" w:rsidRDefault="00632E5B">
            <w:pPr>
              <w:spacing w:line="240" w:lineRule="exact"/>
              <w:rPr>
                <w:rFonts w:ascii="宋体" w:eastAsia="宋体" w:hAnsi="宋体" w:cs="宋体" w:hint="eastAsia"/>
                <w:sz w:val="18"/>
                <w:szCs w:val="18"/>
              </w:rPr>
            </w:pPr>
          </w:p>
        </w:tc>
      </w:tr>
      <w:tr w:rsidR="00632E5B" w14:paraId="0EF0CADE" w14:textId="77777777" w:rsidTr="001F5A64">
        <w:trPr>
          <w:trHeight w:val="240"/>
        </w:trPr>
        <w:tc>
          <w:tcPr>
            <w:tcW w:w="2410" w:type="dxa"/>
            <w:shd w:val="clear" w:color="auto" w:fill="FFFFFF" w:themeFill="background1"/>
            <w:vAlign w:val="center"/>
          </w:tcPr>
          <w:p w14:paraId="032ECBE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2034年度</w:t>
            </w:r>
          </w:p>
        </w:tc>
        <w:tc>
          <w:tcPr>
            <w:tcW w:w="2410" w:type="dxa"/>
            <w:shd w:val="clear" w:color="auto" w:fill="FFFFFF" w:themeFill="background1"/>
            <w:vAlign w:val="center"/>
          </w:tcPr>
          <w:p w14:paraId="3550C26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795,269,875.76</w:t>
            </w:r>
          </w:p>
        </w:tc>
        <w:tc>
          <w:tcPr>
            <w:tcW w:w="2410" w:type="dxa"/>
            <w:shd w:val="clear" w:color="auto" w:fill="FFFFFF" w:themeFill="background1"/>
            <w:vAlign w:val="center"/>
          </w:tcPr>
          <w:p w14:paraId="763E6AFE"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539B7BFF" w14:textId="77777777" w:rsidR="00632E5B" w:rsidRDefault="00632E5B">
            <w:pPr>
              <w:spacing w:line="240" w:lineRule="exact"/>
              <w:rPr>
                <w:rFonts w:ascii="宋体" w:eastAsia="宋体" w:hAnsi="宋体" w:cs="宋体" w:hint="eastAsia"/>
                <w:sz w:val="18"/>
                <w:szCs w:val="18"/>
              </w:rPr>
            </w:pPr>
          </w:p>
        </w:tc>
      </w:tr>
      <w:tr w:rsidR="00632E5B" w14:paraId="1A7E8ABB" w14:textId="77777777" w:rsidTr="001F5A64">
        <w:trPr>
          <w:trHeight w:val="240"/>
        </w:trPr>
        <w:tc>
          <w:tcPr>
            <w:tcW w:w="2410" w:type="dxa"/>
            <w:shd w:val="clear" w:color="auto" w:fill="FFFFFF" w:themeFill="background1"/>
            <w:vAlign w:val="center"/>
          </w:tcPr>
          <w:p w14:paraId="46A3695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2410" w:type="dxa"/>
            <w:shd w:val="clear" w:color="auto" w:fill="FFFFFF" w:themeFill="background1"/>
            <w:vAlign w:val="center"/>
          </w:tcPr>
          <w:p w14:paraId="060CD50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4,931,289,014.37</w:t>
            </w:r>
          </w:p>
        </w:tc>
        <w:tc>
          <w:tcPr>
            <w:tcW w:w="2410" w:type="dxa"/>
            <w:shd w:val="clear" w:color="auto" w:fill="FFFFFF" w:themeFill="background1"/>
            <w:vAlign w:val="center"/>
          </w:tcPr>
          <w:p w14:paraId="3555E7C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6,275,190,674.96</w:t>
            </w:r>
          </w:p>
        </w:tc>
        <w:tc>
          <w:tcPr>
            <w:tcW w:w="2410" w:type="dxa"/>
            <w:shd w:val="clear" w:color="auto" w:fill="FFFFFF" w:themeFill="background1"/>
            <w:vAlign w:val="center"/>
          </w:tcPr>
          <w:p w14:paraId="3BAA9763" w14:textId="77777777" w:rsidR="00632E5B" w:rsidRDefault="00632E5B"/>
        </w:tc>
      </w:tr>
    </w:tbl>
    <w:p w14:paraId="4394916C" w14:textId="77777777" w:rsidR="00632E5B" w:rsidRDefault="00107901">
      <w:pPr>
        <w:pStyle w:val="3"/>
        <w:spacing w:line="280" w:lineRule="exact"/>
        <w:jc w:val="left"/>
        <w:rPr>
          <w:rFonts w:ascii="宋体" w:hAnsi="宋体" w:cs="宋体" w:hint="eastAsia"/>
          <w:b/>
          <w:bCs/>
        </w:rPr>
      </w:pPr>
      <w:bookmarkStart w:id="272" w:name="_Toc989159"/>
      <w:r>
        <w:rPr>
          <w:rFonts w:ascii="宋体" w:hAnsi="宋体" w:cs="宋体"/>
          <w:b/>
          <w:bCs/>
        </w:rPr>
        <w:t>20、其他非流动资产</w:t>
      </w:r>
      <w:bookmarkEnd w:id="272"/>
    </w:p>
    <w:p w14:paraId="359BAB82"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377"/>
        <w:gridCol w:w="1377"/>
        <w:gridCol w:w="1377"/>
        <w:gridCol w:w="1377"/>
        <w:gridCol w:w="1469"/>
        <w:gridCol w:w="1134"/>
        <w:gridCol w:w="1528"/>
      </w:tblGrid>
      <w:tr w:rsidR="00632E5B" w14:paraId="77FEFA2E" w14:textId="77777777" w:rsidTr="001F5A64">
        <w:trPr>
          <w:trHeight w:val="240"/>
        </w:trPr>
        <w:tc>
          <w:tcPr>
            <w:tcW w:w="1377" w:type="dxa"/>
            <w:vMerge w:val="restart"/>
            <w:shd w:val="clear" w:color="auto" w:fill="FFFFFF" w:themeFill="background1"/>
            <w:vAlign w:val="center"/>
          </w:tcPr>
          <w:p w14:paraId="300F7AC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4131" w:type="dxa"/>
            <w:gridSpan w:val="3"/>
            <w:shd w:val="clear" w:color="auto" w:fill="FFFFFF" w:themeFill="background1"/>
            <w:vAlign w:val="center"/>
          </w:tcPr>
          <w:p w14:paraId="5CE7363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4131" w:type="dxa"/>
            <w:gridSpan w:val="3"/>
            <w:shd w:val="clear" w:color="auto" w:fill="FFFFFF" w:themeFill="background1"/>
            <w:vAlign w:val="center"/>
          </w:tcPr>
          <w:p w14:paraId="2D17756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632E5B" w14:paraId="3ADEA384" w14:textId="77777777" w:rsidTr="001F5A64">
        <w:trPr>
          <w:trHeight w:val="240"/>
        </w:trPr>
        <w:tc>
          <w:tcPr>
            <w:tcW w:w="1377" w:type="dxa"/>
            <w:vMerge/>
            <w:shd w:val="clear" w:color="auto" w:fill="FFFFFF" w:themeFill="background1"/>
            <w:vAlign w:val="center"/>
          </w:tcPr>
          <w:p w14:paraId="0BD09ECA" w14:textId="77777777" w:rsidR="00632E5B" w:rsidRDefault="00632E5B"/>
        </w:tc>
        <w:tc>
          <w:tcPr>
            <w:tcW w:w="1377" w:type="dxa"/>
            <w:shd w:val="clear" w:color="auto" w:fill="FFFFFF" w:themeFill="background1"/>
            <w:vAlign w:val="center"/>
          </w:tcPr>
          <w:p w14:paraId="5D686A6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377" w:type="dxa"/>
            <w:shd w:val="clear" w:color="auto" w:fill="FFFFFF" w:themeFill="background1"/>
            <w:vAlign w:val="center"/>
          </w:tcPr>
          <w:p w14:paraId="09C69BA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w:t>
            </w:r>
          </w:p>
        </w:tc>
        <w:tc>
          <w:tcPr>
            <w:tcW w:w="1377" w:type="dxa"/>
            <w:shd w:val="clear" w:color="auto" w:fill="FFFFFF" w:themeFill="background1"/>
            <w:vAlign w:val="center"/>
          </w:tcPr>
          <w:p w14:paraId="234F26C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c>
          <w:tcPr>
            <w:tcW w:w="1469" w:type="dxa"/>
            <w:shd w:val="clear" w:color="auto" w:fill="FFFFFF" w:themeFill="background1"/>
            <w:vAlign w:val="center"/>
          </w:tcPr>
          <w:p w14:paraId="2E8F352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134" w:type="dxa"/>
            <w:shd w:val="clear" w:color="auto" w:fill="FFFFFF" w:themeFill="background1"/>
            <w:vAlign w:val="center"/>
          </w:tcPr>
          <w:p w14:paraId="46F5D32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w:t>
            </w:r>
          </w:p>
        </w:tc>
        <w:tc>
          <w:tcPr>
            <w:tcW w:w="1528" w:type="dxa"/>
            <w:shd w:val="clear" w:color="auto" w:fill="FFFFFF" w:themeFill="background1"/>
            <w:vAlign w:val="center"/>
          </w:tcPr>
          <w:p w14:paraId="5FB1964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r>
      <w:tr w:rsidR="00632E5B" w14:paraId="41EA4F93" w14:textId="77777777" w:rsidTr="001F5A64">
        <w:trPr>
          <w:trHeight w:val="240"/>
        </w:trPr>
        <w:tc>
          <w:tcPr>
            <w:tcW w:w="1377" w:type="dxa"/>
            <w:shd w:val="clear" w:color="auto" w:fill="FFFFFF" w:themeFill="background1"/>
            <w:vAlign w:val="center"/>
          </w:tcPr>
          <w:p w14:paraId="0A33DF9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预付购建长期资产款</w:t>
            </w:r>
          </w:p>
        </w:tc>
        <w:tc>
          <w:tcPr>
            <w:tcW w:w="1377" w:type="dxa"/>
            <w:shd w:val="clear" w:color="auto" w:fill="FFFFFF" w:themeFill="background1"/>
            <w:vAlign w:val="center"/>
          </w:tcPr>
          <w:p w14:paraId="031649A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4,779,411.57</w:t>
            </w:r>
          </w:p>
        </w:tc>
        <w:tc>
          <w:tcPr>
            <w:tcW w:w="1377" w:type="dxa"/>
            <w:shd w:val="clear" w:color="auto" w:fill="FFFFFF" w:themeFill="background1"/>
            <w:vAlign w:val="center"/>
          </w:tcPr>
          <w:p w14:paraId="09144751" w14:textId="77777777" w:rsidR="00632E5B" w:rsidRDefault="00632E5B">
            <w:pPr>
              <w:spacing w:line="240" w:lineRule="exact"/>
              <w:jc w:val="right"/>
              <w:rPr>
                <w:rFonts w:ascii="宋体" w:eastAsia="宋体" w:hAnsi="宋体" w:cs="宋体" w:hint="eastAsia"/>
                <w:sz w:val="18"/>
                <w:szCs w:val="18"/>
              </w:rPr>
            </w:pPr>
          </w:p>
        </w:tc>
        <w:tc>
          <w:tcPr>
            <w:tcW w:w="1377" w:type="dxa"/>
            <w:shd w:val="clear" w:color="auto" w:fill="FFFFFF" w:themeFill="background1"/>
            <w:vAlign w:val="center"/>
          </w:tcPr>
          <w:p w14:paraId="6A00920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4,779,411.57</w:t>
            </w:r>
          </w:p>
        </w:tc>
        <w:tc>
          <w:tcPr>
            <w:tcW w:w="1469" w:type="dxa"/>
            <w:shd w:val="clear" w:color="auto" w:fill="FFFFFF" w:themeFill="background1"/>
            <w:vAlign w:val="center"/>
          </w:tcPr>
          <w:p w14:paraId="32EE9F0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14,929,334.61</w:t>
            </w:r>
          </w:p>
        </w:tc>
        <w:tc>
          <w:tcPr>
            <w:tcW w:w="1134" w:type="dxa"/>
            <w:shd w:val="clear" w:color="auto" w:fill="FFFFFF" w:themeFill="background1"/>
            <w:vAlign w:val="center"/>
          </w:tcPr>
          <w:p w14:paraId="0756A1B7" w14:textId="77777777" w:rsidR="00632E5B" w:rsidRDefault="00632E5B">
            <w:pPr>
              <w:spacing w:line="240" w:lineRule="exact"/>
              <w:jc w:val="right"/>
              <w:rPr>
                <w:rFonts w:ascii="宋体" w:eastAsia="宋体" w:hAnsi="宋体" w:cs="宋体" w:hint="eastAsia"/>
                <w:sz w:val="18"/>
                <w:szCs w:val="18"/>
              </w:rPr>
            </w:pPr>
          </w:p>
        </w:tc>
        <w:tc>
          <w:tcPr>
            <w:tcW w:w="1528" w:type="dxa"/>
            <w:shd w:val="clear" w:color="auto" w:fill="FFFFFF" w:themeFill="background1"/>
            <w:vAlign w:val="center"/>
          </w:tcPr>
          <w:p w14:paraId="21868D6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14,929,334.61</w:t>
            </w:r>
          </w:p>
        </w:tc>
      </w:tr>
      <w:tr w:rsidR="00632E5B" w14:paraId="5ABB4D6B" w14:textId="77777777" w:rsidTr="001F5A64">
        <w:trPr>
          <w:trHeight w:val="240"/>
        </w:trPr>
        <w:tc>
          <w:tcPr>
            <w:tcW w:w="1377" w:type="dxa"/>
            <w:shd w:val="clear" w:color="auto" w:fill="FFFFFF" w:themeFill="background1"/>
            <w:vAlign w:val="center"/>
          </w:tcPr>
          <w:p w14:paraId="54FBA0FA"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377" w:type="dxa"/>
            <w:shd w:val="clear" w:color="auto" w:fill="FFFFFF" w:themeFill="background1"/>
            <w:vAlign w:val="center"/>
          </w:tcPr>
          <w:p w14:paraId="545B8A3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4,779,411.57</w:t>
            </w:r>
          </w:p>
        </w:tc>
        <w:tc>
          <w:tcPr>
            <w:tcW w:w="1377" w:type="dxa"/>
            <w:shd w:val="clear" w:color="auto" w:fill="FFFFFF" w:themeFill="background1"/>
            <w:vAlign w:val="center"/>
          </w:tcPr>
          <w:p w14:paraId="56D208F7" w14:textId="77777777" w:rsidR="00632E5B" w:rsidRDefault="00632E5B">
            <w:pPr>
              <w:spacing w:line="240" w:lineRule="exact"/>
              <w:jc w:val="right"/>
              <w:rPr>
                <w:rFonts w:ascii="宋体" w:eastAsia="宋体" w:hAnsi="宋体" w:cs="宋体" w:hint="eastAsia"/>
                <w:sz w:val="18"/>
                <w:szCs w:val="18"/>
              </w:rPr>
            </w:pPr>
          </w:p>
        </w:tc>
        <w:tc>
          <w:tcPr>
            <w:tcW w:w="1377" w:type="dxa"/>
            <w:shd w:val="clear" w:color="auto" w:fill="FFFFFF" w:themeFill="background1"/>
            <w:vAlign w:val="center"/>
          </w:tcPr>
          <w:p w14:paraId="52AED34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4,779,411.57</w:t>
            </w:r>
          </w:p>
        </w:tc>
        <w:tc>
          <w:tcPr>
            <w:tcW w:w="1469" w:type="dxa"/>
            <w:shd w:val="clear" w:color="auto" w:fill="FFFFFF" w:themeFill="background1"/>
            <w:vAlign w:val="center"/>
          </w:tcPr>
          <w:p w14:paraId="17EC4C0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14,929,334.61</w:t>
            </w:r>
          </w:p>
        </w:tc>
        <w:tc>
          <w:tcPr>
            <w:tcW w:w="1134" w:type="dxa"/>
            <w:shd w:val="clear" w:color="auto" w:fill="FFFFFF" w:themeFill="background1"/>
            <w:vAlign w:val="center"/>
          </w:tcPr>
          <w:p w14:paraId="5F2E287F" w14:textId="77777777" w:rsidR="00632E5B" w:rsidRDefault="00632E5B">
            <w:pPr>
              <w:spacing w:line="240" w:lineRule="exact"/>
              <w:jc w:val="right"/>
              <w:rPr>
                <w:rFonts w:ascii="宋体" w:eastAsia="宋体" w:hAnsi="宋体" w:cs="宋体" w:hint="eastAsia"/>
                <w:sz w:val="18"/>
                <w:szCs w:val="18"/>
              </w:rPr>
            </w:pPr>
          </w:p>
        </w:tc>
        <w:tc>
          <w:tcPr>
            <w:tcW w:w="1528" w:type="dxa"/>
            <w:shd w:val="clear" w:color="auto" w:fill="FFFFFF" w:themeFill="background1"/>
            <w:vAlign w:val="center"/>
          </w:tcPr>
          <w:p w14:paraId="08D47C9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14,929,334.61</w:t>
            </w:r>
          </w:p>
        </w:tc>
      </w:tr>
    </w:tbl>
    <w:p w14:paraId="3DF0D16B" w14:textId="77777777" w:rsidR="001C60BB" w:rsidRDefault="001C60BB">
      <w:pPr>
        <w:pStyle w:val="3"/>
        <w:spacing w:line="280" w:lineRule="exact"/>
        <w:jc w:val="left"/>
        <w:rPr>
          <w:rFonts w:ascii="宋体" w:hAnsi="宋体" w:cs="宋体" w:hint="eastAsia"/>
          <w:b/>
          <w:bCs/>
        </w:rPr>
        <w:sectPr w:rsidR="001C60BB" w:rsidSect="00E90C20">
          <w:pgSz w:w="11905" w:h="16840"/>
          <w:pgMar w:top="1440" w:right="1134" w:bottom="1440" w:left="1134" w:header="850" w:footer="992" w:gutter="0"/>
          <w:cols w:space="720"/>
          <w:docGrid w:type="linesAndChars" w:linePitch="312"/>
        </w:sectPr>
      </w:pPr>
      <w:bookmarkStart w:id="273" w:name="_Toc989160"/>
    </w:p>
    <w:p w14:paraId="64730D4F" w14:textId="77777777" w:rsidR="00632E5B" w:rsidRDefault="00107901">
      <w:pPr>
        <w:pStyle w:val="3"/>
        <w:spacing w:line="280" w:lineRule="exact"/>
        <w:jc w:val="left"/>
        <w:rPr>
          <w:rFonts w:ascii="宋体" w:hAnsi="宋体" w:cs="宋体" w:hint="eastAsia"/>
          <w:b/>
          <w:bCs/>
        </w:rPr>
      </w:pPr>
      <w:r>
        <w:rPr>
          <w:rFonts w:ascii="宋体" w:hAnsi="宋体" w:cs="宋体"/>
          <w:b/>
          <w:bCs/>
        </w:rPr>
        <w:lastRenderedPageBreak/>
        <w:t>21、所有权或使用权受到限制的资产</w:t>
      </w:r>
      <w:bookmarkEnd w:id="273"/>
    </w:p>
    <w:p w14:paraId="2CD27A40" w14:textId="77777777" w:rsidR="00632E5B" w:rsidRDefault="00107901" w:rsidP="001C60BB">
      <w:pPr>
        <w:spacing w:before="40" w:after="40" w:line="240" w:lineRule="exact"/>
        <w:ind w:right="720"/>
        <w:jc w:val="right"/>
        <w:rPr>
          <w:rFonts w:ascii="宋体" w:eastAsia="宋体" w:hAnsi="宋体" w:cs="宋体" w:hint="eastAsia"/>
          <w:sz w:val="18"/>
          <w:szCs w:val="18"/>
        </w:rPr>
      </w:pPr>
      <w:r>
        <w:rPr>
          <w:rFonts w:ascii="宋体" w:eastAsia="宋体" w:hAnsi="宋体" w:cs="宋体"/>
          <w:sz w:val="18"/>
          <w:szCs w:val="18"/>
        </w:rPr>
        <w:t>单位：元</w:t>
      </w:r>
    </w:p>
    <w:tbl>
      <w:tblPr>
        <w:tblW w:w="1405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273"/>
        <w:gridCol w:w="1701"/>
        <w:gridCol w:w="1748"/>
        <w:gridCol w:w="709"/>
        <w:gridCol w:w="1499"/>
        <w:gridCol w:w="21"/>
        <w:gridCol w:w="1693"/>
        <w:gridCol w:w="1701"/>
        <w:gridCol w:w="1071"/>
        <w:gridCol w:w="2615"/>
        <w:gridCol w:w="28"/>
      </w:tblGrid>
      <w:tr w:rsidR="00632E5B" w:rsidRPr="001C60BB" w14:paraId="0CEE99A7" w14:textId="77777777" w:rsidTr="001C60BB">
        <w:trPr>
          <w:trHeight w:val="240"/>
          <w:jc w:val="center"/>
        </w:trPr>
        <w:tc>
          <w:tcPr>
            <w:tcW w:w="1273" w:type="dxa"/>
            <w:vMerge w:val="restart"/>
            <w:shd w:val="clear" w:color="auto" w:fill="FFFFFF" w:themeFill="background1"/>
            <w:vAlign w:val="center"/>
          </w:tcPr>
          <w:p w14:paraId="21A8A7F8" w14:textId="77777777" w:rsidR="00632E5B" w:rsidRPr="001C60BB" w:rsidRDefault="00107901" w:rsidP="00B158CE">
            <w:pPr>
              <w:spacing w:before="40" w:after="40" w:line="276" w:lineRule="auto"/>
              <w:jc w:val="center"/>
              <w:rPr>
                <w:rFonts w:ascii="宋体" w:eastAsia="宋体" w:hAnsi="宋体" w:cs="宋体" w:hint="eastAsia"/>
                <w:sz w:val="18"/>
                <w:szCs w:val="18"/>
              </w:rPr>
            </w:pPr>
            <w:r w:rsidRPr="001C60BB">
              <w:rPr>
                <w:rFonts w:ascii="宋体" w:eastAsia="宋体" w:hAnsi="宋体" w:cs="宋体"/>
                <w:sz w:val="18"/>
                <w:szCs w:val="18"/>
              </w:rPr>
              <w:t>项目</w:t>
            </w:r>
          </w:p>
        </w:tc>
        <w:tc>
          <w:tcPr>
            <w:tcW w:w="5678" w:type="dxa"/>
            <w:gridSpan w:val="5"/>
            <w:shd w:val="clear" w:color="auto" w:fill="FFFFFF" w:themeFill="background1"/>
            <w:vAlign w:val="center"/>
          </w:tcPr>
          <w:p w14:paraId="5E4089D7" w14:textId="77777777" w:rsidR="00632E5B" w:rsidRPr="001C60BB" w:rsidRDefault="00107901" w:rsidP="00B158CE">
            <w:pPr>
              <w:spacing w:before="40" w:after="40" w:line="276" w:lineRule="auto"/>
              <w:jc w:val="center"/>
              <w:rPr>
                <w:rFonts w:ascii="宋体" w:eastAsia="宋体" w:hAnsi="宋体" w:cs="宋体" w:hint="eastAsia"/>
                <w:sz w:val="18"/>
                <w:szCs w:val="18"/>
              </w:rPr>
            </w:pPr>
            <w:r w:rsidRPr="001C60BB">
              <w:rPr>
                <w:rFonts w:ascii="宋体" w:eastAsia="宋体" w:hAnsi="宋体" w:cs="宋体"/>
                <w:sz w:val="18"/>
                <w:szCs w:val="18"/>
              </w:rPr>
              <w:t>期末</w:t>
            </w:r>
          </w:p>
        </w:tc>
        <w:tc>
          <w:tcPr>
            <w:tcW w:w="7108" w:type="dxa"/>
            <w:gridSpan w:val="5"/>
            <w:shd w:val="clear" w:color="auto" w:fill="FFFFFF" w:themeFill="background1"/>
            <w:vAlign w:val="center"/>
          </w:tcPr>
          <w:p w14:paraId="6CF4F883" w14:textId="77777777" w:rsidR="00632E5B" w:rsidRPr="001C60BB" w:rsidRDefault="00107901" w:rsidP="00B158CE">
            <w:pPr>
              <w:spacing w:before="40" w:after="40" w:line="276" w:lineRule="auto"/>
              <w:jc w:val="center"/>
              <w:rPr>
                <w:rFonts w:ascii="宋体" w:eastAsia="宋体" w:hAnsi="宋体" w:cs="宋体" w:hint="eastAsia"/>
                <w:sz w:val="18"/>
                <w:szCs w:val="18"/>
              </w:rPr>
            </w:pPr>
            <w:r w:rsidRPr="001C60BB">
              <w:rPr>
                <w:rFonts w:ascii="宋体" w:eastAsia="宋体" w:hAnsi="宋体" w:cs="宋体"/>
                <w:sz w:val="18"/>
                <w:szCs w:val="18"/>
              </w:rPr>
              <w:t>期初</w:t>
            </w:r>
          </w:p>
        </w:tc>
      </w:tr>
      <w:tr w:rsidR="001C60BB" w:rsidRPr="001C60BB" w14:paraId="37630B4E" w14:textId="77777777" w:rsidTr="001C60BB">
        <w:trPr>
          <w:gridAfter w:val="1"/>
          <w:wAfter w:w="28" w:type="dxa"/>
          <w:trHeight w:val="240"/>
          <w:jc w:val="center"/>
        </w:trPr>
        <w:tc>
          <w:tcPr>
            <w:tcW w:w="1273" w:type="dxa"/>
            <w:vMerge/>
            <w:shd w:val="clear" w:color="auto" w:fill="FFFFFF" w:themeFill="background1"/>
            <w:vAlign w:val="center"/>
          </w:tcPr>
          <w:p w14:paraId="38894A0D" w14:textId="77777777" w:rsidR="00632E5B" w:rsidRPr="001C60BB" w:rsidRDefault="00632E5B" w:rsidP="00B158CE">
            <w:pPr>
              <w:spacing w:line="276" w:lineRule="auto"/>
              <w:rPr>
                <w:sz w:val="18"/>
                <w:szCs w:val="18"/>
              </w:rPr>
            </w:pPr>
          </w:p>
        </w:tc>
        <w:tc>
          <w:tcPr>
            <w:tcW w:w="1701" w:type="dxa"/>
            <w:shd w:val="clear" w:color="auto" w:fill="FFFFFF" w:themeFill="background1"/>
            <w:vAlign w:val="center"/>
          </w:tcPr>
          <w:p w14:paraId="05EA98E9" w14:textId="77777777" w:rsidR="00632E5B" w:rsidRPr="001C60BB" w:rsidRDefault="00107901" w:rsidP="00B158CE">
            <w:pPr>
              <w:spacing w:before="40" w:after="40" w:line="276" w:lineRule="auto"/>
              <w:jc w:val="center"/>
              <w:rPr>
                <w:rFonts w:ascii="宋体" w:eastAsia="宋体" w:hAnsi="宋体" w:cs="宋体" w:hint="eastAsia"/>
                <w:sz w:val="18"/>
                <w:szCs w:val="18"/>
              </w:rPr>
            </w:pPr>
            <w:r w:rsidRPr="001C60BB">
              <w:rPr>
                <w:rFonts w:ascii="宋体" w:eastAsia="宋体" w:hAnsi="宋体" w:cs="宋体"/>
                <w:sz w:val="18"/>
                <w:szCs w:val="18"/>
              </w:rPr>
              <w:t>账面余额</w:t>
            </w:r>
          </w:p>
        </w:tc>
        <w:tc>
          <w:tcPr>
            <w:tcW w:w="1748" w:type="dxa"/>
            <w:shd w:val="clear" w:color="auto" w:fill="FFFFFF" w:themeFill="background1"/>
            <w:vAlign w:val="center"/>
          </w:tcPr>
          <w:p w14:paraId="13F8E15D" w14:textId="77777777" w:rsidR="00632E5B" w:rsidRPr="001C60BB" w:rsidRDefault="00107901" w:rsidP="00B158CE">
            <w:pPr>
              <w:spacing w:before="40" w:after="40" w:line="276" w:lineRule="auto"/>
              <w:jc w:val="center"/>
              <w:rPr>
                <w:rFonts w:ascii="宋体" w:eastAsia="宋体" w:hAnsi="宋体" w:cs="宋体" w:hint="eastAsia"/>
                <w:sz w:val="18"/>
                <w:szCs w:val="18"/>
              </w:rPr>
            </w:pPr>
            <w:r w:rsidRPr="001C60BB">
              <w:rPr>
                <w:rFonts w:ascii="宋体" w:eastAsia="宋体" w:hAnsi="宋体" w:cs="宋体"/>
                <w:sz w:val="18"/>
                <w:szCs w:val="18"/>
              </w:rPr>
              <w:t>账面价值</w:t>
            </w:r>
          </w:p>
        </w:tc>
        <w:tc>
          <w:tcPr>
            <w:tcW w:w="709" w:type="dxa"/>
            <w:shd w:val="clear" w:color="auto" w:fill="FFFFFF" w:themeFill="background1"/>
            <w:vAlign w:val="center"/>
          </w:tcPr>
          <w:p w14:paraId="4DEA6189" w14:textId="77777777" w:rsidR="00632E5B" w:rsidRPr="001C60BB" w:rsidRDefault="00107901" w:rsidP="00B158CE">
            <w:pPr>
              <w:spacing w:before="40" w:after="40" w:line="276" w:lineRule="auto"/>
              <w:jc w:val="center"/>
              <w:rPr>
                <w:rFonts w:ascii="宋体" w:eastAsia="宋体" w:hAnsi="宋体" w:cs="宋体" w:hint="eastAsia"/>
                <w:sz w:val="18"/>
                <w:szCs w:val="18"/>
              </w:rPr>
            </w:pPr>
            <w:r w:rsidRPr="001C60BB">
              <w:rPr>
                <w:rFonts w:ascii="宋体" w:eastAsia="宋体" w:hAnsi="宋体" w:cs="宋体"/>
                <w:sz w:val="18"/>
                <w:szCs w:val="18"/>
              </w:rPr>
              <w:t>受限类型</w:t>
            </w:r>
          </w:p>
        </w:tc>
        <w:tc>
          <w:tcPr>
            <w:tcW w:w="1499" w:type="dxa"/>
            <w:shd w:val="clear" w:color="auto" w:fill="FFFFFF" w:themeFill="background1"/>
            <w:vAlign w:val="center"/>
          </w:tcPr>
          <w:p w14:paraId="33AC99D0" w14:textId="77777777" w:rsidR="00632E5B" w:rsidRPr="001C60BB" w:rsidRDefault="00107901" w:rsidP="00B158CE">
            <w:pPr>
              <w:spacing w:before="40" w:after="40" w:line="276" w:lineRule="auto"/>
              <w:jc w:val="center"/>
              <w:rPr>
                <w:rFonts w:ascii="宋体" w:eastAsia="宋体" w:hAnsi="宋体" w:cs="宋体" w:hint="eastAsia"/>
                <w:sz w:val="18"/>
                <w:szCs w:val="18"/>
              </w:rPr>
            </w:pPr>
            <w:r w:rsidRPr="001C60BB">
              <w:rPr>
                <w:rFonts w:ascii="宋体" w:eastAsia="宋体" w:hAnsi="宋体" w:cs="宋体"/>
                <w:sz w:val="18"/>
                <w:szCs w:val="18"/>
              </w:rPr>
              <w:t>受限情况</w:t>
            </w:r>
          </w:p>
        </w:tc>
        <w:tc>
          <w:tcPr>
            <w:tcW w:w="1714" w:type="dxa"/>
            <w:gridSpan w:val="2"/>
            <w:shd w:val="clear" w:color="auto" w:fill="FFFFFF" w:themeFill="background1"/>
            <w:vAlign w:val="center"/>
          </w:tcPr>
          <w:p w14:paraId="7F95A09E" w14:textId="77777777" w:rsidR="00632E5B" w:rsidRPr="001C60BB" w:rsidRDefault="00107901" w:rsidP="00B158CE">
            <w:pPr>
              <w:spacing w:before="40" w:after="40" w:line="276" w:lineRule="auto"/>
              <w:jc w:val="center"/>
              <w:rPr>
                <w:rFonts w:ascii="宋体" w:eastAsia="宋体" w:hAnsi="宋体" w:cs="宋体" w:hint="eastAsia"/>
                <w:sz w:val="18"/>
                <w:szCs w:val="18"/>
              </w:rPr>
            </w:pPr>
            <w:r w:rsidRPr="001C60BB">
              <w:rPr>
                <w:rFonts w:ascii="宋体" w:eastAsia="宋体" w:hAnsi="宋体" w:cs="宋体"/>
                <w:sz w:val="18"/>
                <w:szCs w:val="18"/>
              </w:rPr>
              <w:t>账面余额</w:t>
            </w:r>
          </w:p>
        </w:tc>
        <w:tc>
          <w:tcPr>
            <w:tcW w:w="1701" w:type="dxa"/>
            <w:shd w:val="clear" w:color="auto" w:fill="FFFFFF" w:themeFill="background1"/>
            <w:vAlign w:val="center"/>
          </w:tcPr>
          <w:p w14:paraId="2A3FC85C" w14:textId="77777777" w:rsidR="00632E5B" w:rsidRPr="001C60BB" w:rsidRDefault="00107901" w:rsidP="00B158CE">
            <w:pPr>
              <w:spacing w:before="40" w:after="40" w:line="276" w:lineRule="auto"/>
              <w:jc w:val="center"/>
              <w:rPr>
                <w:rFonts w:ascii="宋体" w:eastAsia="宋体" w:hAnsi="宋体" w:cs="宋体" w:hint="eastAsia"/>
                <w:sz w:val="18"/>
                <w:szCs w:val="18"/>
              </w:rPr>
            </w:pPr>
            <w:r w:rsidRPr="001C60BB">
              <w:rPr>
                <w:rFonts w:ascii="宋体" w:eastAsia="宋体" w:hAnsi="宋体" w:cs="宋体"/>
                <w:sz w:val="18"/>
                <w:szCs w:val="18"/>
              </w:rPr>
              <w:t>账面价值</w:t>
            </w:r>
          </w:p>
        </w:tc>
        <w:tc>
          <w:tcPr>
            <w:tcW w:w="1071" w:type="dxa"/>
            <w:shd w:val="clear" w:color="auto" w:fill="FFFFFF" w:themeFill="background1"/>
            <w:vAlign w:val="center"/>
          </w:tcPr>
          <w:p w14:paraId="6BF627BE" w14:textId="77777777" w:rsidR="00632E5B" w:rsidRPr="001C60BB" w:rsidRDefault="00107901" w:rsidP="00B158CE">
            <w:pPr>
              <w:spacing w:before="40" w:after="40" w:line="276" w:lineRule="auto"/>
              <w:jc w:val="center"/>
              <w:rPr>
                <w:rFonts w:ascii="宋体" w:eastAsia="宋体" w:hAnsi="宋体" w:cs="宋体" w:hint="eastAsia"/>
                <w:sz w:val="18"/>
                <w:szCs w:val="18"/>
              </w:rPr>
            </w:pPr>
            <w:r w:rsidRPr="001C60BB">
              <w:rPr>
                <w:rFonts w:ascii="宋体" w:eastAsia="宋体" w:hAnsi="宋体" w:cs="宋体"/>
                <w:sz w:val="18"/>
                <w:szCs w:val="18"/>
              </w:rPr>
              <w:t>受限类型</w:t>
            </w:r>
          </w:p>
        </w:tc>
        <w:tc>
          <w:tcPr>
            <w:tcW w:w="2615" w:type="dxa"/>
            <w:shd w:val="clear" w:color="auto" w:fill="FFFFFF" w:themeFill="background1"/>
            <w:vAlign w:val="center"/>
          </w:tcPr>
          <w:p w14:paraId="5D5F9850" w14:textId="77777777" w:rsidR="00632E5B" w:rsidRPr="001C60BB" w:rsidRDefault="00107901" w:rsidP="00B158CE">
            <w:pPr>
              <w:spacing w:before="40" w:after="40" w:line="276" w:lineRule="auto"/>
              <w:jc w:val="center"/>
              <w:rPr>
                <w:rFonts w:ascii="宋体" w:eastAsia="宋体" w:hAnsi="宋体" w:cs="宋体" w:hint="eastAsia"/>
                <w:sz w:val="18"/>
                <w:szCs w:val="18"/>
              </w:rPr>
            </w:pPr>
            <w:r w:rsidRPr="001C60BB">
              <w:rPr>
                <w:rFonts w:ascii="宋体" w:eastAsia="宋体" w:hAnsi="宋体" w:cs="宋体"/>
                <w:sz w:val="18"/>
                <w:szCs w:val="18"/>
              </w:rPr>
              <w:t>受限情况</w:t>
            </w:r>
          </w:p>
        </w:tc>
      </w:tr>
      <w:tr w:rsidR="00632E5B" w:rsidRPr="001C60BB" w14:paraId="0DA18095" w14:textId="77777777" w:rsidTr="001C60BB">
        <w:trPr>
          <w:gridAfter w:val="1"/>
          <w:wAfter w:w="28" w:type="dxa"/>
          <w:trHeight w:val="240"/>
          <w:jc w:val="center"/>
        </w:trPr>
        <w:tc>
          <w:tcPr>
            <w:tcW w:w="1273" w:type="dxa"/>
            <w:shd w:val="clear" w:color="auto" w:fill="FFFFFF" w:themeFill="background1"/>
            <w:vAlign w:val="center"/>
          </w:tcPr>
          <w:p w14:paraId="6DB58BCC" w14:textId="77777777" w:rsidR="00632E5B" w:rsidRPr="001C60BB" w:rsidRDefault="00107901" w:rsidP="00B158CE">
            <w:pPr>
              <w:spacing w:before="40" w:after="40" w:line="276" w:lineRule="auto"/>
              <w:rPr>
                <w:rFonts w:ascii="宋体" w:eastAsia="宋体" w:hAnsi="宋体" w:cs="宋体" w:hint="eastAsia"/>
                <w:sz w:val="18"/>
                <w:szCs w:val="18"/>
              </w:rPr>
            </w:pPr>
            <w:r w:rsidRPr="001C60BB">
              <w:rPr>
                <w:rFonts w:ascii="宋体" w:eastAsia="宋体" w:hAnsi="宋体" w:cs="宋体"/>
                <w:sz w:val="18"/>
                <w:szCs w:val="18"/>
              </w:rPr>
              <w:t>货币资金</w:t>
            </w:r>
          </w:p>
        </w:tc>
        <w:tc>
          <w:tcPr>
            <w:tcW w:w="1701" w:type="dxa"/>
            <w:shd w:val="clear" w:color="auto" w:fill="FFFFFF" w:themeFill="background1"/>
            <w:vAlign w:val="center"/>
          </w:tcPr>
          <w:p w14:paraId="68C0F07E" w14:textId="77777777" w:rsidR="00632E5B" w:rsidRPr="001C60BB" w:rsidRDefault="00107901" w:rsidP="00B158CE">
            <w:pPr>
              <w:spacing w:line="276" w:lineRule="auto"/>
              <w:jc w:val="right"/>
              <w:rPr>
                <w:rFonts w:ascii="宋体" w:eastAsia="宋体" w:hAnsi="宋体" w:cs="宋体" w:hint="eastAsia"/>
                <w:sz w:val="18"/>
                <w:szCs w:val="18"/>
              </w:rPr>
            </w:pPr>
            <w:r w:rsidRPr="001C60BB">
              <w:rPr>
                <w:rFonts w:ascii="宋体" w:eastAsia="宋体" w:hAnsi="宋体" w:cs="宋体"/>
                <w:sz w:val="18"/>
                <w:szCs w:val="18"/>
              </w:rPr>
              <w:t>1,813,587,150.31</w:t>
            </w:r>
          </w:p>
        </w:tc>
        <w:tc>
          <w:tcPr>
            <w:tcW w:w="1748" w:type="dxa"/>
            <w:shd w:val="clear" w:color="auto" w:fill="FFFFFF" w:themeFill="background1"/>
            <w:vAlign w:val="center"/>
          </w:tcPr>
          <w:p w14:paraId="4CD6F474" w14:textId="77777777" w:rsidR="00632E5B" w:rsidRPr="001C60BB" w:rsidRDefault="00107901" w:rsidP="00B158CE">
            <w:pPr>
              <w:spacing w:line="276" w:lineRule="auto"/>
              <w:jc w:val="right"/>
              <w:rPr>
                <w:rFonts w:ascii="宋体" w:eastAsia="宋体" w:hAnsi="宋体" w:cs="宋体" w:hint="eastAsia"/>
                <w:sz w:val="18"/>
                <w:szCs w:val="18"/>
              </w:rPr>
            </w:pPr>
            <w:r w:rsidRPr="001C60BB">
              <w:rPr>
                <w:rFonts w:ascii="宋体" w:eastAsia="宋体" w:hAnsi="宋体" w:cs="宋体"/>
                <w:sz w:val="18"/>
                <w:szCs w:val="18"/>
              </w:rPr>
              <w:t>1,813,587,150.31</w:t>
            </w:r>
          </w:p>
        </w:tc>
        <w:tc>
          <w:tcPr>
            <w:tcW w:w="709" w:type="dxa"/>
            <w:shd w:val="clear" w:color="auto" w:fill="FFFFFF" w:themeFill="background1"/>
            <w:vAlign w:val="center"/>
          </w:tcPr>
          <w:p w14:paraId="6D6CE872" w14:textId="77777777" w:rsidR="00632E5B" w:rsidRPr="001C60BB" w:rsidRDefault="00107901" w:rsidP="00B158CE">
            <w:pPr>
              <w:spacing w:line="276" w:lineRule="auto"/>
              <w:rPr>
                <w:rFonts w:ascii="宋体" w:eastAsia="宋体" w:hAnsi="宋体" w:cs="宋体" w:hint="eastAsia"/>
                <w:sz w:val="18"/>
                <w:szCs w:val="18"/>
              </w:rPr>
            </w:pPr>
            <w:r w:rsidRPr="001C60BB">
              <w:rPr>
                <w:rFonts w:ascii="宋体" w:eastAsia="宋体" w:hAnsi="宋体" w:cs="宋体"/>
                <w:sz w:val="18"/>
                <w:szCs w:val="18"/>
              </w:rPr>
              <w:t>冻结、其他</w:t>
            </w:r>
          </w:p>
        </w:tc>
        <w:tc>
          <w:tcPr>
            <w:tcW w:w="1499" w:type="dxa"/>
            <w:shd w:val="clear" w:color="auto" w:fill="FFFFFF" w:themeFill="background1"/>
            <w:vAlign w:val="center"/>
          </w:tcPr>
          <w:p w14:paraId="061E433F" w14:textId="23BDDBAA" w:rsidR="00632E5B" w:rsidRPr="001C60BB" w:rsidRDefault="00603A7B" w:rsidP="00B158CE">
            <w:pPr>
              <w:spacing w:line="276" w:lineRule="auto"/>
              <w:rPr>
                <w:rFonts w:ascii="宋体" w:eastAsia="宋体" w:hAnsi="宋体" w:cs="宋体" w:hint="eastAsia"/>
                <w:sz w:val="18"/>
                <w:szCs w:val="18"/>
              </w:rPr>
            </w:pPr>
            <w:r w:rsidRPr="001C60BB">
              <w:rPr>
                <w:rFonts w:ascii="宋体" w:eastAsia="宋体" w:hAnsi="宋体" w:cs="宋体"/>
                <w:sz w:val="18"/>
                <w:szCs w:val="18"/>
              </w:rPr>
              <w:t>主要为破产管理人保护性冻结、</w:t>
            </w:r>
            <w:r w:rsidR="00107901" w:rsidRPr="001C60BB">
              <w:rPr>
                <w:rFonts w:ascii="宋体" w:eastAsia="宋体" w:hAnsi="宋体" w:cs="宋体"/>
                <w:sz w:val="18"/>
                <w:szCs w:val="18"/>
              </w:rPr>
              <w:t>破产重整管理人账户银行存款</w:t>
            </w:r>
          </w:p>
        </w:tc>
        <w:tc>
          <w:tcPr>
            <w:tcW w:w="1714" w:type="dxa"/>
            <w:gridSpan w:val="2"/>
            <w:shd w:val="clear" w:color="auto" w:fill="FFFFFF" w:themeFill="background1"/>
            <w:vAlign w:val="center"/>
          </w:tcPr>
          <w:p w14:paraId="520675AB" w14:textId="77777777" w:rsidR="00632E5B" w:rsidRPr="001C60BB" w:rsidRDefault="00107901" w:rsidP="00B158CE">
            <w:pPr>
              <w:spacing w:line="276" w:lineRule="auto"/>
              <w:jc w:val="right"/>
              <w:rPr>
                <w:rFonts w:ascii="宋体" w:eastAsia="宋体" w:hAnsi="宋体" w:cs="宋体" w:hint="eastAsia"/>
                <w:sz w:val="18"/>
                <w:szCs w:val="18"/>
              </w:rPr>
            </w:pPr>
            <w:r w:rsidRPr="001C60BB">
              <w:rPr>
                <w:rFonts w:ascii="宋体" w:eastAsia="宋体" w:hAnsi="宋体" w:cs="宋体"/>
                <w:sz w:val="18"/>
                <w:szCs w:val="18"/>
              </w:rPr>
              <w:t>379,311,180.30</w:t>
            </w:r>
          </w:p>
        </w:tc>
        <w:tc>
          <w:tcPr>
            <w:tcW w:w="1701" w:type="dxa"/>
            <w:shd w:val="clear" w:color="auto" w:fill="FFFFFF" w:themeFill="background1"/>
            <w:vAlign w:val="center"/>
          </w:tcPr>
          <w:p w14:paraId="5CDCFA49" w14:textId="77777777" w:rsidR="00632E5B" w:rsidRPr="001C60BB" w:rsidRDefault="00107901" w:rsidP="00B158CE">
            <w:pPr>
              <w:spacing w:line="276" w:lineRule="auto"/>
              <w:jc w:val="right"/>
              <w:rPr>
                <w:rFonts w:ascii="宋体" w:eastAsia="宋体" w:hAnsi="宋体" w:cs="宋体" w:hint="eastAsia"/>
                <w:sz w:val="18"/>
                <w:szCs w:val="18"/>
              </w:rPr>
            </w:pPr>
            <w:r w:rsidRPr="001C60BB">
              <w:rPr>
                <w:rFonts w:ascii="宋体" w:eastAsia="宋体" w:hAnsi="宋体" w:cs="宋体"/>
                <w:sz w:val="18"/>
                <w:szCs w:val="18"/>
              </w:rPr>
              <w:t>379,311,180.30</w:t>
            </w:r>
          </w:p>
        </w:tc>
        <w:tc>
          <w:tcPr>
            <w:tcW w:w="1071" w:type="dxa"/>
            <w:shd w:val="clear" w:color="auto" w:fill="FFFFFF" w:themeFill="background1"/>
            <w:vAlign w:val="center"/>
          </w:tcPr>
          <w:p w14:paraId="247AA234" w14:textId="77777777" w:rsidR="00632E5B" w:rsidRPr="001C60BB" w:rsidRDefault="00107901" w:rsidP="00B158CE">
            <w:pPr>
              <w:spacing w:line="276" w:lineRule="auto"/>
              <w:rPr>
                <w:rFonts w:ascii="宋体" w:eastAsia="宋体" w:hAnsi="宋体" w:cs="宋体" w:hint="eastAsia"/>
                <w:sz w:val="18"/>
                <w:szCs w:val="18"/>
              </w:rPr>
            </w:pPr>
            <w:r w:rsidRPr="001C60BB">
              <w:rPr>
                <w:rFonts w:ascii="宋体" w:eastAsia="宋体" w:hAnsi="宋体" w:cs="宋体"/>
                <w:sz w:val="18"/>
                <w:szCs w:val="18"/>
              </w:rPr>
              <w:t>冻结、其他</w:t>
            </w:r>
          </w:p>
        </w:tc>
        <w:tc>
          <w:tcPr>
            <w:tcW w:w="2615" w:type="dxa"/>
            <w:shd w:val="clear" w:color="auto" w:fill="FFFFFF" w:themeFill="background1"/>
            <w:vAlign w:val="center"/>
          </w:tcPr>
          <w:p w14:paraId="0FAD7D02" w14:textId="77777777" w:rsidR="00632E5B" w:rsidRPr="001C60BB" w:rsidRDefault="00107901" w:rsidP="00B158CE">
            <w:pPr>
              <w:spacing w:line="276" w:lineRule="auto"/>
              <w:rPr>
                <w:rFonts w:ascii="宋体" w:eastAsia="宋体" w:hAnsi="宋体" w:cs="宋体" w:hint="eastAsia"/>
                <w:sz w:val="18"/>
                <w:szCs w:val="18"/>
              </w:rPr>
            </w:pPr>
            <w:r w:rsidRPr="001C60BB">
              <w:rPr>
                <w:rFonts w:ascii="宋体" w:eastAsia="宋体" w:hAnsi="宋体" w:cs="宋体"/>
                <w:sz w:val="18"/>
                <w:szCs w:val="18"/>
              </w:rPr>
              <w:t>司法冻结、保函保证金、银行承兑汇票保证金、定期存单、破产重整管理人账户银行存款</w:t>
            </w:r>
          </w:p>
        </w:tc>
      </w:tr>
      <w:tr w:rsidR="00632E5B" w:rsidRPr="001C60BB" w14:paraId="17749749" w14:textId="77777777" w:rsidTr="001C60BB">
        <w:trPr>
          <w:gridAfter w:val="1"/>
          <w:wAfter w:w="28" w:type="dxa"/>
          <w:trHeight w:val="240"/>
          <w:jc w:val="center"/>
        </w:trPr>
        <w:tc>
          <w:tcPr>
            <w:tcW w:w="1273" w:type="dxa"/>
            <w:shd w:val="clear" w:color="auto" w:fill="FFFFFF" w:themeFill="background1"/>
            <w:vAlign w:val="center"/>
          </w:tcPr>
          <w:p w14:paraId="07CE9937" w14:textId="77777777" w:rsidR="00632E5B" w:rsidRPr="001C60BB" w:rsidRDefault="00107901" w:rsidP="00B158CE">
            <w:pPr>
              <w:spacing w:before="40" w:after="40" w:line="276" w:lineRule="auto"/>
              <w:rPr>
                <w:rFonts w:ascii="宋体" w:eastAsia="宋体" w:hAnsi="宋体" w:cs="宋体" w:hint="eastAsia"/>
                <w:sz w:val="18"/>
                <w:szCs w:val="18"/>
              </w:rPr>
            </w:pPr>
            <w:r w:rsidRPr="001C60BB">
              <w:rPr>
                <w:rFonts w:ascii="宋体" w:eastAsia="宋体" w:hAnsi="宋体" w:cs="宋体"/>
                <w:sz w:val="18"/>
                <w:szCs w:val="18"/>
              </w:rPr>
              <w:t>存货</w:t>
            </w:r>
          </w:p>
        </w:tc>
        <w:tc>
          <w:tcPr>
            <w:tcW w:w="1701" w:type="dxa"/>
            <w:shd w:val="clear" w:color="auto" w:fill="FFFFFF" w:themeFill="background1"/>
            <w:vAlign w:val="center"/>
          </w:tcPr>
          <w:p w14:paraId="1BD89897" w14:textId="77777777" w:rsidR="00632E5B" w:rsidRPr="001C60BB" w:rsidRDefault="00107901" w:rsidP="00B158CE">
            <w:pPr>
              <w:spacing w:line="276" w:lineRule="auto"/>
              <w:jc w:val="right"/>
              <w:rPr>
                <w:rFonts w:ascii="宋体" w:eastAsia="宋体" w:hAnsi="宋体" w:cs="宋体" w:hint="eastAsia"/>
                <w:sz w:val="18"/>
                <w:szCs w:val="18"/>
              </w:rPr>
            </w:pPr>
            <w:r w:rsidRPr="001C60BB">
              <w:rPr>
                <w:rFonts w:ascii="宋体" w:eastAsia="宋体" w:hAnsi="宋体" w:cs="宋体"/>
                <w:sz w:val="18"/>
                <w:szCs w:val="18"/>
              </w:rPr>
              <w:t>224,042,460.28</w:t>
            </w:r>
          </w:p>
        </w:tc>
        <w:tc>
          <w:tcPr>
            <w:tcW w:w="1748" w:type="dxa"/>
            <w:shd w:val="clear" w:color="auto" w:fill="FFFFFF" w:themeFill="background1"/>
            <w:vAlign w:val="center"/>
          </w:tcPr>
          <w:p w14:paraId="5F62A8E1" w14:textId="77777777" w:rsidR="00632E5B" w:rsidRPr="001C60BB" w:rsidRDefault="00107901" w:rsidP="00B158CE">
            <w:pPr>
              <w:spacing w:line="276" w:lineRule="auto"/>
              <w:jc w:val="right"/>
              <w:rPr>
                <w:rFonts w:ascii="宋体" w:eastAsia="宋体" w:hAnsi="宋体" w:cs="宋体" w:hint="eastAsia"/>
                <w:sz w:val="18"/>
                <w:szCs w:val="18"/>
              </w:rPr>
            </w:pPr>
            <w:r w:rsidRPr="001C60BB">
              <w:rPr>
                <w:rFonts w:ascii="宋体" w:eastAsia="宋体" w:hAnsi="宋体" w:cs="宋体"/>
                <w:sz w:val="18"/>
                <w:szCs w:val="18"/>
              </w:rPr>
              <w:t>129,098,885.44</w:t>
            </w:r>
          </w:p>
        </w:tc>
        <w:tc>
          <w:tcPr>
            <w:tcW w:w="709" w:type="dxa"/>
            <w:shd w:val="clear" w:color="auto" w:fill="FFFFFF" w:themeFill="background1"/>
            <w:vAlign w:val="center"/>
          </w:tcPr>
          <w:p w14:paraId="66F59947" w14:textId="77777777" w:rsidR="00632E5B" w:rsidRPr="001C60BB" w:rsidRDefault="00107901" w:rsidP="00B158CE">
            <w:pPr>
              <w:spacing w:line="276" w:lineRule="auto"/>
              <w:rPr>
                <w:rFonts w:ascii="宋体" w:eastAsia="宋体" w:hAnsi="宋体" w:cs="宋体" w:hint="eastAsia"/>
                <w:sz w:val="18"/>
                <w:szCs w:val="18"/>
              </w:rPr>
            </w:pPr>
            <w:r w:rsidRPr="001C60BB">
              <w:rPr>
                <w:rFonts w:ascii="宋体" w:eastAsia="宋体" w:hAnsi="宋体" w:cs="宋体"/>
                <w:sz w:val="18"/>
                <w:szCs w:val="18"/>
              </w:rPr>
              <w:t>抵押</w:t>
            </w:r>
          </w:p>
        </w:tc>
        <w:tc>
          <w:tcPr>
            <w:tcW w:w="1499" w:type="dxa"/>
            <w:shd w:val="clear" w:color="auto" w:fill="FFFFFF" w:themeFill="background1"/>
            <w:vAlign w:val="center"/>
          </w:tcPr>
          <w:p w14:paraId="770614F4" w14:textId="77777777" w:rsidR="00632E5B" w:rsidRPr="001C60BB" w:rsidRDefault="00107901" w:rsidP="00B158CE">
            <w:pPr>
              <w:spacing w:line="276" w:lineRule="auto"/>
              <w:rPr>
                <w:rFonts w:ascii="宋体" w:eastAsia="宋体" w:hAnsi="宋体" w:cs="宋体" w:hint="eastAsia"/>
                <w:sz w:val="18"/>
                <w:szCs w:val="18"/>
              </w:rPr>
            </w:pPr>
            <w:r w:rsidRPr="001C60BB">
              <w:rPr>
                <w:rFonts w:ascii="宋体" w:eastAsia="宋体" w:hAnsi="宋体" w:cs="宋体"/>
                <w:sz w:val="18"/>
                <w:szCs w:val="18"/>
              </w:rPr>
              <w:t>抵押借款</w:t>
            </w:r>
          </w:p>
        </w:tc>
        <w:tc>
          <w:tcPr>
            <w:tcW w:w="1714" w:type="dxa"/>
            <w:gridSpan w:val="2"/>
            <w:shd w:val="clear" w:color="auto" w:fill="FFFFFF" w:themeFill="background1"/>
            <w:vAlign w:val="center"/>
          </w:tcPr>
          <w:p w14:paraId="3F5EBE84" w14:textId="77777777" w:rsidR="00632E5B" w:rsidRPr="001C60BB" w:rsidRDefault="00107901" w:rsidP="00B158CE">
            <w:pPr>
              <w:spacing w:line="276" w:lineRule="auto"/>
              <w:jc w:val="right"/>
              <w:rPr>
                <w:rFonts w:ascii="宋体" w:eastAsia="宋体" w:hAnsi="宋体" w:cs="宋体" w:hint="eastAsia"/>
                <w:sz w:val="18"/>
                <w:szCs w:val="18"/>
              </w:rPr>
            </w:pPr>
            <w:r w:rsidRPr="001C60BB">
              <w:rPr>
                <w:rFonts w:ascii="宋体" w:eastAsia="宋体" w:hAnsi="宋体" w:cs="宋体"/>
                <w:sz w:val="18"/>
                <w:szCs w:val="18"/>
              </w:rPr>
              <w:t>418,560,025.59</w:t>
            </w:r>
          </w:p>
        </w:tc>
        <w:tc>
          <w:tcPr>
            <w:tcW w:w="1701" w:type="dxa"/>
            <w:shd w:val="clear" w:color="auto" w:fill="FFFFFF" w:themeFill="background1"/>
            <w:vAlign w:val="center"/>
          </w:tcPr>
          <w:p w14:paraId="30BF9AC2" w14:textId="77777777" w:rsidR="00632E5B" w:rsidRPr="001C60BB" w:rsidRDefault="00107901" w:rsidP="00B158CE">
            <w:pPr>
              <w:spacing w:line="276" w:lineRule="auto"/>
              <w:jc w:val="right"/>
              <w:rPr>
                <w:rFonts w:ascii="宋体" w:eastAsia="宋体" w:hAnsi="宋体" w:cs="宋体" w:hint="eastAsia"/>
                <w:sz w:val="18"/>
                <w:szCs w:val="18"/>
              </w:rPr>
            </w:pPr>
            <w:r w:rsidRPr="001C60BB">
              <w:rPr>
                <w:rFonts w:ascii="宋体" w:eastAsia="宋体" w:hAnsi="宋体" w:cs="宋体"/>
                <w:sz w:val="18"/>
                <w:szCs w:val="18"/>
              </w:rPr>
              <w:t>401,933,268.76</w:t>
            </w:r>
          </w:p>
        </w:tc>
        <w:tc>
          <w:tcPr>
            <w:tcW w:w="1071" w:type="dxa"/>
            <w:shd w:val="clear" w:color="auto" w:fill="FFFFFF" w:themeFill="background1"/>
            <w:vAlign w:val="center"/>
          </w:tcPr>
          <w:p w14:paraId="41A0BEEC" w14:textId="77777777" w:rsidR="00632E5B" w:rsidRPr="001C60BB" w:rsidRDefault="00107901" w:rsidP="00B158CE">
            <w:pPr>
              <w:spacing w:line="276" w:lineRule="auto"/>
              <w:rPr>
                <w:rFonts w:ascii="宋体" w:eastAsia="宋体" w:hAnsi="宋体" w:cs="宋体" w:hint="eastAsia"/>
                <w:sz w:val="18"/>
                <w:szCs w:val="18"/>
              </w:rPr>
            </w:pPr>
            <w:r w:rsidRPr="001C60BB">
              <w:rPr>
                <w:rFonts w:ascii="宋体" w:eastAsia="宋体" w:hAnsi="宋体" w:cs="宋体"/>
                <w:sz w:val="18"/>
                <w:szCs w:val="18"/>
              </w:rPr>
              <w:t>抵押等</w:t>
            </w:r>
          </w:p>
        </w:tc>
        <w:tc>
          <w:tcPr>
            <w:tcW w:w="2615" w:type="dxa"/>
            <w:shd w:val="clear" w:color="auto" w:fill="FFFFFF" w:themeFill="background1"/>
            <w:vAlign w:val="center"/>
          </w:tcPr>
          <w:p w14:paraId="4EC93149" w14:textId="77777777" w:rsidR="00632E5B" w:rsidRPr="001C60BB" w:rsidRDefault="00107901" w:rsidP="00B158CE">
            <w:pPr>
              <w:spacing w:line="276" w:lineRule="auto"/>
              <w:rPr>
                <w:rFonts w:ascii="宋体" w:eastAsia="宋体" w:hAnsi="宋体" w:cs="宋体" w:hint="eastAsia"/>
                <w:sz w:val="18"/>
                <w:szCs w:val="18"/>
              </w:rPr>
            </w:pPr>
            <w:r w:rsidRPr="001C60BB">
              <w:rPr>
                <w:rFonts w:ascii="宋体" w:eastAsia="宋体" w:hAnsi="宋体" w:cs="宋体"/>
                <w:sz w:val="18"/>
                <w:szCs w:val="18"/>
              </w:rPr>
              <w:t>抵押借款、融资受限等</w:t>
            </w:r>
          </w:p>
        </w:tc>
      </w:tr>
      <w:tr w:rsidR="00632E5B" w:rsidRPr="001C60BB" w14:paraId="335AE061" w14:textId="77777777" w:rsidTr="001C60BB">
        <w:trPr>
          <w:gridAfter w:val="1"/>
          <w:wAfter w:w="28" w:type="dxa"/>
          <w:trHeight w:val="240"/>
          <w:jc w:val="center"/>
        </w:trPr>
        <w:tc>
          <w:tcPr>
            <w:tcW w:w="1273" w:type="dxa"/>
            <w:shd w:val="clear" w:color="auto" w:fill="FFFFFF" w:themeFill="background1"/>
            <w:vAlign w:val="center"/>
          </w:tcPr>
          <w:p w14:paraId="6EDC9638" w14:textId="77777777" w:rsidR="00632E5B" w:rsidRPr="001C60BB" w:rsidRDefault="00107901" w:rsidP="00B158CE">
            <w:pPr>
              <w:spacing w:before="40" w:after="40" w:line="276" w:lineRule="auto"/>
              <w:rPr>
                <w:rFonts w:ascii="宋体" w:eastAsia="宋体" w:hAnsi="宋体" w:cs="宋体" w:hint="eastAsia"/>
                <w:sz w:val="18"/>
                <w:szCs w:val="18"/>
              </w:rPr>
            </w:pPr>
            <w:r w:rsidRPr="001C60BB">
              <w:rPr>
                <w:rFonts w:ascii="宋体" w:eastAsia="宋体" w:hAnsi="宋体" w:cs="宋体"/>
                <w:sz w:val="18"/>
                <w:szCs w:val="18"/>
              </w:rPr>
              <w:t>固定资产</w:t>
            </w:r>
          </w:p>
        </w:tc>
        <w:tc>
          <w:tcPr>
            <w:tcW w:w="1701" w:type="dxa"/>
            <w:shd w:val="clear" w:color="auto" w:fill="FFFFFF" w:themeFill="background1"/>
            <w:vAlign w:val="center"/>
          </w:tcPr>
          <w:p w14:paraId="1F7BE638" w14:textId="77777777" w:rsidR="00632E5B" w:rsidRPr="001C60BB" w:rsidRDefault="00107901" w:rsidP="00B158CE">
            <w:pPr>
              <w:spacing w:line="276" w:lineRule="auto"/>
              <w:jc w:val="right"/>
              <w:rPr>
                <w:rFonts w:ascii="宋体" w:eastAsia="宋体" w:hAnsi="宋体" w:cs="宋体" w:hint="eastAsia"/>
                <w:sz w:val="18"/>
                <w:szCs w:val="18"/>
              </w:rPr>
            </w:pPr>
            <w:r w:rsidRPr="001C60BB">
              <w:rPr>
                <w:rFonts w:ascii="宋体" w:eastAsia="宋体" w:hAnsi="宋体" w:cs="宋体"/>
                <w:sz w:val="18"/>
                <w:szCs w:val="18"/>
              </w:rPr>
              <w:t>3,359,333,737.50</w:t>
            </w:r>
          </w:p>
        </w:tc>
        <w:tc>
          <w:tcPr>
            <w:tcW w:w="1748" w:type="dxa"/>
            <w:shd w:val="clear" w:color="auto" w:fill="FFFFFF" w:themeFill="background1"/>
            <w:vAlign w:val="center"/>
          </w:tcPr>
          <w:p w14:paraId="6F3BC031" w14:textId="77777777" w:rsidR="00632E5B" w:rsidRPr="001C60BB" w:rsidRDefault="00107901" w:rsidP="00B158CE">
            <w:pPr>
              <w:spacing w:line="276" w:lineRule="auto"/>
              <w:jc w:val="right"/>
              <w:rPr>
                <w:rFonts w:ascii="宋体" w:eastAsia="宋体" w:hAnsi="宋体" w:cs="宋体" w:hint="eastAsia"/>
                <w:sz w:val="18"/>
                <w:szCs w:val="18"/>
              </w:rPr>
            </w:pPr>
            <w:r w:rsidRPr="001C60BB">
              <w:rPr>
                <w:rFonts w:ascii="宋体" w:eastAsia="宋体" w:hAnsi="宋体" w:cs="宋体"/>
                <w:sz w:val="18"/>
                <w:szCs w:val="18"/>
              </w:rPr>
              <w:t>1,047,738,753.06</w:t>
            </w:r>
          </w:p>
        </w:tc>
        <w:tc>
          <w:tcPr>
            <w:tcW w:w="709" w:type="dxa"/>
            <w:shd w:val="clear" w:color="auto" w:fill="FFFFFF" w:themeFill="background1"/>
            <w:vAlign w:val="center"/>
          </w:tcPr>
          <w:p w14:paraId="62490D70" w14:textId="77777777" w:rsidR="00632E5B" w:rsidRPr="001C60BB" w:rsidRDefault="00107901" w:rsidP="00B158CE">
            <w:pPr>
              <w:spacing w:line="276" w:lineRule="auto"/>
              <w:rPr>
                <w:rFonts w:ascii="宋体" w:eastAsia="宋体" w:hAnsi="宋体" w:cs="宋体" w:hint="eastAsia"/>
                <w:sz w:val="18"/>
                <w:szCs w:val="18"/>
              </w:rPr>
            </w:pPr>
            <w:r w:rsidRPr="001C60BB">
              <w:rPr>
                <w:rFonts w:ascii="宋体" w:eastAsia="宋体" w:hAnsi="宋体" w:cs="宋体"/>
                <w:sz w:val="18"/>
                <w:szCs w:val="18"/>
              </w:rPr>
              <w:t>抵押</w:t>
            </w:r>
          </w:p>
        </w:tc>
        <w:tc>
          <w:tcPr>
            <w:tcW w:w="1499" w:type="dxa"/>
            <w:shd w:val="clear" w:color="auto" w:fill="FFFFFF" w:themeFill="background1"/>
            <w:vAlign w:val="center"/>
          </w:tcPr>
          <w:p w14:paraId="2795626C" w14:textId="77777777" w:rsidR="00632E5B" w:rsidRPr="001C60BB" w:rsidRDefault="00107901" w:rsidP="00B158CE">
            <w:pPr>
              <w:spacing w:line="276" w:lineRule="auto"/>
              <w:rPr>
                <w:rFonts w:ascii="宋体" w:eastAsia="宋体" w:hAnsi="宋体" w:cs="宋体" w:hint="eastAsia"/>
                <w:sz w:val="18"/>
                <w:szCs w:val="18"/>
              </w:rPr>
            </w:pPr>
            <w:r w:rsidRPr="001C60BB">
              <w:rPr>
                <w:rFonts w:ascii="宋体" w:eastAsia="宋体" w:hAnsi="宋体" w:cs="宋体"/>
                <w:sz w:val="18"/>
                <w:szCs w:val="18"/>
              </w:rPr>
              <w:t>抵押借款</w:t>
            </w:r>
          </w:p>
        </w:tc>
        <w:tc>
          <w:tcPr>
            <w:tcW w:w="1714" w:type="dxa"/>
            <w:gridSpan w:val="2"/>
            <w:shd w:val="clear" w:color="auto" w:fill="FFFFFF" w:themeFill="background1"/>
            <w:vAlign w:val="center"/>
          </w:tcPr>
          <w:p w14:paraId="28ED8FD2" w14:textId="77777777" w:rsidR="00632E5B" w:rsidRPr="001C60BB" w:rsidRDefault="00107901" w:rsidP="00B158CE">
            <w:pPr>
              <w:spacing w:line="276" w:lineRule="auto"/>
              <w:jc w:val="right"/>
              <w:rPr>
                <w:rFonts w:ascii="宋体" w:eastAsia="宋体" w:hAnsi="宋体" w:cs="宋体" w:hint="eastAsia"/>
                <w:sz w:val="18"/>
                <w:szCs w:val="18"/>
              </w:rPr>
            </w:pPr>
            <w:r w:rsidRPr="001C60BB">
              <w:rPr>
                <w:rFonts w:ascii="宋体" w:eastAsia="宋体" w:hAnsi="宋体" w:cs="宋体"/>
                <w:sz w:val="18"/>
                <w:szCs w:val="18"/>
              </w:rPr>
              <w:t>3,720,687,476.24</w:t>
            </w:r>
          </w:p>
        </w:tc>
        <w:tc>
          <w:tcPr>
            <w:tcW w:w="1701" w:type="dxa"/>
            <w:shd w:val="clear" w:color="auto" w:fill="FFFFFF" w:themeFill="background1"/>
            <w:vAlign w:val="center"/>
          </w:tcPr>
          <w:p w14:paraId="3CB322D0" w14:textId="77777777" w:rsidR="00632E5B" w:rsidRPr="001C60BB" w:rsidRDefault="00107901" w:rsidP="00B158CE">
            <w:pPr>
              <w:spacing w:line="276" w:lineRule="auto"/>
              <w:jc w:val="right"/>
              <w:rPr>
                <w:rFonts w:ascii="宋体" w:eastAsia="宋体" w:hAnsi="宋体" w:cs="宋体" w:hint="eastAsia"/>
                <w:sz w:val="18"/>
                <w:szCs w:val="18"/>
              </w:rPr>
            </w:pPr>
            <w:r w:rsidRPr="001C60BB">
              <w:rPr>
                <w:rFonts w:ascii="宋体" w:eastAsia="宋体" w:hAnsi="宋体" w:cs="宋体"/>
                <w:sz w:val="18"/>
                <w:szCs w:val="18"/>
              </w:rPr>
              <w:t>1,663,241,420.20</w:t>
            </w:r>
          </w:p>
        </w:tc>
        <w:tc>
          <w:tcPr>
            <w:tcW w:w="1071" w:type="dxa"/>
            <w:shd w:val="clear" w:color="auto" w:fill="FFFFFF" w:themeFill="background1"/>
            <w:vAlign w:val="center"/>
          </w:tcPr>
          <w:p w14:paraId="3F4B4FE4" w14:textId="77777777" w:rsidR="00632E5B" w:rsidRPr="001C60BB" w:rsidRDefault="00107901" w:rsidP="00B158CE">
            <w:pPr>
              <w:spacing w:line="276" w:lineRule="auto"/>
              <w:rPr>
                <w:rFonts w:ascii="宋体" w:eastAsia="宋体" w:hAnsi="宋体" w:cs="宋体" w:hint="eastAsia"/>
                <w:sz w:val="18"/>
                <w:szCs w:val="18"/>
              </w:rPr>
            </w:pPr>
            <w:r w:rsidRPr="001C60BB">
              <w:rPr>
                <w:rFonts w:ascii="宋体" w:eastAsia="宋体" w:hAnsi="宋体" w:cs="宋体"/>
                <w:sz w:val="18"/>
                <w:szCs w:val="18"/>
              </w:rPr>
              <w:t>抵押等</w:t>
            </w:r>
          </w:p>
        </w:tc>
        <w:tc>
          <w:tcPr>
            <w:tcW w:w="2615" w:type="dxa"/>
            <w:shd w:val="clear" w:color="auto" w:fill="FFFFFF" w:themeFill="background1"/>
            <w:vAlign w:val="center"/>
          </w:tcPr>
          <w:p w14:paraId="4744BEDC" w14:textId="77777777" w:rsidR="00632E5B" w:rsidRPr="001C60BB" w:rsidRDefault="00107901" w:rsidP="00B158CE">
            <w:pPr>
              <w:spacing w:line="276" w:lineRule="auto"/>
              <w:rPr>
                <w:rFonts w:ascii="宋体" w:eastAsia="宋体" w:hAnsi="宋体" w:cs="宋体" w:hint="eastAsia"/>
                <w:sz w:val="18"/>
                <w:szCs w:val="18"/>
              </w:rPr>
            </w:pPr>
            <w:r w:rsidRPr="001C60BB">
              <w:rPr>
                <w:rFonts w:ascii="宋体" w:eastAsia="宋体" w:hAnsi="宋体" w:cs="宋体"/>
                <w:sz w:val="18"/>
                <w:szCs w:val="18"/>
              </w:rPr>
              <w:t>抵押借款等</w:t>
            </w:r>
          </w:p>
        </w:tc>
      </w:tr>
      <w:tr w:rsidR="00632E5B" w:rsidRPr="001C60BB" w14:paraId="44929E57" w14:textId="77777777" w:rsidTr="001C60BB">
        <w:trPr>
          <w:gridAfter w:val="1"/>
          <w:wAfter w:w="28" w:type="dxa"/>
          <w:trHeight w:val="240"/>
          <w:jc w:val="center"/>
        </w:trPr>
        <w:tc>
          <w:tcPr>
            <w:tcW w:w="1273" w:type="dxa"/>
            <w:shd w:val="clear" w:color="auto" w:fill="FFFFFF" w:themeFill="background1"/>
            <w:vAlign w:val="center"/>
          </w:tcPr>
          <w:p w14:paraId="405EB6A4" w14:textId="77777777" w:rsidR="00632E5B" w:rsidRPr="001C60BB" w:rsidRDefault="00107901" w:rsidP="00B158CE">
            <w:pPr>
              <w:spacing w:before="40" w:after="40" w:line="276" w:lineRule="auto"/>
              <w:rPr>
                <w:rFonts w:ascii="宋体" w:eastAsia="宋体" w:hAnsi="宋体" w:cs="宋体" w:hint="eastAsia"/>
                <w:sz w:val="18"/>
                <w:szCs w:val="18"/>
              </w:rPr>
            </w:pPr>
            <w:r w:rsidRPr="001C60BB">
              <w:rPr>
                <w:rFonts w:ascii="宋体" w:eastAsia="宋体" w:hAnsi="宋体" w:cs="宋体"/>
                <w:sz w:val="18"/>
                <w:szCs w:val="18"/>
              </w:rPr>
              <w:t>无形资产</w:t>
            </w:r>
          </w:p>
        </w:tc>
        <w:tc>
          <w:tcPr>
            <w:tcW w:w="1701" w:type="dxa"/>
            <w:shd w:val="clear" w:color="auto" w:fill="FFFFFF" w:themeFill="background1"/>
            <w:vAlign w:val="center"/>
          </w:tcPr>
          <w:p w14:paraId="0C917D69" w14:textId="77777777" w:rsidR="00632E5B" w:rsidRPr="001C60BB" w:rsidRDefault="00107901" w:rsidP="00B158CE">
            <w:pPr>
              <w:spacing w:line="276" w:lineRule="auto"/>
              <w:jc w:val="right"/>
              <w:rPr>
                <w:rFonts w:ascii="宋体" w:eastAsia="宋体" w:hAnsi="宋体" w:cs="宋体" w:hint="eastAsia"/>
                <w:sz w:val="18"/>
                <w:szCs w:val="18"/>
              </w:rPr>
            </w:pPr>
            <w:r w:rsidRPr="001C60BB">
              <w:rPr>
                <w:rFonts w:ascii="宋体" w:eastAsia="宋体" w:hAnsi="宋体" w:cs="宋体"/>
                <w:sz w:val="18"/>
                <w:szCs w:val="18"/>
              </w:rPr>
              <w:t>306,810,572.69</w:t>
            </w:r>
          </w:p>
        </w:tc>
        <w:tc>
          <w:tcPr>
            <w:tcW w:w="1748" w:type="dxa"/>
            <w:shd w:val="clear" w:color="auto" w:fill="FFFFFF" w:themeFill="background1"/>
            <w:vAlign w:val="center"/>
          </w:tcPr>
          <w:p w14:paraId="4484D1BA" w14:textId="77777777" w:rsidR="00632E5B" w:rsidRPr="001C60BB" w:rsidRDefault="00107901" w:rsidP="00B158CE">
            <w:pPr>
              <w:spacing w:line="276" w:lineRule="auto"/>
              <w:jc w:val="right"/>
              <w:rPr>
                <w:rFonts w:ascii="宋体" w:eastAsia="宋体" w:hAnsi="宋体" w:cs="宋体" w:hint="eastAsia"/>
                <w:sz w:val="18"/>
                <w:szCs w:val="18"/>
              </w:rPr>
            </w:pPr>
            <w:r w:rsidRPr="001C60BB">
              <w:rPr>
                <w:rFonts w:ascii="宋体" w:eastAsia="宋体" w:hAnsi="宋体" w:cs="宋体"/>
                <w:sz w:val="18"/>
                <w:szCs w:val="18"/>
              </w:rPr>
              <w:t>245,275,753.53</w:t>
            </w:r>
          </w:p>
        </w:tc>
        <w:tc>
          <w:tcPr>
            <w:tcW w:w="709" w:type="dxa"/>
            <w:shd w:val="clear" w:color="auto" w:fill="FFFFFF" w:themeFill="background1"/>
            <w:vAlign w:val="center"/>
          </w:tcPr>
          <w:p w14:paraId="366EA955" w14:textId="77777777" w:rsidR="00632E5B" w:rsidRPr="001C60BB" w:rsidRDefault="00107901" w:rsidP="00B158CE">
            <w:pPr>
              <w:spacing w:line="276" w:lineRule="auto"/>
              <w:rPr>
                <w:rFonts w:ascii="宋体" w:eastAsia="宋体" w:hAnsi="宋体" w:cs="宋体" w:hint="eastAsia"/>
                <w:sz w:val="18"/>
                <w:szCs w:val="18"/>
              </w:rPr>
            </w:pPr>
            <w:r w:rsidRPr="001C60BB">
              <w:rPr>
                <w:rFonts w:ascii="宋体" w:eastAsia="宋体" w:hAnsi="宋体" w:cs="宋体"/>
                <w:sz w:val="18"/>
                <w:szCs w:val="18"/>
              </w:rPr>
              <w:t>抵押</w:t>
            </w:r>
          </w:p>
        </w:tc>
        <w:tc>
          <w:tcPr>
            <w:tcW w:w="1499" w:type="dxa"/>
            <w:shd w:val="clear" w:color="auto" w:fill="FFFFFF" w:themeFill="background1"/>
            <w:vAlign w:val="center"/>
          </w:tcPr>
          <w:p w14:paraId="4E62F6C6" w14:textId="77777777" w:rsidR="00632E5B" w:rsidRPr="001C60BB" w:rsidRDefault="00107901" w:rsidP="00B158CE">
            <w:pPr>
              <w:spacing w:line="276" w:lineRule="auto"/>
              <w:rPr>
                <w:rFonts w:ascii="宋体" w:eastAsia="宋体" w:hAnsi="宋体" w:cs="宋体" w:hint="eastAsia"/>
                <w:sz w:val="18"/>
                <w:szCs w:val="18"/>
              </w:rPr>
            </w:pPr>
            <w:r w:rsidRPr="001C60BB">
              <w:rPr>
                <w:rFonts w:ascii="宋体" w:eastAsia="宋体" w:hAnsi="宋体" w:cs="宋体"/>
                <w:sz w:val="18"/>
                <w:szCs w:val="18"/>
              </w:rPr>
              <w:t>抵押借款</w:t>
            </w:r>
          </w:p>
        </w:tc>
        <w:tc>
          <w:tcPr>
            <w:tcW w:w="1714" w:type="dxa"/>
            <w:gridSpan w:val="2"/>
            <w:shd w:val="clear" w:color="auto" w:fill="FFFFFF" w:themeFill="background1"/>
            <w:vAlign w:val="center"/>
          </w:tcPr>
          <w:p w14:paraId="45A1DC0D" w14:textId="77777777" w:rsidR="00632E5B" w:rsidRPr="001C60BB" w:rsidRDefault="00107901" w:rsidP="00B158CE">
            <w:pPr>
              <w:spacing w:line="276" w:lineRule="auto"/>
              <w:jc w:val="right"/>
              <w:rPr>
                <w:rFonts w:ascii="宋体" w:eastAsia="宋体" w:hAnsi="宋体" w:cs="宋体" w:hint="eastAsia"/>
                <w:sz w:val="18"/>
                <w:szCs w:val="18"/>
              </w:rPr>
            </w:pPr>
            <w:r w:rsidRPr="001C60BB">
              <w:rPr>
                <w:rFonts w:ascii="宋体" w:eastAsia="宋体" w:hAnsi="宋体" w:cs="宋体"/>
                <w:sz w:val="18"/>
                <w:szCs w:val="18"/>
              </w:rPr>
              <w:t>258,301,671.49</w:t>
            </w:r>
          </w:p>
        </w:tc>
        <w:tc>
          <w:tcPr>
            <w:tcW w:w="1701" w:type="dxa"/>
            <w:shd w:val="clear" w:color="auto" w:fill="FFFFFF" w:themeFill="background1"/>
            <w:vAlign w:val="center"/>
          </w:tcPr>
          <w:p w14:paraId="6D83BB8E" w14:textId="77777777" w:rsidR="00632E5B" w:rsidRPr="001C60BB" w:rsidRDefault="00107901" w:rsidP="00B158CE">
            <w:pPr>
              <w:spacing w:line="276" w:lineRule="auto"/>
              <w:jc w:val="right"/>
              <w:rPr>
                <w:rFonts w:ascii="宋体" w:eastAsia="宋体" w:hAnsi="宋体" w:cs="宋体" w:hint="eastAsia"/>
                <w:sz w:val="18"/>
                <w:szCs w:val="18"/>
              </w:rPr>
            </w:pPr>
            <w:r w:rsidRPr="001C60BB">
              <w:rPr>
                <w:rFonts w:ascii="宋体" w:eastAsia="宋体" w:hAnsi="宋体" w:cs="宋体"/>
                <w:sz w:val="18"/>
                <w:szCs w:val="18"/>
              </w:rPr>
              <w:t>204,098,244.55</w:t>
            </w:r>
          </w:p>
        </w:tc>
        <w:tc>
          <w:tcPr>
            <w:tcW w:w="1071" w:type="dxa"/>
            <w:shd w:val="clear" w:color="auto" w:fill="FFFFFF" w:themeFill="background1"/>
            <w:vAlign w:val="center"/>
          </w:tcPr>
          <w:p w14:paraId="71BF38CF" w14:textId="77777777" w:rsidR="00632E5B" w:rsidRPr="001C60BB" w:rsidRDefault="00107901" w:rsidP="00B158CE">
            <w:pPr>
              <w:spacing w:line="276" w:lineRule="auto"/>
              <w:rPr>
                <w:rFonts w:ascii="宋体" w:eastAsia="宋体" w:hAnsi="宋体" w:cs="宋体" w:hint="eastAsia"/>
                <w:sz w:val="18"/>
                <w:szCs w:val="18"/>
              </w:rPr>
            </w:pPr>
            <w:r w:rsidRPr="001C60BB">
              <w:rPr>
                <w:rFonts w:ascii="宋体" w:eastAsia="宋体" w:hAnsi="宋体" w:cs="宋体"/>
                <w:sz w:val="18"/>
                <w:szCs w:val="18"/>
              </w:rPr>
              <w:t>抵押</w:t>
            </w:r>
          </w:p>
        </w:tc>
        <w:tc>
          <w:tcPr>
            <w:tcW w:w="2615" w:type="dxa"/>
            <w:shd w:val="clear" w:color="auto" w:fill="FFFFFF" w:themeFill="background1"/>
            <w:vAlign w:val="center"/>
          </w:tcPr>
          <w:p w14:paraId="4FF351B6" w14:textId="77777777" w:rsidR="00632E5B" w:rsidRPr="001C60BB" w:rsidRDefault="00107901" w:rsidP="00B158CE">
            <w:pPr>
              <w:spacing w:line="276" w:lineRule="auto"/>
              <w:rPr>
                <w:rFonts w:ascii="宋体" w:eastAsia="宋体" w:hAnsi="宋体" w:cs="宋体" w:hint="eastAsia"/>
                <w:sz w:val="18"/>
                <w:szCs w:val="18"/>
              </w:rPr>
            </w:pPr>
            <w:r w:rsidRPr="001C60BB">
              <w:rPr>
                <w:rFonts w:ascii="宋体" w:eastAsia="宋体" w:hAnsi="宋体" w:cs="宋体"/>
                <w:sz w:val="18"/>
                <w:szCs w:val="18"/>
              </w:rPr>
              <w:t>抵押借款</w:t>
            </w:r>
          </w:p>
        </w:tc>
      </w:tr>
      <w:tr w:rsidR="00632E5B" w:rsidRPr="001C60BB" w14:paraId="738F33B1" w14:textId="77777777" w:rsidTr="001C60BB">
        <w:trPr>
          <w:gridAfter w:val="1"/>
          <w:wAfter w:w="28" w:type="dxa"/>
          <w:trHeight w:val="240"/>
          <w:jc w:val="center"/>
        </w:trPr>
        <w:tc>
          <w:tcPr>
            <w:tcW w:w="1273" w:type="dxa"/>
            <w:shd w:val="clear" w:color="auto" w:fill="FFFFFF" w:themeFill="background1"/>
            <w:vAlign w:val="center"/>
          </w:tcPr>
          <w:p w14:paraId="47D146AC" w14:textId="77777777" w:rsidR="00632E5B" w:rsidRPr="001C60BB" w:rsidRDefault="00107901" w:rsidP="00B158CE">
            <w:pPr>
              <w:spacing w:line="276" w:lineRule="auto"/>
              <w:rPr>
                <w:rFonts w:ascii="宋体" w:eastAsia="宋体" w:hAnsi="宋体" w:cs="宋体" w:hint="eastAsia"/>
                <w:sz w:val="18"/>
                <w:szCs w:val="18"/>
              </w:rPr>
            </w:pPr>
            <w:r w:rsidRPr="001C60BB">
              <w:rPr>
                <w:rFonts w:ascii="宋体" w:eastAsia="宋体" w:hAnsi="宋体" w:cs="宋体"/>
                <w:sz w:val="18"/>
                <w:szCs w:val="18"/>
              </w:rPr>
              <w:t>其他非流动金融资产</w:t>
            </w:r>
          </w:p>
        </w:tc>
        <w:tc>
          <w:tcPr>
            <w:tcW w:w="1701" w:type="dxa"/>
            <w:shd w:val="clear" w:color="auto" w:fill="FFFFFF" w:themeFill="background1"/>
            <w:vAlign w:val="center"/>
          </w:tcPr>
          <w:p w14:paraId="429110DF" w14:textId="77777777" w:rsidR="00632E5B" w:rsidRPr="001C60BB" w:rsidRDefault="00632E5B" w:rsidP="00B158CE">
            <w:pPr>
              <w:spacing w:line="276" w:lineRule="auto"/>
              <w:jc w:val="right"/>
              <w:rPr>
                <w:rFonts w:ascii="宋体" w:eastAsia="宋体" w:hAnsi="宋体" w:cs="宋体" w:hint="eastAsia"/>
                <w:sz w:val="18"/>
                <w:szCs w:val="18"/>
              </w:rPr>
            </w:pPr>
          </w:p>
        </w:tc>
        <w:tc>
          <w:tcPr>
            <w:tcW w:w="1748" w:type="dxa"/>
            <w:shd w:val="clear" w:color="auto" w:fill="FFFFFF" w:themeFill="background1"/>
            <w:vAlign w:val="center"/>
          </w:tcPr>
          <w:p w14:paraId="5241136D" w14:textId="77777777" w:rsidR="00632E5B" w:rsidRPr="001C60BB" w:rsidRDefault="00632E5B" w:rsidP="00B158CE">
            <w:pPr>
              <w:spacing w:line="276" w:lineRule="auto"/>
              <w:jc w:val="right"/>
              <w:rPr>
                <w:rFonts w:ascii="宋体" w:eastAsia="宋体" w:hAnsi="宋体" w:cs="宋体" w:hint="eastAsia"/>
                <w:sz w:val="18"/>
                <w:szCs w:val="18"/>
              </w:rPr>
            </w:pPr>
          </w:p>
        </w:tc>
        <w:tc>
          <w:tcPr>
            <w:tcW w:w="709" w:type="dxa"/>
            <w:shd w:val="clear" w:color="auto" w:fill="FFFFFF" w:themeFill="background1"/>
            <w:vAlign w:val="center"/>
          </w:tcPr>
          <w:p w14:paraId="25932354" w14:textId="77777777" w:rsidR="00632E5B" w:rsidRPr="001C60BB" w:rsidRDefault="00632E5B" w:rsidP="00B158CE">
            <w:pPr>
              <w:spacing w:line="276" w:lineRule="auto"/>
              <w:rPr>
                <w:rFonts w:ascii="宋体" w:eastAsia="宋体" w:hAnsi="宋体" w:cs="宋体" w:hint="eastAsia"/>
                <w:sz w:val="18"/>
                <w:szCs w:val="18"/>
              </w:rPr>
            </w:pPr>
          </w:p>
        </w:tc>
        <w:tc>
          <w:tcPr>
            <w:tcW w:w="1499" w:type="dxa"/>
            <w:shd w:val="clear" w:color="auto" w:fill="FFFFFF" w:themeFill="background1"/>
            <w:vAlign w:val="center"/>
          </w:tcPr>
          <w:p w14:paraId="18BF021E" w14:textId="77777777" w:rsidR="00632E5B" w:rsidRPr="001C60BB" w:rsidRDefault="00632E5B" w:rsidP="00B158CE">
            <w:pPr>
              <w:spacing w:line="276" w:lineRule="auto"/>
              <w:rPr>
                <w:rFonts w:ascii="宋体" w:eastAsia="宋体" w:hAnsi="宋体" w:cs="宋体" w:hint="eastAsia"/>
                <w:sz w:val="18"/>
                <w:szCs w:val="18"/>
              </w:rPr>
            </w:pPr>
          </w:p>
        </w:tc>
        <w:tc>
          <w:tcPr>
            <w:tcW w:w="1714" w:type="dxa"/>
            <w:gridSpan w:val="2"/>
            <w:shd w:val="clear" w:color="auto" w:fill="FFFFFF" w:themeFill="background1"/>
            <w:vAlign w:val="center"/>
          </w:tcPr>
          <w:p w14:paraId="72C10001" w14:textId="77777777" w:rsidR="00632E5B" w:rsidRPr="001C60BB" w:rsidRDefault="00107901" w:rsidP="00B158CE">
            <w:pPr>
              <w:spacing w:line="276" w:lineRule="auto"/>
              <w:jc w:val="right"/>
              <w:rPr>
                <w:rFonts w:ascii="宋体" w:eastAsia="宋体" w:hAnsi="宋体" w:cs="宋体" w:hint="eastAsia"/>
                <w:sz w:val="18"/>
                <w:szCs w:val="18"/>
              </w:rPr>
            </w:pPr>
            <w:r w:rsidRPr="001C60BB">
              <w:rPr>
                <w:rFonts w:ascii="宋体" w:eastAsia="宋体" w:hAnsi="宋体" w:cs="宋体"/>
                <w:sz w:val="18"/>
                <w:szCs w:val="18"/>
              </w:rPr>
              <w:t>66,352,933.40</w:t>
            </w:r>
          </w:p>
        </w:tc>
        <w:tc>
          <w:tcPr>
            <w:tcW w:w="1701" w:type="dxa"/>
            <w:shd w:val="clear" w:color="auto" w:fill="FFFFFF" w:themeFill="background1"/>
            <w:vAlign w:val="center"/>
          </w:tcPr>
          <w:p w14:paraId="712A0EA9" w14:textId="77777777" w:rsidR="00632E5B" w:rsidRPr="001C60BB" w:rsidRDefault="00107901" w:rsidP="00B158CE">
            <w:pPr>
              <w:spacing w:line="276" w:lineRule="auto"/>
              <w:jc w:val="right"/>
              <w:rPr>
                <w:rFonts w:ascii="宋体" w:eastAsia="宋体" w:hAnsi="宋体" w:cs="宋体" w:hint="eastAsia"/>
                <w:sz w:val="18"/>
                <w:szCs w:val="18"/>
              </w:rPr>
            </w:pPr>
            <w:r w:rsidRPr="001C60BB">
              <w:rPr>
                <w:rFonts w:ascii="宋体" w:eastAsia="宋体" w:hAnsi="宋体" w:cs="宋体"/>
                <w:sz w:val="18"/>
                <w:szCs w:val="18"/>
              </w:rPr>
              <w:t>66,352,933.40</w:t>
            </w:r>
          </w:p>
        </w:tc>
        <w:tc>
          <w:tcPr>
            <w:tcW w:w="1071" w:type="dxa"/>
            <w:shd w:val="clear" w:color="auto" w:fill="FFFFFF" w:themeFill="background1"/>
            <w:vAlign w:val="center"/>
          </w:tcPr>
          <w:p w14:paraId="7581639A" w14:textId="77777777" w:rsidR="00632E5B" w:rsidRPr="001C60BB" w:rsidRDefault="00107901" w:rsidP="00B158CE">
            <w:pPr>
              <w:spacing w:line="276" w:lineRule="auto"/>
              <w:rPr>
                <w:rFonts w:ascii="宋体" w:eastAsia="宋体" w:hAnsi="宋体" w:cs="宋体" w:hint="eastAsia"/>
                <w:sz w:val="18"/>
                <w:szCs w:val="18"/>
              </w:rPr>
            </w:pPr>
            <w:r w:rsidRPr="001C60BB">
              <w:rPr>
                <w:rFonts w:ascii="宋体" w:eastAsia="宋体" w:hAnsi="宋体" w:cs="宋体"/>
                <w:sz w:val="18"/>
                <w:szCs w:val="18"/>
              </w:rPr>
              <w:t>质押</w:t>
            </w:r>
          </w:p>
        </w:tc>
        <w:tc>
          <w:tcPr>
            <w:tcW w:w="2615" w:type="dxa"/>
            <w:shd w:val="clear" w:color="auto" w:fill="FFFFFF" w:themeFill="background1"/>
            <w:vAlign w:val="center"/>
          </w:tcPr>
          <w:p w14:paraId="7FD6EEAC" w14:textId="77777777" w:rsidR="00632E5B" w:rsidRPr="001C60BB" w:rsidRDefault="00107901" w:rsidP="00B158CE">
            <w:pPr>
              <w:spacing w:line="276" w:lineRule="auto"/>
              <w:rPr>
                <w:rFonts w:ascii="宋体" w:eastAsia="宋体" w:hAnsi="宋体" w:cs="宋体" w:hint="eastAsia"/>
                <w:sz w:val="18"/>
                <w:szCs w:val="18"/>
              </w:rPr>
            </w:pPr>
            <w:r w:rsidRPr="001C60BB">
              <w:rPr>
                <w:rFonts w:ascii="宋体" w:eastAsia="宋体" w:hAnsi="宋体" w:cs="宋体"/>
                <w:sz w:val="18"/>
                <w:szCs w:val="18"/>
              </w:rPr>
              <w:t>质押借款</w:t>
            </w:r>
          </w:p>
        </w:tc>
      </w:tr>
      <w:tr w:rsidR="00632E5B" w:rsidRPr="001C60BB" w14:paraId="6DA5388F" w14:textId="77777777" w:rsidTr="001C60BB">
        <w:trPr>
          <w:gridAfter w:val="1"/>
          <w:wAfter w:w="28" w:type="dxa"/>
          <w:trHeight w:val="240"/>
          <w:jc w:val="center"/>
        </w:trPr>
        <w:tc>
          <w:tcPr>
            <w:tcW w:w="1273" w:type="dxa"/>
            <w:shd w:val="clear" w:color="auto" w:fill="FFFFFF" w:themeFill="background1"/>
            <w:vAlign w:val="center"/>
          </w:tcPr>
          <w:p w14:paraId="57BF0D34" w14:textId="77777777" w:rsidR="00632E5B" w:rsidRPr="001C60BB" w:rsidRDefault="00107901" w:rsidP="00B158CE">
            <w:pPr>
              <w:spacing w:line="276" w:lineRule="auto"/>
              <w:rPr>
                <w:rFonts w:ascii="宋体" w:eastAsia="宋体" w:hAnsi="宋体" w:cs="宋体" w:hint="eastAsia"/>
                <w:sz w:val="18"/>
                <w:szCs w:val="18"/>
              </w:rPr>
            </w:pPr>
            <w:r w:rsidRPr="001C60BB">
              <w:rPr>
                <w:rFonts w:ascii="宋体" w:eastAsia="宋体" w:hAnsi="宋体" w:cs="宋体"/>
                <w:sz w:val="18"/>
                <w:szCs w:val="18"/>
              </w:rPr>
              <w:t>其他权益工具投资</w:t>
            </w:r>
          </w:p>
        </w:tc>
        <w:tc>
          <w:tcPr>
            <w:tcW w:w="1701" w:type="dxa"/>
            <w:shd w:val="clear" w:color="auto" w:fill="FFFFFF" w:themeFill="background1"/>
            <w:vAlign w:val="center"/>
          </w:tcPr>
          <w:p w14:paraId="576A6020" w14:textId="77777777" w:rsidR="00632E5B" w:rsidRPr="001C60BB" w:rsidRDefault="00107901" w:rsidP="00B158CE">
            <w:pPr>
              <w:spacing w:line="276" w:lineRule="auto"/>
              <w:jc w:val="right"/>
              <w:rPr>
                <w:rFonts w:ascii="宋体" w:eastAsia="宋体" w:hAnsi="宋体" w:cs="宋体" w:hint="eastAsia"/>
                <w:sz w:val="18"/>
                <w:szCs w:val="18"/>
              </w:rPr>
            </w:pPr>
            <w:r w:rsidRPr="001C60BB">
              <w:rPr>
                <w:rFonts w:ascii="宋体" w:eastAsia="宋体" w:hAnsi="宋体" w:cs="宋体"/>
                <w:sz w:val="18"/>
                <w:szCs w:val="18"/>
              </w:rPr>
              <w:t>415,163,364.76</w:t>
            </w:r>
          </w:p>
        </w:tc>
        <w:tc>
          <w:tcPr>
            <w:tcW w:w="1748" w:type="dxa"/>
            <w:shd w:val="clear" w:color="auto" w:fill="FFFFFF" w:themeFill="background1"/>
            <w:vAlign w:val="center"/>
          </w:tcPr>
          <w:p w14:paraId="26F69C78" w14:textId="77777777" w:rsidR="00632E5B" w:rsidRPr="001C60BB" w:rsidRDefault="00107901" w:rsidP="00B158CE">
            <w:pPr>
              <w:spacing w:line="276" w:lineRule="auto"/>
              <w:jc w:val="right"/>
              <w:rPr>
                <w:rFonts w:ascii="宋体" w:eastAsia="宋体" w:hAnsi="宋体" w:cs="宋体" w:hint="eastAsia"/>
                <w:sz w:val="18"/>
                <w:szCs w:val="18"/>
              </w:rPr>
            </w:pPr>
            <w:r w:rsidRPr="001C60BB">
              <w:rPr>
                <w:rFonts w:ascii="宋体" w:eastAsia="宋体" w:hAnsi="宋体" w:cs="宋体"/>
                <w:sz w:val="18"/>
                <w:szCs w:val="18"/>
              </w:rPr>
              <w:t>415,163,364.76</w:t>
            </w:r>
          </w:p>
        </w:tc>
        <w:tc>
          <w:tcPr>
            <w:tcW w:w="709" w:type="dxa"/>
            <w:shd w:val="clear" w:color="auto" w:fill="FFFFFF" w:themeFill="background1"/>
            <w:vAlign w:val="center"/>
          </w:tcPr>
          <w:p w14:paraId="5DDD7033" w14:textId="77777777" w:rsidR="00632E5B" w:rsidRPr="001C60BB" w:rsidRDefault="00107901" w:rsidP="00B158CE">
            <w:pPr>
              <w:spacing w:line="276" w:lineRule="auto"/>
              <w:rPr>
                <w:rFonts w:ascii="宋体" w:eastAsia="宋体" w:hAnsi="宋体" w:cs="宋体" w:hint="eastAsia"/>
                <w:sz w:val="18"/>
                <w:szCs w:val="18"/>
              </w:rPr>
            </w:pPr>
            <w:r w:rsidRPr="001C60BB">
              <w:rPr>
                <w:rFonts w:ascii="宋体" w:eastAsia="宋体" w:hAnsi="宋体" w:cs="宋体"/>
                <w:sz w:val="18"/>
                <w:szCs w:val="18"/>
              </w:rPr>
              <w:t>质押</w:t>
            </w:r>
          </w:p>
        </w:tc>
        <w:tc>
          <w:tcPr>
            <w:tcW w:w="1499" w:type="dxa"/>
            <w:shd w:val="clear" w:color="auto" w:fill="FFFFFF" w:themeFill="background1"/>
            <w:vAlign w:val="center"/>
          </w:tcPr>
          <w:p w14:paraId="13262EBE" w14:textId="77777777" w:rsidR="00632E5B" w:rsidRPr="001C60BB" w:rsidRDefault="00107901" w:rsidP="00B158CE">
            <w:pPr>
              <w:spacing w:line="276" w:lineRule="auto"/>
              <w:rPr>
                <w:rFonts w:ascii="宋体" w:eastAsia="宋体" w:hAnsi="宋体" w:cs="宋体" w:hint="eastAsia"/>
                <w:sz w:val="18"/>
                <w:szCs w:val="18"/>
              </w:rPr>
            </w:pPr>
            <w:r w:rsidRPr="001C60BB">
              <w:rPr>
                <w:rFonts w:ascii="宋体" w:eastAsia="宋体" w:hAnsi="宋体" w:cs="宋体"/>
                <w:sz w:val="18"/>
                <w:szCs w:val="18"/>
              </w:rPr>
              <w:t>质押借款</w:t>
            </w:r>
          </w:p>
        </w:tc>
        <w:tc>
          <w:tcPr>
            <w:tcW w:w="1714" w:type="dxa"/>
            <w:gridSpan w:val="2"/>
            <w:shd w:val="clear" w:color="auto" w:fill="FFFFFF" w:themeFill="background1"/>
            <w:vAlign w:val="center"/>
          </w:tcPr>
          <w:p w14:paraId="3ADBFD2D" w14:textId="77777777" w:rsidR="00632E5B" w:rsidRPr="001C60BB" w:rsidRDefault="00107901" w:rsidP="00B158CE">
            <w:pPr>
              <w:spacing w:line="276" w:lineRule="auto"/>
              <w:jc w:val="right"/>
              <w:rPr>
                <w:rFonts w:ascii="宋体" w:eastAsia="宋体" w:hAnsi="宋体" w:cs="宋体" w:hint="eastAsia"/>
                <w:sz w:val="18"/>
                <w:szCs w:val="18"/>
              </w:rPr>
            </w:pPr>
            <w:r w:rsidRPr="001C60BB">
              <w:rPr>
                <w:rFonts w:ascii="宋体" w:eastAsia="宋体" w:hAnsi="宋体" w:cs="宋体"/>
                <w:sz w:val="18"/>
                <w:szCs w:val="18"/>
              </w:rPr>
              <w:t>415,546,194.80</w:t>
            </w:r>
          </w:p>
        </w:tc>
        <w:tc>
          <w:tcPr>
            <w:tcW w:w="1701" w:type="dxa"/>
            <w:shd w:val="clear" w:color="auto" w:fill="FFFFFF" w:themeFill="background1"/>
            <w:vAlign w:val="center"/>
          </w:tcPr>
          <w:p w14:paraId="248C6C22" w14:textId="77777777" w:rsidR="00632E5B" w:rsidRPr="001C60BB" w:rsidRDefault="00107901" w:rsidP="00B158CE">
            <w:pPr>
              <w:spacing w:line="276" w:lineRule="auto"/>
              <w:jc w:val="right"/>
              <w:rPr>
                <w:rFonts w:ascii="宋体" w:eastAsia="宋体" w:hAnsi="宋体" w:cs="宋体" w:hint="eastAsia"/>
                <w:sz w:val="18"/>
                <w:szCs w:val="18"/>
              </w:rPr>
            </w:pPr>
            <w:r w:rsidRPr="001C60BB">
              <w:rPr>
                <w:rFonts w:ascii="宋体" w:eastAsia="宋体" w:hAnsi="宋体" w:cs="宋体"/>
                <w:sz w:val="18"/>
                <w:szCs w:val="18"/>
              </w:rPr>
              <w:t>415,546,194.80</w:t>
            </w:r>
          </w:p>
        </w:tc>
        <w:tc>
          <w:tcPr>
            <w:tcW w:w="1071" w:type="dxa"/>
            <w:shd w:val="clear" w:color="auto" w:fill="FFFFFF" w:themeFill="background1"/>
            <w:vAlign w:val="center"/>
          </w:tcPr>
          <w:p w14:paraId="3A1D2473" w14:textId="77777777" w:rsidR="00632E5B" w:rsidRPr="001C60BB" w:rsidRDefault="00107901" w:rsidP="00B158CE">
            <w:pPr>
              <w:spacing w:line="276" w:lineRule="auto"/>
              <w:rPr>
                <w:rFonts w:ascii="宋体" w:eastAsia="宋体" w:hAnsi="宋体" w:cs="宋体" w:hint="eastAsia"/>
                <w:sz w:val="18"/>
                <w:szCs w:val="18"/>
              </w:rPr>
            </w:pPr>
            <w:r w:rsidRPr="001C60BB">
              <w:rPr>
                <w:rFonts w:ascii="宋体" w:eastAsia="宋体" w:hAnsi="宋体" w:cs="宋体"/>
                <w:sz w:val="18"/>
                <w:szCs w:val="18"/>
              </w:rPr>
              <w:t>质押</w:t>
            </w:r>
          </w:p>
        </w:tc>
        <w:tc>
          <w:tcPr>
            <w:tcW w:w="2615" w:type="dxa"/>
            <w:shd w:val="clear" w:color="auto" w:fill="FFFFFF" w:themeFill="background1"/>
            <w:vAlign w:val="center"/>
          </w:tcPr>
          <w:p w14:paraId="0B0C304A" w14:textId="77777777" w:rsidR="00632E5B" w:rsidRPr="001C60BB" w:rsidRDefault="00107901" w:rsidP="00B158CE">
            <w:pPr>
              <w:spacing w:line="276" w:lineRule="auto"/>
              <w:rPr>
                <w:rFonts w:ascii="宋体" w:eastAsia="宋体" w:hAnsi="宋体" w:cs="宋体" w:hint="eastAsia"/>
                <w:sz w:val="18"/>
                <w:szCs w:val="18"/>
              </w:rPr>
            </w:pPr>
            <w:r w:rsidRPr="001C60BB">
              <w:rPr>
                <w:rFonts w:ascii="宋体" w:eastAsia="宋体" w:hAnsi="宋体" w:cs="宋体"/>
                <w:sz w:val="18"/>
                <w:szCs w:val="18"/>
              </w:rPr>
              <w:t>质押借款</w:t>
            </w:r>
          </w:p>
        </w:tc>
      </w:tr>
      <w:tr w:rsidR="00632E5B" w:rsidRPr="001C60BB" w14:paraId="6C07864F" w14:textId="77777777" w:rsidTr="001C60BB">
        <w:trPr>
          <w:gridAfter w:val="1"/>
          <w:wAfter w:w="28" w:type="dxa"/>
          <w:trHeight w:val="240"/>
          <w:jc w:val="center"/>
        </w:trPr>
        <w:tc>
          <w:tcPr>
            <w:tcW w:w="1273" w:type="dxa"/>
            <w:shd w:val="clear" w:color="auto" w:fill="FFFFFF" w:themeFill="background1"/>
            <w:vAlign w:val="center"/>
          </w:tcPr>
          <w:p w14:paraId="7677B032" w14:textId="77777777" w:rsidR="00632E5B" w:rsidRPr="001C60BB" w:rsidRDefault="00107901" w:rsidP="00B158CE">
            <w:pPr>
              <w:spacing w:line="276" w:lineRule="auto"/>
              <w:rPr>
                <w:rFonts w:ascii="宋体" w:eastAsia="宋体" w:hAnsi="宋体" w:cs="宋体" w:hint="eastAsia"/>
                <w:sz w:val="18"/>
                <w:szCs w:val="18"/>
              </w:rPr>
            </w:pPr>
            <w:r w:rsidRPr="001C60BB">
              <w:rPr>
                <w:rFonts w:ascii="宋体" w:eastAsia="宋体" w:hAnsi="宋体" w:cs="宋体"/>
                <w:sz w:val="18"/>
                <w:szCs w:val="18"/>
              </w:rPr>
              <w:t>应收账款</w:t>
            </w:r>
          </w:p>
        </w:tc>
        <w:tc>
          <w:tcPr>
            <w:tcW w:w="1701" w:type="dxa"/>
            <w:shd w:val="clear" w:color="auto" w:fill="FFFFFF" w:themeFill="background1"/>
            <w:vAlign w:val="center"/>
          </w:tcPr>
          <w:p w14:paraId="68AF5DE1" w14:textId="77777777" w:rsidR="00632E5B" w:rsidRPr="001C60BB" w:rsidRDefault="00107901" w:rsidP="00B158CE">
            <w:pPr>
              <w:spacing w:line="276" w:lineRule="auto"/>
              <w:jc w:val="right"/>
              <w:rPr>
                <w:rFonts w:ascii="宋体" w:eastAsia="宋体" w:hAnsi="宋体" w:cs="宋体" w:hint="eastAsia"/>
                <w:sz w:val="18"/>
                <w:szCs w:val="18"/>
              </w:rPr>
            </w:pPr>
            <w:r w:rsidRPr="001C60BB">
              <w:rPr>
                <w:rFonts w:ascii="宋体" w:eastAsia="宋体" w:hAnsi="宋体" w:cs="宋体"/>
                <w:sz w:val="18"/>
                <w:szCs w:val="18"/>
              </w:rPr>
              <w:t>329,843,271.14</w:t>
            </w:r>
          </w:p>
        </w:tc>
        <w:tc>
          <w:tcPr>
            <w:tcW w:w="1748" w:type="dxa"/>
            <w:shd w:val="clear" w:color="auto" w:fill="FFFFFF" w:themeFill="background1"/>
            <w:vAlign w:val="center"/>
          </w:tcPr>
          <w:p w14:paraId="2AB17A59" w14:textId="77777777" w:rsidR="00632E5B" w:rsidRPr="001C60BB" w:rsidRDefault="00107901" w:rsidP="00B158CE">
            <w:pPr>
              <w:spacing w:line="276" w:lineRule="auto"/>
              <w:jc w:val="right"/>
              <w:rPr>
                <w:rFonts w:ascii="宋体" w:eastAsia="宋体" w:hAnsi="宋体" w:cs="宋体" w:hint="eastAsia"/>
                <w:sz w:val="18"/>
                <w:szCs w:val="18"/>
              </w:rPr>
            </w:pPr>
            <w:r w:rsidRPr="001C60BB">
              <w:rPr>
                <w:rFonts w:ascii="宋体" w:eastAsia="宋体" w:hAnsi="宋体" w:cs="宋体"/>
                <w:sz w:val="18"/>
                <w:szCs w:val="18"/>
              </w:rPr>
              <w:t>34,666,621.35</w:t>
            </w:r>
          </w:p>
        </w:tc>
        <w:tc>
          <w:tcPr>
            <w:tcW w:w="709" w:type="dxa"/>
            <w:shd w:val="clear" w:color="auto" w:fill="FFFFFF" w:themeFill="background1"/>
            <w:vAlign w:val="center"/>
          </w:tcPr>
          <w:p w14:paraId="75AF7A9A" w14:textId="77777777" w:rsidR="00632E5B" w:rsidRPr="001C60BB" w:rsidRDefault="00107901" w:rsidP="00B158CE">
            <w:pPr>
              <w:spacing w:line="276" w:lineRule="auto"/>
              <w:rPr>
                <w:rFonts w:ascii="宋体" w:eastAsia="宋体" w:hAnsi="宋体" w:cs="宋体" w:hint="eastAsia"/>
                <w:sz w:val="18"/>
                <w:szCs w:val="18"/>
              </w:rPr>
            </w:pPr>
            <w:r w:rsidRPr="001C60BB">
              <w:rPr>
                <w:rFonts w:ascii="宋体" w:eastAsia="宋体" w:hAnsi="宋体" w:cs="宋体"/>
                <w:sz w:val="18"/>
                <w:szCs w:val="18"/>
              </w:rPr>
              <w:t>质押</w:t>
            </w:r>
          </w:p>
        </w:tc>
        <w:tc>
          <w:tcPr>
            <w:tcW w:w="1499" w:type="dxa"/>
            <w:shd w:val="clear" w:color="auto" w:fill="FFFFFF" w:themeFill="background1"/>
            <w:vAlign w:val="center"/>
          </w:tcPr>
          <w:p w14:paraId="67FF50B7" w14:textId="77777777" w:rsidR="00632E5B" w:rsidRPr="001C60BB" w:rsidRDefault="00107901" w:rsidP="00B158CE">
            <w:pPr>
              <w:spacing w:line="276" w:lineRule="auto"/>
              <w:rPr>
                <w:rFonts w:ascii="宋体" w:eastAsia="宋体" w:hAnsi="宋体" w:cs="宋体" w:hint="eastAsia"/>
                <w:sz w:val="18"/>
                <w:szCs w:val="18"/>
              </w:rPr>
            </w:pPr>
            <w:r w:rsidRPr="001C60BB">
              <w:rPr>
                <w:rFonts w:ascii="宋体" w:eastAsia="宋体" w:hAnsi="宋体" w:cs="宋体"/>
                <w:sz w:val="18"/>
                <w:szCs w:val="18"/>
              </w:rPr>
              <w:t>质押借款</w:t>
            </w:r>
          </w:p>
        </w:tc>
        <w:tc>
          <w:tcPr>
            <w:tcW w:w="1714" w:type="dxa"/>
            <w:gridSpan w:val="2"/>
            <w:shd w:val="clear" w:color="auto" w:fill="FFFFFF" w:themeFill="background1"/>
            <w:vAlign w:val="center"/>
          </w:tcPr>
          <w:p w14:paraId="48C8768A" w14:textId="77777777" w:rsidR="00632E5B" w:rsidRPr="001C60BB" w:rsidRDefault="00107901" w:rsidP="00B158CE">
            <w:pPr>
              <w:spacing w:line="276" w:lineRule="auto"/>
              <w:jc w:val="right"/>
              <w:rPr>
                <w:rFonts w:ascii="宋体" w:eastAsia="宋体" w:hAnsi="宋体" w:cs="宋体" w:hint="eastAsia"/>
                <w:sz w:val="18"/>
                <w:szCs w:val="18"/>
              </w:rPr>
            </w:pPr>
            <w:r w:rsidRPr="001C60BB">
              <w:rPr>
                <w:rFonts w:ascii="宋体" w:eastAsia="宋体" w:hAnsi="宋体" w:cs="宋体"/>
                <w:sz w:val="18"/>
                <w:szCs w:val="18"/>
              </w:rPr>
              <w:t>343,137,340.03</w:t>
            </w:r>
          </w:p>
        </w:tc>
        <w:tc>
          <w:tcPr>
            <w:tcW w:w="1701" w:type="dxa"/>
            <w:shd w:val="clear" w:color="auto" w:fill="FFFFFF" w:themeFill="background1"/>
            <w:vAlign w:val="center"/>
          </w:tcPr>
          <w:p w14:paraId="4D7861DA" w14:textId="77777777" w:rsidR="00632E5B" w:rsidRPr="001C60BB" w:rsidRDefault="00107901" w:rsidP="00B158CE">
            <w:pPr>
              <w:spacing w:line="276" w:lineRule="auto"/>
              <w:jc w:val="right"/>
              <w:rPr>
                <w:rFonts w:ascii="宋体" w:eastAsia="宋体" w:hAnsi="宋体" w:cs="宋体" w:hint="eastAsia"/>
                <w:sz w:val="18"/>
                <w:szCs w:val="18"/>
              </w:rPr>
            </w:pPr>
            <w:r w:rsidRPr="001C60BB">
              <w:rPr>
                <w:rFonts w:ascii="宋体" w:eastAsia="宋体" w:hAnsi="宋体" w:cs="宋体"/>
                <w:sz w:val="18"/>
                <w:szCs w:val="18"/>
              </w:rPr>
              <w:t>107,799,867.36</w:t>
            </w:r>
          </w:p>
        </w:tc>
        <w:tc>
          <w:tcPr>
            <w:tcW w:w="1071" w:type="dxa"/>
            <w:shd w:val="clear" w:color="auto" w:fill="FFFFFF" w:themeFill="background1"/>
            <w:vAlign w:val="center"/>
          </w:tcPr>
          <w:p w14:paraId="1E4EBA3F" w14:textId="77777777" w:rsidR="00632E5B" w:rsidRPr="001C60BB" w:rsidRDefault="00107901" w:rsidP="00B158CE">
            <w:pPr>
              <w:spacing w:line="276" w:lineRule="auto"/>
              <w:rPr>
                <w:rFonts w:ascii="宋体" w:eastAsia="宋体" w:hAnsi="宋体" w:cs="宋体" w:hint="eastAsia"/>
                <w:sz w:val="18"/>
                <w:szCs w:val="18"/>
              </w:rPr>
            </w:pPr>
            <w:r w:rsidRPr="001C60BB">
              <w:rPr>
                <w:rFonts w:ascii="宋体" w:eastAsia="宋体" w:hAnsi="宋体" w:cs="宋体"/>
                <w:sz w:val="18"/>
                <w:szCs w:val="18"/>
              </w:rPr>
              <w:t>质押</w:t>
            </w:r>
          </w:p>
        </w:tc>
        <w:tc>
          <w:tcPr>
            <w:tcW w:w="2615" w:type="dxa"/>
            <w:shd w:val="clear" w:color="auto" w:fill="FFFFFF" w:themeFill="background1"/>
            <w:vAlign w:val="center"/>
          </w:tcPr>
          <w:p w14:paraId="4D4BB264" w14:textId="77777777" w:rsidR="00632E5B" w:rsidRPr="001C60BB" w:rsidRDefault="00107901" w:rsidP="00B158CE">
            <w:pPr>
              <w:spacing w:line="276" w:lineRule="auto"/>
              <w:rPr>
                <w:rFonts w:ascii="宋体" w:eastAsia="宋体" w:hAnsi="宋体" w:cs="宋体" w:hint="eastAsia"/>
                <w:sz w:val="18"/>
                <w:szCs w:val="18"/>
              </w:rPr>
            </w:pPr>
            <w:r w:rsidRPr="001C60BB">
              <w:rPr>
                <w:rFonts w:ascii="宋体" w:eastAsia="宋体" w:hAnsi="宋体" w:cs="宋体"/>
                <w:sz w:val="18"/>
                <w:szCs w:val="18"/>
              </w:rPr>
              <w:t>质押借款</w:t>
            </w:r>
          </w:p>
        </w:tc>
      </w:tr>
      <w:tr w:rsidR="00632E5B" w:rsidRPr="001C60BB" w14:paraId="757E9D0D" w14:textId="77777777" w:rsidTr="001C60BB">
        <w:trPr>
          <w:gridAfter w:val="1"/>
          <w:wAfter w:w="28" w:type="dxa"/>
          <w:trHeight w:val="240"/>
          <w:jc w:val="center"/>
        </w:trPr>
        <w:tc>
          <w:tcPr>
            <w:tcW w:w="1273" w:type="dxa"/>
            <w:shd w:val="clear" w:color="auto" w:fill="FFFFFF" w:themeFill="background1"/>
            <w:vAlign w:val="center"/>
          </w:tcPr>
          <w:p w14:paraId="77B878AF" w14:textId="77777777" w:rsidR="00632E5B" w:rsidRPr="001C60BB" w:rsidRDefault="00107901" w:rsidP="00B158CE">
            <w:pPr>
              <w:spacing w:line="276" w:lineRule="auto"/>
              <w:rPr>
                <w:rFonts w:ascii="宋体" w:eastAsia="宋体" w:hAnsi="宋体" w:cs="宋体" w:hint="eastAsia"/>
                <w:sz w:val="18"/>
                <w:szCs w:val="18"/>
              </w:rPr>
            </w:pPr>
            <w:r w:rsidRPr="001C60BB">
              <w:rPr>
                <w:rFonts w:ascii="宋体" w:eastAsia="宋体" w:hAnsi="宋体" w:cs="宋体"/>
                <w:sz w:val="18"/>
                <w:szCs w:val="18"/>
              </w:rPr>
              <w:t>在建工程</w:t>
            </w:r>
          </w:p>
        </w:tc>
        <w:tc>
          <w:tcPr>
            <w:tcW w:w="1701" w:type="dxa"/>
            <w:shd w:val="clear" w:color="auto" w:fill="FFFFFF" w:themeFill="background1"/>
            <w:vAlign w:val="center"/>
          </w:tcPr>
          <w:p w14:paraId="7AFAD8AB" w14:textId="77777777" w:rsidR="00632E5B" w:rsidRPr="001C60BB" w:rsidRDefault="00107901" w:rsidP="00B158CE">
            <w:pPr>
              <w:spacing w:line="276" w:lineRule="auto"/>
              <w:jc w:val="right"/>
              <w:rPr>
                <w:rFonts w:ascii="宋体" w:eastAsia="宋体" w:hAnsi="宋体" w:cs="宋体" w:hint="eastAsia"/>
                <w:sz w:val="18"/>
                <w:szCs w:val="18"/>
              </w:rPr>
            </w:pPr>
            <w:r w:rsidRPr="001C60BB">
              <w:rPr>
                <w:rFonts w:ascii="宋体" w:eastAsia="宋体" w:hAnsi="宋体" w:cs="宋体"/>
                <w:sz w:val="18"/>
                <w:szCs w:val="18"/>
              </w:rPr>
              <w:t>371,289,932.58</w:t>
            </w:r>
          </w:p>
        </w:tc>
        <w:tc>
          <w:tcPr>
            <w:tcW w:w="1748" w:type="dxa"/>
            <w:shd w:val="clear" w:color="auto" w:fill="FFFFFF" w:themeFill="background1"/>
            <w:vAlign w:val="center"/>
          </w:tcPr>
          <w:p w14:paraId="04570525" w14:textId="77777777" w:rsidR="00632E5B" w:rsidRPr="001C60BB" w:rsidRDefault="00107901" w:rsidP="00B158CE">
            <w:pPr>
              <w:spacing w:line="276" w:lineRule="auto"/>
              <w:jc w:val="right"/>
              <w:rPr>
                <w:rFonts w:ascii="宋体" w:eastAsia="宋体" w:hAnsi="宋体" w:cs="宋体" w:hint="eastAsia"/>
                <w:sz w:val="18"/>
                <w:szCs w:val="18"/>
              </w:rPr>
            </w:pPr>
            <w:r w:rsidRPr="001C60BB">
              <w:rPr>
                <w:rFonts w:ascii="宋体" w:eastAsia="宋体" w:hAnsi="宋体" w:cs="宋体"/>
                <w:sz w:val="18"/>
                <w:szCs w:val="18"/>
              </w:rPr>
              <w:t>87,882,391.12</w:t>
            </w:r>
          </w:p>
        </w:tc>
        <w:tc>
          <w:tcPr>
            <w:tcW w:w="709" w:type="dxa"/>
            <w:shd w:val="clear" w:color="auto" w:fill="FFFFFF" w:themeFill="background1"/>
            <w:vAlign w:val="center"/>
          </w:tcPr>
          <w:p w14:paraId="196D1B02" w14:textId="77777777" w:rsidR="00632E5B" w:rsidRPr="001C60BB" w:rsidRDefault="00107901" w:rsidP="00B158CE">
            <w:pPr>
              <w:spacing w:line="276" w:lineRule="auto"/>
              <w:rPr>
                <w:rFonts w:ascii="宋体" w:eastAsia="宋体" w:hAnsi="宋体" w:cs="宋体" w:hint="eastAsia"/>
                <w:sz w:val="18"/>
                <w:szCs w:val="18"/>
              </w:rPr>
            </w:pPr>
            <w:r w:rsidRPr="001C60BB">
              <w:rPr>
                <w:rFonts w:ascii="宋体" w:eastAsia="宋体" w:hAnsi="宋体" w:cs="宋体"/>
                <w:sz w:val="18"/>
                <w:szCs w:val="18"/>
              </w:rPr>
              <w:t>抵押</w:t>
            </w:r>
          </w:p>
        </w:tc>
        <w:tc>
          <w:tcPr>
            <w:tcW w:w="1499" w:type="dxa"/>
            <w:shd w:val="clear" w:color="auto" w:fill="FFFFFF" w:themeFill="background1"/>
            <w:vAlign w:val="center"/>
          </w:tcPr>
          <w:p w14:paraId="09B1E8E8" w14:textId="77777777" w:rsidR="00632E5B" w:rsidRPr="001C60BB" w:rsidRDefault="00107901" w:rsidP="00B158CE">
            <w:pPr>
              <w:spacing w:line="276" w:lineRule="auto"/>
              <w:rPr>
                <w:rFonts w:ascii="宋体" w:eastAsia="宋体" w:hAnsi="宋体" w:cs="宋体" w:hint="eastAsia"/>
                <w:sz w:val="18"/>
                <w:szCs w:val="18"/>
              </w:rPr>
            </w:pPr>
            <w:r w:rsidRPr="001C60BB">
              <w:rPr>
                <w:rFonts w:ascii="宋体" w:eastAsia="宋体" w:hAnsi="宋体" w:cs="宋体"/>
                <w:sz w:val="18"/>
                <w:szCs w:val="18"/>
              </w:rPr>
              <w:t>抵押借款</w:t>
            </w:r>
          </w:p>
        </w:tc>
        <w:tc>
          <w:tcPr>
            <w:tcW w:w="1714" w:type="dxa"/>
            <w:gridSpan w:val="2"/>
            <w:shd w:val="clear" w:color="auto" w:fill="FFFFFF" w:themeFill="background1"/>
            <w:vAlign w:val="center"/>
          </w:tcPr>
          <w:p w14:paraId="0940C335" w14:textId="77777777" w:rsidR="00632E5B" w:rsidRPr="001C60BB" w:rsidRDefault="00107901" w:rsidP="00B158CE">
            <w:pPr>
              <w:spacing w:line="276" w:lineRule="auto"/>
              <w:jc w:val="right"/>
              <w:rPr>
                <w:rFonts w:ascii="宋体" w:eastAsia="宋体" w:hAnsi="宋体" w:cs="宋体" w:hint="eastAsia"/>
                <w:sz w:val="18"/>
                <w:szCs w:val="18"/>
              </w:rPr>
            </w:pPr>
            <w:r w:rsidRPr="001C60BB">
              <w:rPr>
                <w:rFonts w:ascii="宋体" w:eastAsia="宋体" w:hAnsi="宋体" w:cs="宋体"/>
                <w:sz w:val="18"/>
                <w:szCs w:val="18"/>
              </w:rPr>
              <w:t>423,972,985.50</w:t>
            </w:r>
          </w:p>
        </w:tc>
        <w:tc>
          <w:tcPr>
            <w:tcW w:w="1701" w:type="dxa"/>
            <w:shd w:val="clear" w:color="auto" w:fill="FFFFFF" w:themeFill="background1"/>
            <w:vAlign w:val="center"/>
          </w:tcPr>
          <w:p w14:paraId="148D8134" w14:textId="77777777" w:rsidR="00632E5B" w:rsidRPr="001C60BB" w:rsidRDefault="00107901" w:rsidP="00B158CE">
            <w:pPr>
              <w:spacing w:line="276" w:lineRule="auto"/>
              <w:jc w:val="right"/>
              <w:rPr>
                <w:rFonts w:ascii="宋体" w:eastAsia="宋体" w:hAnsi="宋体" w:cs="宋体" w:hint="eastAsia"/>
                <w:sz w:val="18"/>
                <w:szCs w:val="18"/>
              </w:rPr>
            </w:pPr>
            <w:r w:rsidRPr="001C60BB">
              <w:rPr>
                <w:rFonts w:ascii="宋体" w:eastAsia="宋体" w:hAnsi="宋体" w:cs="宋体"/>
                <w:sz w:val="18"/>
                <w:szCs w:val="18"/>
              </w:rPr>
              <w:t>304,993,838.47</w:t>
            </w:r>
          </w:p>
        </w:tc>
        <w:tc>
          <w:tcPr>
            <w:tcW w:w="1071" w:type="dxa"/>
            <w:shd w:val="clear" w:color="auto" w:fill="FFFFFF" w:themeFill="background1"/>
            <w:vAlign w:val="center"/>
          </w:tcPr>
          <w:p w14:paraId="13A25D2B" w14:textId="77777777" w:rsidR="00632E5B" w:rsidRPr="001C60BB" w:rsidRDefault="00107901" w:rsidP="00B158CE">
            <w:pPr>
              <w:spacing w:line="276" w:lineRule="auto"/>
              <w:rPr>
                <w:rFonts w:ascii="宋体" w:eastAsia="宋体" w:hAnsi="宋体" w:cs="宋体" w:hint="eastAsia"/>
                <w:sz w:val="18"/>
                <w:szCs w:val="18"/>
              </w:rPr>
            </w:pPr>
            <w:r w:rsidRPr="001C60BB">
              <w:rPr>
                <w:rFonts w:ascii="宋体" w:eastAsia="宋体" w:hAnsi="宋体" w:cs="宋体"/>
                <w:sz w:val="18"/>
                <w:szCs w:val="18"/>
              </w:rPr>
              <w:t>抵押等</w:t>
            </w:r>
          </w:p>
        </w:tc>
        <w:tc>
          <w:tcPr>
            <w:tcW w:w="2615" w:type="dxa"/>
            <w:shd w:val="clear" w:color="auto" w:fill="FFFFFF" w:themeFill="background1"/>
            <w:vAlign w:val="center"/>
          </w:tcPr>
          <w:p w14:paraId="56DCF3B7" w14:textId="77777777" w:rsidR="00632E5B" w:rsidRPr="001C60BB" w:rsidRDefault="00107901" w:rsidP="00B158CE">
            <w:pPr>
              <w:spacing w:line="276" w:lineRule="auto"/>
              <w:rPr>
                <w:rFonts w:ascii="宋体" w:eastAsia="宋体" w:hAnsi="宋体" w:cs="宋体" w:hint="eastAsia"/>
                <w:sz w:val="18"/>
                <w:szCs w:val="18"/>
              </w:rPr>
            </w:pPr>
            <w:r w:rsidRPr="001C60BB">
              <w:rPr>
                <w:rFonts w:ascii="宋体" w:eastAsia="宋体" w:hAnsi="宋体" w:cs="宋体"/>
                <w:sz w:val="18"/>
                <w:szCs w:val="18"/>
              </w:rPr>
              <w:t>抵押借款等</w:t>
            </w:r>
          </w:p>
        </w:tc>
      </w:tr>
      <w:tr w:rsidR="001C60BB" w:rsidRPr="001C60BB" w14:paraId="5C7F1AC2" w14:textId="77777777" w:rsidTr="001C60BB">
        <w:trPr>
          <w:gridAfter w:val="1"/>
          <w:wAfter w:w="28" w:type="dxa"/>
          <w:trHeight w:val="240"/>
          <w:jc w:val="center"/>
        </w:trPr>
        <w:tc>
          <w:tcPr>
            <w:tcW w:w="1273" w:type="dxa"/>
            <w:shd w:val="clear" w:color="auto" w:fill="FFFFFF" w:themeFill="background1"/>
            <w:vAlign w:val="center"/>
          </w:tcPr>
          <w:p w14:paraId="155BF94E" w14:textId="77777777" w:rsidR="00632E5B" w:rsidRPr="001C60BB" w:rsidRDefault="00107901" w:rsidP="00B158CE">
            <w:pPr>
              <w:spacing w:before="40" w:after="40" w:line="276" w:lineRule="auto"/>
              <w:rPr>
                <w:rFonts w:ascii="宋体" w:eastAsia="宋体" w:hAnsi="宋体" w:cs="宋体" w:hint="eastAsia"/>
                <w:sz w:val="18"/>
                <w:szCs w:val="18"/>
              </w:rPr>
            </w:pPr>
            <w:r w:rsidRPr="001C60BB">
              <w:rPr>
                <w:rFonts w:ascii="宋体" w:eastAsia="宋体" w:hAnsi="宋体" w:cs="宋体"/>
                <w:sz w:val="18"/>
                <w:szCs w:val="18"/>
              </w:rPr>
              <w:t>合计</w:t>
            </w:r>
          </w:p>
        </w:tc>
        <w:tc>
          <w:tcPr>
            <w:tcW w:w="1701" w:type="dxa"/>
            <w:shd w:val="clear" w:color="auto" w:fill="FFFFFF" w:themeFill="background1"/>
            <w:vAlign w:val="center"/>
          </w:tcPr>
          <w:p w14:paraId="0477E94D" w14:textId="77777777" w:rsidR="00632E5B" w:rsidRPr="001C60BB" w:rsidRDefault="00107901" w:rsidP="00B158CE">
            <w:pPr>
              <w:spacing w:line="276" w:lineRule="auto"/>
              <w:jc w:val="right"/>
              <w:rPr>
                <w:rFonts w:ascii="宋体" w:eastAsia="宋体" w:hAnsi="宋体" w:cs="宋体" w:hint="eastAsia"/>
                <w:sz w:val="18"/>
                <w:szCs w:val="18"/>
              </w:rPr>
            </w:pPr>
            <w:r w:rsidRPr="001C60BB">
              <w:rPr>
                <w:rFonts w:ascii="宋体" w:eastAsia="宋体" w:hAnsi="宋体" w:cs="宋体"/>
                <w:sz w:val="18"/>
                <w:szCs w:val="18"/>
              </w:rPr>
              <w:t>6,820,070,489.26</w:t>
            </w:r>
          </w:p>
        </w:tc>
        <w:tc>
          <w:tcPr>
            <w:tcW w:w="1748" w:type="dxa"/>
            <w:shd w:val="clear" w:color="auto" w:fill="FFFFFF" w:themeFill="background1"/>
            <w:vAlign w:val="center"/>
          </w:tcPr>
          <w:p w14:paraId="073DD8C9" w14:textId="77777777" w:rsidR="00632E5B" w:rsidRPr="001C60BB" w:rsidRDefault="00107901" w:rsidP="00B158CE">
            <w:pPr>
              <w:spacing w:line="276" w:lineRule="auto"/>
              <w:jc w:val="right"/>
              <w:rPr>
                <w:rFonts w:ascii="宋体" w:eastAsia="宋体" w:hAnsi="宋体" w:cs="宋体" w:hint="eastAsia"/>
                <w:sz w:val="18"/>
                <w:szCs w:val="18"/>
              </w:rPr>
            </w:pPr>
            <w:r w:rsidRPr="001C60BB">
              <w:rPr>
                <w:rFonts w:ascii="宋体" w:eastAsia="宋体" w:hAnsi="宋体" w:cs="宋体"/>
                <w:sz w:val="18"/>
                <w:szCs w:val="18"/>
              </w:rPr>
              <w:t>3,773,412,919.57</w:t>
            </w:r>
          </w:p>
        </w:tc>
        <w:tc>
          <w:tcPr>
            <w:tcW w:w="709" w:type="dxa"/>
            <w:shd w:val="clear" w:color="auto" w:fill="FFFFFF" w:themeFill="background1"/>
            <w:vAlign w:val="center"/>
          </w:tcPr>
          <w:p w14:paraId="6AB25821" w14:textId="77777777" w:rsidR="00632E5B" w:rsidRPr="001C60BB" w:rsidRDefault="00632E5B" w:rsidP="00B158CE">
            <w:pPr>
              <w:spacing w:line="276" w:lineRule="auto"/>
              <w:rPr>
                <w:sz w:val="18"/>
                <w:szCs w:val="18"/>
              </w:rPr>
            </w:pPr>
          </w:p>
        </w:tc>
        <w:tc>
          <w:tcPr>
            <w:tcW w:w="1499" w:type="dxa"/>
            <w:shd w:val="clear" w:color="auto" w:fill="FFFFFF" w:themeFill="background1"/>
            <w:vAlign w:val="center"/>
          </w:tcPr>
          <w:p w14:paraId="56EBE445" w14:textId="77777777" w:rsidR="00632E5B" w:rsidRPr="001C60BB" w:rsidRDefault="00632E5B" w:rsidP="00B158CE">
            <w:pPr>
              <w:spacing w:line="276" w:lineRule="auto"/>
              <w:rPr>
                <w:sz w:val="18"/>
                <w:szCs w:val="18"/>
              </w:rPr>
            </w:pPr>
          </w:p>
        </w:tc>
        <w:tc>
          <w:tcPr>
            <w:tcW w:w="1714" w:type="dxa"/>
            <w:gridSpan w:val="2"/>
            <w:shd w:val="clear" w:color="auto" w:fill="FFFFFF" w:themeFill="background1"/>
            <w:vAlign w:val="center"/>
          </w:tcPr>
          <w:p w14:paraId="32A115B1" w14:textId="77777777" w:rsidR="00632E5B" w:rsidRPr="001C60BB" w:rsidRDefault="00107901" w:rsidP="00B158CE">
            <w:pPr>
              <w:spacing w:line="276" w:lineRule="auto"/>
              <w:jc w:val="right"/>
              <w:rPr>
                <w:rFonts w:ascii="宋体" w:eastAsia="宋体" w:hAnsi="宋体" w:cs="宋体" w:hint="eastAsia"/>
                <w:sz w:val="18"/>
                <w:szCs w:val="18"/>
              </w:rPr>
            </w:pPr>
            <w:r w:rsidRPr="001C60BB">
              <w:rPr>
                <w:rFonts w:ascii="宋体" w:eastAsia="宋体" w:hAnsi="宋体" w:cs="宋体"/>
                <w:sz w:val="18"/>
                <w:szCs w:val="18"/>
              </w:rPr>
              <w:t>6,025,869,807.35</w:t>
            </w:r>
          </w:p>
        </w:tc>
        <w:tc>
          <w:tcPr>
            <w:tcW w:w="1701" w:type="dxa"/>
            <w:shd w:val="clear" w:color="auto" w:fill="FFFFFF" w:themeFill="background1"/>
            <w:vAlign w:val="center"/>
          </w:tcPr>
          <w:p w14:paraId="68C9ECFB" w14:textId="77777777" w:rsidR="00632E5B" w:rsidRPr="001C60BB" w:rsidRDefault="00107901" w:rsidP="00B158CE">
            <w:pPr>
              <w:spacing w:line="276" w:lineRule="auto"/>
              <w:jc w:val="right"/>
              <w:rPr>
                <w:rFonts w:ascii="宋体" w:eastAsia="宋体" w:hAnsi="宋体" w:cs="宋体" w:hint="eastAsia"/>
                <w:sz w:val="18"/>
                <w:szCs w:val="18"/>
              </w:rPr>
            </w:pPr>
            <w:r w:rsidRPr="001C60BB">
              <w:rPr>
                <w:rFonts w:ascii="宋体" w:eastAsia="宋体" w:hAnsi="宋体" w:cs="宋体"/>
                <w:sz w:val="18"/>
                <w:szCs w:val="18"/>
              </w:rPr>
              <w:t>3,543,276,947.84</w:t>
            </w:r>
          </w:p>
        </w:tc>
        <w:tc>
          <w:tcPr>
            <w:tcW w:w="1071" w:type="dxa"/>
            <w:shd w:val="clear" w:color="auto" w:fill="FFFFFF" w:themeFill="background1"/>
            <w:vAlign w:val="center"/>
          </w:tcPr>
          <w:p w14:paraId="2595568A" w14:textId="77777777" w:rsidR="00632E5B" w:rsidRPr="001C60BB" w:rsidRDefault="00632E5B" w:rsidP="00B158CE">
            <w:pPr>
              <w:spacing w:line="276" w:lineRule="auto"/>
              <w:rPr>
                <w:sz w:val="18"/>
                <w:szCs w:val="18"/>
              </w:rPr>
            </w:pPr>
          </w:p>
        </w:tc>
        <w:tc>
          <w:tcPr>
            <w:tcW w:w="2615" w:type="dxa"/>
            <w:shd w:val="clear" w:color="auto" w:fill="FFFFFF" w:themeFill="background1"/>
            <w:vAlign w:val="center"/>
          </w:tcPr>
          <w:p w14:paraId="6D25C18C" w14:textId="77777777" w:rsidR="00632E5B" w:rsidRPr="001C60BB" w:rsidRDefault="00632E5B" w:rsidP="00B158CE">
            <w:pPr>
              <w:spacing w:line="276" w:lineRule="auto"/>
              <w:rPr>
                <w:sz w:val="18"/>
                <w:szCs w:val="18"/>
              </w:rPr>
            </w:pPr>
          </w:p>
        </w:tc>
      </w:tr>
    </w:tbl>
    <w:p w14:paraId="5A9EC525" w14:textId="77777777" w:rsidR="001C60BB" w:rsidRDefault="001C60BB">
      <w:pPr>
        <w:pStyle w:val="3"/>
        <w:spacing w:line="280" w:lineRule="exact"/>
        <w:jc w:val="left"/>
        <w:rPr>
          <w:rFonts w:ascii="宋体" w:hAnsi="宋体" w:cs="宋体" w:hint="eastAsia"/>
          <w:b/>
          <w:bCs/>
        </w:rPr>
        <w:sectPr w:rsidR="001C60BB" w:rsidSect="001C60BB">
          <w:pgSz w:w="16840" w:h="11905" w:orient="landscape"/>
          <w:pgMar w:top="1134" w:right="1440" w:bottom="1134" w:left="1440" w:header="851" w:footer="992" w:gutter="0"/>
          <w:cols w:space="720"/>
          <w:docGrid w:type="lines" w:linePitch="312"/>
        </w:sectPr>
      </w:pPr>
      <w:bookmarkStart w:id="274" w:name="_Toc989161"/>
    </w:p>
    <w:p w14:paraId="69A6E51A" w14:textId="77777777" w:rsidR="00632E5B" w:rsidRDefault="00107901">
      <w:pPr>
        <w:pStyle w:val="3"/>
        <w:spacing w:line="280" w:lineRule="exact"/>
        <w:jc w:val="left"/>
        <w:rPr>
          <w:rFonts w:ascii="宋体" w:hAnsi="宋体" w:cs="宋体" w:hint="eastAsia"/>
          <w:b/>
          <w:bCs/>
        </w:rPr>
      </w:pPr>
      <w:r>
        <w:rPr>
          <w:rFonts w:ascii="宋体" w:hAnsi="宋体" w:cs="宋体"/>
          <w:b/>
          <w:bCs/>
        </w:rPr>
        <w:lastRenderedPageBreak/>
        <w:t>22、短期借款</w:t>
      </w:r>
      <w:bookmarkEnd w:id="274"/>
    </w:p>
    <w:p w14:paraId="42AFFD3F"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275" w:name="_Toc989162"/>
      <w:r>
        <w:rPr>
          <w:rFonts w:ascii="宋体" w:eastAsia="宋体" w:hAnsi="宋体" w:cs="宋体"/>
          <w:b/>
          <w:bCs/>
          <w:szCs w:val="21"/>
        </w:rPr>
        <w:t>（1） 短期借款分类</w:t>
      </w:r>
      <w:bookmarkEnd w:id="275"/>
    </w:p>
    <w:p w14:paraId="74933BD1"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72F90F2E" w14:textId="77777777" w:rsidTr="00B158CE">
        <w:trPr>
          <w:trHeight w:val="240"/>
        </w:trPr>
        <w:tc>
          <w:tcPr>
            <w:tcW w:w="3213" w:type="dxa"/>
            <w:shd w:val="clear" w:color="auto" w:fill="FFFFFF" w:themeFill="background1"/>
            <w:vAlign w:val="center"/>
          </w:tcPr>
          <w:p w14:paraId="4F6AAA4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4A13284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auto" w:fill="FFFFFF" w:themeFill="background1"/>
            <w:vAlign w:val="center"/>
          </w:tcPr>
          <w:p w14:paraId="5BFC23D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632E5B" w14:paraId="3147AEE0" w14:textId="77777777" w:rsidTr="00B158CE">
        <w:trPr>
          <w:trHeight w:val="240"/>
        </w:trPr>
        <w:tc>
          <w:tcPr>
            <w:tcW w:w="3213" w:type="dxa"/>
            <w:shd w:val="clear" w:color="auto" w:fill="FFFFFF" w:themeFill="background1"/>
            <w:vAlign w:val="center"/>
          </w:tcPr>
          <w:p w14:paraId="57C84A80"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抵押借款</w:t>
            </w:r>
          </w:p>
        </w:tc>
        <w:tc>
          <w:tcPr>
            <w:tcW w:w="3213" w:type="dxa"/>
            <w:shd w:val="clear" w:color="auto" w:fill="FFFFFF" w:themeFill="background1"/>
            <w:vAlign w:val="center"/>
          </w:tcPr>
          <w:p w14:paraId="39DEF4D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271,359,561.83</w:t>
            </w:r>
          </w:p>
        </w:tc>
        <w:tc>
          <w:tcPr>
            <w:tcW w:w="3213" w:type="dxa"/>
            <w:shd w:val="clear" w:color="auto" w:fill="FFFFFF" w:themeFill="background1"/>
            <w:vAlign w:val="center"/>
          </w:tcPr>
          <w:p w14:paraId="39634B2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1,267,252,307.95</w:t>
            </w:r>
          </w:p>
        </w:tc>
      </w:tr>
      <w:tr w:rsidR="00632E5B" w14:paraId="538AB05D" w14:textId="77777777" w:rsidTr="00B158CE">
        <w:trPr>
          <w:trHeight w:val="240"/>
        </w:trPr>
        <w:tc>
          <w:tcPr>
            <w:tcW w:w="3213" w:type="dxa"/>
            <w:shd w:val="clear" w:color="auto" w:fill="FFFFFF" w:themeFill="background1"/>
            <w:vAlign w:val="center"/>
          </w:tcPr>
          <w:p w14:paraId="260CA3B0"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保证借款</w:t>
            </w:r>
          </w:p>
        </w:tc>
        <w:tc>
          <w:tcPr>
            <w:tcW w:w="3213" w:type="dxa"/>
            <w:shd w:val="clear" w:color="auto" w:fill="FFFFFF" w:themeFill="background1"/>
            <w:vAlign w:val="center"/>
          </w:tcPr>
          <w:p w14:paraId="4DF0686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85,905,812.07</w:t>
            </w:r>
          </w:p>
        </w:tc>
        <w:tc>
          <w:tcPr>
            <w:tcW w:w="3213" w:type="dxa"/>
            <w:shd w:val="clear" w:color="auto" w:fill="FFFFFF" w:themeFill="background1"/>
            <w:vAlign w:val="center"/>
          </w:tcPr>
          <w:p w14:paraId="1AE1627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198,449,450.00</w:t>
            </w:r>
          </w:p>
        </w:tc>
      </w:tr>
      <w:tr w:rsidR="00632E5B" w14:paraId="763EAA61" w14:textId="77777777" w:rsidTr="00B158CE">
        <w:trPr>
          <w:trHeight w:val="240"/>
        </w:trPr>
        <w:tc>
          <w:tcPr>
            <w:tcW w:w="3213" w:type="dxa"/>
            <w:shd w:val="clear" w:color="auto" w:fill="FFFFFF" w:themeFill="background1"/>
            <w:vAlign w:val="center"/>
          </w:tcPr>
          <w:p w14:paraId="0A9CD0C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保证+抵押借款</w:t>
            </w:r>
          </w:p>
        </w:tc>
        <w:tc>
          <w:tcPr>
            <w:tcW w:w="3213" w:type="dxa"/>
            <w:shd w:val="clear" w:color="auto" w:fill="FFFFFF" w:themeFill="background1"/>
            <w:vAlign w:val="center"/>
          </w:tcPr>
          <w:p w14:paraId="3D0238D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109,536,955.41</w:t>
            </w:r>
          </w:p>
        </w:tc>
        <w:tc>
          <w:tcPr>
            <w:tcW w:w="3213" w:type="dxa"/>
            <w:shd w:val="clear" w:color="auto" w:fill="FFFFFF" w:themeFill="background1"/>
            <w:vAlign w:val="center"/>
          </w:tcPr>
          <w:p w14:paraId="194B3BB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961,068,084.11</w:t>
            </w:r>
          </w:p>
        </w:tc>
      </w:tr>
      <w:tr w:rsidR="00632E5B" w14:paraId="1FFF80EC" w14:textId="77777777" w:rsidTr="00B158CE">
        <w:trPr>
          <w:trHeight w:val="240"/>
        </w:trPr>
        <w:tc>
          <w:tcPr>
            <w:tcW w:w="3213" w:type="dxa"/>
            <w:shd w:val="clear" w:color="auto" w:fill="FFFFFF" w:themeFill="background1"/>
            <w:vAlign w:val="center"/>
          </w:tcPr>
          <w:p w14:paraId="5D1B2F5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抵押+质押借款</w:t>
            </w:r>
          </w:p>
        </w:tc>
        <w:tc>
          <w:tcPr>
            <w:tcW w:w="3213" w:type="dxa"/>
            <w:shd w:val="clear" w:color="auto" w:fill="FFFFFF" w:themeFill="background1"/>
            <w:vAlign w:val="center"/>
          </w:tcPr>
          <w:p w14:paraId="76F41037" w14:textId="77777777" w:rsidR="00632E5B" w:rsidRDefault="00632E5B">
            <w:pPr>
              <w:spacing w:line="240" w:lineRule="exact"/>
              <w:jc w:val="right"/>
              <w:rPr>
                <w:rFonts w:ascii="宋体" w:eastAsia="宋体" w:hAnsi="宋体" w:cs="宋体" w:hint="eastAsia"/>
                <w:sz w:val="18"/>
                <w:szCs w:val="18"/>
              </w:rPr>
            </w:pPr>
          </w:p>
        </w:tc>
        <w:tc>
          <w:tcPr>
            <w:tcW w:w="3213" w:type="dxa"/>
            <w:shd w:val="clear" w:color="auto" w:fill="FFFFFF" w:themeFill="background1"/>
            <w:vAlign w:val="center"/>
          </w:tcPr>
          <w:p w14:paraId="0C1F189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483,725,044.48</w:t>
            </w:r>
          </w:p>
        </w:tc>
      </w:tr>
      <w:tr w:rsidR="00632E5B" w14:paraId="54409D40" w14:textId="77777777" w:rsidTr="00B158CE">
        <w:trPr>
          <w:trHeight w:val="240"/>
        </w:trPr>
        <w:tc>
          <w:tcPr>
            <w:tcW w:w="3213" w:type="dxa"/>
            <w:shd w:val="clear" w:color="auto" w:fill="FFFFFF" w:themeFill="background1"/>
            <w:vAlign w:val="center"/>
          </w:tcPr>
          <w:p w14:paraId="2801A15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应付利息</w:t>
            </w:r>
          </w:p>
        </w:tc>
        <w:tc>
          <w:tcPr>
            <w:tcW w:w="3213" w:type="dxa"/>
            <w:shd w:val="clear" w:color="auto" w:fill="FFFFFF" w:themeFill="background1"/>
            <w:vAlign w:val="center"/>
          </w:tcPr>
          <w:p w14:paraId="61969A7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94,262.07</w:t>
            </w:r>
          </w:p>
        </w:tc>
        <w:tc>
          <w:tcPr>
            <w:tcW w:w="3213" w:type="dxa"/>
            <w:shd w:val="clear" w:color="auto" w:fill="FFFFFF" w:themeFill="background1"/>
            <w:vAlign w:val="center"/>
          </w:tcPr>
          <w:p w14:paraId="69B15CC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110,161.37</w:t>
            </w:r>
          </w:p>
        </w:tc>
      </w:tr>
      <w:tr w:rsidR="00632E5B" w14:paraId="690AFB4D" w14:textId="77777777" w:rsidTr="00B158CE">
        <w:trPr>
          <w:trHeight w:val="240"/>
        </w:trPr>
        <w:tc>
          <w:tcPr>
            <w:tcW w:w="3213" w:type="dxa"/>
            <w:shd w:val="clear" w:color="auto" w:fill="FFFFFF" w:themeFill="background1"/>
            <w:vAlign w:val="center"/>
          </w:tcPr>
          <w:p w14:paraId="4DDD761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44093CE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466,896,591.38</w:t>
            </w:r>
          </w:p>
        </w:tc>
        <w:tc>
          <w:tcPr>
            <w:tcW w:w="3213" w:type="dxa"/>
            <w:shd w:val="clear" w:color="auto" w:fill="FFFFFF" w:themeFill="background1"/>
            <w:vAlign w:val="center"/>
          </w:tcPr>
          <w:p w14:paraId="317177B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2,910,605,047.91</w:t>
            </w:r>
          </w:p>
        </w:tc>
      </w:tr>
    </w:tbl>
    <w:p w14:paraId="004DDC4F"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276" w:name="_Toc989163"/>
      <w:r>
        <w:rPr>
          <w:rFonts w:ascii="宋体" w:eastAsia="宋体" w:hAnsi="宋体" w:cs="宋体"/>
          <w:b/>
          <w:bCs/>
          <w:szCs w:val="21"/>
        </w:rPr>
        <w:t>（2） 已逾期未偿还的短期借款情况</w:t>
      </w:r>
      <w:bookmarkEnd w:id="276"/>
    </w:p>
    <w:p w14:paraId="46097D5E"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本期末已逾期未偿还的短期借款总额为83,924,663.22元，其中重要的已逾期未偿还的短期借款情况如下：</w:t>
      </w:r>
    </w:p>
    <w:p w14:paraId="751B619A" w14:textId="77777777" w:rsidR="00632E5B" w:rsidRDefault="00107901" w:rsidP="004D5509">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17"/>
        <w:gridCol w:w="1782"/>
        <w:gridCol w:w="1314"/>
        <w:gridCol w:w="1476"/>
        <w:gridCol w:w="936"/>
      </w:tblGrid>
      <w:tr w:rsidR="00E72F0C" w:rsidRPr="00255FB6" w14:paraId="48E2A045" w14:textId="77777777" w:rsidTr="00255FB6">
        <w:trPr>
          <w:divId w:val="1701391199"/>
          <w:trHeight w:val="312"/>
          <w:tblHeader/>
        </w:trPr>
        <w:tc>
          <w:tcPr>
            <w:tcW w:w="2142" w:type="pct"/>
            <w:noWrap/>
            <w:tcMar>
              <w:top w:w="0" w:type="dxa"/>
              <w:left w:w="108" w:type="dxa"/>
              <w:bottom w:w="0" w:type="dxa"/>
              <w:right w:w="108" w:type="dxa"/>
            </w:tcMar>
            <w:vAlign w:val="center"/>
            <w:hideMark/>
          </w:tcPr>
          <w:p w14:paraId="367C5319" w14:textId="77777777" w:rsidR="00E72F0C" w:rsidRPr="00255FB6" w:rsidRDefault="00107901">
            <w:pPr>
              <w:pStyle w:val="a3"/>
              <w:spacing w:before="0" w:beforeAutospacing="0" w:after="0" w:afterAutospacing="0"/>
              <w:jc w:val="center"/>
              <w:rPr>
                <w:rFonts w:asciiTheme="minorEastAsia" w:eastAsiaTheme="minorEastAsia" w:hAnsiTheme="minorEastAsia" w:cs="Times New Roman" w:hint="eastAsia"/>
                <w:sz w:val="21"/>
                <w:szCs w:val="21"/>
              </w:rPr>
            </w:pPr>
            <w:r w:rsidRPr="00255FB6">
              <w:rPr>
                <w:rFonts w:asciiTheme="minorEastAsia" w:eastAsiaTheme="minorEastAsia" w:hAnsiTheme="minorEastAsia" w:cs="Times New Roman" w:hint="eastAsia"/>
                <w:sz w:val="18"/>
                <w:szCs w:val="18"/>
              </w:rPr>
              <w:t>借款单位</w:t>
            </w:r>
          </w:p>
        </w:tc>
        <w:tc>
          <w:tcPr>
            <w:tcW w:w="969" w:type="pct"/>
            <w:noWrap/>
            <w:tcMar>
              <w:top w:w="0" w:type="dxa"/>
              <w:left w:w="108" w:type="dxa"/>
              <w:bottom w:w="0" w:type="dxa"/>
              <w:right w:w="108" w:type="dxa"/>
            </w:tcMar>
            <w:vAlign w:val="center"/>
            <w:hideMark/>
          </w:tcPr>
          <w:p w14:paraId="5A8CAD30" w14:textId="77777777" w:rsidR="00E72F0C" w:rsidRPr="00255FB6" w:rsidRDefault="00107901">
            <w:pPr>
              <w:pStyle w:val="a3"/>
              <w:spacing w:before="0" w:beforeAutospacing="0" w:after="0" w:afterAutospacing="0"/>
              <w:jc w:val="center"/>
              <w:rPr>
                <w:rFonts w:asciiTheme="minorEastAsia" w:eastAsiaTheme="minorEastAsia" w:hAnsiTheme="minorEastAsia" w:cs="Times New Roman" w:hint="eastAsia"/>
                <w:sz w:val="21"/>
                <w:szCs w:val="21"/>
              </w:rPr>
            </w:pPr>
            <w:r w:rsidRPr="00255FB6">
              <w:rPr>
                <w:rFonts w:asciiTheme="minorEastAsia" w:eastAsiaTheme="minorEastAsia" w:hAnsiTheme="minorEastAsia" w:cs="Times New Roman" w:hint="eastAsia"/>
                <w:sz w:val="18"/>
                <w:szCs w:val="18"/>
              </w:rPr>
              <w:t>期末余额</w:t>
            </w:r>
          </w:p>
        </w:tc>
        <w:tc>
          <w:tcPr>
            <w:tcW w:w="723" w:type="pct"/>
            <w:noWrap/>
            <w:tcMar>
              <w:top w:w="0" w:type="dxa"/>
              <w:left w:w="108" w:type="dxa"/>
              <w:bottom w:w="0" w:type="dxa"/>
              <w:right w:w="108" w:type="dxa"/>
            </w:tcMar>
            <w:vAlign w:val="center"/>
            <w:hideMark/>
          </w:tcPr>
          <w:p w14:paraId="61DCF2BC" w14:textId="77777777" w:rsidR="00E72F0C" w:rsidRPr="00255FB6" w:rsidRDefault="00107901">
            <w:pPr>
              <w:pStyle w:val="a3"/>
              <w:spacing w:before="0" w:beforeAutospacing="0" w:after="0" w:afterAutospacing="0"/>
              <w:jc w:val="center"/>
              <w:rPr>
                <w:rFonts w:asciiTheme="minorEastAsia" w:eastAsiaTheme="minorEastAsia" w:hAnsiTheme="minorEastAsia" w:cs="Times New Roman" w:hint="eastAsia"/>
                <w:sz w:val="21"/>
                <w:szCs w:val="21"/>
              </w:rPr>
            </w:pPr>
            <w:r w:rsidRPr="00255FB6">
              <w:rPr>
                <w:rFonts w:asciiTheme="minorEastAsia" w:eastAsiaTheme="minorEastAsia" w:hAnsiTheme="minorEastAsia" w:cs="Times New Roman" w:hint="eastAsia"/>
                <w:sz w:val="18"/>
                <w:szCs w:val="18"/>
              </w:rPr>
              <w:t>借款年利率</w:t>
            </w:r>
          </w:p>
        </w:tc>
        <w:tc>
          <w:tcPr>
            <w:tcW w:w="663" w:type="pct"/>
            <w:noWrap/>
            <w:tcMar>
              <w:top w:w="0" w:type="dxa"/>
              <w:left w:w="108" w:type="dxa"/>
              <w:bottom w:w="0" w:type="dxa"/>
              <w:right w:w="108" w:type="dxa"/>
            </w:tcMar>
            <w:vAlign w:val="center"/>
            <w:hideMark/>
          </w:tcPr>
          <w:p w14:paraId="74591081" w14:textId="77777777" w:rsidR="00E72F0C" w:rsidRPr="00255FB6" w:rsidRDefault="00107901">
            <w:pPr>
              <w:pStyle w:val="a3"/>
              <w:spacing w:before="0" w:beforeAutospacing="0" w:after="0" w:afterAutospacing="0"/>
              <w:jc w:val="center"/>
              <w:rPr>
                <w:rFonts w:asciiTheme="minorEastAsia" w:eastAsiaTheme="minorEastAsia" w:hAnsiTheme="minorEastAsia" w:cs="Times New Roman" w:hint="eastAsia"/>
                <w:sz w:val="21"/>
                <w:szCs w:val="21"/>
              </w:rPr>
            </w:pPr>
            <w:r w:rsidRPr="00255FB6">
              <w:rPr>
                <w:rFonts w:asciiTheme="minorEastAsia" w:eastAsiaTheme="minorEastAsia" w:hAnsiTheme="minorEastAsia" w:cs="Times New Roman" w:hint="eastAsia"/>
                <w:sz w:val="18"/>
                <w:szCs w:val="18"/>
              </w:rPr>
              <w:t>逾期时间（天）</w:t>
            </w:r>
          </w:p>
        </w:tc>
        <w:tc>
          <w:tcPr>
            <w:tcW w:w="501" w:type="pct"/>
            <w:noWrap/>
            <w:tcMar>
              <w:top w:w="0" w:type="dxa"/>
              <w:left w:w="108" w:type="dxa"/>
              <w:bottom w:w="0" w:type="dxa"/>
              <w:right w:w="108" w:type="dxa"/>
            </w:tcMar>
            <w:vAlign w:val="center"/>
            <w:hideMark/>
          </w:tcPr>
          <w:p w14:paraId="17DB0885" w14:textId="77777777" w:rsidR="00E72F0C" w:rsidRPr="00255FB6" w:rsidRDefault="00107901">
            <w:pPr>
              <w:pStyle w:val="a3"/>
              <w:spacing w:before="0" w:beforeAutospacing="0" w:after="0" w:afterAutospacing="0"/>
              <w:jc w:val="center"/>
              <w:rPr>
                <w:rFonts w:asciiTheme="minorEastAsia" w:eastAsiaTheme="minorEastAsia" w:hAnsiTheme="minorEastAsia" w:cs="Times New Roman" w:hint="eastAsia"/>
                <w:sz w:val="21"/>
                <w:szCs w:val="21"/>
              </w:rPr>
            </w:pPr>
            <w:r w:rsidRPr="00255FB6">
              <w:rPr>
                <w:rFonts w:asciiTheme="minorEastAsia" w:eastAsiaTheme="minorEastAsia" w:hAnsiTheme="minorEastAsia" w:cs="Times New Roman" w:hint="eastAsia"/>
                <w:sz w:val="18"/>
                <w:szCs w:val="18"/>
              </w:rPr>
              <w:t>逾期利率</w:t>
            </w:r>
          </w:p>
        </w:tc>
      </w:tr>
      <w:tr w:rsidR="00E72F0C" w:rsidRPr="00255FB6" w14:paraId="70AF9B67" w14:textId="77777777" w:rsidTr="00255FB6">
        <w:trPr>
          <w:divId w:val="1701391199"/>
          <w:trHeight w:val="312"/>
        </w:trPr>
        <w:tc>
          <w:tcPr>
            <w:tcW w:w="2142" w:type="pct"/>
            <w:noWrap/>
            <w:tcMar>
              <w:top w:w="0" w:type="dxa"/>
              <w:left w:w="108" w:type="dxa"/>
              <w:bottom w:w="0" w:type="dxa"/>
              <w:right w:w="108" w:type="dxa"/>
            </w:tcMar>
            <w:hideMark/>
          </w:tcPr>
          <w:p w14:paraId="392B5B9F" w14:textId="77777777" w:rsidR="00E72F0C" w:rsidRPr="00255FB6" w:rsidRDefault="00107901">
            <w:pPr>
              <w:pStyle w:val="a3"/>
              <w:spacing w:before="0" w:beforeAutospacing="0" w:after="0" w:afterAutospacing="0"/>
              <w:jc w:val="both"/>
              <w:rPr>
                <w:rFonts w:asciiTheme="minorEastAsia" w:eastAsiaTheme="minorEastAsia" w:hAnsiTheme="minorEastAsia" w:cs="Times New Roman" w:hint="eastAsia"/>
                <w:sz w:val="21"/>
                <w:szCs w:val="21"/>
              </w:rPr>
            </w:pPr>
            <w:r w:rsidRPr="00255FB6">
              <w:rPr>
                <w:rFonts w:asciiTheme="minorEastAsia" w:eastAsiaTheme="minorEastAsia" w:hAnsiTheme="minorEastAsia" w:cs="Times New Roman" w:hint="eastAsia"/>
                <w:sz w:val="18"/>
                <w:szCs w:val="18"/>
              </w:rPr>
              <w:t>金融机构1青海省分行</w:t>
            </w:r>
          </w:p>
        </w:tc>
        <w:tc>
          <w:tcPr>
            <w:tcW w:w="969" w:type="pct"/>
            <w:noWrap/>
            <w:tcMar>
              <w:top w:w="0" w:type="dxa"/>
              <w:left w:w="108" w:type="dxa"/>
              <w:bottom w:w="0" w:type="dxa"/>
              <w:right w:w="108" w:type="dxa"/>
            </w:tcMar>
            <w:vAlign w:val="center"/>
            <w:hideMark/>
          </w:tcPr>
          <w:p w14:paraId="4F66B375" w14:textId="77777777" w:rsidR="00E72F0C" w:rsidRPr="00255FB6"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255FB6">
              <w:rPr>
                <w:rFonts w:asciiTheme="minorEastAsia" w:eastAsiaTheme="minorEastAsia" w:hAnsiTheme="minorEastAsia" w:cs="Arial"/>
                <w:sz w:val="18"/>
                <w:szCs w:val="18"/>
              </w:rPr>
              <w:t xml:space="preserve">37,739,100.00 </w:t>
            </w:r>
          </w:p>
        </w:tc>
        <w:tc>
          <w:tcPr>
            <w:tcW w:w="723" w:type="pct"/>
            <w:noWrap/>
            <w:tcMar>
              <w:top w:w="0" w:type="dxa"/>
              <w:left w:w="108" w:type="dxa"/>
              <w:bottom w:w="0" w:type="dxa"/>
              <w:right w:w="108" w:type="dxa"/>
            </w:tcMar>
            <w:vAlign w:val="bottom"/>
            <w:hideMark/>
          </w:tcPr>
          <w:p w14:paraId="31FF8165" w14:textId="77777777" w:rsidR="00E72F0C" w:rsidRPr="00255FB6"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255FB6">
              <w:rPr>
                <w:rFonts w:asciiTheme="minorEastAsia" w:eastAsiaTheme="minorEastAsia" w:hAnsiTheme="minorEastAsia" w:cs="Arial"/>
                <w:sz w:val="18"/>
                <w:szCs w:val="18"/>
              </w:rPr>
              <w:t>7.86%</w:t>
            </w:r>
          </w:p>
        </w:tc>
        <w:tc>
          <w:tcPr>
            <w:tcW w:w="663" w:type="pct"/>
            <w:noWrap/>
            <w:tcMar>
              <w:top w:w="0" w:type="dxa"/>
              <w:left w:w="108" w:type="dxa"/>
              <w:bottom w:w="0" w:type="dxa"/>
              <w:right w:w="108" w:type="dxa"/>
            </w:tcMar>
            <w:vAlign w:val="bottom"/>
            <w:hideMark/>
          </w:tcPr>
          <w:p w14:paraId="3213DD21" w14:textId="77777777" w:rsidR="00E72F0C" w:rsidRPr="00255FB6" w:rsidRDefault="00107901">
            <w:pPr>
              <w:pStyle w:val="a3"/>
              <w:spacing w:before="0" w:beforeAutospacing="0" w:after="0" w:afterAutospacing="0"/>
              <w:ind w:firstLine="360"/>
              <w:jc w:val="right"/>
              <w:rPr>
                <w:rFonts w:asciiTheme="minorEastAsia" w:eastAsiaTheme="minorEastAsia" w:hAnsiTheme="minorEastAsia" w:cs="Times New Roman" w:hint="eastAsia"/>
                <w:sz w:val="21"/>
                <w:szCs w:val="21"/>
              </w:rPr>
            </w:pPr>
            <w:r w:rsidRPr="00255FB6">
              <w:rPr>
                <w:rFonts w:asciiTheme="minorEastAsia" w:eastAsiaTheme="minorEastAsia" w:hAnsiTheme="minorEastAsia" w:cs="Arial"/>
                <w:sz w:val="18"/>
                <w:szCs w:val="18"/>
              </w:rPr>
              <w:t xml:space="preserve">427.00 </w:t>
            </w:r>
          </w:p>
        </w:tc>
        <w:tc>
          <w:tcPr>
            <w:tcW w:w="501" w:type="pct"/>
            <w:noWrap/>
            <w:tcMar>
              <w:top w:w="0" w:type="dxa"/>
              <w:left w:w="108" w:type="dxa"/>
              <w:bottom w:w="0" w:type="dxa"/>
              <w:right w:w="108" w:type="dxa"/>
            </w:tcMar>
            <w:vAlign w:val="bottom"/>
            <w:hideMark/>
          </w:tcPr>
          <w:p w14:paraId="3F1701DF" w14:textId="77777777" w:rsidR="00E72F0C" w:rsidRPr="00255FB6"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255FB6">
              <w:rPr>
                <w:rFonts w:asciiTheme="minorEastAsia" w:eastAsiaTheme="minorEastAsia" w:hAnsiTheme="minorEastAsia" w:cs="Arial"/>
                <w:sz w:val="18"/>
                <w:szCs w:val="18"/>
              </w:rPr>
              <w:t>8.86%</w:t>
            </w:r>
          </w:p>
        </w:tc>
      </w:tr>
      <w:tr w:rsidR="00E72F0C" w:rsidRPr="00255FB6" w14:paraId="32513D09" w14:textId="77777777" w:rsidTr="00255FB6">
        <w:trPr>
          <w:divId w:val="1701391199"/>
          <w:trHeight w:val="312"/>
        </w:trPr>
        <w:tc>
          <w:tcPr>
            <w:tcW w:w="2142" w:type="pct"/>
            <w:noWrap/>
            <w:tcMar>
              <w:top w:w="0" w:type="dxa"/>
              <w:left w:w="108" w:type="dxa"/>
              <w:bottom w:w="0" w:type="dxa"/>
              <w:right w:w="108" w:type="dxa"/>
            </w:tcMar>
            <w:hideMark/>
          </w:tcPr>
          <w:p w14:paraId="1BE9C4FE" w14:textId="77777777" w:rsidR="00E72F0C" w:rsidRPr="00255FB6" w:rsidRDefault="00107901">
            <w:pPr>
              <w:pStyle w:val="a3"/>
              <w:spacing w:before="0" w:beforeAutospacing="0" w:after="0" w:afterAutospacing="0"/>
              <w:jc w:val="both"/>
              <w:rPr>
                <w:rFonts w:asciiTheme="minorEastAsia" w:eastAsiaTheme="minorEastAsia" w:hAnsiTheme="minorEastAsia" w:cs="Times New Roman" w:hint="eastAsia"/>
                <w:sz w:val="21"/>
                <w:szCs w:val="21"/>
              </w:rPr>
            </w:pPr>
            <w:r w:rsidRPr="00255FB6">
              <w:rPr>
                <w:rFonts w:asciiTheme="minorEastAsia" w:eastAsiaTheme="minorEastAsia" w:hAnsiTheme="minorEastAsia" w:cs="Times New Roman" w:hint="eastAsia"/>
                <w:sz w:val="18"/>
                <w:szCs w:val="18"/>
              </w:rPr>
              <w:t>金融机构1青海省分行</w:t>
            </w:r>
          </w:p>
        </w:tc>
        <w:tc>
          <w:tcPr>
            <w:tcW w:w="969" w:type="pct"/>
            <w:noWrap/>
            <w:tcMar>
              <w:top w:w="0" w:type="dxa"/>
              <w:left w:w="108" w:type="dxa"/>
              <w:bottom w:w="0" w:type="dxa"/>
              <w:right w:w="108" w:type="dxa"/>
            </w:tcMar>
            <w:vAlign w:val="center"/>
            <w:hideMark/>
          </w:tcPr>
          <w:p w14:paraId="72370070" w14:textId="77777777" w:rsidR="00E72F0C" w:rsidRPr="00255FB6"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255FB6">
              <w:rPr>
                <w:rFonts w:asciiTheme="minorEastAsia" w:eastAsiaTheme="minorEastAsia" w:hAnsiTheme="minorEastAsia" w:cs="Arial"/>
                <w:sz w:val="18"/>
                <w:szCs w:val="18"/>
              </w:rPr>
              <w:t xml:space="preserve">25,620,136.32 </w:t>
            </w:r>
          </w:p>
        </w:tc>
        <w:tc>
          <w:tcPr>
            <w:tcW w:w="723" w:type="pct"/>
            <w:noWrap/>
            <w:tcMar>
              <w:top w:w="0" w:type="dxa"/>
              <w:left w:w="108" w:type="dxa"/>
              <w:bottom w:w="0" w:type="dxa"/>
              <w:right w:w="108" w:type="dxa"/>
            </w:tcMar>
            <w:vAlign w:val="bottom"/>
            <w:hideMark/>
          </w:tcPr>
          <w:p w14:paraId="4318C36C" w14:textId="77777777" w:rsidR="00E72F0C" w:rsidRPr="00255FB6"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255FB6">
              <w:rPr>
                <w:rFonts w:asciiTheme="minorEastAsia" w:eastAsiaTheme="minorEastAsia" w:hAnsiTheme="minorEastAsia" w:cs="Arial"/>
                <w:sz w:val="18"/>
                <w:szCs w:val="18"/>
              </w:rPr>
              <w:t>4.79%</w:t>
            </w:r>
          </w:p>
        </w:tc>
        <w:tc>
          <w:tcPr>
            <w:tcW w:w="663" w:type="pct"/>
            <w:noWrap/>
            <w:tcMar>
              <w:top w:w="0" w:type="dxa"/>
              <w:left w:w="108" w:type="dxa"/>
              <w:bottom w:w="0" w:type="dxa"/>
              <w:right w:w="108" w:type="dxa"/>
            </w:tcMar>
            <w:vAlign w:val="bottom"/>
            <w:hideMark/>
          </w:tcPr>
          <w:p w14:paraId="280DCE18" w14:textId="77777777" w:rsidR="00E72F0C" w:rsidRPr="00255FB6" w:rsidRDefault="00107901">
            <w:pPr>
              <w:pStyle w:val="a3"/>
              <w:spacing w:before="0" w:beforeAutospacing="0" w:after="0" w:afterAutospacing="0"/>
              <w:ind w:firstLine="360"/>
              <w:jc w:val="right"/>
              <w:rPr>
                <w:rFonts w:asciiTheme="minorEastAsia" w:eastAsiaTheme="minorEastAsia" w:hAnsiTheme="minorEastAsia" w:cs="Times New Roman" w:hint="eastAsia"/>
                <w:sz w:val="21"/>
                <w:szCs w:val="21"/>
              </w:rPr>
            </w:pPr>
            <w:r w:rsidRPr="00255FB6">
              <w:rPr>
                <w:rFonts w:asciiTheme="minorEastAsia" w:eastAsiaTheme="minorEastAsia" w:hAnsiTheme="minorEastAsia" w:cs="Arial"/>
                <w:sz w:val="18"/>
                <w:szCs w:val="18"/>
              </w:rPr>
              <w:t xml:space="preserve">427.00 </w:t>
            </w:r>
          </w:p>
        </w:tc>
        <w:tc>
          <w:tcPr>
            <w:tcW w:w="501" w:type="pct"/>
            <w:noWrap/>
            <w:tcMar>
              <w:top w:w="0" w:type="dxa"/>
              <w:left w:w="108" w:type="dxa"/>
              <w:bottom w:w="0" w:type="dxa"/>
              <w:right w:w="108" w:type="dxa"/>
            </w:tcMar>
            <w:vAlign w:val="bottom"/>
            <w:hideMark/>
          </w:tcPr>
          <w:p w14:paraId="34A8299D" w14:textId="77777777" w:rsidR="00E72F0C" w:rsidRPr="00255FB6"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255FB6">
              <w:rPr>
                <w:rFonts w:asciiTheme="minorEastAsia" w:eastAsiaTheme="minorEastAsia" w:hAnsiTheme="minorEastAsia" w:cs="Arial"/>
                <w:sz w:val="18"/>
                <w:szCs w:val="18"/>
              </w:rPr>
              <w:t>6.23%</w:t>
            </w:r>
          </w:p>
        </w:tc>
      </w:tr>
      <w:tr w:rsidR="00E72F0C" w:rsidRPr="00255FB6" w14:paraId="33A49919" w14:textId="77777777" w:rsidTr="00255FB6">
        <w:trPr>
          <w:divId w:val="1701391199"/>
          <w:trHeight w:val="312"/>
        </w:trPr>
        <w:tc>
          <w:tcPr>
            <w:tcW w:w="2142" w:type="pct"/>
            <w:noWrap/>
            <w:tcMar>
              <w:top w:w="0" w:type="dxa"/>
              <w:left w:w="108" w:type="dxa"/>
              <w:bottom w:w="0" w:type="dxa"/>
              <w:right w:w="108" w:type="dxa"/>
            </w:tcMar>
            <w:hideMark/>
          </w:tcPr>
          <w:p w14:paraId="719F434E" w14:textId="77777777" w:rsidR="00E72F0C" w:rsidRPr="00255FB6" w:rsidRDefault="00107901">
            <w:pPr>
              <w:pStyle w:val="a3"/>
              <w:spacing w:before="0" w:beforeAutospacing="0" w:after="0" w:afterAutospacing="0"/>
              <w:jc w:val="both"/>
              <w:rPr>
                <w:rFonts w:asciiTheme="minorEastAsia" w:eastAsiaTheme="minorEastAsia" w:hAnsiTheme="minorEastAsia" w:cs="Times New Roman" w:hint="eastAsia"/>
                <w:sz w:val="21"/>
                <w:szCs w:val="21"/>
              </w:rPr>
            </w:pPr>
            <w:r w:rsidRPr="00255FB6">
              <w:rPr>
                <w:rFonts w:asciiTheme="minorEastAsia" w:eastAsiaTheme="minorEastAsia" w:hAnsiTheme="minorEastAsia" w:cs="Times New Roman" w:hint="eastAsia"/>
                <w:sz w:val="18"/>
                <w:szCs w:val="18"/>
              </w:rPr>
              <w:t>金融机构2</w:t>
            </w:r>
          </w:p>
        </w:tc>
        <w:tc>
          <w:tcPr>
            <w:tcW w:w="969" w:type="pct"/>
            <w:noWrap/>
            <w:tcMar>
              <w:top w:w="0" w:type="dxa"/>
              <w:left w:w="108" w:type="dxa"/>
              <w:bottom w:w="0" w:type="dxa"/>
              <w:right w:w="108" w:type="dxa"/>
            </w:tcMar>
            <w:vAlign w:val="center"/>
            <w:hideMark/>
          </w:tcPr>
          <w:p w14:paraId="05E5FAA8" w14:textId="77777777" w:rsidR="00E72F0C" w:rsidRPr="00255FB6"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255FB6">
              <w:rPr>
                <w:rFonts w:asciiTheme="minorEastAsia" w:eastAsiaTheme="minorEastAsia" w:hAnsiTheme="minorEastAsia" w:cs="Arial"/>
                <w:sz w:val="18"/>
                <w:szCs w:val="18"/>
              </w:rPr>
              <w:t xml:space="preserve">15,000,000.00 </w:t>
            </w:r>
          </w:p>
        </w:tc>
        <w:tc>
          <w:tcPr>
            <w:tcW w:w="723" w:type="pct"/>
            <w:noWrap/>
            <w:tcMar>
              <w:top w:w="0" w:type="dxa"/>
              <w:left w:w="108" w:type="dxa"/>
              <w:bottom w:w="0" w:type="dxa"/>
              <w:right w:w="108" w:type="dxa"/>
            </w:tcMar>
            <w:vAlign w:val="bottom"/>
            <w:hideMark/>
          </w:tcPr>
          <w:p w14:paraId="62CDA11F" w14:textId="77777777" w:rsidR="00E72F0C" w:rsidRPr="00255FB6"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255FB6">
              <w:rPr>
                <w:rFonts w:asciiTheme="minorEastAsia" w:eastAsiaTheme="minorEastAsia" w:hAnsiTheme="minorEastAsia" w:cs="Arial"/>
                <w:sz w:val="18"/>
                <w:szCs w:val="18"/>
              </w:rPr>
              <w:t>6.00%</w:t>
            </w:r>
          </w:p>
        </w:tc>
        <w:tc>
          <w:tcPr>
            <w:tcW w:w="663" w:type="pct"/>
            <w:noWrap/>
            <w:tcMar>
              <w:top w:w="0" w:type="dxa"/>
              <w:left w:w="108" w:type="dxa"/>
              <w:bottom w:w="0" w:type="dxa"/>
              <w:right w:w="108" w:type="dxa"/>
            </w:tcMar>
            <w:vAlign w:val="bottom"/>
            <w:hideMark/>
          </w:tcPr>
          <w:p w14:paraId="05AB14E8" w14:textId="77777777" w:rsidR="00E72F0C" w:rsidRPr="00255FB6" w:rsidRDefault="00107901">
            <w:pPr>
              <w:pStyle w:val="a3"/>
              <w:spacing w:before="0" w:beforeAutospacing="0" w:after="0" w:afterAutospacing="0"/>
              <w:ind w:firstLine="360"/>
              <w:jc w:val="right"/>
              <w:rPr>
                <w:rFonts w:asciiTheme="minorEastAsia" w:eastAsiaTheme="minorEastAsia" w:hAnsiTheme="minorEastAsia" w:cs="Times New Roman" w:hint="eastAsia"/>
                <w:sz w:val="21"/>
                <w:szCs w:val="21"/>
              </w:rPr>
            </w:pPr>
            <w:r w:rsidRPr="00255FB6">
              <w:rPr>
                <w:rFonts w:asciiTheme="minorEastAsia" w:eastAsiaTheme="minorEastAsia" w:hAnsiTheme="minorEastAsia" w:cs="Arial"/>
                <w:sz w:val="18"/>
                <w:szCs w:val="18"/>
              </w:rPr>
              <w:t xml:space="preserve">367.00 </w:t>
            </w:r>
          </w:p>
        </w:tc>
        <w:tc>
          <w:tcPr>
            <w:tcW w:w="501" w:type="pct"/>
            <w:noWrap/>
            <w:tcMar>
              <w:top w:w="0" w:type="dxa"/>
              <w:left w:w="108" w:type="dxa"/>
              <w:bottom w:w="0" w:type="dxa"/>
              <w:right w:w="108" w:type="dxa"/>
            </w:tcMar>
            <w:vAlign w:val="bottom"/>
            <w:hideMark/>
          </w:tcPr>
          <w:p w14:paraId="0F4DB850" w14:textId="77777777" w:rsidR="00E72F0C" w:rsidRPr="00255FB6"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255FB6">
              <w:rPr>
                <w:rFonts w:asciiTheme="minorEastAsia" w:eastAsiaTheme="minorEastAsia" w:hAnsiTheme="minorEastAsia" w:cs="Arial"/>
                <w:sz w:val="18"/>
                <w:szCs w:val="18"/>
              </w:rPr>
              <w:t>9.00%</w:t>
            </w:r>
          </w:p>
        </w:tc>
      </w:tr>
      <w:tr w:rsidR="00E72F0C" w:rsidRPr="00255FB6" w14:paraId="0E705FEF" w14:textId="77777777" w:rsidTr="00255FB6">
        <w:trPr>
          <w:divId w:val="1701391199"/>
          <w:trHeight w:val="312"/>
        </w:trPr>
        <w:tc>
          <w:tcPr>
            <w:tcW w:w="2142" w:type="pct"/>
            <w:noWrap/>
            <w:tcMar>
              <w:top w:w="0" w:type="dxa"/>
              <w:left w:w="108" w:type="dxa"/>
              <w:bottom w:w="0" w:type="dxa"/>
              <w:right w:w="108" w:type="dxa"/>
            </w:tcMar>
            <w:vAlign w:val="center"/>
            <w:hideMark/>
          </w:tcPr>
          <w:p w14:paraId="4C922B39" w14:textId="77777777" w:rsidR="00E72F0C" w:rsidRPr="00255FB6" w:rsidRDefault="00107901">
            <w:pPr>
              <w:pStyle w:val="a3"/>
              <w:spacing w:before="0" w:beforeAutospacing="0" w:after="0" w:afterAutospacing="0"/>
              <w:ind w:firstLine="360"/>
              <w:jc w:val="center"/>
              <w:rPr>
                <w:rFonts w:asciiTheme="minorEastAsia" w:eastAsiaTheme="minorEastAsia" w:hAnsiTheme="minorEastAsia" w:cs="Times New Roman" w:hint="eastAsia"/>
                <w:sz w:val="21"/>
                <w:szCs w:val="21"/>
              </w:rPr>
            </w:pPr>
            <w:r w:rsidRPr="00255FB6">
              <w:rPr>
                <w:rFonts w:asciiTheme="minorEastAsia" w:eastAsiaTheme="minorEastAsia" w:hAnsiTheme="minorEastAsia" w:cs="Times New Roman" w:hint="eastAsia"/>
                <w:sz w:val="18"/>
                <w:szCs w:val="18"/>
              </w:rPr>
              <w:t>合计</w:t>
            </w:r>
          </w:p>
        </w:tc>
        <w:tc>
          <w:tcPr>
            <w:tcW w:w="969" w:type="pct"/>
            <w:noWrap/>
            <w:tcMar>
              <w:top w:w="0" w:type="dxa"/>
              <w:left w:w="108" w:type="dxa"/>
              <w:bottom w:w="0" w:type="dxa"/>
              <w:right w:w="108" w:type="dxa"/>
            </w:tcMar>
            <w:vAlign w:val="center"/>
            <w:hideMark/>
          </w:tcPr>
          <w:p w14:paraId="1E910D10" w14:textId="77777777" w:rsidR="00E72F0C" w:rsidRPr="00255FB6" w:rsidRDefault="00107901">
            <w:pPr>
              <w:pStyle w:val="a3"/>
              <w:spacing w:before="0" w:beforeAutospacing="0" w:after="0" w:afterAutospacing="0"/>
              <w:jc w:val="right"/>
              <w:textAlignment w:val="center"/>
              <w:rPr>
                <w:rFonts w:asciiTheme="minorEastAsia" w:eastAsiaTheme="minorEastAsia" w:hAnsiTheme="minorEastAsia" w:cs="Times New Roman" w:hint="eastAsia"/>
                <w:sz w:val="21"/>
                <w:szCs w:val="21"/>
              </w:rPr>
            </w:pPr>
            <w:r w:rsidRPr="00255FB6">
              <w:rPr>
                <w:rFonts w:asciiTheme="minorEastAsia" w:eastAsiaTheme="minorEastAsia" w:hAnsiTheme="minorEastAsia" w:cs="Arial"/>
                <w:sz w:val="18"/>
                <w:szCs w:val="18"/>
              </w:rPr>
              <w:t xml:space="preserve">78,359,236.32 </w:t>
            </w:r>
          </w:p>
        </w:tc>
        <w:tc>
          <w:tcPr>
            <w:tcW w:w="723" w:type="pct"/>
            <w:noWrap/>
            <w:tcMar>
              <w:top w:w="0" w:type="dxa"/>
              <w:left w:w="108" w:type="dxa"/>
              <w:bottom w:w="0" w:type="dxa"/>
              <w:right w:w="108" w:type="dxa"/>
            </w:tcMar>
            <w:vAlign w:val="bottom"/>
            <w:hideMark/>
          </w:tcPr>
          <w:p w14:paraId="3DAEF31B" w14:textId="77777777" w:rsidR="00E72F0C" w:rsidRPr="00255FB6" w:rsidRDefault="00107901">
            <w:pPr>
              <w:pStyle w:val="a3"/>
              <w:spacing w:before="0" w:beforeAutospacing="0" w:after="0" w:afterAutospacing="0"/>
              <w:ind w:firstLine="360"/>
              <w:jc w:val="center"/>
              <w:rPr>
                <w:rFonts w:asciiTheme="minorEastAsia" w:eastAsiaTheme="minorEastAsia" w:hAnsiTheme="minorEastAsia" w:cs="Times New Roman" w:hint="eastAsia"/>
                <w:sz w:val="21"/>
                <w:szCs w:val="21"/>
              </w:rPr>
            </w:pPr>
            <w:r w:rsidRPr="00255FB6">
              <w:rPr>
                <w:rFonts w:asciiTheme="minorEastAsia" w:eastAsiaTheme="minorEastAsia" w:hAnsiTheme="minorEastAsia" w:cs="Times New Roman"/>
                <w:sz w:val="18"/>
                <w:szCs w:val="18"/>
              </w:rPr>
              <w:t>/</w:t>
            </w:r>
          </w:p>
        </w:tc>
        <w:tc>
          <w:tcPr>
            <w:tcW w:w="663" w:type="pct"/>
            <w:noWrap/>
            <w:tcMar>
              <w:top w:w="0" w:type="dxa"/>
              <w:left w:w="108" w:type="dxa"/>
              <w:bottom w:w="0" w:type="dxa"/>
              <w:right w:w="108" w:type="dxa"/>
            </w:tcMar>
            <w:vAlign w:val="bottom"/>
            <w:hideMark/>
          </w:tcPr>
          <w:p w14:paraId="7BB139E8" w14:textId="77777777" w:rsidR="00E72F0C" w:rsidRPr="00255FB6" w:rsidRDefault="00107901">
            <w:pPr>
              <w:pStyle w:val="a3"/>
              <w:spacing w:before="0" w:beforeAutospacing="0" w:after="0" w:afterAutospacing="0"/>
              <w:ind w:firstLine="360"/>
              <w:jc w:val="center"/>
              <w:rPr>
                <w:rFonts w:asciiTheme="minorEastAsia" w:eastAsiaTheme="minorEastAsia" w:hAnsiTheme="minorEastAsia" w:cs="Times New Roman" w:hint="eastAsia"/>
                <w:sz w:val="21"/>
                <w:szCs w:val="21"/>
              </w:rPr>
            </w:pPr>
            <w:r w:rsidRPr="00255FB6">
              <w:rPr>
                <w:rFonts w:asciiTheme="minorEastAsia" w:eastAsiaTheme="minorEastAsia" w:hAnsiTheme="minorEastAsia" w:cs="Times New Roman"/>
                <w:sz w:val="18"/>
                <w:szCs w:val="18"/>
              </w:rPr>
              <w:t>/</w:t>
            </w:r>
          </w:p>
        </w:tc>
        <w:tc>
          <w:tcPr>
            <w:tcW w:w="501" w:type="pct"/>
            <w:noWrap/>
            <w:tcMar>
              <w:top w:w="0" w:type="dxa"/>
              <w:left w:w="108" w:type="dxa"/>
              <w:bottom w:w="0" w:type="dxa"/>
              <w:right w:w="108" w:type="dxa"/>
            </w:tcMar>
            <w:vAlign w:val="bottom"/>
            <w:hideMark/>
          </w:tcPr>
          <w:p w14:paraId="59077716" w14:textId="77777777" w:rsidR="00E72F0C" w:rsidRPr="00255FB6" w:rsidRDefault="00107901">
            <w:pPr>
              <w:pStyle w:val="a3"/>
              <w:spacing w:before="0" w:beforeAutospacing="0" w:after="0" w:afterAutospacing="0"/>
              <w:ind w:firstLine="360"/>
              <w:jc w:val="center"/>
              <w:rPr>
                <w:rFonts w:asciiTheme="minorEastAsia" w:eastAsiaTheme="minorEastAsia" w:hAnsiTheme="minorEastAsia" w:cs="Times New Roman" w:hint="eastAsia"/>
                <w:sz w:val="21"/>
                <w:szCs w:val="21"/>
              </w:rPr>
            </w:pPr>
            <w:r w:rsidRPr="00255FB6">
              <w:rPr>
                <w:rFonts w:asciiTheme="minorEastAsia" w:eastAsiaTheme="minorEastAsia" w:hAnsiTheme="minorEastAsia" w:cs="Times New Roman"/>
                <w:sz w:val="18"/>
                <w:szCs w:val="18"/>
              </w:rPr>
              <w:t>/</w:t>
            </w:r>
          </w:p>
        </w:tc>
      </w:tr>
    </w:tbl>
    <w:p w14:paraId="602BDE6C" w14:textId="77777777" w:rsidR="00632E5B" w:rsidRDefault="00107901">
      <w:pPr>
        <w:pStyle w:val="3"/>
        <w:spacing w:line="280" w:lineRule="exact"/>
        <w:jc w:val="left"/>
        <w:rPr>
          <w:rFonts w:ascii="宋体" w:hAnsi="宋体" w:cs="宋体" w:hint="eastAsia"/>
          <w:b/>
          <w:bCs/>
        </w:rPr>
      </w:pPr>
      <w:bookmarkStart w:id="277" w:name="_Toc989164"/>
      <w:r>
        <w:rPr>
          <w:rFonts w:ascii="宋体" w:hAnsi="宋体" w:cs="宋体"/>
          <w:b/>
          <w:bCs/>
        </w:rPr>
        <w:t>23、应付票据</w:t>
      </w:r>
      <w:bookmarkEnd w:id="277"/>
    </w:p>
    <w:p w14:paraId="251D9CCF" w14:textId="77777777" w:rsidR="00632E5B" w:rsidRDefault="00107901" w:rsidP="00255FB6">
      <w:pPr>
        <w:ind w:firstLineChars="200" w:firstLine="360"/>
        <w:rPr>
          <w:rFonts w:ascii="宋体" w:eastAsia="宋体" w:hAnsi="宋体" w:cs="宋体" w:hint="eastAsia"/>
          <w:sz w:val="18"/>
          <w:szCs w:val="18"/>
        </w:rPr>
      </w:pPr>
      <w:r>
        <w:rPr>
          <w:rFonts w:ascii="宋体" w:eastAsia="宋体" w:hAnsi="宋体" w:cs="宋体"/>
          <w:sz w:val="18"/>
          <w:szCs w:val="18"/>
        </w:rPr>
        <w:t>本期末已到期未支付的应付票据总额为2,000,000.00元，到期未付的原因为采购业务中供应商未完成产品交付，期末已转入应付账款。</w:t>
      </w:r>
    </w:p>
    <w:p w14:paraId="7C157EF9" w14:textId="77777777" w:rsidR="00632E5B" w:rsidRDefault="00107901">
      <w:pPr>
        <w:pStyle w:val="3"/>
        <w:spacing w:line="280" w:lineRule="exact"/>
        <w:jc w:val="left"/>
        <w:rPr>
          <w:rFonts w:ascii="宋体" w:hAnsi="宋体" w:cs="宋体" w:hint="eastAsia"/>
          <w:b/>
          <w:bCs/>
        </w:rPr>
      </w:pPr>
      <w:bookmarkStart w:id="278" w:name="_Toc989165"/>
      <w:r>
        <w:rPr>
          <w:rFonts w:ascii="宋体" w:hAnsi="宋体" w:cs="宋体"/>
          <w:b/>
          <w:bCs/>
        </w:rPr>
        <w:t>24、应付账款</w:t>
      </w:r>
      <w:bookmarkEnd w:id="278"/>
    </w:p>
    <w:p w14:paraId="5FB50520" w14:textId="77777777" w:rsidR="00632E5B" w:rsidRDefault="00107901">
      <w:pPr>
        <w:keepNext/>
        <w:keepLines/>
        <w:spacing w:before="300" w:after="300" w:line="280" w:lineRule="exact"/>
        <w:outlineLvl w:val="3"/>
        <w:rPr>
          <w:rFonts w:ascii="宋体" w:eastAsia="宋体" w:hAnsi="宋体" w:cs="宋体" w:hint="eastAsia"/>
          <w:b/>
          <w:bCs/>
          <w:sz w:val="18"/>
          <w:szCs w:val="18"/>
        </w:rPr>
      </w:pPr>
      <w:bookmarkStart w:id="279" w:name="_Toc989166"/>
      <w:r>
        <w:rPr>
          <w:rFonts w:ascii="宋体" w:eastAsia="宋体" w:hAnsi="宋体" w:cs="宋体"/>
          <w:b/>
          <w:bCs/>
          <w:sz w:val="18"/>
          <w:szCs w:val="18"/>
        </w:rPr>
        <w:t>（1） 应付账款列示</w:t>
      </w:r>
      <w:bookmarkEnd w:id="279"/>
    </w:p>
    <w:p w14:paraId="3E928167"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1DABBABA" w14:textId="77777777" w:rsidTr="00B158CE">
        <w:trPr>
          <w:trHeight w:val="240"/>
        </w:trPr>
        <w:tc>
          <w:tcPr>
            <w:tcW w:w="3213" w:type="dxa"/>
            <w:shd w:val="clear" w:color="auto" w:fill="FFFFFF" w:themeFill="background1"/>
            <w:vAlign w:val="center"/>
          </w:tcPr>
          <w:p w14:paraId="157B320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323ACF5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auto" w:fill="FFFFFF" w:themeFill="background1"/>
            <w:vAlign w:val="center"/>
          </w:tcPr>
          <w:p w14:paraId="1531418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632E5B" w14:paraId="5975BBBF" w14:textId="77777777" w:rsidTr="00B158CE">
        <w:trPr>
          <w:trHeight w:val="240"/>
        </w:trPr>
        <w:tc>
          <w:tcPr>
            <w:tcW w:w="3213" w:type="dxa"/>
            <w:shd w:val="clear" w:color="auto" w:fill="FFFFFF" w:themeFill="background1"/>
            <w:vAlign w:val="center"/>
          </w:tcPr>
          <w:p w14:paraId="60272D8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商品、劳务款</w:t>
            </w:r>
          </w:p>
        </w:tc>
        <w:tc>
          <w:tcPr>
            <w:tcW w:w="3213" w:type="dxa"/>
            <w:shd w:val="clear" w:color="auto" w:fill="FFFFFF" w:themeFill="background1"/>
            <w:vAlign w:val="center"/>
          </w:tcPr>
          <w:p w14:paraId="5A09E06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453,189,587.68</w:t>
            </w:r>
          </w:p>
        </w:tc>
        <w:tc>
          <w:tcPr>
            <w:tcW w:w="3213" w:type="dxa"/>
            <w:shd w:val="clear" w:color="auto" w:fill="FFFFFF" w:themeFill="background1"/>
            <w:vAlign w:val="center"/>
          </w:tcPr>
          <w:p w14:paraId="47F33CF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771,088,975.97</w:t>
            </w:r>
          </w:p>
        </w:tc>
      </w:tr>
      <w:tr w:rsidR="00632E5B" w14:paraId="65803FB3" w14:textId="77777777" w:rsidTr="00B158CE">
        <w:trPr>
          <w:trHeight w:val="240"/>
        </w:trPr>
        <w:tc>
          <w:tcPr>
            <w:tcW w:w="3213" w:type="dxa"/>
            <w:shd w:val="clear" w:color="auto" w:fill="FFFFFF" w:themeFill="background1"/>
            <w:vAlign w:val="center"/>
          </w:tcPr>
          <w:p w14:paraId="14B0723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工程、设备款</w:t>
            </w:r>
          </w:p>
        </w:tc>
        <w:tc>
          <w:tcPr>
            <w:tcW w:w="3213" w:type="dxa"/>
            <w:shd w:val="clear" w:color="auto" w:fill="FFFFFF" w:themeFill="background1"/>
            <w:vAlign w:val="center"/>
          </w:tcPr>
          <w:p w14:paraId="5019998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239,370,863.24</w:t>
            </w:r>
          </w:p>
        </w:tc>
        <w:tc>
          <w:tcPr>
            <w:tcW w:w="3213" w:type="dxa"/>
            <w:shd w:val="clear" w:color="auto" w:fill="FFFFFF" w:themeFill="background1"/>
            <w:vAlign w:val="center"/>
          </w:tcPr>
          <w:p w14:paraId="012437E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684,924,419.86</w:t>
            </w:r>
          </w:p>
        </w:tc>
      </w:tr>
      <w:tr w:rsidR="00632E5B" w14:paraId="4ACCC035" w14:textId="77777777" w:rsidTr="00B158CE">
        <w:trPr>
          <w:trHeight w:val="240"/>
        </w:trPr>
        <w:tc>
          <w:tcPr>
            <w:tcW w:w="3213" w:type="dxa"/>
            <w:shd w:val="clear" w:color="auto" w:fill="FFFFFF" w:themeFill="background1"/>
            <w:vAlign w:val="center"/>
          </w:tcPr>
          <w:p w14:paraId="0418A022"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3FC3D8B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692,560,450.92</w:t>
            </w:r>
          </w:p>
        </w:tc>
        <w:tc>
          <w:tcPr>
            <w:tcW w:w="3213" w:type="dxa"/>
            <w:shd w:val="clear" w:color="auto" w:fill="FFFFFF" w:themeFill="background1"/>
            <w:vAlign w:val="center"/>
          </w:tcPr>
          <w:p w14:paraId="575DF6A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1,456,013,395.83</w:t>
            </w:r>
          </w:p>
        </w:tc>
      </w:tr>
    </w:tbl>
    <w:p w14:paraId="2BF69309" w14:textId="77777777" w:rsidR="00632E5B" w:rsidRDefault="00107901">
      <w:pPr>
        <w:keepNext/>
        <w:keepLines/>
        <w:spacing w:before="300" w:after="300" w:line="280" w:lineRule="exact"/>
        <w:outlineLvl w:val="3"/>
        <w:rPr>
          <w:rFonts w:ascii="宋体" w:eastAsia="宋体" w:hAnsi="宋体" w:cs="宋体" w:hint="eastAsia"/>
          <w:b/>
          <w:bCs/>
          <w:sz w:val="18"/>
          <w:szCs w:val="18"/>
        </w:rPr>
      </w:pPr>
      <w:bookmarkStart w:id="280" w:name="_Toc989167"/>
      <w:r>
        <w:rPr>
          <w:rFonts w:ascii="宋体" w:eastAsia="宋体" w:hAnsi="宋体" w:cs="宋体"/>
          <w:b/>
          <w:bCs/>
          <w:sz w:val="18"/>
          <w:szCs w:val="18"/>
        </w:rPr>
        <w:t>（2） 账龄超过1年或逾期的重要应付账款</w:t>
      </w:r>
      <w:bookmarkEnd w:id="280"/>
    </w:p>
    <w:p w14:paraId="2D739BAF"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3B680E62" w14:textId="77777777" w:rsidTr="00B158CE">
        <w:trPr>
          <w:trHeight w:val="240"/>
        </w:trPr>
        <w:tc>
          <w:tcPr>
            <w:tcW w:w="3213" w:type="dxa"/>
            <w:shd w:val="clear" w:color="auto" w:fill="FFFFFF" w:themeFill="background1"/>
            <w:vAlign w:val="center"/>
          </w:tcPr>
          <w:p w14:paraId="4728532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7109E88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auto" w:fill="FFFFFF" w:themeFill="background1"/>
            <w:vAlign w:val="center"/>
          </w:tcPr>
          <w:p w14:paraId="242BB26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未偿还或结转的原因</w:t>
            </w:r>
          </w:p>
        </w:tc>
      </w:tr>
      <w:tr w:rsidR="00632E5B" w14:paraId="0BC2014F" w14:textId="77777777" w:rsidTr="00B158CE">
        <w:trPr>
          <w:trHeight w:val="240"/>
        </w:trPr>
        <w:tc>
          <w:tcPr>
            <w:tcW w:w="3213" w:type="dxa"/>
            <w:shd w:val="clear" w:color="auto" w:fill="FFFFFF" w:themeFill="background1"/>
            <w:vAlign w:val="center"/>
          </w:tcPr>
          <w:p w14:paraId="21FC8DD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供应商1</w:t>
            </w:r>
          </w:p>
        </w:tc>
        <w:tc>
          <w:tcPr>
            <w:tcW w:w="3213" w:type="dxa"/>
            <w:shd w:val="clear" w:color="auto" w:fill="FFFFFF" w:themeFill="background1"/>
            <w:vAlign w:val="center"/>
          </w:tcPr>
          <w:p w14:paraId="70DA021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89,460,662.46</w:t>
            </w:r>
          </w:p>
        </w:tc>
        <w:tc>
          <w:tcPr>
            <w:tcW w:w="3213" w:type="dxa"/>
            <w:shd w:val="clear" w:color="auto" w:fill="FFFFFF" w:themeFill="background1"/>
            <w:vAlign w:val="center"/>
          </w:tcPr>
          <w:p w14:paraId="768FF54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已申报债权，按重整计划清偿中</w:t>
            </w:r>
          </w:p>
        </w:tc>
      </w:tr>
      <w:tr w:rsidR="00632E5B" w14:paraId="138762B1" w14:textId="77777777" w:rsidTr="00B158CE">
        <w:trPr>
          <w:trHeight w:val="240"/>
        </w:trPr>
        <w:tc>
          <w:tcPr>
            <w:tcW w:w="3213" w:type="dxa"/>
            <w:shd w:val="clear" w:color="auto" w:fill="FFFFFF" w:themeFill="background1"/>
            <w:vAlign w:val="center"/>
          </w:tcPr>
          <w:p w14:paraId="2CB8FD0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供应商2</w:t>
            </w:r>
          </w:p>
        </w:tc>
        <w:tc>
          <w:tcPr>
            <w:tcW w:w="3213" w:type="dxa"/>
            <w:shd w:val="clear" w:color="auto" w:fill="FFFFFF" w:themeFill="background1"/>
            <w:vAlign w:val="center"/>
          </w:tcPr>
          <w:p w14:paraId="4FD0D54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68,374,346.27</w:t>
            </w:r>
          </w:p>
        </w:tc>
        <w:tc>
          <w:tcPr>
            <w:tcW w:w="3213" w:type="dxa"/>
            <w:shd w:val="clear" w:color="auto" w:fill="FFFFFF" w:themeFill="background1"/>
            <w:vAlign w:val="center"/>
          </w:tcPr>
          <w:p w14:paraId="1992104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已申报债权，按重整计划清偿中</w:t>
            </w:r>
          </w:p>
        </w:tc>
      </w:tr>
      <w:tr w:rsidR="00632E5B" w14:paraId="7DD344A4" w14:textId="77777777" w:rsidTr="00B158CE">
        <w:trPr>
          <w:trHeight w:val="240"/>
        </w:trPr>
        <w:tc>
          <w:tcPr>
            <w:tcW w:w="3213" w:type="dxa"/>
            <w:shd w:val="clear" w:color="auto" w:fill="FFFFFF" w:themeFill="background1"/>
            <w:vAlign w:val="center"/>
          </w:tcPr>
          <w:p w14:paraId="4BE1CD2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供应商3</w:t>
            </w:r>
          </w:p>
        </w:tc>
        <w:tc>
          <w:tcPr>
            <w:tcW w:w="3213" w:type="dxa"/>
            <w:shd w:val="clear" w:color="auto" w:fill="FFFFFF" w:themeFill="background1"/>
            <w:vAlign w:val="center"/>
          </w:tcPr>
          <w:p w14:paraId="3089565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64,752,471.27</w:t>
            </w:r>
          </w:p>
        </w:tc>
        <w:tc>
          <w:tcPr>
            <w:tcW w:w="3213" w:type="dxa"/>
            <w:shd w:val="clear" w:color="auto" w:fill="FFFFFF" w:themeFill="background1"/>
            <w:vAlign w:val="center"/>
          </w:tcPr>
          <w:p w14:paraId="1FC258B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已申报债权，按重整计划清偿中</w:t>
            </w:r>
          </w:p>
        </w:tc>
      </w:tr>
      <w:tr w:rsidR="00632E5B" w14:paraId="2733EE64" w14:textId="77777777" w:rsidTr="00B158CE">
        <w:trPr>
          <w:trHeight w:val="240"/>
        </w:trPr>
        <w:tc>
          <w:tcPr>
            <w:tcW w:w="3213" w:type="dxa"/>
            <w:shd w:val="clear" w:color="auto" w:fill="FFFFFF" w:themeFill="background1"/>
            <w:vAlign w:val="center"/>
          </w:tcPr>
          <w:p w14:paraId="2CFD3CB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供应商4</w:t>
            </w:r>
          </w:p>
        </w:tc>
        <w:tc>
          <w:tcPr>
            <w:tcW w:w="3213" w:type="dxa"/>
            <w:shd w:val="clear" w:color="auto" w:fill="FFFFFF" w:themeFill="background1"/>
            <w:vAlign w:val="center"/>
          </w:tcPr>
          <w:p w14:paraId="0A0E288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37,192,882.04</w:t>
            </w:r>
          </w:p>
        </w:tc>
        <w:tc>
          <w:tcPr>
            <w:tcW w:w="3213" w:type="dxa"/>
            <w:shd w:val="clear" w:color="auto" w:fill="FFFFFF" w:themeFill="background1"/>
            <w:vAlign w:val="center"/>
          </w:tcPr>
          <w:p w14:paraId="5C3638F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已裁定的已申报债权，按重整计划清偿中，剩余的待裁定</w:t>
            </w:r>
          </w:p>
        </w:tc>
      </w:tr>
      <w:tr w:rsidR="00632E5B" w14:paraId="35E29059" w14:textId="77777777" w:rsidTr="00B158CE">
        <w:trPr>
          <w:trHeight w:val="240"/>
        </w:trPr>
        <w:tc>
          <w:tcPr>
            <w:tcW w:w="3213" w:type="dxa"/>
            <w:shd w:val="clear" w:color="auto" w:fill="FFFFFF" w:themeFill="background1"/>
            <w:vAlign w:val="center"/>
          </w:tcPr>
          <w:p w14:paraId="0E4D2E9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lastRenderedPageBreak/>
              <w:t>供应商5</w:t>
            </w:r>
          </w:p>
        </w:tc>
        <w:tc>
          <w:tcPr>
            <w:tcW w:w="3213" w:type="dxa"/>
            <w:shd w:val="clear" w:color="auto" w:fill="FFFFFF" w:themeFill="background1"/>
            <w:vAlign w:val="center"/>
          </w:tcPr>
          <w:p w14:paraId="4200726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20,537,334.43</w:t>
            </w:r>
          </w:p>
        </w:tc>
        <w:tc>
          <w:tcPr>
            <w:tcW w:w="3213" w:type="dxa"/>
            <w:shd w:val="clear" w:color="auto" w:fill="FFFFFF" w:themeFill="background1"/>
            <w:vAlign w:val="center"/>
          </w:tcPr>
          <w:p w14:paraId="2630B6D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待开庭</w:t>
            </w:r>
          </w:p>
        </w:tc>
      </w:tr>
      <w:tr w:rsidR="00632E5B" w14:paraId="0818E150" w14:textId="77777777" w:rsidTr="00B158CE">
        <w:trPr>
          <w:trHeight w:val="240"/>
        </w:trPr>
        <w:tc>
          <w:tcPr>
            <w:tcW w:w="3213" w:type="dxa"/>
            <w:shd w:val="clear" w:color="auto" w:fill="FFFFFF" w:themeFill="background1"/>
            <w:vAlign w:val="center"/>
          </w:tcPr>
          <w:p w14:paraId="4FC87C0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供应商6</w:t>
            </w:r>
          </w:p>
        </w:tc>
        <w:tc>
          <w:tcPr>
            <w:tcW w:w="3213" w:type="dxa"/>
            <w:shd w:val="clear" w:color="auto" w:fill="FFFFFF" w:themeFill="background1"/>
            <w:vAlign w:val="center"/>
          </w:tcPr>
          <w:p w14:paraId="594BD0C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10,758,079.11</w:t>
            </w:r>
          </w:p>
        </w:tc>
        <w:tc>
          <w:tcPr>
            <w:tcW w:w="3213" w:type="dxa"/>
            <w:shd w:val="clear" w:color="auto" w:fill="FFFFFF" w:themeFill="background1"/>
            <w:vAlign w:val="center"/>
          </w:tcPr>
          <w:p w14:paraId="4C94EB6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执行终本</w:t>
            </w:r>
          </w:p>
        </w:tc>
      </w:tr>
      <w:tr w:rsidR="00632E5B" w14:paraId="46921E3F" w14:textId="77777777" w:rsidTr="00B158CE">
        <w:trPr>
          <w:trHeight w:val="240"/>
        </w:trPr>
        <w:tc>
          <w:tcPr>
            <w:tcW w:w="3213" w:type="dxa"/>
            <w:shd w:val="clear" w:color="auto" w:fill="FFFFFF" w:themeFill="background1"/>
            <w:vAlign w:val="center"/>
          </w:tcPr>
          <w:p w14:paraId="3D88615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供应商7</w:t>
            </w:r>
          </w:p>
        </w:tc>
        <w:tc>
          <w:tcPr>
            <w:tcW w:w="3213" w:type="dxa"/>
            <w:shd w:val="clear" w:color="auto" w:fill="FFFFFF" w:themeFill="background1"/>
            <w:vAlign w:val="center"/>
          </w:tcPr>
          <w:p w14:paraId="340A8DE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10,442,876.15</w:t>
            </w:r>
          </w:p>
        </w:tc>
        <w:tc>
          <w:tcPr>
            <w:tcW w:w="3213" w:type="dxa"/>
            <w:shd w:val="clear" w:color="auto" w:fill="FFFFFF" w:themeFill="background1"/>
            <w:vAlign w:val="center"/>
          </w:tcPr>
          <w:p w14:paraId="13F2040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暂估工程款，待工程决算</w:t>
            </w:r>
          </w:p>
        </w:tc>
      </w:tr>
      <w:tr w:rsidR="00632E5B" w14:paraId="13F68522" w14:textId="77777777" w:rsidTr="00B158CE">
        <w:trPr>
          <w:trHeight w:val="240"/>
        </w:trPr>
        <w:tc>
          <w:tcPr>
            <w:tcW w:w="3213" w:type="dxa"/>
            <w:shd w:val="clear" w:color="auto" w:fill="FFFFFF" w:themeFill="background1"/>
            <w:vAlign w:val="center"/>
          </w:tcPr>
          <w:p w14:paraId="6E9F2137"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69CA1C0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301,518,651.73</w:t>
            </w:r>
          </w:p>
        </w:tc>
        <w:tc>
          <w:tcPr>
            <w:tcW w:w="3213" w:type="dxa"/>
            <w:shd w:val="clear" w:color="auto" w:fill="FFFFFF" w:themeFill="background1"/>
            <w:vAlign w:val="center"/>
          </w:tcPr>
          <w:p w14:paraId="09A181A0" w14:textId="77777777" w:rsidR="00632E5B" w:rsidRDefault="00632E5B"/>
        </w:tc>
      </w:tr>
    </w:tbl>
    <w:p w14:paraId="5A7161CE" w14:textId="77777777" w:rsidR="00632E5B" w:rsidRDefault="00107901">
      <w:pPr>
        <w:pStyle w:val="3"/>
        <w:spacing w:line="280" w:lineRule="exact"/>
        <w:jc w:val="left"/>
        <w:rPr>
          <w:rFonts w:ascii="宋体" w:hAnsi="宋体" w:cs="宋体" w:hint="eastAsia"/>
          <w:b/>
          <w:bCs/>
        </w:rPr>
      </w:pPr>
      <w:bookmarkStart w:id="281" w:name="_Toc989168"/>
      <w:r>
        <w:rPr>
          <w:rFonts w:ascii="宋体" w:hAnsi="宋体" w:cs="宋体"/>
          <w:b/>
          <w:bCs/>
        </w:rPr>
        <w:t>25、其他应付款</w:t>
      </w:r>
      <w:bookmarkEnd w:id="281"/>
    </w:p>
    <w:p w14:paraId="4AC20290"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6AB72F67" w14:textId="77777777" w:rsidTr="00B158CE">
        <w:trPr>
          <w:trHeight w:val="240"/>
        </w:trPr>
        <w:tc>
          <w:tcPr>
            <w:tcW w:w="3213" w:type="dxa"/>
            <w:shd w:val="clear" w:color="auto" w:fill="FFFFFF" w:themeFill="background1"/>
            <w:vAlign w:val="center"/>
          </w:tcPr>
          <w:p w14:paraId="0FE9294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7EE14FE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auto" w:fill="FFFFFF" w:themeFill="background1"/>
            <w:vAlign w:val="center"/>
          </w:tcPr>
          <w:p w14:paraId="24C312D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632E5B" w14:paraId="53DFA373" w14:textId="77777777" w:rsidTr="00B158CE">
        <w:trPr>
          <w:trHeight w:val="240"/>
        </w:trPr>
        <w:tc>
          <w:tcPr>
            <w:tcW w:w="3213" w:type="dxa"/>
            <w:shd w:val="clear" w:color="auto" w:fill="FFFFFF" w:themeFill="background1"/>
            <w:vAlign w:val="center"/>
          </w:tcPr>
          <w:p w14:paraId="10A26613"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应付利息</w:t>
            </w:r>
          </w:p>
        </w:tc>
        <w:tc>
          <w:tcPr>
            <w:tcW w:w="3213" w:type="dxa"/>
            <w:shd w:val="clear" w:color="auto" w:fill="FFFFFF" w:themeFill="background1"/>
            <w:vAlign w:val="center"/>
          </w:tcPr>
          <w:p w14:paraId="4132B0B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10,542,432.43</w:t>
            </w:r>
          </w:p>
        </w:tc>
        <w:tc>
          <w:tcPr>
            <w:tcW w:w="3213" w:type="dxa"/>
            <w:shd w:val="clear" w:color="auto" w:fill="FFFFFF" w:themeFill="background1"/>
            <w:vAlign w:val="center"/>
          </w:tcPr>
          <w:p w14:paraId="50B1E65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206,952,315.48</w:t>
            </w:r>
          </w:p>
        </w:tc>
      </w:tr>
      <w:tr w:rsidR="00632E5B" w14:paraId="6DBF99BF" w14:textId="77777777" w:rsidTr="00B158CE">
        <w:trPr>
          <w:trHeight w:val="240"/>
        </w:trPr>
        <w:tc>
          <w:tcPr>
            <w:tcW w:w="3213" w:type="dxa"/>
            <w:shd w:val="clear" w:color="auto" w:fill="FFFFFF" w:themeFill="background1"/>
            <w:vAlign w:val="center"/>
          </w:tcPr>
          <w:p w14:paraId="458E63EB"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其他应付款</w:t>
            </w:r>
          </w:p>
        </w:tc>
        <w:tc>
          <w:tcPr>
            <w:tcW w:w="3213" w:type="dxa"/>
            <w:shd w:val="clear" w:color="auto" w:fill="FFFFFF" w:themeFill="background1"/>
            <w:vAlign w:val="center"/>
          </w:tcPr>
          <w:p w14:paraId="029C12D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580,472,659.37</w:t>
            </w:r>
          </w:p>
        </w:tc>
        <w:tc>
          <w:tcPr>
            <w:tcW w:w="3213" w:type="dxa"/>
            <w:shd w:val="clear" w:color="auto" w:fill="FFFFFF" w:themeFill="background1"/>
            <w:vAlign w:val="center"/>
          </w:tcPr>
          <w:p w14:paraId="388BFEE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474,358,416.93</w:t>
            </w:r>
          </w:p>
        </w:tc>
      </w:tr>
      <w:tr w:rsidR="00632E5B" w14:paraId="2816E398" w14:textId="77777777" w:rsidTr="00B158CE">
        <w:trPr>
          <w:trHeight w:val="240"/>
        </w:trPr>
        <w:tc>
          <w:tcPr>
            <w:tcW w:w="3213" w:type="dxa"/>
            <w:shd w:val="clear" w:color="auto" w:fill="FFFFFF" w:themeFill="background1"/>
            <w:vAlign w:val="center"/>
          </w:tcPr>
          <w:p w14:paraId="6A7A2873"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6B6EAB8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591,015,091.80</w:t>
            </w:r>
          </w:p>
        </w:tc>
        <w:tc>
          <w:tcPr>
            <w:tcW w:w="3213" w:type="dxa"/>
            <w:shd w:val="clear" w:color="auto" w:fill="FFFFFF" w:themeFill="background1"/>
            <w:vAlign w:val="center"/>
          </w:tcPr>
          <w:p w14:paraId="0FB8300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681,310,732.41</w:t>
            </w:r>
          </w:p>
        </w:tc>
      </w:tr>
    </w:tbl>
    <w:p w14:paraId="11260567" w14:textId="77777777" w:rsidR="00632E5B" w:rsidRDefault="00107901">
      <w:pPr>
        <w:keepNext/>
        <w:keepLines/>
        <w:spacing w:before="300" w:after="300" w:line="280" w:lineRule="exact"/>
        <w:outlineLvl w:val="3"/>
        <w:rPr>
          <w:rFonts w:ascii="宋体" w:eastAsia="宋体" w:hAnsi="宋体" w:cs="宋体" w:hint="eastAsia"/>
          <w:b/>
          <w:bCs/>
          <w:sz w:val="18"/>
          <w:szCs w:val="18"/>
        </w:rPr>
      </w:pPr>
      <w:bookmarkStart w:id="282" w:name="_Toc989169"/>
      <w:r>
        <w:rPr>
          <w:rFonts w:ascii="宋体" w:eastAsia="宋体" w:hAnsi="宋体" w:cs="宋体"/>
          <w:b/>
          <w:bCs/>
          <w:sz w:val="18"/>
          <w:szCs w:val="18"/>
        </w:rPr>
        <w:t>（1） 应付利息</w:t>
      </w:r>
      <w:bookmarkEnd w:id="282"/>
    </w:p>
    <w:p w14:paraId="7AAA0952"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75062B2F" w14:textId="77777777" w:rsidTr="00B158CE">
        <w:trPr>
          <w:trHeight w:val="240"/>
        </w:trPr>
        <w:tc>
          <w:tcPr>
            <w:tcW w:w="3213" w:type="dxa"/>
            <w:shd w:val="clear" w:color="auto" w:fill="FFFFFF" w:themeFill="background1"/>
            <w:vAlign w:val="center"/>
          </w:tcPr>
          <w:p w14:paraId="683484E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41DA696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auto" w:fill="FFFFFF" w:themeFill="background1"/>
            <w:vAlign w:val="center"/>
          </w:tcPr>
          <w:p w14:paraId="730A811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632E5B" w14:paraId="27AED3B8" w14:textId="77777777" w:rsidTr="00B158CE">
        <w:trPr>
          <w:trHeight w:val="240"/>
        </w:trPr>
        <w:tc>
          <w:tcPr>
            <w:tcW w:w="3213" w:type="dxa"/>
            <w:shd w:val="clear" w:color="auto" w:fill="FFFFFF" w:themeFill="background1"/>
            <w:vAlign w:val="center"/>
          </w:tcPr>
          <w:p w14:paraId="08B3AB54"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分期付息到期还本的长期借款利息</w:t>
            </w:r>
          </w:p>
        </w:tc>
        <w:tc>
          <w:tcPr>
            <w:tcW w:w="3213" w:type="dxa"/>
            <w:shd w:val="clear" w:color="auto" w:fill="FFFFFF" w:themeFill="background1"/>
            <w:vAlign w:val="center"/>
          </w:tcPr>
          <w:p w14:paraId="6FC075B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10,542,432.43</w:t>
            </w:r>
          </w:p>
        </w:tc>
        <w:tc>
          <w:tcPr>
            <w:tcW w:w="3213" w:type="dxa"/>
            <w:shd w:val="clear" w:color="auto" w:fill="FFFFFF" w:themeFill="background1"/>
            <w:vAlign w:val="center"/>
          </w:tcPr>
          <w:p w14:paraId="457153F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9,527,625.37</w:t>
            </w:r>
          </w:p>
        </w:tc>
      </w:tr>
      <w:tr w:rsidR="00632E5B" w14:paraId="1AAC232E" w14:textId="77777777" w:rsidTr="00B158CE">
        <w:trPr>
          <w:trHeight w:val="240"/>
        </w:trPr>
        <w:tc>
          <w:tcPr>
            <w:tcW w:w="3213" w:type="dxa"/>
            <w:shd w:val="clear" w:color="auto" w:fill="FFFFFF" w:themeFill="background1"/>
            <w:vAlign w:val="center"/>
          </w:tcPr>
          <w:p w14:paraId="78FCFB07"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短期借款应付利息</w:t>
            </w:r>
          </w:p>
        </w:tc>
        <w:tc>
          <w:tcPr>
            <w:tcW w:w="3213" w:type="dxa"/>
            <w:shd w:val="clear" w:color="auto" w:fill="FFFFFF" w:themeFill="background1"/>
            <w:vAlign w:val="center"/>
          </w:tcPr>
          <w:p w14:paraId="1C373CCC" w14:textId="77777777" w:rsidR="00632E5B" w:rsidRDefault="00632E5B">
            <w:pPr>
              <w:spacing w:line="240" w:lineRule="exact"/>
              <w:jc w:val="right"/>
              <w:rPr>
                <w:rFonts w:ascii="宋体" w:eastAsia="宋体" w:hAnsi="宋体" w:cs="宋体" w:hint="eastAsia"/>
                <w:sz w:val="18"/>
                <w:szCs w:val="18"/>
              </w:rPr>
            </w:pPr>
          </w:p>
        </w:tc>
        <w:tc>
          <w:tcPr>
            <w:tcW w:w="3213" w:type="dxa"/>
            <w:shd w:val="clear" w:color="auto" w:fill="FFFFFF" w:themeFill="background1"/>
            <w:vAlign w:val="center"/>
          </w:tcPr>
          <w:p w14:paraId="0E241E5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171,764,151.50</w:t>
            </w:r>
          </w:p>
        </w:tc>
      </w:tr>
      <w:tr w:rsidR="00632E5B" w14:paraId="0F86D2F9" w14:textId="77777777" w:rsidTr="00B158CE">
        <w:trPr>
          <w:trHeight w:val="240"/>
        </w:trPr>
        <w:tc>
          <w:tcPr>
            <w:tcW w:w="3213" w:type="dxa"/>
            <w:shd w:val="clear" w:color="auto" w:fill="FFFFFF" w:themeFill="background1"/>
            <w:vAlign w:val="center"/>
          </w:tcPr>
          <w:p w14:paraId="58CE6B0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非金融机构借款利息</w:t>
            </w:r>
          </w:p>
        </w:tc>
        <w:tc>
          <w:tcPr>
            <w:tcW w:w="3213" w:type="dxa"/>
            <w:shd w:val="clear" w:color="auto" w:fill="FFFFFF" w:themeFill="background1"/>
            <w:vAlign w:val="center"/>
          </w:tcPr>
          <w:p w14:paraId="01EE0601" w14:textId="77777777" w:rsidR="00632E5B" w:rsidRDefault="00632E5B">
            <w:pPr>
              <w:spacing w:line="240" w:lineRule="exact"/>
              <w:jc w:val="right"/>
              <w:rPr>
                <w:rFonts w:ascii="宋体" w:eastAsia="宋体" w:hAnsi="宋体" w:cs="宋体" w:hint="eastAsia"/>
                <w:sz w:val="18"/>
                <w:szCs w:val="18"/>
              </w:rPr>
            </w:pPr>
          </w:p>
        </w:tc>
        <w:tc>
          <w:tcPr>
            <w:tcW w:w="3213" w:type="dxa"/>
            <w:shd w:val="clear" w:color="auto" w:fill="FFFFFF" w:themeFill="background1"/>
            <w:vAlign w:val="center"/>
          </w:tcPr>
          <w:p w14:paraId="236908E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25,660,538.61</w:t>
            </w:r>
          </w:p>
        </w:tc>
      </w:tr>
      <w:tr w:rsidR="00632E5B" w14:paraId="1C97F1FD" w14:textId="77777777" w:rsidTr="00B158CE">
        <w:trPr>
          <w:trHeight w:val="240"/>
        </w:trPr>
        <w:tc>
          <w:tcPr>
            <w:tcW w:w="3213" w:type="dxa"/>
            <w:shd w:val="clear" w:color="auto" w:fill="FFFFFF" w:themeFill="background1"/>
            <w:vAlign w:val="center"/>
          </w:tcPr>
          <w:p w14:paraId="4258512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512E35E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10,542,432.43</w:t>
            </w:r>
          </w:p>
        </w:tc>
        <w:tc>
          <w:tcPr>
            <w:tcW w:w="3213" w:type="dxa"/>
            <w:shd w:val="clear" w:color="auto" w:fill="FFFFFF" w:themeFill="background1"/>
            <w:vAlign w:val="center"/>
          </w:tcPr>
          <w:p w14:paraId="74D7F9D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206,952,315.48</w:t>
            </w:r>
          </w:p>
        </w:tc>
      </w:tr>
    </w:tbl>
    <w:p w14:paraId="0C2B44C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重要的已逾期未支付的利息情况：</w:t>
      </w:r>
    </w:p>
    <w:p w14:paraId="72F9BC1C" w14:textId="77777777" w:rsidR="00632E5B" w:rsidRDefault="00107901">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41A22F7C" w14:textId="77777777" w:rsidTr="00B158CE">
        <w:trPr>
          <w:trHeight w:val="240"/>
        </w:trPr>
        <w:tc>
          <w:tcPr>
            <w:tcW w:w="3213" w:type="dxa"/>
            <w:shd w:val="clear" w:color="auto" w:fill="FFFFFF" w:themeFill="background1"/>
            <w:vAlign w:val="center"/>
          </w:tcPr>
          <w:p w14:paraId="71B2851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借款单位</w:t>
            </w:r>
          </w:p>
        </w:tc>
        <w:tc>
          <w:tcPr>
            <w:tcW w:w="3213" w:type="dxa"/>
            <w:shd w:val="clear" w:color="auto" w:fill="FFFFFF" w:themeFill="background1"/>
            <w:vAlign w:val="center"/>
          </w:tcPr>
          <w:p w14:paraId="68A9AEF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逾期金额</w:t>
            </w:r>
          </w:p>
        </w:tc>
        <w:tc>
          <w:tcPr>
            <w:tcW w:w="3213" w:type="dxa"/>
            <w:shd w:val="clear" w:color="auto" w:fill="FFFFFF" w:themeFill="background1"/>
            <w:vAlign w:val="center"/>
          </w:tcPr>
          <w:p w14:paraId="50AAC05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逾期原因</w:t>
            </w:r>
          </w:p>
        </w:tc>
      </w:tr>
      <w:tr w:rsidR="00632E5B" w14:paraId="7991F97E" w14:textId="77777777" w:rsidTr="00B158CE">
        <w:trPr>
          <w:trHeight w:val="240"/>
        </w:trPr>
        <w:tc>
          <w:tcPr>
            <w:tcW w:w="3213" w:type="dxa"/>
            <w:shd w:val="clear" w:color="auto" w:fill="FFFFFF" w:themeFill="background1"/>
            <w:vAlign w:val="center"/>
          </w:tcPr>
          <w:p w14:paraId="06048C6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金融机构1青海省分行</w:t>
            </w:r>
          </w:p>
        </w:tc>
        <w:tc>
          <w:tcPr>
            <w:tcW w:w="3213" w:type="dxa"/>
            <w:shd w:val="clear" w:color="auto" w:fill="FFFFFF" w:themeFill="background1"/>
            <w:vAlign w:val="center"/>
          </w:tcPr>
          <w:p w14:paraId="778A210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5,976,314.08</w:t>
            </w:r>
          </w:p>
        </w:tc>
        <w:tc>
          <w:tcPr>
            <w:tcW w:w="3213" w:type="dxa"/>
            <w:shd w:val="clear" w:color="auto" w:fill="FFFFFF" w:themeFill="background1"/>
            <w:vAlign w:val="center"/>
          </w:tcPr>
          <w:p w14:paraId="092207C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子公司连年亏损，无力偿还</w:t>
            </w:r>
          </w:p>
        </w:tc>
      </w:tr>
      <w:tr w:rsidR="00632E5B" w14:paraId="1C1A2A81" w14:textId="77777777" w:rsidTr="00B158CE">
        <w:trPr>
          <w:trHeight w:val="240"/>
        </w:trPr>
        <w:tc>
          <w:tcPr>
            <w:tcW w:w="3213" w:type="dxa"/>
            <w:shd w:val="clear" w:color="auto" w:fill="FFFFFF" w:themeFill="background1"/>
            <w:vAlign w:val="center"/>
          </w:tcPr>
          <w:p w14:paraId="701D558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金融机构1青海省分行</w:t>
            </w:r>
          </w:p>
        </w:tc>
        <w:tc>
          <w:tcPr>
            <w:tcW w:w="3213" w:type="dxa"/>
            <w:shd w:val="clear" w:color="auto" w:fill="FFFFFF" w:themeFill="background1"/>
            <w:vAlign w:val="center"/>
          </w:tcPr>
          <w:p w14:paraId="3067E8F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2,367,294.15</w:t>
            </w:r>
          </w:p>
        </w:tc>
        <w:tc>
          <w:tcPr>
            <w:tcW w:w="3213" w:type="dxa"/>
            <w:shd w:val="clear" w:color="auto" w:fill="FFFFFF" w:themeFill="background1"/>
            <w:vAlign w:val="center"/>
          </w:tcPr>
          <w:p w14:paraId="1D608D5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子公司连年亏损，无力偿还</w:t>
            </w:r>
          </w:p>
        </w:tc>
      </w:tr>
      <w:tr w:rsidR="00632E5B" w14:paraId="576BE35B" w14:textId="77777777" w:rsidTr="00B158CE">
        <w:trPr>
          <w:trHeight w:val="240"/>
        </w:trPr>
        <w:tc>
          <w:tcPr>
            <w:tcW w:w="3213" w:type="dxa"/>
            <w:shd w:val="clear" w:color="auto" w:fill="FFFFFF" w:themeFill="background1"/>
            <w:vAlign w:val="center"/>
          </w:tcPr>
          <w:p w14:paraId="32DD54AE" w14:textId="0C616E90"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金融机构</w:t>
            </w:r>
            <w:r w:rsidR="00842CBE">
              <w:rPr>
                <w:rFonts w:ascii="宋体" w:eastAsia="宋体" w:hAnsi="宋体" w:cs="宋体"/>
                <w:sz w:val="18"/>
                <w:szCs w:val="18"/>
              </w:rPr>
              <w:t>3</w:t>
            </w:r>
            <w:r>
              <w:rPr>
                <w:rFonts w:ascii="宋体" w:eastAsia="宋体" w:hAnsi="宋体" w:cs="宋体"/>
                <w:sz w:val="18"/>
                <w:szCs w:val="18"/>
              </w:rPr>
              <w:t>西宁市城中支行</w:t>
            </w:r>
          </w:p>
        </w:tc>
        <w:tc>
          <w:tcPr>
            <w:tcW w:w="3213" w:type="dxa"/>
            <w:shd w:val="clear" w:color="auto" w:fill="FFFFFF" w:themeFill="background1"/>
            <w:vAlign w:val="center"/>
          </w:tcPr>
          <w:p w14:paraId="70066B6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579,060.94</w:t>
            </w:r>
          </w:p>
        </w:tc>
        <w:tc>
          <w:tcPr>
            <w:tcW w:w="3213" w:type="dxa"/>
            <w:shd w:val="clear" w:color="auto" w:fill="FFFFFF" w:themeFill="background1"/>
            <w:vAlign w:val="center"/>
          </w:tcPr>
          <w:p w14:paraId="41543B1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子公司连年亏损，无力偿还</w:t>
            </w:r>
          </w:p>
        </w:tc>
      </w:tr>
      <w:tr w:rsidR="00632E5B" w14:paraId="679C2E4C" w14:textId="77777777" w:rsidTr="00B158CE">
        <w:trPr>
          <w:trHeight w:val="240"/>
        </w:trPr>
        <w:tc>
          <w:tcPr>
            <w:tcW w:w="3213" w:type="dxa"/>
            <w:shd w:val="clear" w:color="auto" w:fill="FFFFFF" w:themeFill="background1"/>
            <w:vAlign w:val="center"/>
          </w:tcPr>
          <w:p w14:paraId="60FDF984" w14:textId="7AB30524"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金融机构</w:t>
            </w:r>
            <w:r w:rsidR="00842CBE">
              <w:rPr>
                <w:rFonts w:ascii="宋体" w:eastAsia="宋体" w:hAnsi="宋体" w:cs="宋体"/>
                <w:sz w:val="18"/>
                <w:szCs w:val="18"/>
              </w:rPr>
              <w:t>2</w:t>
            </w:r>
          </w:p>
        </w:tc>
        <w:tc>
          <w:tcPr>
            <w:tcW w:w="3213" w:type="dxa"/>
            <w:shd w:val="clear" w:color="auto" w:fill="FFFFFF" w:themeFill="background1"/>
            <w:vAlign w:val="center"/>
          </w:tcPr>
          <w:p w14:paraId="0A5A268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1,619,763.26</w:t>
            </w:r>
          </w:p>
        </w:tc>
        <w:tc>
          <w:tcPr>
            <w:tcW w:w="3213" w:type="dxa"/>
            <w:shd w:val="clear" w:color="auto" w:fill="FFFFFF" w:themeFill="background1"/>
            <w:vAlign w:val="center"/>
          </w:tcPr>
          <w:p w14:paraId="3F84E04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子公司连年亏损，无力偿还</w:t>
            </w:r>
          </w:p>
        </w:tc>
      </w:tr>
      <w:tr w:rsidR="00632E5B" w14:paraId="73A3B260" w14:textId="77777777" w:rsidTr="00B158CE">
        <w:trPr>
          <w:trHeight w:val="240"/>
        </w:trPr>
        <w:tc>
          <w:tcPr>
            <w:tcW w:w="3213" w:type="dxa"/>
            <w:shd w:val="clear" w:color="auto" w:fill="FFFFFF" w:themeFill="background1"/>
            <w:vAlign w:val="center"/>
          </w:tcPr>
          <w:p w14:paraId="6DA91025"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09DD42E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10,542,432.43</w:t>
            </w:r>
          </w:p>
        </w:tc>
        <w:tc>
          <w:tcPr>
            <w:tcW w:w="3213" w:type="dxa"/>
            <w:shd w:val="clear" w:color="auto" w:fill="FFFFFF" w:themeFill="background1"/>
            <w:vAlign w:val="center"/>
          </w:tcPr>
          <w:p w14:paraId="085D055F" w14:textId="77777777" w:rsidR="00632E5B" w:rsidRDefault="00632E5B"/>
        </w:tc>
      </w:tr>
    </w:tbl>
    <w:p w14:paraId="708E70DF" w14:textId="77777777" w:rsidR="00632E5B" w:rsidRDefault="00107901">
      <w:pPr>
        <w:keepNext/>
        <w:keepLines/>
        <w:spacing w:before="300" w:after="300" w:line="280" w:lineRule="exact"/>
        <w:outlineLvl w:val="3"/>
        <w:rPr>
          <w:rFonts w:ascii="宋体" w:eastAsia="宋体" w:hAnsi="宋体" w:cs="宋体" w:hint="eastAsia"/>
          <w:b/>
          <w:bCs/>
          <w:sz w:val="18"/>
          <w:szCs w:val="18"/>
        </w:rPr>
      </w:pPr>
      <w:bookmarkStart w:id="283" w:name="_Toc989170"/>
      <w:r>
        <w:rPr>
          <w:rFonts w:ascii="宋体" w:eastAsia="宋体" w:hAnsi="宋体" w:cs="宋体"/>
          <w:b/>
          <w:bCs/>
          <w:sz w:val="18"/>
          <w:szCs w:val="18"/>
        </w:rPr>
        <w:t>（2） 其他应付款</w:t>
      </w:r>
      <w:bookmarkEnd w:id="283"/>
    </w:p>
    <w:p w14:paraId="238D0556" w14:textId="77777777" w:rsidR="00632E5B" w:rsidRDefault="00107901">
      <w:pPr>
        <w:keepNext/>
        <w:keepLines/>
        <w:spacing w:before="300" w:after="300" w:line="280" w:lineRule="exact"/>
        <w:outlineLvl w:val="4"/>
        <w:rPr>
          <w:rFonts w:ascii="宋体" w:eastAsia="宋体" w:hAnsi="宋体" w:cs="宋体" w:hint="eastAsia"/>
          <w:b/>
          <w:bCs/>
          <w:sz w:val="18"/>
          <w:szCs w:val="18"/>
        </w:rPr>
      </w:pPr>
      <w:bookmarkStart w:id="284" w:name="_Toc989171"/>
      <w:r>
        <w:rPr>
          <w:rFonts w:ascii="宋体" w:eastAsia="宋体" w:hAnsi="宋体" w:cs="宋体"/>
          <w:b/>
          <w:bCs/>
          <w:sz w:val="18"/>
          <w:szCs w:val="18"/>
        </w:rPr>
        <w:t>1） 按款项性质列示其他应付款</w:t>
      </w:r>
      <w:bookmarkEnd w:id="284"/>
    </w:p>
    <w:p w14:paraId="7412847D"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2BE5E58B" w14:textId="77777777" w:rsidTr="00B158CE">
        <w:trPr>
          <w:trHeight w:val="240"/>
        </w:trPr>
        <w:tc>
          <w:tcPr>
            <w:tcW w:w="3213" w:type="dxa"/>
            <w:shd w:val="clear" w:color="auto" w:fill="FFFFFF" w:themeFill="background1"/>
            <w:vAlign w:val="center"/>
          </w:tcPr>
          <w:p w14:paraId="05719DD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72C1AA8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auto" w:fill="FFFFFF" w:themeFill="background1"/>
            <w:vAlign w:val="center"/>
          </w:tcPr>
          <w:p w14:paraId="0AB70FC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632E5B" w14:paraId="5ADD208E" w14:textId="77777777" w:rsidTr="00B158CE">
        <w:trPr>
          <w:trHeight w:val="240"/>
        </w:trPr>
        <w:tc>
          <w:tcPr>
            <w:tcW w:w="3213" w:type="dxa"/>
            <w:shd w:val="clear" w:color="auto" w:fill="FFFFFF" w:themeFill="background1"/>
            <w:vAlign w:val="center"/>
          </w:tcPr>
          <w:p w14:paraId="2DA3D69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借款</w:t>
            </w:r>
          </w:p>
        </w:tc>
        <w:tc>
          <w:tcPr>
            <w:tcW w:w="3213" w:type="dxa"/>
            <w:shd w:val="clear" w:color="auto" w:fill="FFFFFF" w:themeFill="background1"/>
            <w:vAlign w:val="center"/>
          </w:tcPr>
          <w:p w14:paraId="016B670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330,897,934.73</w:t>
            </w:r>
          </w:p>
        </w:tc>
        <w:tc>
          <w:tcPr>
            <w:tcW w:w="3213" w:type="dxa"/>
            <w:shd w:val="clear" w:color="auto" w:fill="FFFFFF" w:themeFill="background1"/>
            <w:vAlign w:val="center"/>
          </w:tcPr>
          <w:p w14:paraId="105D003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258,452,528.70</w:t>
            </w:r>
          </w:p>
        </w:tc>
      </w:tr>
      <w:tr w:rsidR="00632E5B" w14:paraId="5041E3A3" w14:textId="77777777" w:rsidTr="00B158CE">
        <w:trPr>
          <w:trHeight w:val="240"/>
        </w:trPr>
        <w:tc>
          <w:tcPr>
            <w:tcW w:w="3213" w:type="dxa"/>
            <w:shd w:val="clear" w:color="auto" w:fill="FFFFFF" w:themeFill="background1"/>
            <w:vAlign w:val="center"/>
          </w:tcPr>
          <w:p w14:paraId="7036DB3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保证金</w:t>
            </w:r>
          </w:p>
        </w:tc>
        <w:tc>
          <w:tcPr>
            <w:tcW w:w="3213" w:type="dxa"/>
            <w:shd w:val="clear" w:color="auto" w:fill="FFFFFF" w:themeFill="background1"/>
            <w:vAlign w:val="center"/>
          </w:tcPr>
          <w:p w14:paraId="038587A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3,402,151.20</w:t>
            </w:r>
          </w:p>
        </w:tc>
        <w:tc>
          <w:tcPr>
            <w:tcW w:w="3213" w:type="dxa"/>
            <w:shd w:val="clear" w:color="auto" w:fill="FFFFFF" w:themeFill="background1"/>
            <w:vAlign w:val="center"/>
          </w:tcPr>
          <w:p w14:paraId="34B2F3D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70,567,226.06</w:t>
            </w:r>
          </w:p>
        </w:tc>
      </w:tr>
      <w:tr w:rsidR="00632E5B" w14:paraId="24AC8248" w14:textId="77777777" w:rsidTr="00B158CE">
        <w:trPr>
          <w:trHeight w:val="240"/>
        </w:trPr>
        <w:tc>
          <w:tcPr>
            <w:tcW w:w="3213" w:type="dxa"/>
            <w:shd w:val="clear" w:color="auto" w:fill="FFFFFF" w:themeFill="background1"/>
            <w:vAlign w:val="center"/>
          </w:tcPr>
          <w:p w14:paraId="0AC6BE3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暂收款及其他</w:t>
            </w:r>
          </w:p>
        </w:tc>
        <w:tc>
          <w:tcPr>
            <w:tcW w:w="3213" w:type="dxa"/>
            <w:shd w:val="clear" w:color="auto" w:fill="FFFFFF" w:themeFill="background1"/>
            <w:vAlign w:val="center"/>
          </w:tcPr>
          <w:p w14:paraId="057BB08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246,172,573.44</w:t>
            </w:r>
          </w:p>
        </w:tc>
        <w:tc>
          <w:tcPr>
            <w:tcW w:w="3213" w:type="dxa"/>
            <w:shd w:val="clear" w:color="auto" w:fill="FFFFFF" w:themeFill="background1"/>
            <w:vAlign w:val="center"/>
          </w:tcPr>
          <w:p w14:paraId="752EEFA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145,338,662.17</w:t>
            </w:r>
          </w:p>
        </w:tc>
      </w:tr>
      <w:tr w:rsidR="00632E5B" w14:paraId="729C10CE" w14:textId="77777777" w:rsidTr="00B158CE">
        <w:trPr>
          <w:trHeight w:val="240"/>
        </w:trPr>
        <w:tc>
          <w:tcPr>
            <w:tcW w:w="3213" w:type="dxa"/>
            <w:shd w:val="clear" w:color="auto" w:fill="FFFFFF" w:themeFill="background1"/>
            <w:vAlign w:val="center"/>
          </w:tcPr>
          <w:p w14:paraId="090EC905"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1742758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580,472,659.37</w:t>
            </w:r>
          </w:p>
        </w:tc>
        <w:tc>
          <w:tcPr>
            <w:tcW w:w="3213" w:type="dxa"/>
            <w:shd w:val="clear" w:color="auto" w:fill="FFFFFF" w:themeFill="background1"/>
            <w:vAlign w:val="center"/>
          </w:tcPr>
          <w:p w14:paraId="6BA34BB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474,358,416.93</w:t>
            </w:r>
          </w:p>
        </w:tc>
      </w:tr>
    </w:tbl>
    <w:p w14:paraId="683D958F" w14:textId="77777777" w:rsidR="00632E5B" w:rsidRDefault="00107901">
      <w:pPr>
        <w:keepNext/>
        <w:keepLines/>
        <w:spacing w:before="300" w:after="300" w:line="280" w:lineRule="exact"/>
        <w:outlineLvl w:val="4"/>
        <w:rPr>
          <w:rFonts w:ascii="宋体" w:eastAsia="宋体" w:hAnsi="宋体" w:cs="宋体" w:hint="eastAsia"/>
          <w:b/>
          <w:bCs/>
          <w:sz w:val="18"/>
          <w:szCs w:val="18"/>
        </w:rPr>
      </w:pPr>
      <w:bookmarkStart w:id="285" w:name="_Toc989172"/>
      <w:r>
        <w:rPr>
          <w:rFonts w:ascii="宋体" w:eastAsia="宋体" w:hAnsi="宋体" w:cs="宋体"/>
          <w:b/>
          <w:bCs/>
          <w:sz w:val="18"/>
          <w:szCs w:val="18"/>
        </w:rPr>
        <w:t>2） 账龄超过1年或逾期的重要其他应付款</w:t>
      </w:r>
      <w:bookmarkEnd w:id="285"/>
    </w:p>
    <w:p w14:paraId="1D9F905A"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0C9E5472" w14:textId="77777777" w:rsidTr="00B158CE">
        <w:trPr>
          <w:trHeight w:val="240"/>
        </w:trPr>
        <w:tc>
          <w:tcPr>
            <w:tcW w:w="3213" w:type="dxa"/>
            <w:shd w:val="clear" w:color="auto" w:fill="FFFFFF" w:themeFill="background1"/>
            <w:vAlign w:val="center"/>
          </w:tcPr>
          <w:p w14:paraId="0D719AC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5A4B5BB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auto" w:fill="FFFFFF" w:themeFill="background1"/>
            <w:vAlign w:val="center"/>
          </w:tcPr>
          <w:p w14:paraId="180B829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未偿还或结转的原因</w:t>
            </w:r>
          </w:p>
        </w:tc>
      </w:tr>
      <w:tr w:rsidR="00632E5B" w14:paraId="338A10B8" w14:textId="77777777" w:rsidTr="00B158CE">
        <w:trPr>
          <w:trHeight w:val="240"/>
        </w:trPr>
        <w:tc>
          <w:tcPr>
            <w:tcW w:w="3213" w:type="dxa"/>
            <w:shd w:val="clear" w:color="auto" w:fill="FFFFFF" w:themeFill="background1"/>
            <w:vAlign w:val="center"/>
          </w:tcPr>
          <w:p w14:paraId="311A4E9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单位8</w:t>
            </w:r>
          </w:p>
        </w:tc>
        <w:tc>
          <w:tcPr>
            <w:tcW w:w="3213" w:type="dxa"/>
            <w:shd w:val="clear" w:color="auto" w:fill="FFFFFF" w:themeFill="background1"/>
            <w:vAlign w:val="center"/>
          </w:tcPr>
          <w:p w14:paraId="5946B58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216,230,581.12</w:t>
            </w:r>
          </w:p>
        </w:tc>
        <w:tc>
          <w:tcPr>
            <w:tcW w:w="3213" w:type="dxa"/>
            <w:shd w:val="clear" w:color="auto" w:fill="FFFFFF" w:themeFill="background1"/>
            <w:vAlign w:val="center"/>
          </w:tcPr>
          <w:p w14:paraId="08AEC36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未履行部分已申报债权，按重整计划清偿中</w:t>
            </w:r>
          </w:p>
        </w:tc>
      </w:tr>
      <w:tr w:rsidR="00632E5B" w14:paraId="333B6157" w14:textId="77777777" w:rsidTr="00B158CE">
        <w:trPr>
          <w:trHeight w:val="240"/>
        </w:trPr>
        <w:tc>
          <w:tcPr>
            <w:tcW w:w="3213" w:type="dxa"/>
            <w:shd w:val="clear" w:color="auto" w:fill="FFFFFF" w:themeFill="background1"/>
            <w:vAlign w:val="center"/>
          </w:tcPr>
          <w:p w14:paraId="52B02A5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单位9</w:t>
            </w:r>
          </w:p>
        </w:tc>
        <w:tc>
          <w:tcPr>
            <w:tcW w:w="3213" w:type="dxa"/>
            <w:shd w:val="clear" w:color="auto" w:fill="FFFFFF" w:themeFill="background1"/>
            <w:vAlign w:val="center"/>
          </w:tcPr>
          <w:p w14:paraId="4B5496E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86,533,071.59</w:t>
            </w:r>
          </w:p>
        </w:tc>
        <w:tc>
          <w:tcPr>
            <w:tcW w:w="3213" w:type="dxa"/>
            <w:shd w:val="clear" w:color="auto" w:fill="FFFFFF" w:themeFill="background1"/>
            <w:vAlign w:val="center"/>
          </w:tcPr>
          <w:p w14:paraId="072F0E1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已申报债权，按重整计划清偿中</w:t>
            </w:r>
          </w:p>
        </w:tc>
      </w:tr>
      <w:tr w:rsidR="00632E5B" w14:paraId="0D9EAA9B" w14:textId="77777777" w:rsidTr="00B158CE">
        <w:trPr>
          <w:trHeight w:val="240"/>
        </w:trPr>
        <w:tc>
          <w:tcPr>
            <w:tcW w:w="3213" w:type="dxa"/>
            <w:shd w:val="clear" w:color="auto" w:fill="FFFFFF" w:themeFill="background1"/>
            <w:vAlign w:val="center"/>
          </w:tcPr>
          <w:p w14:paraId="0812252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lastRenderedPageBreak/>
              <w:t>单位10</w:t>
            </w:r>
          </w:p>
        </w:tc>
        <w:tc>
          <w:tcPr>
            <w:tcW w:w="3213" w:type="dxa"/>
            <w:shd w:val="clear" w:color="auto" w:fill="FFFFFF" w:themeFill="background1"/>
            <w:vAlign w:val="center"/>
          </w:tcPr>
          <w:p w14:paraId="3B289EF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14,588,807.22</w:t>
            </w:r>
          </w:p>
        </w:tc>
        <w:tc>
          <w:tcPr>
            <w:tcW w:w="3213" w:type="dxa"/>
            <w:shd w:val="clear" w:color="auto" w:fill="FFFFFF" w:themeFill="background1"/>
            <w:vAlign w:val="center"/>
          </w:tcPr>
          <w:p w14:paraId="20663F7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根据合同安排</w:t>
            </w:r>
          </w:p>
        </w:tc>
      </w:tr>
      <w:tr w:rsidR="00632E5B" w14:paraId="0F4B92EB" w14:textId="77777777" w:rsidTr="00B158CE">
        <w:trPr>
          <w:trHeight w:val="240"/>
        </w:trPr>
        <w:tc>
          <w:tcPr>
            <w:tcW w:w="3213" w:type="dxa"/>
            <w:shd w:val="clear" w:color="auto" w:fill="FFFFFF" w:themeFill="background1"/>
            <w:vAlign w:val="center"/>
          </w:tcPr>
          <w:p w14:paraId="1B03AA0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单位11</w:t>
            </w:r>
          </w:p>
        </w:tc>
        <w:tc>
          <w:tcPr>
            <w:tcW w:w="3213" w:type="dxa"/>
            <w:shd w:val="clear" w:color="auto" w:fill="FFFFFF" w:themeFill="background1"/>
            <w:vAlign w:val="center"/>
          </w:tcPr>
          <w:p w14:paraId="769E2DA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11,070,000.00</w:t>
            </w:r>
          </w:p>
        </w:tc>
        <w:tc>
          <w:tcPr>
            <w:tcW w:w="3213" w:type="dxa"/>
            <w:shd w:val="clear" w:color="auto" w:fill="FFFFFF" w:themeFill="background1"/>
            <w:vAlign w:val="center"/>
          </w:tcPr>
          <w:p w14:paraId="2D4A1D1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资金紧张，无力偿还</w:t>
            </w:r>
          </w:p>
        </w:tc>
      </w:tr>
      <w:tr w:rsidR="00632E5B" w14:paraId="36459CD1" w14:textId="77777777" w:rsidTr="00B158CE">
        <w:trPr>
          <w:trHeight w:val="240"/>
        </w:trPr>
        <w:tc>
          <w:tcPr>
            <w:tcW w:w="3213" w:type="dxa"/>
            <w:shd w:val="clear" w:color="auto" w:fill="FFFFFF" w:themeFill="background1"/>
            <w:vAlign w:val="center"/>
          </w:tcPr>
          <w:p w14:paraId="614FE962"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51B92E4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328,422,459.93</w:t>
            </w:r>
          </w:p>
        </w:tc>
        <w:tc>
          <w:tcPr>
            <w:tcW w:w="3213" w:type="dxa"/>
            <w:shd w:val="clear" w:color="auto" w:fill="FFFFFF" w:themeFill="background1"/>
            <w:vAlign w:val="center"/>
          </w:tcPr>
          <w:p w14:paraId="4831B6FB" w14:textId="77777777" w:rsidR="00632E5B" w:rsidRDefault="00632E5B"/>
        </w:tc>
      </w:tr>
    </w:tbl>
    <w:p w14:paraId="34E869CE" w14:textId="77777777" w:rsidR="00632E5B" w:rsidRDefault="00107901">
      <w:pPr>
        <w:pStyle w:val="3"/>
        <w:spacing w:line="280" w:lineRule="exact"/>
        <w:jc w:val="left"/>
        <w:rPr>
          <w:rFonts w:ascii="宋体" w:hAnsi="宋体" w:cs="宋体" w:hint="eastAsia"/>
          <w:b/>
          <w:bCs/>
        </w:rPr>
      </w:pPr>
      <w:bookmarkStart w:id="286" w:name="_Toc989173"/>
      <w:r>
        <w:rPr>
          <w:rFonts w:ascii="宋体" w:hAnsi="宋体" w:cs="宋体"/>
          <w:b/>
          <w:bCs/>
        </w:rPr>
        <w:t>26、预收款项</w:t>
      </w:r>
      <w:bookmarkEnd w:id="286"/>
    </w:p>
    <w:p w14:paraId="532FE0F9" w14:textId="77777777" w:rsidR="00632E5B" w:rsidRDefault="00107901">
      <w:pPr>
        <w:keepNext/>
        <w:keepLines/>
        <w:spacing w:before="300" w:after="300" w:line="280" w:lineRule="exact"/>
        <w:outlineLvl w:val="3"/>
        <w:rPr>
          <w:rFonts w:ascii="宋体" w:eastAsia="宋体" w:hAnsi="宋体" w:cs="宋体" w:hint="eastAsia"/>
          <w:b/>
          <w:bCs/>
          <w:sz w:val="18"/>
          <w:szCs w:val="18"/>
        </w:rPr>
      </w:pPr>
      <w:bookmarkStart w:id="287" w:name="_Toc989174"/>
      <w:r>
        <w:rPr>
          <w:rFonts w:ascii="宋体" w:eastAsia="宋体" w:hAnsi="宋体" w:cs="宋体"/>
          <w:b/>
          <w:bCs/>
          <w:sz w:val="18"/>
          <w:szCs w:val="18"/>
        </w:rPr>
        <w:t>（1） 预收款项列示</w:t>
      </w:r>
      <w:bookmarkEnd w:id="287"/>
    </w:p>
    <w:p w14:paraId="6ED681D4"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7FE723EF" w14:textId="77777777" w:rsidTr="00B158CE">
        <w:trPr>
          <w:trHeight w:val="240"/>
        </w:trPr>
        <w:tc>
          <w:tcPr>
            <w:tcW w:w="3213" w:type="dxa"/>
            <w:shd w:val="clear" w:color="auto" w:fill="FFFFFF" w:themeFill="background1"/>
            <w:vAlign w:val="center"/>
          </w:tcPr>
          <w:p w14:paraId="363F85E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3E0080F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auto" w:fill="FFFFFF" w:themeFill="background1"/>
            <w:vAlign w:val="center"/>
          </w:tcPr>
          <w:p w14:paraId="3460C80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632E5B" w14:paraId="06B40328" w14:textId="77777777" w:rsidTr="00B158CE">
        <w:trPr>
          <w:trHeight w:val="240"/>
        </w:trPr>
        <w:tc>
          <w:tcPr>
            <w:tcW w:w="3213" w:type="dxa"/>
            <w:shd w:val="clear" w:color="auto" w:fill="FFFFFF" w:themeFill="background1"/>
            <w:vAlign w:val="center"/>
          </w:tcPr>
          <w:p w14:paraId="615A952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预收租金</w:t>
            </w:r>
          </w:p>
        </w:tc>
        <w:tc>
          <w:tcPr>
            <w:tcW w:w="3213" w:type="dxa"/>
            <w:shd w:val="clear" w:color="auto" w:fill="FFFFFF" w:themeFill="background1"/>
            <w:vAlign w:val="center"/>
          </w:tcPr>
          <w:p w14:paraId="6B184FB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494,400.00</w:t>
            </w:r>
          </w:p>
        </w:tc>
        <w:tc>
          <w:tcPr>
            <w:tcW w:w="3213" w:type="dxa"/>
            <w:shd w:val="clear" w:color="auto" w:fill="FFFFFF" w:themeFill="background1"/>
            <w:vAlign w:val="center"/>
          </w:tcPr>
          <w:p w14:paraId="1EB7A7F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535,600.00</w:t>
            </w:r>
          </w:p>
        </w:tc>
      </w:tr>
      <w:tr w:rsidR="00632E5B" w14:paraId="3BF9E392" w14:textId="77777777" w:rsidTr="00B158CE">
        <w:trPr>
          <w:trHeight w:val="240"/>
        </w:trPr>
        <w:tc>
          <w:tcPr>
            <w:tcW w:w="3213" w:type="dxa"/>
            <w:shd w:val="clear" w:color="auto" w:fill="FFFFFF" w:themeFill="background1"/>
            <w:vAlign w:val="center"/>
          </w:tcPr>
          <w:p w14:paraId="42E9C722"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1D8946A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494,400.00</w:t>
            </w:r>
          </w:p>
        </w:tc>
        <w:tc>
          <w:tcPr>
            <w:tcW w:w="3213" w:type="dxa"/>
            <w:shd w:val="clear" w:color="auto" w:fill="FFFFFF" w:themeFill="background1"/>
            <w:vAlign w:val="center"/>
          </w:tcPr>
          <w:p w14:paraId="3667822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535,600.00</w:t>
            </w:r>
          </w:p>
        </w:tc>
      </w:tr>
    </w:tbl>
    <w:p w14:paraId="7C9C2F1A" w14:textId="77777777" w:rsidR="00632E5B" w:rsidRDefault="00107901">
      <w:pPr>
        <w:pStyle w:val="3"/>
        <w:spacing w:line="280" w:lineRule="exact"/>
        <w:jc w:val="left"/>
        <w:rPr>
          <w:rFonts w:ascii="宋体" w:hAnsi="宋体" w:cs="宋体" w:hint="eastAsia"/>
          <w:b/>
          <w:bCs/>
        </w:rPr>
      </w:pPr>
      <w:bookmarkStart w:id="288" w:name="_Toc989175"/>
      <w:r>
        <w:rPr>
          <w:rFonts w:ascii="宋体" w:hAnsi="宋体" w:cs="宋体"/>
          <w:b/>
          <w:bCs/>
        </w:rPr>
        <w:t>27、合同负债</w:t>
      </w:r>
      <w:bookmarkEnd w:id="288"/>
    </w:p>
    <w:p w14:paraId="0EC7FB33"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030A030D" w14:textId="77777777" w:rsidTr="00B158CE">
        <w:trPr>
          <w:trHeight w:val="240"/>
        </w:trPr>
        <w:tc>
          <w:tcPr>
            <w:tcW w:w="3213" w:type="dxa"/>
            <w:shd w:val="clear" w:color="auto" w:fill="FFFFFF" w:themeFill="background1"/>
            <w:vAlign w:val="center"/>
          </w:tcPr>
          <w:p w14:paraId="28FC85A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7AA0455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auto" w:fill="FFFFFF" w:themeFill="background1"/>
            <w:vAlign w:val="center"/>
          </w:tcPr>
          <w:p w14:paraId="7191D7A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632E5B" w14:paraId="141606BE" w14:textId="77777777" w:rsidTr="00B158CE">
        <w:trPr>
          <w:trHeight w:val="240"/>
        </w:trPr>
        <w:tc>
          <w:tcPr>
            <w:tcW w:w="3213" w:type="dxa"/>
            <w:shd w:val="clear" w:color="auto" w:fill="FFFFFF" w:themeFill="background1"/>
            <w:vAlign w:val="center"/>
          </w:tcPr>
          <w:p w14:paraId="3223A8D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货款</w:t>
            </w:r>
          </w:p>
        </w:tc>
        <w:tc>
          <w:tcPr>
            <w:tcW w:w="3213" w:type="dxa"/>
            <w:shd w:val="clear" w:color="auto" w:fill="FFFFFF" w:themeFill="background1"/>
            <w:vAlign w:val="center"/>
          </w:tcPr>
          <w:p w14:paraId="1D10426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101,737,410.53</w:t>
            </w:r>
          </w:p>
        </w:tc>
        <w:tc>
          <w:tcPr>
            <w:tcW w:w="3213" w:type="dxa"/>
            <w:shd w:val="clear" w:color="auto" w:fill="FFFFFF" w:themeFill="background1"/>
            <w:vAlign w:val="center"/>
          </w:tcPr>
          <w:p w14:paraId="13CF55A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463,179,315.20</w:t>
            </w:r>
          </w:p>
        </w:tc>
      </w:tr>
      <w:tr w:rsidR="00632E5B" w14:paraId="54BBF0C8" w14:textId="77777777" w:rsidTr="00B158CE">
        <w:trPr>
          <w:trHeight w:val="240"/>
        </w:trPr>
        <w:tc>
          <w:tcPr>
            <w:tcW w:w="3213" w:type="dxa"/>
            <w:shd w:val="clear" w:color="auto" w:fill="FFFFFF" w:themeFill="background1"/>
            <w:vAlign w:val="center"/>
          </w:tcPr>
          <w:p w14:paraId="2C0D7267"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1AEAA8E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101,737,410.53</w:t>
            </w:r>
          </w:p>
        </w:tc>
        <w:tc>
          <w:tcPr>
            <w:tcW w:w="3213" w:type="dxa"/>
            <w:shd w:val="clear" w:color="auto" w:fill="FFFFFF" w:themeFill="background1"/>
            <w:vAlign w:val="center"/>
          </w:tcPr>
          <w:p w14:paraId="375F0E7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463,179,315.20</w:t>
            </w:r>
          </w:p>
        </w:tc>
      </w:tr>
    </w:tbl>
    <w:p w14:paraId="49110FE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账龄超过1年的重要合同负债</w:t>
      </w:r>
    </w:p>
    <w:p w14:paraId="2E9C1CA9"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10C350D6" w14:textId="77777777" w:rsidTr="00B158CE">
        <w:trPr>
          <w:trHeight w:val="240"/>
        </w:trPr>
        <w:tc>
          <w:tcPr>
            <w:tcW w:w="3213" w:type="dxa"/>
            <w:shd w:val="clear" w:color="auto" w:fill="FFFFFF" w:themeFill="background1"/>
            <w:vAlign w:val="center"/>
          </w:tcPr>
          <w:p w14:paraId="3604500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5E7E946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auto" w:fill="FFFFFF" w:themeFill="background1"/>
            <w:vAlign w:val="center"/>
          </w:tcPr>
          <w:p w14:paraId="390F086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未偿还或结转的原因</w:t>
            </w:r>
          </w:p>
        </w:tc>
      </w:tr>
      <w:tr w:rsidR="00632E5B" w14:paraId="494CEDC9" w14:textId="77777777" w:rsidTr="00B158CE">
        <w:trPr>
          <w:trHeight w:val="240"/>
        </w:trPr>
        <w:tc>
          <w:tcPr>
            <w:tcW w:w="3213" w:type="dxa"/>
            <w:shd w:val="clear" w:color="auto" w:fill="FFFFFF" w:themeFill="background1"/>
            <w:vAlign w:val="center"/>
          </w:tcPr>
          <w:p w14:paraId="3000D24C" w14:textId="588321C5"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客户</w:t>
            </w:r>
            <w:r w:rsidR="00EA2366">
              <w:rPr>
                <w:rFonts w:ascii="宋体" w:eastAsia="宋体" w:hAnsi="宋体" w:cs="宋体"/>
                <w:sz w:val="18"/>
                <w:szCs w:val="18"/>
              </w:rPr>
              <w:t>27</w:t>
            </w:r>
          </w:p>
        </w:tc>
        <w:tc>
          <w:tcPr>
            <w:tcW w:w="3213" w:type="dxa"/>
            <w:shd w:val="clear" w:color="auto" w:fill="FFFFFF" w:themeFill="background1"/>
            <w:vAlign w:val="center"/>
          </w:tcPr>
          <w:p w14:paraId="2A907C1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88,381,592.92</w:t>
            </w:r>
          </w:p>
        </w:tc>
        <w:tc>
          <w:tcPr>
            <w:tcW w:w="3213" w:type="dxa"/>
            <w:shd w:val="clear" w:color="auto" w:fill="FFFFFF" w:themeFill="background1"/>
            <w:vAlign w:val="center"/>
          </w:tcPr>
          <w:p w14:paraId="03F42C1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专网事件暴雷</w:t>
            </w:r>
          </w:p>
        </w:tc>
      </w:tr>
      <w:tr w:rsidR="00632E5B" w14:paraId="306A9B00" w14:textId="77777777" w:rsidTr="00B158CE">
        <w:trPr>
          <w:trHeight w:val="240"/>
        </w:trPr>
        <w:tc>
          <w:tcPr>
            <w:tcW w:w="3213" w:type="dxa"/>
            <w:shd w:val="clear" w:color="auto" w:fill="FFFFFF" w:themeFill="background1"/>
            <w:vAlign w:val="center"/>
          </w:tcPr>
          <w:p w14:paraId="274B1A07"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0732488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88,381,592.92</w:t>
            </w:r>
          </w:p>
        </w:tc>
        <w:tc>
          <w:tcPr>
            <w:tcW w:w="3213" w:type="dxa"/>
            <w:shd w:val="clear" w:color="auto" w:fill="FFFFFF" w:themeFill="background1"/>
            <w:vAlign w:val="center"/>
          </w:tcPr>
          <w:p w14:paraId="2F1414B1" w14:textId="77777777" w:rsidR="00632E5B" w:rsidRDefault="00632E5B"/>
        </w:tc>
      </w:tr>
    </w:tbl>
    <w:p w14:paraId="3A24C1A2" w14:textId="77777777" w:rsidR="00632E5B" w:rsidRDefault="00107901">
      <w:pPr>
        <w:pStyle w:val="3"/>
        <w:spacing w:line="280" w:lineRule="exact"/>
        <w:jc w:val="left"/>
        <w:rPr>
          <w:rFonts w:ascii="宋体" w:hAnsi="宋体" w:cs="宋体" w:hint="eastAsia"/>
          <w:b/>
          <w:bCs/>
        </w:rPr>
      </w:pPr>
      <w:bookmarkStart w:id="289" w:name="_Toc989176"/>
      <w:r>
        <w:rPr>
          <w:rFonts w:ascii="宋体" w:hAnsi="宋体" w:cs="宋体"/>
          <w:b/>
          <w:bCs/>
        </w:rPr>
        <w:t>28、应付职工薪酬</w:t>
      </w:r>
      <w:bookmarkEnd w:id="289"/>
    </w:p>
    <w:p w14:paraId="2F252BEF"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290" w:name="_Toc989177"/>
      <w:r>
        <w:rPr>
          <w:rFonts w:ascii="宋体" w:eastAsia="宋体" w:hAnsi="宋体" w:cs="宋体"/>
          <w:b/>
          <w:bCs/>
          <w:szCs w:val="21"/>
        </w:rPr>
        <w:t>（1） 应付职工薪酬列示</w:t>
      </w:r>
      <w:bookmarkEnd w:id="290"/>
    </w:p>
    <w:p w14:paraId="40133FA0"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927"/>
        <w:gridCol w:w="1928"/>
        <w:gridCol w:w="1928"/>
        <w:gridCol w:w="1928"/>
        <w:gridCol w:w="1928"/>
      </w:tblGrid>
      <w:tr w:rsidR="00632E5B" w14:paraId="469198EE" w14:textId="77777777" w:rsidTr="00B158CE">
        <w:trPr>
          <w:trHeight w:val="240"/>
        </w:trPr>
        <w:tc>
          <w:tcPr>
            <w:tcW w:w="1928" w:type="dxa"/>
            <w:shd w:val="clear" w:color="auto" w:fill="FFFFFF" w:themeFill="background1"/>
            <w:vAlign w:val="center"/>
          </w:tcPr>
          <w:p w14:paraId="3D7CA1C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928" w:type="dxa"/>
            <w:shd w:val="clear" w:color="auto" w:fill="FFFFFF" w:themeFill="background1"/>
            <w:vAlign w:val="center"/>
          </w:tcPr>
          <w:p w14:paraId="7156780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928" w:type="dxa"/>
            <w:shd w:val="clear" w:color="auto" w:fill="FFFFFF" w:themeFill="background1"/>
            <w:vAlign w:val="center"/>
          </w:tcPr>
          <w:p w14:paraId="1D4680C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1928" w:type="dxa"/>
            <w:shd w:val="clear" w:color="auto" w:fill="FFFFFF" w:themeFill="background1"/>
            <w:vAlign w:val="center"/>
          </w:tcPr>
          <w:p w14:paraId="34C61D3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1928" w:type="dxa"/>
            <w:shd w:val="clear" w:color="auto" w:fill="FFFFFF" w:themeFill="background1"/>
            <w:vAlign w:val="center"/>
          </w:tcPr>
          <w:p w14:paraId="2F5AB9A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632E5B" w14:paraId="5EBE0482" w14:textId="77777777" w:rsidTr="00B158CE">
        <w:trPr>
          <w:trHeight w:val="240"/>
        </w:trPr>
        <w:tc>
          <w:tcPr>
            <w:tcW w:w="1928" w:type="dxa"/>
            <w:shd w:val="clear" w:color="auto" w:fill="FFFFFF" w:themeFill="background1"/>
            <w:vAlign w:val="center"/>
          </w:tcPr>
          <w:p w14:paraId="5AA4CB0F"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一、短期薪酬</w:t>
            </w:r>
          </w:p>
        </w:tc>
        <w:tc>
          <w:tcPr>
            <w:tcW w:w="1928" w:type="dxa"/>
            <w:shd w:val="clear" w:color="auto" w:fill="FFFFFF" w:themeFill="background1"/>
            <w:vAlign w:val="center"/>
          </w:tcPr>
          <w:p w14:paraId="7F0EEE2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74,183,231.98</w:t>
            </w:r>
          </w:p>
        </w:tc>
        <w:tc>
          <w:tcPr>
            <w:tcW w:w="1928" w:type="dxa"/>
            <w:shd w:val="clear" w:color="auto" w:fill="FFFFFF" w:themeFill="background1"/>
            <w:vAlign w:val="center"/>
          </w:tcPr>
          <w:p w14:paraId="7AD3BAC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394,665,258.18</w:t>
            </w:r>
          </w:p>
        </w:tc>
        <w:tc>
          <w:tcPr>
            <w:tcW w:w="1928" w:type="dxa"/>
            <w:shd w:val="clear" w:color="auto" w:fill="FFFFFF" w:themeFill="background1"/>
            <w:vAlign w:val="center"/>
          </w:tcPr>
          <w:p w14:paraId="27B1C93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405,302,196.45</w:t>
            </w:r>
          </w:p>
        </w:tc>
        <w:tc>
          <w:tcPr>
            <w:tcW w:w="1928" w:type="dxa"/>
            <w:shd w:val="clear" w:color="auto" w:fill="FFFFFF" w:themeFill="background1"/>
            <w:vAlign w:val="center"/>
          </w:tcPr>
          <w:p w14:paraId="6A80801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63,546,293.71</w:t>
            </w:r>
          </w:p>
        </w:tc>
      </w:tr>
      <w:tr w:rsidR="00632E5B" w14:paraId="0399A765" w14:textId="77777777" w:rsidTr="00B158CE">
        <w:trPr>
          <w:trHeight w:val="240"/>
        </w:trPr>
        <w:tc>
          <w:tcPr>
            <w:tcW w:w="1928" w:type="dxa"/>
            <w:shd w:val="clear" w:color="auto" w:fill="FFFFFF" w:themeFill="background1"/>
            <w:vAlign w:val="center"/>
          </w:tcPr>
          <w:p w14:paraId="3ABFE47D"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二、离职后福利-设定提存计划</w:t>
            </w:r>
          </w:p>
        </w:tc>
        <w:tc>
          <w:tcPr>
            <w:tcW w:w="1928" w:type="dxa"/>
            <w:shd w:val="clear" w:color="auto" w:fill="FFFFFF" w:themeFill="background1"/>
            <w:vAlign w:val="center"/>
          </w:tcPr>
          <w:p w14:paraId="6EAD738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2,989,911.16</w:t>
            </w:r>
          </w:p>
        </w:tc>
        <w:tc>
          <w:tcPr>
            <w:tcW w:w="1928" w:type="dxa"/>
            <w:shd w:val="clear" w:color="auto" w:fill="FFFFFF" w:themeFill="background1"/>
            <w:vAlign w:val="center"/>
          </w:tcPr>
          <w:p w14:paraId="0F355C3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26,215,674.78</w:t>
            </w:r>
          </w:p>
        </w:tc>
        <w:tc>
          <w:tcPr>
            <w:tcW w:w="1928" w:type="dxa"/>
            <w:shd w:val="clear" w:color="auto" w:fill="FFFFFF" w:themeFill="background1"/>
            <w:vAlign w:val="center"/>
          </w:tcPr>
          <w:p w14:paraId="0D1F1B3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26,330,180.13</w:t>
            </w:r>
          </w:p>
        </w:tc>
        <w:tc>
          <w:tcPr>
            <w:tcW w:w="1928" w:type="dxa"/>
            <w:shd w:val="clear" w:color="auto" w:fill="FFFFFF" w:themeFill="background1"/>
            <w:vAlign w:val="center"/>
          </w:tcPr>
          <w:p w14:paraId="7D64157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2,875,405.81</w:t>
            </w:r>
          </w:p>
        </w:tc>
      </w:tr>
      <w:tr w:rsidR="00632E5B" w14:paraId="642F6A85" w14:textId="77777777" w:rsidTr="00B158CE">
        <w:trPr>
          <w:trHeight w:val="240"/>
        </w:trPr>
        <w:tc>
          <w:tcPr>
            <w:tcW w:w="1928" w:type="dxa"/>
            <w:shd w:val="clear" w:color="auto" w:fill="FFFFFF" w:themeFill="background1"/>
            <w:vAlign w:val="center"/>
          </w:tcPr>
          <w:p w14:paraId="38B783B7"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三、辞退福利</w:t>
            </w:r>
          </w:p>
        </w:tc>
        <w:tc>
          <w:tcPr>
            <w:tcW w:w="1928" w:type="dxa"/>
            <w:shd w:val="clear" w:color="auto" w:fill="FFFFFF" w:themeFill="background1"/>
            <w:vAlign w:val="center"/>
          </w:tcPr>
          <w:p w14:paraId="7344DBE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129,477.80</w:t>
            </w:r>
          </w:p>
        </w:tc>
        <w:tc>
          <w:tcPr>
            <w:tcW w:w="1928" w:type="dxa"/>
            <w:shd w:val="clear" w:color="auto" w:fill="FFFFFF" w:themeFill="background1"/>
            <w:vAlign w:val="center"/>
          </w:tcPr>
          <w:p w14:paraId="33B4C6E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6,506,195.98</w:t>
            </w:r>
          </w:p>
        </w:tc>
        <w:tc>
          <w:tcPr>
            <w:tcW w:w="1928" w:type="dxa"/>
            <w:shd w:val="clear" w:color="auto" w:fill="FFFFFF" w:themeFill="background1"/>
            <w:vAlign w:val="center"/>
          </w:tcPr>
          <w:p w14:paraId="3940006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2,531,969.04</w:t>
            </w:r>
          </w:p>
        </w:tc>
        <w:tc>
          <w:tcPr>
            <w:tcW w:w="1928" w:type="dxa"/>
            <w:shd w:val="clear" w:color="auto" w:fill="FFFFFF" w:themeFill="background1"/>
            <w:vAlign w:val="center"/>
          </w:tcPr>
          <w:p w14:paraId="675C8A3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4,103,704.74</w:t>
            </w:r>
          </w:p>
        </w:tc>
      </w:tr>
      <w:tr w:rsidR="00632E5B" w14:paraId="38343227" w14:textId="77777777" w:rsidTr="00B158CE">
        <w:trPr>
          <w:trHeight w:val="240"/>
        </w:trPr>
        <w:tc>
          <w:tcPr>
            <w:tcW w:w="1928" w:type="dxa"/>
            <w:shd w:val="clear" w:color="auto" w:fill="FFFFFF" w:themeFill="background1"/>
            <w:vAlign w:val="center"/>
          </w:tcPr>
          <w:p w14:paraId="0A166AE7"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shd w:val="clear" w:color="auto" w:fill="FFFFFF" w:themeFill="background1"/>
            <w:vAlign w:val="center"/>
          </w:tcPr>
          <w:p w14:paraId="190FD9B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77,302,620.94</w:t>
            </w:r>
          </w:p>
        </w:tc>
        <w:tc>
          <w:tcPr>
            <w:tcW w:w="1928" w:type="dxa"/>
            <w:shd w:val="clear" w:color="auto" w:fill="FFFFFF" w:themeFill="background1"/>
            <w:vAlign w:val="center"/>
          </w:tcPr>
          <w:p w14:paraId="101F108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427,387,128.94</w:t>
            </w:r>
          </w:p>
        </w:tc>
        <w:tc>
          <w:tcPr>
            <w:tcW w:w="1928" w:type="dxa"/>
            <w:shd w:val="clear" w:color="auto" w:fill="FFFFFF" w:themeFill="background1"/>
            <w:vAlign w:val="center"/>
          </w:tcPr>
          <w:p w14:paraId="12C8D6F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434,164,345.62</w:t>
            </w:r>
          </w:p>
        </w:tc>
        <w:tc>
          <w:tcPr>
            <w:tcW w:w="1928" w:type="dxa"/>
            <w:shd w:val="clear" w:color="auto" w:fill="FFFFFF" w:themeFill="background1"/>
            <w:vAlign w:val="center"/>
          </w:tcPr>
          <w:p w14:paraId="3DEC959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70,525,404.26</w:t>
            </w:r>
          </w:p>
        </w:tc>
      </w:tr>
    </w:tbl>
    <w:p w14:paraId="4574C9A6"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291" w:name="_Toc989178"/>
      <w:r>
        <w:rPr>
          <w:rFonts w:ascii="宋体" w:eastAsia="宋体" w:hAnsi="宋体" w:cs="宋体"/>
          <w:b/>
          <w:bCs/>
          <w:szCs w:val="21"/>
        </w:rPr>
        <w:t>（2） 短期薪酬列示</w:t>
      </w:r>
      <w:bookmarkEnd w:id="291"/>
    </w:p>
    <w:p w14:paraId="2C68CA16"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2724"/>
        <w:gridCol w:w="1560"/>
        <w:gridCol w:w="1499"/>
        <w:gridCol w:w="1928"/>
        <w:gridCol w:w="1928"/>
      </w:tblGrid>
      <w:tr w:rsidR="00632E5B" w14:paraId="196A596A" w14:textId="77777777" w:rsidTr="00B158CE">
        <w:trPr>
          <w:trHeight w:val="240"/>
        </w:trPr>
        <w:tc>
          <w:tcPr>
            <w:tcW w:w="2724" w:type="dxa"/>
            <w:shd w:val="clear" w:color="auto" w:fill="FFFFFF" w:themeFill="background1"/>
            <w:vAlign w:val="center"/>
          </w:tcPr>
          <w:p w14:paraId="4B1D6D3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560" w:type="dxa"/>
            <w:shd w:val="clear" w:color="auto" w:fill="FFFFFF" w:themeFill="background1"/>
            <w:vAlign w:val="center"/>
          </w:tcPr>
          <w:p w14:paraId="42F455F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499" w:type="dxa"/>
            <w:shd w:val="clear" w:color="auto" w:fill="FFFFFF" w:themeFill="background1"/>
            <w:vAlign w:val="center"/>
          </w:tcPr>
          <w:p w14:paraId="32929CE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1928" w:type="dxa"/>
            <w:shd w:val="clear" w:color="auto" w:fill="FFFFFF" w:themeFill="background1"/>
            <w:vAlign w:val="center"/>
          </w:tcPr>
          <w:p w14:paraId="3D9B12C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1928" w:type="dxa"/>
            <w:shd w:val="clear" w:color="auto" w:fill="FFFFFF" w:themeFill="background1"/>
            <w:vAlign w:val="center"/>
          </w:tcPr>
          <w:p w14:paraId="012C3E9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632E5B" w14:paraId="35A303BC" w14:textId="77777777" w:rsidTr="00B158CE">
        <w:trPr>
          <w:trHeight w:val="240"/>
        </w:trPr>
        <w:tc>
          <w:tcPr>
            <w:tcW w:w="2724" w:type="dxa"/>
            <w:shd w:val="clear" w:color="auto" w:fill="FFFFFF" w:themeFill="background1"/>
            <w:vAlign w:val="center"/>
          </w:tcPr>
          <w:p w14:paraId="1FF4E53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1、工资、奖金、津贴和补贴</w:t>
            </w:r>
          </w:p>
        </w:tc>
        <w:tc>
          <w:tcPr>
            <w:tcW w:w="1560" w:type="dxa"/>
            <w:shd w:val="clear" w:color="auto" w:fill="FFFFFF" w:themeFill="background1"/>
            <w:vAlign w:val="center"/>
          </w:tcPr>
          <w:p w14:paraId="110A4CA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71,566,336.74</w:t>
            </w:r>
          </w:p>
        </w:tc>
        <w:tc>
          <w:tcPr>
            <w:tcW w:w="1499" w:type="dxa"/>
            <w:shd w:val="clear" w:color="auto" w:fill="FFFFFF" w:themeFill="background1"/>
            <w:vAlign w:val="center"/>
          </w:tcPr>
          <w:p w14:paraId="532C7B4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344,346,794.77</w:t>
            </w:r>
          </w:p>
        </w:tc>
        <w:tc>
          <w:tcPr>
            <w:tcW w:w="1928" w:type="dxa"/>
            <w:shd w:val="clear" w:color="auto" w:fill="FFFFFF" w:themeFill="background1"/>
            <w:vAlign w:val="center"/>
          </w:tcPr>
          <w:p w14:paraId="6C83112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354,976,997.31</w:t>
            </w:r>
          </w:p>
        </w:tc>
        <w:tc>
          <w:tcPr>
            <w:tcW w:w="1928" w:type="dxa"/>
            <w:shd w:val="clear" w:color="auto" w:fill="FFFFFF" w:themeFill="background1"/>
            <w:vAlign w:val="center"/>
          </w:tcPr>
          <w:p w14:paraId="7B34DA2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60,936,134.20</w:t>
            </w:r>
          </w:p>
        </w:tc>
      </w:tr>
      <w:tr w:rsidR="00632E5B" w14:paraId="7E968076" w14:textId="77777777" w:rsidTr="00B158CE">
        <w:trPr>
          <w:trHeight w:val="240"/>
        </w:trPr>
        <w:tc>
          <w:tcPr>
            <w:tcW w:w="2724" w:type="dxa"/>
            <w:shd w:val="clear" w:color="auto" w:fill="FFFFFF" w:themeFill="background1"/>
            <w:vAlign w:val="center"/>
          </w:tcPr>
          <w:p w14:paraId="49D301DD"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2、职工福利费</w:t>
            </w:r>
          </w:p>
        </w:tc>
        <w:tc>
          <w:tcPr>
            <w:tcW w:w="1560" w:type="dxa"/>
            <w:shd w:val="clear" w:color="auto" w:fill="FFFFFF" w:themeFill="background1"/>
            <w:vAlign w:val="center"/>
          </w:tcPr>
          <w:p w14:paraId="3EFB487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1,737,871.16</w:t>
            </w:r>
          </w:p>
        </w:tc>
        <w:tc>
          <w:tcPr>
            <w:tcW w:w="1499" w:type="dxa"/>
            <w:shd w:val="clear" w:color="auto" w:fill="FFFFFF" w:themeFill="background1"/>
            <w:vAlign w:val="center"/>
          </w:tcPr>
          <w:p w14:paraId="4917B42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19,167,117.12</w:t>
            </w:r>
          </w:p>
        </w:tc>
        <w:tc>
          <w:tcPr>
            <w:tcW w:w="1928" w:type="dxa"/>
            <w:shd w:val="clear" w:color="auto" w:fill="FFFFFF" w:themeFill="background1"/>
            <w:vAlign w:val="center"/>
          </w:tcPr>
          <w:p w14:paraId="2D671B7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19,275,158.26</w:t>
            </w:r>
          </w:p>
        </w:tc>
        <w:tc>
          <w:tcPr>
            <w:tcW w:w="1928" w:type="dxa"/>
            <w:shd w:val="clear" w:color="auto" w:fill="FFFFFF" w:themeFill="background1"/>
            <w:vAlign w:val="center"/>
          </w:tcPr>
          <w:p w14:paraId="6795F2F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1,629,830.02</w:t>
            </w:r>
          </w:p>
        </w:tc>
      </w:tr>
      <w:tr w:rsidR="00632E5B" w14:paraId="5945C6B5" w14:textId="77777777" w:rsidTr="00B158CE">
        <w:trPr>
          <w:trHeight w:val="240"/>
        </w:trPr>
        <w:tc>
          <w:tcPr>
            <w:tcW w:w="2724" w:type="dxa"/>
            <w:shd w:val="clear" w:color="auto" w:fill="FFFFFF" w:themeFill="background1"/>
            <w:vAlign w:val="center"/>
          </w:tcPr>
          <w:p w14:paraId="6ECB1870"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3、社会保险费</w:t>
            </w:r>
          </w:p>
        </w:tc>
        <w:tc>
          <w:tcPr>
            <w:tcW w:w="1560" w:type="dxa"/>
            <w:shd w:val="clear" w:color="auto" w:fill="FFFFFF" w:themeFill="background1"/>
            <w:vAlign w:val="center"/>
          </w:tcPr>
          <w:p w14:paraId="00757E5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153,754.85</w:t>
            </w:r>
          </w:p>
        </w:tc>
        <w:tc>
          <w:tcPr>
            <w:tcW w:w="1499" w:type="dxa"/>
            <w:shd w:val="clear" w:color="auto" w:fill="FFFFFF" w:themeFill="background1"/>
            <w:vAlign w:val="center"/>
          </w:tcPr>
          <w:p w14:paraId="367CC0F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15,835,072.72</w:t>
            </w:r>
          </w:p>
        </w:tc>
        <w:tc>
          <w:tcPr>
            <w:tcW w:w="1928" w:type="dxa"/>
            <w:shd w:val="clear" w:color="auto" w:fill="FFFFFF" w:themeFill="background1"/>
            <w:vAlign w:val="center"/>
          </w:tcPr>
          <w:p w14:paraId="6B03E37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15,571,727.54</w:t>
            </w:r>
          </w:p>
        </w:tc>
        <w:tc>
          <w:tcPr>
            <w:tcW w:w="1928" w:type="dxa"/>
            <w:shd w:val="clear" w:color="auto" w:fill="FFFFFF" w:themeFill="background1"/>
            <w:vAlign w:val="center"/>
          </w:tcPr>
          <w:p w14:paraId="0F3AAE8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417,100.03</w:t>
            </w:r>
          </w:p>
        </w:tc>
      </w:tr>
      <w:tr w:rsidR="00632E5B" w14:paraId="64F5E7DA" w14:textId="77777777" w:rsidTr="00B158CE">
        <w:trPr>
          <w:trHeight w:val="240"/>
        </w:trPr>
        <w:tc>
          <w:tcPr>
            <w:tcW w:w="2724" w:type="dxa"/>
            <w:shd w:val="clear" w:color="auto" w:fill="FFFFFF" w:themeFill="background1"/>
            <w:vAlign w:val="center"/>
          </w:tcPr>
          <w:p w14:paraId="64E4F5E7"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其中：医疗保险费</w:t>
            </w:r>
          </w:p>
        </w:tc>
        <w:tc>
          <w:tcPr>
            <w:tcW w:w="1560" w:type="dxa"/>
            <w:shd w:val="clear" w:color="auto" w:fill="FFFFFF" w:themeFill="background1"/>
            <w:vAlign w:val="center"/>
          </w:tcPr>
          <w:p w14:paraId="3EBA8B3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153,541.41</w:t>
            </w:r>
          </w:p>
        </w:tc>
        <w:tc>
          <w:tcPr>
            <w:tcW w:w="1499" w:type="dxa"/>
            <w:shd w:val="clear" w:color="auto" w:fill="FFFFFF" w:themeFill="background1"/>
            <w:vAlign w:val="center"/>
          </w:tcPr>
          <w:p w14:paraId="157A9C5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13,403,088.70</w:t>
            </w:r>
          </w:p>
        </w:tc>
        <w:tc>
          <w:tcPr>
            <w:tcW w:w="1928" w:type="dxa"/>
            <w:shd w:val="clear" w:color="auto" w:fill="FFFFFF" w:themeFill="background1"/>
            <w:vAlign w:val="center"/>
          </w:tcPr>
          <w:p w14:paraId="1BCC584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13,139,530.08</w:t>
            </w:r>
          </w:p>
        </w:tc>
        <w:tc>
          <w:tcPr>
            <w:tcW w:w="1928" w:type="dxa"/>
            <w:shd w:val="clear" w:color="auto" w:fill="FFFFFF" w:themeFill="background1"/>
            <w:vAlign w:val="center"/>
          </w:tcPr>
          <w:p w14:paraId="0964394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417,100.03</w:t>
            </w:r>
          </w:p>
        </w:tc>
      </w:tr>
      <w:tr w:rsidR="00632E5B" w14:paraId="24467FEB" w14:textId="77777777" w:rsidTr="00B158CE">
        <w:trPr>
          <w:trHeight w:val="240"/>
        </w:trPr>
        <w:tc>
          <w:tcPr>
            <w:tcW w:w="2724" w:type="dxa"/>
            <w:shd w:val="clear" w:color="auto" w:fill="FFFFFF" w:themeFill="background1"/>
            <w:vAlign w:val="center"/>
          </w:tcPr>
          <w:p w14:paraId="48CC8397" w14:textId="77777777" w:rsidR="00632E5B" w:rsidRDefault="00107901">
            <w:pPr>
              <w:spacing w:before="40" w:after="40" w:line="240" w:lineRule="exact"/>
              <w:ind w:firstLineChars="500" w:firstLine="900"/>
              <w:rPr>
                <w:rFonts w:ascii="宋体" w:eastAsia="宋体" w:hAnsi="宋体" w:cs="宋体" w:hint="eastAsia"/>
                <w:sz w:val="18"/>
                <w:szCs w:val="18"/>
              </w:rPr>
            </w:pPr>
            <w:r>
              <w:rPr>
                <w:rFonts w:ascii="宋体" w:eastAsia="宋体" w:hAnsi="宋体" w:cs="宋体"/>
                <w:sz w:val="18"/>
                <w:szCs w:val="18"/>
              </w:rPr>
              <w:t>工伤保险费</w:t>
            </w:r>
          </w:p>
        </w:tc>
        <w:tc>
          <w:tcPr>
            <w:tcW w:w="1560" w:type="dxa"/>
            <w:shd w:val="clear" w:color="auto" w:fill="FFFFFF" w:themeFill="background1"/>
            <w:vAlign w:val="center"/>
          </w:tcPr>
          <w:p w14:paraId="68E1192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69.80</w:t>
            </w:r>
          </w:p>
        </w:tc>
        <w:tc>
          <w:tcPr>
            <w:tcW w:w="1499" w:type="dxa"/>
            <w:shd w:val="clear" w:color="auto" w:fill="FFFFFF" w:themeFill="background1"/>
            <w:vAlign w:val="center"/>
          </w:tcPr>
          <w:p w14:paraId="1E901E6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1,375,708.22</w:t>
            </w:r>
          </w:p>
        </w:tc>
        <w:tc>
          <w:tcPr>
            <w:tcW w:w="1928" w:type="dxa"/>
            <w:shd w:val="clear" w:color="auto" w:fill="FFFFFF" w:themeFill="background1"/>
            <w:vAlign w:val="center"/>
          </w:tcPr>
          <w:p w14:paraId="19EB38B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1,375,778.02</w:t>
            </w:r>
          </w:p>
        </w:tc>
        <w:tc>
          <w:tcPr>
            <w:tcW w:w="1928" w:type="dxa"/>
            <w:shd w:val="clear" w:color="auto" w:fill="FFFFFF" w:themeFill="background1"/>
            <w:vAlign w:val="center"/>
          </w:tcPr>
          <w:p w14:paraId="6FEAF85A" w14:textId="77777777" w:rsidR="00632E5B" w:rsidRDefault="00632E5B">
            <w:pPr>
              <w:spacing w:line="240" w:lineRule="exact"/>
              <w:jc w:val="right"/>
              <w:rPr>
                <w:rFonts w:ascii="宋体" w:eastAsia="宋体" w:hAnsi="宋体" w:cs="宋体" w:hint="eastAsia"/>
                <w:sz w:val="18"/>
                <w:szCs w:val="18"/>
              </w:rPr>
            </w:pPr>
          </w:p>
        </w:tc>
      </w:tr>
      <w:tr w:rsidR="00632E5B" w14:paraId="5CE48A5D" w14:textId="77777777" w:rsidTr="00B158CE">
        <w:trPr>
          <w:trHeight w:val="240"/>
        </w:trPr>
        <w:tc>
          <w:tcPr>
            <w:tcW w:w="2724" w:type="dxa"/>
            <w:shd w:val="clear" w:color="auto" w:fill="FFFFFF" w:themeFill="background1"/>
            <w:vAlign w:val="center"/>
          </w:tcPr>
          <w:p w14:paraId="3FA63183" w14:textId="77777777" w:rsidR="00632E5B" w:rsidRDefault="00107901">
            <w:pPr>
              <w:spacing w:before="40" w:after="40" w:line="240" w:lineRule="exact"/>
              <w:ind w:firstLineChars="500" w:firstLine="900"/>
              <w:rPr>
                <w:rFonts w:ascii="宋体" w:eastAsia="宋体" w:hAnsi="宋体" w:cs="宋体" w:hint="eastAsia"/>
                <w:sz w:val="18"/>
                <w:szCs w:val="18"/>
              </w:rPr>
            </w:pPr>
            <w:r>
              <w:rPr>
                <w:rFonts w:ascii="宋体" w:eastAsia="宋体" w:hAnsi="宋体" w:cs="宋体"/>
                <w:sz w:val="18"/>
                <w:szCs w:val="18"/>
              </w:rPr>
              <w:lastRenderedPageBreak/>
              <w:t>生育保险费</w:t>
            </w:r>
          </w:p>
        </w:tc>
        <w:tc>
          <w:tcPr>
            <w:tcW w:w="1560" w:type="dxa"/>
            <w:shd w:val="clear" w:color="auto" w:fill="FFFFFF" w:themeFill="background1"/>
            <w:vAlign w:val="center"/>
          </w:tcPr>
          <w:p w14:paraId="65C651F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143.64</w:t>
            </w:r>
          </w:p>
        </w:tc>
        <w:tc>
          <w:tcPr>
            <w:tcW w:w="1499" w:type="dxa"/>
            <w:shd w:val="clear" w:color="auto" w:fill="FFFFFF" w:themeFill="background1"/>
            <w:vAlign w:val="center"/>
          </w:tcPr>
          <w:p w14:paraId="0442853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1,056,275.80</w:t>
            </w:r>
          </w:p>
        </w:tc>
        <w:tc>
          <w:tcPr>
            <w:tcW w:w="1928" w:type="dxa"/>
            <w:shd w:val="clear" w:color="auto" w:fill="FFFFFF" w:themeFill="background1"/>
            <w:vAlign w:val="center"/>
          </w:tcPr>
          <w:p w14:paraId="06FD295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1,056,419.44</w:t>
            </w:r>
          </w:p>
        </w:tc>
        <w:tc>
          <w:tcPr>
            <w:tcW w:w="1928" w:type="dxa"/>
            <w:shd w:val="clear" w:color="auto" w:fill="FFFFFF" w:themeFill="background1"/>
            <w:vAlign w:val="center"/>
          </w:tcPr>
          <w:p w14:paraId="39285F80" w14:textId="77777777" w:rsidR="00632E5B" w:rsidRDefault="00632E5B">
            <w:pPr>
              <w:spacing w:line="240" w:lineRule="exact"/>
              <w:jc w:val="right"/>
              <w:rPr>
                <w:rFonts w:ascii="宋体" w:eastAsia="宋体" w:hAnsi="宋体" w:cs="宋体" w:hint="eastAsia"/>
                <w:sz w:val="18"/>
                <w:szCs w:val="18"/>
              </w:rPr>
            </w:pPr>
          </w:p>
        </w:tc>
      </w:tr>
      <w:tr w:rsidR="00632E5B" w14:paraId="67865179" w14:textId="77777777" w:rsidTr="00B158CE">
        <w:trPr>
          <w:trHeight w:val="240"/>
        </w:trPr>
        <w:tc>
          <w:tcPr>
            <w:tcW w:w="2724" w:type="dxa"/>
            <w:shd w:val="clear" w:color="auto" w:fill="FFFFFF" w:themeFill="background1"/>
            <w:vAlign w:val="center"/>
          </w:tcPr>
          <w:p w14:paraId="469CFBF5"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4、住房公积金</w:t>
            </w:r>
          </w:p>
        </w:tc>
        <w:tc>
          <w:tcPr>
            <w:tcW w:w="1560" w:type="dxa"/>
            <w:shd w:val="clear" w:color="auto" w:fill="FFFFFF" w:themeFill="background1"/>
            <w:vAlign w:val="center"/>
          </w:tcPr>
          <w:p w14:paraId="0F7ACE9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2,240.00</w:t>
            </w:r>
          </w:p>
        </w:tc>
        <w:tc>
          <w:tcPr>
            <w:tcW w:w="1499" w:type="dxa"/>
            <w:shd w:val="clear" w:color="auto" w:fill="FFFFFF" w:themeFill="background1"/>
            <w:vAlign w:val="center"/>
          </w:tcPr>
          <w:p w14:paraId="7554D9A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12,727,356.72</w:t>
            </w:r>
          </w:p>
        </w:tc>
        <w:tc>
          <w:tcPr>
            <w:tcW w:w="1928" w:type="dxa"/>
            <w:shd w:val="clear" w:color="auto" w:fill="FFFFFF" w:themeFill="background1"/>
            <w:vAlign w:val="center"/>
          </w:tcPr>
          <w:p w14:paraId="532F21E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12,728,196.72</w:t>
            </w:r>
          </w:p>
        </w:tc>
        <w:tc>
          <w:tcPr>
            <w:tcW w:w="1928" w:type="dxa"/>
            <w:shd w:val="clear" w:color="auto" w:fill="FFFFFF" w:themeFill="background1"/>
            <w:vAlign w:val="center"/>
          </w:tcPr>
          <w:p w14:paraId="523572E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1,400.00</w:t>
            </w:r>
          </w:p>
        </w:tc>
      </w:tr>
      <w:tr w:rsidR="00632E5B" w14:paraId="393F4461" w14:textId="77777777" w:rsidTr="00B158CE">
        <w:trPr>
          <w:trHeight w:val="240"/>
        </w:trPr>
        <w:tc>
          <w:tcPr>
            <w:tcW w:w="2724" w:type="dxa"/>
            <w:shd w:val="clear" w:color="auto" w:fill="FFFFFF" w:themeFill="background1"/>
            <w:vAlign w:val="center"/>
          </w:tcPr>
          <w:p w14:paraId="26F08053"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5、工会经费和职工教育经费</w:t>
            </w:r>
          </w:p>
        </w:tc>
        <w:tc>
          <w:tcPr>
            <w:tcW w:w="1560" w:type="dxa"/>
            <w:shd w:val="clear" w:color="auto" w:fill="FFFFFF" w:themeFill="background1"/>
            <w:vAlign w:val="center"/>
          </w:tcPr>
          <w:p w14:paraId="7377C32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723,029.23</w:t>
            </w:r>
          </w:p>
        </w:tc>
        <w:tc>
          <w:tcPr>
            <w:tcW w:w="1499" w:type="dxa"/>
            <w:shd w:val="clear" w:color="auto" w:fill="FFFFFF" w:themeFill="background1"/>
            <w:vAlign w:val="center"/>
          </w:tcPr>
          <w:p w14:paraId="548752B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1,939,163.48</w:t>
            </w:r>
          </w:p>
        </w:tc>
        <w:tc>
          <w:tcPr>
            <w:tcW w:w="1928" w:type="dxa"/>
            <w:shd w:val="clear" w:color="auto" w:fill="FFFFFF" w:themeFill="background1"/>
            <w:vAlign w:val="center"/>
          </w:tcPr>
          <w:p w14:paraId="667D075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2,100,363.25</w:t>
            </w:r>
          </w:p>
        </w:tc>
        <w:tc>
          <w:tcPr>
            <w:tcW w:w="1928" w:type="dxa"/>
            <w:shd w:val="clear" w:color="auto" w:fill="FFFFFF" w:themeFill="background1"/>
            <w:vAlign w:val="center"/>
          </w:tcPr>
          <w:p w14:paraId="658EFAF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561,829.46</w:t>
            </w:r>
          </w:p>
        </w:tc>
      </w:tr>
      <w:tr w:rsidR="00632E5B" w14:paraId="176D8042" w14:textId="77777777" w:rsidTr="00B158CE">
        <w:trPr>
          <w:trHeight w:val="240"/>
        </w:trPr>
        <w:tc>
          <w:tcPr>
            <w:tcW w:w="2724" w:type="dxa"/>
            <w:shd w:val="clear" w:color="auto" w:fill="FFFFFF" w:themeFill="background1"/>
            <w:vAlign w:val="center"/>
          </w:tcPr>
          <w:p w14:paraId="4B2F04D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8、其他短期薪酬</w:t>
            </w:r>
          </w:p>
        </w:tc>
        <w:tc>
          <w:tcPr>
            <w:tcW w:w="1560" w:type="dxa"/>
            <w:shd w:val="clear" w:color="auto" w:fill="FFFFFF" w:themeFill="background1"/>
            <w:vAlign w:val="center"/>
          </w:tcPr>
          <w:p w14:paraId="65DAAB5D" w14:textId="77777777" w:rsidR="00632E5B" w:rsidRDefault="00632E5B">
            <w:pPr>
              <w:spacing w:line="240" w:lineRule="exact"/>
              <w:jc w:val="right"/>
              <w:rPr>
                <w:rFonts w:ascii="宋体" w:eastAsia="宋体" w:hAnsi="宋体" w:cs="宋体" w:hint="eastAsia"/>
                <w:sz w:val="18"/>
                <w:szCs w:val="18"/>
              </w:rPr>
            </w:pPr>
          </w:p>
        </w:tc>
        <w:tc>
          <w:tcPr>
            <w:tcW w:w="1499" w:type="dxa"/>
            <w:shd w:val="clear" w:color="auto" w:fill="FFFFFF" w:themeFill="background1"/>
            <w:vAlign w:val="center"/>
          </w:tcPr>
          <w:p w14:paraId="10ECEC2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649,753.37</w:t>
            </w:r>
          </w:p>
        </w:tc>
        <w:tc>
          <w:tcPr>
            <w:tcW w:w="1928" w:type="dxa"/>
            <w:shd w:val="clear" w:color="auto" w:fill="FFFFFF" w:themeFill="background1"/>
            <w:vAlign w:val="center"/>
          </w:tcPr>
          <w:p w14:paraId="6C2C2DB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649,753.37</w:t>
            </w:r>
          </w:p>
        </w:tc>
        <w:tc>
          <w:tcPr>
            <w:tcW w:w="1928" w:type="dxa"/>
            <w:shd w:val="clear" w:color="auto" w:fill="FFFFFF" w:themeFill="background1"/>
            <w:vAlign w:val="center"/>
          </w:tcPr>
          <w:p w14:paraId="75E2C35B" w14:textId="77777777" w:rsidR="00632E5B" w:rsidRDefault="00632E5B">
            <w:pPr>
              <w:spacing w:line="240" w:lineRule="exact"/>
              <w:jc w:val="right"/>
              <w:rPr>
                <w:rFonts w:ascii="宋体" w:eastAsia="宋体" w:hAnsi="宋体" w:cs="宋体" w:hint="eastAsia"/>
                <w:sz w:val="18"/>
                <w:szCs w:val="18"/>
              </w:rPr>
            </w:pPr>
          </w:p>
        </w:tc>
      </w:tr>
      <w:tr w:rsidR="00632E5B" w14:paraId="108BB80E" w14:textId="77777777" w:rsidTr="00B158CE">
        <w:trPr>
          <w:trHeight w:val="240"/>
        </w:trPr>
        <w:tc>
          <w:tcPr>
            <w:tcW w:w="2724" w:type="dxa"/>
            <w:shd w:val="clear" w:color="auto" w:fill="FFFFFF" w:themeFill="background1"/>
            <w:vAlign w:val="center"/>
          </w:tcPr>
          <w:p w14:paraId="5EDE23BD"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560" w:type="dxa"/>
            <w:shd w:val="clear" w:color="auto" w:fill="FFFFFF" w:themeFill="background1"/>
            <w:vAlign w:val="center"/>
          </w:tcPr>
          <w:p w14:paraId="0B0DF99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74,183,231.98</w:t>
            </w:r>
          </w:p>
        </w:tc>
        <w:tc>
          <w:tcPr>
            <w:tcW w:w="1499" w:type="dxa"/>
            <w:shd w:val="clear" w:color="auto" w:fill="FFFFFF" w:themeFill="background1"/>
            <w:vAlign w:val="center"/>
          </w:tcPr>
          <w:p w14:paraId="322D710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394,665,258.18</w:t>
            </w:r>
          </w:p>
        </w:tc>
        <w:tc>
          <w:tcPr>
            <w:tcW w:w="1928" w:type="dxa"/>
            <w:shd w:val="clear" w:color="auto" w:fill="FFFFFF" w:themeFill="background1"/>
            <w:vAlign w:val="center"/>
          </w:tcPr>
          <w:p w14:paraId="1455B21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405,302,196.45</w:t>
            </w:r>
          </w:p>
        </w:tc>
        <w:tc>
          <w:tcPr>
            <w:tcW w:w="1928" w:type="dxa"/>
            <w:shd w:val="clear" w:color="auto" w:fill="FFFFFF" w:themeFill="background1"/>
            <w:vAlign w:val="center"/>
          </w:tcPr>
          <w:p w14:paraId="369F18E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63,546,293.71</w:t>
            </w:r>
          </w:p>
        </w:tc>
      </w:tr>
    </w:tbl>
    <w:p w14:paraId="5B20ABE7"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292" w:name="_Toc989179"/>
      <w:r>
        <w:rPr>
          <w:rFonts w:ascii="宋体" w:eastAsia="宋体" w:hAnsi="宋体" w:cs="宋体"/>
          <w:b/>
          <w:bCs/>
          <w:szCs w:val="21"/>
        </w:rPr>
        <w:t>（3） 设定提存计划列示</w:t>
      </w:r>
      <w:bookmarkEnd w:id="292"/>
    </w:p>
    <w:p w14:paraId="0F6FAD50"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927"/>
        <w:gridCol w:w="1928"/>
        <w:gridCol w:w="1928"/>
        <w:gridCol w:w="1928"/>
        <w:gridCol w:w="1928"/>
      </w:tblGrid>
      <w:tr w:rsidR="00632E5B" w14:paraId="7A664FAE" w14:textId="77777777" w:rsidTr="00B158CE">
        <w:trPr>
          <w:trHeight w:val="240"/>
        </w:trPr>
        <w:tc>
          <w:tcPr>
            <w:tcW w:w="1928" w:type="dxa"/>
            <w:shd w:val="clear" w:color="auto" w:fill="FFFFFF" w:themeFill="background1"/>
            <w:vAlign w:val="center"/>
          </w:tcPr>
          <w:p w14:paraId="4A589B3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928" w:type="dxa"/>
            <w:shd w:val="clear" w:color="auto" w:fill="FFFFFF" w:themeFill="background1"/>
            <w:vAlign w:val="center"/>
          </w:tcPr>
          <w:p w14:paraId="4447A64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928" w:type="dxa"/>
            <w:shd w:val="clear" w:color="auto" w:fill="FFFFFF" w:themeFill="background1"/>
            <w:vAlign w:val="center"/>
          </w:tcPr>
          <w:p w14:paraId="0BC30A6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1928" w:type="dxa"/>
            <w:shd w:val="clear" w:color="auto" w:fill="FFFFFF" w:themeFill="background1"/>
            <w:vAlign w:val="center"/>
          </w:tcPr>
          <w:p w14:paraId="5473AB2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1928" w:type="dxa"/>
            <w:shd w:val="clear" w:color="auto" w:fill="FFFFFF" w:themeFill="background1"/>
            <w:vAlign w:val="center"/>
          </w:tcPr>
          <w:p w14:paraId="7479A97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632E5B" w14:paraId="1986A65B" w14:textId="77777777" w:rsidTr="00B158CE">
        <w:trPr>
          <w:trHeight w:val="240"/>
        </w:trPr>
        <w:tc>
          <w:tcPr>
            <w:tcW w:w="1928" w:type="dxa"/>
            <w:shd w:val="clear" w:color="auto" w:fill="FFFFFF" w:themeFill="background1"/>
            <w:vAlign w:val="center"/>
          </w:tcPr>
          <w:p w14:paraId="420BBB53"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1、基本养老保险</w:t>
            </w:r>
          </w:p>
        </w:tc>
        <w:tc>
          <w:tcPr>
            <w:tcW w:w="1928" w:type="dxa"/>
            <w:shd w:val="clear" w:color="auto" w:fill="FFFFFF" w:themeFill="background1"/>
            <w:vAlign w:val="center"/>
          </w:tcPr>
          <w:p w14:paraId="571E356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2,945,823.54</w:t>
            </w:r>
          </w:p>
        </w:tc>
        <w:tc>
          <w:tcPr>
            <w:tcW w:w="1928" w:type="dxa"/>
            <w:shd w:val="clear" w:color="auto" w:fill="FFFFFF" w:themeFill="background1"/>
            <w:vAlign w:val="center"/>
          </w:tcPr>
          <w:p w14:paraId="3CF3402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24,998,082.15</w:t>
            </w:r>
          </w:p>
        </w:tc>
        <w:tc>
          <w:tcPr>
            <w:tcW w:w="1928" w:type="dxa"/>
            <w:shd w:val="clear" w:color="auto" w:fill="FFFFFF" w:themeFill="background1"/>
            <w:vAlign w:val="center"/>
          </w:tcPr>
          <w:p w14:paraId="5AF0F78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25,068,524.28</w:t>
            </w:r>
          </w:p>
        </w:tc>
        <w:tc>
          <w:tcPr>
            <w:tcW w:w="1928" w:type="dxa"/>
            <w:shd w:val="clear" w:color="auto" w:fill="FFFFFF" w:themeFill="background1"/>
            <w:vAlign w:val="center"/>
          </w:tcPr>
          <w:p w14:paraId="6955BED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2,875,381.41</w:t>
            </w:r>
          </w:p>
        </w:tc>
      </w:tr>
      <w:tr w:rsidR="00632E5B" w14:paraId="5753F497" w14:textId="77777777" w:rsidTr="00B158CE">
        <w:trPr>
          <w:trHeight w:val="240"/>
        </w:trPr>
        <w:tc>
          <w:tcPr>
            <w:tcW w:w="1928" w:type="dxa"/>
            <w:shd w:val="clear" w:color="auto" w:fill="FFFFFF" w:themeFill="background1"/>
            <w:vAlign w:val="center"/>
          </w:tcPr>
          <w:p w14:paraId="5DA8B4A4"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2、失业保险费</w:t>
            </w:r>
          </w:p>
        </w:tc>
        <w:tc>
          <w:tcPr>
            <w:tcW w:w="1928" w:type="dxa"/>
            <w:shd w:val="clear" w:color="auto" w:fill="FFFFFF" w:themeFill="background1"/>
            <w:vAlign w:val="center"/>
          </w:tcPr>
          <w:p w14:paraId="2C26F1A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44,087.62</w:t>
            </w:r>
          </w:p>
        </w:tc>
        <w:tc>
          <w:tcPr>
            <w:tcW w:w="1928" w:type="dxa"/>
            <w:shd w:val="clear" w:color="auto" w:fill="FFFFFF" w:themeFill="background1"/>
            <w:vAlign w:val="center"/>
          </w:tcPr>
          <w:p w14:paraId="6D10CFE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1,217,592.63</w:t>
            </w:r>
          </w:p>
        </w:tc>
        <w:tc>
          <w:tcPr>
            <w:tcW w:w="1928" w:type="dxa"/>
            <w:shd w:val="clear" w:color="auto" w:fill="FFFFFF" w:themeFill="background1"/>
            <w:vAlign w:val="center"/>
          </w:tcPr>
          <w:p w14:paraId="3905D5D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1,261,655.85</w:t>
            </w:r>
          </w:p>
        </w:tc>
        <w:tc>
          <w:tcPr>
            <w:tcW w:w="1928" w:type="dxa"/>
            <w:shd w:val="clear" w:color="auto" w:fill="FFFFFF" w:themeFill="background1"/>
            <w:vAlign w:val="center"/>
          </w:tcPr>
          <w:p w14:paraId="2FEAA1F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24.40</w:t>
            </w:r>
          </w:p>
        </w:tc>
      </w:tr>
      <w:tr w:rsidR="00632E5B" w14:paraId="492EEE5D" w14:textId="77777777" w:rsidTr="00B158CE">
        <w:trPr>
          <w:trHeight w:val="240"/>
        </w:trPr>
        <w:tc>
          <w:tcPr>
            <w:tcW w:w="1928" w:type="dxa"/>
            <w:shd w:val="clear" w:color="auto" w:fill="FFFFFF" w:themeFill="background1"/>
            <w:vAlign w:val="center"/>
          </w:tcPr>
          <w:p w14:paraId="4ADB34B9"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shd w:val="clear" w:color="auto" w:fill="FFFFFF" w:themeFill="background1"/>
            <w:vAlign w:val="center"/>
          </w:tcPr>
          <w:p w14:paraId="56827E5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2,989,911.16</w:t>
            </w:r>
          </w:p>
        </w:tc>
        <w:tc>
          <w:tcPr>
            <w:tcW w:w="1928" w:type="dxa"/>
            <w:shd w:val="clear" w:color="auto" w:fill="FFFFFF" w:themeFill="background1"/>
            <w:vAlign w:val="center"/>
          </w:tcPr>
          <w:p w14:paraId="6734AC7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26,215,674.78</w:t>
            </w:r>
          </w:p>
        </w:tc>
        <w:tc>
          <w:tcPr>
            <w:tcW w:w="1928" w:type="dxa"/>
            <w:shd w:val="clear" w:color="auto" w:fill="FFFFFF" w:themeFill="background1"/>
            <w:vAlign w:val="center"/>
          </w:tcPr>
          <w:p w14:paraId="6ACA00B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26,330,180.13</w:t>
            </w:r>
          </w:p>
        </w:tc>
        <w:tc>
          <w:tcPr>
            <w:tcW w:w="1928" w:type="dxa"/>
            <w:shd w:val="clear" w:color="auto" w:fill="FFFFFF" w:themeFill="background1"/>
            <w:vAlign w:val="center"/>
          </w:tcPr>
          <w:p w14:paraId="6289528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2,875,405.81</w:t>
            </w:r>
          </w:p>
        </w:tc>
      </w:tr>
    </w:tbl>
    <w:p w14:paraId="1B9D7B23" w14:textId="77777777" w:rsidR="00632E5B" w:rsidRDefault="00107901">
      <w:pPr>
        <w:pStyle w:val="3"/>
        <w:spacing w:line="280" w:lineRule="exact"/>
        <w:jc w:val="left"/>
        <w:rPr>
          <w:rFonts w:ascii="宋体" w:hAnsi="宋体" w:cs="宋体" w:hint="eastAsia"/>
          <w:b/>
          <w:bCs/>
        </w:rPr>
      </w:pPr>
      <w:bookmarkStart w:id="293" w:name="_Toc989180"/>
      <w:r>
        <w:rPr>
          <w:rFonts w:ascii="宋体" w:hAnsi="宋体" w:cs="宋体"/>
          <w:b/>
          <w:bCs/>
        </w:rPr>
        <w:t>29、应交税费</w:t>
      </w:r>
      <w:bookmarkEnd w:id="293"/>
    </w:p>
    <w:p w14:paraId="0389ACBC"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36ED2D87" w14:textId="77777777" w:rsidTr="00B158CE">
        <w:trPr>
          <w:trHeight w:val="240"/>
        </w:trPr>
        <w:tc>
          <w:tcPr>
            <w:tcW w:w="3213" w:type="dxa"/>
            <w:shd w:val="clear" w:color="auto" w:fill="FFFFFF" w:themeFill="background1"/>
            <w:vAlign w:val="center"/>
          </w:tcPr>
          <w:p w14:paraId="53B4528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47CFFC8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auto" w:fill="FFFFFF" w:themeFill="background1"/>
            <w:vAlign w:val="center"/>
          </w:tcPr>
          <w:p w14:paraId="1116E8C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632E5B" w14:paraId="6885B91B" w14:textId="77777777" w:rsidTr="00B158CE">
        <w:trPr>
          <w:trHeight w:val="240"/>
        </w:trPr>
        <w:tc>
          <w:tcPr>
            <w:tcW w:w="3213" w:type="dxa"/>
            <w:shd w:val="clear" w:color="auto" w:fill="FFFFFF" w:themeFill="background1"/>
            <w:vAlign w:val="center"/>
          </w:tcPr>
          <w:p w14:paraId="43F86AF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增值税</w:t>
            </w:r>
          </w:p>
        </w:tc>
        <w:tc>
          <w:tcPr>
            <w:tcW w:w="3213" w:type="dxa"/>
            <w:shd w:val="clear" w:color="auto" w:fill="FFFFFF" w:themeFill="background1"/>
            <w:vAlign w:val="center"/>
          </w:tcPr>
          <w:p w14:paraId="2C2C2DD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18,302,022.31</w:t>
            </w:r>
          </w:p>
        </w:tc>
        <w:tc>
          <w:tcPr>
            <w:tcW w:w="3213" w:type="dxa"/>
            <w:shd w:val="clear" w:color="auto" w:fill="FFFFFF" w:themeFill="background1"/>
            <w:vAlign w:val="center"/>
          </w:tcPr>
          <w:p w14:paraId="35E68B9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2,668,180.28</w:t>
            </w:r>
          </w:p>
        </w:tc>
      </w:tr>
      <w:tr w:rsidR="00632E5B" w14:paraId="4AD976D0" w14:textId="77777777" w:rsidTr="00B158CE">
        <w:trPr>
          <w:trHeight w:val="240"/>
        </w:trPr>
        <w:tc>
          <w:tcPr>
            <w:tcW w:w="3213" w:type="dxa"/>
            <w:shd w:val="clear" w:color="auto" w:fill="FFFFFF" w:themeFill="background1"/>
            <w:vAlign w:val="center"/>
          </w:tcPr>
          <w:p w14:paraId="6D1B22D0"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企业所得税</w:t>
            </w:r>
          </w:p>
        </w:tc>
        <w:tc>
          <w:tcPr>
            <w:tcW w:w="3213" w:type="dxa"/>
            <w:shd w:val="clear" w:color="auto" w:fill="FFFFFF" w:themeFill="background1"/>
            <w:vAlign w:val="center"/>
          </w:tcPr>
          <w:p w14:paraId="451375E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32,370,214.44</w:t>
            </w:r>
          </w:p>
        </w:tc>
        <w:tc>
          <w:tcPr>
            <w:tcW w:w="3213" w:type="dxa"/>
            <w:shd w:val="clear" w:color="auto" w:fill="FFFFFF" w:themeFill="background1"/>
            <w:vAlign w:val="center"/>
          </w:tcPr>
          <w:p w14:paraId="169E1D5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16,015,989.93</w:t>
            </w:r>
          </w:p>
        </w:tc>
      </w:tr>
      <w:tr w:rsidR="00632E5B" w14:paraId="51757A8C" w14:textId="77777777" w:rsidTr="00B158CE">
        <w:trPr>
          <w:trHeight w:val="240"/>
        </w:trPr>
        <w:tc>
          <w:tcPr>
            <w:tcW w:w="3213" w:type="dxa"/>
            <w:shd w:val="clear" w:color="auto" w:fill="FFFFFF" w:themeFill="background1"/>
            <w:vAlign w:val="center"/>
          </w:tcPr>
          <w:p w14:paraId="13AFF75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个人所得税</w:t>
            </w:r>
          </w:p>
        </w:tc>
        <w:tc>
          <w:tcPr>
            <w:tcW w:w="3213" w:type="dxa"/>
            <w:shd w:val="clear" w:color="auto" w:fill="FFFFFF" w:themeFill="background1"/>
            <w:vAlign w:val="center"/>
          </w:tcPr>
          <w:p w14:paraId="60B055B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874,466.22</w:t>
            </w:r>
          </w:p>
        </w:tc>
        <w:tc>
          <w:tcPr>
            <w:tcW w:w="3213" w:type="dxa"/>
            <w:shd w:val="clear" w:color="auto" w:fill="FFFFFF" w:themeFill="background1"/>
            <w:vAlign w:val="center"/>
          </w:tcPr>
          <w:p w14:paraId="67D42AA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1,649,972.93</w:t>
            </w:r>
          </w:p>
        </w:tc>
      </w:tr>
      <w:tr w:rsidR="00632E5B" w14:paraId="6F544B66" w14:textId="77777777" w:rsidTr="00B158CE">
        <w:trPr>
          <w:trHeight w:val="240"/>
        </w:trPr>
        <w:tc>
          <w:tcPr>
            <w:tcW w:w="3213" w:type="dxa"/>
            <w:shd w:val="clear" w:color="auto" w:fill="FFFFFF" w:themeFill="background1"/>
            <w:vAlign w:val="center"/>
          </w:tcPr>
          <w:p w14:paraId="22EB2EF1"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城市维护建设税</w:t>
            </w:r>
          </w:p>
        </w:tc>
        <w:tc>
          <w:tcPr>
            <w:tcW w:w="3213" w:type="dxa"/>
            <w:shd w:val="clear" w:color="auto" w:fill="FFFFFF" w:themeFill="background1"/>
            <w:vAlign w:val="center"/>
          </w:tcPr>
          <w:p w14:paraId="3374A47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679,732.65</w:t>
            </w:r>
          </w:p>
        </w:tc>
        <w:tc>
          <w:tcPr>
            <w:tcW w:w="3213" w:type="dxa"/>
            <w:shd w:val="clear" w:color="auto" w:fill="FFFFFF" w:themeFill="background1"/>
            <w:vAlign w:val="center"/>
          </w:tcPr>
          <w:p w14:paraId="1CD6966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916,680.68</w:t>
            </w:r>
          </w:p>
        </w:tc>
      </w:tr>
      <w:tr w:rsidR="00632E5B" w14:paraId="7BAE4E85" w14:textId="77777777" w:rsidTr="00B158CE">
        <w:trPr>
          <w:trHeight w:val="240"/>
        </w:trPr>
        <w:tc>
          <w:tcPr>
            <w:tcW w:w="3213" w:type="dxa"/>
            <w:shd w:val="clear" w:color="auto" w:fill="FFFFFF" w:themeFill="background1"/>
            <w:vAlign w:val="center"/>
          </w:tcPr>
          <w:p w14:paraId="0FDD766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土地使用税</w:t>
            </w:r>
          </w:p>
        </w:tc>
        <w:tc>
          <w:tcPr>
            <w:tcW w:w="3213" w:type="dxa"/>
            <w:shd w:val="clear" w:color="auto" w:fill="FFFFFF" w:themeFill="background1"/>
            <w:vAlign w:val="center"/>
          </w:tcPr>
          <w:p w14:paraId="3E14FC8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826,655.54</w:t>
            </w:r>
          </w:p>
        </w:tc>
        <w:tc>
          <w:tcPr>
            <w:tcW w:w="3213" w:type="dxa"/>
            <w:shd w:val="clear" w:color="auto" w:fill="FFFFFF" w:themeFill="background1"/>
            <w:vAlign w:val="center"/>
          </w:tcPr>
          <w:p w14:paraId="4627B09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830,592.49</w:t>
            </w:r>
          </w:p>
        </w:tc>
      </w:tr>
      <w:tr w:rsidR="00632E5B" w14:paraId="4637890F" w14:textId="77777777" w:rsidTr="00B158CE">
        <w:trPr>
          <w:trHeight w:val="240"/>
        </w:trPr>
        <w:tc>
          <w:tcPr>
            <w:tcW w:w="3213" w:type="dxa"/>
            <w:shd w:val="clear" w:color="auto" w:fill="FFFFFF" w:themeFill="background1"/>
            <w:vAlign w:val="center"/>
          </w:tcPr>
          <w:p w14:paraId="690730F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房产税</w:t>
            </w:r>
          </w:p>
        </w:tc>
        <w:tc>
          <w:tcPr>
            <w:tcW w:w="3213" w:type="dxa"/>
            <w:shd w:val="clear" w:color="auto" w:fill="FFFFFF" w:themeFill="background1"/>
            <w:vAlign w:val="center"/>
          </w:tcPr>
          <w:p w14:paraId="53EE35E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3,433,942.78</w:t>
            </w:r>
          </w:p>
        </w:tc>
        <w:tc>
          <w:tcPr>
            <w:tcW w:w="3213" w:type="dxa"/>
            <w:shd w:val="clear" w:color="auto" w:fill="FFFFFF" w:themeFill="background1"/>
            <w:vAlign w:val="center"/>
          </w:tcPr>
          <w:p w14:paraId="7496549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3,310,413.04</w:t>
            </w:r>
          </w:p>
        </w:tc>
      </w:tr>
      <w:tr w:rsidR="00632E5B" w14:paraId="37A85AE6" w14:textId="77777777" w:rsidTr="00B158CE">
        <w:trPr>
          <w:trHeight w:val="240"/>
        </w:trPr>
        <w:tc>
          <w:tcPr>
            <w:tcW w:w="3213" w:type="dxa"/>
            <w:shd w:val="clear" w:color="auto" w:fill="FFFFFF" w:themeFill="background1"/>
            <w:vAlign w:val="center"/>
          </w:tcPr>
          <w:p w14:paraId="5B91CF7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车船使用税</w:t>
            </w:r>
          </w:p>
        </w:tc>
        <w:tc>
          <w:tcPr>
            <w:tcW w:w="3213" w:type="dxa"/>
            <w:shd w:val="clear" w:color="auto" w:fill="FFFFFF" w:themeFill="background1"/>
            <w:vAlign w:val="center"/>
          </w:tcPr>
          <w:p w14:paraId="03D0682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4,668.00</w:t>
            </w:r>
          </w:p>
        </w:tc>
        <w:tc>
          <w:tcPr>
            <w:tcW w:w="3213" w:type="dxa"/>
            <w:shd w:val="clear" w:color="auto" w:fill="FFFFFF" w:themeFill="background1"/>
            <w:vAlign w:val="center"/>
          </w:tcPr>
          <w:p w14:paraId="6D38D09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4,584.00</w:t>
            </w:r>
          </w:p>
        </w:tc>
      </w:tr>
      <w:tr w:rsidR="00632E5B" w14:paraId="57F9211B" w14:textId="77777777" w:rsidTr="00B158CE">
        <w:trPr>
          <w:trHeight w:val="240"/>
        </w:trPr>
        <w:tc>
          <w:tcPr>
            <w:tcW w:w="3213" w:type="dxa"/>
            <w:shd w:val="clear" w:color="auto" w:fill="FFFFFF" w:themeFill="background1"/>
            <w:vAlign w:val="center"/>
          </w:tcPr>
          <w:p w14:paraId="50B3FC3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地方综合基金</w:t>
            </w:r>
          </w:p>
        </w:tc>
        <w:tc>
          <w:tcPr>
            <w:tcW w:w="3213" w:type="dxa"/>
            <w:shd w:val="clear" w:color="auto" w:fill="FFFFFF" w:themeFill="background1"/>
            <w:vAlign w:val="center"/>
          </w:tcPr>
          <w:p w14:paraId="23DF17C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927,313.69</w:t>
            </w:r>
          </w:p>
        </w:tc>
        <w:tc>
          <w:tcPr>
            <w:tcW w:w="3213" w:type="dxa"/>
            <w:shd w:val="clear" w:color="auto" w:fill="FFFFFF" w:themeFill="background1"/>
            <w:vAlign w:val="center"/>
          </w:tcPr>
          <w:p w14:paraId="40A012A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932,212.32</w:t>
            </w:r>
          </w:p>
        </w:tc>
      </w:tr>
      <w:tr w:rsidR="00632E5B" w14:paraId="3F5FC713" w14:textId="77777777" w:rsidTr="00B158CE">
        <w:trPr>
          <w:trHeight w:val="240"/>
        </w:trPr>
        <w:tc>
          <w:tcPr>
            <w:tcW w:w="3213" w:type="dxa"/>
            <w:shd w:val="clear" w:color="auto" w:fill="FFFFFF" w:themeFill="background1"/>
            <w:vAlign w:val="center"/>
          </w:tcPr>
          <w:p w14:paraId="0B77F3B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教育费附加</w:t>
            </w:r>
          </w:p>
        </w:tc>
        <w:tc>
          <w:tcPr>
            <w:tcW w:w="3213" w:type="dxa"/>
            <w:shd w:val="clear" w:color="auto" w:fill="FFFFFF" w:themeFill="background1"/>
            <w:vAlign w:val="center"/>
          </w:tcPr>
          <w:p w14:paraId="13CE2E7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516,964.47</w:t>
            </w:r>
          </w:p>
        </w:tc>
        <w:tc>
          <w:tcPr>
            <w:tcW w:w="3213" w:type="dxa"/>
            <w:shd w:val="clear" w:color="auto" w:fill="FFFFFF" w:themeFill="background1"/>
            <w:vAlign w:val="center"/>
          </w:tcPr>
          <w:p w14:paraId="67DA5E4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660,430.55</w:t>
            </w:r>
          </w:p>
        </w:tc>
      </w:tr>
      <w:tr w:rsidR="00632E5B" w14:paraId="0CAD017E" w14:textId="77777777" w:rsidTr="00B158CE">
        <w:trPr>
          <w:trHeight w:val="240"/>
        </w:trPr>
        <w:tc>
          <w:tcPr>
            <w:tcW w:w="3213" w:type="dxa"/>
            <w:shd w:val="clear" w:color="auto" w:fill="FFFFFF" w:themeFill="background1"/>
            <w:vAlign w:val="center"/>
          </w:tcPr>
          <w:p w14:paraId="5864F25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印花税</w:t>
            </w:r>
          </w:p>
        </w:tc>
        <w:tc>
          <w:tcPr>
            <w:tcW w:w="3213" w:type="dxa"/>
            <w:shd w:val="clear" w:color="auto" w:fill="FFFFFF" w:themeFill="background1"/>
            <w:vAlign w:val="center"/>
          </w:tcPr>
          <w:p w14:paraId="33B2475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1,552,741.94</w:t>
            </w:r>
          </w:p>
        </w:tc>
        <w:tc>
          <w:tcPr>
            <w:tcW w:w="3213" w:type="dxa"/>
            <w:shd w:val="clear" w:color="auto" w:fill="FFFFFF" w:themeFill="background1"/>
            <w:vAlign w:val="center"/>
          </w:tcPr>
          <w:p w14:paraId="59682DA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643,202.65</w:t>
            </w:r>
          </w:p>
        </w:tc>
      </w:tr>
      <w:tr w:rsidR="00632E5B" w14:paraId="0037F3AF" w14:textId="77777777" w:rsidTr="00B158CE">
        <w:trPr>
          <w:trHeight w:val="240"/>
        </w:trPr>
        <w:tc>
          <w:tcPr>
            <w:tcW w:w="3213" w:type="dxa"/>
            <w:shd w:val="clear" w:color="auto" w:fill="FFFFFF" w:themeFill="background1"/>
            <w:vAlign w:val="center"/>
          </w:tcPr>
          <w:p w14:paraId="641F08B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3213" w:type="dxa"/>
            <w:shd w:val="clear" w:color="auto" w:fill="FFFFFF" w:themeFill="background1"/>
            <w:vAlign w:val="center"/>
          </w:tcPr>
          <w:p w14:paraId="159EAC2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108,107.33</w:t>
            </w:r>
          </w:p>
        </w:tc>
        <w:tc>
          <w:tcPr>
            <w:tcW w:w="3213" w:type="dxa"/>
            <w:shd w:val="clear" w:color="auto" w:fill="FFFFFF" w:themeFill="background1"/>
            <w:vAlign w:val="center"/>
          </w:tcPr>
          <w:p w14:paraId="033E185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288,244.70</w:t>
            </w:r>
          </w:p>
        </w:tc>
      </w:tr>
      <w:tr w:rsidR="00632E5B" w14:paraId="29E1AC0B" w14:textId="77777777" w:rsidTr="00B158CE">
        <w:trPr>
          <w:trHeight w:val="240"/>
        </w:trPr>
        <w:tc>
          <w:tcPr>
            <w:tcW w:w="3213" w:type="dxa"/>
            <w:shd w:val="clear" w:color="auto" w:fill="FFFFFF" w:themeFill="background1"/>
            <w:vAlign w:val="center"/>
          </w:tcPr>
          <w:p w14:paraId="7D8C37A5"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073FB93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59,596,829.37</w:t>
            </w:r>
          </w:p>
        </w:tc>
        <w:tc>
          <w:tcPr>
            <w:tcW w:w="3213" w:type="dxa"/>
            <w:shd w:val="clear" w:color="auto" w:fill="FFFFFF" w:themeFill="background1"/>
            <w:vAlign w:val="center"/>
          </w:tcPr>
          <w:p w14:paraId="32B020A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27,920,503.57</w:t>
            </w:r>
          </w:p>
        </w:tc>
      </w:tr>
    </w:tbl>
    <w:p w14:paraId="535253F2" w14:textId="77777777" w:rsidR="00632E5B" w:rsidRDefault="00107901">
      <w:pPr>
        <w:pStyle w:val="3"/>
        <w:spacing w:line="280" w:lineRule="exact"/>
        <w:jc w:val="left"/>
        <w:rPr>
          <w:rFonts w:ascii="宋体" w:hAnsi="宋体" w:cs="宋体" w:hint="eastAsia"/>
          <w:b/>
          <w:bCs/>
        </w:rPr>
      </w:pPr>
      <w:bookmarkStart w:id="294" w:name="_Toc989181"/>
      <w:r>
        <w:rPr>
          <w:rFonts w:ascii="宋体" w:hAnsi="宋体" w:cs="宋体"/>
          <w:b/>
          <w:bCs/>
        </w:rPr>
        <w:t>30、一年内到期的非流动负债</w:t>
      </w:r>
      <w:bookmarkEnd w:id="294"/>
    </w:p>
    <w:p w14:paraId="186B5038"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3F51CEB9" w14:textId="77777777" w:rsidTr="00B158CE">
        <w:trPr>
          <w:trHeight w:val="240"/>
        </w:trPr>
        <w:tc>
          <w:tcPr>
            <w:tcW w:w="3213" w:type="dxa"/>
            <w:shd w:val="clear" w:color="auto" w:fill="FFFFFF" w:themeFill="background1"/>
            <w:vAlign w:val="center"/>
          </w:tcPr>
          <w:p w14:paraId="67F13DF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2CE44EA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auto" w:fill="FFFFFF" w:themeFill="background1"/>
            <w:vAlign w:val="center"/>
          </w:tcPr>
          <w:p w14:paraId="4DAB4A6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632E5B" w14:paraId="212230E0" w14:textId="77777777" w:rsidTr="00B158CE">
        <w:trPr>
          <w:trHeight w:val="240"/>
        </w:trPr>
        <w:tc>
          <w:tcPr>
            <w:tcW w:w="3213" w:type="dxa"/>
            <w:shd w:val="clear" w:color="auto" w:fill="FFFFFF" w:themeFill="background1"/>
            <w:vAlign w:val="center"/>
          </w:tcPr>
          <w:p w14:paraId="4074545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一年内到期的长期借款</w:t>
            </w:r>
          </w:p>
        </w:tc>
        <w:tc>
          <w:tcPr>
            <w:tcW w:w="3213" w:type="dxa"/>
            <w:shd w:val="clear" w:color="auto" w:fill="FFFFFF" w:themeFill="background1"/>
            <w:vAlign w:val="center"/>
          </w:tcPr>
          <w:p w14:paraId="49D566B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334,049,001.50</w:t>
            </w:r>
          </w:p>
        </w:tc>
        <w:tc>
          <w:tcPr>
            <w:tcW w:w="3213" w:type="dxa"/>
            <w:shd w:val="clear" w:color="auto" w:fill="FFFFFF" w:themeFill="background1"/>
            <w:vAlign w:val="center"/>
          </w:tcPr>
          <w:p w14:paraId="1AD2B97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205,022,450.60</w:t>
            </w:r>
          </w:p>
        </w:tc>
      </w:tr>
      <w:tr w:rsidR="00632E5B" w14:paraId="1501109E" w14:textId="77777777" w:rsidTr="00B158CE">
        <w:trPr>
          <w:trHeight w:val="240"/>
        </w:trPr>
        <w:tc>
          <w:tcPr>
            <w:tcW w:w="3213" w:type="dxa"/>
            <w:shd w:val="clear" w:color="auto" w:fill="FFFFFF" w:themeFill="background1"/>
            <w:vAlign w:val="center"/>
          </w:tcPr>
          <w:p w14:paraId="37B9B3A7"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一年内到期的长期应付款</w:t>
            </w:r>
          </w:p>
        </w:tc>
        <w:tc>
          <w:tcPr>
            <w:tcW w:w="3213" w:type="dxa"/>
            <w:shd w:val="clear" w:color="auto" w:fill="FFFFFF" w:themeFill="background1"/>
            <w:vAlign w:val="center"/>
          </w:tcPr>
          <w:p w14:paraId="6A2DE2E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29,612,368.52</w:t>
            </w:r>
          </w:p>
        </w:tc>
        <w:tc>
          <w:tcPr>
            <w:tcW w:w="3213" w:type="dxa"/>
            <w:shd w:val="clear" w:color="auto" w:fill="FFFFFF" w:themeFill="background1"/>
            <w:vAlign w:val="center"/>
          </w:tcPr>
          <w:p w14:paraId="7D67DFC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217,992,974.76</w:t>
            </w:r>
          </w:p>
        </w:tc>
      </w:tr>
      <w:tr w:rsidR="00632E5B" w14:paraId="61007A84" w14:textId="77777777" w:rsidTr="00B158CE">
        <w:trPr>
          <w:trHeight w:val="240"/>
        </w:trPr>
        <w:tc>
          <w:tcPr>
            <w:tcW w:w="3213" w:type="dxa"/>
            <w:shd w:val="clear" w:color="auto" w:fill="FFFFFF" w:themeFill="background1"/>
            <w:vAlign w:val="center"/>
          </w:tcPr>
          <w:p w14:paraId="64E734C5"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一年内到期的租赁负债</w:t>
            </w:r>
          </w:p>
        </w:tc>
        <w:tc>
          <w:tcPr>
            <w:tcW w:w="3213" w:type="dxa"/>
            <w:shd w:val="clear" w:color="auto" w:fill="FFFFFF" w:themeFill="background1"/>
            <w:vAlign w:val="center"/>
          </w:tcPr>
          <w:p w14:paraId="14E04C5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2,040,147.99</w:t>
            </w:r>
          </w:p>
        </w:tc>
        <w:tc>
          <w:tcPr>
            <w:tcW w:w="3213" w:type="dxa"/>
            <w:shd w:val="clear" w:color="auto" w:fill="FFFFFF" w:themeFill="background1"/>
            <w:vAlign w:val="center"/>
          </w:tcPr>
          <w:p w14:paraId="7BDCCF0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109,918,379.21</w:t>
            </w:r>
          </w:p>
        </w:tc>
      </w:tr>
      <w:tr w:rsidR="00632E5B" w14:paraId="082B6FC9" w14:textId="77777777" w:rsidTr="00B158CE">
        <w:trPr>
          <w:trHeight w:val="240"/>
        </w:trPr>
        <w:tc>
          <w:tcPr>
            <w:tcW w:w="3213" w:type="dxa"/>
            <w:shd w:val="clear" w:color="auto" w:fill="FFFFFF" w:themeFill="background1"/>
            <w:vAlign w:val="center"/>
          </w:tcPr>
          <w:p w14:paraId="6A6914C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一年内到期的应计利息</w:t>
            </w:r>
          </w:p>
        </w:tc>
        <w:tc>
          <w:tcPr>
            <w:tcW w:w="3213" w:type="dxa"/>
            <w:shd w:val="clear" w:color="auto" w:fill="FFFFFF" w:themeFill="background1"/>
            <w:vAlign w:val="center"/>
          </w:tcPr>
          <w:p w14:paraId="5C4E4B8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30,095,909.71</w:t>
            </w:r>
          </w:p>
        </w:tc>
        <w:tc>
          <w:tcPr>
            <w:tcW w:w="3213" w:type="dxa"/>
            <w:shd w:val="clear" w:color="auto" w:fill="FFFFFF" w:themeFill="background1"/>
            <w:vAlign w:val="center"/>
          </w:tcPr>
          <w:p w14:paraId="42B3D62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6,579,999.02</w:t>
            </w:r>
          </w:p>
        </w:tc>
      </w:tr>
      <w:tr w:rsidR="00632E5B" w14:paraId="63390839" w14:textId="77777777" w:rsidTr="00B158CE">
        <w:trPr>
          <w:trHeight w:val="240"/>
        </w:trPr>
        <w:tc>
          <w:tcPr>
            <w:tcW w:w="3213" w:type="dxa"/>
            <w:shd w:val="clear" w:color="auto" w:fill="FFFFFF" w:themeFill="background1"/>
            <w:vAlign w:val="center"/>
          </w:tcPr>
          <w:p w14:paraId="056C2ECA"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224BBAC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395,797,427.72</w:t>
            </w:r>
          </w:p>
        </w:tc>
        <w:tc>
          <w:tcPr>
            <w:tcW w:w="3213" w:type="dxa"/>
            <w:shd w:val="clear" w:color="auto" w:fill="FFFFFF" w:themeFill="background1"/>
            <w:vAlign w:val="center"/>
          </w:tcPr>
          <w:p w14:paraId="4E490B0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539,513,803.59</w:t>
            </w:r>
          </w:p>
        </w:tc>
      </w:tr>
    </w:tbl>
    <w:p w14:paraId="5EE1F4CD" w14:textId="77777777" w:rsidR="00632E5B" w:rsidRDefault="00107901">
      <w:pPr>
        <w:pStyle w:val="3"/>
        <w:spacing w:line="280" w:lineRule="exact"/>
        <w:jc w:val="left"/>
        <w:rPr>
          <w:rFonts w:ascii="宋体" w:hAnsi="宋体" w:cs="宋体" w:hint="eastAsia"/>
          <w:b/>
          <w:bCs/>
        </w:rPr>
      </w:pPr>
      <w:bookmarkStart w:id="295" w:name="_Toc989182"/>
      <w:r>
        <w:rPr>
          <w:rFonts w:ascii="宋体" w:hAnsi="宋体" w:cs="宋体"/>
          <w:b/>
          <w:bCs/>
        </w:rPr>
        <w:t>31、其他流动负债</w:t>
      </w:r>
      <w:bookmarkEnd w:id="295"/>
    </w:p>
    <w:p w14:paraId="1D79344B"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342D1F20" w14:textId="77777777" w:rsidTr="00B158CE">
        <w:trPr>
          <w:trHeight w:val="240"/>
        </w:trPr>
        <w:tc>
          <w:tcPr>
            <w:tcW w:w="3213" w:type="dxa"/>
            <w:shd w:val="clear" w:color="auto" w:fill="FFFFFF" w:themeFill="background1"/>
            <w:vAlign w:val="center"/>
          </w:tcPr>
          <w:p w14:paraId="4DD7D03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6B5C16A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auto" w:fill="FFFFFF" w:themeFill="background1"/>
            <w:vAlign w:val="center"/>
          </w:tcPr>
          <w:p w14:paraId="46DD55B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632E5B" w14:paraId="43BE07B7" w14:textId="77777777" w:rsidTr="00B158CE">
        <w:trPr>
          <w:trHeight w:val="240"/>
        </w:trPr>
        <w:tc>
          <w:tcPr>
            <w:tcW w:w="3213" w:type="dxa"/>
            <w:shd w:val="clear" w:color="auto" w:fill="FFFFFF" w:themeFill="background1"/>
            <w:vAlign w:val="center"/>
          </w:tcPr>
          <w:p w14:paraId="420FCE7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预提质保金等</w:t>
            </w:r>
          </w:p>
        </w:tc>
        <w:tc>
          <w:tcPr>
            <w:tcW w:w="3213" w:type="dxa"/>
            <w:shd w:val="clear" w:color="auto" w:fill="FFFFFF" w:themeFill="background1"/>
            <w:vAlign w:val="center"/>
          </w:tcPr>
          <w:p w14:paraId="73707BC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17,354,534.87</w:t>
            </w:r>
          </w:p>
        </w:tc>
        <w:tc>
          <w:tcPr>
            <w:tcW w:w="3213" w:type="dxa"/>
            <w:shd w:val="clear" w:color="auto" w:fill="FFFFFF" w:themeFill="background1"/>
            <w:vAlign w:val="center"/>
          </w:tcPr>
          <w:p w14:paraId="3D49653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17,127,336.36</w:t>
            </w:r>
          </w:p>
        </w:tc>
      </w:tr>
      <w:tr w:rsidR="00632E5B" w14:paraId="47802276" w14:textId="77777777" w:rsidTr="00B158CE">
        <w:trPr>
          <w:trHeight w:val="240"/>
        </w:trPr>
        <w:tc>
          <w:tcPr>
            <w:tcW w:w="3213" w:type="dxa"/>
            <w:shd w:val="clear" w:color="auto" w:fill="FFFFFF" w:themeFill="background1"/>
            <w:vAlign w:val="center"/>
          </w:tcPr>
          <w:p w14:paraId="6C3ACB8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待转销销项税</w:t>
            </w:r>
          </w:p>
        </w:tc>
        <w:tc>
          <w:tcPr>
            <w:tcW w:w="3213" w:type="dxa"/>
            <w:shd w:val="clear" w:color="auto" w:fill="FFFFFF" w:themeFill="background1"/>
            <w:vAlign w:val="center"/>
          </w:tcPr>
          <w:p w14:paraId="269FB26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12,786,782.56</w:t>
            </w:r>
          </w:p>
        </w:tc>
        <w:tc>
          <w:tcPr>
            <w:tcW w:w="3213" w:type="dxa"/>
            <w:shd w:val="clear" w:color="auto" w:fill="FFFFFF" w:themeFill="background1"/>
            <w:vAlign w:val="center"/>
          </w:tcPr>
          <w:p w14:paraId="578C96C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13,680,604.36</w:t>
            </w:r>
          </w:p>
        </w:tc>
      </w:tr>
      <w:tr w:rsidR="00632E5B" w14:paraId="610AE6F5" w14:textId="77777777" w:rsidTr="00B158CE">
        <w:trPr>
          <w:trHeight w:val="240"/>
        </w:trPr>
        <w:tc>
          <w:tcPr>
            <w:tcW w:w="3213" w:type="dxa"/>
            <w:shd w:val="clear" w:color="auto" w:fill="FFFFFF" w:themeFill="background1"/>
            <w:vAlign w:val="center"/>
          </w:tcPr>
          <w:p w14:paraId="19B6D32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lastRenderedPageBreak/>
              <w:t>未终止确认的应收票据</w:t>
            </w:r>
          </w:p>
        </w:tc>
        <w:tc>
          <w:tcPr>
            <w:tcW w:w="3213" w:type="dxa"/>
            <w:shd w:val="clear" w:color="auto" w:fill="FFFFFF" w:themeFill="background1"/>
            <w:vAlign w:val="center"/>
          </w:tcPr>
          <w:p w14:paraId="15CE265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115,292,885.89</w:t>
            </w:r>
          </w:p>
        </w:tc>
        <w:tc>
          <w:tcPr>
            <w:tcW w:w="3213" w:type="dxa"/>
            <w:shd w:val="clear" w:color="auto" w:fill="FFFFFF" w:themeFill="background1"/>
            <w:vAlign w:val="center"/>
          </w:tcPr>
          <w:p w14:paraId="20A124B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188,217,830.92</w:t>
            </w:r>
          </w:p>
        </w:tc>
      </w:tr>
      <w:tr w:rsidR="00632E5B" w14:paraId="40AFE0FD" w14:textId="77777777" w:rsidTr="00B158CE">
        <w:trPr>
          <w:trHeight w:val="240"/>
        </w:trPr>
        <w:tc>
          <w:tcPr>
            <w:tcW w:w="3213" w:type="dxa"/>
            <w:shd w:val="clear" w:color="auto" w:fill="FFFFFF" w:themeFill="background1"/>
            <w:vAlign w:val="center"/>
          </w:tcPr>
          <w:p w14:paraId="7A4B3AB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3213" w:type="dxa"/>
            <w:shd w:val="clear" w:color="auto" w:fill="FFFFFF" w:themeFill="background1"/>
            <w:vAlign w:val="center"/>
          </w:tcPr>
          <w:p w14:paraId="3318660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936,443.65</w:t>
            </w:r>
          </w:p>
        </w:tc>
        <w:tc>
          <w:tcPr>
            <w:tcW w:w="3213" w:type="dxa"/>
            <w:shd w:val="clear" w:color="auto" w:fill="FFFFFF" w:themeFill="background1"/>
            <w:vAlign w:val="center"/>
          </w:tcPr>
          <w:p w14:paraId="4A0F1BF2" w14:textId="77777777" w:rsidR="00632E5B" w:rsidRDefault="00632E5B">
            <w:pPr>
              <w:spacing w:line="240" w:lineRule="exact"/>
              <w:jc w:val="right"/>
              <w:rPr>
                <w:rFonts w:ascii="宋体" w:eastAsia="宋体" w:hAnsi="宋体" w:cs="宋体" w:hint="eastAsia"/>
                <w:sz w:val="18"/>
                <w:szCs w:val="18"/>
              </w:rPr>
            </w:pPr>
          </w:p>
        </w:tc>
      </w:tr>
      <w:tr w:rsidR="00632E5B" w14:paraId="38322A55" w14:textId="77777777" w:rsidTr="00B158CE">
        <w:trPr>
          <w:trHeight w:val="240"/>
        </w:trPr>
        <w:tc>
          <w:tcPr>
            <w:tcW w:w="3213" w:type="dxa"/>
            <w:shd w:val="clear" w:color="auto" w:fill="FFFFFF" w:themeFill="background1"/>
            <w:vAlign w:val="center"/>
          </w:tcPr>
          <w:p w14:paraId="36572E17"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498FFC9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146,370,646.97</w:t>
            </w:r>
          </w:p>
        </w:tc>
        <w:tc>
          <w:tcPr>
            <w:tcW w:w="3213" w:type="dxa"/>
            <w:shd w:val="clear" w:color="auto" w:fill="FFFFFF" w:themeFill="background1"/>
            <w:vAlign w:val="center"/>
          </w:tcPr>
          <w:p w14:paraId="33D9738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219,025,771.64</w:t>
            </w:r>
          </w:p>
        </w:tc>
      </w:tr>
    </w:tbl>
    <w:p w14:paraId="50CB637B" w14:textId="77777777" w:rsidR="00632E5B" w:rsidRDefault="00107901">
      <w:pPr>
        <w:pStyle w:val="3"/>
        <w:spacing w:line="280" w:lineRule="exact"/>
        <w:jc w:val="left"/>
        <w:rPr>
          <w:rFonts w:ascii="宋体" w:hAnsi="宋体" w:cs="宋体" w:hint="eastAsia"/>
          <w:b/>
          <w:bCs/>
        </w:rPr>
      </w:pPr>
      <w:bookmarkStart w:id="296" w:name="_Toc989183"/>
      <w:r>
        <w:rPr>
          <w:rFonts w:ascii="宋体" w:hAnsi="宋体" w:cs="宋体"/>
          <w:b/>
          <w:bCs/>
        </w:rPr>
        <w:t>32、长期借款</w:t>
      </w:r>
      <w:bookmarkEnd w:id="296"/>
    </w:p>
    <w:p w14:paraId="25B4552E" w14:textId="77777777" w:rsidR="00632E5B" w:rsidRDefault="00107901">
      <w:pPr>
        <w:keepNext/>
        <w:keepLines/>
        <w:spacing w:before="300" w:after="300" w:line="280" w:lineRule="exact"/>
        <w:outlineLvl w:val="3"/>
        <w:rPr>
          <w:rFonts w:ascii="宋体" w:eastAsia="宋体" w:hAnsi="宋体" w:cs="宋体" w:hint="eastAsia"/>
          <w:b/>
          <w:bCs/>
          <w:sz w:val="18"/>
          <w:szCs w:val="18"/>
        </w:rPr>
      </w:pPr>
      <w:bookmarkStart w:id="297" w:name="_Toc989184"/>
      <w:r>
        <w:rPr>
          <w:rFonts w:ascii="宋体" w:eastAsia="宋体" w:hAnsi="宋体" w:cs="宋体"/>
          <w:b/>
          <w:bCs/>
          <w:sz w:val="18"/>
          <w:szCs w:val="18"/>
        </w:rPr>
        <w:t>（1） 长期借款分类</w:t>
      </w:r>
      <w:bookmarkEnd w:id="297"/>
    </w:p>
    <w:p w14:paraId="123483FB"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1266B406" w14:textId="77777777" w:rsidTr="00B158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3B7E57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0EBB3D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D5E36B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632E5B" w14:paraId="4D3CBE80" w14:textId="77777777" w:rsidTr="00B158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91508F9"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保证借款</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705F42E" w14:textId="77777777" w:rsidR="00632E5B" w:rsidRDefault="00632E5B">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A75334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122,652,635.25</w:t>
            </w:r>
          </w:p>
        </w:tc>
      </w:tr>
      <w:tr w:rsidR="00632E5B" w14:paraId="152ED394" w14:textId="77777777" w:rsidTr="00B158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E65059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保证+抵押借款</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493A068" w14:textId="77777777" w:rsidR="00632E5B" w:rsidRDefault="00632E5B">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E7DA4F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85,121,903.51</w:t>
            </w:r>
          </w:p>
        </w:tc>
      </w:tr>
      <w:tr w:rsidR="00632E5B" w14:paraId="23FD2B8B" w14:textId="77777777" w:rsidTr="00B158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077968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保证+质押借款</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6D78B7E" w14:textId="77777777" w:rsidR="00632E5B" w:rsidRDefault="00632E5B">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60F4CA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188,261,000.00</w:t>
            </w:r>
          </w:p>
        </w:tc>
      </w:tr>
      <w:tr w:rsidR="00632E5B" w14:paraId="147B80CF" w14:textId="77777777" w:rsidTr="00B158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27C2AC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抵押+质押借款</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0828989" w14:textId="77777777" w:rsidR="00632E5B" w:rsidRDefault="00632E5B">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AE313C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26,598,199.08</w:t>
            </w:r>
          </w:p>
        </w:tc>
      </w:tr>
      <w:tr w:rsidR="00632E5B" w14:paraId="6FC5A9E8" w14:textId="77777777" w:rsidTr="00B158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10936C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保证+抵押+质押借款</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98839C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11,750,000.00</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A1C6E7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23,850,000.00</w:t>
            </w:r>
          </w:p>
        </w:tc>
      </w:tr>
      <w:tr w:rsidR="00632E5B" w14:paraId="3BB4274D" w14:textId="77777777" w:rsidTr="00B158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D1426B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应付利息</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91DF0A7" w14:textId="77777777" w:rsidR="00632E5B" w:rsidRDefault="00632E5B">
            <w:pPr>
              <w:spacing w:line="240" w:lineRule="exact"/>
              <w:jc w:val="right"/>
              <w:rPr>
                <w:rFonts w:ascii="宋体" w:eastAsia="宋体" w:hAnsi="宋体" w:cs="宋体" w:hint="eastAsia"/>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CA61D0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27,680,217.63</w:t>
            </w:r>
          </w:p>
        </w:tc>
      </w:tr>
      <w:tr w:rsidR="00632E5B" w14:paraId="5F96AAEF" w14:textId="77777777" w:rsidTr="00B158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95490C3"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C424FE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11,750,000.00</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6FEFF5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474,163,955.47</w:t>
            </w:r>
          </w:p>
        </w:tc>
      </w:tr>
    </w:tbl>
    <w:p w14:paraId="74776BFA" w14:textId="77777777" w:rsidR="00632E5B" w:rsidRDefault="00107901">
      <w:pPr>
        <w:pStyle w:val="3"/>
        <w:spacing w:line="280" w:lineRule="exact"/>
        <w:jc w:val="left"/>
        <w:rPr>
          <w:rFonts w:ascii="宋体" w:hAnsi="宋体" w:cs="宋体" w:hint="eastAsia"/>
          <w:b/>
          <w:bCs/>
        </w:rPr>
      </w:pPr>
      <w:bookmarkStart w:id="298" w:name="_Toc989185"/>
      <w:r>
        <w:rPr>
          <w:rFonts w:ascii="宋体" w:hAnsi="宋体" w:cs="宋体"/>
          <w:b/>
          <w:bCs/>
        </w:rPr>
        <w:t>33、租赁负债</w:t>
      </w:r>
      <w:bookmarkEnd w:id="298"/>
    </w:p>
    <w:p w14:paraId="2476549A"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528"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shd w:val="clear" w:color="auto" w:fill="FFFFFF" w:themeFill="background1"/>
        <w:tblLayout w:type="fixed"/>
        <w:tblLook w:val="04A0" w:firstRow="1" w:lastRow="0" w:firstColumn="1" w:lastColumn="0" w:noHBand="0" w:noVBand="1"/>
      </w:tblPr>
      <w:tblGrid>
        <w:gridCol w:w="3213"/>
        <w:gridCol w:w="3213"/>
        <w:gridCol w:w="3102"/>
      </w:tblGrid>
      <w:tr w:rsidR="00632E5B" w14:paraId="575CF7A9" w14:textId="77777777" w:rsidTr="00B158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A98584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180A9A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10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FF9A5D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632E5B" w14:paraId="122A079D" w14:textId="77777777" w:rsidTr="00B158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495E94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62355A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5,092,028.94</w:t>
            </w:r>
          </w:p>
        </w:tc>
        <w:tc>
          <w:tcPr>
            <w:tcW w:w="310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499FA7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54,203,365.98</w:t>
            </w:r>
          </w:p>
        </w:tc>
      </w:tr>
      <w:tr w:rsidR="00632E5B" w14:paraId="71C23340" w14:textId="77777777" w:rsidTr="00B158C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172D2D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D0FAD3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5,092,028.94</w:t>
            </w:r>
          </w:p>
        </w:tc>
        <w:tc>
          <w:tcPr>
            <w:tcW w:w="310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D75F84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54,203,365.98</w:t>
            </w:r>
          </w:p>
        </w:tc>
      </w:tr>
    </w:tbl>
    <w:p w14:paraId="42350354"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其他说明：</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2"/>
        <w:gridCol w:w="3186"/>
        <w:gridCol w:w="3123"/>
      </w:tblGrid>
      <w:tr w:rsidR="00E72F0C" w:rsidRPr="003258E0" w14:paraId="194E9C08" w14:textId="77777777" w:rsidTr="00695EAE">
        <w:trPr>
          <w:divId w:val="4594703"/>
          <w:trHeight w:val="312"/>
          <w:jc w:val="center"/>
        </w:trPr>
        <w:tc>
          <w:tcPr>
            <w:tcW w:w="1727" w:type="pct"/>
            <w:tcMar>
              <w:top w:w="0" w:type="dxa"/>
              <w:left w:w="108" w:type="dxa"/>
              <w:bottom w:w="0" w:type="dxa"/>
              <w:right w:w="108" w:type="dxa"/>
            </w:tcMar>
            <w:vAlign w:val="center"/>
            <w:hideMark/>
          </w:tcPr>
          <w:p w14:paraId="06CD88B5" w14:textId="77777777" w:rsidR="00E72F0C" w:rsidRPr="003258E0" w:rsidRDefault="00107901">
            <w:pPr>
              <w:pStyle w:val="a3"/>
              <w:spacing w:before="0" w:beforeAutospacing="0" w:after="0" w:afterAutospacing="0"/>
              <w:jc w:val="center"/>
              <w:rPr>
                <w:rFonts w:asciiTheme="minorEastAsia" w:eastAsiaTheme="minorEastAsia" w:hAnsiTheme="minorEastAsia" w:cs="Times New Roman" w:hint="eastAsia"/>
                <w:sz w:val="21"/>
                <w:szCs w:val="21"/>
              </w:rPr>
            </w:pPr>
            <w:r w:rsidRPr="003258E0">
              <w:rPr>
                <w:rFonts w:asciiTheme="minorEastAsia" w:eastAsiaTheme="minorEastAsia" w:hAnsiTheme="minorEastAsia" w:cs="Times New Roman" w:hint="eastAsia"/>
                <w:sz w:val="18"/>
                <w:szCs w:val="18"/>
              </w:rPr>
              <w:t>项目</w:t>
            </w:r>
          </w:p>
        </w:tc>
        <w:tc>
          <w:tcPr>
            <w:tcW w:w="1598" w:type="pct"/>
            <w:tcMar>
              <w:top w:w="0" w:type="dxa"/>
              <w:left w:w="108" w:type="dxa"/>
              <w:bottom w:w="0" w:type="dxa"/>
              <w:right w:w="108" w:type="dxa"/>
            </w:tcMar>
            <w:vAlign w:val="center"/>
            <w:hideMark/>
          </w:tcPr>
          <w:p w14:paraId="16023D68" w14:textId="77777777" w:rsidR="00E72F0C" w:rsidRPr="003258E0" w:rsidRDefault="00107901">
            <w:pPr>
              <w:pStyle w:val="a3"/>
              <w:spacing w:before="0" w:beforeAutospacing="0" w:after="0" w:afterAutospacing="0"/>
              <w:jc w:val="center"/>
              <w:rPr>
                <w:rFonts w:asciiTheme="minorEastAsia" w:eastAsiaTheme="minorEastAsia" w:hAnsiTheme="minorEastAsia" w:cs="Times New Roman" w:hint="eastAsia"/>
                <w:sz w:val="21"/>
                <w:szCs w:val="21"/>
              </w:rPr>
            </w:pPr>
            <w:r w:rsidRPr="003258E0">
              <w:rPr>
                <w:rFonts w:asciiTheme="minorEastAsia" w:eastAsiaTheme="minorEastAsia" w:hAnsiTheme="minorEastAsia" w:cs="Times New Roman" w:hint="eastAsia"/>
                <w:sz w:val="18"/>
                <w:szCs w:val="18"/>
              </w:rPr>
              <w:t>期末余额</w:t>
            </w:r>
          </w:p>
        </w:tc>
        <w:tc>
          <w:tcPr>
            <w:tcW w:w="1675" w:type="pct"/>
            <w:tcMar>
              <w:top w:w="0" w:type="dxa"/>
              <w:left w:w="108" w:type="dxa"/>
              <w:bottom w:w="0" w:type="dxa"/>
              <w:right w:w="108" w:type="dxa"/>
            </w:tcMar>
            <w:vAlign w:val="center"/>
            <w:hideMark/>
          </w:tcPr>
          <w:p w14:paraId="6EFA745A" w14:textId="77777777" w:rsidR="00E72F0C" w:rsidRPr="003258E0" w:rsidRDefault="00107901">
            <w:pPr>
              <w:pStyle w:val="a3"/>
              <w:spacing w:before="0" w:beforeAutospacing="0" w:after="0" w:afterAutospacing="0"/>
              <w:jc w:val="center"/>
              <w:rPr>
                <w:rFonts w:asciiTheme="minorEastAsia" w:eastAsiaTheme="minorEastAsia" w:hAnsiTheme="minorEastAsia" w:cs="Times New Roman" w:hint="eastAsia"/>
                <w:sz w:val="21"/>
                <w:szCs w:val="21"/>
              </w:rPr>
            </w:pPr>
            <w:r w:rsidRPr="003258E0">
              <w:rPr>
                <w:rFonts w:asciiTheme="minorEastAsia" w:eastAsiaTheme="minorEastAsia" w:hAnsiTheme="minorEastAsia" w:cs="Times New Roman" w:hint="eastAsia"/>
                <w:sz w:val="18"/>
                <w:szCs w:val="18"/>
              </w:rPr>
              <w:t>期初余额</w:t>
            </w:r>
          </w:p>
        </w:tc>
      </w:tr>
      <w:tr w:rsidR="00E72F0C" w:rsidRPr="003258E0" w14:paraId="63C9E5A2" w14:textId="77777777" w:rsidTr="00695EAE">
        <w:trPr>
          <w:divId w:val="4594703"/>
          <w:trHeight w:val="312"/>
          <w:jc w:val="center"/>
        </w:trPr>
        <w:tc>
          <w:tcPr>
            <w:tcW w:w="1727" w:type="pct"/>
            <w:tcMar>
              <w:top w:w="0" w:type="dxa"/>
              <w:left w:w="108" w:type="dxa"/>
              <w:bottom w:w="0" w:type="dxa"/>
              <w:right w:w="108" w:type="dxa"/>
            </w:tcMar>
            <w:vAlign w:val="center"/>
            <w:hideMark/>
          </w:tcPr>
          <w:p w14:paraId="77C491C8" w14:textId="77777777" w:rsidR="00E72F0C" w:rsidRPr="003258E0" w:rsidRDefault="00107901">
            <w:pPr>
              <w:pStyle w:val="a3"/>
              <w:spacing w:before="0" w:beforeAutospacing="0" w:after="0" w:afterAutospacing="0"/>
              <w:jc w:val="both"/>
              <w:rPr>
                <w:rFonts w:asciiTheme="minorEastAsia" w:eastAsiaTheme="minorEastAsia" w:hAnsiTheme="minorEastAsia" w:cs="Times New Roman" w:hint="eastAsia"/>
                <w:sz w:val="21"/>
                <w:szCs w:val="21"/>
              </w:rPr>
            </w:pPr>
            <w:r w:rsidRPr="003258E0">
              <w:rPr>
                <w:rFonts w:asciiTheme="minorEastAsia" w:eastAsiaTheme="minorEastAsia" w:hAnsiTheme="minorEastAsia" w:cs="Times New Roman" w:hint="eastAsia"/>
                <w:sz w:val="18"/>
                <w:szCs w:val="18"/>
              </w:rPr>
              <w:t>长期租赁负债</w:t>
            </w:r>
          </w:p>
        </w:tc>
        <w:tc>
          <w:tcPr>
            <w:tcW w:w="1598" w:type="pct"/>
            <w:tcMar>
              <w:top w:w="0" w:type="dxa"/>
              <w:left w:w="108" w:type="dxa"/>
              <w:bottom w:w="0" w:type="dxa"/>
              <w:right w:w="108" w:type="dxa"/>
            </w:tcMar>
            <w:vAlign w:val="center"/>
            <w:hideMark/>
          </w:tcPr>
          <w:p w14:paraId="4B198C4F" w14:textId="77777777" w:rsidR="00E72F0C" w:rsidRPr="003258E0"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3258E0">
              <w:rPr>
                <w:rFonts w:asciiTheme="minorEastAsia" w:eastAsiaTheme="minorEastAsia" w:hAnsiTheme="minorEastAsia" w:cs="Arial"/>
                <w:sz w:val="18"/>
                <w:szCs w:val="18"/>
              </w:rPr>
              <w:t xml:space="preserve">           7,132,176.93 </w:t>
            </w:r>
          </w:p>
        </w:tc>
        <w:tc>
          <w:tcPr>
            <w:tcW w:w="1675" w:type="pct"/>
            <w:tcMar>
              <w:top w:w="0" w:type="dxa"/>
              <w:left w:w="108" w:type="dxa"/>
              <w:bottom w:w="0" w:type="dxa"/>
              <w:right w:w="108" w:type="dxa"/>
            </w:tcMar>
            <w:vAlign w:val="center"/>
            <w:hideMark/>
          </w:tcPr>
          <w:p w14:paraId="2E2886D8" w14:textId="77777777" w:rsidR="00E72F0C" w:rsidRPr="003258E0"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3258E0">
              <w:rPr>
                <w:rFonts w:asciiTheme="minorEastAsia" w:eastAsiaTheme="minorEastAsia" w:hAnsiTheme="minorEastAsia" w:cs="Arial"/>
                <w:sz w:val="18"/>
                <w:szCs w:val="18"/>
              </w:rPr>
              <w:t>164,121,745.19</w:t>
            </w:r>
          </w:p>
        </w:tc>
      </w:tr>
      <w:tr w:rsidR="00E72F0C" w:rsidRPr="003258E0" w14:paraId="718B8BDF" w14:textId="77777777" w:rsidTr="00695EAE">
        <w:trPr>
          <w:divId w:val="4594703"/>
          <w:trHeight w:val="312"/>
          <w:jc w:val="center"/>
        </w:trPr>
        <w:tc>
          <w:tcPr>
            <w:tcW w:w="1727" w:type="pct"/>
            <w:tcMar>
              <w:top w:w="0" w:type="dxa"/>
              <w:left w:w="108" w:type="dxa"/>
              <w:bottom w:w="0" w:type="dxa"/>
              <w:right w:w="108" w:type="dxa"/>
            </w:tcMar>
            <w:vAlign w:val="center"/>
            <w:hideMark/>
          </w:tcPr>
          <w:p w14:paraId="537B5789" w14:textId="77777777" w:rsidR="00E72F0C" w:rsidRPr="003258E0" w:rsidRDefault="00107901">
            <w:pPr>
              <w:pStyle w:val="a3"/>
              <w:spacing w:before="0" w:beforeAutospacing="0" w:after="0" w:afterAutospacing="0"/>
              <w:jc w:val="both"/>
              <w:rPr>
                <w:rFonts w:asciiTheme="minorEastAsia" w:eastAsiaTheme="minorEastAsia" w:hAnsiTheme="minorEastAsia" w:cs="Times New Roman" w:hint="eastAsia"/>
                <w:sz w:val="21"/>
                <w:szCs w:val="21"/>
              </w:rPr>
            </w:pPr>
            <w:r w:rsidRPr="003258E0">
              <w:rPr>
                <w:rFonts w:asciiTheme="minorEastAsia" w:eastAsiaTheme="minorEastAsia" w:hAnsiTheme="minorEastAsia" w:cs="Times New Roman" w:hint="eastAsia"/>
                <w:sz w:val="18"/>
                <w:szCs w:val="18"/>
              </w:rPr>
              <w:t>减：一年内到期的租赁负债</w:t>
            </w:r>
          </w:p>
        </w:tc>
        <w:tc>
          <w:tcPr>
            <w:tcW w:w="1598" w:type="pct"/>
            <w:tcMar>
              <w:top w:w="0" w:type="dxa"/>
              <w:left w:w="108" w:type="dxa"/>
              <w:bottom w:w="0" w:type="dxa"/>
              <w:right w:w="108" w:type="dxa"/>
            </w:tcMar>
            <w:vAlign w:val="center"/>
            <w:hideMark/>
          </w:tcPr>
          <w:p w14:paraId="3DD9FAE3" w14:textId="77777777" w:rsidR="00E72F0C" w:rsidRPr="003258E0"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3258E0">
              <w:rPr>
                <w:rFonts w:asciiTheme="minorEastAsia" w:eastAsiaTheme="minorEastAsia" w:hAnsiTheme="minorEastAsia" w:cs="Arial"/>
                <w:sz w:val="18"/>
                <w:szCs w:val="18"/>
              </w:rPr>
              <w:t xml:space="preserve">           2,040,147.99 </w:t>
            </w:r>
          </w:p>
        </w:tc>
        <w:tc>
          <w:tcPr>
            <w:tcW w:w="1675" w:type="pct"/>
            <w:tcMar>
              <w:top w:w="0" w:type="dxa"/>
              <w:left w:w="108" w:type="dxa"/>
              <w:bottom w:w="0" w:type="dxa"/>
              <w:right w:w="108" w:type="dxa"/>
            </w:tcMar>
            <w:vAlign w:val="center"/>
            <w:hideMark/>
          </w:tcPr>
          <w:p w14:paraId="6E7AA151" w14:textId="77777777" w:rsidR="00E72F0C" w:rsidRPr="003258E0"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3258E0">
              <w:rPr>
                <w:rFonts w:asciiTheme="minorEastAsia" w:eastAsiaTheme="minorEastAsia" w:hAnsiTheme="minorEastAsia" w:cs="Arial"/>
                <w:sz w:val="18"/>
                <w:szCs w:val="18"/>
              </w:rPr>
              <w:t>109,918,379.21</w:t>
            </w:r>
          </w:p>
        </w:tc>
      </w:tr>
      <w:tr w:rsidR="00E72F0C" w:rsidRPr="003258E0" w14:paraId="46693A39" w14:textId="77777777" w:rsidTr="00695EAE">
        <w:trPr>
          <w:divId w:val="4594703"/>
          <w:trHeight w:val="312"/>
          <w:jc w:val="center"/>
        </w:trPr>
        <w:tc>
          <w:tcPr>
            <w:tcW w:w="1727" w:type="pct"/>
            <w:tcMar>
              <w:top w:w="0" w:type="dxa"/>
              <w:left w:w="108" w:type="dxa"/>
              <w:bottom w:w="0" w:type="dxa"/>
              <w:right w:w="108" w:type="dxa"/>
            </w:tcMar>
            <w:vAlign w:val="center"/>
            <w:hideMark/>
          </w:tcPr>
          <w:p w14:paraId="1181D623" w14:textId="77777777" w:rsidR="00E72F0C" w:rsidRPr="003258E0" w:rsidRDefault="00107901">
            <w:pPr>
              <w:pStyle w:val="a3"/>
              <w:spacing w:before="0" w:beforeAutospacing="0" w:after="0" w:afterAutospacing="0"/>
              <w:jc w:val="center"/>
              <w:rPr>
                <w:rFonts w:asciiTheme="minorEastAsia" w:eastAsiaTheme="minorEastAsia" w:hAnsiTheme="minorEastAsia" w:cs="Times New Roman" w:hint="eastAsia"/>
                <w:sz w:val="21"/>
                <w:szCs w:val="21"/>
              </w:rPr>
            </w:pPr>
            <w:r w:rsidRPr="003258E0">
              <w:rPr>
                <w:rFonts w:asciiTheme="minorEastAsia" w:eastAsiaTheme="minorEastAsia" w:hAnsiTheme="minorEastAsia" w:cs="Times New Roman" w:hint="eastAsia"/>
                <w:sz w:val="18"/>
                <w:szCs w:val="18"/>
              </w:rPr>
              <w:t>合计</w:t>
            </w:r>
          </w:p>
        </w:tc>
        <w:tc>
          <w:tcPr>
            <w:tcW w:w="1598" w:type="pct"/>
            <w:tcMar>
              <w:top w:w="0" w:type="dxa"/>
              <w:left w:w="108" w:type="dxa"/>
              <w:bottom w:w="0" w:type="dxa"/>
              <w:right w:w="108" w:type="dxa"/>
            </w:tcMar>
            <w:vAlign w:val="center"/>
            <w:hideMark/>
          </w:tcPr>
          <w:p w14:paraId="3D00B463" w14:textId="77777777" w:rsidR="00E72F0C" w:rsidRPr="003258E0"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3258E0">
              <w:rPr>
                <w:rFonts w:asciiTheme="minorEastAsia" w:eastAsiaTheme="minorEastAsia" w:hAnsiTheme="minorEastAsia" w:cs="Arial"/>
                <w:sz w:val="18"/>
                <w:szCs w:val="18"/>
              </w:rPr>
              <w:t xml:space="preserve">           5,092,028.94 </w:t>
            </w:r>
          </w:p>
        </w:tc>
        <w:tc>
          <w:tcPr>
            <w:tcW w:w="1675" w:type="pct"/>
            <w:tcMar>
              <w:top w:w="0" w:type="dxa"/>
              <w:left w:w="108" w:type="dxa"/>
              <w:bottom w:w="0" w:type="dxa"/>
              <w:right w:w="108" w:type="dxa"/>
            </w:tcMar>
            <w:vAlign w:val="center"/>
            <w:hideMark/>
          </w:tcPr>
          <w:p w14:paraId="5F15123B" w14:textId="77777777" w:rsidR="00E72F0C" w:rsidRPr="003258E0"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3258E0">
              <w:rPr>
                <w:rFonts w:asciiTheme="minorEastAsia" w:eastAsiaTheme="minorEastAsia" w:hAnsiTheme="minorEastAsia" w:cs="Arial"/>
                <w:sz w:val="18"/>
                <w:szCs w:val="18"/>
              </w:rPr>
              <w:t>54,203,365.98</w:t>
            </w:r>
          </w:p>
        </w:tc>
      </w:tr>
    </w:tbl>
    <w:p w14:paraId="5E96FA5D" w14:textId="77777777" w:rsidR="00632E5B" w:rsidRDefault="00107901">
      <w:pPr>
        <w:pStyle w:val="3"/>
        <w:spacing w:line="280" w:lineRule="exact"/>
        <w:jc w:val="left"/>
        <w:rPr>
          <w:rFonts w:ascii="宋体" w:hAnsi="宋体" w:cs="宋体" w:hint="eastAsia"/>
          <w:b/>
          <w:bCs/>
        </w:rPr>
      </w:pPr>
      <w:bookmarkStart w:id="299" w:name="_Toc989186"/>
      <w:r>
        <w:rPr>
          <w:rFonts w:ascii="宋体" w:hAnsi="宋体" w:cs="宋体"/>
          <w:b/>
          <w:bCs/>
        </w:rPr>
        <w:t>34、长期应付款</w:t>
      </w:r>
      <w:bookmarkEnd w:id="299"/>
    </w:p>
    <w:p w14:paraId="610FB120"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58012F4C" w14:textId="77777777" w:rsidTr="00B158CE">
        <w:trPr>
          <w:trHeight w:val="240"/>
        </w:trPr>
        <w:tc>
          <w:tcPr>
            <w:tcW w:w="3213" w:type="dxa"/>
            <w:shd w:val="clear" w:color="auto" w:fill="FFFFFF" w:themeFill="background1"/>
            <w:vAlign w:val="center"/>
          </w:tcPr>
          <w:p w14:paraId="320B15A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6E4B941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auto" w:fill="FFFFFF" w:themeFill="background1"/>
            <w:vAlign w:val="center"/>
          </w:tcPr>
          <w:p w14:paraId="647E2FE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632E5B" w14:paraId="75911B64" w14:textId="77777777" w:rsidTr="00B158CE">
        <w:trPr>
          <w:trHeight w:val="240"/>
        </w:trPr>
        <w:tc>
          <w:tcPr>
            <w:tcW w:w="3213" w:type="dxa"/>
            <w:shd w:val="clear" w:color="auto" w:fill="FFFFFF" w:themeFill="background1"/>
            <w:vAlign w:val="center"/>
          </w:tcPr>
          <w:p w14:paraId="40806A2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长期应付款</w:t>
            </w:r>
          </w:p>
        </w:tc>
        <w:tc>
          <w:tcPr>
            <w:tcW w:w="3213" w:type="dxa"/>
            <w:shd w:val="clear" w:color="auto" w:fill="FFFFFF" w:themeFill="background1"/>
            <w:vAlign w:val="center"/>
          </w:tcPr>
          <w:p w14:paraId="1975111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782,955,823.08</w:t>
            </w:r>
          </w:p>
        </w:tc>
        <w:tc>
          <w:tcPr>
            <w:tcW w:w="3213" w:type="dxa"/>
            <w:shd w:val="clear" w:color="auto" w:fill="FFFFFF" w:themeFill="background1"/>
            <w:vAlign w:val="center"/>
          </w:tcPr>
          <w:p w14:paraId="3B1D7EA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60,078,273.66</w:t>
            </w:r>
          </w:p>
        </w:tc>
      </w:tr>
      <w:tr w:rsidR="00632E5B" w14:paraId="5057C83F" w14:textId="77777777" w:rsidTr="00B158CE">
        <w:trPr>
          <w:trHeight w:val="240"/>
        </w:trPr>
        <w:tc>
          <w:tcPr>
            <w:tcW w:w="3213" w:type="dxa"/>
            <w:shd w:val="clear" w:color="auto" w:fill="FFFFFF" w:themeFill="background1"/>
            <w:vAlign w:val="center"/>
          </w:tcPr>
          <w:p w14:paraId="5AD4D12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3168888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782,955,823.08</w:t>
            </w:r>
          </w:p>
        </w:tc>
        <w:tc>
          <w:tcPr>
            <w:tcW w:w="3213" w:type="dxa"/>
            <w:shd w:val="clear" w:color="auto" w:fill="FFFFFF" w:themeFill="background1"/>
            <w:vAlign w:val="center"/>
          </w:tcPr>
          <w:p w14:paraId="124A883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60,078,273.66</w:t>
            </w:r>
          </w:p>
        </w:tc>
      </w:tr>
    </w:tbl>
    <w:p w14:paraId="52A9E9CF" w14:textId="77777777" w:rsidR="00632E5B" w:rsidRDefault="00107901">
      <w:pPr>
        <w:keepNext/>
        <w:keepLines/>
        <w:spacing w:before="300" w:after="300" w:line="280" w:lineRule="exact"/>
        <w:outlineLvl w:val="3"/>
        <w:rPr>
          <w:rFonts w:ascii="宋体" w:eastAsia="宋体" w:hAnsi="宋体" w:cs="宋体" w:hint="eastAsia"/>
          <w:b/>
          <w:bCs/>
          <w:sz w:val="18"/>
          <w:szCs w:val="18"/>
        </w:rPr>
      </w:pPr>
      <w:bookmarkStart w:id="300" w:name="_Toc989187"/>
      <w:r>
        <w:rPr>
          <w:rFonts w:ascii="宋体" w:eastAsia="宋体" w:hAnsi="宋体" w:cs="宋体"/>
          <w:b/>
          <w:bCs/>
          <w:sz w:val="18"/>
          <w:szCs w:val="18"/>
        </w:rPr>
        <w:t>（1） 按款项性质列示长期应付款</w:t>
      </w:r>
      <w:bookmarkEnd w:id="300"/>
    </w:p>
    <w:p w14:paraId="5B7B8AA1"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3FD52955" w14:textId="77777777" w:rsidTr="00B158CE">
        <w:trPr>
          <w:trHeight w:val="240"/>
        </w:trPr>
        <w:tc>
          <w:tcPr>
            <w:tcW w:w="3213" w:type="dxa"/>
            <w:shd w:val="clear" w:color="auto" w:fill="FFFFFF" w:themeFill="background1"/>
            <w:vAlign w:val="center"/>
          </w:tcPr>
          <w:p w14:paraId="2D8239E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77F5011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auto" w:fill="FFFFFF" w:themeFill="background1"/>
            <w:vAlign w:val="center"/>
          </w:tcPr>
          <w:p w14:paraId="0D3831A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632E5B" w14:paraId="2B8D1CCB" w14:textId="77777777" w:rsidTr="00B158CE">
        <w:trPr>
          <w:trHeight w:val="240"/>
        </w:trPr>
        <w:tc>
          <w:tcPr>
            <w:tcW w:w="3213" w:type="dxa"/>
            <w:shd w:val="clear" w:color="auto" w:fill="FFFFFF" w:themeFill="background1"/>
            <w:vAlign w:val="center"/>
          </w:tcPr>
          <w:p w14:paraId="6F9F8A0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应付融资租赁公司款项</w:t>
            </w:r>
          </w:p>
        </w:tc>
        <w:tc>
          <w:tcPr>
            <w:tcW w:w="3213" w:type="dxa"/>
            <w:shd w:val="clear" w:color="auto" w:fill="FFFFFF" w:themeFill="background1"/>
            <w:vAlign w:val="center"/>
          </w:tcPr>
          <w:p w14:paraId="567F1AD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38,928,393.85</w:t>
            </w:r>
          </w:p>
        </w:tc>
        <w:tc>
          <w:tcPr>
            <w:tcW w:w="3213" w:type="dxa"/>
            <w:shd w:val="clear" w:color="auto" w:fill="FFFFFF" w:themeFill="background1"/>
            <w:vAlign w:val="center"/>
          </w:tcPr>
          <w:p w14:paraId="6534898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60,078,273.66</w:t>
            </w:r>
          </w:p>
        </w:tc>
      </w:tr>
      <w:tr w:rsidR="00632E5B" w14:paraId="564B62B8" w14:textId="77777777" w:rsidTr="00B158CE">
        <w:trPr>
          <w:trHeight w:val="240"/>
        </w:trPr>
        <w:tc>
          <w:tcPr>
            <w:tcW w:w="3213" w:type="dxa"/>
            <w:shd w:val="clear" w:color="auto" w:fill="FFFFFF" w:themeFill="background1"/>
            <w:vAlign w:val="center"/>
          </w:tcPr>
          <w:p w14:paraId="5F96714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优先债权留债款</w:t>
            </w:r>
          </w:p>
        </w:tc>
        <w:tc>
          <w:tcPr>
            <w:tcW w:w="3213" w:type="dxa"/>
            <w:shd w:val="clear" w:color="auto" w:fill="FFFFFF" w:themeFill="background1"/>
            <w:vAlign w:val="center"/>
          </w:tcPr>
          <w:p w14:paraId="2984D9A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744,027,429.23</w:t>
            </w:r>
          </w:p>
        </w:tc>
        <w:tc>
          <w:tcPr>
            <w:tcW w:w="3213" w:type="dxa"/>
            <w:shd w:val="clear" w:color="auto" w:fill="FFFFFF" w:themeFill="background1"/>
            <w:vAlign w:val="center"/>
          </w:tcPr>
          <w:p w14:paraId="689FD215" w14:textId="77777777" w:rsidR="00632E5B" w:rsidRDefault="00632E5B">
            <w:pPr>
              <w:spacing w:line="240" w:lineRule="exact"/>
              <w:jc w:val="right"/>
              <w:rPr>
                <w:rFonts w:ascii="宋体" w:eastAsia="宋体" w:hAnsi="宋体" w:cs="宋体" w:hint="eastAsia"/>
                <w:sz w:val="18"/>
                <w:szCs w:val="18"/>
              </w:rPr>
            </w:pPr>
          </w:p>
        </w:tc>
      </w:tr>
      <w:tr w:rsidR="00632E5B" w14:paraId="43161518" w14:textId="77777777" w:rsidTr="00B158CE">
        <w:trPr>
          <w:trHeight w:val="240"/>
        </w:trPr>
        <w:tc>
          <w:tcPr>
            <w:tcW w:w="3213" w:type="dxa"/>
            <w:shd w:val="clear" w:color="auto" w:fill="FFFFFF" w:themeFill="background1"/>
            <w:vAlign w:val="center"/>
          </w:tcPr>
          <w:p w14:paraId="251706A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7F68393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782,955,823.08</w:t>
            </w:r>
          </w:p>
        </w:tc>
        <w:tc>
          <w:tcPr>
            <w:tcW w:w="3213" w:type="dxa"/>
            <w:shd w:val="clear" w:color="auto" w:fill="FFFFFF" w:themeFill="background1"/>
            <w:vAlign w:val="center"/>
          </w:tcPr>
          <w:p w14:paraId="5C68FF4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60,078,273.66</w:t>
            </w:r>
          </w:p>
        </w:tc>
      </w:tr>
    </w:tbl>
    <w:p w14:paraId="70B82F89" w14:textId="77777777" w:rsidR="00632E5B" w:rsidRDefault="00107901">
      <w:pPr>
        <w:pStyle w:val="3"/>
        <w:spacing w:line="280" w:lineRule="exact"/>
        <w:jc w:val="left"/>
        <w:rPr>
          <w:rFonts w:ascii="宋体" w:hAnsi="宋体" w:cs="宋体" w:hint="eastAsia"/>
          <w:b/>
          <w:bCs/>
        </w:rPr>
      </w:pPr>
      <w:bookmarkStart w:id="301" w:name="_Toc989188"/>
      <w:r>
        <w:rPr>
          <w:rFonts w:ascii="宋体" w:hAnsi="宋体" w:cs="宋体"/>
          <w:b/>
          <w:bCs/>
        </w:rPr>
        <w:lastRenderedPageBreak/>
        <w:t>35、预计负债</w:t>
      </w:r>
      <w:bookmarkEnd w:id="301"/>
    </w:p>
    <w:p w14:paraId="65049221"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2409"/>
        <w:gridCol w:w="2410"/>
        <w:gridCol w:w="2410"/>
        <w:gridCol w:w="2410"/>
      </w:tblGrid>
      <w:tr w:rsidR="00632E5B" w14:paraId="7A2A49EE" w14:textId="77777777" w:rsidTr="00B158CE">
        <w:trPr>
          <w:trHeight w:val="240"/>
        </w:trPr>
        <w:tc>
          <w:tcPr>
            <w:tcW w:w="2410" w:type="dxa"/>
            <w:shd w:val="clear" w:color="auto" w:fill="FFFFFF" w:themeFill="background1"/>
            <w:vAlign w:val="center"/>
          </w:tcPr>
          <w:p w14:paraId="7B66E37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2410" w:type="dxa"/>
            <w:shd w:val="clear" w:color="auto" w:fill="FFFFFF" w:themeFill="background1"/>
            <w:vAlign w:val="center"/>
          </w:tcPr>
          <w:p w14:paraId="3531202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2410" w:type="dxa"/>
            <w:shd w:val="clear" w:color="auto" w:fill="FFFFFF" w:themeFill="background1"/>
            <w:vAlign w:val="center"/>
          </w:tcPr>
          <w:p w14:paraId="38AB3C6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2410" w:type="dxa"/>
            <w:shd w:val="clear" w:color="auto" w:fill="FFFFFF" w:themeFill="background1"/>
            <w:vAlign w:val="center"/>
          </w:tcPr>
          <w:p w14:paraId="1C3A0DA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形成原因</w:t>
            </w:r>
          </w:p>
        </w:tc>
      </w:tr>
      <w:tr w:rsidR="00632E5B" w14:paraId="3FA9FBCB" w14:textId="77777777" w:rsidTr="00B158CE">
        <w:trPr>
          <w:trHeight w:val="240"/>
        </w:trPr>
        <w:tc>
          <w:tcPr>
            <w:tcW w:w="2410" w:type="dxa"/>
            <w:shd w:val="clear" w:color="auto" w:fill="FFFFFF" w:themeFill="background1"/>
            <w:vAlign w:val="center"/>
          </w:tcPr>
          <w:p w14:paraId="43632B3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对外提供担保及按重整计划向协调审理下级公司提供偿债资源损失</w:t>
            </w:r>
          </w:p>
        </w:tc>
        <w:tc>
          <w:tcPr>
            <w:tcW w:w="2410" w:type="dxa"/>
            <w:shd w:val="clear" w:color="auto" w:fill="FFFFFF" w:themeFill="background1"/>
            <w:vAlign w:val="center"/>
          </w:tcPr>
          <w:p w14:paraId="4E7EC60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359,178,473.69</w:t>
            </w:r>
          </w:p>
        </w:tc>
        <w:tc>
          <w:tcPr>
            <w:tcW w:w="2410" w:type="dxa"/>
            <w:shd w:val="clear" w:color="auto" w:fill="FFFFFF" w:themeFill="background1"/>
            <w:vAlign w:val="center"/>
          </w:tcPr>
          <w:p w14:paraId="708113C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1,092,948,535.95</w:t>
            </w:r>
          </w:p>
        </w:tc>
        <w:tc>
          <w:tcPr>
            <w:tcW w:w="2410" w:type="dxa"/>
            <w:shd w:val="clear" w:color="auto" w:fill="FFFFFF" w:themeFill="background1"/>
            <w:vAlign w:val="center"/>
          </w:tcPr>
          <w:p w14:paraId="22E17DF6" w14:textId="77777777" w:rsidR="00632E5B" w:rsidRDefault="00632E5B">
            <w:pPr>
              <w:spacing w:line="240" w:lineRule="exact"/>
              <w:rPr>
                <w:rFonts w:ascii="宋体" w:eastAsia="宋体" w:hAnsi="宋体" w:cs="宋体" w:hint="eastAsia"/>
                <w:sz w:val="18"/>
                <w:szCs w:val="18"/>
              </w:rPr>
            </w:pPr>
          </w:p>
        </w:tc>
      </w:tr>
      <w:tr w:rsidR="00632E5B" w14:paraId="12AC176F" w14:textId="77777777" w:rsidTr="00B158CE">
        <w:trPr>
          <w:trHeight w:val="240"/>
        </w:trPr>
        <w:tc>
          <w:tcPr>
            <w:tcW w:w="2410" w:type="dxa"/>
            <w:shd w:val="clear" w:color="auto" w:fill="FFFFFF" w:themeFill="background1"/>
            <w:vAlign w:val="center"/>
          </w:tcPr>
          <w:p w14:paraId="772D61C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未决诉讼或未决仲裁</w:t>
            </w:r>
          </w:p>
        </w:tc>
        <w:tc>
          <w:tcPr>
            <w:tcW w:w="2410" w:type="dxa"/>
            <w:shd w:val="clear" w:color="auto" w:fill="FFFFFF" w:themeFill="background1"/>
            <w:vAlign w:val="center"/>
          </w:tcPr>
          <w:p w14:paraId="230CF0A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288,536,642.65</w:t>
            </w:r>
          </w:p>
        </w:tc>
        <w:tc>
          <w:tcPr>
            <w:tcW w:w="2410" w:type="dxa"/>
            <w:shd w:val="clear" w:color="auto" w:fill="FFFFFF" w:themeFill="background1"/>
            <w:vAlign w:val="center"/>
          </w:tcPr>
          <w:p w14:paraId="4278022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142,408,524.45</w:t>
            </w:r>
          </w:p>
        </w:tc>
        <w:tc>
          <w:tcPr>
            <w:tcW w:w="2410" w:type="dxa"/>
            <w:shd w:val="clear" w:color="auto" w:fill="FFFFFF" w:themeFill="background1"/>
            <w:vAlign w:val="center"/>
          </w:tcPr>
          <w:p w14:paraId="10F7EF82" w14:textId="77777777" w:rsidR="00632E5B" w:rsidRDefault="00632E5B">
            <w:pPr>
              <w:spacing w:line="240" w:lineRule="exact"/>
              <w:rPr>
                <w:rFonts w:ascii="宋体" w:eastAsia="宋体" w:hAnsi="宋体" w:cs="宋体" w:hint="eastAsia"/>
                <w:sz w:val="18"/>
                <w:szCs w:val="18"/>
              </w:rPr>
            </w:pPr>
          </w:p>
        </w:tc>
      </w:tr>
      <w:tr w:rsidR="00632E5B" w14:paraId="464FED67" w14:textId="77777777" w:rsidTr="00B158CE">
        <w:trPr>
          <w:trHeight w:val="240"/>
        </w:trPr>
        <w:tc>
          <w:tcPr>
            <w:tcW w:w="2410" w:type="dxa"/>
            <w:shd w:val="clear" w:color="auto" w:fill="FFFFFF" w:themeFill="background1"/>
            <w:vAlign w:val="center"/>
          </w:tcPr>
          <w:p w14:paraId="6F0BC28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预计员工安置费用</w:t>
            </w:r>
          </w:p>
        </w:tc>
        <w:tc>
          <w:tcPr>
            <w:tcW w:w="2410" w:type="dxa"/>
            <w:shd w:val="clear" w:color="auto" w:fill="FFFFFF" w:themeFill="background1"/>
            <w:vAlign w:val="center"/>
          </w:tcPr>
          <w:p w14:paraId="3133BB7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84,842,934.19</w:t>
            </w:r>
          </w:p>
        </w:tc>
        <w:tc>
          <w:tcPr>
            <w:tcW w:w="2410" w:type="dxa"/>
            <w:shd w:val="clear" w:color="auto" w:fill="FFFFFF" w:themeFill="background1"/>
            <w:vAlign w:val="center"/>
          </w:tcPr>
          <w:p w14:paraId="28ACBEFF"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0627F789" w14:textId="77777777" w:rsidR="00632E5B" w:rsidRDefault="00632E5B">
            <w:pPr>
              <w:spacing w:line="240" w:lineRule="exact"/>
              <w:rPr>
                <w:rFonts w:ascii="宋体" w:eastAsia="宋体" w:hAnsi="宋体" w:cs="宋体" w:hint="eastAsia"/>
                <w:sz w:val="18"/>
                <w:szCs w:val="18"/>
              </w:rPr>
            </w:pPr>
          </w:p>
        </w:tc>
      </w:tr>
      <w:tr w:rsidR="00632E5B" w14:paraId="305AD2AB" w14:textId="77777777" w:rsidTr="00B158CE">
        <w:trPr>
          <w:trHeight w:val="240"/>
        </w:trPr>
        <w:tc>
          <w:tcPr>
            <w:tcW w:w="2410" w:type="dxa"/>
            <w:shd w:val="clear" w:color="auto" w:fill="FFFFFF" w:themeFill="background1"/>
            <w:vAlign w:val="center"/>
          </w:tcPr>
          <w:p w14:paraId="03536FD3"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2410" w:type="dxa"/>
            <w:shd w:val="clear" w:color="auto" w:fill="FFFFFF" w:themeFill="background1"/>
            <w:vAlign w:val="center"/>
          </w:tcPr>
          <w:p w14:paraId="32F5983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732,558,050.53</w:t>
            </w:r>
          </w:p>
        </w:tc>
        <w:tc>
          <w:tcPr>
            <w:tcW w:w="2410" w:type="dxa"/>
            <w:shd w:val="clear" w:color="auto" w:fill="FFFFFF" w:themeFill="background1"/>
            <w:vAlign w:val="center"/>
          </w:tcPr>
          <w:p w14:paraId="12DE4AE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1,235,357,060.40</w:t>
            </w:r>
          </w:p>
        </w:tc>
        <w:tc>
          <w:tcPr>
            <w:tcW w:w="2410" w:type="dxa"/>
            <w:shd w:val="clear" w:color="auto" w:fill="FFFFFF" w:themeFill="background1"/>
            <w:vAlign w:val="center"/>
          </w:tcPr>
          <w:p w14:paraId="74EC8297" w14:textId="77777777" w:rsidR="00632E5B" w:rsidRDefault="00632E5B"/>
        </w:tc>
      </w:tr>
    </w:tbl>
    <w:p w14:paraId="01578E14" w14:textId="77777777" w:rsidR="00632E5B" w:rsidRDefault="00107901">
      <w:pPr>
        <w:pStyle w:val="3"/>
        <w:spacing w:line="280" w:lineRule="exact"/>
        <w:jc w:val="left"/>
        <w:rPr>
          <w:rFonts w:ascii="宋体" w:hAnsi="宋体" w:cs="宋体" w:hint="eastAsia"/>
          <w:b/>
          <w:bCs/>
        </w:rPr>
      </w:pPr>
      <w:bookmarkStart w:id="302" w:name="_Toc989189"/>
      <w:r>
        <w:rPr>
          <w:rFonts w:ascii="宋体" w:hAnsi="宋体" w:cs="宋体"/>
          <w:b/>
          <w:bCs/>
        </w:rPr>
        <w:t>36、递延收益</w:t>
      </w:r>
      <w:bookmarkEnd w:id="302"/>
    </w:p>
    <w:p w14:paraId="16F245D2"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606"/>
        <w:gridCol w:w="1606"/>
        <w:gridCol w:w="1606"/>
        <w:gridCol w:w="1607"/>
        <w:gridCol w:w="1607"/>
        <w:gridCol w:w="1607"/>
      </w:tblGrid>
      <w:tr w:rsidR="00632E5B" w14:paraId="32268B56" w14:textId="77777777" w:rsidTr="00B158CE">
        <w:trPr>
          <w:trHeight w:val="240"/>
        </w:trPr>
        <w:tc>
          <w:tcPr>
            <w:tcW w:w="1606" w:type="dxa"/>
            <w:shd w:val="clear" w:color="auto" w:fill="FFFFFF" w:themeFill="background1"/>
            <w:vAlign w:val="center"/>
          </w:tcPr>
          <w:p w14:paraId="676D57B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606" w:type="dxa"/>
            <w:shd w:val="clear" w:color="auto" w:fill="FFFFFF" w:themeFill="background1"/>
            <w:vAlign w:val="center"/>
          </w:tcPr>
          <w:p w14:paraId="68CBD9D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606" w:type="dxa"/>
            <w:shd w:val="clear" w:color="auto" w:fill="FFFFFF" w:themeFill="background1"/>
            <w:vAlign w:val="center"/>
          </w:tcPr>
          <w:p w14:paraId="6F701B8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1606" w:type="dxa"/>
            <w:shd w:val="clear" w:color="auto" w:fill="FFFFFF" w:themeFill="background1"/>
            <w:vAlign w:val="center"/>
          </w:tcPr>
          <w:p w14:paraId="3ADC62B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1606" w:type="dxa"/>
            <w:shd w:val="clear" w:color="auto" w:fill="FFFFFF" w:themeFill="background1"/>
            <w:vAlign w:val="center"/>
          </w:tcPr>
          <w:p w14:paraId="33C385C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1606" w:type="dxa"/>
            <w:shd w:val="clear" w:color="auto" w:fill="FFFFFF" w:themeFill="background1"/>
            <w:vAlign w:val="center"/>
          </w:tcPr>
          <w:p w14:paraId="6EF117A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形成原因</w:t>
            </w:r>
          </w:p>
        </w:tc>
      </w:tr>
      <w:tr w:rsidR="00632E5B" w14:paraId="2AE44E72" w14:textId="77777777" w:rsidTr="00B158CE">
        <w:trPr>
          <w:trHeight w:val="240"/>
        </w:trPr>
        <w:tc>
          <w:tcPr>
            <w:tcW w:w="1606" w:type="dxa"/>
            <w:shd w:val="clear" w:color="auto" w:fill="FFFFFF" w:themeFill="background1"/>
            <w:vAlign w:val="center"/>
          </w:tcPr>
          <w:p w14:paraId="0BBC3857"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政府补助</w:t>
            </w:r>
          </w:p>
        </w:tc>
        <w:tc>
          <w:tcPr>
            <w:tcW w:w="1606" w:type="dxa"/>
            <w:shd w:val="clear" w:color="auto" w:fill="FFFFFF" w:themeFill="background1"/>
            <w:vAlign w:val="center"/>
          </w:tcPr>
          <w:p w14:paraId="4ECA09C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62,748,553.07</w:t>
            </w:r>
          </w:p>
        </w:tc>
        <w:tc>
          <w:tcPr>
            <w:tcW w:w="1606" w:type="dxa"/>
            <w:shd w:val="clear" w:color="auto" w:fill="FFFFFF" w:themeFill="background1"/>
            <w:vAlign w:val="center"/>
          </w:tcPr>
          <w:p w14:paraId="37E58BD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3,000,000.00</w:t>
            </w:r>
          </w:p>
        </w:tc>
        <w:tc>
          <w:tcPr>
            <w:tcW w:w="1606" w:type="dxa"/>
            <w:shd w:val="clear" w:color="auto" w:fill="FFFFFF" w:themeFill="background1"/>
            <w:vAlign w:val="center"/>
          </w:tcPr>
          <w:p w14:paraId="7C3225D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11,741,080.33</w:t>
            </w:r>
          </w:p>
        </w:tc>
        <w:tc>
          <w:tcPr>
            <w:tcW w:w="1606" w:type="dxa"/>
            <w:shd w:val="clear" w:color="auto" w:fill="FFFFFF" w:themeFill="background1"/>
            <w:vAlign w:val="center"/>
          </w:tcPr>
          <w:p w14:paraId="2AE3BE6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54,007,472.74</w:t>
            </w:r>
          </w:p>
        </w:tc>
        <w:tc>
          <w:tcPr>
            <w:tcW w:w="1606" w:type="dxa"/>
            <w:shd w:val="clear" w:color="auto" w:fill="FFFFFF" w:themeFill="background1"/>
            <w:vAlign w:val="center"/>
          </w:tcPr>
          <w:p w14:paraId="7E0BEF32" w14:textId="77777777" w:rsidR="00632E5B" w:rsidRDefault="00632E5B">
            <w:pPr>
              <w:spacing w:line="240" w:lineRule="exact"/>
              <w:rPr>
                <w:rFonts w:ascii="宋体" w:eastAsia="宋体" w:hAnsi="宋体" w:cs="宋体" w:hint="eastAsia"/>
                <w:sz w:val="18"/>
                <w:szCs w:val="18"/>
              </w:rPr>
            </w:pPr>
          </w:p>
        </w:tc>
      </w:tr>
      <w:tr w:rsidR="00632E5B" w14:paraId="2163841E" w14:textId="77777777" w:rsidTr="00B158CE">
        <w:trPr>
          <w:trHeight w:val="240"/>
        </w:trPr>
        <w:tc>
          <w:tcPr>
            <w:tcW w:w="1606" w:type="dxa"/>
            <w:shd w:val="clear" w:color="auto" w:fill="FFFFFF" w:themeFill="background1"/>
            <w:vAlign w:val="center"/>
          </w:tcPr>
          <w:p w14:paraId="13A239D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606" w:type="dxa"/>
            <w:shd w:val="clear" w:color="auto" w:fill="FFFFFF" w:themeFill="background1"/>
            <w:vAlign w:val="center"/>
          </w:tcPr>
          <w:p w14:paraId="5192B3F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62,748,553.07</w:t>
            </w:r>
          </w:p>
        </w:tc>
        <w:tc>
          <w:tcPr>
            <w:tcW w:w="1606" w:type="dxa"/>
            <w:shd w:val="clear" w:color="auto" w:fill="FFFFFF" w:themeFill="background1"/>
            <w:vAlign w:val="center"/>
          </w:tcPr>
          <w:p w14:paraId="040E0A8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3,000,000.00</w:t>
            </w:r>
          </w:p>
        </w:tc>
        <w:tc>
          <w:tcPr>
            <w:tcW w:w="1606" w:type="dxa"/>
            <w:shd w:val="clear" w:color="auto" w:fill="FFFFFF" w:themeFill="background1"/>
            <w:vAlign w:val="center"/>
          </w:tcPr>
          <w:p w14:paraId="29B6BF0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11,741,080.33</w:t>
            </w:r>
          </w:p>
        </w:tc>
        <w:tc>
          <w:tcPr>
            <w:tcW w:w="1606" w:type="dxa"/>
            <w:shd w:val="clear" w:color="auto" w:fill="FFFFFF" w:themeFill="background1"/>
            <w:vAlign w:val="center"/>
          </w:tcPr>
          <w:p w14:paraId="62CC1FA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54,007,472.74</w:t>
            </w:r>
          </w:p>
        </w:tc>
        <w:tc>
          <w:tcPr>
            <w:tcW w:w="1606" w:type="dxa"/>
            <w:shd w:val="clear" w:color="auto" w:fill="FFFFFF" w:themeFill="background1"/>
            <w:vAlign w:val="center"/>
          </w:tcPr>
          <w:p w14:paraId="4BE8146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r>
    </w:tbl>
    <w:p w14:paraId="36825528" w14:textId="77777777" w:rsidR="00632E5B" w:rsidRDefault="00107901">
      <w:pPr>
        <w:pStyle w:val="3"/>
        <w:spacing w:line="280" w:lineRule="exact"/>
        <w:jc w:val="left"/>
        <w:rPr>
          <w:rFonts w:ascii="宋体" w:hAnsi="宋体" w:cs="宋体" w:hint="eastAsia"/>
          <w:b/>
          <w:bCs/>
        </w:rPr>
      </w:pPr>
      <w:bookmarkStart w:id="303" w:name="_Toc989190"/>
      <w:r>
        <w:rPr>
          <w:rFonts w:ascii="宋体" w:hAnsi="宋体" w:cs="宋体"/>
          <w:b/>
          <w:bCs/>
        </w:rPr>
        <w:t>37、股本</w:t>
      </w:r>
      <w:bookmarkEnd w:id="303"/>
    </w:p>
    <w:p w14:paraId="4109A391"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95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740"/>
        <w:gridCol w:w="1559"/>
        <w:gridCol w:w="851"/>
        <w:gridCol w:w="921"/>
        <w:gridCol w:w="1701"/>
        <w:gridCol w:w="1205"/>
        <w:gridCol w:w="1417"/>
        <w:gridCol w:w="1560"/>
      </w:tblGrid>
      <w:tr w:rsidR="00013CBF" w14:paraId="08D2482F" w14:textId="77777777" w:rsidTr="00B158CE">
        <w:trPr>
          <w:trHeight w:val="240"/>
        </w:trPr>
        <w:tc>
          <w:tcPr>
            <w:tcW w:w="740" w:type="dxa"/>
            <w:vMerge w:val="restart"/>
            <w:shd w:val="clear" w:color="auto" w:fill="FFFFFF" w:themeFill="background1"/>
            <w:vAlign w:val="center"/>
          </w:tcPr>
          <w:p w14:paraId="29D4C8D2" w14:textId="77777777" w:rsidR="00013CBF" w:rsidRDefault="00013CBF"/>
        </w:tc>
        <w:tc>
          <w:tcPr>
            <w:tcW w:w="1559" w:type="dxa"/>
            <w:vMerge w:val="restart"/>
            <w:shd w:val="clear" w:color="auto" w:fill="FFFFFF" w:themeFill="background1"/>
            <w:vAlign w:val="center"/>
          </w:tcPr>
          <w:p w14:paraId="6328DD47" w14:textId="77777777" w:rsidR="00013CBF" w:rsidRDefault="00013CBF">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6095" w:type="dxa"/>
            <w:gridSpan w:val="5"/>
            <w:shd w:val="clear" w:color="auto" w:fill="FFFFFF" w:themeFill="background1"/>
            <w:vAlign w:val="center"/>
          </w:tcPr>
          <w:p w14:paraId="31BDE774" w14:textId="77777777" w:rsidR="00013CBF" w:rsidRDefault="00013CBF">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本次变动增减（+、-）</w:t>
            </w:r>
          </w:p>
        </w:tc>
        <w:tc>
          <w:tcPr>
            <w:tcW w:w="1560" w:type="dxa"/>
            <w:vMerge w:val="restart"/>
            <w:shd w:val="clear" w:color="auto" w:fill="FFFFFF" w:themeFill="background1"/>
            <w:vAlign w:val="center"/>
          </w:tcPr>
          <w:p w14:paraId="5D650DE1" w14:textId="77777777" w:rsidR="00013CBF" w:rsidRDefault="00013CBF">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013CBF" w14:paraId="74F70FBA" w14:textId="77777777" w:rsidTr="00B158CE">
        <w:trPr>
          <w:trHeight w:val="240"/>
        </w:trPr>
        <w:tc>
          <w:tcPr>
            <w:tcW w:w="740" w:type="dxa"/>
            <w:vMerge/>
            <w:shd w:val="clear" w:color="auto" w:fill="FFFFFF" w:themeFill="background1"/>
            <w:vAlign w:val="center"/>
          </w:tcPr>
          <w:p w14:paraId="0627E594" w14:textId="77777777" w:rsidR="00013CBF" w:rsidRDefault="00013CBF"/>
        </w:tc>
        <w:tc>
          <w:tcPr>
            <w:tcW w:w="1559" w:type="dxa"/>
            <w:vMerge/>
            <w:shd w:val="clear" w:color="auto" w:fill="FFFFFF" w:themeFill="background1"/>
            <w:vAlign w:val="center"/>
          </w:tcPr>
          <w:p w14:paraId="439F2293" w14:textId="77777777" w:rsidR="00013CBF" w:rsidRDefault="00013CBF"/>
        </w:tc>
        <w:tc>
          <w:tcPr>
            <w:tcW w:w="851" w:type="dxa"/>
            <w:shd w:val="clear" w:color="auto" w:fill="FFFFFF" w:themeFill="background1"/>
            <w:vAlign w:val="center"/>
          </w:tcPr>
          <w:p w14:paraId="4AFE4A00" w14:textId="77777777" w:rsidR="00013CBF" w:rsidRDefault="00013CBF">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发行新股</w:t>
            </w:r>
          </w:p>
        </w:tc>
        <w:tc>
          <w:tcPr>
            <w:tcW w:w="921" w:type="dxa"/>
            <w:shd w:val="clear" w:color="auto" w:fill="FFFFFF" w:themeFill="background1"/>
            <w:vAlign w:val="center"/>
          </w:tcPr>
          <w:p w14:paraId="1869D1B9" w14:textId="77777777" w:rsidR="00013CBF" w:rsidRDefault="00013CBF">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送股</w:t>
            </w:r>
          </w:p>
        </w:tc>
        <w:tc>
          <w:tcPr>
            <w:tcW w:w="1701" w:type="dxa"/>
            <w:shd w:val="clear" w:color="auto" w:fill="FFFFFF" w:themeFill="background1"/>
            <w:vAlign w:val="center"/>
          </w:tcPr>
          <w:p w14:paraId="2E9F5304" w14:textId="77777777" w:rsidR="00013CBF" w:rsidRDefault="00013CBF">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公积金转股</w:t>
            </w:r>
          </w:p>
        </w:tc>
        <w:tc>
          <w:tcPr>
            <w:tcW w:w="1205" w:type="dxa"/>
            <w:shd w:val="clear" w:color="auto" w:fill="FFFFFF" w:themeFill="background1"/>
            <w:vAlign w:val="center"/>
          </w:tcPr>
          <w:p w14:paraId="31408BC2" w14:textId="77777777" w:rsidR="00013CBF" w:rsidRDefault="00013CBF">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1417" w:type="dxa"/>
            <w:shd w:val="clear" w:color="auto" w:fill="FFFFFF" w:themeFill="background1"/>
            <w:vAlign w:val="center"/>
          </w:tcPr>
          <w:p w14:paraId="143E5A03" w14:textId="77777777" w:rsidR="00013CBF" w:rsidRDefault="00013CBF">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小计</w:t>
            </w:r>
          </w:p>
        </w:tc>
        <w:tc>
          <w:tcPr>
            <w:tcW w:w="1560" w:type="dxa"/>
            <w:vMerge/>
            <w:shd w:val="clear" w:color="auto" w:fill="FFFFFF" w:themeFill="background1"/>
            <w:vAlign w:val="center"/>
          </w:tcPr>
          <w:p w14:paraId="370FD1F9" w14:textId="77777777" w:rsidR="00013CBF" w:rsidRDefault="00013CBF"/>
        </w:tc>
      </w:tr>
      <w:tr w:rsidR="00632E5B" w14:paraId="0B35D5B2" w14:textId="77777777" w:rsidTr="00B158CE">
        <w:trPr>
          <w:trHeight w:val="240"/>
        </w:trPr>
        <w:tc>
          <w:tcPr>
            <w:tcW w:w="740" w:type="dxa"/>
            <w:shd w:val="clear" w:color="auto" w:fill="FFFFFF" w:themeFill="background1"/>
            <w:vAlign w:val="center"/>
          </w:tcPr>
          <w:p w14:paraId="45233D5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股份总数</w:t>
            </w:r>
          </w:p>
        </w:tc>
        <w:tc>
          <w:tcPr>
            <w:tcW w:w="1559" w:type="dxa"/>
            <w:shd w:val="clear" w:color="auto" w:fill="FFFFFF" w:themeFill="background1"/>
            <w:vAlign w:val="center"/>
          </w:tcPr>
          <w:p w14:paraId="73F52CA9" w14:textId="614B3FE1"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871,787,068</w:t>
            </w:r>
          </w:p>
        </w:tc>
        <w:tc>
          <w:tcPr>
            <w:tcW w:w="851" w:type="dxa"/>
            <w:shd w:val="clear" w:color="auto" w:fill="FFFFFF" w:themeFill="background1"/>
            <w:vAlign w:val="center"/>
          </w:tcPr>
          <w:p w14:paraId="1FBF4B7A" w14:textId="77777777" w:rsidR="00632E5B" w:rsidRDefault="00632E5B">
            <w:pPr>
              <w:spacing w:line="240" w:lineRule="exact"/>
              <w:jc w:val="right"/>
              <w:rPr>
                <w:rFonts w:ascii="宋体" w:eastAsia="宋体" w:hAnsi="宋体" w:cs="宋体" w:hint="eastAsia"/>
                <w:sz w:val="18"/>
                <w:szCs w:val="18"/>
              </w:rPr>
            </w:pPr>
          </w:p>
        </w:tc>
        <w:tc>
          <w:tcPr>
            <w:tcW w:w="921" w:type="dxa"/>
            <w:shd w:val="clear" w:color="auto" w:fill="FFFFFF" w:themeFill="background1"/>
            <w:vAlign w:val="center"/>
          </w:tcPr>
          <w:p w14:paraId="08BF595F" w14:textId="77777777" w:rsidR="00632E5B" w:rsidRDefault="00632E5B">
            <w:pPr>
              <w:spacing w:line="240" w:lineRule="exact"/>
              <w:jc w:val="right"/>
              <w:rPr>
                <w:rFonts w:ascii="宋体" w:eastAsia="宋体" w:hAnsi="宋体" w:cs="宋体" w:hint="eastAsia"/>
                <w:sz w:val="18"/>
                <w:szCs w:val="18"/>
              </w:rPr>
            </w:pPr>
          </w:p>
        </w:tc>
        <w:tc>
          <w:tcPr>
            <w:tcW w:w="1701" w:type="dxa"/>
            <w:shd w:val="clear" w:color="auto" w:fill="FFFFFF" w:themeFill="background1"/>
            <w:vAlign w:val="center"/>
          </w:tcPr>
          <w:p w14:paraId="2FD44104" w14:textId="1EDE8B6F"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2,135,878,317</w:t>
            </w:r>
          </w:p>
        </w:tc>
        <w:tc>
          <w:tcPr>
            <w:tcW w:w="1205" w:type="dxa"/>
            <w:shd w:val="clear" w:color="auto" w:fill="FFFFFF" w:themeFill="background1"/>
            <w:vAlign w:val="center"/>
          </w:tcPr>
          <w:p w14:paraId="7CCF166F" w14:textId="77777777" w:rsidR="00632E5B" w:rsidRDefault="00632E5B">
            <w:pPr>
              <w:spacing w:line="240" w:lineRule="exact"/>
              <w:jc w:val="right"/>
              <w:rPr>
                <w:rFonts w:ascii="宋体" w:eastAsia="宋体" w:hAnsi="宋体" w:cs="宋体" w:hint="eastAsia"/>
                <w:sz w:val="18"/>
                <w:szCs w:val="18"/>
              </w:rPr>
            </w:pPr>
          </w:p>
        </w:tc>
        <w:tc>
          <w:tcPr>
            <w:tcW w:w="1417" w:type="dxa"/>
            <w:shd w:val="clear" w:color="auto" w:fill="FFFFFF" w:themeFill="background1"/>
            <w:vAlign w:val="center"/>
          </w:tcPr>
          <w:p w14:paraId="2F9C9451" w14:textId="5A97DBFE"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2,135,878,317</w:t>
            </w:r>
          </w:p>
        </w:tc>
        <w:tc>
          <w:tcPr>
            <w:tcW w:w="1560" w:type="dxa"/>
            <w:shd w:val="clear" w:color="auto" w:fill="FFFFFF" w:themeFill="background1"/>
            <w:vAlign w:val="center"/>
          </w:tcPr>
          <w:p w14:paraId="24F2A1CC" w14:textId="0EDF81BC"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3,007,665,385</w:t>
            </w:r>
          </w:p>
        </w:tc>
      </w:tr>
    </w:tbl>
    <w:p w14:paraId="2B53C530"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其他说明：</w:t>
      </w:r>
    </w:p>
    <w:tbl>
      <w:tblPr>
        <w:tblW w:w="4929" w:type="pct"/>
        <w:tblInd w:w="1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0" w:type="dxa"/>
          <w:right w:w="0" w:type="dxa"/>
        </w:tblCellMar>
        <w:tblLook w:val="04A0" w:firstRow="1" w:lastRow="0" w:firstColumn="1" w:lastColumn="0" w:noHBand="0" w:noVBand="1"/>
      </w:tblPr>
      <w:tblGrid>
        <w:gridCol w:w="1589"/>
        <w:gridCol w:w="1356"/>
        <w:gridCol w:w="750"/>
        <w:gridCol w:w="591"/>
        <w:gridCol w:w="1464"/>
        <w:gridCol w:w="634"/>
        <w:gridCol w:w="1466"/>
        <w:gridCol w:w="1644"/>
      </w:tblGrid>
      <w:tr w:rsidR="00E72F0C" w:rsidRPr="005C40FC" w14:paraId="2BC65048" w14:textId="77777777" w:rsidTr="00B158CE">
        <w:trPr>
          <w:divId w:val="135923130"/>
          <w:trHeight w:val="314"/>
        </w:trPr>
        <w:tc>
          <w:tcPr>
            <w:tcW w:w="837" w:type="pct"/>
            <w:vMerge w:val="restart"/>
            <w:shd w:val="clear" w:color="auto" w:fill="FFFFFF" w:themeFill="background1"/>
            <w:noWrap/>
            <w:tcMar>
              <w:top w:w="12" w:type="dxa"/>
              <w:left w:w="12" w:type="dxa"/>
              <w:bottom w:w="0" w:type="dxa"/>
              <w:right w:w="12" w:type="dxa"/>
            </w:tcMar>
            <w:vAlign w:val="center"/>
            <w:hideMark/>
          </w:tcPr>
          <w:p w14:paraId="47C08CC4" w14:textId="77777777" w:rsidR="00E72F0C" w:rsidRPr="005C40FC"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5C40FC">
              <w:rPr>
                <w:rFonts w:asciiTheme="minorEastAsia" w:eastAsiaTheme="minorEastAsia" w:hAnsiTheme="minorEastAsia" w:cs="Times New Roman" w:hint="eastAsia"/>
                <w:color w:val="000000"/>
                <w:sz w:val="18"/>
                <w:szCs w:val="18"/>
              </w:rPr>
              <w:t>项目</w:t>
            </w:r>
          </w:p>
        </w:tc>
        <w:tc>
          <w:tcPr>
            <w:tcW w:w="714" w:type="pct"/>
            <w:vMerge w:val="restart"/>
            <w:shd w:val="clear" w:color="auto" w:fill="FFFFFF" w:themeFill="background1"/>
            <w:noWrap/>
            <w:tcMar>
              <w:top w:w="12" w:type="dxa"/>
              <w:left w:w="12" w:type="dxa"/>
              <w:bottom w:w="0" w:type="dxa"/>
              <w:right w:w="12" w:type="dxa"/>
            </w:tcMar>
            <w:vAlign w:val="center"/>
            <w:hideMark/>
          </w:tcPr>
          <w:p w14:paraId="40E51C3C" w14:textId="77777777" w:rsidR="00E72F0C" w:rsidRPr="005C40FC"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5C40FC">
              <w:rPr>
                <w:rFonts w:asciiTheme="minorEastAsia" w:eastAsiaTheme="minorEastAsia" w:hAnsiTheme="minorEastAsia" w:cs="Times New Roman" w:hint="eastAsia"/>
                <w:color w:val="000000"/>
                <w:sz w:val="18"/>
                <w:szCs w:val="18"/>
              </w:rPr>
              <w:t>期初余额</w:t>
            </w:r>
          </w:p>
        </w:tc>
        <w:tc>
          <w:tcPr>
            <w:tcW w:w="2583" w:type="pct"/>
            <w:gridSpan w:val="5"/>
            <w:shd w:val="clear" w:color="auto" w:fill="FFFFFF" w:themeFill="background1"/>
            <w:noWrap/>
            <w:tcMar>
              <w:top w:w="12" w:type="dxa"/>
              <w:left w:w="12" w:type="dxa"/>
              <w:bottom w:w="0" w:type="dxa"/>
              <w:right w:w="12" w:type="dxa"/>
            </w:tcMar>
            <w:vAlign w:val="center"/>
            <w:hideMark/>
          </w:tcPr>
          <w:p w14:paraId="30790C41" w14:textId="77777777" w:rsidR="00E72F0C" w:rsidRPr="005C40FC"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5C40FC">
              <w:rPr>
                <w:rFonts w:asciiTheme="minorEastAsia" w:eastAsiaTheme="minorEastAsia" w:hAnsiTheme="minorEastAsia" w:cs="Times New Roman" w:hint="eastAsia"/>
                <w:color w:val="000000"/>
                <w:sz w:val="18"/>
                <w:szCs w:val="18"/>
              </w:rPr>
              <w:t>本期增减变动（＋、－）</w:t>
            </w:r>
          </w:p>
        </w:tc>
        <w:tc>
          <w:tcPr>
            <w:tcW w:w="866" w:type="pct"/>
            <w:vMerge w:val="restart"/>
            <w:shd w:val="clear" w:color="auto" w:fill="FFFFFF" w:themeFill="background1"/>
            <w:noWrap/>
            <w:tcMar>
              <w:top w:w="12" w:type="dxa"/>
              <w:left w:w="12" w:type="dxa"/>
              <w:bottom w:w="0" w:type="dxa"/>
              <w:right w:w="12" w:type="dxa"/>
            </w:tcMar>
            <w:vAlign w:val="center"/>
            <w:hideMark/>
          </w:tcPr>
          <w:p w14:paraId="2ED7E704" w14:textId="77777777" w:rsidR="00E72F0C" w:rsidRPr="005C40FC"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5C40FC">
              <w:rPr>
                <w:rFonts w:asciiTheme="minorEastAsia" w:eastAsiaTheme="minorEastAsia" w:hAnsiTheme="minorEastAsia" w:cs="Times New Roman" w:hint="eastAsia"/>
                <w:color w:val="000000"/>
                <w:sz w:val="18"/>
                <w:szCs w:val="18"/>
              </w:rPr>
              <w:t>期末余额</w:t>
            </w:r>
          </w:p>
        </w:tc>
      </w:tr>
      <w:tr w:rsidR="00E72F0C" w:rsidRPr="005C40FC" w14:paraId="621504EC" w14:textId="77777777" w:rsidTr="00B158CE">
        <w:trPr>
          <w:divId w:val="135923130"/>
          <w:trHeight w:val="314"/>
        </w:trPr>
        <w:tc>
          <w:tcPr>
            <w:tcW w:w="837" w:type="pct"/>
            <w:vMerge/>
            <w:shd w:val="clear" w:color="auto" w:fill="FFFFFF" w:themeFill="background1"/>
            <w:vAlign w:val="center"/>
            <w:hideMark/>
          </w:tcPr>
          <w:p w14:paraId="7202AD19" w14:textId="77777777" w:rsidR="00E72F0C" w:rsidRPr="005C40FC" w:rsidRDefault="00E72F0C">
            <w:pPr>
              <w:rPr>
                <w:rFonts w:asciiTheme="minorEastAsia" w:hAnsiTheme="minorEastAsia" w:cs="Times New Roman" w:hint="eastAsia"/>
                <w:szCs w:val="21"/>
              </w:rPr>
            </w:pPr>
          </w:p>
        </w:tc>
        <w:tc>
          <w:tcPr>
            <w:tcW w:w="0" w:type="auto"/>
            <w:vMerge/>
            <w:shd w:val="clear" w:color="auto" w:fill="FFFFFF" w:themeFill="background1"/>
            <w:vAlign w:val="center"/>
            <w:hideMark/>
          </w:tcPr>
          <w:p w14:paraId="6BB79B34" w14:textId="77777777" w:rsidR="00E72F0C" w:rsidRPr="005C40FC" w:rsidRDefault="00E72F0C">
            <w:pPr>
              <w:rPr>
                <w:rFonts w:asciiTheme="minorEastAsia" w:hAnsiTheme="minorEastAsia" w:cs="Times New Roman" w:hint="eastAsia"/>
                <w:szCs w:val="21"/>
              </w:rPr>
            </w:pPr>
          </w:p>
        </w:tc>
        <w:tc>
          <w:tcPr>
            <w:tcW w:w="395" w:type="pct"/>
            <w:shd w:val="clear" w:color="auto" w:fill="FFFFFF" w:themeFill="background1"/>
            <w:noWrap/>
            <w:tcMar>
              <w:top w:w="12" w:type="dxa"/>
              <w:left w:w="12" w:type="dxa"/>
              <w:bottom w:w="0" w:type="dxa"/>
              <w:right w:w="12" w:type="dxa"/>
            </w:tcMar>
            <w:vAlign w:val="center"/>
            <w:hideMark/>
          </w:tcPr>
          <w:p w14:paraId="7DCA154B" w14:textId="77777777" w:rsidR="00E72F0C" w:rsidRPr="005C40FC"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5C40FC">
              <w:rPr>
                <w:rFonts w:asciiTheme="minorEastAsia" w:eastAsiaTheme="minorEastAsia" w:hAnsiTheme="minorEastAsia" w:cs="Times New Roman" w:hint="eastAsia"/>
                <w:color w:val="000000"/>
                <w:sz w:val="18"/>
                <w:szCs w:val="18"/>
              </w:rPr>
              <w:t>发行新股</w:t>
            </w:r>
          </w:p>
        </w:tc>
        <w:tc>
          <w:tcPr>
            <w:tcW w:w="311" w:type="pct"/>
            <w:shd w:val="clear" w:color="auto" w:fill="FFFFFF" w:themeFill="background1"/>
            <w:noWrap/>
            <w:tcMar>
              <w:top w:w="12" w:type="dxa"/>
              <w:left w:w="12" w:type="dxa"/>
              <w:bottom w:w="0" w:type="dxa"/>
              <w:right w:w="12" w:type="dxa"/>
            </w:tcMar>
            <w:vAlign w:val="center"/>
            <w:hideMark/>
          </w:tcPr>
          <w:p w14:paraId="4C9FE4BE" w14:textId="77777777" w:rsidR="00E72F0C" w:rsidRPr="005C40FC"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5C40FC">
              <w:rPr>
                <w:rFonts w:asciiTheme="minorEastAsia" w:eastAsiaTheme="minorEastAsia" w:hAnsiTheme="minorEastAsia" w:cs="Times New Roman" w:hint="eastAsia"/>
                <w:color w:val="000000"/>
                <w:sz w:val="18"/>
                <w:szCs w:val="18"/>
              </w:rPr>
              <w:t>送股</w:t>
            </w:r>
          </w:p>
        </w:tc>
        <w:tc>
          <w:tcPr>
            <w:tcW w:w="771" w:type="pct"/>
            <w:shd w:val="clear" w:color="auto" w:fill="FFFFFF" w:themeFill="background1"/>
            <w:noWrap/>
            <w:tcMar>
              <w:top w:w="12" w:type="dxa"/>
              <w:left w:w="12" w:type="dxa"/>
              <w:bottom w:w="0" w:type="dxa"/>
              <w:right w:w="12" w:type="dxa"/>
            </w:tcMar>
            <w:vAlign w:val="center"/>
            <w:hideMark/>
          </w:tcPr>
          <w:p w14:paraId="2D1728AA" w14:textId="77777777" w:rsidR="00E72F0C" w:rsidRPr="005C40FC"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5C40FC">
              <w:rPr>
                <w:rFonts w:asciiTheme="minorEastAsia" w:eastAsiaTheme="minorEastAsia" w:hAnsiTheme="minorEastAsia" w:cs="Times New Roman" w:hint="eastAsia"/>
                <w:color w:val="000000"/>
                <w:sz w:val="18"/>
                <w:szCs w:val="18"/>
              </w:rPr>
              <w:t>公积金转股</w:t>
            </w:r>
          </w:p>
        </w:tc>
        <w:tc>
          <w:tcPr>
            <w:tcW w:w="334" w:type="pct"/>
            <w:shd w:val="clear" w:color="auto" w:fill="FFFFFF" w:themeFill="background1"/>
            <w:noWrap/>
            <w:tcMar>
              <w:top w:w="12" w:type="dxa"/>
              <w:left w:w="12" w:type="dxa"/>
              <w:bottom w:w="0" w:type="dxa"/>
              <w:right w:w="12" w:type="dxa"/>
            </w:tcMar>
            <w:vAlign w:val="center"/>
            <w:hideMark/>
          </w:tcPr>
          <w:p w14:paraId="6C7FBADA" w14:textId="77777777" w:rsidR="00E72F0C" w:rsidRPr="005C40FC"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5C40FC">
              <w:rPr>
                <w:rFonts w:asciiTheme="minorEastAsia" w:eastAsiaTheme="minorEastAsia" w:hAnsiTheme="minorEastAsia" w:cs="Times New Roman" w:hint="eastAsia"/>
                <w:color w:val="000000"/>
                <w:sz w:val="18"/>
                <w:szCs w:val="18"/>
              </w:rPr>
              <w:t>其他</w:t>
            </w:r>
          </w:p>
        </w:tc>
        <w:tc>
          <w:tcPr>
            <w:tcW w:w="772" w:type="pct"/>
            <w:shd w:val="clear" w:color="auto" w:fill="FFFFFF" w:themeFill="background1"/>
            <w:noWrap/>
            <w:tcMar>
              <w:top w:w="12" w:type="dxa"/>
              <w:left w:w="12" w:type="dxa"/>
              <w:bottom w:w="0" w:type="dxa"/>
              <w:right w:w="12" w:type="dxa"/>
            </w:tcMar>
            <w:vAlign w:val="center"/>
            <w:hideMark/>
          </w:tcPr>
          <w:p w14:paraId="7B3026C4" w14:textId="77777777" w:rsidR="00E72F0C" w:rsidRPr="005C40FC"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5C40FC">
              <w:rPr>
                <w:rFonts w:asciiTheme="minorEastAsia" w:eastAsiaTheme="minorEastAsia" w:hAnsiTheme="minorEastAsia" w:cs="Times New Roman" w:hint="eastAsia"/>
                <w:color w:val="000000"/>
                <w:sz w:val="18"/>
                <w:szCs w:val="18"/>
              </w:rPr>
              <w:t>小计</w:t>
            </w:r>
          </w:p>
        </w:tc>
        <w:tc>
          <w:tcPr>
            <w:tcW w:w="866" w:type="pct"/>
            <w:vMerge/>
            <w:shd w:val="clear" w:color="auto" w:fill="FFFFFF" w:themeFill="background1"/>
            <w:vAlign w:val="center"/>
            <w:hideMark/>
          </w:tcPr>
          <w:p w14:paraId="014C2ADD" w14:textId="77777777" w:rsidR="00E72F0C" w:rsidRPr="005C40FC" w:rsidRDefault="00E72F0C">
            <w:pPr>
              <w:rPr>
                <w:rFonts w:asciiTheme="minorEastAsia" w:hAnsiTheme="minorEastAsia" w:cs="Times New Roman" w:hint="eastAsia"/>
                <w:szCs w:val="21"/>
              </w:rPr>
            </w:pPr>
          </w:p>
        </w:tc>
      </w:tr>
      <w:tr w:rsidR="00E72F0C" w:rsidRPr="005C40FC" w14:paraId="4D23F5FE" w14:textId="77777777" w:rsidTr="00B158CE">
        <w:trPr>
          <w:divId w:val="135923130"/>
          <w:trHeight w:val="314"/>
        </w:trPr>
        <w:tc>
          <w:tcPr>
            <w:tcW w:w="837" w:type="pct"/>
            <w:shd w:val="clear" w:color="auto" w:fill="FFFFFF" w:themeFill="background1"/>
            <w:noWrap/>
            <w:tcMar>
              <w:top w:w="12" w:type="dxa"/>
              <w:left w:w="12" w:type="dxa"/>
              <w:bottom w:w="0" w:type="dxa"/>
              <w:right w:w="12" w:type="dxa"/>
            </w:tcMar>
            <w:vAlign w:val="center"/>
            <w:hideMark/>
          </w:tcPr>
          <w:p w14:paraId="5B6ACB1E" w14:textId="77777777" w:rsidR="00E72F0C" w:rsidRPr="005C40FC"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5C40FC">
              <w:rPr>
                <w:rFonts w:asciiTheme="minorEastAsia" w:eastAsiaTheme="minorEastAsia" w:hAnsiTheme="minorEastAsia" w:cs="Times New Roman" w:hint="eastAsia"/>
                <w:color w:val="000000"/>
                <w:sz w:val="18"/>
                <w:szCs w:val="18"/>
              </w:rPr>
              <w:t>有限售条件</w:t>
            </w:r>
          </w:p>
        </w:tc>
        <w:tc>
          <w:tcPr>
            <w:tcW w:w="714" w:type="pct"/>
            <w:shd w:val="clear" w:color="auto" w:fill="FFFFFF" w:themeFill="background1"/>
            <w:noWrap/>
            <w:tcMar>
              <w:top w:w="12" w:type="dxa"/>
              <w:left w:w="12" w:type="dxa"/>
              <w:bottom w:w="0" w:type="dxa"/>
              <w:right w:w="12" w:type="dxa"/>
            </w:tcMar>
            <w:vAlign w:val="center"/>
            <w:hideMark/>
          </w:tcPr>
          <w:p w14:paraId="2AFF2D18" w14:textId="77777777" w:rsidR="00E72F0C" w:rsidRPr="005C40FC" w:rsidRDefault="00107901">
            <w:pPr>
              <w:pStyle w:val="a3"/>
              <w:spacing w:before="0" w:beforeAutospacing="0" w:after="0" w:afterAutospacing="0"/>
              <w:jc w:val="right"/>
              <w:textAlignment w:val="bottom"/>
              <w:rPr>
                <w:rFonts w:asciiTheme="minorEastAsia" w:eastAsiaTheme="minorEastAsia" w:hAnsiTheme="minorEastAsia" w:cs="Times New Roman" w:hint="eastAsia"/>
                <w:sz w:val="21"/>
                <w:szCs w:val="21"/>
              </w:rPr>
            </w:pPr>
            <w:r w:rsidRPr="005C40FC">
              <w:rPr>
                <w:rFonts w:asciiTheme="minorEastAsia" w:eastAsiaTheme="minorEastAsia" w:hAnsiTheme="minorEastAsia" w:cs="Arial"/>
                <w:color w:val="000000"/>
                <w:sz w:val="18"/>
                <w:szCs w:val="18"/>
              </w:rPr>
              <w:t xml:space="preserve">4,029,869.00 </w:t>
            </w:r>
          </w:p>
        </w:tc>
        <w:tc>
          <w:tcPr>
            <w:tcW w:w="395" w:type="pct"/>
            <w:shd w:val="clear" w:color="auto" w:fill="FFFFFF" w:themeFill="background1"/>
            <w:noWrap/>
            <w:tcMar>
              <w:top w:w="12" w:type="dxa"/>
              <w:left w:w="12" w:type="dxa"/>
              <w:bottom w:w="0" w:type="dxa"/>
              <w:right w:w="12" w:type="dxa"/>
            </w:tcMar>
            <w:vAlign w:val="center"/>
            <w:hideMark/>
          </w:tcPr>
          <w:p w14:paraId="1A71BA7A" w14:textId="77777777" w:rsidR="00E72F0C" w:rsidRPr="005C40FC"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5C40FC">
              <w:rPr>
                <w:rFonts w:asciiTheme="minorEastAsia" w:eastAsiaTheme="minorEastAsia" w:hAnsiTheme="minorEastAsia" w:cs="Arial"/>
                <w:color w:val="000000"/>
                <w:sz w:val="18"/>
                <w:szCs w:val="18"/>
              </w:rPr>
              <w:t> </w:t>
            </w:r>
          </w:p>
        </w:tc>
        <w:tc>
          <w:tcPr>
            <w:tcW w:w="311" w:type="pct"/>
            <w:shd w:val="clear" w:color="auto" w:fill="FFFFFF" w:themeFill="background1"/>
            <w:noWrap/>
            <w:tcMar>
              <w:top w:w="12" w:type="dxa"/>
              <w:left w:w="12" w:type="dxa"/>
              <w:bottom w:w="0" w:type="dxa"/>
              <w:right w:w="12" w:type="dxa"/>
            </w:tcMar>
            <w:vAlign w:val="center"/>
            <w:hideMark/>
          </w:tcPr>
          <w:p w14:paraId="180B9C1C" w14:textId="77777777" w:rsidR="00E72F0C" w:rsidRPr="005C40FC"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5C40FC">
              <w:rPr>
                <w:rFonts w:asciiTheme="minorEastAsia" w:eastAsiaTheme="minorEastAsia" w:hAnsiTheme="minorEastAsia" w:cs="Arial"/>
                <w:color w:val="000000"/>
                <w:sz w:val="18"/>
                <w:szCs w:val="18"/>
              </w:rPr>
              <w:t> </w:t>
            </w:r>
          </w:p>
        </w:tc>
        <w:tc>
          <w:tcPr>
            <w:tcW w:w="771" w:type="pct"/>
            <w:shd w:val="clear" w:color="auto" w:fill="FFFFFF" w:themeFill="background1"/>
            <w:noWrap/>
            <w:tcMar>
              <w:top w:w="12" w:type="dxa"/>
              <w:left w:w="12" w:type="dxa"/>
              <w:bottom w:w="0" w:type="dxa"/>
              <w:right w:w="12" w:type="dxa"/>
            </w:tcMar>
            <w:vAlign w:val="center"/>
            <w:hideMark/>
          </w:tcPr>
          <w:p w14:paraId="1070A415" w14:textId="77777777" w:rsidR="00E72F0C" w:rsidRPr="005C40FC"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5C40FC">
              <w:rPr>
                <w:rFonts w:asciiTheme="minorEastAsia" w:eastAsiaTheme="minorEastAsia" w:hAnsiTheme="minorEastAsia" w:cs="Arial"/>
                <w:sz w:val="18"/>
                <w:szCs w:val="18"/>
              </w:rPr>
              <w:t xml:space="preserve">1,788,013,739.00 </w:t>
            </w:r>
          </w:p>
        </w:tc>
        <w:tc>
          <w:tcPr>
            <w:tcW w:w="334" w:type="pct"/>
            <w:shd w:val="clear" w:color="auto" w:fill="FFFFFF" w:themeFill="background1"/>
            <w:noWrap/>
            <w:tcMar>
              <w:top w:w="12" w:type="dxa"/>
              <w:left w:w="12" w:type="dxa"/>
              <w:bottom w:w="0" w:type="dxa"/>
              <w:right w:w="12" w:type="dxa"/>
            </w:tcMar>
            <w:vAlign w:val="center"/>
            <w:hideMark/>
          </w:tcPr>
          <w:p w14:paraId="4C537F29" w14:textId="77777777" w:rsidR="00E72F0C" w:rsidRPr="005C40FC" w:rsidRDefault="00107901">
            <w:pPr>
              <w:pStyle w:val="a3"/>
              <w:spacing w:before="0" w:beforeAutospacing="0" w:after="0" w:afterAutospacing="0"/>
              <w:jc w:val="right"/>
              <w:textAlignment w:val="bottom"/>
              <w:rPr>
                <w:rFonts w:asciiTheme="minorEastAsia" w:eastAsiaTheme="minorEastAsia" w:hAnsiTheme="minorEastAsia" w:cs="Times New Roman" w:hint="eastAsia"/>
                <w:sz w:val="21"/>
                <w:szCs w:val="21"/>
              </w:rPr>
            </w:pPr>
            <w:r w:rsidRPr="005C40FC">
              <w:rPr>
                <w:rFonts w:asciiTheme="minorEastAsia" w:eastAsiaTheme="minorEastAsia" w:hAnsiTheme="minorEastAsia" w:cs="Arial"/>
                <w:color w:val="000000"/>
                <w:sz w:val="18"/>
                <w:szCs w:val="18"/>
              </w:rPr>
              <w:t> </w:t>
            </w:r>
          </w:p>
        </w:tc>
        <w:tc>
          <w:tcPr>
            <w:tcW w:w="772" w:type="pct"/>
            <w:shd w:val="clear" w:color="auto" w:fill="FFFFFF" w:themeFill="background1"/>
            <w:noWrap/>
            <w:tcMar>
              <w:top w:w="12" w:type="dxa"/>
              <w:left w:w="12" w:type="dxa"/>
              <w:bottom w:w="0" w:type="dxa"/>
              <w:right w:w="12" w:type="dxa"/>
            </w:tcMar>
            <w:vAlign w:val="center"/>
            <w:hideMark/>
          </w:tcPr>
          <w:p w14:paraId="3A423750" w14:textId="77777777" w:rsidR="00E72F0C" w:rsidRPr="005C40FC"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5C40FC">
              <w:rPr>
                <w:rFonts w:asciiTheme="minorEastAsia" w:eastAsiaTheme="minorEastAsia" w:hAnsiTheme="minorEastAsia" w:cs="Arial"/>
                <w:sz w:val="18"/>
                <w:szCs w:val="18"/>
              </w:rPr>
              <w:t xml:space="preserve">1,788,013,739.00 </w:t>
            </w:r>
          </w:p>
        </w:tc>
        <w:tc>
          <w:tcPr>
            <w:tcW w:w="866" w:type="pct"/>
            <w:shd w:val="clear" w:color="auto" w:fill="FFFFFF" w:themeFill="background1"/>
            <w:noWrap/>
            <w:tcMar>
              <w:top w:w="12" w:type="dxa"/>
              <w:left w:w="12" w:type="dxa"/>
              <w:bottom w:w="0" w:type="dxa"/>
              <w:right w:w="12" w:type="dxa"/>
            </w:tcMar>
            <w:vAlign w:val="center"/>
            <w:hideMark/>
          </w:tcPr>
          <w:p w14:paraId="1950D5BA" w14:textId="77777777" w:rsidR="00E72F0C" w:rsidRPr="005C40FC"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5C40FC">
              <w:rPr>
                <w:rFonts w:asciiTheme="minorEastAsia" w:eastAsiaTheme="minorEastAsia" w:hAnsiTheme="minorEastAsia" w:cs="Arial"/>
                <w:sz w:val="18"/>
                <w:szCs w:val="18"/>
              </w:rPr>
              <w:t xml:space="preserve">1,792,043,608.00 </w:t>
            </w:r>
          </w:p>
        </w:tc>
      </w:tr>
      <w:tr w:rsidR="00E72F0C" w:rsidRPr="005C40FC" w14:paraId="51863D53" w14:textId="77777777" w:rsidTr="00B158CE">
        <w:trPr>
          <w:divId w:val="135923130"/>
          <w:trHeight w:val="314"/>
        </w:trPr>
        <w:tc>
          <w:tcPr>
            <w:tcW w:w="837" w:type="pct"/>
            <w:shd w:val="clear" w:color="auto" w:fill="FFFFFF" w:themeFill="background1"/>
            <w:noWrap/>
            <w:tcMar>
              <w:top w:w="12" w:type="dxa"/>
              <w:left w:w="12" w:type="dxa"/>
              <w:bottom w:w="0" w:type="dxa"/>
              <w:right w:w="12" w:type="dxa"/>
            </w:tcMar>
            <w:vAlign w:val="center"/>
            <w:hideMark/>
          </w:tcPr>
          <w:p w14:paraId="77A0FEAA" w14:textId="77777777" w:rsidR="00E72F0C" w:rsidRPr="005C40FC"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5C40FC">
              <w:rPr>
                <w:rFonts w:asciiTheme="minorEastAsia" w:eastAsiaTheme="minorEastAsia" w:hAnsiTheme="minorEastAsia" w:cs="Times New Roman" w:hint="eastAsia"/>
                <w:color w:val="000000"/>
                <w:sz w:val="18"/>
                <w:szCs w:val="18"/>
              </w:rPr>
              <w:t>无限售条件</w:t>
            </w:r>
          </w:p>
        </w:tc>
        <w:tc>
          <w:tcPr>
            <w:tcW w:w="714" w:type="pct"/>
            <w:shd w:val="clear" w:color="auto" w:fill="FFFFFF" w:themeFill="background1"/>
            <w:noWrap/>
            <w:tcMar>
              <w:top w:w="12" w:type="dxa"/>
              <w:left w:w="12" w:type="dxa"/>
              <w:bottom w:w="0" w:type="dxa"/>
              <w:right w:w="12" w:type="dxa"/>
            </w:tcMar>
            <w:vAlign w:val="center"/>
            <w:hideMark/>
          </w:tcPr>
          <w:p w14:paraId="7656C773" w14:textId="77777777" w:rsidR="00E72F0C" w:rsidRPr="005C40FC" w:rsidRDefault="00107901">
            <w:pPr>
              <w:pStyle w:val="a3"/>
              <w:spacing w:before="0" w:beforeAutospacing="0" w:after="0" w:afterAutospacing="0"/>
              <w:jc w:val="right"/>
              <w:textAlignment w:val="bottom"/>
              <w:rPr>
                <w:rFonts w:asciiTheme="minorEastAsia" w:eastAsiaTheme="minorEastAsia" w:hAnsiTheme="minorEastAsia" w:cs="Times New Roman" w:hint="eastAsia"/>
                <w:sz w:val="21"/>
                <w:szCs w:val="21"/>
              </w:rPr>
            </w:pPr>
            <w:r w:rsidRPr="005C40FC">
              <w:rPr>
                <w:rFonts w:asciiTheme="minorEastAsia" w:eastAsiaTheme="minorEastAsia" w:hAnsiTheme="minorEastAsia" w:cs="Arial"/>
                <w:color w:val="000000"/>
                <w:sz w:val="18"/>
                <w:szCs w:val="18"/>
              </w:rPr>
              <w:t xml:space="preserve">867,757,199.00 </w:t>
            </w:r>
          </w:p>
        </w:tc>
        <w:tc>
          <w:tcPr>
            <w:tcW w:w="395" w:type="pct"/>
            <w:shd w:val="clear" w:color="auto" w:fill="FFFFFF" w:themeFill="background1"/>
            <w:noWrap/>
            <w:tcMar>
              <w:top w:w="12" w:type="dxa"/>
              <w:left w:w="12" w:type="dxa"/>
              <w:bottom w:w="0" w:type="dxa"/>
              <w:right w:w="12" w:type="dxa"/>
            </w:tcMar>
            <w:vAlign w:val="center"/>
            <w:hideMark/>
          </w:tcPr>
          <w:p w14:paraId="7A2E852E" w14:textId="77777777" w:rsidR="00E72F0C" w:rsidRPr="005C40FC"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5C40FC">
              <w:rPr>
                <w:rFonts w:asciiTheme="minorEastAsia" w:eastAsiaTheme="minorEastAsia" w:hAnsiTheme="minorEastAsia" w:cs="Arial"/>
                <w:color w:val="000000"/>
                <w:sz w:val="18"/>
                <w:szCs w:val="18"/>
              </w:rPr>
              <w:t> </w:t>
            </w:r>
          </w:p>
        </w:tc>
        <w:tc>
          <w:tcPr>
            <w:tcW w:w="311" w:type="pct"/>
            <w:shd w:val="clear" w:color="auto" w:fill="FFFFFF" w:themeFill="background1"/>
            <w:noWrap/>
            <w:tcMar>
              <w:top w:w="12" w:type="dxa"/>
              <w:left w:w="12" w:type="dxa"/>
              <w:bottom w:w="0" w:type="dxa"/>
              <w:right w:w="12" w:type="dxa"/>
            </w:tcMar>
            <w:vAlign w:val="center"/>
            <w:hideMark/>
          </w:tcPr>
          <w:p w14:paraId="65B82008" w14:textId="77777777" w:rsidR="00E72F0C" w:rsidRPr="005C40FC"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5C40FC">
              <w:rPr>
                <w:rFonts w:asciiTheme="minorEastAsia" w:eastAsiaTheme="minorEastAsia" w:hAnsiTheme="minorEastAsia" w:cs="Arial"/>
                <w:color w:val="000000"/>
                <w:sz w:val="18"/>
                <w:szCs w:val="18"/>
              </w:rPr>
              <w:t> </w:t>
            </w:r>
          </w:p>
        </w:tc>
        <w:tc>
          <w:tcPr>
            <w:tcW w:w="771" w:type="pct"/>
            <w:shd w:val="clear" w:color="auto" w:fill="FFFFFF" w:themeFill="background1"/>
            <w:noWrap/>
            <w:tcMar>
              <w:top w:w="12" w:type="dxa"/>
              <w:left w:w="12" w:type="dxa"/>
              <w:bottom w:w="0" w:type="dxa"/>
              <w:right w:w="12" w:type="dxa"/>
            </w:tcMar>
            <w:vAlign w:val="center"/>
            <w:hideMark/>
          </w:tcPr>
          <w:p w14:paraId="63B1C984" w14:textId="77777777" w:rsidR="00E72F0C" w:rsidRPr="005C40FC"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5C40FC">
              <w:rPr>
                <w:rFonts w:asciiTheme="minorEastAsia" w:eastAsiaTheme="minorEastAsia" w:hAnsiTheme="minorEastAsia" w:cs="Arial"/>
                <w:sz w:val="18"/>
                <w:szCs w:val="18"/>
              </w:rPr>
              <w:t xml:space="preserve">347,864,578.00 </w:t>
            </w:r>
          </w:p>
        </w:tc>
        <w:tc>
          <w:tcPr>
            <w:tcW w:w="334" w:type="pct"/>
            <w:shd w:val="clear" w:color="auto" w:fill="FFFFFF" w:themeFill="background1"/>
            <w:noWrap/>
            <w:tcMar>
              <w:top w:w="12" w:type="dxa"/>
              <w:left w:w="12" w:type="dxa"/>
              <w:bottom w:w="0" w:type="dxa"/>
              <w:right w:w="12" w:type="dxa"/>
            </w:tcMar>
            <w:vAlign w:val="center"/>
            <w:hideMark/>
          </w:tcPr>
          <w:p w14:paraId="368CBB66" w14:textId="77777777" w:rsidR="00E72F0C" w:rsidRPr="005C40FC" w:rsidRDefault="00107901">
            <w:pPr>
              <w:pStyle w:val="a3"/>
              <w:spacing w:before="0" w:beforeAutospacing="0" w:after="0" w:afterAutospacing="0"/>
              <w:jc w:val="right"/>
              <w:textAlignment w:val="bottom"/>
              <w:rPr>
                <w:rFonts w:asciiTheme="minorEastAsia" w:eastAsiaTheme="minorEastAsia" w:hAnsiTheme="minorEastAsia" w:cs="Times New Roman" w:hint="eastAsia"/>
                <w:sz w:val="21"/>
                <w:szCs w:val="21"/>
              </w:rPr>
            </w:pPr>
            <w:r w:rsidRPr="005C40FC">
              <w:rPr>
                <w:rFonts w:asciiTheme="minorEastAsia" w:eastAsiaTheme="minorEastAsia" w:hAnsiTheme="minorEastAsia" w:cs="Arial"/>
                <w:color w:val="000000"/>
                <w:sz w:val="18"/>
                <w:szCs w:val="18"/>
              </w:rPr>
              <w:t> </w:t>
            </w:r>
          </w:p>
        </w:tc>
        <w:tc>
          <w:tcPr>
            <w:tcW w:w="772" w:type="pct"/>
            <w:shd w:val="clear" w:color="auto" w:fill="FFFFFF" w:themeFill="background1"/>
            <w:noWrap/>
            <w:tcMar>
              <w:top w:w="12" w:type="dxa"/>
              <w:left w:w="12" w:type="dxa"/>
              <w:bottom w:w="0" w:type="dxa"/>
              <w:right w:w="12" w:type="dxa"/>
            </w:tcMar>
            <w:vAlign w:val="center"/>
            <w:hideMark/>
          </w:tcPr>
          <w:p w14:paraId="4FFE07DA" w14:textId="77777777" w:rsidR="00E72F0C" w:rsidRPr="005C40FC"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5C40FC">
              <w:rPr>
                <w:rFonts w:asciiTheme="minorEastAsia" w:eastAsiaTheme="minorEastAsia" w:hAnsiTheme="minorEastAsia" w:cs="Arial"/>
                <w:sz w:val="18"/>
                <w:szCs w:val="18"/>
              </w:rPr>
              <w:t xml:space="preserve">347,864,578.00 </w:t>
            </w:r>
          </w:p>
        </w:tc>
        <w:tc>
          <w:tcPr>
            <w:tcW w:w="866" w:type="pct"/>
            <w:shd w:val="clear" w:color="auto" w:fill="FFFFFF" w:themeFill="background1"/>
            <w:noWrap/>
            <w:tcMar>
              <w:top w:w="12" w:type="dxa"/>
              <w:left w:w="12" w:type="dxa"/>
              <w:bottom w:w="0" w:type="dxa"/>
              <w:right w:w="12" w:type="dxa"/>
            </w:tcMar>
            <w:vAlign w:val="center"/>
            <w:hideMark/>
          </w:tcPr>
          <w:p w14:paraId="5F802131" w14:textId="77777777" w:rsidR="00E72F0C" w:rsidRPr="005C40FC"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5C40FC">
              <w:rPr>
                <w:rFonts w:asciiTheme="minorEastAsia" w:eastAsiaTheme="minorEastAsia" w:hAnsiTheme="minorEastAsia" w:cs="Arial"/>
                <w:sz w:val="18"/>
                <w:szCs w:val="18"/>
              </w:rPr>
              <w:t xml:space="preserve">1,215,621,777.00 </w:t>
            </w:r>
          </w:p>
        </w:tc>
      </w:tr>
      <w:tr w:rsidR="00E72F0C" w:rsidRPr="005C40FC" w14:paraId="1CA907F0" w14:textId="77777777" w:rsidTr="00B158CE">
        <w:trPr>
          <w:divId w:val="135923130"/>
          <w:trHeight w:val="329"/>
        </w:trPr>
        <w:tc>
          <w:tcPr>
            <w:tcW w:w="837" w:type="pct"/>
            <w:shd w:val="clear" w:color="auto" w:fill="FFFFFF" w:themeFill="background1"/>
            <w:noWrap/>
            <w:tcMar>
              <w:top w:w="12" w:type="dxa"/>
              <w:left w:w="12" w:type="dxa"/>
              <w:bottom w:w="0" w:type="dxa"/>
              <w:right w:w="12" w:type="dxa"/>
            </w:tcMar>
            <w:vAlign w:val="center"/>
            <w:hideMark/>
          </w:tcPr>
          <w:p w14:paraId="25EB81E7" w14:textId="77777777" w:rsidR="00E72F0C" w:rsidRPr="005C40FC"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5C40FC">
              <w:rPr>
                <w:rFonts w:asciiTheme="minorEastAsia" w:eastAsiaTheme="minorEastAsia" w:hAnsiTheme="minorEastAsia" w:cs="Times New Roman" w:hint="eastAsia"/>
                <w:color w:val="000000"/>
                <w:sz w:val="18"/>
                <w:szCs w:val="18"/>
              </w:rPr>
              <w:t>股份总数</w:t>
            </w:r>
          </w:p>
        </w:tc>
        <w:tc>
          <w:tcPr>
            <w:tcW w:w="714" w:type="pct"/>
            <w:shd w:val="clear" w:color="auto" w:fill="FFFFFF" w:themeFill="background1"/>
            <w:noWrap/>
            <w:tcMar>
              <w:top w:w="12" w:type="dxa"/>
              <w:left w:w="12" w:type="dxa"/>
              <w:bottom w:w="0" w:type="dxa"/>
              <w:right w:w="12" w:type="dxa"/>
            </w:tcMar>
            <w:vAlign w:val="center"/>
            <w:hideMark/>
          </w:tcPr>
          <w:p w14:paraId="56E35235" w14:textId="77777777" w:rsidR="00E72F0C" w:rsidRPr="005C40FC" w:rsidRDefault="00107901">
            <w:pPr>
              <w:pStyle w:val="a3"/>
              <w:spacing w:before="0" w:beforeAutospacing="0" w:after="0" w:afterAutospacing="0"/>
              <w:jc w:val="right"/>
              <w:textAlignment w:val="bottom"/>
              <w:rPr>
                <w:rFonts w:asciiTheme="minorEastAsia" w:eastAsiaTheme="minorEastAsia" w:hAnsiTheme="minorEastAsia" w:cs="Times New Roman" w:hint="eastAsia"/>
                <w:sz w:val="21"/>
                <w:szCs w:val="21"/>
              </w:rPr>
            </w:pPr>
            <w:r w:rsidRPr="005C40FC">
              <w:rPr>
                <w:rFonts w:asciiTheme="minorEastAsia" w:eastAsiaTheme="minorEastAsia" w:hAnsiTheme="minorEastAsia" w:cs="Arial"/>
                <w:color w:val="000000"/>
                <w:sz w:val="18"/>
                <w:szCs w:val="18"/>
              </w:rPr>
              <w:t xml:space="preserve">871,787,068.00 </w:t>
            </w:r>
          </w:p>
        </w:tc>
        <w:tc>
          <w:tcPr>
            <w:tcW w:w="395" w:type="pct"/>
            <w:shd w:val="clear" w:color="auto" w:fill="FFFFFF" w:themeFill="background1"/>
            <w:noWrap/>
            <w:tcMar>
              <w:top w:w="12" w:type="dxa"/>
              <w:left w:w="12" w:type="dxa"/>
              <w:bottom w:w="0" w:type="dxa"/>
              <w:right w:w="12" w:type="dxa"/>
            </w:tcMar>
            <w:vAlign w:val="center"/>
            <w:hideMark/>
          </w:tcPr>
          <w:p w14:paraId="69D5AC8B" w14:textId="77777777" w:rsidR="00E72F0C" w:rsidRPr="005C40FC"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5C40FC">
              <w:rPr>
                <w:rFonts w:asciiTheme="minorEastAsia" w:eastAsiaTheme="minorEastAsia" w:hAnsiTheme="minorEastAsia" w:cs="Arial"/>
                <w:color w:val="000000"/>
                <w:sz w:val="18"/>
                <w:szCs w:val="18"/>
              </w:rPr>
              <w:t> </w:t>
            </w:r>
          </w:p>
        </w:tc>
        <w:tc>
          <w:tcPr>
            <w:tcW w:w="311" w:type="pct"/>
            <w:shd w:val="clear" w:color="auto" w:fill="FFFFFF" w:themeFill="background1"/>
            <w:noWrap/>
            <w:tcMar>
              <w:top w:w="12" w:type="dxa"/>
              <w:left w:w="12" w:type="dxa"/>
              <w:bottom w:w="0" w:type="dxa"/>
              <w:right w:w="12" w:type="dxa"/>
            </w:tcMar>
            <w:vAlign w:val="center"/>
            <w:hideMark/>
          </w:tcPr>
          <w:p w14:paraId="454942E9" w14:textId="77777777" w:rsidR="00E72F0C" w:rsidRPr="005C40FC"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5C40FC">
              <w:rPr>
                <w:rFonts w:asciiTheme="minorEastAsia" w:eastAsiaTheme="minorEastAsia" w:hAnsiTheme="minorEastAsia" w:cs="Arial"/>
                <w:color w:val="000000"/>
                <w:sz w:val="18"/>
                <w:szCs w:val="18"/>
              </w:rPr>
              <w:t> </w:t>
            </w:r>
          </w:p>
        </w:tc>
        <w:tc>
          <w:tcPr>
            <w:tcW w:w="771" w:type="pct"/>
            <w:shd w:val="clear" w:color="auto" w:fill="FFFFFF" w:themeFill="background1"/>
            <w:noWrap/>
            <w:tcMar>
              <w:top w:w="12" w:type="dxa"/>
              <w:left w:w="12" w:type="dxa"/>
              <w:bottom w:w="0" w:type="dxa"/>
              <w:right w:w="12" w:type="dxa"/>
            </w:tcMar>
            <w:vAlign w:val="center"/>
            <w:hideMark/>
          </w:tcPr>
          <w:p w14:paraId="2698CC7F" w14:textId="77777777" w:rsidR="00E72F0C" w:rsidRPr="005C40FC"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5C40FC">
              <w:rPr>
                <w:rFonts w:asciiTheme="minorEastAsia" w:eastAsiaTheme="minorEastAsia" w:hAnsiTheme="minorEastAsia" w:cs="Arial"/>
                <w:sz w:val="18"/>
                <w:szCs w:val="18"/>
              </w:rPr>
              <w:t xml:space="preserve">2,135,878,317.00 </w:t>
            </w:r>
          </w:p>
        </w:tc>
        <w:tc>
          <w:tcPr>
            <w:tcW w:w="334" w:type="pct"/>
            <w:shd w:val="clear" w:color="auto" w:fill="FFFFFF" w:themeFill="background1"/>
            <w:noWrap/>
            <w:tcMar>
              <w:top w:w="12" w:type="dxa"/>
              <w:left w:w="12" w:type="dxa"/>
              <w:bottom w:w="0" w:type="dxa"/>
              <w:right w:w="12" w:type="dxa"/>
            </w:tcMar>
            <w:vAlign w:val="center"/>
            <w:hideMark/>
          </w:tcPr>
          <w:p w14:paraId="4EE9F489" w14:textId="77777777" w:rsidR="00E72F0C" w:rsidRPr="005C40FC"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5C40FC">
              <w:rPr>
                <w:rFonts w:asciiTheme="minorEastAsia" w:eastAsiaTheme="minorEastAsia" w:hAnsiTheme="minorEastAsia" w:cs="Arial"/>
                <w:color w:val="000000"/>
                <w:sz w:val="18"/>
                <w:szCs w:val="18"/>
              </w:rPr>
              <w:t> </w:t>
            </w:r>
          </w:p>
        </w:tc>
        <w:tc>
          <w:tcPr>
            <w:tcW w:w="772" w:type="pct"/>
            <w:shd w:val="clear" w:color="auto" w:fill="FFFFFF" w:themeFill="background1"/>
            <w:noWrap/>
            <w:tcMar>
              <w:top w:w="12" w:type="dxa"/>
              <w:left w:w="12" w:type="dxa"/>
              <w:bottom w:w="0" w:type="dxa"/>
              <w:right w:w="12" w:type="dxa"/>
            </w:tcMar>
            <w:vAlign w:val="center"/>
            <w:hideMark/>
          </w:tcPr>
          <w:p w14:paraId="005701CB" w14:textId="77777777" w:rsidR="00E72F0C" w:rsidRPr="005C40FC"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5C40FC">
              <w:rPr>
                <w:rFonts w:asciiTheme="minorEastAsia" w:eastAsiaTheme="minorEastAsia" w:hAnsiTheme="minorEastAsia" w:cs="Arial"/>
                <w:sz w:val="18"/>
                <w:szCs w:val="18"/>
              </w:rPr>
              <w:t xml:space="preserve">2,135,878,317.00 </w:t>
            </w:r>
          </w:p>
        </w:tc>
        <w:tc>
          <w:tcPr>
            <w:tcW w:w="866" w:type="pct"/>
            <w:shd w:val="clear" w:color="auto" w:fill="FFFFFF" w:themeFill="background1"/>
            <w:noWrap/>
            <w:tcMar>
              <w:top w:w="12" w:type="dxa"/>
              <w:left w:w="12" w:type="dxa"/>
              <w:bottom w:w="0" w:type="dxa"/>
              <w:right w:w="12" w:type="dxa"/>
            </w:tcMar>
            <w:vAlign w:val="center"/>
            <w:hideMark/>
          </w:tcPr>
          <w:p w14:paraId="24EC69F1" w14:textId="77777777" w:rsidR="00E72F0C" w:rsidRPr="005C40FC"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5C40FC">
              <w:rPr>
                <w:rFonts w:asciiTheme="minorEastAsia" w:eastAsiaTheme="minorEastAsia" w:hAnsiTheme="minorEastAsia" w:cs="Arial"/>
                <w:sz w:val="18"/>
                <w:szCs w:val="18"/>
              </w:rPr>
              <w:t>3,007,665,385.00 </w:t>
            </w:r>
          </w:p>
        </w:tc>
      </w:tr>
    </w:tbl>
    <w:p w14:paraId="1BA24BB2" w14:textId="77777777" w:rsidR="00E72F0C" w:rsidRDefault="00107901" w:rsidP="00F40E85">
      <w:pPr>
        <w:pStyle w:val="a3"/>
        <w:spacing w:before="0" w:beforeAutospacing="0" w:after="0" w:afterAutospacing="0"/>
        <w:jc w:val="both"/>
        <w:divId w:val="135923130"/>
        <w:rPr>
          <w:rFonts w:hint="eastAsia"/>
          <w:sz w:val="18"/>
          <w:szCs w:val="18"/>
        </w:rPr>
      </w:pPr>
      <w:r>
        <w:rPr>
          <w:rFonts w:hint="eastAsia"/>
          <w:sz w:val="18"/>
          <w:szCs w:val="18"/>
        </w:rPr>
        <w:t>  根据中国证监会《上市公司董事、监事和高级管理人员所持本公司股份及其变动管理规则》和深圳证券交易所《上市公司董事、监事和高级管理人员所持本公司股份及其变动业务指引》的相关规定，截至本报告期末，高管锁定股4,029,869股。</w:t>
      </w:r>
    </w:p>
    <w:p w14:paraId="3C3EA669" w14:textId="77777777" w:rsidR="00632E5B" w:rsidRDefault="00107901">
      <w:pPr>
        <w:pStyle w:val="3"/>
        <w:spacing w:line="280" w:lineRule="exact"/>
        <w:jc w:val="left"/>
        <w:rPr>
          <w:rFonts w:ascii="宋体" w:hAnsi="宋体" w:cs="宋体" w:hint="eastAsia"/>
          <w:b/>
          <w:bCs/>
        </w:rPr>
      </w:pPr>
      <w:bookmarkStart w:id="304" w:name="_Toc989191"/>
      <w:r>
        <w:rPr>
          <w:rFonts w:ascii="宋体" w:hAnsi="宋体" w:cs="宋体"/>
          <w:b/>
          <w:bCs/>
        </w:rPr>
        <w:t>38、资本公积</w:t>
      </w:r>
      <w:bookmarkEnd w:id="304"/>
    </w:p>
    <w:p w14:paraId="4A82CD34"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927"/>
        <w:gridCol w:w="1928"/>
        <w:gridCol w:w="1928"/>
        <w:gridCol w:w="1928"/>
        <w:gridCol w:w="1928"/>
      </w:tblGrid>
      <w:tr w:rsidR="00632E5B" w14:paraId="651FDCE6" w14:textId="77777777" w:rsidTr="00DD2081">
        <w:trPr>
          <w:trHeight w:val="240"/>
        </w:trPr>
        <w:tc>
          <w:tcPr>
            <w:tcW w:w="1928" w:type="dxa"/>
            <w:shd w:val="clear" w:color="auto" w:fill="FFFFFF" w:themeFill="background1"/>
            <w:vAlign w:val="center"/>
          </w:tcPr>
          <w:p w14:paraId="1707338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928" w:type="dxa"/>
            <w:shd w:val="clear" w:color="auto" w:fill="FFFFFF" w:themeFill="background1"/>
            <w:vAlign w:val="center"/>
          </w:tcPr>
          <w:p w14:paraId="0A50DAF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928" w:type="dxa"/>
            <w:shd w:val="clear" w:color="auto" w:fill="FFFFFF" w:themeFill="background1"/>
            <w:vAlign w:val="center"/>
          </w:tcPr>
          <w:p w14:paraId="5AED51E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1928" w:type="dxa"/>
            <w:shd w:val="clear" w:color="auto" w:fill="FFFFFF" w:themeFill="background1"/>
            <w:vAlign w:val="center"/>
          </w:tcPr>
          <w:p w14:paraId="5D6B134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1928" w:type="dxa"/>
            <w:shd w:val="clear" w:color="auto" w:fill="FFFFFF" w:themeFill="background1"/>
            <w:vAlign w:val="center"/>
          </w:tcPr>
          <w:p w14:paraId="6FCEA1B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632E5B" w14:paraId="6F23C29B" w14:textId="77777777" w:rsidTr="00DD2081">
        <w:trPr>
          <w:trHeight w:val="240"/>
        </w:trPr>
        <w:tc>
          <w:tcPr>
            <w:tcW w:w="1928" w:type="dxa"/>
            <w:shd w:val="clear" w:color="auto" w:fill="FFFFFF" w:themeFill="background1"/>
            <w:vAlign w:val="center"/>
          </w:tcPr>
          <w:p w14:paraId="126A4C8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资本溢价（股本溢价）</w:t>
            </w:r>
          </w:p>
        </w:tc>
        <w:tc>
          <w:tcPr>
            <w:tcW w:w="1928" w:type="dxa"/>
            <w:shd w:val="clear" w:color="auto" w:fill="FFFFFF" w:themeFill="background1"/>
            <w:vAlign w:val="center"/>
          </w:tcPr>
          <w:p w14:paraId="1306C33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6,121,043,105.99</w:t>
            </w:r>
          </w:p>
        </w:tc>
        <w:tc>
          <w:tcPr>
            <w:tcW w:w="1928" w:type="dxa"/>
            <w:shd w:val="clear" w:color="auto" w:fill="FFFFFF" w:themeFill="background1"/>
            <w:vAlign w:val="center"/>
          </w:tcPr>
          <w:p w14:paraId="057CE01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4,078,377,144.19</w:t>
            </w:r>
          </w:p>
        </w:tc>
        <w:tc>
          <w:tcPr>
            <w:tcW w:w="1928" w:type="dxa"/>
            <w:shd w:val="clear" w:color="auto" w:fill="FFFFFF" w:themeFill="background1"/>
            <w:vAlign w:val="center"/>
          </w:tcPr>
          <w:p w14:paraId="22AD9F8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2,135,920,925.72</w:t>
            </w:r>
          </w:p>
        </w:tc>
        <w:tc>
          <w:tcPr>
            <w:tcW w:w="1928" w:type="dxa"/>
            <w:shd w:val="clear" w:color="auto" w:fill="FFFFFF" w:themeFill="background1"/>
            <w:vAlign w:val="center"/>
          </w:tcPr>
          <w:p w14:paraId="79CE01B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8,063,499,324.46</w:t>
            </w:r>
          </w:p>
        </w:tc>
      </w:tr>
      <w:tr w:rsidR="00632E5B" w14:paraId="23404347" w14:textId="77777777" w:rsidTr="00DD2081">
        <w:trPr>
          <w:trHeight w:val="240"/>
        </w:trPr>
        <w:tc>
          <w:tcPr>
            <w:tcW w:w="1928" w:type="dxa"/>
            <w:shd w:val="clear" w:color="auto" w:fill="FFFFFF" w:themeFill="background1"/>
            <w:vAlign w:val="center"/>
          </w:tcPr>
          <w:p w14:paraId="49EDB64F"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其他资本公积</w:t>
            </w:r>
          </w:p>
        </w:tc>
        <w:tc>
          <w:tcPr>
            <w:tcW w:w="1928" w:type="dxa"/>
            <w:shd w:val="clear" w:color="auto" w:fill="FFFFFF" w:themeFill="background1"/>
            <w:vAlign w:val="center"/>
          </w:tcPr>
          <w:p w14:paraId="3F77D43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6,247,383.07</w:t>
            </w:r>
          </w:p>
        </w:tc>
        <w:tc>
          <w:tcPr>
            <w:tcW w:w="1928" w:type="dxa"/>
            <w:shd w:val="clear" w:color="auto" w:fill="FFFFFF" w:themeFill="background1"/>
            <w:vAlign w:val="center"/>
          </w:tcPr>
          <w:p w14:paraId="7315CBF9" w14:textId="77777777" w:rsidR="00632E5B" w:rsidRDefault="00632E5B">
            <w:pPr>
              <w:spacing w:line="240" w:lineRule="exact"/>
              <w:jc w:val="right"/>
              <w:rPr>
                <w:rFonts w:ascii="宋体" w:eastAsia="宋体" w:hAnsi="宋体" w:cs="宋体" w:hint="eastAsia"/>
                <w:sz w:val="18"/>
                <w:szCs w:val="18"/>
              </w:rPr>
            </w:pPr>
          </w:p>
        </w:tc>
        <w:tc>
          <w:tcPr>
            <w:tcW w:w="1928" w:type="dxa"/>
            <w:shd w:val="clear" w:color="auto" w:fill="FFFFFF" w:themeFill="background1"/>
            <w:vAlign w:val="center"/>
          </w:tcPr>
          <w:p w14:paraId="263F08EB" w14:textId="77777777" w:rsidR="00632E5B" w:rsidRDefault="00632E5B">
            <w:pPr>
              <w:spacing w:line="240" w:lineRule="exact"/>
              <w:jc w:val="right"/>
              <w:rPr>
                <w:rFonts w:ascii="宋体" w:eastAsia="宋体" w:hAnsi="宋体" w:cs="宋体" w:hint="eastAsia"/>
                <w:sz w:val="18"/>
                <w:szCs w:val="18"/>
              </w:rPr>
            </w:pPr>
          </w:p>
        </w:tc>
        <w:tc>
          <w:tcPr>
            <w:tcW w:w="1928" w:type="dxa"/>
            <w:shd w:val="clear" w:color="auto" w:fill="FFFFFF" w:themeFill="background1"/>
            <w:vAlign w:val="center"/>
          </w:tcPr>
          <w:p w14:paraId="5B45E3C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6,247,383.07</w:t>
            </w:r>
          </w:p>
        </w:tc>
      </w:tr>
      <w:tr w:rsidR="00632E5B" w14:paraId="5AAAB94F" w14:textId="77777777" w:rsidTr="00DD2081">
        <w:trPr>
          <w:trHeight w:val="240"/>
        </w:trPr>
        <w:tc>
          <w:tcPr>
            <w:tcW w:w="1928" w:type="dxa"/>
            <w:shd w:val="clear" w:color="auto" w:fill="FFFFFF" w:themeFill="background1"/>
            <w:vAlign w:val="center"/>
          </w:tcPr>
          <w:p w14:paraId="7361C98A"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shd w:val="clear" w:color="auto" w:fill="FFFFFF" w:themeFill="background1"/>
            <w:vAlign w:val="center"/>
          </w:tcPr>
          <w:p w14:paraId="097DAFA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6,127,290,489.06</w:t>
            </w:r>
          </w:p>
        </w:tc>
        <w:tc>
          <w:tcPr>
            <w:tcW w:w="1928" w:type="dxa"/>
            <w:shd w:val="clear" w:color="auto" w:fill="FFFFFF" w:themeFill="background1"/>
            <w:vAlign w:val="center"/>
          </w:tcPr>
          <w:p w14:paraId="35C8E26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4,078,377,144.19</w:t>
            </w:r>
          </w:p>
        </w:tc>
        <w:tc>
          <w:tcPr>
            <w:tcW w:w="1928" w:type="dxa"/>
            <w:shd w:val="clear" w:color="auto" w:fill="FFFFFF" w:themeFill="background1"/>
            <w:vAlign w:val="center"/>
          </w:tcPr>
          <w:p w14:paraId="76A2547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2,135,920,925.72</w:t>
            </w:r>
          </w:p>
        </w:tc>
        <w:tc>
          <w:tcPr>
            <w:tcW w:w="1928" w:type="dxa"/>
            <w:shd w:val="clear" w:color="auto" w:fill="FFFFFF" w:themeFill="background1"/>
            <w:vAlign w:val="center"/>
          </w:tcPr>
          <w:p w14:paraId="4C90662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8,069,746,707.53</w:t>
            </w:r>
          </w:p>
        </w:tc>
      </w:tr>
    </w:tbl>
    <w:p w14:paraId="6293E3D0"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其他说明，包括本期增减变动情况、变动原因说明：</w:t>
      </w:r>
    </w:p>
    <w:p w14:paraId="6A184576" w14:textId="77777777" w:rsidR="004D53EE" w:rsidRDefault="00107901" w:rsidP="004D53EE">
      <w:pPr>
        <w:pStyle w:val="a3"/>
        <w:spacing w:before="0" w:beforeAutospacing="0" w:after="0" w:afterAutospacing="0"/>
        <w:jc w:val="both"/>
        <w:divId w:val="1015695052"/>
        <w:rPr>
          <w:rFonts w:hint="eastAsia"/>
          <w:sz w:val="18"/>
          <w:szCs w:val="18"/>
        </w:rPr>
      </w:pPr>
      <w:r>
        <w:rPr>
          <w:rFonts w:hint="eastAsia"/>
          <w:sz w:val="18"/>
          <w:szCs w:val="18"/>
        </w:rPr>
        <w:lastRenderedPageBreak/>
        <w:t>  资本公积-股本溢价公积本期增加4,078,377,144.19元，增加原因为：（1）为解决原控股股东非经营性资金占用问题，全体财务投资人合计捐赠680,357,091.42元，债权人豁免公司债务1,124,834,822.02元，合计1,805,191,913.44元；（2）预留偿债股票对应的价值848,789,570.32元；（3）引进产业投资人股权转让款475,211,130.83元，引进财务投资人股权转让款949,184,529.60元，合计1,424,395,660.43元。</w:t>
      </w:r>
    </w:p>
    <w:p w14:paraId="5E9793C7" w14:textId="064D99F7" w:rsidR="00E72F0C" w:rsidRDefault="00107901" w:rsidP="004D53EE">
      <w:pPr>
        <w:pStyle w:val="a3"/>
        <w:spacing w:before="0" w:beforeAutospacing="0" w:after="0" w:afterAutospacing="0"/>
        <w:ind w:firstLineChars="200" w:firstLine="360"/>
        <w:jc w:val="both"/>
        <w:divId w:val="1015695052"/>
        <w:rPr>
          <w:rFonts w:hint="eastAsia"/>
          <w:sz w:val="18"/>
          <w:szCs w:val="18"/>
        </w:rPr>
      </w:pPr>
      <w:r>
        <w:rPr>
          <w:rFonts w:hint="eastAsia"/>
          <w:sz w:val="18"/>
          <w:szCs w:val="18"/>
        </w:rPr>
        <w:t>资本公积-股本溢价公积本期减少2,135,920,925.72元，减少原因为：（1）资本公积转增股本导致减少2,135,878,317.00元；（2）本期非全资子公司未按照持股比例新增投资导致减少42,608.72元。</w:t>
      </w:r>
    </w:p>
    <w:p w14:paraId="780D24BD" w14:textId="77777777" w:rsidR="00632E5B" w:rsidRDefault="00107901">
      <w:pPr>
        <w:pStyle w:val="3"/>
        <w:spacing w:line="280" w:lineRule="exact"/>
        <w:jc w:val="left"/>
        <w:rPr>
          <w:rFonts w:ascii="宋体" w:hAnsi="宋体" w:cs="宋体" w:hint="eastAsia"/>
          <w:b/>
          <w:bCs/>
        </w:rPr>
      </w:pPr>
      <w:bookmarkStart w:id="305" w:name="_Toc989192"/>
      <w:r>
        <w:rPr>
          <w:rFonts w:ascii="宋体" w:hAnsi="宋体" w:cs="宋体"/>
          <w:b/>
          <w:bCs/>
        </w:rPr>
        <w:t>39、库存股</w:t>
      </w:r>
      <w:bookmarkEnd w:id="305"/>
    </w:p>
    <w:p w14:paraId="2B4752A2"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927"/>
        <w:gridCol w:w="1928"/>
        <w:gridCol w:w="1928"/>
        <w:gridCol w:w="1928"/>
        <w:gridCol w:w="1928"/>
      </w:tblGrid>
      <w:tr w:rsidR="00632E5B" w14:paraId="6EB43D07" w14:textId="77777777" w:rsidTr="00DD2081">
        <w:trPr>
          <w:trHeight w:val="240"/>
        </w:trPr>
        <w:tc>
          <w:tcPr>
            <w:tcW w:w="1928" w:type="dxa"/>
            <w:shd w:val="clear" w:color="auto" w:fill="FFFFFF" w:themeFill="background1"/>
            <w:vAlign w:val="center"/>
          </w:tcPr>
          <w:p w14:paraId="6A39E0F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928" w:type="dxa"/>
            <w:shd w:val="clear" w:color="auto" w:fill="FFFFFF" w:themeFill="background1"/>
            <w:vAlign w:val="center"/>
          </w:tcPr>
          <w:p w14:paraId="4977AAC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928" w:type="dxa"/>
            <w:shd w:val="clear" w:color="auto" w:fill="FFFFFF" w:themeFill="background1"/>
            <w:vAlign w:val="center"/>
          </w:tcPr>
          <w:p w14:paraId="0EDFB91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1928" w:type="dxa"/>
            <w:shd w:val="clear" w:color="auto" w:fill="FFFFFF" w:themeFill="background1"/>
            <w:vAlign w:val="center"/>
          </w:tcPr>
          <w:p w14:paraId="37CB5EB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1928" w:type="dxa"/>
            <w:shd w:val="clear" w:color="auto" w:fill="FFFFFF" w:themeFill="background1"/>
            <w:vAlign w:val="center"/>
          </w:tcPr>
          <w:p w14:paraId="0FFCC23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632E5B" w14:paraId="1AC8DE0F" w14:textId="77777777" w:rsidTr="00DD2081">
        <w:trPr>
          <w:trHeight w:val="240"/>
        </w:trPr>
        <w:tc>
          <w:tcPr>
            <w:tcW w:w="1928" w:type="dxa"/>
            <w:shd w:val="clear" w:color="auto" w:fill="FFFFFF" w:themeFill="background1"/>
            <w:vAlign w:val="center"/>
          </w:tcPr>
          <w:p w14:paraId="13962F7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财务投资人暂未划转股权</w:t>
            </w:r>
          </w:p>
        </w:tc>
        <w:tc>
          <w:tcPr>
            <w:tcW w:w="1928" w:type="dxa"/>
            <w:shd w:val="clear" w:color="auto" w:fill="FFFFFF" w:themeFill="background1"/>
            <w:vAlign w:val="center"/>
          </w:tcPr>
          <w:p w14:paraId="03A73D00" w14:textId="77777777" w:rsidR="00632E5B" w:rsidRDefault="00632E5B">
            <w:pPr>
              <w:spacing w:line="240" w:lineRule="exact"/>
              <w:jc w:val="right"/>
              <w:rPr>
                <w:rFonts w:ascii="宋体" w:eastAsia="宋体" w:hAnsi="宋体" w:cs="宋体" w:hint="eastAsia"/>
                <w:sz w:val="18"/>
                <w:szCs w:val="18"/>
              </w:rPr>
            </w:pPr>
          </w:p>
        </w:tc>
        <w:tc>
          <w:tcPr>
            <w:tcW w:w="1928" w:type="dxa"/>
            <w:shd w:val="clear" w:color="auto" w:fill="FFFFFF" w:themeFill="background1"/>
            <w:vAlign w:val="center"/>
          </w:tcPr>
          <w:p w14:paraId="41DBE3E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63,532,374.40</w:t>
            </w:r>
          </w:p>
        </w:tc>
        <w:tc>
          <w:tcPr>
            <w:tcW w:w="1928" w:type="dxa"/>
            <w:shd w:val="clear" w:color="auto" w:fill="FFFFFF" w:themeFill="background1"/>
            <w:vAlign w:val="center"/>
          </w:tcPr>
          <w:p w14:paraId="2BC29931" w14:textId="77777777" w:rsidR="00632E5B" w:rsidRDefault="00632E5B">
            <w:pPr>
              <w:spacing w:line="240" w:lineRule="exact"/>
              <w:jc w:val="right"/>
              <w:rPr>
                <w:rFonts w:ascii="宋体" w:eastAsia="宋体" w:hAnsi="宋体" w:cs="宋体" w:hint="eastAsia"/>
                <w:sz w:val="18"/>
                <w:szCs w:val="18"/>
              </w:rPr>
            </w:pPr>
          </w:p>
        </w:tc>
        <w:tc>
          <w:tcPr>
            <w:tcW w:w="1928" w:type="dxa"/>
            <w:shd w:val="clear" w:color="auto" w:fill="FFFFFF" w:themeFill="background1"/>
            <w:vAlign w:val="center"/>
          </w:tcPr>
          <w:p w14:paraId="637BADD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63,532,374.40</w:t>
            </w:r>
          </w:p>
        </w:tc>
      </w:tr>
      <w:tr w:rsidR="00632E5B" w14:paraId="3E1F7F50" w14:textId="77777777" w:rsidTr="00DD2081">
        <w:trPr>
          <w:trHeight w:val="240"/>
        </w:trPr>
        <w:tc>
          <w:tcPr>
            <w:tcW w:w="1928" w:type="dxa"/>
            <w:shd w:val="clear" w:color="auto" w:fill="FFFFFF" w:themeFill="background1"/>
            <w:vAlign w:val="center"/>
          </w:tcPr>
          <w:p w14:paraId="26FBADD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预留普通债权人偿债股权</w:t>
            </w:r>
          </w:p>
        </w:tc>
        <w:tc>
          <w:tcPr>
            <w:tcW w:w="1928" w:type="dxa"/>
            <w:shd w:val="clear" w:color="auto" w:fill="FFFFFF" w:themeFill="background1"/>
            <w:vAlign w:val="center"/>
          </w:tcPr>
          <w:p w14:paraId="204889B1" w14:textId="77777777" w:rsidR="00632E5B" w:rsidRDefault="00632E5B">
            <w:pPr>
              <w:spacing w:line="240" w:lineRule="exact"/>
              <w:jc w:val="right"/>
              <w:rPr>
                <w:rFonts w:ascii="宋体" w:eastAsia="宋体" w:hAnsi="宋体" w:cs="宋体" w:hint="eastAsia"/>
                <w:sz w:val="18"/>
                <w:szCs w:val="18"/>
              </w:rPr>
            </w:pPr>
          </w:p>
        </w:tc>
        <w:tc>
          <w:tcPr>
            <w:tcW w:w="1928" w:type="dxa"/>
            <w:shd w:val="clear" w:color="auto" w:fill="FFFFFF" w:themeFill="background1"/>
            <w:vAlign w:val="center"/>
          </w:tcPr>
          <w:p w14:paraId="19D6FF7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848,789,570.32</w:t>
            </w:r>
          </w:p>
        </w:tc>
        <w:tc>
          <w:tcPr>
            <w:tcW w:w="1928" w:type="dxa"/>
            <w:shd w:val="clear" w:color="auto" w:fill="FFFFFF" w:themeFill="background1"/>
            <w:vAlign w:val="center"/>
          </w:tcPr>
          <w:p w14:paraId="6812C8CC" w14:textId="77777777" w:rsidR="00632E5B" w:rsidRDefault="00632E5B">
            <w:pPr>
              <w:spacing w:line="240" w:lineRule="exact"/>
              <w:jc w:val="right"/>
              <w:rPr>
                <w:rFonts w:ascii="宋体" w:eastAsia="宋体" w:hAnsi="宋体" w:cs="宋体" w:hint="eastAsia"/>
                <w:sz w:val="18"/>
                <w:szCs w:val="18"/>
              </w:rPr>
            </w:pPr>
          </w:p>
        </w:tc>
        <w:tc>
          <w:tcPr>
            <w:tcW w:w="1928" w:type="dxa"/>
            <w:shd w:val="clear" w:color="auto" w:fill="FFFFFF" w:themeFill="background1"/>
            <w:vAlign w:val="center"/>
          </w:tcPr>
          <w:p w14:paraId="33AE3B2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848,789,570.32</w:t>
            </w:r>
          </w:p>
        </w:tc>
      </w:tr>
      <w:tr w:rsidR="00632E5B" w14:paraId="0CE61420" w14:textId="77777777" w:rsidTr="00DD2081">
        <w:trPr>
          <w:trHeight w:val="240"/>
        </w:trPr>
        <w:tc>
          <w:tcPr>
            <w:tcW w:w="1928" w:type="dxa"/>
            <w:shd w:val="clear" w:color="auto" w:fill="FFFFFF" w:themeFill="background1"/>
            <w:vAlign w:val="center"/>
          </w:tcPr>
          <w:p w14:paraId="5963F27B"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shd w:val="clear" w:color="auto" w:fill="FFFFFF" w:themeFill="background1"/>
            <w:vAlign w:val="center"/>
          </w:tcPr>
          <w:p w14:paraId="6A5A5164" w14:textId="77777777" w:rsidR="00632E5B" w:rsidRDefault="00632E5B">
            <w:pPr>
              <w:spacing w:line="240" w:lineRule="exact"/>
              <w:jc w:val="right"/>
              <w:rPr>
                <w:rFonts w:ascii="宋体" w:eastAsia="宋体" w:hAnsi="宋体" w:cs="宋体" w:hint="eastAsia"/>
                <w:sz w:val="18"/>
                <w:szCs w:val="18"/>
              </w:rPr>
            </w:pPr>
          </w:p>
        </w:tc>
        <w:tc>
          <w:tcPr>
            <w:tcW w:w="1928" w:type="dxa"/>
            <w:shd w:val="clear" w:color="auto" w:fill="FFFFFF" w:themeFill="background1"/>
            <w:vAlign w:val="center"/>
          </w:tcPr>
          <w:p w14:paraId="25F15B1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912,321,944.72</w:t>
            </w:r>
          </w:p>
        </w:tc>
        <w:tc>
          <w:tcPr>
            <w:tcW w:w="1928" w:type="dxa"/>
            <w:shd w:val="clear" w:color="auto" w:fill="FFFFFF" w:themeFill="background1"/>
            <w:vAlign w:val="center"/>
          </w:tcPr>
          <w:p w14:paraId="373F910A" w14:textId="77777777" w:rsidR="00632E5B" w:rsidRDefault="00632E5B">
            <w:pPr>
              <w:spacing w:line="240" w:lineRule="exact"/>
              <w:jc w:val="right"/>
              <w:rPr>
                <w:rFonts w:ascii="宋体" w:eastAsia="宋体" w:hAnsi="宋体" w:cs="宋体" w:hint="eastAsia"/>
                <w:sz w:val="18"/>
                <w:szCs w:val="18"/>
              </w:rPr>
            </w:pPr>
          </w:p>
        </w:tc>
        <w:tc>
          <w:tcPr>
            <w:tcW w:w="1928" w:type="dxa"/>
            <w:shd w:val="clear" w:color="auto" w:fill="FFFFFF" w:themeFill="background1"/>
            <w:vAlign w:val="center"/>
          </w:tcPr>
          <w:p w14:paraId="1CABFBC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912,321,944.72</w:t>
            </w:r>
          </w:p>
        </w:tc>
      </w:tr>
    </w:tbl>
    <w:p w14:paraId="6F27F8CA" w14:textId="77777777" w:rsidR="00632E5B" w:rsidRDefault="00107901">
      <w:pPr>
        <w:pStyle w:val="3"/>
        <w:spacing w:line="280" w:lineRule="exact"/>
        <w:jc w:val="left"/>
        <w:rPr>
          <w:rFonts w:ascii="宋体" w:hAnsi="宋体" w:cs="宋体" w:hint="eastAsia"/>
          <w:b/>
          <w:bCs/>
        </w:rPr>
      </w:pPr>
      <w:bookmarkStart w:id="306" w:name="_Toc989193"/>
      <w:r>
        <w:rPr>
          <w:rFonts w:ascii="宋体" w:hAnsi="宋体" w:cs="宋体"/>
          <w:b/>
          <w:bCs/>
        </w:rPr>
        <w:t>40、其他综合收益</w:t>
      </w:r>
      <w:bookmarkEnd w:id="306"/>
    </w:p>
    <w:p w14:paraId="6B804F59"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06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071"/>
        <w:gridCol w:w="1370"/>
        <w:gridCol w:w="1276"/>
        <w:gridCol w:w="1275"/>
        <w:gridCol w:w="1101"/>
        <w:gridCol w:w="709"/>
        <w:gridCol w:w="1275"/>
        <w:gridCol w:w="1134"/>
        <w:gridCol w:w="1418"/>
      </w:tblGrid>
      <w:tr w:rsidR="00632E5B" w14:paraId="27E84039" w14:textId="77777777" w:rsidTr="00DD2081">
        <w:trPr>
          <w:trHeight w:val="240"/>
          <w:jc w:val="center"/>
        </w:trPr>
        <w:tc>
          <w:tcPr>
            <w:tcW w:w="1071" w:type="dxa"/>
            <w:vMerge w:val="restart"/>
            <w:shd w:val="clear" w:color="auto" w:fill="FFFFFF" w:themeFill="background1"/>
            <w:vAlign w:val="center"/>
          </w:tcPr>
          <w:p w14:paraId="3470EDD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370" w:type="dxa"/>
            <w:vMerge w:val="restart"/>
            <w:shd w:val="clear" w:color="auto" w:fill="FFFFFF" w:themeFill="background1"/>
            <w:vAlign w:val="center"/>
          </w:tcPr>
          <w:p w14:paraId="6B600E5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6770" w:type="dxa"/>
            <w:gridSpan w:val="6"/>
            <w:shd w:val="clear" w:color="auto" w:fill="FFFFFF" w:themeFill="background1"/>
            <w:vAlign w:val="center"/>
          </w:tcPr>
          <w:p w14:paraId="5F1402C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1418" w:type="dxa"/>
            <w:shd w:val="clear" w:color="auto" w:fill="FFFFFF" w:themeFill="background1"/>
            <w:vAlign w:val="center"/>
          </w:tcPr>
          <w:p w14:paraId="1DBAF22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632E5B" w14:paraId="019C4523" w14:textId="77777777" w:rsidTr="00DD2081">
        <w:trPr>
          <w:trHeight w:val="240"/>
          <w:jc w:val="center"/>
        </w:trPr>
        <w:tc>
          <w:tcPr>
            <w:tcW w:w="1071" w:type="dxa"/>
            <w:vMerge/>
            <w:shd w:val="clear" w:color="auto" w:fill="FFFFFF" w:themeFill="background1"/>
            <w:vAlign w:val="center"/>
          </w:tcPr>
          <w:p w14:paraId="13F488D3" w14:textId="77777777" w:rsidR="00632E5B" w:rsidRDefault="00632E5B"/>
        </w:tc>
        <w:tc>
          <w:tcPr>
            <w:tcW w:w="1370" w:type="dxa"/>
            <w:vMerge/>
            <w:shd w:val="clear" w:color="auto" w:fill="FFFFFF" w:themeFill="background1"/>
            <w:vAlign w:val="center"/>
          </w:tcPr>
          <w:p w14:paraId="2731D062" w14:textId="77777777" w:rsidR="00632E5B" w:rsidRDefault="00632E5B"/>
        </w:tc>
        <w:tc>
          <w:tcPr>
            <w:tcW w:w="1276" w:type="dxa"/>
            <w:shd w:val="clear" w:color="auto" w:fill="FFFFFF" w:themeFill="background1"/>
            <w:vAlign w:val="center"/>
          </w:tcPr>
          <w:p w14:paraId="3D140F4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本期所得税前发生额</w:t>
            </w:r>
          </w:p>
        </w:tc>
        <w:tc>
          <w:tcPr>
            <w:tcW w:w="1275" w:type="dxa"/>
            <w:shd w:val="clear" w:color="auto" w:fill="FFFFFF" w:themeFill="background1"/>
            <w:vAlign w:val="center"/>
          </w:tcPr>
          <w:p w14:paraId="4599E75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减：前期计入其他综合收益当期转入损益</w:t>
            </w:r>
          </w:p>
        </w:tc>
        <w:tc>
          <w:tcPr>
            <w:tcW w:w="1101" w:type="dxa"/>
            <w:shd w:val="clear" w:color="auto" w:fill="FFFFFF" w:themeFill="background1"/>
            <w:vAlign w:val="center"/>
          </w:tcPr>
          <w:p w14:paraId="3C4BB27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减：前期计入其他综合收益当期转入留存收益</w:t>
            </w:r>
          </w:p>
        </w:tc>
        <w:tc>
          <w:tcPr>
            <w:tcW w:w="709" w:type="dxa"/>
            <w:shd w:val="clear" w:color="auto" w:fill="FFFFFF" w:themeFill="background1"/>
            <w:vAlign w:val="center"/>
          </w:tcPr>
          <w:p w14:paraId="3F0A673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减：所得税费用</w:t>
            </w:r>
          </w:p>
        </w:tc>
        <w:tc>
          <w:tcPr>
            <w:tcW w:w="1275" w:type="dxa"/>
            <w:shd w:val="clear" w:color="auto" w:fill="FFFFFF" w:themeFill="background1"/>
            <w:vAlign w:val="center"/>
          </w:tcPr>
          <w:p w14:paraId="0D2720C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税后归属于母公司</w:t>
            </w:r>
          </w:p>
        </w:tc>
        <w:tc>
          <w:tcPr>
            <w:tcW w:w="1134" w:type="dxa"/>
            <w:shd w:val="clear" w:color="auto" w:fill="FFFFFF" w:themeFill="background1"/>
            <w:vAlign w:val="center"/>
          </w:tcPr>
          <w:p w14:paraId="3120F35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税后归属于少数股东</w:t>
            </w:r>
          </w:p>
        </w:tc>
        <w:tc>
          <w:tcPr>
            <w:tcW w:w="1418" w:type="dxa"/>
            <w:shd w:val="clear" w:color="auto" w:fill="FFFFFF" w:themeFill="background1"/>
            <w:vAlign w:val="center"/>
          </w:tcPr>
          <w:p w14:paraId="58243F46" w14:textId="77777777" w:rsidR="00632E5B" w:rsidRDefault="00632E5B"/>
        </w:tc>
      </w:tr>
      <w:tr w:rsidR="00632E5B" w14:paraId="4D727343" w14:textId="77777777" w:rsidTr="00DD2081">
        <w:trPr>
          <w:trHeight w:val="240"/>
          <w:jc w:val="center"/>
        </w:trPr>
        <w:tc>
          <w:tcPr>
            <w:tcW w:w="1071" w:type="dxa"/>
            <w:shd w:val="clear" w:color="auto" w:fill="FFFFFF" w:themeFill="background1"/>
            <w:vAlign w:val="center"/>
          </w:tcPr>
          <w:p w14:paraId="631507FC"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一、不能重分类进损益的其他综合收益</w:t>
            </w:r>
          </w:p>
        </w:tc>
        <w:tc>
          <w:tcPr>
            <w:tcW w:w="1370" w:type="dxa"/>
            <w:shd w:val="clear" w:color="auto" w:fill="FFFFFF" w:themeFill="background1"/>
            <w:vAlign w:val="center"/>
          </w:tcPr>
          <w:p w14:paraId="38E03833" w14:textId="77777777" w:rsidR="00632E5B" w:rsidRPr="009568CF" w:rsidRDefault="00107901">
            <w:pPr>
              <w:spacing w:line="240" w:lineRule="exact"/>
              <w:jc w:val="right"/>
              <w:rPr>
                <w:rFonts w:ascii="宋体" w:eastAsia="宋体" w:hAnsi="宋体" w:cs="宋体" w:hint="eastAsia"/>
                <w:sz w:val="15"/>
                <w:szCs w:val="15"/>
              </w:rPr>
            </w:pPr>
            <w:r w:rsidRPr="009568CF">
              <w:rPr>
                <w:rFonts w:ascii="宋体" w:eastAsia="宋体" w:hAnsi="宋体" w:cs="宋体"/>
                <w:sz w:val="15"/>
                <w:szCs w:val="15"/>
              </w:rPr>
              <w:t>-439,281,736.75</w:t>
            </w:r>
          </w:p>
        </w:tc>
        <w:tc>
          <w:tcPr>
            <w:tcW w:w="1276" w:type="dxa"/>
            <w:shd w:val="clear" w:color="auto" w:fill="FFFFFF" w:themeFill="background1"/>
            <w:vAlign w:val="center"/>
          </w:tcPr>
          <w:p w14:paraId="0CD8BFD1" w14:textId="77777777" w:rsidR="00632E5B" w:rsidRPr="009568CF" w:rsidRDefault="00107901">
            <w:pPr>
              <w:spacing w:line="240" w:lineRule="exact"/>
              <w:jc w:val="right"/>
              <w:rPr>
                <w:rFonts w:ascii="宋体" w:eastAsia="宋体" w:hAnsi="宋体" w:cs="宋体" w:hint="eastAsia"/>
                <w:sz w:val="15"/>
                <w:szCs w:val="15"/>
              </w:rPr>
            </w:pPr>
            <w:r w:rsidRPr="009568CF">
              <w:rPr>
                <w:rFonts w:ascii="宋体" w:eastAsia="宋体" w:hAnsi="宋体" w:cs="宋体"/>
                <w:sz w:val="15"/>
                <w:szCs w:val="15"/>
              </w:rPr>
              <w:t>-382,830.04</w:t>
            </w:r>
          </w:p>
        </w:tc>
        <w:tc>
          <w:tcPr>
            <w:tcW w:w="1275" w:type="dxa"/>
            <w:shd w:val="clear" w:color="auto" w:fill="FFFFFF" w:themeFill="background1"/>
            <w:vAlign w:val="center"/>
          </w:tcPr>
          <w:p w14:paraId="72436CBF" w14:textId="77777777" w:rsidR="00632E5B" w:rsidRPr="009568CF" w:rsidRDefault="00632E5B">
            <w:pPr>
              <w:spacing w:line="240" w:lineRule="exact"/>
              <w:jc w:val="right"/>
              <w:rPr>
                <w:rFonts w:ascii="宋体" w:eastAsia="宋体" w:hAnsi="宋体" w:cs="宋体" w:hint="eastAsia"/>
                <w:sz w:val="15"/>
                <w:szCs w:val="15"/>
              </w:rPr>
            </w:pPr>
          </w:p>
        </w:tc>
        <w:tc>
          <w:tcPr>
            <w:tcW w:w="1101" w:type="dxa"/>
            <w:shd w:val="clear" w:color="auto" w:fill="FFFFFF" w:themeFill="background1"/>
            <w:vAlign w:val="center"/>
          </w:tcPr>
          <w:p w14:paraId="1FAFC197" w14:textId="77777777" w:rsidR="00632E5B" w:rsidRPr="009568CF" w:rsidRDefault="00632E5B">
            <w:pPr>
              <w:spacing w:line="240" w:lineRule="exact"/>
              <w:jc w:val="right"/>
              <w:rPr>
                <w:rFonts w:ascii="宋体" w:eastAsia="宋体" w:hAnsi="宋体" w:cs="宋体" w:hint="eastAsia"/>
                <w:sz w:val="15"/>
                <w:szCs w:val="15"/>
              </w:rPr>
            </w:pPr>
          </w:p>
        </w:tc>
        <w:tc>
          <w:tcPr>
            <w:tcW w:w="709" w:type="dxa"/>
            <w:shd w:val="clear" w:color="auto" w:fill="FFFFFF" w:themeFill="background1"/>
            <w:vAlign w:val="center"/>
          </w:tcPr>
          <w:p w14:paraId="34A28E68" w14:textId="77777777" w:rsidR="00632E5B" w:rsidRPr="009568CF" w:rsidRDefault="00632E5B">
            <w:pPr>
              <w:spacing w:line="240" w:lineRule="exact"/>
              <w:jc w:val="right"/>
              <w:rPr>
                <w:rFonts w:ascii="宋体" w:eastAsia="宋体" w:hAnsi="宋体" w:cs="宋体" w:hint="eastAsia"/>
                <w:sz w:val="15"/>
                <w:szCs w:val="15"/>
              </w:rPr>
            </w:pPr>
          </w:p>
        </w:tc>
        <w:tc>
          <w:tcPr>
            <w:tcW w:w="1275" w:type="dxa"/>
            <w:shd w:val="clear" w:color="auto" w:fill="FFFFFF" w:themeFill="background1"/>
            <w:vAlign w:val="center"/>
          </w:tcPr>
          <w:p w14:paraId="5B3DE95F" w14:textId="77777777" w:rsidR="00632E5B" w:rsidRPr="009568CF" w:rsidRDefault="00107901">
            <w:pPr>
              <w:spacing w:line="240" w:lineRule="exact"/>
              <w:jc w:val="right"/>
              <w:rPr>
                <w:rFonts w:ascii="宋体" w:eastAsia="宋体" w:hAnsi="宋体" w:cs="宋体" w:hint="eastAsia"/>
                <w:sz w:val="15"/>
                <w:szCs w:val="15"/>
              </w:rPr>
            </w:pPr>
            <w:r w:rsidRPr="009568CF">
              <w:rPr>
                <w:rFonts w:ascii="宋体" w:eastAsia="宋体" w:hAnsi="宋体" w:cs="宋体"/>
                <w:sz w:val="15"/>
                <w:szCs w:val="15"/>
              </w:rPr>
              <w:t>-382,830.04</w:t>
            </w:r>
          </w:p>
        </w:tc>
        <w:tc>
          <w:tcPr>
            <w:tcW w:w="1134" w:type="dxa"/>
            <w:shd w:val="clear" w:color="auto" w:fill="FFFFFF" w:themeFill="background1"/>
            <w:vAlign w:val="center"/>
          </w:tcPr>
          <w:p w14:paraId="712EC730" w14:textId="77777777" w:rsidR="00632E5B" w:rsidRPr="009568CF" w:rsidRDefault="00632E5B">
            <w:pPr>
              <w:spacing w:line="240" w:lineRule="exact"/>
              <w:jc w:val="right"/>
              <w:rPr>
                <w:rFonts w:ascii="宋体" w:eastAsia="宋体" w:hAnsi="宋体" w:cs="宋体" w:hint="eastAsia"/>
                <w:sz w:val="15"/>
                <w:szCs w:val="15"/>
              </w:rPr>
            </w:pPr>
          </w:p>
        </w:tc>
        <w:tc>
          <w:tcPr>
            <w:tcW w:w="1418" w:type="dxa"/>
            <w:shd w:val="clear" w:color="auto" w:fill="FFFFFF" w:themeFill="background1"/>
            <w:vAlign w:val="center"/>
          </w:tcPr>
          <w:p w14:paraId="2A9C68EF" w14:textId="77777777" w:rsidR="00632E5B" w:rsidRPr="009568CF" w:rsidRDefault="00107901">
            <w:pPr>
              <w:spacing w:line="240" w:lineRule="exact"/>
              <w:jc w:val="right"/>
              <w:rPr>
                <w:rFonts w:ascii="宋体" w:eastAsia="宋体" w:hAnsi="宋体" w:cs="宋体" w:hint="eastAsia"/>
                <w:sz w:val="15"/>
                <w:szCs w:val="15"/>
              </w:rPr>
            </w:pPr>
            <w:r w:rsidRPr="009568CF">
              <w:rPr>
                <w:rFonts w:ascii="宋体" w:eastAsia="宋体" w:hAnsi="宋体" w:cs="宋体"/>
                <w:sz w:val="15"/>
                <w:szCs w:val="15"/>
              </w:rPr>
              <w:t>-439,664,566.79</w:t>
            </w:r>
          </w:p>
        </w:tc>
      </w:tr>
      <w:tr w:rsidR="00632E5B" w14:paraId="1B42C8D1" w14:textId="77777777" w:rsidTr="00DD2081">
        <w:trPr>
          <w:trHeight w:val="240"/>
          <w:jc w:val="center"/>
        </w:trPr>
        <w:tc>
          <w:tcPr>
            <w:tcW w:w="1071" w:type="dxa"/>
            <w:shd w:val="clear" w:color="auto" w:fill="FFFFFF" w:themeFill="background1"/>
            <w:vAlign w:val="center"/>
          </w:tcPr>
          <w:p w14:paraId="3ABCB465"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其他权益工具投资公允价值变动</w:t>
            </w:r>
          </w:p>
        </w:tc>
        <w:tc>
          <w:tcPr>
            <w:tcW w:w="1370" w:type="dxa"/>
            <w:shd w:val="clear" w:color="auto" w:fill="FFFFFF" w:themeFill="background1"/>
            <w:vAlign w:val="center"/>
          </w:tcPr>
          <w:p w14:paraId="74616579" w14:textId="77777777" w:rsidR="00632E5B" w:rsidRPr="009568CF" w:rsidRDefault="00107901">
            <w:pPr>
              <w:spacing w:line="240" w:lineRule="exact"/>
              <w:jc w:val="right"/>
              <w:rPr>
                <w:rFonts w:ascii="宋体" w:eastAsia="宋体" w:hAnsi="宋体" w:cs="宋体" w:hint="eastAsia"/>
                <w:sz w:val="15"/>
                <w:szCs w:val="15"/>
              </w:rPr>
            </w:pPr>
            <w:r w:rsidRPr="009568CF">
              <w:rPr>
                <w:rFonts w:ascii="宋体" w:eastAsia="宋体" w:hAnsi="宋体" w:cs="宋体"/>
                <w:sz w:val="15"/>
                <w:szCs w:val="15"/>
              </w:rPr>
              <w:t>-439,281,736.75</w:t>
            </w:r>
          </w:p>
        </w:tc>
        <w:tc>
          <w:tcPr>
            <w:tcW w:w="1276" w:type="dxa"/>
            <w:shd w:val="clear" w:color="auto" w:fill="FFFFFF" w:themeFill="background1"/>
            <w:vAlign w:val="center"/>
          </w:tcPr>
          <w:p w14:paraId="577ECA8B" w14:textId="77777777" w:rsidR="00632E5B" w:rsidRPr="009568CF" w:rsidRDefault="00107901">
            <w:pPr>
              <w:spacing w:line="240" w:lineRule="exact"/>
              <w:jc w:val="right"/>
              <w:rPr>
                <w:rFonts w:ascii="宋体" w:eastAsia="宋体" w:hAnsi="宋体" w:cs="宋体" w:hint="eastAsia"/>
                <w:sz w:val="15"/>
                <w:szCs w:val="15"/>
              </w:rPr>
            </w:pPr>
            <w:r w:rsidRPr="009568CF">
              <w:rPr>
                <w:rFonts w:ascii="宋体" w:eastAsia="宋体" w:hAnsi="宋体" w:cs="宋体"/>
                <w:sz w:val="15"/>
                <w:szCs w:val="15"/>
              </w:rPr>
              <w:t>-382,830.04</w:t>
            </w:r>
          </w:p>
        </w:tc>
        <w:tc>
          <w:tcPr>
            <w:tcW w:w="1275" w:type="dxa"/>
            <w:shd w:val="clear" w:color="auto" w:fill="FFFFFF" w:themeFill="background1"/>
            <w:vAlign w:val="center"/>
          </w:tcPr>
          <w:p w14:paraId="362D0C71" w14:textId="77777777" w:rsidR="00632E5B" w:rsidRPr="009568CF" w:rsidRDefault="00632E5B">
            <w:pPr>
              <w:spacing w:line="240" w:lineRule="exact"/>
              <w:jc w:val="right"/>
              <w:rPr>
                <w:rFonts w:ascii="宋体" w:eastAsia="宋体" w:hAnsi="宋体" w:cs="宋体" w:hint="eastAsia"/>
                <w:sz w:val="15"/>
                <w:szCs w:val="15"/>
              </w:rPr>
            </w:pPr>
          </w:p>
        </w:tc>
        <w:tc>
          <w:tcPr>
            <w:tcW w:w="1101" w:type="dxa"/>
            <w:shd w:val="clear" w:color="auto" w:fill="FFFFFF" w:themeFill="background1"/>
            <w:vAlign w:val="center"/>
          </w:tcPr>
          <w:p w14:paraId="79430BA3" w14:textId="77777777" w:rsidR="00632E5B" w:rsidRPr="009568CF" w:rsidRDefault="00632E5B">
            <w:pPr>
              <w:spacing w:line="240" w:lineRule="exact"/>
              <w:jc w:val="right"/>
              <w:rPr>
                <w:rFonts w:ascii="宋体" w:eastAsia="宋体" w:hAnsi="宋体" w:cs="宋体" w:hint="eastAsia"/>
                <w:sz w:val="15"/>
                <w:szCs w:val="15"/>
              </w:rPr>
            </w:pPr>
          </w:p>
        </w:tc>
        <w:tc>
          <w:tcPr>
            <w:tcW w:w="709" w:type="dxa"/>
            <w:shd w:val="clear" w:color="auto" w:fill="FFFFFF" w:themeFill="background1"/>
            <w:vAlign w:val="center"/>
          </w:tcPr>
          <w:p w14:paraId="1C225C16" w14:textId="77777777" w:rsidR="00632E5B" w:rsidRPr="009568CF" w:rsidRDefault="00632E5B">
            <w:pPr>
              <w:spacing w:line="240" w:lineRule="exact"/>
              <w:jc w:val="right"/>
              <w:rPr>
                <w:rFonts w:ascii="宋体" w:eastAsia="宋体" w:hAnsi="宋体" w:cs="宋体" w:hint="eastAsia"/>
                <w:sz w:val="15"/>
                <w:szCs w:val="15"/>
              </w:rPr>
            </w:pPr>
          </w:p>
        </w:tc>
        <w:tc>
          <w:tcPr>
            <w:tcW w:w="1275" w:type="dxa"/>
            <w:shd w:val="clear" w:color="auto" w:fill="FFFFFF" w:themeFill="background1"/>
            <w:vAlign w:val="center"/>
          </w:tcPr>
          <w:p w14:paraId="6D3372CF" w14:textId="77777777" w:rsidR="00632E5B" w:rsidRPr="009568CF" w:rsidRDefault="00107901">
            <w:pPr>
              <w:spacing w:line="240" w:lineRule="exact"/>
              <w:jc w:val="right"/>
              <w:rPr>
                <w:rFonts w:ascii="宋体" w:eastAsia="宋体" w:hAnsi="宋体" w:cs="宋体" w:hint="eastAsia"/>
                <w:sz w:val="15"/>
                <w:szCs w:val="15"/>
              </w:rPr>
            </w:pPr>
            <w:r w:rsidRPr="009568CF">
              <w:rPr>
                <w:rFonts w:ascii="宋体" w:eastAsia="宋体" w:hAnsi="宋体" w:cs="宋体"/>
                <w:sz w:val="15"/>
                <w:szCs w:val="15"/>
              </w:rPr>
              <w:t>-382,830.04</w:t>
            </w:r>
          </w:p>
        </w:tc>
        <w:tc>
          <w:tcPr>
            <w:tcW w:w="1134" w:type="dxa"/>
            <w:shd w:val="clear" w:color="auto" w:fill="FFFFFF" w:themeFill="background1"/>
            <w:vAlign w:val="center"/>
          </w:tcPr>
          <w:p w14:paraId="69C85F97" w14:textId="77777777" w:rsidR="00632E5B" w:rsidRPr="009568CF" w:rsidRDefault="00632E5B">
            <w:pPr>
              <w:spacing w:line="240" w:lineRule="exact"/>
              <w:jc w:val="right"/>
              <w:rPr>
                <w:rFonts w:ascii="宋体" w:eastAsia="宋体" w:hAnsi="宋体" w:cs="宋体" w:hint="eastAsia"/>
                <w:sz w:val="15"/>
                <w:szCs w:val="15"/>
              </w:rPr>
            </w:pPr>
          </w:p>
        </w:tc>
        <w:tc>
          <w:tcPr>
            <w:tcW w:w="1418" w:type="dxa"/>
            <w:shd w:val="clear" w:color="auto" w:fill="FFFFFF" w:themeFill="background1"/>
            <w:vAlign w:val="center"/>
          </w:tcPr>
          <w:p w14:paraId="47080F61" w14:textId="77777777" w:rsidR="00632E5B" w:rsidRPr="009568CF" w:rsidRDefault="00107901">
            <w:pPr>
              <w:spacing w:line="240" w:lineRule="exact"/>
              <w:jc w:val="right"/>
              <w:rPr>
                <w:rFonts w:ascii="宋体" w:eastAsia="宋体" w:hAnsi="宋体" w:cs="宋体" w:hint="eastAsia"/>
                <w:sz w:val="15"/>
                <w:szCs w:val="15"/>
              </w:rPr>
            </w:pPr>
            <w:r w:rsidRPr="009568CF">
              <w:rPr>
                <w:rFonts w:ascii="宋体" w:eastAsia="宋体" w:hAnsi="宋体" w:cs="宋体"/>
                <w:sz w:val="15"/>
                <w:szCs w:val="15"/>
              </w:rPr>
              <w:t>-439,664,566.79</w:t>
            </w:r>
          </w:p>
        </w:tc>
      </w:tr>
      <w:tr w:rsidR="00632E5B" w14:paraId="44B64B42" w14:textId="77777777" w:rsidTr="00DD2081">
        <w:trPr>
          <w:trHeight w:val="240"/>
          <w:jc w:val="center"/>
        </w:trPr>
        <w:tc>
          <w:tcPr>
            <w:tcW w:w="1071" w:type="dxa"/>
            <w:shd w:val="clear" w:color="auto" w:fill="FFFFFF" w:themeFill="background1"/>
            <w:vAlign w:val="center"/>
          </w:tcPr>
          <w:p w14:paraId="6C1EC5D3"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二、将重分类进损益的其他综合收益</w:t>
            </w:r>
          </w:p>
        </w:tc>
        <w:tc>
          <w:tcPr>
            <w:tcW w:w="1370" w:type="dxa"/>
            <w:shd w:val="clear" w:color="auto" w:fill="FFFFFF" w:themeFill="background1"/>
            <w:vAlign w:val="center"/>
          </w:tcPr>
          <w:p w14:paraId="73982FED" w14:textId="77777777" w:rsidR="00632E5B" w:rsidRPr="009568CF" w:rsidRDefault="00107901">
            <w:pPr>
              <w:spacing w:line="240" w:lineRule="exact"/>
              <w:jc w:val="right"/>
              <w:rPr>
                <w:rFonts w:ascii="宋体" w:eastAsia="宋体" w:hAnsi="宋体" w:cs="宋体" w:hint="eastAsia"/>
                <w:sz w:val="15"/>
                <w:szCs w:val="15"/>
              </w:rPr>
            </w:pPr>
            <w:r w:rsidRPr="009568CF">
              <w:rPr>
                <w:rFonts w:ascii="宋体" w:eastAsia="宋体" w:hAnsi="宋体" w:cs="宋体"/>
                <w:sz w:val="15"/>
                <w:szCs w:val="15"/>
              </w:rPr>
              <w:t>26,734,003.76</w:t>
            </w:r>
          </w:p>
        </w:tc>
        <w:tc>
          <w:tcPr>
            <w:tcW w:w="1276" w:type="dxa"/>
            <w:shd w:val="clear" w:color="auto" w:fill="FFFFFF" w:themeFill="background1"/>
            <w:vAlign w:val="center"/>
          </w:tcPr>
          <w:p w14:paraId="3073961A" w14:textId="77777777" w:rsidR="00632E5B" w:rsidRPr="009568CF" w:rsidRDefault="00107901">
            <w:pPr>
              <w:spacing w:line="240" w:lineRule="exact"/>
              <w:jc w:val="right"/>
              <w:rPr>
                <w:rFonts w:ascii="宋体" w:eastAsia="宋体" w:hAnsi="宋体" w:cs="宋体" w:hint="eastAsia"/>
                <w:sz w:val="15"/>
                <w:szCs w:val="15"/>
              </w:rPr>
            </w:pPr>
            <w:r w:rsidRPr="009568CF">
              <w:rPr>
                <w:rFonts w:ascii="宋体" w:eastAsia="宋体" w:hAnsi="宋体" w:cs="宋体"/>
                <w:sz w:val="15"/>
                <w:szCs w:val="15"/>
              </w:rPr>
              <w:t>16,923,402.83</w:t>
            </w:r>
          </w:p>
        </w:tc>
        <w:tc>
          <w:tcPr>
            <w:tcW w:w="1275" w:type="dxa"/>
            <w:shd w:val="clear" w:color="auto" w:fill="FFFFFF" w:themeFill="background1"/>
            <w:vAlign w:val="center"/>
          </w:tcPr>
          <w:p w14:paraId="5D5238CA" w14:textId="77777777" w:rsidR="00632E5B" w:rsidRPr="009568CF" w:rsidRDefault="00107901">
            <w:pPr>
              <w:spacing w:line="240" w:lineRule="exact"/>
              <w:jc w:val="right"/>
              <w:rPr>
                <w:rFonts w:ascii="宋体" w:eastAsia="宋体" w:hAnsi="宋体" w:cs="宋体" w:hint="eastAsia"/>
                <w:sz w:val="15"/>
                <w:szCs w:val="15"/>
              </w:rPr>
            </w:pPr>
            <w:r w:rsidRPr="009568CF">
              <w:rPr>
                <w:rFonts w:ascii="宋体" w:eastAsia="宋体" w:hAnsi="宋体" w:cs="宋体"/>
                <w:sz w:val="15"/>
                <w:szCs w:val="15"/>
              </w:rPr>
              <w:t>30,180,729.21</w:t>
            </w:r>
          </w:p>
        </w:tc>
        <w:tc>
          <w:tcPr>
            <w:tcW w:w="1101" w:type="dxa"/>
            <w:shd w:val="clear" w:color="auto" w:fill="FFFFFF" w:themeFill="background1"/>
            <w:vAlign w:val="center"/>
          </w:tcPr>
          <w:p w14:paraId="365972F4" w14:textId="77777777" w:rsidR="00632E5B" w:rsidRPr="009568CF" w:rsidRDefault="00632E5B">
            <w:pPr>
              <w:spacing w:line="240" w:lineRule="exact"/>
              <w:jc w:val="right"/>
              <w:rPr>
                <w:rFonts w:ascii="宋体" w:eastAsia="宋体" w:hAnsi="宋体" w:cs="宋体" w:hint="eastAsia"/>
                <w:sz w:val="15"/>
                <w:szCs w:val="15"/>
              </w:rPr>
            </w:pPr>
          </w:p>
        </w:tc>
        <w:tc>
          <w:tcPr>
            <w:tcW w:w="709" w:type="dxa"/>
            <w:shd w:val="clear" w:color="auto" w:fill="FFFFFF" w:themeFill="background1"/>
            <w:vAlign w:val="center"/>
          </w:tcPr>
          <w:p w14:paraId="209BBEC1" w14:textId="77777777" w:rsidR="00632E5B" w:rsidRPr="009568CF" w:rsidRDefault="00632E5B">
            <w:pPr>
              <w:spacing w:line="240" w:lineRule="exact"/>
              <w:jc w:val="right"/>
              <w:rPr>
                <w:rFonts w:ascii="宋体" w:eastAsia="宋体" w:hAnsi="宋体" w:cs="宋体" w:hint="eastAsia"/>
                <w:sz w:val="15"/>
                <w:szCs w:val="15"/>
              </w:rPr>
            </w:pPr>
          </w:p>
        </w:tc>
        <w:tc>
          <w:tcPr>
            <w:tcW w:w="1275" w:type="dxa"/>
            <w:shd w:val="clear" w:color="auto" w:fill="FFFFFF" w:themeFill="background1"/>
            <w:vAlign w:val="center"/>
          </w:tcPr>
          <w:p w14:paraId="11F1A9DD" w14:textId="77777777" w:rsidR="00632E5B" w:rsidRPr="009568CF" w:rsidRDefault="00107901">
            <w:pPr>
              <w:spacing w:line="240" w:lineRule="exact"/>
              <w:jc w:val="right"/>
              <w:rPr>
                <w:rFonts w:ascii="宋体" w:eastAsia="宋体" w:hAnsi="宋体" w:cs="宋体" w:hint="eastAsia"/>
                <w:sz w:val="15"/>
                <w:szCs w:val="15"/>
              </w:rPr>
            </w:pPr>
            <w:r w:rsidRPr="009568CF">
              <w:rPr>
                <w:rFonts w:ascii="宋体" w:eastAsia="宋体" w:hAnsi="宋体" w:cs="宋体"/>
                <w:sz w:val="15"/>
                <w:szCs w:val="15"/>
              </w:rPr>
              <w:t>-13,098,916.08</w:t>
            </w:r>
          </w:p>
        </w:tc>
        <w:tc>
          <w:tcPr>
            <w:tcW w:w="1134" w:type="dxa"/>
            <w:shd w:val="clear" w:color="auto" w:fill="FFFFFF" w:themeFill="background1"/>
            <w:vAlign w:val="center"/>
          </w:tcPr>
          <w:p w14:paraId="7F0E3C27" w14:textId="77777777" w:rsidR="00632E5B" w:rsidRPr="009568CF" w:rsidRDefault="00107901">
            <w:pPr>
              <w:spacing w:line="240" w:lineRule="exact"/>
              <w:jc w:val="right"/>
              <w:rPr>
                <w:rFonts w:ascii="宋体" w:eastAsia="宋体" w:hAnsi="宋体" w:cs="宋体" w:hint="eastAsia"/>
                <w:sz w:val="15"/>
                <w:szCs w:val="15"/>
              </w:rPr>
            </w:pPr>
            <w:r w:rsidRPr="009568CF">
              <w:rPr>
                <w:rFonts w:ascii="宋体" w:eastAsia="宋体" w:hAnsi="宋体" w:cs="宋体"/>
                <w:sz w:val="15"/>
                <w:szCs w:val="15"/>
              </w:rPr>
              <w:t>-158,410.30</w:t>
            </w:r>
          </w:p>
        </w:tc>
        <w:tc>
          <w:tcPr>
            <w:tcW w:w="1418" w:type="dxa"/>
            <w:shd w:val="clear" w:color="auto" w:fill="FFFFFF" w:themeFill="background1"/>
            <w:vAlign w:val="center"/>
          </w:tcPr>
          <w:p w14:paraId="60269F33" w14:textId="77777777" w:rsidR="00632E5B" w:rsidRPr="009568CF" w:rsidRDefault="00107901">
            <w:pPr>
              <w:spacing w:line="240" w:lineRule="exact"/>
              <w:jc w:val="right"/>
              <w:rPr>
                <w:rFonts w:ascii="宋体" w:eastAsia="宋体" w:hAnsi="宋体" w:cs="宋体" w:hint="eastAsia"/>
                <w:sz w:val="15"/>
                <w:szCs w:val="15"/>
              </w:rPr>
            </w:pPr>
            <w:r w:rsidRPr="009568CF">
              <w:rPr>
                <w:rFonts w:ascii="宋体" w:eastAsia="宋体" w:hAnsi="宋体" w:cs="宋体"/>
                <w:sz w:val="15"/>
                <w:szCs w:val="15"/>
              </w:rPr>
              <w:t>13,635,087.68</w:t>
            </w:r>
          </w:p>
        </w:tc>
      </w:tr>
      <w:tr w:rsidR="00632E5B" w14:paraId="47068968" w14:textId="77777777" w:rsidTr="00DD2081">
        <w:trPr>
          <w:trHeight w:val="240"/>
          <w:jc w:val="center"/>
        </w:trPr>
        <w:tc>
          <w:tcPr>
            <w:tcW w:w="1071" w:type="dxa"/>
            <w:shd w:val="clear" w:color="auto" w:fill="FFFFFF" w:themeFill="background1"/>
            <w:vAlign w:val="center"/>
          </w:tcPr>
          <w:p w14:paraId="2071F3C0" w14:textId="77777777" w:rsidR="00632E5B" w:rsidRDefault="0010790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外币财务报表折算差额</w:t>
            </w:r>
          </w:p>
        </w:tc>
        <w:tc>
          <w:tcPr>
            <w:tcW w:w="1370" w:type="dxa"/>
            <w:shd w:val="clear" w:color="auto" w:fill="FFFFFF" w:themeFill="background1"/>
            <w:vAlign w:val="center"/>
          </w:tcPr>
          <w:p w14:paraId="4EA0DF3F" w14:textId="77777777" w:rsidR="00632E5B" w:rsidRPr="009568CF" w:rsidRDefault="00107901">
            <w:pPr>
              <w:spacing w:line="240" w:lineRule="exact"/>
              <w:jc w:val="right"/>
              <w:rPr>
                <w:rFonts w:ascii="宋体" w:eastAsia="宋体" w:hAnsi="宋体" w:cs="宋体" w:hint="eastAsia"/>
                <w:sz w:val="15"/>
                <w:szCs w:val="15"/>
              </w:rPr>
            </w:pPr>
            <w:r w:rsidRPr="009568CF">
              <w:rPr>
                <w:rFonts w:ascii="宋体" w:eastAsia="宋体" w:hAnsi="宋体" w:cs="宋体"/>
                <w:sz w:val="15"/>
                <w:szCs w:val="15"/>
              </w:rPr>
              <w:t>26,734,003.76</w:t>
            </w:r>
          </w:p>
        </w:tc>
        <w:tc>
          <w:tcPr>
            <w:tcW w:w="1276" w:type="dxa"/>
            <w:shd w:val="clear" w:color="auto" w:fill="FFFFFF" w:themeFill="background1"/>
            <w:vAlign w:val="center"/>
          </w:tcPr>
          <w:p w14:paraId="0CA14D34" w14:textId="77777777" w:rsidR="00632E5B" w:rsidRPr="009568CF" w:rsidRDefault="00107901">
            <w:pPr>
              <w:spacing w:line="240" w:lineRule="exact"/>
              <w:jc w:val="right"/>
              <w:rPr>
                <w:rFonts w:ascii="宋体" w:eastAsia="宋体" w:hAnsi="宋体" w:cs="宋体" w:hint="eastAsia"/>
                <w:sz w:val="15"/>
                <w:szCs w:val="15"/>
              </w:rPr>
            </w:pPr>
            <w:r w:rsidRPr="009568CF">
              <w:rPr>
                <w:rFonts w:ascii="宋体" w:eastAsia="宋体" w:hAnsi="宋体" w:cs="宋体"/>
                <w:sz w:val="15"/>
                <w:szCs w:val="15"/>
              </w:rPr>
              <w:t>16,923,402.83</w:t>
            </w:r>
          </w:p>
        </w:tc>
        <w:tc>
          <w:tcPr>
            <w:tcW w:w="1275" w:type="dxa"/>
            <w:shd w:val="clear" w:color="auto" w:fill="FFFFFF" w:themeFill="background1"/>
            <w:vAlign w:val="center"/>
          </w:tcPr>
          <w:p w14:paraId="231B8B26" w14:textId="77777777" w:rsidR="00632E5B" w:rsidRPr="009568CF" w:rsidRDefault="00107901">
            <w:pPr>
              <w:spacing w:line="240" w:lineRule="exact"/>
              <w:jc w:val="right"/>
              <w:rPr>
                <w:rFonts w:ascii="宋体" w:eastAsia="宋体" w:hAnsi="宋体" w:cs="宋体" w:hint="eastAsia"/>
                <w:sz w:val="15"/>
                <w:szCs w:val="15"/>
              </w:rPr>
            </w:pPr>
            <w:r w:rsidRPr="009568CF">
              <w:rPr>
                <w:rFonts w:ascii="宋体" w:eastAsia="宋体" w:hAnsi="宋体" w:cs="宋体"/>
                <w:sz w:val="15"/>
                <w:szCs w:val="15"/>
              </w:rPr>
              <w:t>30,180,729.21</w:t>
            </w:r>
          </w:p>
        </w:tc>
        <w:tc>
          <w:tcPr>
            <w:tcW w:w="1101" w:type="dxa"/>
            <w:shd w:val="clear" w:color="auto" w:fill="FFFFFF" w:themeFill="background1"/>
            <w:vAlign w:val="center"/>
          </w:tcPr>
          <w:p w14:paraId="72B600AD" w14:textId="77777777" w:rsidR="00632E5B" w:rsidRPr="009568CF" w:rsidRDefault="00632E5B">
            <w:pPr>
              <w:spacing w:line="240" w:lineRule="exact"/>
              <w:jc w:val="right"/>
              <w:rPr>
                <w:rFonts w:ascii="宋体" w:eastAsia="宋体" w:hAnsi="宋体" w:cs="宋体" w:hint="eastAsia"/>
                <w:sz w:val="15"/>
                <w:szCs w:val="15"/>
              </w:rPr>
            </w:pPr>
          </w:p>
        </w:tc>
        <w:tc>
          <w:tcPr>
            <w:tcW w:w="709" w:type="dxa"/>
            <w:shd w:val="clear" w:color="auto" w:fill="FFFFFF" w:themeFill="background1"/>
            <w:vAlign w:val="center"/>
          </w:tcPr>
          <w:p w14:paraId="4B44DED0" w14:textId="77777777" w:rsidR="00632E5B" w:rsidRPr="009568CF" w:rsidRDefault="00632E5B">
            <w:pPr>
              <w:spacing w:line="240" w:lineRule="exact"/>
              <w:jc w:val="right"/>
              <w:rPr>
                <w:rFonts w:ascii="宋体" w:eastAsia="宋体" w:hAnsi="宋体" w:cs="宋体" w:hint="eastAsia"/>
                <w:sz w:val="15"/>
                <w:szCs w:val="15"/>
              </w:rPr>
            </w:pPr>
          </w:p>
        </w:tc>
        <w:tc>
          <w:tcPr>
            <w:tcW w:w="1275" w:type="dxa"/>
            <w:shd w:val="clear" w:color="auto" w:fill="FFFFFF" w:themeFill="background1"/>
            <w:vAlign w:val="center"/>
          </w:tcPr>
          <w:p w14:paraId="2C24B60B" w14:textId="77777777" w:rsidR="00632E5B" w:rsidRPr="009568CF" w:rsidRDefault="00107901">
            <w:pPr>
              <w:spacing w:line="240" w:lineRule="exact"/>
              <w:jc w:val="right"/>
              <w:rPr>
                <w:rFonts w:ascii="宋体" w:eastAsia="宋体" w:hAnsi="宋体" w:cs="宋体" w:hint="eastAsia"/>
                <w:sz w:val="15"/>
                <w:szCs w:val="15"/>
              </w:rPr>
            </w:pPr>
            <w:r w:rsidRPr="009568CF">
              <w:rPr>
                <w:rFonts w:ascii="宋体" w:eastAsia="宋体" w:hAnsi="宋体" w:cs="宋体"/>
                <w:sz w:val="15"/>
                <w:szCs w:val="15"/>
              </w:rPr>
              <w:t>-13,098,916.08</w:t>
            </w:r>
          </w:p>
        </w:tc>
        <w:tc>
          <w:tcPr>
            <w:tcW w:w="1134" w:type="dxa"/>
            <w:shd w:val="clear" w:color="auto" w:fill="FFFFFF" w:themeFill="background1"/>
            <w:vAlign w:val="center"/>
          </w:tcPr>
          <w:p w14:paraId="17688DBA" w14:textId="77777777" w:rsidR="00632E5B" w:rsidRPr="009568CF" w:rsidRDefault="00107901">
            <w:pPr>
              <w:spacing w:line="240" w:lineRule="exact"/>
              <w:jc w:val="right"/>
              <w:rPr>
                <w:rFonts w:ascii="宋体" w:eastAsia="宋体" w:hAnsi="宋体" w:cs="宋体" w:hint="eastAsia"/>
                <w:sz w:val="15"/>
                <w:szCs w:val="15"/>
              </w:rPr>
            </w:pPr>
            <w:r w:rsidRPr="009568CF">
              <w:rPr>
                <w:rFonts w:ascii="宋体" w:eastAsia="宋体" w:hAnsi="宋体" w:cs="宋体"/>
                <w:sz w:val="15"/>
                <w:szCs w:val="15"/>
              </w:rPr>
              <w:t>-158,410.30</w:t>
            </w:r>
          </w:p>
        </w:tc>
        <w:tc>
          <w:tcPr>
            <w:tcW w:w="1418" w:type="dxa"/>
            <w:shd w:val="clear" w:color="auto" w:fill="FFFFFF" w:themeFill="background1"/>
            <w:vAlign w:val="center"/>
          </w:tcPr>
          <w:p w14:paraId="2111E839" w14:textId="77777777" w:rsidR="00632E5B" w:rsidRPr="009568CF" w:rsidRDefault="00107901">
            <w:pPr>
              <w:spacing w:line="240" w:lineRule="exact"/>
              <w:jc w:val="right"/>
              <w:rPr>
                <w:rFonts w:ascii="宋体" w:eastAsia="宋体" w:hAnsi="宋体" w:cs="宋体" w:hint="eastAsia"/>
                <w:sz w:val="15"/>
                <w:szCs w:val="15"/>
              </w:rPr>
            </w:pPr>
            <w:r w:rsidRPr="009568CF">
              <w:rPr>
                <w:rFonts w:ascii="宋体" w:eastAsia="宋体" w:hAnsi="宋体" w:cs="宋体"/>
                <w:sz w:val="15"/>
                <w:szCs w:val="15"/>
              </w:rPr>
              <w:t>13,635,087.68</w:t>
            </w:r>
          </w:p>
        </w:tc>
      </w:tr>
      <w:tr w:rsidR="00632E5B" w14:paraId="054E8468" w14:textId="77777777" w:rsidTr="00DD2081">
        <w:trPr>
          <w:trHeight w:val="240"/>
          <w:jc w:val="center"/>
        </w:trPr>
        <w:tc>
          <w:tcPr>
            <w:tcW w:w="1071" w:type="dxa"/>
            <w:shd w:val="clear" w:color="auto" w:fill="FFFFFF" w:themeFill="background1"/>
            <w:vAlign w:val="center"/>
          </w:tcPr>
          <w:p w14:paraId="60D2252F"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其他综合收益合计</w:t>
            </w:r>
          </w:p>
        </w:tc>
        <w:tc>
          <w:tcPr>
            <w:tcW w:w="1370" w:type="dxa"/>
            <w:shd w:val="clear" w:color="auto" w:fill="FFFFFF" w:themeFill="background1"/>
            <w:vAlign w:val="center"/>
          </w:tcPr>
          <w:p w14:paraId="78E96412" w14:textId="77777777" w:rsidR="00632E5B" w:rsidRPr="009568CF" w:rsidRDefault="00107901">
            <w:pPr>
              <w:spacing w:line="240" w:lineRule="exact"/>
              <w:jc w:val="right"/>
              <w:rPr>
                <w:rFonts w:ascii="宋体" w:eastAsia="宋体" w:hAnsi="宋体" w:cs="宋体" w:hint="eastAsia"/>
                <w:sz w:val="15"/>
                <w:szCs w:val="15"/>
              </w:rPr>
            </w:pPr>
            <w:r w:rsidRPr="009568CF">
              <w:rPr>
                <w:rFonts w:ascii="宋体" w:eastAsia="宋体" w:hAnsi="宋体" w:cs="宋体"/>
                <w:sz w:val="15"/>
                <w:szCs w:val="15"/>
              </w:rPr>
              <w:t>-412,547,732.99</w:t>
            </w:r>
          </w:p>
        </w:tc>
        <w:tc>
          <w:tcPr>
            <w:tcW w:w="1276" w:type="dxa"/>
            <w:shd w:val="clear" w:color="auto" w:fill="FFFFFF" w:themeFill="background1"/>
            <w:vAlign w:val="center"/>
          </w:tcPr>
          <w:p w14:paraId="2CB10B3D" w14:textId="77777777" w:rsidR="00632E5B" w:rsidRPr="009568CF" w:rsidRDefault="00107901">
            <w:pPr>
              <w:spacing w:line="240" w:lineRule="exact"/>
              <w:jc w:val="right"/>
              <w:rPr>
                <w:rFonts w:ascii="宋体" w:eastAsia="宋体" w:hAnsi="宋体" w:cs="宋体" w:hint="eastAsia"/>
                <w:sz w:val="15"/>
                <w:szCs w:val="15"/>
              </w:rPr>
            </w:pPr>
            <w:r w:rsidRPr="009568CF">
              <w:rPr>
                <w:rFonts w:ascii="宋体" w:eastAsia="宋体" w:hAnsi="宋体" w:cs="宋体"/>
                <w:sz w:val="15"/>
                <w:szCs w:val="15"/>
              </w:rPr>
              <w:t>16,540,572.79</w:t>
            </w:r>
          </w:p>
        </w:tc>
        <w:tc>
          <w:tcPr>
            <w:tcW w:w="1275" w:type="dxa"/>
            <w:shd w:val="clear" w:color="auto" w:fill="FFFFFF" w:themeFill="background1"/>
            <w:vAlign w:val="center"/>
          </w:tcPr>
          <w:p w14:paraId="1F08F103" w14:textId="77777777" w:rsidR="00632E5B" w:rsidRPr="009568CF" w:rsidRDefault="00107901">
            <w:pPr>
              <w:spacing w:line="240" w:lineRule="exact"/>
              <w:jc w:val="right"/>
              <w:rPr>
                <w:rFonts w:ascii="宋体" w:eastAsia="宋体" w:hAnsi="宋体" w:cs="宋体" w:hint="eastAsia"/>
                <w:sz w:val="15"/>
                <w:szCs w:val="15"/>
              </w:rPr>
            </w:pPr>
            <w:r w:rsidRPr="009568CF">
              <w:rPr>
                <w:rFonts w:ascii="宋体" w:eastAsia="宋体" w:hAnsi="宋体" w:cs="宋体"/>
                <w:sz w:val="15"/>
                <w:szCs w:val="15"/>
              </w:rPr>
              <w:t>30,180,729.21</w:t>
            </w:r>
          </w:p>
        </w:tc>
        <w:tc>
          <w:tcPr>
            <w:tcW w:w="1101" w:type="dxa"/>
            <w:shd w:val="clear" w:color="auto" w:fill="FFFFFF" w:themeFill="background1"/>
            <w:vAlign w:val="center"/>
          </w:tcPr>
          <w:p w14:paraId="3512CF5D" w14:textId="77777777" w:rsidR="00632E5B" w:rsidRPr="009568CF" w:rsidRDefault="00632E5B">
            <w:pPr>
              <w:spacing w:line="240" w:lineRule="exact"/>
              <w:jc w:val="right"/>
              <w:rPr>
                <w:rFonts w:ascii="宋体" w:eastAsia="宋体" w:hAnsi="宋体" w:cs="宋体" w:hint="eastAsia"/>
                <w:sz w:val="15"/>
                <w:szCs w:val="15"/>
              </w:rPr>
            </w:pPr>
          </w:p>
        </w:tc>
        <w:tc>
          <w:tcPr>
            <w:tcW w:w="709" w:type="dxa"/>
            <w:shd w:val="clear" w:color="auto" w:fill="FFFFFF" w:themeFill="background1"/>
            <w:vAlign w:val="center"/>
          </w:tcPr>
          <w:p w14:paraId="2DAA035F" w14:textId="77777777" w:rsidR="00632E5B" w:rsidRPr="009568CF" w:rsidRDefault="00632E5B">
            <w:pPr>
              <w:spacing w:line="240" w:lineRule="exact"/>
              <w:jc w:val="right"/>
              <w:rPr>
                <w:rFonts w:ascii="宋体" w:eastAsia="宋体" w:hAnsi="宋体" w:cs="宋体" w:hint="eastAsia"/>
                <w:sz w:val="15"/>
                <w:szCs w:val="15"/>
              </w:rPr>
            </w:pPr>
          </w:p>
        </w:tc>
        <w:tc>
          <w:tcPr>
            <w:tcW w:w="1275" w:type="dxa"/>
            <w:shd w:val="clear" w:color="auto" w:fill="FFFFFF" w:themeFill="background1"/>
            <w:vAlign w:val="center"/>
          </w:tcPr>
          <w:p w14:paraId="6E500C28" w14:textId="77777777" w:rsidR="00632E5B" w:rsidRPr="009568CF" w:rsidRDefault="00107901">
            <w:pPr>
              <w:spacing w:line="240" w:lineRule="exact"/>
              <w:jc w:val="right"/>
              <w:rPr>
                <w:rFonts w:ascii="宋体" w:eastAsia="宋体" w:hAnsi="宋体" w:cs="宋体" w:hint="eastAsia"/>
                <w:sz w:val="15"/>
                <w:szCs w:val="15"/>
              </w:rPr>
            </w:pPr>
            <w:r w:rsidRPr="009568CF">
              <w:rPr>
                <w:rFonts w:ascii="宋体" w:eastAsia="宋体" w:hAnsi="宋体" w:cs="宋体"/>
                <w:sz w:val="15"/>
                <w:szCs w:val="15"/>
              </w:rPr>
              <w:t>-13,481,746.12</w:t>
            </w:r>
          </w:p>
        </w:tc>
        <w:tc>
          <w:tcPr>
            <w:tcW w:w="1134" w:type="dxa"/>
            <w:shd w:val="clear" w:color="auto" w:fill="FFFFFF" w:themeFill="background1"/>
            <w:vAlign w:val="center"/>
          </w:tcPr>
          <w:p w14:paraId="0FEF40A9" w14:textId="77777777" w:rsidR="00632E5B" w:rsidRPr="009568CF" w:rsidRDefault="00107901">
            <w:pPr>
              <w:spacing w:line="240" w:lineRule="exact"/>
              <w:jc w:val="right"/>
              <w:rPr>
                <w:rFonts w:ascii="宋体" w:eastAsia="宋体" w:hAnsi="宋体" w:cs="宋体" w:hint="eastAsia"/>
                <w:sz w:val="15"/>
                <w:szCs w:val="15"/>
              </w:rPr>
            </w:pPr>
            <w:r w:rsidRPr="009568CF">
              <w:rPr>
                <w:rFonts w:ascii="宋体" w:eastAsia="宋体" w:hAnsi="宋体" w:cs="宋体"/>
                <w:sz w:val="15"/>
                <w:szCs w:val="15"/>
              </w:rPr>
              <w:t>-158,410.30</w:t>
            </w:r>
          </w:p>
        </w:tc>
        <w:tc>
          <w:tcPr>
            <w:tcW w:w="1418" w:type="dxa"/>
            <w:shd w:val="clear" w:color="auto" w:fill="FFFFFF" w:themeFill="background1"/>
            <w:vAlign w:val="center"/>
          </w:tcPr>
          <w:p w14:paraId="68905D0C" w14:textId="77777777" w:rsidR="00632E5B" w:rsidRPr="009568CF" w:rsidRDefault="00107901">
            <w:pPr>
              <w:spacing w:line="240" w:lineRule="exact"/>
              <w:jc w:val="right"/>
              <w:rPr>
                <w:rFonts w:ascii="宋体" w:eastAsia="宋体" w:hAnsi="宋体" w:cs="宋体" w:hint="eastAsia"/>
                <w:sz w:val="15"/>
                <w:szCs w:val="15"/>
              </w:rPr>
            </w:pPr>
            <w:r w:rsidRPr="009568CF">
              <w:rPr>
                <w:rFonts w:ascii="宋体" w:eastAsia="宋体" w:hAnsi="宋体" w:cs="宋体"/>
                <w:sz w:val="15"/>
                <w:szCs w:val="15"/>
              </w:rPr>
              <w:t>-426,029,479.11</w:t>
            </w:r>
          </w:p>
        </w:tc>
      </w:tr>
    </w:tbl>
    <w:p w14:paraId="56007ABA" w14:textId="77777777" w:rsidR="00DD2081" w:rsidRDefault="00DD2081">
      <w:pPr>
        <w:pStyle w:val="3"/>
        <w:spacing w:line="280" w:lineRule="exact"/>
        <w:jc w:val="left"/>
        <w:rPr>
          <w:rFonts w:ascii="宋体" w:hAnsi="宋体" w:cs="宋体" w:hint="eastAsia"/>
          <w:b/>
          <w:bCs/>
        </w:rPr>
      </w:pPr>
      <w:bookmarkStart w:id="307" w:name="_Toc989194"/>
    </w:p>
    <w:p w14:paraId="69F236C6" w14:textId="77777777" w:rsidR="00DD2081" w:rsidRDefault="00DD2081">
      <w:pPr>
        <w:widowControl/>
        <w:rPr>
          <w:rFonts w:ascii="宋体" w:eastAsia="宋体" w:hAnsi="宋体" w:cs="宋体" w:hint="eastAsia"/>
          <w:b/>
          <w:bCs/>
          <w:szCs w:val="21"/>
        </w:rPr>
      </w:pPr>
      <w:r>
        <w:rPr>
          <w:rFonts w:ascii="宋体" w:hAnsi="宋体" w:cs="宋体" w:hint="eastAsia"/>
          <w:b/>
          <w:bCs/>
        </w:rPr>
        <w:br w:type="page"/>
      </w:r>
    </w:p>
    <w:p w14:paraId="67FAE8FA" w14:textId="6B7105A3" w:rsidR="00632E5B" w:rsidRDefault="00107901">
      <w:pPr>
        <w:pStyle w:val="3"/>
        <w:spacing w:line="280" w:lineRule="exact"/>
        <w:jc w:val="left"/>
        <w:rPr>
          <w:rFonts w:ascii="宋体" w:hAnsi="宋体" w:cs="宋体" w:hint="eastAsia"/>
          <w:b/>
          <w:bCs/>
        </w:rPr>
      </w:pPr>
      <w:r>
        <w:rPr>
          <w:rFonts w:ascii="宋体" w:hAnsi="宋体" w:cs="宋体"/>
          <w:b/>
          <w:bCs/>
        </w:rPr>
        <w:lastRenderedPageBreak/>
        <w:t>41、盈余公积</w:t>
      </w:r>
      <w:bookmarkEnd w:id="307"/>
    </w:p>
    <w:p w14:paraId="1FC8B1C3"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927"/>
        <w:gridCol w:w="1928"/>
        <w:gridCol w:w="1928"/>
        <w:gridCol w:w="1928"/>
        <w:gridCol w:w="1928"/>
      </w:tblGrid>
      <w:tr w:rsidR="00632E5B" w14:paraId="4E67B47E" w14:textId="77777777" w:rsidTr="00DD2081">
        <w:trPr>
          <w:trHeight w:val="240"/>
        </w:trPr>
        <w:tc>
          <w:tcPr>
            <w:tcW w:w="1928" w:type="dxa"/>
            <w:shd w:val="clear" w:color="auto" w:fill="FFFFFF" w:themeFill="background1"/>
            <w:vAlign w:val="center"/>
          </w:tcPr>
          <w:p w14:paraId="715851B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928" w:type="dxa"/>
            <w:shd w:val="clear" w:color="auto" w:fill="FFFFFF" w:themeFill="background1"/>
            <w:vAlign w:val="center"/>
          </w:tcPr>
          <w:p w14:paraId="6444BFE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928" w:type="dxa"/>
            <w:shd w:val="clear" w:color="auto" w:fill="FFFFFF" w:themeFill="background1"/>
            <w:vAlign w:val="center"/>
          </w:tcPr>
          <w:p w14:paraId="3C8432D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1928" w:type="dxa"/>
            <w:shd w:val="clear" w:color="auto" w:fill="FFFFFF" w:themeFill="background1"/>
            <w:vAlign w:val="center"/>
          </w:tcPr>
          <w:p w14:paraId="369EC44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1928" w:type="dxa"/>
            <w:shd w:val="clear" w:color="auto" w:fill="FFFFFF" w:themeFill="background1"/>
            <w:vAlign w:val="center"/>
          </w:tcPr>
          <w:p w14:paraId="03DCF32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632E5B" w14:paraId="52F8BCE4" w14:textId="77777777" w:rsidTr="00DD2081">
        <w:trPr>
          <w:trHeight w:val="240"/>
        </w:trPr>
        <w:tc>
          <w:tcPr>
            <w:tcW w:w="1928" w:type="dxa"/>
            <w:shd w:val="clear" w:color="auto" w:fill="FFFFFF" w:themeFill="background1"/>
            <w:vAlign w:val="center"/>
          </w:tcPr>
          <w:p w14:paraId="7B842381"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法定盈余公积</w:t>
            </w:r>
          </w:p>
        </w:tc>
        <w:tc>
          <w:tcPr>
            <w:tcW w:w="1928" w:type="dxa"/>
            <w:shd w:val="clear" w:color="auto" w:fill="FFFFFF" w:themeFill="background1"/>
            <w:vAlign w:val="center"/>
          </w:tcPr>
          <w:p w14:paraId="175314F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216,351,763.17</w:t>
            </w:r>
          </w:p>
        </w:tc>
        <w:tc>
          <w:tcPr>
            <w:tcW w:w="1928" w:type="dxa"/>
            <w:shd w:val="clear" w:color="auto" w:fill="FFFFFF" w:themeFill="background1"/>
            <w:vAlign w:val="center"/>
          </w:tcPr>
          <w:p w14:paraId="6958CA9B" w14:textId="77777777" w:rsidR="00632E5B" w:rsidRDefault="00632E5B">
            <w:pPr>
              <w:spacing w:line="240" w:lineRule="exact"/>
              <w:jc w:val="right"/>
              <w:rPr>
                <w:rFonts w:ascii="宋体" w:eastAsia="宋体" w:hAnsi="宋体" w:cs="宋体" w:hint="eastAsia"/>
                <w:sz w:val="18"/>
                <w:szCs w:val="18"/>
              </w:rPr>
            </w:pPr>
          </w:p>
        </w:tc>
        <w:tc>
          <w:tcPr>
            <w:tcW w:w="1928" w:type="dxa"/>
            <w:shd w:val="clear" w:color="auto" w:fill="FFFFFF" w:themeFill="background1"/>
            <w:vAlign w:val="center"/>
          </w:tcPr>
          <w:p w14:paraId="0E618BF5" w14:textId="77777777" w:rsidR="00632E5B" w:rsidRDefault="00632E5B">
            <w:pPr>
              <w:spacing w:line="240" w:lineRule="exact"/>
              <w:jc w:val="right"/>
              <w:rPr>
                <w:rFonts w:ascii="宋体" w:eastAsia="宋体" w:hAnsi="宋体" w:cs="宋体" w:hint="eastAsia"/>
                <w:sz w:val="18"/>
                <w:szCs w:val="18"/>
              </w:rPr>
            </w:pPr>
          </w:p>
        </w:tc>
        <w:tc>
          <w:tcPr>
            <w:tcW w:w="1928" w:type="dxa"/>
            <w:shd w:val="clear" w:color="auto" w:fill="FFFFFF" w:themeFill="background1"/>
            <w:vAlign w:val="center"/>
          </w:tcPr>
          <w:p w14:paraId="4F42DBD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216,351,763.17</w:t>
            </w:r>
          </w:p>
        </w:tc>
      </w:tr>
      <w:tr w:rsidR="00632E5B" w14:paraId="13D564F5" w14:textId="77777777" w:rsidTr="00DD2081">
        <w:trPr>
          <w:trHeight w:val="240"/>
        </w:trPr>
        <w:tc>
          <w:tcPr>
            <w:tcW w:w="1928" w:type="dxa"/>
            <w:shd w:val="clear" w:color="auto" w:fill="FFFFFF" w:themeFill="background1"/>
            <w:vAlign w:val="center"/>
          </w:tcPr>
          <w:p w14:paraId="2B736559"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shd w:val="clear" w:color="auto" w:fill="FFFFFF" w:themeFill="background1"/>
            <w:vAlign w:val="center"/>
          </w:tcPr>
          <w:p w14:paraId="0503DE1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216,351,763.17</w:t>
            </w:r>
          </w:p>
        </w:tc>
        <w:tc>
          <w:tcPr>
            <w:tcW w:w="1928" w:type="dxa"/>
            <w:shd w:val="clear" w:color="auto" w:fill="FFFFFF" w:themeFill="background1"/>
            <w:vAlign w:val="center"/>
          </w:tcPr>
          <w:p w14:paraId="006C4BF6" w14:textId="77777777" w:rsidR="00632E5B" w:rsidRDefault="00632E5B">
            <w:pPr>
              <w:spacing w:line="240" w:lineRule="exact"/>
              <w:jc w:val="right"/>
              <w:rPr>
                <w:rFonts w:ascii="宋体" w:eastAsia="宋体" w:hAnsi="宋体" w:cs="宋体" w:hint="eastAsia"/>
                <w:sz w:val="18"/>
                <w:szCs w:val="18"/>
              </w:rPr>
            </w:pPr>
          </w:p>
        </w:tc>
        <w:tc>
          <w:tcPr>
            <w:tcW w:w="1928" w:type="dxa"/>
            <w:shd w:val="clear" w:color="auto" w:fill="FFFFFF" w:themeFill="background1"/>
            <w:vAlign w:val="center"/>
          </w:tcPr>
          <w:p w14:paraId="55AADEE7" w14:textId="77777777" w:rsidR="00632E5B" w:rsidRDefault="00632E5B">
            <w:pPr>
              <w:spacing w:line="240" w:lineRule="exact"/>
              <w:jc w:val="right"/>
              <w:rPr>
                <w:rFonts w:ascii="宋体" w:eastAsia="宋体" w:hAnsi="宋体" w:cs="宋体" w:hint="eastAsia"/>
                <w:sz w:val="18"/>
                <w:szCs w:val="18"/>
              </w:rPr>
            </w:pPr>
          </w:p>
        </w:tc>
        <w:tc>
          <w:tcPr>
            <w:tcW w:w="1928" w:type="dxa"/>
            <w:shd w:val="clear" w:color="auto" w:fill="FFFFFF" w:themeFill="background1"/>
            <w:vAlign w:val="center"/>
          </w:tcPr>
          <w:p w14:paraId="1736292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216,351,763.17</w:t>
            </w:r>
          </w:p>
        </w:tc>
      </w:tr>
    </w:tbl>
    <w:p w14:paraId="0AD77745" w14:textId="77777777" w:rsidR="00632E5B" w:rsidRDefault="00107901">
      <w:pPr>
        <w:pStyle w:val="3"/>
        <w:spacing w:line="280" w:lineRule="exact"/>
        <w:jc w:val="left"/>
        <w:rPr>
          <w:rFonts w:ascii="宋体" w:hAnsi="宋体" w:cs="宋体" w:hint="eastAsia"/>
          <w:b/>
          <w:bCs/>
        </w:rPr>
      </w:pPr>
      <w:bookmarkStart w:id="308" w:name="_Toc989195"/>
      <w:r>
        <w:rPr>
          <w:rFonts w:ascii="宋体" w:hAnsi="宋体" w:cs="宋体"/>
          <w:b/>
          <w:bCs/>
        </w:rPr>
        <w:t>42、未分配利润</w:t>
      </w:r>
      <w:bookmarkEnd w:id="308"/>
    </w:p>
    <w:p w14:paraId="07074AB7"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12790EA4" w14:textId="77777777" w:rsidTr="00DD2081">
        <w:trPr>
          <w:trHeight w:val="240"/>
        </w:trPr>
        <w:tc>
          <w:tcPr>
            <w:tcW w:w="3213" w:type="dxa"/>
            <w:shd w:val="clear" w:color="auto" w:fill="FFFFFF" w:themeFill="background1"/>
            <w:vAlign w:val="center"/>
          </w:tcPr>
          <w:p w14:paraId="3DCA0E3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0B91507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w:t>
            </w:r>
          </w:p>
        </w:tc>
        <w:tc>
          <w:tcPr>
            <w:tcW w:w="3213" w:type="dxa"/>
            <w:shd w:val="clear" w:color="auto" w:fill="FFFFFF" w:themeFill="background1"/>
            <w:vAlign w:val="center"/>
          </w:tcPr>
          <w:p w14:paraId="60C8CD4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w:t>
            </w:r>
          </w:p>
        </w:tc>
      </w:tr>
      <w:tr w:rsidR="00632E5B" w14:paraId="0FA7B8E5" w14:textId="77777777" w:rsidTr="00DD2081">
        <w:trPr>
          <w:trHeight w:val="240"/>
        </w:trPr>
        <w:tc>
          <w:tcPr>
            <w:tcW w:w="3213" w:type="dxa"/>
            <w:shd w:val="clear" w:color="auto" w:fill="FFFFFF" w:themeFill="background1"/>
            <w:vAlign w:val="center"/>
          </w:tcPr>
          <w:p w14:paraId="4933733B"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调整前上期末未分配利润</w:t>
            </w:r>
          </w:p>
        </w:tc>
        <w:tc>
          <w:tcPr>
            <w:tcW w:w="3213" w:type="dxa"/>
            <w:shd w:val="clear" w:color="auto" w:fill="FFFFFF" w:themeFill="background1"/>
            <w:vAlign w:val="center"/>
          </w:tcPr>
          <w:p w14:paraId="55D88D7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-7,361,184,849.70</w:t>
            </w:r>
          </w:p>
        </w:tc>
        <w:tc>
          <w:tcPr>
            <w:tcW w:w="3213" w:type="dxa"/>
            <w:shd w:val="clear" w:color="auto" w:fill="FFFFFF" w:themeFill="background1"/>
            <w:vAlign w:val="center"/>
          </w:tcPr>
          <w:p w14:paraId="6FB8628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-5,918,017,100.38</w:t>
            </w:r>
          </w:p>
        </w:tc>
      </w:tr>
      <w:tr w:rsidR="00632E5B" w14:paraId="43FE12CB" w14:textId="77777777" w:rsidTr="00DD2081">
        <w:trPr>
          <w:trHeight w:val="240"/>
        </w:trPr>
        <w:tc>
          <w:tcPr>
            <w:tcW w:w="3213" w:type="dxa"/>
            <w:shd w:val="clear" w:color="auto" w:fill="FFFFFF" w:themeFill="background1"/>
            <w:vAlign w:val="center"/>
          </w:tcPr>
          <w:p w14:paraId="306CEE5A"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调整后期初未分配利润</w:t>
            </w:r>
          </w:p>
        </w:tc>
        <w:tc>
          <w:tcPr>
            <w:tcW w:w="3213" w:type="dxa"/>
            <w:shd w:val="clear" w:color="auto" w:fill="FFFFFF" w:themeFill="background1"/>
            <w:vAlign w:val="center"/>
          </w:tcPr>
          <w:p w14:paraId="5E00BF4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-7,361,184,849.70</w:t>
            </w:r>
          </w:p>
        </w:tc>
        <w:tc>
          <w:tcPr>
            <w:tcW w:w="3213" w:type="dxa"/>
            <w:shd w:val="clear" w:color="auto" w:fill="FFFFFF" w:themeFill="background1"/>
            <w:vAlign w:val="center"/>
          </w:tcPr>
          <w:p w14:paraId="5DB6AC5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-5,918,017,100.38</w:t>
            </w:r>
          </w:p>
        </w:tc>
      </w:tr>
      <w:tr w:rsidR="00632E5B" w14:paraId="55EA7649" w14:textId="77777777" w:rsidTr="00DD2081">
        <w:trPr>
          <w:trHeight w:val="240"/>
        </w:trPr>
        <w:tc>
          <w:tcPr>
            <w:tcW w:w="3213" w:type="dxa"/>
            <w:shd w:val="clear" w:color="auto" w:fill="FFFFFF" w:themeFill="background1"/>
            <w:vAlign w:val="center"/>
          </w:tcPr>
          <w:p w14:paraId="0523CE64"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加：本期归属于母公司所有者的净利润</w:t>
            </w:r>
          </w:p>
        </w:tc>
        <w:tc>
          <w:tcPr>
            <w:tcW w:w="3213" w:type="dxa"/>
            <w:shd w:val="clear" w:color="auto" w:fill="FFFFFF" w:themeFill="background1"/>
            <w:vAlign w:val="center"/>
          </w:tcPr>
          <w:p w14:paraId="49B1813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-1,174,126,055.60</w:t>
            </w:r>
          </w:p>
        </w:tc>
        <w:tc>
          <w:tcPr>
            <w:tcW w:w="3213" w:type="dxa"/>
            <w:shd w:val="clear" w:color="auto" w:fill="FFFFFF" w:themeFill="background1"/>
            <w:vAlign w:val="center"/>
          </w:tcPr>
          <w:p w14:paraId="39B7A96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-1,496,533,239.05</w:t>
            </w:r>
          </w:p>
        </w:tc>
      </w:tr>
      <w:tr w:rsidR="00632E5B" w14:paraId="72F4AFF0" w14:textId="77777777" w:rsidTr="00DD2081">
        <w:trPr>
          <w:trHeight w:val="240"/>
        </w:trPr>
        <w:tc>
          <w:tcPr>
            <w:tcW w:w="3213" w:type="dxa"/>
            <w:shd w:val="clear" w:color="auto" w:fill="FFFFFF" w:themeFill="background1"/>
            <w:vAlign w:val="center"/>
          </w:tcPr>
          <w:p w14:paraId="1EC8AC4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加：其他综合收益结转留存收益</w:t>
            </w:r>
          </w:p>
        </w:tc>
        <w:tc>
          <w:tcPr>
            <w:tcW w:w="3213" w:type="dxa"/>
            <w:shd w:val="clear" w:color="auto" w:fill="FFFFFF" w:themeFill="background1"/>
            <w:vAlign w:val="center"/>
          </w:tcPr>
          <w:p w14:paraId="13851C5F" w14:textId="77777777" w:rsidR="00632E5B" w:rsidRDefault="00632E5B">
            <w:pPr>
              <w:spacing w:line="240" w:lineRule="exact"/>
              <w:jc w:val="right"/>
              <w:rPr>
                <w:rFonts w:ascii="宋体" w:eastAsia="宋体" w:hAnsi="宋体" w:cs="宋体" w:hint="eastAsia"/>
                <w:sz w:val="18"/>
                <w:szCs w:val="18"/>
              </w:rPr>
            </w:pPr>
          </w:p>
        </w:tc>
        <w:tc>
          <w:tcPr>
            <w:tcW w:w="3213" w:type="dxa"/>
            <w:shd w:val="clear" w:color="auto" w:fill="FFFFFF" w:themeFill="background1"/>
            <w:vAlign w:val="center"/>
          </w:tcPr>
          <w:p w14:paraId="749E2B6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53,365,489.73</w:t>
            </w:r>
          </w:p>
        </w:tc>
      </w:tr>
      <w:tr w:rsidR="00632E5B" w14:paraId="63CFEAD8" w14:textId="77777777" w:rsidTr="00DD2081">
        <w:trPr>
          <w:trHeight w:val="240"/>
        </w:trPr>
        <w:tc>
          <w:tcPr>
            <w:tcW w:w="3213" w:type="dxa"/>
            <w:shd w:val="clear" w:color="auto" w:fill="FFFFFF" w:themeFill="background1"/>
            <w:vAlign w:val="center"/>
          </w:tcPr>
          <w:p w14:paraId="300E84FF"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期末未分配利润</w:t>
            </w:r>
          </w:p>
        </w:tc>
        <w:tc>
          <w:tcPr>
            <w:tcW w:w="3213" w:type="dxa"/>
            <w:shd w:val="clear" w:color="auto" w:fill="FFFFFF" w:themeFill="background1"/>
            <w:vAlign w:val="center"/>
          </w:tcPr>
          <w:p w14:paraId="3810F96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-8,535,310,905.30</w:t>
            </w:r>
          </w:p>
        </w:tc>
        <w:tc>
          <w:tcPr>
            <w:tcW w:w="3213" w:type="dxa"/>
            <w:shd w:val="clear" w:color="auto" w:fill="FFFFFF" w:themeFill="background1"/>
            <w:vAlign w:val="center"/>
          </w:tcPr>
          <w:p w14:paraId="7E3C212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-7,361,184,849.70</w:t>
            </w:r>
          </w:p>
        </w:tc>
      </w:tr>
    </w:tbl>
    <w:p w14:paraId="3A71440D"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调整期初未分配利润明细：</w:t>
      </w:r>
    </w:p>
    <w:p w14:paraId="264C6990"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1）、由于《企业会计准则》及其相关新规定进行追溯调整，影响期初未分配利润0.00元。</w:t>
      </w:r>
    </w:p>
    <w:p w14:paraId="5C7A6DB0"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2）、由于会计政策变更，影响期初未分配利润0.00元。</w:t>
      </w:r>
    </w:p>
    <w:p w14:paraId="5FCED180"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3）、由于重大会计差错更正，影响期初未分配利润0.00元。</w:t>
      </w:r>
    </w:p>
    <w:p w14:paraId="1C48102A"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4）、由于同一控制导致的合并范围变更，影响期初未分配利润0.00元。</w:t>
      </w:r>
    </w:p>
    <w:p w14:paraId="13A0EDFB"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5）、其他调整合计影响期初未分配利润0.00元。</w:t>
      </w:r>
    </w:p>
    <w:p w14:paraId="1FD67E0B" w14:textId="77777777" w:rsidR="00632E5B" w:rsidRDefault="00107901">
      <w:pPr>
        <w:pStyle w:val="3"/>
        <w:spacing w:line="280" w:lineRule="exact"/>
        <w:jc w:val="left"/>
        <w:rPr>
          <w:rFonts w:ascii="宋体" w:hAnsi="宋体" w:cs="宋体" w:hint="eastAsia"/>
          <w:b/>
          <w:bCs/>
        </w:rPr>
      </w:pPr>
      <w:bookmarkStart w:id="309" w:name="_Toc989196"/>
      <w:r>
        <w:rPr>
          <w:rFonts w:ascii="宋体" w:hAnsi="宋体" w:cs="宋体"/>
          <w:b/>
          <w:bCs/>
        </w:rPr>
        <w:t>43、营业收入和营业成本</w:t>
      </w:r>
      <w:bookmarkEnd w:id="309"/>
    </w:p>
    <w:p w14:paraId="02AE26E5"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927"/>
        <w:gridCol w:w="1928"/>
        <w:gridCol w:w="1928"/>
        <w:gridCol w:w="1928"/>
        <w:gridCol w:w="1928"/>
      </w:tblGrid>
      <w:tr w:rsidR="00632E5B" w14:paraId="766E5141" w14:textId="77777777" w:rsidTr="00DD2081">
        <w:trPr>
          <w:trHeight w:val="240"/>
        </w:trPr>
        <w:tc>
          <w:tcPr>
            <w:tcW w:w="1928" w:type="dxa"/>
            <w:vMerge w:val="restart"/>
            <w:shd w:val="clear" w:color="auto" w:fill="FFFFFF" w:themeFill="background1"/>
            <w:vAlign w:val="center"/>
          </w:tcPr>
          <w:p w14:paraId="6E16C9D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856" w:type="dxa"/>
            <w:gridSpan w:val="2"/>
            <w:shd w:val="clear" w:color="auto" w:fill="FFFFFF" w:themeFill="background1"/>
            <w:vAlign w:val="center"/>
          </w:tcPr>
          <w:p w14:paraId="7B498B0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856" w:type="dxa"/>
            <w:gridSpan w:val="2"/>
            <w:shd w:val="clear" w:color="auto" w:fill="FFFFFF" w:themeFill="background1"/>
            <w:vAlign w:val="center"/>
          </w:tcPr>
          <w:p w14:paraId="4F687C1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632E5B" w14:paraId="0C10C34F" w14:textId="77777777" w:rsidTr="00DD2081">
        <w:trPr>
          <w:trHeight w:val="240"/>
        </w:trPr>
        <w:tc>
          <w:tcPr>
            <w:tcW w:w="1928" w:type="dxa"/>
            <w:vMerge/>
            <w:shd w:val="clear" w:color="auto" w:fill="FFFFFF" w:themeFill="background1"/>
            <w:vAlign w:val="center"/>
          </w:tcPr>
          <w:p w14:paraId="013019F6" w14:textId="77777777" w:rsidR="00632E5B" w:rsidRDefault="00632E5B"/>
        </w:tc>
        <w:tc>
          <w:tcPr>
            <w:tcW w:w="1928" w:type="dxa"/>
            <w:shd w:val="clear" w:color="auto" w:fill="FFFFFF" w:themeFill="background1"/>
            <w:vAlign w:val="center"/>
          </w:tcPr>
          <w:p w14:paraId="2D60A2D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收入</w:t>
            </w:r>
          </w:p>
        </w:tc>
        <w:tc>
          <w:tcPr>
            <w:tcW w:w="1928" w:type="dxa"/>
            <w:shd w:val="clear" w:color="auto" w:fill="FFFFFF" w:themeFill="background1"/>
            <w:vAlign w:val="center"/>
          </w:tcPr>
          <w:p w14:paraId="6F54265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成本</w:t>
            </w:r>
          </w:p>
        </w:tc>
        <w:tc>
          <w:tcPr>
            <w:tcW w:w="1928" w:type="dxa"/>
            <w:shd w:val="clear" w:color="auto" w:fill="FFFFFF" w:themeFill="background1"/>
            <w:vAlign w:val="center"/>
          </w:tcPr>
          <w:p w14:paraId="0A4EBB5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收入</w:t>
            </w:r>
          </w:p>
        </w:tc>
        <w:tc>
          <w:tcPr>
            <w:tcW w:w="1928" w:type="dxa"/>
            <w:shd w:val="clear" w:color="auto" w:fill="FFFFFF" w:themeFill="background1"/>
            <w:vAlign w:val="center"/>
          </w:tcPr>
          <w:p w14:paraId="0975ECF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成本</w:t>
            </w:r>
          </w:p>
        </w:tc>
      </w:tr>
      <w:tr w:rsidR="00632E5B" w14:paraId="3817C7D5" w14:textId="77777777" w:rsidTr="00DD2081">
        <w:trPr>
          <w:trHeight w:val="240"/>
        </w:trPr>
        <w:tc>
          <w:tcPr>
            <w:tcW w:w="1928" w:type="dxa"/>
            <w:shd w:val="clear" w:color="auto" w:fill="FFFFFF" w:themeFill="background1"/>
            <w:vAlign w:val="center"/>
          </w:tcPr>
          <w:p w14:paraId="7A215FAC"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主营业务</w:t>
            </w:r>
          </w:p>
        </w:tc>
        <w:tc>
          <w:tcPr>
            <w:tcW w:w="1928" w:type="dxa"/>
            <w:shd w:val="clear" w:color="auto" w:fill="FFFFFF" w:themeFill="background1"/>
            <w:vAlign w:val="center"/>
          </w:tcPr>
          <w:p w14:paraId="6D604F9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2,340,425,601.24</w:t>
            </w:r>
          </w:p>
        </w:tc>
        <w:tc>
          <w:tcPr>
            <w:tcW w:w="1928" w:type="dxa"/>
            <w:shd w:val="clear" w:color="auto" w:fill="FFFFFF" w:themeFill="background1"/>
            <w:vAlign w:val="center"/>
          </w:tcPr>
          <w:p w14:paraId="22DACC8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1,965,643,249.90</w:t>
            </w:r>
          </w:p>
        </w:tc>
        <w:tc>
          <w:tcPr>
            <w:tcW w:w="1928" w:type="dxa"/>
            <w:shd w:val="clear" w:color="auto" w:fill="FFFFFF" w:themeFill="background1"/>
            <w:vAlign w:val="center"/>
          </w:tcPr>
          <w:p w14:paraId="3EE5C53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4,016,772,691.31</w:t>
            </w:r>
          </w:p>
        </w:tc>
        <w:tc>
          <w:tcPr>
            <w:tcW w:w="1928" w:type="dxa"/>
            <w:shd w:val="clear" w:color="auto" w:fill="FFFFFF" w:themeFill="background1"/>
            <w:vAlign w:val="center"/>
          </w:tcPr>
          <w:p w14:paraId="0FCC9FB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3,479,306,385.61</w:t>
            </w:r>
          </w:p>
        </w:tc>
      </w:tr>
      <w:tr w:rsidR="00632E5B" w14:paraId="28836A35" w14:textId="77777777" w:rsidTr="00DD2081">
        <w:trPr>
          <w:trHeight w:val="240"/>
        </w:trPr>
        <w:tc>
          <w:tcPr>
            <w:tcW w:w="1928" w:type="dxa"/>
            <w:shd w:val="clear" w:color="auto" w:fill="FFFFFF" w:themeFill="background1"/>
            <w:vAlign w:val="center"/>
          </w:tcPr>
          <w:p w14:paraId="035A117F"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其他业务</w:t>
            </w:r>
          </w:p>
        </w:tc>
        <w:tc>
          <w:tcPr>
            <w:tcW w:w="1928" w:type="dxa"/>
            <w:shd w:val="clear" w:color="auto" w:fill="FFFFFF" w:themeFill="background1"/>
            <w:vAlign w:val="center"/>
          </w:tcPr>
          <w:p w14:paraId="315DE3D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17,554,146.32</w:t>
            </w:r>
          </w:p>
        </w:tc>
        <w:tc>
          <w:tcPr>
            <w:tcW w:w="1928" w:type="dxa"/>
            <w:shd w:val="clear" w:color="auto" w:fill="FFFFFF" w:themeFill="background1"/>
            <w:vAlign w:val="center"/>
          </w:tcPr>
          <w:p w14:paraId="79F9A8F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7,372,742.75</w:t>
            </w:r>
          </w:p>
        </w:tc>
        <w:tc>
          <w:tcPr>
            <w:tcW w:w="1928" w:type="dxa"/>
            <w:shd w:val="clear" w:color="auto" w:fill="FFFFFF" w:themeFill="background1"/>
            <w:vAlign w:val="center"/>
          </w:tcPr>
          <w:p w14:paraId="79D4A02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34,511,044.72</w:t>
            </w:r>
          </w:p>
        </w:tc>
        <w:tc>
          <w:tcPr>
            <w:tcW w:w="1928" w:type="dxa"/>
            <w:shd w:val="clear" w:color="auto" w:fill="FFFFFF" w:themeFill="background1"/>
            <w:vAlign w:val="center"/>
          </w:tcPr>
          <w:p w14:paraId="6D1061C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28,925,591.61</w:t>
            </w:r>
          </w:p>
        </w:tc>
      </w:tr>
      <w:tr w:rsidR="00632E5B" w14:paraId="482793B6" w14:textId="77777777" w:rsidTr="00DD2081">
        <w:trPr>
          <w:trHeight w:val="240"/>
        </w:trPr>
        <w:tc>
          <w:tcPr>
            <w:tcW w:w="1928" w:type="dxa"/>
            <w:shd w:val="clear" w:color="auto" w:fill="FFFFFF" w:themeFill="background1"/>
            <w:vAlign w:val="center"/>
          </w:tcPr>
          <w:p w14:paraId="548E2A2D"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shd w:val="clear" w:color="auto" w:fill="FFFFFF" w:themeFill="background1"/>
            <w:vAlign w:val="center"/>
          </w:tcPr>
          <w:p w14:paraId="6CF4DFA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2,357,979,747.56</w:t>
            </w:r>
          </w:p>
        </w:tc>
        <w:tc>
          <w:tcPr>
            <w:tcW w:w="1928" w:type="dxa"/>
            <w:shd w:val="clear" w:color="auto" w:fill="FFFFFF" w:themeFill="background1"/>
            <w:vAlign w:val="center"/>
          </w:tcPr>
          <w:p w14:paraId="09350BA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1,973,015,992.65</w:t>
            </w:r>
          </w:p>
        </w:tc>
        <w:tc>
          <w:tcPr>
            <w:tcW w:w="1928" w:type="dxa"/>
            <w:shd w:val="clear" w:color="auto" w:fill="FFFFFF" w:themeFill="background1"/>
            <w:vAlign w:val="center"/>
          </w:tcPr>
          <w:p w14:paraId="530D7EA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4,051,283,736.03</w:t>
            </w:r>
          </w:p>
        </w:tc>
        <w:tc>
          <w:tcPr>
            <w:tcW w:w="1928" w:type="dxa"/>
            <w:shd w:val="clear" w:color="auto" w:fill="FFFFFF" w:themeFill="background1"/>
            <w:vAlign w:val="center"/>
          </w:tcPr>
          <w:p w14:paraId="47C0BD3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3,508,231,977.22</w:t>
            </w:r>
          </w:p>
        </w:tc>
      </w:tr>
    </w:tbl>
    <w:p w14:paraId="315A97D1"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经审计扣除非经常损益前后净利润孰低是否为负值</w:t>
      </w:r>
    </w:p>
    <w:p w14:paraId="7B7EF993"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14:paraId="513975A3"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927"/>
        <w:gridCol w:w="1928"/>
        <w:gridCol w:w="1928"/>
        <w:gridCol w:w="1928"/>
        <w:gridCol w:w="1928"/>
      </w:tblGrid>
      <w:tr w:rsidR="00632E5B" w14:paraId="58C12497" w14:textId="77777777" w:rsidTr="00DD2081">
        <w:trPr>
          <w:trHeight w:val="240"/>
        </w:trPr>
        <w:tc>
          <w:tcPr>
            <w:tcW w:w="1928" w:type="dxa"/>
            <w:shd w:val="clear" w:color="auto" w:fill="FFFFFF" w:themeFill="background1"/>
            <w:vAlign w:val="center"/>
          </w:tcPr>
          <w:p w14:paraId="2462C42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928" w:type="dxa"/>
            <w:shd w:val="clear" w:color="auto" w:fill="FFFFFF" w:themeFill="background1"/>
            <w:vAlign w:val="center"/>
          </w:tcPr>
          <w:p w14:paraId="7C0C197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本年度</w:t>
            </w:r>
          </w:p>
        </w:tc>
        <w:tc>
          <w:tcPr>
            <w:tcW w:w="1928" w:type="dxa"/>
            <w:shd w:val="clear" w:color="auto" w:fill="FFFFFF" w:themeFill="background1"/>
            <w:vAlign w:val="center"/>
          </w:tcPr>
          <w:p w14:paraId="773A738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具体扣除情况</w:t>
            </w:r>
          </w:p>
        </w:tc>
        <w:tc>
          <w:tcPr>
            <w:tcW w:w="1928" w:type="dxa"/>
            <w:shd w:val="clear" w:color="auto" w:fill="FFFFFF" w:themeFill="background1"/>
            <w:vAlign w:val="center"/>
          </w:tcPr>
          <w:p w14:paraId="186FC96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上年度</w:t>
            </w:r>
          </w:p>
        </w:tc>
        <w:tc>
          <w:tcPr>
            <w:tcW w:w="1928" w:type="dxa"/>
            <w:shd w:val="clear" w:color="auto" w:fill="FFFFFF" w:themeFill="background1"/>
            <w:vAlign w:val="center"/>
          </w:tcPr>
          <w:p w14:paraId="138E64E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具体扣除情况</w:t>
            </w:r>
          </w:p>
        </w:tc>
      </w:tr>
      <w:tr w:rsidR="00632E5B" w14:paraId="1E40F599" w14:textId="77777777" w:rsidTr="00DD2081">
        <w:trPr>
          <w:trHeight w:val="240"/>
        </w:trPr>
        <w:tc>
          <w:tcPr>
            <w:tcW w:w="1928" w:type="dxa"/>
            <w:shd w:val="clear" w:color="auto" w:fill="FFFFFF" w:themeFill="background1"/>
            <w:vAlign w:val="center"/>
          </w:tcPr>
          <w:p w14:paraId="04A5A3A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营业收入金额</w:t>
            </w:r>
          </w:p>
        </w:tc>
        <w:tc>
          <w:tcPr>
            <w:tcW w:w="1928" w:type="dxa"/>
            <w:shd w:val="clear" w:color="auto" w:fill="FFFFFF" w:themeFill="background1"/>
            <w:vAlign w:val="center"/>
          </w:tcPr>
          <w:p w14:paraId="6184F01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2,357,979,747.56</w:t>
            </w:r>
          </w:p>
        </w:tc>
        <w:tc>
          <w:tcPr>
            <w:tcW w:w="1928" w:type="dxa"/>
            <w:shd w:val="clear" w:color="auto" w:fill="FFFFFF" w:themeFill="background1"/>
            <w:vAlign w:val="center"/>
          </w:tcPr>
          <w:p w14:paraId="43FCD20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本报告第十节、五24收入</w:t>
            </w:r>
          </w:p>
        </w:tc>
        <w:tc>
          <w:tcPr>
            <w:tcW w:w="1928" w:type="dxa"/>
            <w:shd w:val="clear" w:color="auto" w:fill="FFFFFF" w:themeFill="background1"/>
            <w:vAlign w:val="center"/>
          </w:tcPr>
          <w:p w14:paraId="5511CDD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4,051,283,736.03</w:t>
            </w:r>
          </w:p>
        </w:tc>
        <w:tc>
          <w:tcPr>
            <w:tcW w:w="1928" w:type="dxa"/>
            <w:shd w:val="clear" w:color="auto" w:fill="FFFFFF" w:themeFill="background1"/>
            <w:vAlign w:val="center"/>
          </w:tcPr>
          <w:p w14:paraId="2712FB5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本报告第十节、五24收入</w:t>
            </w:r>
          </w:p>
        </w:tc>
      </w:tr>
      <w:tr w:rsidR="00632E5B" w14:paraId="522F79E9" w14:textId="77777777" w:rsidTr="00DD2081">
        <w:trPr>
          <w:trHeight w:val="240"/>
        </w:trPr>
        <w:tc>
          <w:tcPr>
            <w:tcW w:w="1928" w:type="dxa"/>
            <w:shd w:val="clear" w:color="auto" w:fill="FFFFFF" w:themeFill="background1"/>
            <w:vAlign w:val="center"/>
          </w:tcPr>
          <w:p w14:paraId="3D1AC2E0"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营业收入扣除项目合计金额</w:t>
            </w:r>
          </w:p>
        </w:tc>
        <w:tc>
          <w:tcPr>
            <w:tcW w:w="1928" w:type="dxa"/>
            <w:shd w:val="clear" w:color="auto" w:fill="FFFFFF" w:themeFill="background1"/>
            <w:vAlign w:val="center"/>
          </w:tcPr>
          <w:p w14:paraId="46B2F27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17,554,146.32</w:t>
            </w:r>
          </w:p>
        </w:tc>
        <w:tc>
          <w:tcPr>
            <w:tcW w:w="1928" w:type="dxa"/>
            <w:shd w:val="clear" w:color="auto" w:fill="FFFFFF" w:themeFill="background1"/>
            <w:vAlign w:val="center"/>
          </w:tcPr>
          <w:p w14:paraId="5A0D09C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包括销售材料、出租固定资产、服务费等收入</w:t>
            </w:r>
          </w:p>
        </w:tc>
        <w:tc>
          <w:tcPr>
            <w:tcW w:w="1928" w:type="dxa"/>
            <w:shd w:val="clear" w:color="auto" w:fill="FFFFFF" w:themeFill="background1"/>
            <w:vAlign w:val="center"/>
          </w:tcPr>
          <w:p w14:paraId="413C56B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34,511,044.72</w:t>
            </w:r>
          </w:p>
        </w:tc>
        <w:tc>
          <w:tcPr>
            <w:tcW w:w="1928" w:type="dxa"/>
            <w:shd w:val="clear" w:color="auto" w:fill="FFFFFF" w:themeFill="background1"/>
            <w:vAlign w:val="center"/>
          </w:tcPr>
          <w:p w14:paraId="42D7219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包括销售材料、出租固定资产、服务费等收入</w:t>
            </w:r>
          </w:p>
        </w:tc>
      </w:tr>
      <w:tr w:rsidR="00632E5B" w14:paraId="6E3009EA" w14:textId="77777777" w:rsidTr="00DD2081">
        <w:trPr>
          <w:trHeight w:val="240"/>
        </w:trPr>
        <w:tc>
          <w:tcPr>
            <w:tcW w:w="1928" w:type="dxa"/>
            <w:shd w:val="clear" w:color="auto" w:fill="FFFFFF" w:themeFill="background1"/>
            <w:vAlign w:val="center"/>
          </w:tcPr>
          <w:p w14:paraId="0264CF5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营业收入扣除项目合计金额占营业收入的比重</w:t>
            </w:r>
          </w:p>
        </w:tc>
        <w:tc>
          <w:tcPr>
            <w:tcW w:w="1928" w:type="dxa"/>
            <w:shd w:val="clear" w:color="auto" w:fill="FFFFFF" w:themeFill="background1"/>
            <w:vAlign w:val="center"/>
          </w:tcPr>
          <w:p w14:paraId="7073F5F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0.74%</w:t>
            </w:r>
          </w:p>
        </w:tc>
        <w:tc>
          <w:tcPr>
            <w:tcW w:w="1928" w:type="dxa"/>
            <w:shd w:val="clear" w:color="auto" w:fill="FFFFFF" w:themeFill="background1"/>
            <w:vAlign w:val="center"/>
          </w:tcPr>
          <w:p w14:paraId="2BAF8350" w14:textId="77777777" w:rsidR="00632E5B" w:rsidRDefault="00632E5B">
            <w:pPr>
              <w:spacing w:line="240" w:lineRule="exact"/>
              <w:rPr>
                <w:rFonts w:ascii="宋体" w:eastAsia="宋体" w:hAnsi="宋体" w:cs="宋体" w:hint="eastAsia"/>
                <w:sz w:val="18"/>
                <w:szCs w:val="18"/>
              </w:rPr>
            </w:pPr>
          </w:p>
        </w:tc>
        <w:tc>
          <w:tcPr>
            <w:tcW w:w="1928" w:type="dxa"/>
            <w:shd w:val="clear" w:color="auto" w:fill="FFFFFF" w:themeFill="background1"/>
            <w:vAlign w:val="center"/>
          </w:tcPr>
          <w:p w14:paraId="074D4D3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0.85%</w:t>
            </w:r>
          </w:p>
        </w:tc>
        <w:tc>
          <w:tcPr>
            <w:tcW w:w="1928" w:type="dxa"/>
            <w:shd w:val="clear" w:color="auto" w:fill="FFFFFF" w:themeFill="background1"/>
            <w:vAlign w:val="center"/>
          </w:tcPr>
          <w:p w14:paraId="3B98C0FA" w14:textId="77777777" w:rsidR="00632E5B" w:rsidRDefault="00632E5B">
            <w:pPr>
              <w:spacing w:line="240" w:lineRule="exact"/>
              <w:rPr>
                <w:rFonts w:ascii="宋体" w:eastAsia="宋体" w:hAnsi="宋体" w:cs="宋体" w:hint="eastAsia"/>
                <w:sz w:val="18"/>
                <w:szCs w:val="18"/>
              </w:rPr>
            </w:pPr>
          </w:p>
        </w:tc>
      </w:tr>
      <w:tr w:rsidR="00632E5B" w14:paraId="0A8F6ADA" w14:textId="77777777" w:rsidTr="00DD2081">
        <w:trPr>
          <w:trHeight w:val="240"/>
        </w:trPr>
        <w:tc>
          <w:tcPr>
            <w:tcW w:w="1928" w:type="dxa"/>
            <w:shd w:val="clear" w:color="auto" w:fill="FFFFFF" w:themeFill="background1"/>
            <w:vAlign w:val="center"/>
          </w:tcPr>
          <w:p w14:paraId="43F940B5"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一、与主营业务无关的业务收入</w:t>
            </w:r>
          </w:p>
        </w:tc>
        <w:tc>
          <w:tcPr>
            <w:tcW w:w="1928" w:type="dxa"/>
            <w:shd w:val="clear" w:color="auto" w:fill="FFFFFF" w:themeFill="background1"/>
            <w:vAlign w:val="center"/>
          </w:tcPr>
          <w:p w14:paraId="4C342C68" w14:textId="77777777" w:rsidR="00632E5B" w:rsidRDefault="00632E5B"/>
        </w:tc>
        <w:tc>
          <w:tcPr>
            <w:tcW w:w="1928" w:type="dxa"/>
            <w:shd w:val="clear" w:color="auto" w:fill="FFFFFF" w:themeFill="background1"/>
            <w:vAlign w:val="center"/>
          </w:tcPr>
          <w:p w14:paraId="089864A8" w14:textId="77777777" w:rsidR="00632E5B" w:rsidRDefault="00632E5B"/>
        </w:tc>
        <w:tc>
          <w:tcPr>
            <w:tcW w:w="1928" w:type="dxa"/>
            <w:shd w:val="clear" w:color="auto" w:fill="FFFFFF" w:themeFill="background1"/>
            <w:vAlign w:val="center"/>
          </w:tcPr>
          <w:p w14:paraId="595A3076" w14:textId="77777777" w:rsidR="00632E5B" w:rsidRDefault="00632E5B"/>
        </w:tc>
        <w:tc>
          <w:tcPr>
            <w:tcW w:w="1928" w:type="dxa"/>
            <w:shd w:val="clear" w:color="auto" w:fill="FFFFFF" w:themeFill="background1"/>
            <w:vAlign w:val="center"/>
          </w:tcPr>
          <w:p w14:paraId="7401F7E1" w14:textId="77777777" w:rsidR="00632E5B" w:rsidRDefault="00632E5B"/>
        </w:tc>
      </w:tr>
      <w:tr w:rsidR="00632E5B" w14:paraId="4E59ADE5" w14:textId="77777777" w:rsidTr="00DD2081">
        <w:trPr>
          <w:trHeight w:val="240"/>
        </w:trPr>
        <w:tc>
          <w:tcPr>
            <w:tcW w:w="1928" w:type="dxa"/>
            <w:shd w:val="clear" w:color="auto" w:fill="FFFFFF" w:themeFill="background1"/>
            <w:vAlign w:val="center"/>
          </w:tcPr>
          <w:p w14:paraId="3B02E744"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lastRenderedPageBreak/>
              <w:t>1．正常经营之外的其他业务收入。如出租固定资产、无形资产、包装物，销售材料，用材料进行非货币性资产交换，经营受托管理业务等实现的收入，以及虽计入主营业务收入，但属于上市公司正常经营之外的收入。</w:t>
            </w:r>
          </w:p>
        </w:tc>
        <w:tc>
          <w:tcPr>
            <w:tcW w:w="1928" w:type="dxa"/>
            <w:shd w:val="clear" w:color="auto" w:fill="FFFFFF" w:themeFill="background1"/>
            <w:vAlign w:val="center"/>
          </w:tcPr>
          <w:p w14:paraId="796EECC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17,554,146.32</w:t>
            </w:r>
          </w:p>
        </w:tc>
        <w:tc>
          <w:tcPr>
            <w:tcW w:w="1928" w:type="dxa"/>
            <w:shd w:val="clear" w:color="auto" w:fill="FFFFFF" w:themeFill="background1"/>
            <w:vAlign w:val="center"/>
          </w:tcPr>
          <w:p w14:paraId="2F7E564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包括销售材料、出租固定资产、服务费等收入</w:t>
            </w:r>
          </w:p>
        </w:tc>
        <w:tc>
          <w:tcPr>
            <w:tcW w:w="1928" w:type="dxa"/>
            <w:shd w:val="clear" w:color="auto" w:fill="FFFFFF" w:themeFill="background1"/>
            <w:vAlign w:val="center"/>
          </w:tcPr>
          <w:p w14:paraId="1CC190E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34,511,044.72</w:t>
            </w:r>
          </w:p>
        </w:tc>
        <w:tc>
          <w:tcPr>
            <w:tcW w:w="1928" w:type="dxa"/>
            <w:shd w:val="clear" w:color="auto" w:fill="FFFFFF" w:themeFill="background1"/>
            <w:vAlign w:val="center"/>
          </w:tcPr>
          <w:p w14:paraId="48DFD77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包括销售材料、出租固定资产、服务费等收入</w:t>
            </w:r>
          </w:p>
        </w:tc>
      </w:tr>
      <w:tr w:rsidR="00632E5B" w14:paraId="53A62A14" w14:textId="77777777" w:rsidTr="00DD2081">
        <w:trPr>
          <w:trHeight w:val="240"/>
        </w:trPr>
        <w:tc>
          <w:tcPr>
            <w:tcW w:w="1928" w:type="dxa"/>
            <w:shd w:val="clear" w:color="auto" w:fill="FFFFFF" w:themeFill="background1"/>
            <w:vAlign w:val="center"/>
          </w:tcPr>
          <w:p w14:paraId="617116D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与主营业务无关的业务收入小计</w:t>
            </w:r>
          </w:p>
        </w:tc>
        <w:tc>
          <w:tcPr>
            <w:tcW w:w="1928" w:type="dxa"/>
            <w:shd w:val="clear" w:color="auto" w:fill="FFFFFF" w:themeFill="background1"/>
            <w:vAlign w:val="center"/>
          </w:tcPr>
          <w:p w14:paraId="4A85F81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17,554,146.32</w:t>
            </w:r>
          </w:p>
        </w:tc>
        <w:tc>
          <w:tcPr>
            <w:tcW w:w="1928" w:type="dxa"/>
            <w:shd w:val="clear" w:color="auto" w:fill="FFFFFF" w:themeFill="background1"/>
            <w:vAlign w:val="center"/>
          </w:tcPr>
          <w:p w14:paraId="108C71B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包括销售材料、出租固定资产、服务费等收入</w:t>
            </w:r>
          </w:p>
        </w:tc>
        <w:tc>
          <w:tcPr>
            <w:tcW w:w="1928" w:type="dxa"/>
            <w:shd w:val="clear" w:color="auto" w:fill="FFFFFF" w:themeFill="background1"/>
            <w:vAlign w:val="center"/>
          </w:tcPr>
          <w:p w14:paraId="76F332A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34,511,044.72</w:t>
            </w:r>
          </w:p>
        </w:tc>
        <w:tc>
          <w:tcPr>
            <w:tcW w:w="1928" w:type="dxa"/>
            <w:shd w:val="clear" w:color="auto" w:fill="FFFFFF" w:themeFill="background1"/>
            <w:vAlign w:val="center"/>
          </w:tcPr>
          <w:p w14:paraId="6AEAFAD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包括销售材料、出租固定资产、服务费等收入</w:t>
            </w:r>
          </w:p>
        </w:tc>
      </w:tr>
      <w:tr w:rsidR="00632E5B" w14:paraId="1F802840" w14:textId="77777777" w:rsidTr="00DD2081">
        <w:trPr>
          <w:trHeight w:val="240"/>
        </w:trPr>
        <w:tc>
          <w:tcPr>
            <w:tcW w:w="1928" w:type="dxa"/>
            <w:shd w:val="clear" w:color="auto" w:fill="FFFFFF" w:themeFill="background1"/>
            <w:vAlign w:val="center"/>
          </w:tcPr>
          <w:p w14:paraId="28A9139D"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二、不具备商业实质的收入</w:t>
            </w:r>
          </w:p>
        </w:tc>
        <w:tc>
          <w:tcPr>
            <w:tcW w:w="1928" w:type="dxa"/>
            <w:shd w:val="clear" w:color="auto" w:fill="FFFFFF" w:themeFill="background1"/>
            <w:vAlign w:val="center"/>
          </w:tcPr>
          <w:p w14:paraId="79623969" w14:textId="77777777" w:rsidR="00632E5B" w:rsidRDefault="00632E5B"/>
        </w:tc>
        <w:tc>
          <w:tcPr>
            <w:tcW w:w="1928" w:type="dxa"/>
            <w:shd w:val="clear" w:color="auto" w:fill="FFFFFF" w:themeFill="background1"/>
            <w:vAlign w:val="center"/>
          </w:tcPr>
          <w:p w14:paraId="48416702" w14:textId="77777777" w:rsidR="00632E5B" w:rsidRDefault="00632E5B"/>
        </w:tc>
        <w:tc>
          <w:tcPr>
            <w:tcW w:w="1928" w:type="dxa"/>
            <w:shd w:val="clear" w:color="auto" w:fill="FFFFFF" w:themeFill="background1"/>
            <w:vAlign w:val="center"/>
          </w:tcPr>
          <w:p w14:paraId="101986EE" w14:textId="77777777" w:rsidR="00632E5B" w:rsidRDefault="00632E5B"/>
        </w:tc>
        <w:tc>
          <w:tcPr>
            <w:tcW w:w="1928" w:type="dxa"/>
            <w:shd w:val="clear" w:color="auto" w:fill="FFFFFF" w:themeFill="background1"/>
            <w:vAlign w:val="center"/>
          </w:tcPr>
          <w:p w14:paraId="3E5A0BB6" w14:textId="77777777" w:rsidR="00632E5B" w:rsidRDefault="00632E5B"/>
        </w:tc>
      </w:tr>
      <w:tr w:rsidR="00632E5B" w14:paraId="47D33179" w14:textId="77777777" w:rsidTr="00DD2081">
        <w:trPr>
          <w:trHeight w:val="240"/>
        </w:trPr>
        <w:tc>
          <w:tcPr>
            <w:tcW w:w="1928" w:type="dxa"/>
            <w:shd w:val="clear" w:color="auto" w:fill="FFFFFF" w:themeFill="background1"/>
            <w:vAlign w:val="center"/>
          </w:tcPr>
          <w:p w14:paraId="1294DEA4"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不具备商业实质的收入小计</w:t>
            </w:r>
          </w:p>
        </w:tc>
        <w:tc>
          <w:tcPr>
            <w:tcW w:w="1928" w:type="dxa"/>
            <w:shd w:val="clear" w:color="auto" w:fill="FFFFFF" w:themeFill="background1"/>
            <w:vAlign w:val="center"/>
          </w:tcPr>
          <w:p w14:paraId="742E06A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1928" w:type="dxa"/>
            <w:shd w:val="clear" w:color="auto" w:fill="FFFFFF" w:themeFill="background1"/>
            <w:vAlign w:val="center"/>
          </w:tcPr>
          <w:p w14:paraId="24C3178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本报告第十节、五24收入</w:t>
            </w:r>
          </w:p>
        </w:tc>
        <w:tc>
          <w:tcPr>
            <w:tcW w:w="1928" w:type="dxa"/>
            <w:shd w:val="clear" w:color="auto" w:fill="FFFFFF" w:themeFill="background1"/>
            <w:vAlign w:val="center"/>
          </w:tcPr>
          <w:p w14:paraId="6B6A797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1928" w:type="dxa"/>
            <w:shd w:val="clear" w:color="auto" w:fill="FFFFFF" w:themeFill="background1"/>
            <w:vAlign w:val="center"/>
          </w:tcPr>
          <w:p w14:paraId="6EC2F23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本报告第十节、五24收入</w:t>
            </w:r>
          </w:p>
        </w:tc>
      </w:tr>
      <w:tr w:rsidR="00632E5B" w14:paraId="693CE4C8" w14:textId="77777777" w:rsidTr="00DD2081">
        <w:trPr>
          <w:trHeight w:val="240"/>
        </w:trPr>
        <w:tc>
          <w:tcPr>
            <w:tcW w:w="1928" w:type="dxa"/>
            <w:shd w:val="clear" w:color="auto" w:fill="FFFFFF" w:themeFill="background1"/>
            <w:vAlign w:val="center"/>
          </w:tcPr>
          <w:p w14:paraId="0C1DD4CA"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营业收入扣除后金额</w:t>
            </w:r>
          </w:p>
        </w:tc>
        <w:tc>
          <w:tcPr>
            <w:tcW w:w="1928" w:type="dxa"/>
            <w:shd w:val="clear" w:color="auto" w:fill="FFFFFF" w:themeFill="background1"/>
            <w:vAlign w:val="center"/>
          </w:tcPr>
          <w:p w14:paraId="6F78F71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2,340,425,601.24</w:t>
            </w:r>
          </w:p>
        </w:tc>
        <w:tc>
          <w:tcPr>
            <w:tcW w:w="1928" w:type="dxa"/>
            <w:shd w:val="clear" w:color="auto" w:fill="FFFFFF" w:themeFill="background1"/>
            <w:vAlign w:val="center"/>
          </w:tcPr>
          <w:p w14:paraId="0EABFF8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本报告第十节、五24收入</w:t>
            </w:r>
          </w:p>
        </w:tc>
        <w:tc>
          <w:tcPr>
            <w:tcW w:w="1928" w:type="dxa"/>
            <w:shd w:val="clear" w:color="auto" w:fill="FFFFFF" w:themeFill="background1"/>
            <w:vAlign w:val="center"/>
          </w:tcPr>
          <w:p w14:paraId="7777A81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4,016,772,691.31</w:t>
            </w:r>
          </w:p>
        </w:tc>
        <w:tc>
          <w:tcPr>
            <w:tcW w:w="1928" w:type="dxa"/>
            <w:shd w:val="clear" w:color="auto" w:fill="FFFFFF" w:themeFill="background1"/>
            <w:vAlign w:val="center"/>
          </w:tcPr>
          <w:p w14:paraId="4478CC2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本报告第十节、五24收入</w:t>
            </w:r>
          </w:p>
        </w:tc>
      </w:tr>
    </w:tbl>
    <w:p w14:paraId="6021CD1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营业收入、营业成本的分解信息：</w:t>
      </w:r>
    </w:p>
    <w:p w14:paraId="0BC58536"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76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952"/>
        <w:gridCol w:w="1952"/>
        <w:gridCol w:w="1953"/>
        <w:gridCol w:w="1952"/>
        <w:gridCol w:w="1953"/>
      </w:tblGrid>
      <w:tr w:rsidR="00603A7B" w14:paraId="4008BA44" w14:textId="77777777" w:rsidTr="00DD2081">
        <w:trPr>
          <w:trHeight w:val="242"/>
        </w:trPr>
        <w:tc>
          <w:tcPr>
            <w:tcW w:w="1952" w:type="dxa"/>
            <w:vMerge w:val="restart"/>
            <w:shd w:val="clear" w:color="auto" w:fill="FFFFFF" w:themeFill="background1"/>
            <w:vAlign w:val="center"/>
          </w:tcPr>
          <w:p w14:paraId="04D92D99" w14:textId="77777777" w:rsidR="00603A7B" w:rsidRDefault="00603A7B" w:rsidP="00585914">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合同分类</w:t>
            </w:r>
          </w:p>
        </w:tc>
        <w:tc>
          <w:tcPr>
            <w:tcW w:w="3905" w:type="dxa"/>
            <w:gridSpan w:val="2"/>
            <w:shd w:val="clear" w:color="auto" w:fill="FFFFFF" w:themeFill="background1"/>
            <w:vAlign w:val="center"/>
          </w:tcPr>
          <w:p w14:paraId="1AB705F9" w14:textId="77777777" w:rsidR="00603A7B" w:rsidRDefault="00603A7B" w:rsidP="00585914">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分部1</w:t>
            </w:r>
          </w:p>
        </w:tc>
        <w:tc>
          <w:tcPr>
            <w:tcW w:w="3905" w:type="dxa"/>
            <w:gridSpan w:val="2"/>
            <w:shd w:val="clear" w:color="auto" w:fill="FFFFFF" w:themeFill="background1"/>
            <w:vAlign w:val="center"/>
          </w:tcPr>
          <w:p w14:paraId="7A6CEE8E" w14:textId="77777777" w:rsidR="00603A7B" w:rsidRDefault="00603A7B" w:rsidP="00585914">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合计</w:t>
            </w:r>
          </w:p>
        </w:tc>
      </w:tr>
      <w:tr w:rsidR="00603A7B" w14:paraId="000469B8" w14:textId="77777777" w:rsidTr="00DD2081">
        <w:trPr>
          <w:trHeight w:val="242"/>
        </w:trPr>
        <w:tc>
          <w:tcPr>
            <w:tcW w:w="1952" w:type="dxa"/>
            <w:vMerge/>
            <w:shd w:val="clear" w:color="auto" w:fill="FFFFFF" w:themeFill="background1"/>
            <w:vAlign w:val="center"/>
          </w:tcPr>
          <w:p w14:paraId="29DEA622" w14:textId="77777777" w:rsidR="00603A7B" w:rsidRDefault="00603A7B" w:rsidP="00585914"/>
        </w:tc>
        <w:tc>
          <w:tcPr>
            <w:tcW w:w="1952" w:type="dxa"/>
            <w:shd w:val="clear" w:color="auto" w:fill="FFFFFF" w:themeFill="background1"/>
            <w:vAlign w:val="center"/>
          </w:tcPr>
          <w:p w14:paraId="5D98419D" w14:textId="77777777" w:rsidR="00603A7B" w:rsidRDefault="00603A7B" w:rsidP="00585914">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营业收入</w:t>
            </w:r>
          </w:p>
        </w:tc>
        <w:tc>
          <w:tcPr>
            <w:tcW w:w="1952" w:type="dxa"/>
            <w:shd w:val="clear" w:color="auto" w:fill="FFFFFF" w:themeFill="background1"/>
            <w:vAlign w:val="center"/>
          </w:tcPr>
          <w:p w14:paraId="351A0704" w14:textId="77777777" w:rsidR="00603A7B" w:rsidRDefault="00603A7B" w:rsidP="00585914">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营业成本</w:t>
            </w:r>
          </w:p>
        </w:tc>
        <w:tc>
          <w:tcPr>
            <w:tcW w:w="1952" w:type="dxa"/>
            <w:shd w:val="clear" w:color="auto" w:fill="FFFFFF" w:themeFill="background1"/>
            <w:vAlign w:val="center"/>
          </w:tcPr>
          <w:p w14:paraId="428BFC45" w14:textId="77777777" w:rsidR="00603A7B" w:rsidRDefault="00603A7B" w:rsidP="00585914">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营业收入</w:t>
            </w:r>
          </w:p>
        </w:tc>
        <w:tc>
          <w:tcPr>
            <w:tcW w:w="1952" w:type="dxa"/>
            <w:shd w:val="clear" w:color="auto" w:fill="FFFFFF" w:themeFill="background1"/>
            <w:vAlign w:val="center"/>
          </w:tcPr>
          <w:p w14:paraId="0F59B86A" w14:textId="77777777" w:rsidR="00603A7B" w:rsidRDefault="00603A7B" w:rsidP="00585914">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营业成本</w:t>
            </w:r>
          </w:p>
        </w:tc>
      </w:tr>
      <w:tr w:rsidR="00603A7B" w14:paraId="3411B290" w14:textId="77777777" w:rsidTr="00DD2081">
        <w:trPr>
          <w:trHeight w:val="242"/>
        </w:trPr>
        <w:tc>
          <w:tcPr>
            <w:tcW w:w="1952" w:type="dxa"/>
            <w:shd w:val="clear" w:color="auto" w:fill="FFFFFF" w:themeFill="background1"/>
            <w:vAlign w:val="center"/>
          </w:tcPr>
          <w:p w14:paraId="44585597" w14:textId="77777777" w:rsidR="00603A7B" w:rsidRDefault="00603A7B" w:rsidP="00585914">
            <w:pPr>
              <w:spacing w:before="40" w:after="40" w:line="240" w:lineRule="exact"/>
              <w:rPr>
                <w:rFonts w:ascii="宋体" w:eastAsia="宋体" w:hAnsi="宋体" w:cs="宋体" w:hint="eastAsia"/>
                <w:sz w:val="18"/>
                <w:szCs w:val="18"/>
              </w:rPr>
            </w:pPr>
            <w:r>
              <w:rPr>
                <w:rFonts w:ascii="宋体" w:eastAsia="宋体" w:hAnsi="宋体" w:cs="宋体"/>
                <w:sz w:val="18"/>
                <w:szCs w:val="18"/>
              </w:rPr>
              <w:t>业务类型</w:t>
            </w:r>
          </w:p>
        </w:tc>
        <w:tc>
          <w:tcPr>
            <w:tcW w:w="1952" w:type="dxa"/>
            <w:shd w:val="clear" w:color="auto" w:fill="FFFFFF" w:themeFill="background1"/>
            <w:vAlign w:val="center"/>
          </w:tcPr>
          <w:p w14:paraId="0BD85FF8" w14:textId="77777777" w:rsidR="00603A7B" w:rsidRDefault="00603A7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2,357,979,747.56</w:t>
            </w:r>
          </w:p>
        </w:tc>
        <w:tc>
          <w:tcPr>
            <w:tcW w:w="1952" w:type="dxa"/>
            <w:shd w:val="clear" w:color="auto" w:fill="FFFFFF" w:themeFill="background1"/>
            <w:vAlign w:val="center"/>
          </w:tcPr>
          <w:p w14:paraId="06E673D4" w14:textId="77777777" w:rsidR="00603A7B" w:rsidRDefault="00603A7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1,973,015,992.65</w:t>
            </w:r>
          </w:p>
        </w:tc>
        <w:tc>
          <w:tcPr>
            <w:tcW w:w="1952" w:type="dxa"/>
            <w:shd w:val="clear" w:color="auto" w:fill="FFFFFF" w:themeFill="background1"/>
            <w:vAlign w:val="center"/>
          </w:tcPr>
          <w:p w14:paraId="51F65179" w14:textId="77777777" w:rsidR="00603A7B" w:rsidRDefault="00603A7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2,357,979,747.56</w:t>
            </w:r>
          </w:p>
        </w:tc>
        <w:tc>
          <w:tcPr>
            <w:tcW w:w="1952" w:type="dxa"/>
            <w:shd w:val="clear" w:color="auto" w:fill="FFFFFF" w:themeFill="background1"/>
            <w:vAlign w:val="center"/>
          </w:tcPr>
          <w:p w14:paraId="71A07768" w14:textId="77777777" w:rsidR="00603A7B" w:rsidRDefault="00603A7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1,973,015,992.65</w:t>
            </w:r>
          </w:p>
        </w:tc>
      </w:tr>
      <w:tr w:rsidR="00603A7B" w14:paraId="33C6B50E" w14:textId="77777777" w:rsidTr="00DD2081">
        <w:trPr>
          <w:trHeight w:val="242"/>
        </w:trPr>
        <w:tc>
          <w:tcPr>
            <w:tcW w:w="1952" w:type="dxa"/>
            <w:shd w:val="clear" w:color="auto" w:fill="FFFFFF" w:themeFill="background1"/>
            <w:vAlign w:val="center"/>
          </w:tcPr>
          <w:p w14:paraId="25FC19CD" w14:textId="77777777" w:rsidR="00603A7B" w:rsidRDefault="00603A7B" w:rsidP="00585914">
            <w:pPr>
              <w:spacing w:before="40" w:after="40" w:line="240" w:lineRule="exact"/>
              <w:rPr>
                <w:rFonts w:ascii="宋体" w:eastAsia="宋体" w:hAnsi="宋体" w:cs="宋体" w:hint="eastAsia"/>
                <w:sz w:val="18"/>
                <w:szCs w:val="18"/>
              </w:rPr>
            </w:pPr>
            <w:r>
              <w:rPr>
                <w:rFonts w:ascii="宋体" w:eastAsia="宋体" w:hAnsi="宋体" w:cs="宋体"/>
                <w:sz w:val="18"/>
                <w:szCs w:val="18"/>
              </w:rPr>
              <w:t>其中：</w:t>
            </w:r>
          </w:p>
        </w:tc>
        <w:tc>
          <w:tcPr>
            <w:tcW w:w="1952" w:type="dxa"/>
            <w:shd w:val="clear" w:color="auto" w:fill="FFFFFF" w:themeFill="background1"/>
            <w:vAlign w:val="center"/>
          </w:tcPr>
          <w:p w14:paraId="53769EFE" w14:textId="77777777" w:rsidR="00603A7B" w:rsidRDefault="00603A7B" w:rsidP="00585914"/>
        </w:tc>
        <w:tc>
          <w:tcPr>
            <w:tcW w:w="1952" w:type="dxa"/>
            <w:shd w:val="clear" w:color="auto" w:fill="FFFFFF" w:themeFill="background1"/>
            <w:vAlign w:val="center"/>
          </w:tcPr>
          <w:p w14:paraId="08BE6818" w14:textId="77777777" w:rsidR="00603A7B" w:rsidRDefault="00603A7B" w:rsidP="00585914"/>
        </w:tc>
        <w:tc>
          <w:tcPr>
            <w:tcW w:w="1952" w:type="dxa"/>
            <w:shd w:val="clear" w:color="auto" w:fill="FFFFFF" w:themeFill="background1"/>
            <w:vAlign w:val="center"/>
          </w:tcPr>
          <w:p w14:paraId="0BAC10D4" w14:textId="77777777" w:rsidR="00603A7B" w:rsidRDefault="00603A7B" w:rsidP="00585914"/>
        </w:tc>
        <w:tc>
          <w:tcPr>
            <w:tcW w:w="1952" w:type="dxa"/>
            <w:shd w:val="clear" w:color="auto" w:fill="FFFFFF" w:themeFill="background1"/>
            <w:vAlign w:val="center"/>
          </w:tcPr>
          <w:p w14:paraId="630E39A7" w14:textId="77777777" w:rsidR="00603A7B" w:rsidRDefault="00603A7B" w:rsidP="00585914"/>
        </w:tc>
      </w:tr>
      <w:tr w:rsidR="00603A7B" w14:paraId="415B42F8" w14:textId="77777777" w:rsidTr="00DD2081">
        <w:trPr>
          <w:trHeight w:val="242"/>
        </w:trPr>
        <w:tc>
          <w:tcPr>
            <w:tcW w:w="1952" w:type="dxa"/>
            <w:shd w:val="clear" w:color="auto" w:fill="FFFFFF" w:themeFill="background1"/>
            <w:vAlign w:val="center"/>
          </w:tcPr>
          <w:p w14:paraId="691C9773" w14:textId="77777777" w:rsidR="00603A7B" w:rsidRDefault="00603A7B" w:rsidP="00585914">
            <w:pPr>
              <w:spacing w:line="240" w:lineRule="exact"/>
              <w:rPr>
                <w:rFonts w:ascii="宋体" w:eastAsia="宋体" w:hAnsi="宋体" w:cs="宋体" w:hint="eastAsia"/>
                <w:sz w:val="18"/>
                <w:szCs w:val="18"/>
              </w:rPr>
            </w:pPr>
            <w:r>
              <w:rPr>
                <w:rFonts w:ascii="宋体" w:eastAsia="宋体" w:hAnsi="宋体" w:cs="宋体"/>
                <w:sz w:val="18"/>
                <w:szCs w:val="18"/>
              </w:rPr>
              <w:t>电缆及光缆</w:t>
            </w:r>
          </w:p>
        </w:tc>
        <w:tc>
          <w:tcPr>
            <w:tcW w:w="1952" w:type="dxa"/>
            <w:shd w:val="clear" w:color="auto" w:fill="FFFFFF" w:themeFill="background1"/>
            <w:vAlign w:val="center"/>
          </w:tcPr>
          <w:p w14:paraId="08EB0DEB" w14:textId="77777777" w:rsidR="00603A7B" w:rsidRDefault="00603A7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1,267,860,437.80</w:t>
            </w:r>
          </w:p>
        </w:tc>
        <w:tc>
          <w:tcPr>
            <w:tcW w:w="1952" w:type="dxa"/>
            <w:shd w:val="clear" w:color="auto" w:fill="FFFFFF" w:themeFill="background1"/>
            <w:vAlign w:val="center"/>
          </w:tcPr>
          <w:p w14:paraId="3C819C81" w14:textId="77777777" w:rsidR="00603A7B" w:rsidRDefault="00603A7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1,144,466,504.62</w:t>
            </w:r>
          </w:p>
        </w:tc>
        <w:tc>
          <w:tcPr>
            <w:tcW w:w="1952" w:type="dxa"/>
            <w:shd w:val="clear" w:color="auto" w:fill="FFFFFF" w:themeFill="background1"/>
            <w:vAlign w:val="center"/>
          </w:tcPr>
          <w:p w14:paraId="535DDA2D" w14:textId="77777777" w:rsidR="00603A7B" w:rsidRDefault="00603A7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1,267,860,437.80</w:t>
            </w:r>
          </w:p>
        </w:tc>
        <w:tc>
          <w:tcPr>
            <w:tcW w:w="1952" w:type="dxa"/>
            <w:shd w:val="clear" w:color="auto" w:fill="FFFFFF" w:themeFill="background1"/>
            <w:vAlign w:val="center"/>
          </w:tcPr>
          <w:p w14:paraId="5287DDF8" w14:textId="77777777" w:rsidR="00603A7B" w:rsidRDefault="00603A7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1,144,466,504.62</w:t>
            </w:r>
          </w:p>
        </w:tc>
      </w:tr>
      <w:tr w:rsidR="00603A7B" w14:paraId="36A2E70B" w14:textId="77777777" w:rsidTr="00DD2081">
        <w:trPr>
          <w:trHeight w:val="242"/>
        </w:trPr>
        <w:tc>
          <w:tcPr>
            <w:tcW w:w="1952" w:type="dxa"/>
            <w:shd w:val="clear" w:color="auto" w:fill="FFFFFF" w:themeFill="background1"/>
            <w:vAlign w:val="center"/>
          </w:tcPr>
          <w:p w14:paraId="6524EFB2" w14:textId="77777777" w:rsidR="00603A7B" w:rsidRDefault="00603A7B" w:rsidP="00585914">
            <w:pPr>
              <w:spacing w:line="240" w:lineRule="exact"/>
              <w:rPr>
                <w:rFonts w:ascii="宋体" w:eastAsia="宋体" w:hAnsi="宋体" w:cs="宋体" w:hint="eastAsia"/>
                <w:sz w:val="18"/>
                <w:szCs w:val="18"/>
              </w:rPr>
            </w:pPr>
            <w:r>
              <w:rPr>
                <w:rFonts w:ascii="宋体" w:eastAsia="宋体" w:hAnsi="宋体" w:cs="宋体"/>
                <w:sz w:val="18"/>
                <w:szCs w:val="18"/>
              </w:rPr>
              <w:t>电池片及电池组件</w:t>
            </w:r>
          </w:p>
        </w:tc>
        <w:tc>
          <w:tcPr>
            <w:tcW w:w="1952" w:type="dxa"/>
            <w:shd w:val="clear" w:color="auto" w:fill="FFFFFF" w:themeFill="background1"/>
            <w:vAlign w:val="center"/>
          </w:tcPr>
          <w:p w14:paraId="550C6411" w14:textId="77777777" w:rsidR="00603A7B" w:rsidRDefault="00603A7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757,157,266.06</w:t>
            </w:r>
          </w:p>
        </w:tc>
        <w:tc>
          <w:tcPr>
            <w:tcW w:w="1952" w:type="dxa"/>
            <w:shd w:val="clear" w:color="auto" w:fill="FFFFFF" w:themeFill="background1"/>
            <w:vAlign w:val="center"/>
          </w:tcPr>
          <w:p w14:paraId="5767C94D" w14:textId="77777777" w:rsidR="00603A7B" w:rsidRDefault="00603A7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519,951,245.62</w:t>
            </w:r>
          </w:p>
        </w:tc>
        <w:tc>
          <w:tcPr>
            <w:tcW w:w="1952" w:type="dxa"/>
            <w:shd w:val="clear" w:color="auto" w:fill="FFFFFF" w:themeFill="background1"/>
            <w:vAlign w:val="center"/>
          </w:tcPr>
          <w:p w14:paraId="43A262BE" w14:textId="77777777" w:rsidR="00603A7B" w:rsidRDefault="00603A7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757,157,266.06</w:t>
            </w:r>
          </w:p>
        </w:tc>
        <w:tc>
          <w:tcPr>
            <w:tcW w:w="1952" w:type="dxa"/>
            <w:shd w:val="clear" w:color="auto" w:fill="FFFFFF" w:themeFill="background1"/>
            <w:vAlign w:val="center"/>
          </w:tcPr>
          <w:p w14:paraId="47B2EFB6" w14:textId="77777777" w:rsidR="00603A7B" w:rsidRDefault="00603A7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519,951,245.62</w:t>
            </w:r>
          </w:p>
        </w:tc>
      </w:tr>
      <w:tr w:rsidR="00603A7B" w14:paraId="6A8979AF" w14:textId="77777777" w:rsidTr="00DD2081">
        <w:trPr>
          <w:trHeight w:val="242"/>
        </w:trPr>
        <w:tc>
          <w:tcPr>
            <w:tcW w:w="1952" w:type="dxa"/>
            <w:shd w:val="clear" w:color="auto" w:fill="FFFFFF" w:themeFill="background1"/>
            <w:vAlign w:val="center"/>
          </w:tcPr>
          <w:p w14:paraId="2286673E" w14:textId="77777777" w:rsidR="00603A7B" w:rsidRDefault="00603A7B" w:rsidP="00585914">
            <w:pPr>
              <w:spacing w:line="240" w:lineRule="exact"/>
              <w:rPr>
                <w:rFonts w:ascii="宋体" w:eastAsia="宋体" w:hAnsi="宋体" w:cs="宋体" w:hint="eastAsia"/>
                <w:sz w:val="18"/>
                <w:szCs w:val="18"/>
              </w:rPr>
            </w:pPr>
            <w:r>
              <w:rPr>
                <w:rFonts w:ascii="宋体" w:eastAsia="宋体" w:hAnsi="宋体" w:cs="宋体"/>
                <w:sz w:val="18"/>
                <w:szCs w:val="18"/>
              </w:rPr>
              <w:t>整体电站</w:t>
            </w:r>
          </w:p>
        </w:tc>
        <w:tc>
          <w:tcPr>
            <w:tcW w:w="1952" w:type="dxa"/>
            <w:shd w:val="clear" w:color="auto" w:fill="FFFFFF" w:themeFill="background1"/>
            <w:vAlign w:val="center"/>
          </w:tcPr>
          <w:p w14:paraId="19336BA0" w14:textId="77777777" w:rsidR="00603A7B" w:rsidRDefault="00603A7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4,403,898.97</w:t>
            </w:r>
          </w:p>
        </w:tc>
        <w:tc>
          <w:tcPr>
            <w:tcW w:w="1952" w:type="dxa"/>
            <w:shd w:val="clear" w:color="auto" w:fill="FFFFFF" w:themeFill="background1"/>
            <w:vAlign w:val="center"/>
          </w:tcPr>
          <w:p w14:paraId="64B49225" w14:textId="77777777" w:rsidR="00603A7B" w:rsidRDefault="00603A7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14,454,760.82</w:t>
            </w:r>
          </w:p>
        </w:tc>
        <w:tc>
          <w:tcPr>
            <w:tcW w:w="1952" w:type="dxa"/>
            <w:shd w:val="clear" w:color="auto" w:fill="FFFFFF" w:themeFill="background1"/>
            <w:vAlign w:val="center"/>
          </w:tcPr>
          <w:p w14:paraId="7E57780B" w14:textId="77777777" w:rsidR="00603A7B" w:rsidRDefault="00603A7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4,403,898.97</w:t>
            </w:r>
          </w:p>
        </w:tc>
        <w:tc>
          <w:tcPr>
            <w:tcW w:w="1952" w:type="dxa"/>
            <w:shd w:val="clear" w:color="auto" w:fill="FFFFFF" w:themeFill="background1"/>
            <w:vAlign w:val="center"/>
          </w:tcPr>
          <w:p w14:paraId="7CA53FB2" w14:textId="77777777" w:rsidR="00603A7B" w:rsidRDefault="00603A7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14,454,760.82</w:t>
            </w:r>
          </w:p>
        </w:tc>
      </w:tr>
      <w:tr w:rsidR="00603A7B" w14:paraId="76E48A1C" w14:textId="77777777" w:rsidTr="00DD2081">
        <w:trPr>
          <w:trHeight w:val="242"/>
        </w:trPr>
        <w:tc>
          <w:tcPr>
            <w:tcW w:w="1952" w:type="dxa"/>
            <w:shd w:val="clear" w:color="auto" w:fill="FFFFFF" w:themeFill="background1"/>
            <w:vAlign w:val="center"/>
          </w:tcPr>
          <w:p w14:paraId="370E2FAD" w14:textId="77777777" w:rsidR="00603A7B" w:rsidRDefault="00603A7B" w:rsidP="00585914">
            <w:pPr>
              <w:spacing w:line="240" w:lineRule="exact"/>
              <w:rPr>
                <w:rFonts w:ascii="宋体" w:eastAsia="宋体" w:hAnsi="宋体" w:cs="宋体" w:hint="eastAsia"/>
                <w:sz w:val="18"/>
                <w:szCs w:val="18"/>
              </w:rPr>
            </w:pPr>
            <w:r>
              <w:rPr>
                <w:rFonts w:ascii="宋体" w:eastAsia="宋体" w:hAnsi="宋体" w:cs="宋体"/>
                <w:sz w:val="18"/>
                <w:szCs w:val="18"/>
              </w:rPr>
              <w:t>发电</w:t>
            </w:r>
          </w:p>
        </w:tc>
        <w:tc>
          <w:tcPr>
            <w:tcW w:w="1952" w:type="dxa"/>
            <w:shd w:val="clear" w:color="auto" w:fill="FFFFFF" w:themeFill="background1"/>
            <w:vAlign w:val="center"/>
          </w:tcPr>
          <w:p w14:paraId="3647D86A" w14:textId="77777777" w:rsidR="00603A7B" w:rsidRDefault="00603A7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24,350,254.81</w:t>
            </w:r>
          </w:p>
        </w:tc>
        <w:tc>
          <w:tcPr>
            <w:tcW w:w="1952" w:type="dxa"/>
            <w:shd w:val="clear" w:color="auto" w:fill="FFFFFF" w:themeFill="background1"/>
            <w:vAlign w:val="center"/>
          </w:tcPr>
          <w:p w14:paraId="7D4628CE" w14:textId="77777777" w:rsidR="00603A7B" w:rsidRDefault="00603A7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19,957,209.96</w:t>
            </w:r>
          </w:p>
        </w:tc>
        <w:tc>
          <w:tcPr>
            <w:tcW w:w="1952" w:type="dxa"/>
            <w:shd w:val="clear" w:color="auto" w:fill="FFFFFF" w:themeFill="background1"/>
            <w:vAlign w:val="center"/>
          </w:tcPr>
          <w:p w14:paraId="07985FEC" w14:textId="77777777" w:rsidR="00603A7B" w:rsidRDefault="00603A7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24,350,254.81</w:t>
            </w:r>
          </w:p>
        </w:tc>
        <w:tc>
          <w:tcPr>
            <w:tcW w:w="1952" w:type="dxa"/>
            <w:shd w:val="clear" w:color="auto" w:fill="FFFFFF" w:themeFill="background1"/>
            <w:vAlign w:val="center"/>
          </w:tcPr>
          <w:p w14:paraId="7BA4A896" w14:textId="77777777" w:rsidR="00603A7B" w:rsidRDefault="00603A7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19,957,209.96</w:t>
            </w:r>
          </w:p>
        </w:tc>
      </w:tr>
      <w:tr w:rsidR="00603A7B" w14:paraId="6142181A" w14:textId="77777777" w:rsidTr="00DD2081">
        <w:trPr>
          <w:trHeight w:val="242"/>
        </w:trPr>
        <w:tc>
          <w:tcPr>
            <w:tcW w:w="1952" w:type="dxa"/>
            <w:shd w:val="clear" w:color="auto" w:fill="FFFFFF" w:themeFill="background1"/>
            <w:vAlign w:val="center"/>
          </w:tcPr>
          <w:p w14:paraId="38934BAF" w14:textId="77777777" w:rsidR="00603A7B" w:rsidRDefault="00603A7B" w:rsidP="00585914">
            <w:pPr>
              <w:spacing w:line="240" w:lineRule="exact"/>
              <w:rPr>
                <w:rFonts w:ascii="宋体" w:eastAsia="宋体" w:hAnsi="宋体" w:cs="宋体" w:hint="eastAsia"/>
                <w:sz w:val="18"/>
                <w:szCs w:val="18"/>
              </w:rPr>
            </w:pPr>
            <w:r>
              <w:rPr>
                <w:rFonts w:ascii="宋体" w:eastAsia="宋体" w:hAnsi="宋体" w:cs="宋体"/>
                <w:sz w:val="18"/>
                <w:szCs w:val="18"/>
              </w:rPr>
              <w:t>铜导体、电缆料等原材料</w:t>
            </w:r>
          </w:p>
        </w:tc>
        <w:tc>
          <w:tcPr>
            <w:tcW w:w="1952" w:type="dxa"/>
            <w:shd w:val="clear" w:color="auto" w:fill="FFFFFF" w:themeFill="background1"/>
            <w:vAlign w:val="center"/>
          </w:tcPr>
          <w:p w14:paraId="05CB47A1" w14:textId="77777777" w:rsidR="00603A7B" w:rsidRDefault="00603A7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268,895,929.99</w:t>
            </w:r>
          </w:p>
        </w:tc>
        <w:tc>
          <w:tcPr>
            <w:tcW w:w="1952" w:type="dxa"/>
            <w:shd w:val="clear" w:color="auto" w:fill="FFFFFF" w:themeFill="background1"/>
            <w:vAlign w:val="center"/>
          </w:tcPr>
          <w:p w14:paraId="628790CD" w14:textId="77777777" w:rsidR="00603A7B" w:rsidRDefault="00603A7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251,094,590.26</w:t>
            </w:r>
          </w:p>
        </w:tc>
        <w:tc>
          <w:tcPr>
            <w:tcW w:w="1952" w:type="dxa"/>
            <w:shd w:val="clear" w:color="auto" w:fill="FFFFFF" w:themeFill="background1"/>
            <w:vAlign w:val="center"/>
          </w:tcPr>
          <w:p w14:paraId="05CAF3D9" w14:textId="77777777" w:rsidR="00603A7B" w:rsidRDefault="00603A7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268,895,929.99</w:t>
            </w:r>
          </w:p>
        </w:tc>
        <w:tc>
          <w:tcPr>
            <w:tcW w:w="1952" w:type="dxa"/>
            <w:shd w:val="clear" w:color="auto" w:fill="FFFFFF" w:themeFill="background1"/>
            <w:vAlign w:val="center"/>
          </w:tcPr>
          <w:p w14:paraId="55F98A79" w14:textId="77777777" w:rsidR="00603A7B" w:rsidRDefault="00603A7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251,094,590.26</w:t>
            </w:r>
          </w:p>
        </w:tc>
      </w:tr>
      <w:tr w:rsidR="00603A7B" w14:paraId="6450A56D" w14:textId="77777777" w:rsidTr="00DD2081">
        <w:trPr>
          <w:trHeight w:val="242"/>
        </w:trPr>
        <w:tc>
          <w:tcPr>
            <w:tcW w:w="1952" w:type="dxa"/>
            <w:shd w:val="clear" w:color="auto" w:fill="FFFFFF" w:themeFill="background1"/>
            <w:vAlign w:val="center"/>
          </w:tcPr>
          <w:p w14:paraId="3FA3769C" w14:textId="77777777" w:rsidR="00603A7B" w:rsidRDefault="00603A7B" w:rsidP="00585914">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1952" w:type="dxa"/>
            <w:shd w:val="clear" w:color="auto" w:fill="FFFFFF" w:themeFill="background1"/>
            <w:vAlign w:val="center"/>
          </w:tcPr>
          <w:p w14:paraId="7D0A1E5A" w14:textId="77777777" w:rsidR="00603A7B" w:rsidRDefault="00603A7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35,311,959.93</w:t>
            </w:r>
          </w:p>
        </w:tc>
        <w:tc>
          <w:tcPr>
            <w:tcW w:w="1952" w:type="dxa"/>
            <w:shd w:val="clear" w:color="auto" w:fill="FFFFFF" w:themeFill="background1"/>
            <w:vAlign w:val="center"/>
          </w:tcPr>
          <w:p w14:paraId="083B612E" w14:textId="77777777" w:rsidR="00603A7B" w:rsidRDefault="00603A7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23,091,681.37</w:t>
            </w:r>
          </w:p>
        </w:tc>
        <w:tc>
          <w:tcPr>
            <w:tcW w:w="1952" w:type="dxa"/>
            <w:shd w:val="clear" w:color="auto" w:fill="FFFFFF" w:themeFill="background1"/>
            <w:vAlign w:val="center"/>
          </w:tcPr>
          <w:p w14:paraId="690BC633" w14:textId="77777777" w:rsidR="00603A7B" w:rsidRDefault="00603A7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35,311,959.93</w:t>
            </w:r>
          </w:p>
        </w:tc>
        <w:tc>
          <w:tcPr>
            <w:tcW w:w="1952" w:type="dxa"/>
            <w:shd w:val="clear" w:color="auto" w:fill="FFFFFF" w:themeFill="background1"/>
            <w:vAlign w:val="center"/>
          </w:tcPr>
          <w:p w14:paraId="03BF7DFB" w14:textId="77777777" w:rsidR="00603A7B" w:rsidRDefault="00603A7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23,091,681.37</w:t>
            </w:r>
          </w:p>
        </w:tc>
      </w:tr>
      <w:tr w:rsidR="00603A7B" w14:paraId="5F78D00B" w14:textId="77777777" w:rsidTr="00DD2081">
        <w:trPr>
          <w:trHeight w:val="242"/>
        </w:trPr>
        <w:tc>
          <w:tcPr>
            <w:tcW w:w="1952" w:type="dxa"/>
            <w:shd w:val="clear" w:color="auto" w:fill="FFFFFF" w:themeFill="background1"/>
            <w:vAlign w:val="center"/>
          </w:tcPr>
          <w:p w14:paraId="04E73CFD" w14:textId="77777777" w:rsidR="00603A7B" w:rsidRDefault="00603A7B" w:rsidP="00585914">
            <w:pPr>
              <w:spacing w:before="40" w:after="40" w:line="240" w:lineRule="exact"/>
              <w:rPr>
                <w:rFonts w:ascii="宋体" w:eastAsia="宋体" w:hAnsi="宋体" w:cs="宋体" w:hint="eastAsia"/>
                <w:sz w:val="18"/>
                <w:szCs w:val="18"/>
              </w:rPr>
            </w:pPr>
            <w:bookmarkStart w:id="310" w:name="_Hlk196141797"/>
            <w:r>
              <w:rPr>
                <w:rFonts w:ascii="宋体" w:eastAsia="宋体" w:hAnsi="宋体" w:cs="宋体"/>
                <w:sz w:val="18"/>
                <w:szCs w:val="18"/>
              </w:rPr>
              <w:t>按经营地区分类</w:t>
            </w:r>
          </w:p>
        </w:tc>
        <w:tc>
          <w:tcPr>
            <w:tcW w:w="1952" w:type="dxa"/>
            <w:shd w:val="clear" w:color="auto" w:fill="FFFFFF" w:themeFill="background1"/>
            <w:vAlign w:val="center"/>
          </w:tcPr>
          <w:p w14:paraId="361B6916" w14:textId="77777777" w:rsidR="00603A7B" w:rsidRDefault="00603A7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2,357,979,747.56</w:t>
            </w:r>
          </w:p>
        </w:tc>
        <w:tc>
          <w:tcPr>
            <w:tcW w:w="1952" w:type="dxa"/>
            <w:shd w:val="clear" w:color="auto" w:fill="FFFFFF" w:themeFill="background1"/>
            <w:vAlign w:val="center"/>
          </w:tcPr>
          <w:p w14:paraId="549B4D27" w14:textId="77777777" w:rsidR="00603A7B" w:rsidRDefault="00603A7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1,973,015,992.65</w:t>
            </w:r>
          </w:p>
        </w:tc>
        <w:tc>
          <w:tcPr>
            <w:tcW w:w="1952" w:type="dxa"/>
            <w:shd w:val="clear" w:color="auto" w:fill="FFFFFF" w:themeFill="background1"/>
            <w:vAlign w:val="center"/>
          </w:tcPr>
          <w:p w14:paraId="64EBBB0A" w14:textId="77777777" w:rsidR="00603A7B" w:rsidRDefault="00603A7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2,357,979,747.56</w:t>
            </w:r>
          </w:p>
        </w:tc>
        <w:tc>
          <w:tcPr>
            <w:tcW w:w="1952" w:type="dxa"/>
            <w:shd w:val="clear" w:color="auto" w:fill="FFFFFF" w:themeFill="background1"/>
            <w:vAlign w:val="center"/>
          </w:tcPr>
          <w:p w14:paraId="427361B9" w14:textId="77777777" w:rsidR="00603A7B" w:rsidRDefault="00603A7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1,973,015,992.65</w:t>
            </w:r>
          </w:p>
        </w:tc>
      </w:tr>
      <w:bookmarkEnd w:id="310"/>
      <w:tr w:rsidR="00603A7B" w14:paraId="4DE5196B" w14:textId="77777777" w:rsidTr="00DD2081">
        <w:trPr>
          <w:trHeight w:val="242"/>
        </w:trPr>
        <w:tc>
          <w:tcPr>
            <w:tcW w:w="1952" w:type="dxa"/>
            <w:shd w:val="clear" w:color="auto" w:fill="FFFFFF" w:themeFill="background1"/>
            <w:vAlign w:val="center"/>
          </w:tcPr>
          <w:p w14:paraId="38D22E08" w14:textId="77777777" w:rsidR="00603A7B" w:rsidRDefault="00603A7B" w:rsidP="00585914">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　其中：</w:t>
            </w:r>
          </w:p>
        </w:tc>
        <w:tc>
          <w:tcPr>
            <w:tcW w:w="1952" w:type="dxa"/>
            <w:shd w:val="clear" w:color="auto" w:fill="FFFFFF" w:themeFill="background1"/>
            <w:vAlign w:val="center"/>
          </w:tcPr>
          <w:p w14:paraId="723CC24B" w14:textId="77777777" w:rsidR="00603A7B" w:rsidRDefault="00603A7B" w:rsidP="00585914"/>
        </w:tc>
        <w:tc>
          <w:tcPr>
            <w:tcW w:w="1952" w:type="dxa"/>
            <w:shd w:val="clear" w:color="auto" w:fill="FFFFFF" w:themeFill="background1"/>
            <w:vAlign w:val="center"/>
          </w:tcPr>
          <w:p w14:paraId="1FF6ABD6" w14:textId="77777777" w:rsidR="00603A7B" w:rsidRDefault="00603A7B" w:rsidP="00585914"/>
        </w:tc>
        <w:tc>
          <w:tcPr>
            <w:tcW w:w="1952" w:type="dxa"/>
            <w:shd w:val="clear" w:color="auto" w:fill="FFFFFF" w:themeFill="background1"/>
            <w:vAlign w:val="center"/>
          </w:tcPr>
          <w:p w14:paraId="552AFC7E" w14:textId="77777777" w:rsidR="00603A7B" w:rsidRDefault="00603A7B" w:rsidP="00585914"/>
        </w:tc>
        <w:tc>
          <w:tcPr>
            <w:tcW w:w="1952" w:type="dxa"/>
            <w:shd w:val="clear" w:color="auto" w:fill="FFFFFF" w:themeFill="background1"/>
            <w:vAlign w:val="center"/>
          </w:tcPr>
          <w:p w14:paraId="6D25601D" w14:textId="77777777" w:rsidR="00603A7B" w:rsidRDefault="00603A7B" w:rsidP="00585914"/>
        </w:tc>
      </w:tr>
      <w:tr w:rsidR="00603A7B" w14:paraId="6C04A50B" w14:textId="77777777" w:rsidTr="00DD2081">
        <w:trPr>
          <w:trHeight w:val="242"/>
        </w:trPr>
        <w:tc>
          <w:tcPr>
            <w:tcW w:w="1952" w:type="dxa"/>
            <w:shd w:val="clear" w:color="auto" w:fill="FFFFFF" w:themeFill="background1"/>
            <w:vAlign w:val="center"/>
          </w:tcPr>
          <w:p w14:paraId="690CF277" w14:textId="77777777" w:rsidR="00603A7B" w:rsidRDefault="00603A7B" w:rsidP="00585914">
            <w:pPr>
              <w:spacing w:line="240" w:lineRule="exact"/>
              <w:rPr>
                <w:rFonts w:ascii="宋体" w:eastAsia="宋体" w:hAnsi="宋体" w:cs="宋体" w:hint="eastAsia"/>
                <w:sz w:val="18"/>
                <w:szCs w:val="18"/>
              </w:rPr>
            </w:pPr>
            <w:r>
              <w:rPr>
                <w:rFonts w:ascii="宋体" w:eastAsia="宋体" w:hAnsi="宋体" w:cs="宋体"/>
                <w:sz w:val="18"/>
                <w:szCs w:val="18"/>
              </w:rPr>
              <w:t>国内</w:t>
            </w:r>
          </w:p>
        </w:tc>
        <w:tc>
          <w:tcPr>
            <w:tcW w:w="1952" w:type="dxa"/>
            <w:shd w:val="clear" w:color="auto" w:fill="FFFFFF" w:themeFill="background1"/>
            <w:vAlign w:val="center"/>
          </w:tcPr>
          <w:p w14:paraId="30BE9BD8" w14:textId="77777777" w:rsidR="00603A7B" w:rsidRDefault="00603A7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1,409,844,355.50</w:t>
            </w:r>
          </w:p>
        </w:tc>
        <w:tc>
          <w:tcPr>
            <w:tcW w:w="1952" w:type="dxa"/>
            <w:shd w:val="clear" w:color="auto" w:fill="FFFFFF" w:themeFill="background1"/>
            <w:vAlign w:val="center"/>
          </w:tcPr>
          <w:p w14:paraId="1B6D746E" w14:textId="77777777" w:rsidR="00603A7B" w:rsidRDefault="00603A7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1,354,949,144.64</w:t>
            </w:r>
          </w:p>
        </w:tc>
        <w:tc>
          <w:tcPr>
            <w:tcW w:w="1952" w:type="dxa"/>
            <w:shd w:val="clear" w:color="auto" w:fill="FFFFFF" w:themeFill="background1"/>
            <w:vAlign w:val="center"/>
          </w:tcPr>
          <w:p w14:paraId="511853F6" w14:textId="77777777" w:rsidR="00603A7B" w:rsidRDefault="00603A7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1,409,844,355.50</w:t>
            </w:r>
          </w:p>
        </w:tc>
        <w:tc>
          <w:tcPr>
            <w:tcW w:w="1952" w:type="dxa"/>
            <w:shd w:val="clear" w:color="auto" w:fill="FFFFFF" w:themeFill="background1"/>
            <w:vAlign w:val="center"/>
          </w:tcPr>
          <w:p w14:paraId="2D59E075" w14:textId="77777777" w:rsidR="00603A7B" w:rsidRDefault="00603A7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1,354,949,144.64</w:t>
            </w:r>
          </w:p>
        </w:tc>
      </w:tr>
      <w:tr w:rsidR="00603A7B" w14:paraId="14689178" w14:textId="77777777" w:rsidTr="00DD2081">
        <w:trPr>
          <w:trHeight w:val="242"/>
        </w:trPr>
        <w:tc>
          <w:tcPr>
            <w:tcW w:w="1952" w:type="dxa"/>
            <w:shd w:val="clear" w:color="auto" w:fill="FFFFFF" w:themeFill="background1"/>
            <w:vAlign w:val="center"/>
          </w:tcPr>
          <w:p w14:paraId="093C8E36" w14:textId="77777777" w:rsidR="00603A7B" w:rsidRDefault="00603A7B" w:rsidP="00585914">
            <w:pPr>
              <w:spacing w:line="240" w:lineRule="exact"/>
              <w:rPr>
                <w:rFonts w:ascii="宋体" w:eastAsia="宋体" w:hAnsi="宋体" w:cs="宋体" w:hint="eastAsia"/>
                <w:sz w:val="18"/>
                <w:szCs w:val="18"/>
              </w:rPr>
            </w:pPr>
            <w:r>
              <w:rPr>
                <w:rFonts w:ascii="宋体" w:eastAsia="宋体" w:hAnsi="宋体" w:cs="宋体"/>
                <w:sz w:val="18"/>
                <w:szCs w:val="18"/>
              </w:rPr>
              <w:t>国外</w:t>
            </w:r>
          </w:p>
        </w:tc>
        <w:tc>
          <w:tcPr>
            <w:tcW w:w="1952" w:type="dxa"/>
            <w:shd w:val="clear" w:color="auto" w:fill="FFFFFF" w:themeFill="background1"/>
            <w:vAlign w:val="center"/>
          </w:tcPr>
          <w:p w14:paraId="732860CA" w14:textId="77777777" w:rsidR="00603A7B" w:rsidRDefault="00603A7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948,135,392.06</w:t>
            </w:r>
          </w:p>
        </w:tc>
        <w:tc>
          <w:tcPr>
            <w:tcW w:w="1952" w:type="dxa"/>
            <w:shd w:val="clear" w:color="auto" w:fill="FFFFFF" w:themeFill="background1"/>
            <w:vAlign w:val="center"/>
          </w:tcPr>
          <w:p w14:paraId="6F1627E8" w14:textId="77777777" w:rsidR="00603A7B" w:rsidRDefault="00603A7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618,066,848.01</w:t>
            </w:r>
          </w:p>
        </w:tc>
        <w:tc>
          <w:tcPr>
            <w:tcW w:w="1952" w:type="dxa"/>
            <w:shd w:val="clear" w:color="auto" w:fill="FFFFFF" w:themeFill="background1"/>
            <w:vAlign w:val="center"/>
          </w:tcPr>
          <w:p w14:paraId="4005D94E" w14:textId="77777777" w:rsidR="00603A7B" w:rsidRDefault="00603A7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948,135,392.06</w:t>
            </w:r>
          </w:p>
        </w:tc>
        <w:tc>
          <w:tcPr>
            <w:tcW w:w="1952" w:type="dxa"/>
            <w:shd w:val="clear" w:color="auto" w:fill="FFFFFF" w:themeFill="background1"/>
            <w:vAlign w:val="center"/>
          </w:tcPr>
          <w:p w14:paraId="3B6E6013" w14:textId="77777777" w:rsidR="00603A7B" w:rsidRDefault="00603A7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618,066,848.01</w:t>
            </w:r>
          </w:p>
        </w:tc>
      </w:tr>
    </w:tbl>
    <w:p w14:paraId="51B7184F" w14:textId="320AC4DD"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其他说明</w:t>
      </w:r>
    </w:p>
    <w:p w14:paraId="782C8276" w14:textId="77777777" w:rsidR="00E72F0C" w:rsidRDefault="00107901" w:rsidP="008F13E1">
      <w:pPr>
        <w:pStyle w:val="a3"/>
        <w:spacing w:before="0" w:beforeAutospacing="0" w:after="0" w:afterAutospacing="0"/>
        <w:divId w:val="830097586"/>
        <w:rPr>
          <w:rFonts w:hint="eastAsia"/>
          <w:sz w:val="18"/>
          <w:szCs w:val="18"/>
        </w:rPr>
      </w:pPr>
      <w:r>
        <w:rPr>
          <w:rFonts w:hint="eastAsia"/>
          <w:sz w:val="18"/>
          <w:szCs w:val="18"/>
        </w:rPr>
        <w:t>  本公司根据在向客户转让商品或服务前是否拥有对该商品或服务的控制权，来判断从事交易时本公司的身份是主要责任人还是代理人。本公司在向客户转让商品或服务前能够控制该商品或服务的，本公司为主要责任人，按照已收或应收对价总额确认收入；否则，本公司为代理人，按照预期有权收取的佣金或手续费的金额确认收入，该金额按照已收或应收对价总额扣除应支付给其他相关方的价款后的净额确定。</w:t>
      </w:r>
      <w:r>
        <w:rPr>
          <w:rFonts w:hint="eastAsia"/>
          <w:sz w:val="18"/>
          <w:szCs w:val="18"/>
        </w:rPr>
        <w:br/>
        <w:t>  公司主要业务及收入来源于销售电缆及光伏产品、转让光伏电站、光伏电站建设及运维、电站发电等。收入确认的具体方法及原则参见附注五之24收入。</w:t>
      </w:r>
      <w:r>
        <w:rPr>
          <w:rFonts w:hint="eastAsia"/>
          <w:sz w:val="18"/>
          <w:szCs w:val="18"/>
        </w:rPr>
        <w:br/>
        <w:t>  本公司为履约义务的主要责任人，通常会根据客户的信用等级、风险评定给予一定的账期，到期收款；对部分客户采取预收货款方式。企业无需承担预期将退还给客户的款项等类似义务。</w:t>
      </w:r>
    </w:p>
    <w:p w14:paraId="5E95DB0E"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与分摊至剩余履约义务的交易价格相关的信息：</w:t>
      </w:r>
    </w:p>
    <w:p w14:paraId="3601A165" w14:textId="77777777" w:rsidR="00632E5B" w:rsidRDefault="00107901" w:rsidP="00D03DB9">
      <w:pPr>
        <w:spacing w:before="100" w:after="100" w:line="240" w:lineRule="exact"/>
        <w:ind w:firstLineChars="200" w:firstLine="360"/>
        <w:jc w:val="both"/>
        <w:rPr>
          <w:rFonts w:ascii="宋体" w:eastAsia="宋体" w:hAnsi="宋体" w:cs="宋体" w:hint="eastAsia"/>
          <w:sz w:val="18"/>
          <w:szCs w:val="18"/>
        </w:rPr>
      </w:pPr>
      <w:r>
        <w:rPr>
          <w:rFonts w:ascii="宋体" w:eastAsia="宋体" w:hAnsi="宋体" w:cs="宋体"/>
          <w:sz w:val="18"/>
          <w:szCs w:val="18"/>
        </w:rPr>
        <w:t>本报告期末已签订合同、但尚未履行或尚未履行完毕的履约义务所对应的收入金额为475,427,730.72元，其中，467,307,388.25元预计将于2025年度确认收入。</w:t>
      </w:r>
    </w:p>
    <w:p w14:paraId="0E2E00DC" w14:textId="77777777" w:rsidR="00632E5B" w:rsidRDefault="00107901">
      <w:pPr>
        <w:pStyle w:val="3"/>
        <w:spacing w:line="280" w:lineRule="exact"/>
        <w:jc w:val="left"/>
        <w:rPr>
          <w:rFonts w:ascii="宋体" w:hAnsi="宋体" w:cs="宋体" w:hint="eastAsia"/>
          <w:b/>
          <w:bCs/>
        </w:rPr>
      </w:pPr>
      <w:bookmarkStart w:id="311" w:name="_Toc989197"/>
      <w:r>
        <w:rPr>
          <w:rFonts w:ascii="宋体" w:hAnsi="宋体" w:cs="宋体"/>
          <w:b/>
          <w:bCs/>
        </w:rPr>
        <w:lastRenderedPageBreak/>
        <w:t>44、税金及附加</w:t>
      </w:r>
      <w:bookmarkEnd w:id="311"/>
    </w:p>
    <w:p w14:paraId="15E3C33A"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04B4CE77" w14:textId="77777777" w:rsidTr="00DD2081">
        <w:trPr>
          <w:trHeight w:val="240"/>
        </w:trPr>
        <w:tc>
          <w:tcPr>
            <w:tcW w:w="3213" w:type="dxa"/>
            <w:shd w:val="clear" w:color="auto" w:fill="FFFFFF" w:themeFill="background1"/>
            <w:vAlign w:val="center"/>
          </w:tcPr>
          <w:p w14:paraId="5DC5509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75B1F73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auto" w:fill="FFFFFF" w:themeFill="background1"/>
            <w:vAlign w:val="center"/>
          </w:tcPr>
          <w:p w14:paraId="4764E51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632E5B" w14:paraId="0BF4C206" w14:textId="77777777" w:rsidTr="00DD2081">
        <w:trPr>
          <w:trHeight w:val="240"/>
        </w:trPr>
        <w:tc>
          <w:tcPr>
            <w:tcW w:w="3213" w:type="dxa"/>
            <w:shd w:val="clear" w:color="auto" w:fill="FFFFFF" w:themeFill="background1"/>
            <w:vAlign w:val="center"/>
          </w:tcPr>
          <w:p w14:paraId="2761666D"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城市维护建设税</w:t>
            </w:r>
          </w:p>
        </w:tc>
        <w:tc>
          <w:tcPr>
            <w:tcW w:w="3213" w:type="dxa"/>
            <w:shd w:val="clear" w:color="auto" w:fill="FFFFFF" w:themeFill="background1"/>
            <w:vAlign w:val="center"/>
          </w:tcPr>
          <w:p w14:paraId="5EA32A1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1,488,289.81</w:t>
            </w:r>
          </w:p>
        </w:tc>
        <w:tc>
          <w:tcPr>
            <w:tcW w:w="3213" w:type="dxa"/>
            <w:shd w:val="clear" w:color="auto" w:fill="FFFFFF" w:themeFill="background1"/>
            <w:vAlign w:val="center"/>
          </w:tcPr>
          <w:p w14:paraId="349324B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4,084,276.07</w:t>
            </w:r>
          </w:p>
        </w:tc>
      </w:tr>
      <w:tr w:rsidR="00632E5B" w14:paraId="2BF56056" w14:textId="77777777" w:rsidTr="00DD2081">
        <w:trPr>
          <w:trHeight w:val="240"/>
        </w:trPr>
        <w:tc>
          <w:tcPr>
            <w:tcW w:w="3213" w:type="dxa"/>
            <w:shd w:val="clear" w:color="auto" w:fill="FFFFFF" w:themeFill="background1"/>
            <w:vAlign w:val="center"/>
          </w:tcPr>
          <w:p w14:paraId="47C41A79"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教育费附加</w:t>
            </w:r>
          </w:p>
        </w:tc>
        <w:tc>
          <w:tcPr>
            <w:tcW w:w="3213" w:type="dxa"/>
            <w:shd w:val="clear" w:color="auto" w:fill="FFFFFF" w:themeFill="background1"/>
            <w:vAlign w:val="center"/>
          </w:tcPr>
          <w:p w14:paraId="493879E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1,299,154.02</w:t>
            </w:r>
          </w:p>
        </w:tc>
        <w:tc>
          <w:tcPr>
            <w:tcW w:w="3213" w:type="dxa"/>
            <w:shd w:val="clear" w:color="auto" w:fill="FFFFFF" w:themeFill="background1"/>
            <w:vAlign w:val="center"/>
          </w:tcPr>
          <w:p w14:paraId="16AAA7D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3,647,536.91</w:t>
            </w:r>
          </w:p>
        </w:tc>
      </w:tr>
      <w:tr w:rsidR="00632E5B" w14:paraId="29ABFA10" w14:textId="77777777" w:rsidTr="00DD2081">
        <w:trPr>
          <w:trHeight w:val="240"/>
        </w:trPr>
        <w:tc>
          <w:tcPr>
            <w:tcW w:w="3213" w:type="dxa"/>
            <w:shd w:val="clear" w:color="auto" w:fill="FFFFFF" w:themeFill="background1"/>
            <w:vAlign w:val="center"/>
          </w:tcPr>
          <w:p w14:paraId="7F7D816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房产税</w:t>
            </w:r>
          </w:p>
        </w:tc>
        <w:tc>
          <w:tcPr>
            <w:tcW w:w="3213" w:type="dxa"/>
            <w:shd w:val="clear" w:color="auto" w:fill="FFFFFF" w:themeFill="background1"/>
            <w:vAlign w:val="center"/>
          </w:tcPr>
          <w:p w14:paraId="0CDB500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14,109,639.21</w:t>
            </w:r>
          </w:p>
        </w:tc>
        <w:tc>
          <w:tcPr>
            <w:tcW w:w="3213" w:type="dxa"/>
            <w:shd w:val="clear" w:color="auto" w:fill="FFFFFF" w:themeFill="background1"/>
            <w:vAlign w:val="center"/>
          </w:tcPr>
          <w:p w14:paraId="5499C1C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13,998,997.02</w:t>
            </w:r>
          </w:p>
        </w:tc>
      </w:tr>
      <w:tr w:rsidR="00632E5B" w14:paraId="11058D6A" w14:textId="77777777" w:rsidTr="00DD2081">
        <w:trPr>
          <w:trHeight w:val="240"/>
        </w:trPr>
        <w:tc>
          <w:tcPr>
            <w:tcW w:w="3213" w:type="dxa"/>
            <w:shd w:val="clear" w:color="auto" w:fill="FFFFFF" w:themeFill="background1"/>
            <w:vAlign w:val="center"/>
          </w:tcPr>
          <w:p w14:paraId="45A4FA93"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土地使用税</w:t>
            </w:r>
          </w:p>
        </w:tc>
        <w:tc>
          <w:tcPr>
            <w:tcW w:w="3213" w:type="dxa"/>
            <w:shd w:val="clear" w:color="auto" w:fill="FFFFFF" w:themeFill="background1"/>
            <w:vAlign w:val="center"/>
          </w:tcPr>
          <w:p w14:paraId="652DAD2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4,124,408.74</w:t>
            </w:r>
          </w:p>
        </w:tc>
        <w:tc>
          <w:tcPr>
            <w:tcW w:w="3213" w:type="dxa"/>
            <w:shd w:val="clear" w:color="auto" w:fill="FFFFFF" w:themeFill="background1"/>
            <w:vAlign w:val="center"/>
          </w:tcPr>
          <w:p w14:paraId="24594DA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4,123,261.14</w:t>
            </w:r>
          </w:p>
        </w:tc>
      </w:tr>
      <w:tr w:rsidR="00632E5B" w14:paraId="44911CCA" w14:textId="77777777" w:rsidTr="00DD2081">
        <w:trPr>
          <w:trHeight w:val="240"/>
        </w:trPr>
        <w:tc>
          <w:tcPr>
            <w:tcW w:w="3213" w:type="dxa"/>
            <w:shd w:val="clear" w:color="auto" w:fill="FFFFFF" w:themeFill="background1"/>
            <w:vAlign w:val="center"/>
          </w:tcPr>
          <w:p w14:paraId="1D0ECB64"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车船使用税</w:t>
            </w:r>
          </w:p>
        </w:tc>
        <w:tc>
          <w:tcPr>
            <w:tcW w:w="3213" w:type="dxa"/>
            <w:shd w:val="clear" w:color="auto" w:fill="FFFFFF" w:themeFill="background1"/>
            <w:vAlign w:val="center"/>
          </w:tcPr>
          <w:p w14:paraId="5B9D716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14,175.14</w:t>
            </w:r>
          </w:p>
        </w:tc>
        <w:tc>
          <w:tcPr>
            <w:tcW w:w="3213" w:type="dxa"/>
            <w:shd w:val="clear" w:color="auto" w:fill="FFFFFF" w:themeFill="background1"/>
            <w:vAlign w:val="center"/>
          </w:tcPr>
          <w:p w14:paraId="421541F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23,019.68</w:t>
            </w:r>
          </w:p>
        </w:tc>
      </w:tr>
      <w:tr w:rsidR="00632E5B" w14:paraId="15167FC6" w14:textId="77777777" w:rsidTr="00DD2081">
        <w:trPr>
          <w:trHeight w:val="240"/>
        </w:trPr>
        <w:tc>
          <w:tcPr>
            <w:tcW w:w="3213" w:type="dxa"/>
            <w:shd w:val="clear" w:color="auto" w:fill="FFFFFF" w:themeFill="background1"/>
            <w:vAlign w:val="center"/>
          </w:tcPr>
          <w:p w14:paraId="0E0A4CB9"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印花税</w:t>
            </w:r>
          </w:p>
        </w:tc>
        <w:tc>
          <w:tcPr>
            <w:tcW w:w="3213" w:type="dxa"/>
            <w:shd w:val="clear" w:color="auto" w:fill="FFFFFF" w:themeFill="background1"/>
            <w:vAlign w:val="center"/>
          </w:tcPr>
          <w:p w14:paraId="3C2E18C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2,629,659.04</w:t>
            </w:r>
          </w:p>
        </w:tc>
        <w:tc>
          <w:tcPr>
            <w:tcW w:w="3213" w:type="dxa"/>
            <w:shd w:val="clear" w:color="auto" w:fill="FFFFFF" w:themeFill="background1"/>
            <w:vAlign w:val="center"/>
          </w:tcPr>
          <w:p w14:paraId="4F79F77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2,248,862.91</w:t>
            </w:r>
          </w:p>
        </w:tc>
      </w:tr>
      <w:tr w:rsidR="00632E5B" w14:paraId="48B8728B" w14:textId="77777777" w:rsidTr="00DD2081">
        <w:trPr>
          <w:trHeight w:val="240"/>
        </w:trPr>
        <w:tc>
          <w:tcPr>
            <w:tcW w:w="3213" w:type="dxa"/>
            <w:shd w:val="clear" w:color="auto" w:fill="FFFFFF" w:themeFill="background1"/>
            <w:vAlign w:val="center"/>
          </w:tcPr>
          <w:p w14:paraId="1B307A9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3213" w:type="dxa"/>
            <w:shd w:val="clear" w:color="auto" w:fill="FFFFFF" w:themeFill="background1"/>
            <w:vAlign w:val="center"/>
          </w:tcPr>
          <w:p w14:paraId="2DDCAEE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1,146,558.09</w:t>
            </w:r>
          </w:p>
        </w:tc>
        <w:tc>
          <w:tcPr>
            <w:tcW w:w="3213" w:type="dxa"/>
            <w:shd w:val="clear" w:color="auto" w:fill="FFFFFF" w:themeFill="background1"/>
            <w:vAlign w:val="center"/>
          </w:tcPr>
          <w:p w14:paraId="062EB3E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1,017,886.53</w:t>
            </w:r>
          </w:p>
        </w:tc>
      </w:tr>
      <w:tr w:rsidR="00632E5B" w14:paraId="6ACAB7EF" w14:textId="77777777" w:rsidTr="00DD2081">
        <w:trPr>
          <w:trHeight w:val="240"/>
        </w:trPr>
        <w:tc>
          <w:tcPr>
            <w:tcW w:w="3213" w:type="dxa"/>
            <w:shd w:val="clear" w:color="auto" w:fill="FFFFFF" w:themeFill="background1"/>
            <w:vAlign w:val="center"/>
          </w:tcPr>
          <w:p w14:paraId="670F1F3A"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4A2DE10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24,811,884.05</w:t>
            </w:r>
          </w:p>
        </w:tc>
        <w:tc>
          <w:tcPr>
            <w:tcW w:w="3213" w:type="dxa"/>
            <w:shd w:val="clear" w:color="auto" w:fill="FFFFFF" w:themeFill="background1"/>
            <w:vAlign w:val="center"/>
          </w:tcPr>
          <w:p w14:paraId="5D1E345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29,143,840.26</w:t>
            </w:r>
          </w:p>
        </w:tc>
      </w:tr>
    </w:tbl>
    <w:p w14:paraId="683836CC" w14:textId="77777777" w:rsidR="00632E5B" w:rsidRDefault="00107901">
      <w:pPr>
        <w:pStyle w:val="3"/>
        <w:spacing w:line="280" w:lineRule="exact"/>
        <w:jc w:val="left"/>
        <w:rPr>
          <w:rFonts w:ascii="宋体" w:hAnsi="宋体" w:cs="宋体" w:hint="eastAsia"/>
          <w:b/>
          <w:bCs/>
        </w:rPr>
      </w:pPr>
      <w:bookmarkStart w:id="312" w:name="_Toc989198"/>
      <w:r>
        <w:rPr>
          <w:rFonts w:ascii="宋体" w:hAnsi="宋体" w:cs="宋体"/>
          <w:b/>
          <w:bCs/>
        </w:rPr>
        <w:t>45、管理费用</w:t>
      </w:r>
      <w:bookmarkEnd w:id="312"/>
    </w:p>
    <w:p w14:paraId="4F9B2526"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64D99607" w14:textId="77777777" w:rsidTr="00DD2081">
        <w:trPr>
          <w:trHeight w:val="240"/>
        </w:trPr>
        <w:tc>
          <w:tcPr>
            <w:tcW w:w="3213" w:type="dxa"/>
            <w:shd w:val="clear" w:color="auto" w:fill="FFFFFF" w:themeFill="background1"/>
            <w:vAlign w:val="center"/>
          </w:tcPr>
          <w:p w14:paraId="0DECF20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560CE9F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auto" w:fill="FFFFFF" w:themeFill="background1"/>
            <w:vAlign w:val="center"/>
          </w:tcPr>
          <w:p w14:paraId="4878FEF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632E5B" w14:paraId="3D25E6DC" w14:textId="77777777" w:rsidTr="00DD2081">
        <w:trPr>
          <w:trHeight w:val="240"/>
        </w:trPr>
        <w:tc>
          <w:tcPr>
            <w:tcW w:w="3213" w:type="dxa"/>
            <w:shd w:val="clear" w:color="auto" w:fill="FFFFFF" w:themeFill="background1"/>
            <w:vAlign w:val="center"/>
          </w:tcPr>
          <w:p w14:paraId="0A5D7E0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工资、福利及社保费用</w:t>
            </w:r>
          </w:p>
        </w:tc>
        <w:tc>
          <w:tcPr>
            <w:tcW w:w="3213" w:type="dxa"/>
            <w:shd w:val="clear" w:color="auto" w:fill="FFFFFF" w:themeFill="background1"/>
            <w:vAlign w:val="center"/>
          </w:tcPr>
          <w:p w14:paraId="3FB7E90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188,460,100.08</w:t>
            </w:r>
          </w:p>
        </w:tc>
        <w:tc>
          <w:tcPr>
            <w:tcW w:w="3213" w:type="dxa"/>
            <w:shd w:val="clear" w:color="auto" w:fill="FFFFFF" w:themeFill="background1"/>
            <w:vAlign w:val="center"/>
          </w:tcPr>
          <w:p w14:paraId="0D742E6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195,277,417.40</w:t>
            </w:r>
          </w:p>
        </w:tc>
      </w:tr>
      <w:tr w:rsidR="00632E5B" w14:paraId="2F84AB26" w14:textId="77777777" w:rsidTr="00DD2081">
        <w:trPr>
          <w:trHeight w:val="240"/>
        </w:trPr>
        <w:tc>
          <w:tcPr>
            <w:tcW w:w="3213" w:type="dxa"/>
            <w:shd w:val="clear" w:color="auto" w:fill="FFFFFF" w:themeFill="background1"/>
            <w:vAlign w:val="center"/>
          </w:tcPr>
          <w:p w14:paraId="721668E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员工安置费</w:t>
            </w:r>
          </w:p>
        </w:tc>
        <w:tc>
          <w:tcPr>
            <w:tcW w:w="3213" w:type="dxa"/>
            <w:shd w:val="clear" w:color="auto" w:fill="FFFFFF" w:themeFill="background1"/>
            <w:vAlign w:val="center"/>
          </w:tcPr>
          <w:p w14:paraId="60C33DB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84,786,933.03</w:t>
            </w:r>
          </w:p>
        </w:tc>
        <w:tc>
          <w:tcPr>
            <w:tcW w:w="3213" w:type="dxa"/>
            <w:shd w:val="clear" w:color="auto" w:fill="FFFFFF" w:themeFill="background1"/>
            <w:vAlign w:val="center"/>
          </w:tcPr>
          <w:p w14:paraId="3D242AA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83,191.27</w:t>
            </w:r>
          </w:p>
        </w:tc>
      </w:tr>
      <w:tr w:rsidR="00632E5B" w14:paraId="7F4B9E04" w14:textId="77777777" w:rsidTr="00DD2081">
        <w:trPr>
          <w:trHeight w:val="240"/>
        </w:trPr>
        <w:tc>
          <w:tcPr>
            <w:tcW w:w="3213" w:type="dxa"/>
            <w:shd w:val="clear" w:color="auto" w:fill="FFFFFF" w:themeFill="background1"/>
            <w:vAlign w:val="center"/>
          </w:tcPr>
          <w:p w14:paraId="0FA694E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折旧摊销</w:t>
            </w:r>
          </w:p>
        </w:tc>
        <w:tc>
          <w:tcPr>
            <w:tcW w:w="3213" w:type="dxa"/>
            <w:shd w:val="clear" w:color="auto" w:fill="FFFFFF" w:themeFill="background1"/>
            <w:vAlign w:val="center"/>
          </w:tcPr>
          <w:p w14:paraId="04ABB31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254,004,570.20</w:t>
            </w:r>
          </w:p>
        </w:tc>
        <w:tc>
          <w:tcPr>
            <w:tcW w:w="3213" w:type="dxa"/>
            <w:shd w:val="clear" w:color="auto" w:fill="FFFFFF" w:themeFill="background1"/>
            <w:vAlign w:val="center"/>
          </w:tcPr>
          <w:p w14:paraId="4A03652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142,979,798.23</w:t>
            </w:r>
          </w:p>
        </w:tc>
      </w:tr>
      <w:tr w:rsidR="00632E5B" w14:paraId="37499E22" w14:textId="77777777" w:rsidTr="00DD2081">
        <w:trPr>
          <w:trHeight w:val="240"/>
        </w:trPr>
        <w:tc>
          <w:tcPr>
            <w:tcW w:w="3213" w:type="dxa"/>
            <w:shd w:val="clear" w:color="auto" w:fill="FFFFFF" w:themeFill="background1"/>
            <w:vAlign w:val="center"/>
          </w:tcPr>
          <w:p w14:paraId="12FA096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业务招待费</w:t>
            </w:r>
          </w:p>
        </w:tc>
        <w:tc>
          <w:tcPr>
            <w:tcW w:w="3213" w:type="dxa"/>
            <w:shd w:val="clear" w:color="auto" w:fill="FFFFFF" w:themeFill="background1"/>
            <w:vAlign w:val="center"/>
          </w:tcPr>
          <w:p w14:paraId="1D4750F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13,988,846.58</w:t>
            </w:r>
          </w:p>
        </w:tc>
        <w:tc>
          <w:tcPr>
            <w:tcW w:w="3213" w:type="dxa"/>
            <w:shd w:val="clear" w:color="auto" w:fill="FFFFFF" w:themeFill="background1"/>
            <w:vAlign w:val="center"/>
          </w:tcPr>
          <w:p w14:paraId="53F9F57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17,685,688.71</w:t>
            </w:r>
          </w:p>
        </w:tc>
      </w:tr>
      <w:tr w:rsidR="00632E5B" w14:paraId="63618E58" w14:textId="77777777" w:rsidTr="00DD2081">
        <w:trPr>
          <w:trHeight w:val="240"/>
        </w:trPr>
        <w:tc>
          <w:tcPr>
            <w:tcW w:w="3213" w:type="dxa"/>
            <w:shd w:val="clear" w:color="auto" w:fill="FFFFFF" w:themeFill="background1"/>
            <w:vAlign w:val="center"/>
          </w:tcPr>
          <w:p w14:paraId="1E444D0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咨询费</w:t>
            </w:r>
          </w:p>
        </w:tc>
        <w:tc>
          <w:tcPr>
            <w:tcW w:w="3213" w:type="dxa"/>
            <w:shd w:val="clear" w:color="auto" w:fill="FFFFFF" w:themeFill="background1"/>
            <w:vAlign w:val="center"/>
          </w:tcPr>
          <w:p w14:paraId="3D4BD4B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154,107,244.57</w:t>
            </w:r>
          </w:p>
        </w:tc>
        <w:tc>
          <w:tcPr>
            <w:tcW w:w="3213" w:type="dxa"/>
            <w:shd w:val="clear" w:color="auto" w:fill="FFFFFF" w:themeFill="background1"/>
            <w:vAlign w:val="center"/>
          </w:tcPr>
          <w:p w14:paraId="212D56A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36,210,686.23</w:t>
            </w:r>
          </w:p>
        </w:tc>
      </w:tr>
      <w:tr w:rsidR="00632E5B" w14:paraId="2E22E2E2" w14:textId="77777777" w:rsidTr="00DD2081">
        <w:trPr>
          <w:trHeight w:val="240"/>
        </w:trPr>
        <w:tc>
          <w:tcPr>
            <w:tcW w:w="3213" w:type="dxa"/>
            <w:shd w:val="clear" w:color="auto" w:fill="FFFFFF" w:themeFill="background1"/>
            <w:vAlign w:val="center"/>
          </w:tcPr>
          <w:p w14:paraId="309EABB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3213" w:type="dxa"/>
            <w:shd w:val="clear" w:color="auto" w:fill="FFFFFF" w:themeFill="background1"/>
            <w:vAlign w:val="center"/>
          </w:tcPr>
          <w:p w14:paraId="522EA54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75,182,342.45</w:t>
            </w:r>
          </w:p>
        </w:tc>
        <w:tc>
          <w:tcPr>
            <w:tcW w:w="3213" w:type="dxa"/>
            <w:shd w:val="clear" w:color="auto" w:fill="FFFFFF" w:themeFill="background1"/>
            <w:vAlign w:val="center"/>
          </w:tcPr>
          <w:p w14:paraId="62889E0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76,019,069.47</w:t>
            </w:r>
          </w:p>
        </w:tc>
      </w:tr>
      <w:tr w:rsidR="00632E5B" w14:paraId="77809129" w14:textId="77777777" w:rsidTr="00DD2081">
        <w:trPr>
          <w:trHeight w:val="240"/>
        </w:trPr>
        <w:tc>
          <w:tcPr>
            <w:tcW w:w="3213" w:type="dxa"/>
            <w:shd w:val="clear" w:color="auto" w:fill="FFFFFF" w:themeFill="background1"/>
            <w:vAlign w:val="center"/>
          </w:tcPr>
          <w:p w14:paraId="0B66D35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02C779C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770,530,036.91</w:t>
            </w:r>
          </w:p>
        </w:tc>
        <w:tc>
          <w:tcPr>
            <w:tcW w:w="3213" w:type="dxa"/>
            <w:shd w:val="clear" w:color="auto" w:fill="FFFFFF" w:themeFill="background1"/>
            <w:vAlign w:val="center"/>
          </w:tcPr>
          <w:p w14:paraId="39972C0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468,255,851.31</w:t>
            </w:r>
          </w:p>
        </w:tc>
      </w:tr>
    </w:tbl>
    <w:p w14:paraId="52A47805" w14:textId="77777777" w:rsidR="00632E5B" w:rsidRDefault="00107901">
      <w:pPr>
        <w:pStyle w:val="3"/>
        <w:spacing w:line="280" w:lineRule="exact"/>
        <w:jc w:val="left"/>
        <w:rPr>
          <w:rFonts w:ascii="宋体" w:hAnsi="宋体" w:cs="宋体" w:hint="eastAsia"/>
          <w:b/>
          <w:bCs/>
        </w:rPr>
      </w:pPr>
      <w:bookmarkStart w:id="313" w:name="_Toc989199"/>
      <w:r>
        <w:rPr>
          <w:rFonts w:ascii="宋体" w:hAnsi="宋体" w:cs="宋体"/>
          <w:b/>
          <w:bCs/>
        </w:rPr>
        <w:t>46、销售费用</w:t>
      </w:r>
      <w:bookmarkEnd w:id="313"/>
    </w:p>
    <w:p w14:paraId="0A9D32DC"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3CB1E6C2" w14:textId="77777777" w:rsidTr="00DD2081">
        <w:trPr>
          <w:trHeight w:val="240"/>
        </w:trPr>
        <w:tc>
          <w:tcPr>
            <w:tcW w:w="3213" w:type="dxa"/>
            <w:shd w:val="clear" w:color="auto" w:fill="FFFFFF" w:themeFill="background1"/>
            <w:vAlign w:val="center"/>
          </w:tcPr>
          <w:p w14:paraId="4BB4C9A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71A8300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auto" w:fill="FFFFFF" w:themeFill="background1"/>
            <w:vAlign w:val="center"/>
          </w:tcPr>
          <w:p w14:paraId="5C47772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632E5B" w14:paraId="5E031BD8" w14:textId="77777777" w:rsidTr="00DD2081">
        <w:trPr>
          <w:trHeight w:val="240"/>
        </w:trPr>
        <w:tc>
          <w:tcPr>
            <w:tcW w:w="3213" w:type="dxa"/>
            <w:shd w:val="clear" w:color="auto" w:fill="FFFFFF" w:themeFill="background1"/>
            <w:vAlign w:val="center"/>
          </w:tcPr>
          <w:p w14:paraId="0FEE7C0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职工薪酬</w:t>
            </w:r>
          </w:p>
        </w:tc>
        <w:tc>
          <w:tcPr>
            <w:tcW w:w="3213" w:type="dxa"/>
            <w:shd w:val="clear" w:color="auto" w:fill="FFFFFF" w:themeFill="background1"/>
            <w:vAlign w:val="center"/>
          </w:tcPr>
          <w:p w14:paraId="4B19641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62,974,238.71</w:t>
            </w:r>
          </w:p>
        </w:tc>
        <w:tc>
          <w:tcPr>
            <w:tcW w:w="3213" w:type="dxa"/>
            <w:shd w:val="clear" w:color="auto" w:fill="FFFFFF" w:themeFill="background1"/>
            <w:vAlign w:val="center"/>
          </w:tcPr>
          <w:p w14:paraId="2822E6F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60,807,788.25</w:t>
            </w:r>
          </w:p>
        </w:tc>
      </w:tr>
      <w:tr w:rsidR="00632E5B" w14:paraId="2027BE49" w14:textId="77777777" w:rsidTr="00DD2081">
        <w:trPr>
          <w:trHeight w:val="240"/>
        </w:trPr>
        <w:tc>
          <w:tcPr>
            <w:tcW w:w="3213" w:type="dxa"/>
            <w:shd w:val="clear" w:color="auto" w:fill="FFFFFF" w:themeFill="background1"/>
            <w:vAlign w:val="center"/>
          </w:tcPr>
          <w:p w14:paraId="38501B5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业务招待费</w:t>
            </w:r>
          </w:p>
        </w:tc>
        <w:tc>
          <w:tcPr>
            <w:tcW w:w="3213" w:type="dxa"/>
            <w:shd w:val="clear" w:color="auto" w:fill="FFFFFF" w:themeFill="background1"/>
            <w:vAlign w:val="center"/>
          </w:tcPr>
          <w:p w14:paraId="7434B0D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13,080,607.74</w:t>
            </w:r>
          </w:p>
        </w:tc>
        <w:tc>
          <w:tcPr>
            <w:tcW w:w="3213" w:type="dxa"/>
            <w:shd w:val="clear" w:color="auto" w:fill="FFFFFF" w:themeFill="background1"/>
            <w:vAlign w:val="center"/>
          </w:tcPr>
          <w:p w14:paraId="24710DB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12,043,593.62</w:t>
            </w:r>
          </w:p>
        </w:tc>
      </w:tr>
      <w:tr w:rsidR="00632E5B" w14:paraId="429B825B" w14:textId="77777777" w:rsidTr="00DD2081">
        <w:trPr>
          <w:trHeight w:val="240"/>
        </w:trPr>
        <w:tc>
          <w:tcPr>
            <w:tcW w:w="3213" w:type="dxa"/>
            <w:shd w:val="clear" w:color="auto" w:fill="FFFFFF" w:themeFill="background1"/>
            <w:vAlign w:val="center"/>
          </w:tcPr>
          <w:p w14:paraId="2FBBAEB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折旧费</w:t>
            </w:r>
          </w:p>
        </w:tc>
        <w:tc>
          <w:tcPr>
            <w:tcW w:w="3213" w:type="dxa"/>
            <w:shd w:val="clear" w:color="auto" w:fill="FFFFFF" w:themeFill="background1"/>
            <w:vAlign w:val="center"/>
          </w:tcPr>
          <w:p w14:paraId="4E2A852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163,622.96</w:t>
            </w:r>
          </w:p>
        </w:tc>
        <w:tc>
          <w:tcPr>
            <w:tcW w:w="3213" w:type="dxa"/>
            <w:shd w:val="clear" w:color="auto" w:fill="FFFFFF" w:themeFill="background1"/>
            <w:vAlign w:val="center"/>
          </w:tcPr>
          <w:p w14:paraId="5043583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174,199.34</w:t>
            </w:r>
          </w:p>
        </w:tc>
      </w:tr>
      <w:tr w:rsidR="00632E5B" w14:paraId="7D265E7A" w14:textId="77777777" w:rsidTr="00DD2081">
        <w:trPr>
          <w:trHeight w:val="240"/>
        </w:trPr>
        <w:tc>
          <w:tcPr>
            <w:tcW w:w="3213" w:type="dxa"/>
            <w:shd w:val="clear" w:color="auto" w:fill="FFFFFF" w:themeFill="background1"/>
            <w:vAlign w:val="center"/>
          </w:tcPr>
          <w:p w14:paraId="62E4B12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广告宣传费</w:t>
            </w:r>
          </w:p>
        </w:tc>
        <w:tc>
          <w:tcPr>
            <w:tcW w:w="3213" w:type="dxa"/>
            <w:shd w:val="clear" w:color="auto" w:fill="FFFFFF" w:themeFill="background1"/>
            <w:vAlign w:val="center"/>
          </w:tcPr>
          <w:p w14:paraId="7A6C112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7,491,062.51</w:t>
            </w:r>
          </w:p>
        </w:tc>
        <w:tc>
          <w:tcPr>
            <w:tcW w:w="3213" w:type="dxa"/>
            <w:shd w:val="clear" w:color="auto" w:fill="FFFFFF" w:themeFill="background1"/>
            <w:vAlign w:val="center"/>
          </w:tcPr>
          <w:p w14:paraId="1EDC1BE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5,582,928.67</w:t>
            </w:r>
          </w:p>
        </w:tc>
      </w:tr>
      <w:tr w:rsidR="00632E5B" w14:paraId="1CF9F8FA" w14:textId="77777777" w:rsidTr="00DD2081">
        <w:trPr>
          <w:trHeight w:val="240"/>
        </w:trPr>
        <w:tc>
          <w:tcPr>
            <w:tcW w:w="3213" w:type="dxa"/>
            <w:shd w:val="clear" w:color="auto" w:fill="FFFFFF" w:themeFill="background1"/>
            <w:vAlign w:val="center"/>
          </w:tcPr>
          <w:p w14:paraId="4403630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业务差旅费</w:t>
            </w:r>
          </w:p>
        </w:tc>
        <w:tc>
          <w:tcPr>
            <w:tcW w:w="3213" w:type="dxa"/>
            <w:shd w:val="clear" w:color="auto" w:fill="FFFFFF" w:themeFill="background1"/>
            <w:vAlign w:val="center"/>
          </w:tcPr>
          <w:p w14:paraId="50FC104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8,648,239.65</w:t>
            </w:r>
          </w:p>
        </w:tc>
        <w:tc>
          <w:tcPr>
            <w:tcW w:w="3213" w:type="dxa"/>
            <w:shd w:val="clear" w:color="auto" w:fill="FFFFFF" w:themeFill="background1"/>
            <w:vAlign w:val="center"/>
          </w:tcPr>
          <w:p w14:paraId="7109B88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7,343,482.92</w:t>
            </w:r>
          </w:p>
        </w:tc>
      </w:tr>
      <w:tr w:rsidR="00632E5B" w14:paraId="536B0FAD" w14:textId="77777777" w:rsidTr="00DD2081">
        <w:trPr>
          <w:trHeight w:val="240"/>
        </w:trPr>
        <w:tc>
          <w:tcPr>
            <w:tcW w:w="3213" w:type="dxa"/>
            <w:shd w:val="clear" w:color="auto" w:fill="FFFFFF" w:themeFill="background1"/>
            <w:vAlign w:val="center"/>
          </w:tcPr>
          <w:p w14:paraId="3CD15D1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咨询服务费</w:t>
            </w:r>
          </w:p>
        </w:tc>
        <w:tc>
          <w:tcPr>
            <w:tcW w:w="3213" w:type="dxa"/>
            <w:shd w:val="clear" w:color="auto" w:fill="FFFFFF" w:themeFill="background1"/>
            <w:vAlign w:val="center"/>
          </w:tcPr>
          <w:p w14:paraId="46EE40F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7,938,430.52</w:t>
            </w:r>
          </w:p>
        </w:tc>
        <w:tc>
          <w:tcPr>
            <w:tcW w:w="3213" w:type="dxa"/>
            <w:shd w:val="clear" w:color="auto" w:fill="FFFFFF" w:themeFill="background1"/>
            <w:vAlign w:val="center"/>
          </w:tcPr>
          <w:p w14:paraId="3D3FCB6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11,259,211.48</w:t>
            </w:r>
          </w:p>
        </w:tc>
      </w:tr>
      <w:tr w:rsidR="00632E5B" w14:paraId="347BE430" w14:textId="77777777" w:rsidTr="00DD2081">
        <w:trPr>
          <w:trHeight w:val="240"/>
        </w:trPr>
        <w:tc>
          <w:tcPr>
            <w:tcW w:w="3213" w:type="dxa"/>
            <w:shd w:val="clear" w:color="auto" w:fill="FFFFFF" w:themeFill="background1"/>
            <w:vAlign w:val="center"/>
          </w:tcPr>
          <w:p w14:paraId="4D4530D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佣金</w:t>
            </w:r>
          </w:p>
        </w:tc>
        <w:tc>
          <w:tcPr>
            <w:tcW w:w="3213" w:type="dxa"/>
            <w:shd w:val="clear" w:color="auto" w:fill="FFFFFF" w:themeFill="background1"/>
            <w:vAlign w:val="center"/>
          </w:tcPr>
          <w:p w14:paraId="726FB5D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37,104,333.66</w:t>
            </w:r>
          </w:p>
        </w:tc>
        <w:tc>
          <w:tcPr>
            <w:tcW w:w="3213" w:type="dxa"/>
            <w:shd w:val="clear" w:color="auto" w:fill="FFFFFF" w:themeFill="background1"/>
            <w:vAlign w:val="center"/>
          </w:tcPr>
          <w:p w14:paraId="42A0F8F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24,375,796.88</w:t>
            </w:r>
          </w:p>
        </w:tc>
      </w:tr>
      <w:tr w:rsidR="00632E5B" w14:paraId="02D25B4A" w14:textId="77777777" w:rsidTr="00DD2081">
        <w:trPr>
          <w:trHeight w:val="240"/>
        </w:trPr>
        <w:tc>
          <w:tcPr>
            <w:tcW w:w="3213" w:type="dxa"/>
            <w:shd w:val="clear" w:color="auto" w:fill="FFFFFF" w:themeFill="background1"/>
            <w:vAlign w:val="center"/>
          </w:tcPr>
          <w:p w14:paraId="0FEDD1B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3213" w:type="dxa"/>
            <w:shd w:val="clear" w:color="auto" w:fill="FFFFFF" w:themeFill="background1"/>
            <w:vAlign w:val="center"/>
          </w:tcPr>
          <w:p w14:paraId="31932FE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10,836,487.15</w:t>
            </w:r>
          </w:p>
        </w:tc>
        <w:tc>
          <w:tcPr>
            <w:tcW w:w="3213" w:type="dxa"/>
            <w:shd w:val="clear" w:color="auto" w:fill="FFFFFF" w:themeFill="background1"/>
            <w:vAlign w:val="center"/>
          </w:tcPr>
          <w:p w14:paraId="76A0686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8,737,968.73</w:t>
            </w:r>
          </w:p>
        </w:tc>
      </w:tr>
      <w:tr w:rsidR="00632E5B" w14:paraId="0783ECA7" w14:textId="77777777" w:rsidTr="00DD2081">
        <w:trPr>
          <w:trHeight w:val="240"/>
        </w:trPr>
        <w:tc>
          <w:tcPr>
            <w:tcW w:w="3213" w:type="dxa"/>
            <w:shd w:val="clear" w:color="auto" w:fill="FFFFFF" w:themeFill="background1"/>
            <w:vAlign w:val="center"/>
          </w:tcPr>
          <w:p w14:paraId="5B04E2F3"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65835F8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148,237,022.90</w:t>
            </w:r>
          </w:p>
        </w:tc>
        <w:tc>
          <w:tcPr>
            <w:tcW w:w="3213" w:type="dxa"/>
            <w:shd w:val="clear" w:color="auto" w:fill="FFFFFF" w:themeFill="background1"/>
            <w:vAlign w:val="center"/>
          </w:tcPr>
          <w:p w14:paraId="7BF52B1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130,324,969.89</w:t>
            </w:r>
          </w:p>
        </w:tc>
      </w:tr>
    </w:tbl>
    <w:p w14:paraId="283BC653" w14:textId="77777777" w:rsidR="00632E5B" w:rsidRDefault="00107901">
      <w:pPr>
        <w:pStyle w:val="3"/>
        <w:spacing w:line="280" w:lineRule="exact"/>
        <w:jc w:val="left"/>
        <w:rPr>
          <w:rFonts w:ascii="宋体" w:hAnsi="宋体" w:cs="宋体" w:hint="eastAsia"/>
          <w:b/>
          <w:bCs/>
        </w:rPr>
      </w:pPr>
      <w:bookmarkStart w:id="314" w:name="_Toc989200"/>
      <w:r>
        <w:rPr>
          <w:rFonts w:ascii="宋体" w:hAnsi="宋体" w:cs="宋体"/>
          <w:b/>
          <w:bCs/>
        </w:rPr>
        <w:t>47、研发费用</w:t>
      </w:r>
      <w:bookmarkEnd w:id="314"/>
    </w:p>
    <w:p w14:paraId="18342869"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518E3A50" w14:textId="77777777" w:rsidTr="00DD2081">
        <w:trPr>
          <w:trHeight w:val="240"/>
        </w:trPr>
        <w:tc>
          <w:tcPr>
            <w:tcW w:w="3213" w:type="dxa"/>
            <w:shd w:val="clear" w:color="auto" w:fill="FFFFFF" w:themeFill="background1"/>
            <w:vAlign w:val="center"/>
          </w:tcPr>
          <w:p w14:paraId="23FEF7D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0777000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auto" w:fill="FFFFFF" w:themeFill="background1"/>
            <w:vAlign w:val="center"/>
          </w:tcPr>
          <w:p w14:paraId="7B49996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632E5B" w14:paraId="273FE57F" w14:textId="77777777" w:rsidTr="00DD2081">
        <w:trPr>
          <w:trHeight w:val="240"/>
        </w:trPr>
        <w:tc>
          <w:tcPr>
            <w:tcW w:w="3213" w:type="dxa"/>
            <w:shd w:val="clear" w:color="auto" w:fill="FFFFFF" w:themeFill="background1"/>
            <w:vAlign w:val="center"/>
          </w:tcPr>
          <w:p w14:paraId="585FF6B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职工薪酬</w:t>
            </w:r>
          </w:p>
        </w:tc>
        <w:tc>
          <w:tcPr>
            <w:tcW w:w="3213" w:type="dxa"/>
            <w:shd w:val="clear" w:color="auto" w:fill="FFFFFF" w:themeFill="background1"/>
            <w:vAlign w:val="center"/>
          </w:tcPr>
          <w:p w14:paraId="74879FC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20,859,328.80</w:t>
            </w:r>
          </w:p>
        </w:tc>
        <w:tc>
          <w:tcPr>
            <w:tcW w:w="3213" w:type="dxa"/>
            <w:shd w:val="clear" w:color="auto" w:fill="FFFFFF" w:themeFill="background1"/>
            <w:vAlign w:val="center"/>
          </w:tcPr>
          <w:p w14:paraId="120A112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43,681,488.20</w:t>
            </w:r>
          </w:p>
        </w:tc>
      </w:tr>
      <w:tr w:rsidR="00632E5B" w14:paraId="1F12B294" w14:textId="77777777" w:rsidTr="00DD2081">
        <w:trPr>
          <w:trHeight w:val="240"/>
        </w:trPr>
        <w:tc>
          <w:tcPr>
            <w:tcW w:w="3213" w:type="dxa"/>
            <w:shd w:val="clear" w:color="auto" w:fill="FFFFFF" w:themeFill="background1"/>
            <w:vAlign w:val="center"/>
          </w:tcPr>
          <w:p w14:paraId="5954100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材料费</w:t>
            </w:r>
          </w:p>
        </w:tc>
        <w:tc>
          <w:tcPr>
            <w:tcW w:w="3213" w:type="dxa"/>
            <w:shd w:val="clear" w:color="auto" w:fill="FFFFFF" w:themeFill="background1"/>
            <w:vAlign w:val="center"/>
          </w:tcPr>
          <w:p w14:paraId="08F8B78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19,594,943.25</w:t>
            </w:r>
          </w:p>
        </w:tc>
        <w:tc>
          <w:tcPr>
            <w:tcW w:w="3213" w:type="dxa"/>
            <w:shd w:val="clear" w:color="auto" w:fill="FFFFFF" w:themeFill="background1"/>
            <w:vAlign w:val="center"/>
          </w:tcPr>
          <w:p w14:paraId="48A5E36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47,051,773.02</w:t>
            </w:r>
          </w:p>
        </w:tc>
      </w:tr>
      <w:tr w:rsidR="00632E5B" w14:paraId="374D89EA" w14:textId="77777777" w:rsidTr="00DD2081">
        <w:trPr>
          <w:trHeight w:val="240"/>
        </w:trPr>
        <w:tc>
          <w:tcPr>
            <w:tcW w:w="3213" w:type="dxa"/>
            <w:shd w:val="clear" w:color="auto" w:fill="FFFFFF" w:themeFill="background1"/>
            <w:vAlign w:val="center"/>
          </w:tcPr>
          <w:p w14:paraId="2B59936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固定资产折旧费</w:t>
            </w:r>
          </w:p>
        </w:tc>
        <w:tc>
          <w:tcPr>
            <w:tcW w:w="3213" w:type="dxa"/>
            <w:shd w:val="clear" w:color="auto" w:fill="FFFFFF" w:themeFill="background1"/>
            <w:vAlign w:val="center"/>
          </w:tcPr>
          <w:p w14:paraId="2678ED1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1,364,835.73</w:t>
            </w:r>
          </w:p>
        </w:tc>
        <w:tc>
          <w:tcPr>
            <w:tcW w:w="3213" w:type="dxa"/>
            <w:shd w:val="clear" w:color="auto" w:fill="FFFFFF" w:themeFill="background1"/>
            <w:vAlign w:val="center"/>
          </w:tcPr>
          <w:p w14:paraId="082CBCA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6,324,023.44</w:t>
            </w:r>
          </w:p>
        </w:tc>
      </w:tr>
      <w:tr w:rsidR="00632E5B" w14:paraId="0CED5C43" w14:textId="77777777" w:rsidTr="00DD2081">
        <w:trPr>
          <w:trHeight w:val="240"/>
        </w:trPr>
        <w:tc>
          <w:tcPr>
            <w:tcW w:w="3213" w:type="dxa"/>
            <w:shd w:val="clear" w:color="auto" w:fill="FFFFFF" w:themeFill="background1"/>
            <w:vAlign w:val="center"/>
          </w:tcPr>
          <w:p w14:paraId="34B0A18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3213" w:type="dxa"/>
            <w:shd w:val="clear" w:color="auto" w:fill="FFFFFF" w:themeFill="background1"/>
            <w:vAlign w:val="center"/>
          </w:tcPr>
          <w:p w14:paraId="7731E23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9,945,489.45</w:t>
            </w:r>
          </w:p>
        </w:tc>
        <w:tc>
          <w:tcPr>
            <w:tcW w:w="3213" w:type="dxa"/>
            <w:shd w:val="clear" w:color="auto" w:fill="FFFFFF" w:themeFill="background1"/>
            <w:vAlign w:val="center"/>
          </w:tcPr>
          <w:p w14:paraId="4FBFD22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16,001,842.54</w:t>
            </w:r>
          </w:p>
        </w:tc>
      </w:tr>
      <w:tr w:rsidR="00632E5B" w14:paraId="6CC23BA1" w14:textId="77777777" w:rsidTr="00DD2081">
        <w:trPr>
          <w:trHeight w:val="240"/>
        </w:trPr>
        <w:tc>
          <w:tcPr>
            <w:tcW w:w="3213" w:type="dxa"/>
            <w:shd w:val="clear" w:color="auto" w:fill="FFFFFF" w:themeFill="background1"/>
            <w:vAlign w:val="center"/>
          </w:tcPr>
          <w:p w14:paraId="08F93E20"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5CD1058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51,764,597.23</w:t>
            </w:r>
          </w:p>
        </w:tc>
        <w:tc>
          <w:tcPr>
            <w:tcW w:w="3213" w:type="dxa"/>
            <w:shd w:val="clear" w:color="auto" w:fill="FFFFFF" w:themeFill="background1"/>
            <w:vAlign w:val="center"/>
          </w:tcPr>
          <w:p w14:paraId="59CEC75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113,059,127.20</w:t>
            </w:r>
          </w:p>
        </w:tc>
      </w:tr>
    </w:tbl>
    <w:p w14:paraId="0EB41755" w14:textId="77777777" w:rsidR="00632E5B" w:rsidRDefault="00107901">
      <w:pPr>
        <w:pStyle w:val="3"/>
        <w:spacing w:line="280" w:lineRule="exact"/>
        <w:jc w:val="left"/>
        <w:rPr>
          <w:rFonts w:ascii="宋体" w:hAnsi="宋体" w:cs="宋体" w:hint="eastAsia"/>
          <w:b/>
          <w:bCs/>
        </w:rPr>
      </w:pPr>
      <w:bookmarkStart w:id="315" w:name="_Toc989201"/>
      <w:r>
        <w:rPr>
          <w:rFonts w:ascii="宋体" w:hAnsi="宋体" w:cs="宋体"/>
          <w:b/>
          <w:bCs/>
        </w:rPr>
        <w:lastRenderedPageBreak/>
        <w:t>48、财务费用</w:t>
      </w:r>
      <w:bookmarkEnd w:id="315"/>
    </w:p>
    <w:p w14:paraId="2DEFDC5D"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1D69E9C1" w14:textId="77777777" w:rsidTr="00DD2081">
        <w:trPr>
          <w:trHeight w:val="240"/>
        </w:trPr>
        <w:tc>
          <w:tcPr>
            <w:tcW w:w="3213" w:type="dxa"/>
            <w:shd w:val="clear" w:color="auto" w:fill="FFFFFF" w:themeFill="background1"/>
            <w:vAlign w:val="center"/>
          </w:tcPr>
          <w:p w14:paraId="65E5B65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38924B8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auto" w:fill="FFFFFF" w:themeFill="background1"/>
            <w:vAlign w:val="center"/>
          </w:tcPr>
          <w:p w14:paraId="5F676A6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632E5B" w14:paraId="77714BC3" w14:textId="77777777" w:rsidTr="00DD2081">
        <w:trPr>
          <w:trHeight w:val="240"/>
        </w:trPr>
        <w:tc>
          <w:tcPr>
            <w:tcW w:w="3213" w:type="dxa"/>
            <w:shd w:val="clear" w:color="auto" w:fill="FFFFFF" w:themeFill="background1"/>
            <w:vAlign w:val="center"/>
          </w:tcPr>
          <w:p w14:paraId="0339600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财务费用</w:t>
            </w:r>
          </w:p>
        </w:tc>
        <w:tc>
          <w:tcPr>
            <w:tcW w:w="3213" w:type="dxa"/>
            <w:shd w:val="clear" w:color="auto" w:fill="FFFFFF" w:themeFill="background1"/>
            <w:vAlign w:val="center"/>
          </w:tcPr>
          <w:p w14:paraId="4B25373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387,138,301.16</w:t>
            </w:r>
          </w:p>
        </w:tc>
        <w:tc>
          <w:tcPr>
            <w:tcW w:w="3213" w:type="dxa"/>
            <w:shd w:val="clear" w:color="auto" w:fill="FFFFFF" w:themeFill="background1"/>
            <w:vAlign w:val="center"/>
          </w:tcPr>
          <w:p w14:paraId="6DC3466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270,089,706.64</w:t>
            </w:r>
          </w:p>
        </w:tc>
      </w:tr>
      <w:tr w:rsidR="00632E5B" w14:paraId="792BA105" w14:textId="77777777" w:rsidTr="00DD2081">
        <w:trPr>
          <w:trHeight w:val="240"/>
        </w:trPr>
        <w:tc>
          <w:tcPr>
            <w:tcW w:w="3213" w:type="dxa"/>
            <w:shd w:val="clear" w:color="auto" w:fill="FFFFFF" w:themeFill="background1"/>
            <w:vAlign w:val="center"/>
          </w:tcPr>
          <w:p w14:paraId="5074706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1E08DCF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387,138,301.16</w:t>
            </w:r>
          </w:p>
        </w:tc>
        <w:tc>
          <w:tcPr>
            <w:tcW w:w="3213" w:type="dxa"/>
            <w:shd w:val="clear" w:color="auto" w:fill="FFFFFF" w:themeFill="background1"/>
            <w:vAlign w:val="center"/>
          </w:tcPr>
          <w:p w14:paraId="55109B8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270,089,706.64</w:t>
            </w:r>
          </w:p>
        </w:tc>
      </w:tr>
    </w:tbl>
    <w:p w14:paraId="19CD3D3F"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其他说明：</w:t>
      </w:r>
    </w:p>
    <w:tbl>
      <w:tblPr>
        <w:tblW w:w="9614" w:type="dxa"/>
        <w:tblInd w:w="1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0" w:type="dxa"/>
          <w:right w:w="0" w:type="dxa"/>
        </w:tblCellMar>
        <w:tblLook w:val="04A0" w:firstRow="1" w:lastRow="0" w:firstColumn="1" w:lastColumn="0" w:noHBand="0" w:noVBand="1"/>
      </w:tblPr>
      <w:tblGrid>
        <w:gridCol w:w="3232"/>
        <w:gridCol w:w="3260"/>
        <w:gridCol w:w="3122"/>
      </w:tblGrid>
      <w:tr w:rsidR="00E72F0C" w:rsidRPr="006D52C1" w14:paraId="7A110908" w14:textId="77777777" w:rsidTr="00DD2081">
        <w:trPr>
          <w:divId w:val="308705202"/>
          <w:trHeight w:val="301"/>
        </w:trPr>
        <w:tc>
          <w:tcPr>
            <w:tcW w:w="3232" w:type="dxa"/>
            <w:shd w:val="clear" w:color="auto" w:fill="FFFFFF" w:themeFill="background1"/>
            <w:noWrap/>
            <w:tcMar>
              <w:top w:w="0" w:type="dxa"/>
              <w:left w:w="108" w:type="dxa"/>
              <w:bottom w:w="0" w:type="dxa"/>
              <w:right w:w="108" w:type="dxa"/>
            </w:tcMar>
            <w:vAlign w:val="bottom"/>
            <w:hideMark/>
          </w:tcPr>
          <w:p w14:paraId="71B35A3F" w14:textId="77777777" w:rsidR="00E72F0C" w:rsidRPr="006D52C1" w:rsidRDefault="00107901">
            <w:pPr>
              <w:pStyle w:val="a3"/>
              <w:spacing w:before="0" w:beforeAutospacing="0" w:after="0" w:afterAutospacing="0"/>
              <w:jc w:val="center"/>
              <w:rPr>
                <w:rFonts w:asciiTheme="minorEastAsia" w:eastAsiaTheme="minorEastAsia" w:hAnsiTheme="minorEastAsia" w:cs="Times New Roman" w:hint="eastAsia"/>
                <w:sz w:val="18"/>
                <w:szCs w:val="18"/>
              </w:rPr>
            </w:pPr>
            <w:r w:rsidRPr="006D52C1">
              <w:rPr>
                <w:rFonts w:asciiTheme="minorEastAsia" w:eastAsiaTheme="minorEastAsia" w:hAnsiTheme="minorEastAsia" w:cs="Times New Roman" w:hint="eastAsia"/>
                <w:sz w:val="18"/>
                <w:szCs w:val="18"/>
              </w:rPr>
              <w:t>项目</w:t>
            </w:r>
          </w:p>
        </w:tc>
        <w:tc>
          <w:tcPr>
            <w:tcW w:w="3260" w:type="dxa"/>
            <w:shd w:val="clear" w:color="auto" w:fill="FFFFFF" w:themeFill="background1"/>
            <w:noWrap/>
            <w:tcMar>
              <w:top w:w="0" w:type="dxa"/>
              <w:left w:w="108" w:type="dxa"/>
              <w:bottom w:w="0" w:type="dxa"/>
              <w:right w:w="108" w:type="dxa"/>
            </w:tcMar>
            <w:vAlign w:val="bottom"/>
            <w:hideMark/>
          </w:tcPr>
          <w:p w14:paraId="089A2437" w14:textId="77777777" w:rsidR="00E72F0C" w:rsidRPr="006D52C1" w:rsidRDefault="00107901">
            <w:pPr>
              <w:pStyle w:val="a3"/>
              <w:spacing w:before="0" w:beforeAutospacing="0" w:after="0" w:afterAutospacing="0"/>
              <w:jc w:val="center"/>
              <w:rPr>
                <w:rFonts w:asciiTheme="minorEastAsia" w:eastAsiaTheme="minorEastAsia" w:hAnsiTheme="minorEastAsia" w:cs="Times New Roman" w:hint="eastAsia"/>
                <w:sz w:val="18"/>
                <w:szCs w:val="18"/>
              </w:rPr>
            </w:pPr>
            <w:r w:rsidRPr="006D52C1">
              <w:rPr>
                <w:rFonts w:asciiTheme="minorEastAsia" w:eastAsiaTheme="minorEastAsia" w:hAnsiTheme="minorEastAsia" w:cs="Times New Roman" w:hint="eastAsia"/>
                <w:sz w:val="18"/>
                <w:szCs w:val="18"/>
              </w:rPr>
              <w:t>本期发生额</w:t>
            </w:r>
          </w:p>
        </w:tc>
        <w:tc>
          <w:tcPr>
            <w:tcW w:w="3122" w:type="dxa"/>
            <w:shd w:val="clear" w:color="auto" w:fill="FFFFFF" w:themeFill="background1"/>
            <w:noWrap/>
            <w:tcMar>
              <w:top w:w="0" w:type="dxa"/>
              <w:left w:w="108" w:type="dxa"/>
              <w:bottom w:w="0" w:type="dxa"/>
              <w:right w:w="108" w:type="dxa"/>
            </w:tcMar>
            <w:vAlign w:val="bottom"/>
            <w:hideMark/>
          </w:tcPr>
          <w:p w14:paraId="1C6C193D" w14:textId="77777777" w:rsidR="00E72F0C" w:rsidRPr="006D52C1" w:rsidRDefault="00107901">
            <w:pPr>
              <w:pStyle w:val="a3"/>
              <w:spacing w:before="0" w:beforeAutospacing="0" w:after="0" w:afterAutospacing="0"/>
              <w:jc w:val="center"/>
              <w:rPr>
                <w:rFonts w:asciiTheme="minorEastAsia" w:eastAsiaTheme="minorEastAsia" w:hAnsiTheme="minorEastAsia" w:cs="Times New Roman" w:hint="eastAsia"/>
                <w:sz w:val="18"/>
                <w:szCs w:val="18"/>
              </w:rPr>
            </w:pPr>
            <w:r w:rsidRPr="006D52C1">
              <w:rPr>
                <w:rFonts w:asciiTheme="minorEastAsia" w:eastAsiaTheme="minorEastAsia" w:hAnsiTheme="minorEastAsia" w:cs="Times New Roman" w:hint="eastAsia"/>
                <w:sz w:val="18"/>
                <w:szCs w:val="18"/>
              </w:rPr>
              <w:t>上期发生额</w:t>
            </w:r>
          </w:p>
        </w:tc>
      </w:tr>
      <w:tr w:rsidR="00E72F0C" w:rsidRPr="006D52C1" w14:paraId="03A33763" w14:textId="77777777" w:rsidTr="00DD2081">
        <w:trPr>
          <w:divId w:val="308705202"/>
          <w:trHeight w:val="301"/>
        </w:trPr>
        <w:tc>
          <w:tcPr>
            <w:tcW w:w="3232" w:type="dxa"/>
            <w:shd w:val="clear" w:color="auto" w:fill="FFFFFF" w:themeFill="background1"/>
            <w:noWrap/>
            <w:tcMar>
              <w:top w:w="0" w:type="dxa"/>
              <w:left w:w="108" w:type="dxa"/>
              <w:bottom w:w="0" w:type="dxa"/>
              <w:right w:w="108" w:type="dxa"/>
            </w:tcMar>
            <w:vAlign w:val="center"/>
            <w:hideMark/>
          </w:tcPr>
          <w:p w14:paraId="7A9469DE" w14:textId="77777777" w:rsidR="00E72F0C" w:rsidRPr="006D52C1" w:rsidRDefault="00107901">
            <w:pPr>
              <w:pStyle w:val="a3"/>
              <w:spacing w:before="0" w:beforeAutospacing="0" w:after="0" w:afterAutospacing="0"/>
              <w:jc w:val="both"/>
              <w:rPr>
                <w:rFonts w:asciiTheme="minorEastAsia" w:eastAsiaTheme="minorEastAsia" w:hAnsiTheme="minorEastAsia" w:cs="Times New Roman" w:hint="eastAsia"/>
                <w:sz w:val="18"/>
                <w:szCs w:val="18"/>
              </w:rPr>
            </w:pPr>
            <w:r w:rsidRPr="006D52C1">
              <w:rPr>
                <w:rFonts w:asciiTheme="minorEastAsia" w:eastAsiaTheme="minorEastAsia" w:hAnsiTheme="minorEastAsia" w:cs="Times New Roman" w:hint="eastAsia"/>
                <w:sz w:val="18"/>
                <w:szCs w:val="18"/>
              </w:rPr>
              <w:t>利息支出</w:t>
            </w:r>
          </w:p>
        </w:tc>
        <w:tc>
          <w:tcPr>
            <w:tcW w:w="3260" w:type="dxa"/>
            <w:shd w:val="clear" w:color="auto" w:fill="FFFFFF" w:themeFill="background1"/>
            <w:noWrap/>
            <w:tcMar>
              <w:top w:w="0" w:type="dxa"/>
              <w:left w:w="108" w:type="dxa"/>
              <w:bottom w:w="0" w:type="dxa"/>
              <w:right w:w="108" w:type="dxa"/>
            </w:tcMar>
            <w:vAlign w:val="center"/>
            <w:hideMark/>
          </w:tcPr>
          <w:p w14:paraId="2AAE747E" w14:textId="77777777" w:rsidR="00E72F0C" w:rsidRPr="006D52C1" w:rsidRDefault="00107901">
            <w:pPr>
              <w:pStyle w:val="a3"/>
              <w:spacing w:before="0" w:beforeAutospacing="0" w:after="0" w:afterAutospacing="0"/>
              <w:jc w:val="right"/>
              <w:rPr>
                <w:rFonts w:asciiTheme="minorEastAsia" w:eastAsiaTheme="minorEastAsia" w:hAnsiTheme="minorEastAsia" w:cs="Times New Roman" w:hint="eastAsia"/>
                <w:sz w:val="18"/>
                <w:szCs w:val="18"/>
              </w:rPr>
            </w:pPr>
            <w:r w:rsidRPr="006D52C1">
              <w:rPr>
                <w:rFonts w:asciiTheme="minorEastAsia" w:eastAsiaTheme="minorEastAsia" w:hAnsiTheme="minorEastAsia" w:cs="Arial"/>
                <w:sz w:val="18"/>
                <w:szCs w:val="18"/>
              </w:rPr>
              <w:t>394,069,891.28</w:t>
            </w:r>
          </w:p>
        </w:tc>
        <w:tc>
          <w:tcPr>
            <w:tcW w:w="3122" w:type="dxa"/>
            <w:shd w:val="clear" w:color="auto" w:fill="FFFFFF" w:themeFill="background1"/>
            <w:noWrap/>
            <w:tcMar>
              <w:top w:w="0" w:type="dxa"/>
              <w:left w:w="108" w:type="dxa"/>
              <w:bottom w:w="0" w:type="dxa"/>
              <w:right w:w="108" w:type="dxa"/>
            </w:tcMar>
            <w:vAlign w:val="center"/>
            <w:hideMark/>
          </w:tcPr>
          <w:p w14:paraId="01B7CF95" w14:textId="77777777" w:rsidR="00E72F0C" w:rsidRPr="006D52C1" w:rsidRDefault="00107901">
            <w:pPr>
              <w:pStyle w:val="a3"/>
              <w:spacing w:before="0" w:beforeAutospacing="0" w:after="0" w:afterAutospacing="0"/>
              <w:jc w:val="right"/>
              <w:rPr>
                <w:rFonts w:asciiTheme="minorEastAsia" w:eastAsiaTheme="minorEastAsia" w:hAnsiTheme="minorEastAsia" w:cs="Times New Roman" w:hint="eastAsia"/>
                <w:sz w:val="18"/>
                <w:szCs w:val="18"/>
              </w:rPr>
            </w:pPr>
            <w:r w:rsidRPr="006D52C1">
              <w:rPr>
                <w:rFonts w:asciiTheme="minorEastAsia" w:eastAsiaTheme="minorEastAsia" w:hAnsiTheme="minorEastAsia" w:cs="Arial"/>
                <w:sz w:val="18"/>
                <w:szCs w:val="18"/>
              </w:rPr>
              <w:t>309,554,014.92</w:t>
            </w:r>
          </w:p>
        </w:tc>
      </w:tr>
      <w:tr w:rsidR="00E72F0C" w:rsidRPr="006D52C1" w14:paraId="01AFE2AC" w14:textId="77777777" w:rsidTr="00DD2081">
        <w:trPr>
          <w:divId w:val="308705202"/>
          <w:trHeight w:val="301"/>
        </w:trPr>
        <w:tc>
          <w:tcPr>
            <w:tcW w:w="3232" w:type="dxa"/>
            <w:shd w:val="clear" w:color="auto" w:fill="FFFFFF" w:themeFill="background1"/>
            <w:noWrap/>
            <w:tcMar>
              <w:top w:w="0" w:type="dxa"/>
              <w:left w:w="108" w:type="dxa"/>
              <w:bottom w:w="0" w:type="dxa"/>
              <w:right w:w="108" w:type="dxa"/>
            </w:tcMar>
            <w:vAlign w:val="center"/>
            <w:hideMark/>
          </w:tcPr>
          <w:p w14:paraId="2790838C" w14:textId="77777777" w:rsidR="00E72F0C" w:rsidRPr="006D52C1" w:rsidRDefault="00107901">
            <w:pPr>
              <w:pStyle w:val="a3"/>
              <w:spacing w:before="0" w:beforeAutospacing="0" w:after="0" w:afterAutospacing="0"/>
              <w:jc w:val="both"/>
              <w:rPr>
                <w:rFonts w:asciiTheme="minorEastAsia" w:eastAsiaTheme="minorEastAsia" w:hAnsiTheme="minorEastAsia" w:cs="Times New Roman" w:hint="eastAsia"/>
                <w:sz w:val="18"/>
                <w:szCs w:val="18"/>
              </w:rPr>
            </w:pPr>
            <w:r w:rsidRPr="006D52C1">
              <w:rPr>
                <w:rFonts w:asciiTheme="minorEastAsia" w:eastAsiaTheme="minorEastAsia" w:hAnsiTheme="minorEastAsia" w:cs="Times New Roman" w:hint="eastAsia"/>
                <w:sz w:val="18"/>
                <w:szCs w:val="18"/>
              </w:rPr>
              <w:t>其中：租赁负债利息费用</w:t>
            </w:r>
          </w:p>
        </w:tc>
        <w:tc>
          <w:tcPr>
            <w:tcW w:w="3260" w:type="dxa"/>
            <w:shd w:val="clear" w:color="auto" w:fill="FFFFFF" w:themeFill="background1"/>
            <w:noWrap/>
            <w:tcMar>
              <w:top w:w="0" w:type="dxa"/>
              <w:left w:w="108" w:type="dxa"/>
              <w:bottom w:w="0" w:type="dxa"/>
              <w:right w:w="108" w:type="dxa"/>
            </w:tcMar>
            <w:vAlign w:val="center"/>
            <w:hideMark/>
          </w:tcPr>
          <w:p w14:paraId="6E134D44" w14:textId="77777777" w:rsidR="00E72F0C" w:rsidRPr="006D52C1" w:rsidRDefault="00107901">
            <w:pPr>
              <w:pStyle w:val="a3"/>
              <w:spacing w:before="0" w:beforeAutospacing="0" w:after="0" w:afterAutospacing="0"/>
              <w:jc w:val="right"/>
              <w:rPr>
                <w:rFonts w:asciiTheme="minorEastAsia" w:eastAsiaTheme="minorEastAsia" w:hAnsiTheme="minorEastAsia" w:cs="Times New Roman" w:hint="eastAsia"/>
                <w:sz w:val="18"/>
                <w:szCs w:val="18"/>
              </w:rPr>
            </w:pPr>
            <w:r w:rsidRPr="006D52C1">
              <w:rPr>
                <w:rFonts w:asciiTheme="minorEastAsia" w:eastAsiaTheme="minorEastAsia" w:hAnsiTheme="minorEastAsia" w:cs="Arial"/>
                <w:sz w:val="18"/>
                <w:szCs w:val="18"/>
              </w:rPr>
              <w:t>5,780,826.12</w:t>
            </w:r>
          </w:p>
        </w:tc>
        <w:tc>
          <w:tcPr>
            <w:tcW w:w="3122" w:type="dxa"/>
            <w:shd w:val="clear" w:color="auto" w:fill="FFFFFF" w:themeFill="background1"/>
            <w:noWrap/>
            <w:tcMar>
              <w:top w:w="0" w:type="dxa"/>
              <w:left w:w="108" w:type="dxa"/>
              <w:bottom w:w="0" w:type="dxa"/>
              <w:right w:w="108" w:type="dxa"/>
            </w:tcMar>
            <w:vAlign w:val="center"/>
            <w:hideMark/>
          </w:tcPr>
          <w:p w14:paraId="75881C3A" w14:textId="77777777" w:rsidR="00E72F0C" w:rsidRPr="006D52C1" w:rsidRDefault="00107901">
            <w:pPr>
              <w:pStyle w:val="a3"/>
              <w:spacing w:before="0" w:beforeAutospacing="0" w:after="0" w:afterAutospacing="0"/>
              <w:jc w:val="right"/>
              <w:rPr>
                <w:rFonts w:asciiTheme="minorEastAsia" w:eastAsiaTheme="minorEastAsia" w:hAnsiTheme="minorEastAsia" w:cs="Times New Roman" w:hint="eastAsia"/>
                <w:sz w:val="18"/>
                <w:szCs w:val="18"/>
              </w:rPr>
            </w:pPr>
            <w:r w:rsidRPr="006D52C1">
              <w:rPr>
                <w:rFonts w:asciiTheme="minorEastAsia" w:eastAsiaTheme="minorEastAsia" w:hAnsiTheme="minorEastAsia" w:cs="Arial"/>
                <w:sz w:val="18"/>
                <w:szCs w:val="18"/>
              </w:rPr>
              <w:t>8,370,332.28</w:t>
            </w:r>
          </w:p>
        </w:tc>
      </w:tr>
      <w:tr w:rsidR="00E72F0C" w:rsidRPr="006D52C1" w14:paraId="02AA79EB" w14:textId="77777777" w:rsidTr="00DD2081">
        <w:trPr>
          <w:divId w:val="308705202"/>
          <w:trHeight w:val="301"/>
        </w:trPr>
        <w:tc>
          <w:tcPr>
            <w:tcW w:w="3232" w:type="dxa"/>
            <w:shd w:val="clear" w:color="auto" w:fill="FFFFFF" w:themeFill="background1"/>
            <w:noWrap/>
            <w:tcMar>
              <w:top w:w="0" w:type="dxa"/>
              <w:left w:w="108" w:type="dxa"/>
              <w:bottom w:w="0" w:type="dxa"/>
              <w:right w:w="108" w:type="dxa"/>
            </w:tcMar>
            <w:vAlign w:val="center"/>
            <w:hideMark/>
          </w:tcPr>
          <w:p w14:paraId="53978EDD" w14:textId="77777777" w:rsidR="00E72F0C" w:rsidRPr="006D52C1" w:rsidRDefault="00107901">
            <w:pPr>
              <w:pStyle w:val="a3"/>
              <w:spacing w:before="0" w:beforeAutospacing="0" w:after="0" w:afterAutospacing="0"/>
              <w:jc w:val="both"/>
              <w:rPr>
                <w:rFonts w:asciiTheme="minorEastAsia" w:eastAsiaTheme="minorEastAsia" w:hAnsiTheme="minorEastAsia" w:cs="Times New Roman" w:hint="eastAsia"/>
                <w:sz w:val="18"/>
                <w:szCs w:val="18"/>
              </w:rPr>
            </w:pPr>
            <w:r w:rsidRPr="006D52C1">
              <w:rPr>
                <w:rFonts w:asciiTheme="minorEastAsia" w:eastAsiaTheme="minorEastAsia" w:hAnsiTheme="minorEastAsia" w:cs="Times New Roman" w:hint="eastAsia"/>
                <w:sz w:val="18"/>
                <w:szCs w:val="18"/>
              </w:rPr>
              <w:t>减：利息收入</w:t>
            </w:r>
          </w:p>
        </w:tc>
        <w:tc>
          <w:tcPr>
            <w:tcW w:w="3260" w:type="dxa"/>
            <w:shd w:val="clear" w:color="auto" w:fill="FFFFFF" w:themeFill="background1"/>
            <w:noWrap/>
            <w:tcMar>
              <w:top w:w="0" w:type="dxa"/>
              <w:left w:w="108" w:type="dxa"/>
              <w:bottom w:w="0" w:type="dxa"/>
              <w:right w:w="108" w:type="dxa"/>
            </w:tcMar>
            <w:vAlign w:val="center"/>
            <w:hideMark/>
          </w:tcPr>
          <w:p w14:paraId="78509ED5" w14:textId="77777777" w:rsidR="00E72F0C" w:rsidRPr="006D52C1" w:rsidRDefault="00107901">
            <w:pPr>
              <w:pStyle w:val="a3"/>
              <w:spacing w:before="0" w:beforeAutospacing="0" w:after="0" w:afterAutospacing="0"/>
              <w:jc w:val="right"/>
              <w:rPr>
                <w:rFonts w:asciiTheme="minorEastAsia" w:eastAsiaTheme="minorEastAsia" w:hAnsiTheme="minorEastAsia" w:cs="Times New Roman" w:hint="eastAsia"/>
                <w:sz w:val="18"/>
                <w:szCs w:val="18"/>
              </w:rPr>
            </w:pPr>
            <w:r w:rsidRPr="006D52C1">
              <w:rPr>
                <w:rFonts w:asciiTheme="minorEastAsia" w:eastAsiaTheme="minorEastAsia" w:hAnsiTheme="minorEastAsia" w:cs="Arial"/>
                <w:sz w:val="18"/>
                <w:szCs w:val="18"/>
              </w:rPr>
              <w:t>3,716,559.63</w:t>
            </w:r>
          </w:p>
        </w:tc>
        <w:tc>
          <w:tcPr>
            <w:tcW w:w="3122" w:type="dxa"/>
            <w:shd w:val="clear" w:color="auto" w:fill="FFFFFF" w:themeFill="background1"/>
            <w:noWrap/>
            <w:tcMar>
              <w:top w:w="0" w:type="dxa"/>
              <w:left w:w="108" w:type="dxa"/>
              <w:bottom w:w="0" w:type="dxa"/>
              <w:right w:w="108" w:type="dxa"/>
            </w:tcMar>
            <w:vAlign w:val="center"/>
            <w:hideMark/>
          </w:tcPr>
          <w:p w14:paraId="47EA4D76" w14:textId="77777777" w:rsidR="00E72F0C" w:rsidRPr="006D52C1" w:rsidRDefault="00107901">
            <w:pPr>
              <w:pStyle w:val="a3"/>
              <w:spacing w:before="0" w:beforeAutospacing="0" w:after="0" w:afterAutospacing="0"/>
              <w:jc w:val="right"/>
              <w:rPr>
                <w:rFonts w:asciiTheme="minorEastAsia" w:eastAsiaTheme="minorEastAsia" w:hAnsiTheme="minorEastAsia" w:cs="Times New Roman" w:hint="eastAsia"/>
                <w:sz w:val="18"/>
                <w:szCs w:val="18"/>
              </w:rPr>
            </w:pPr>
            <w:r w:rsidRPr="006D52C1">
              <w:rPr>
                <w:rFonts w:asciiTheme="minorEastAsia" w:eastAsiaTheme="minorEastAsia" w:hAnsiTheme="minorEastAsia" w:cs="Arial"/>
                <w:sz w:val="18"/>
                <w:szCs w:val="18"/>
              </w:rPr>
              <w:t>7,957,027.34</w:t>
            </w:r>
          </w:p>
        </w:tc>
      </w:tr>
      <w:tr w:rsidR="00E72F0C" w:rsidRPr="006D52C1" w14:paraId="42F30064" w14:textId="77777777" w:rsidTr="00DD2081">
        <w:trPr>
          <w:divId w:val="308705202"/>
          <w:trHeight w:val="301"/>
        </w:trPr>
        <w:tc>
          <w:tcPr>
            <w:tcW w:w="3232" w:type="dxa"/>
            <w:shd w:val="clear" w:color="auto" w:fill="FFFFFF" w:themeFill="background1"/>
            <w:noWrap/>
            <w:tcMar>
              <w:top w:w="0" w:type="dxa"/>
              <w:left w:w="108" w:type="dxa"/>
              <w:bottom w:w="0" w:type="dxa"/>
              <w:right w:w="108" w:type="dxa"/>
            </w:tcMar>
            <w:vAlign w:val="center"/>
            <w:hideMark/>
          </w:tcPr>
          <w:p w14:paraId="6113DBE0" w14:textId="77777777" w:rsidR="00E72F0C" w:rsidRPr="006D52C1" w:rsidRDefault="00107901">
            <w:pPr>
              <w:pStyle w:val="a3"/>
              <w:spacing w:before="0" w:beforeAutospacing="0" w:after="0" w:afterAutospacing="0"/>
              <w:jc w:val="both"/>
              <w:rPr>
                <w:rFonts w:asciiTheme="minorEastAsia" w:eastAsiaTheme="minorEastAsia" w:hAnsiTheme="minorEastAsia" w:cs="Times New Roman" w:hint="eastAsia"/>
                <w:sz w:val="18"/>
                <w:szCs w:val="18"/>
              </w:rPr>
            </w:pPr>
            <w:r w:rsidRPr="006D52C1">
              <w:rPr>
                <w:rFonts w:asciiTheme="minorEastAsia" w:eastAsiaTheme="minorEastAsia" w:hAnsiTheme="minorEastAsia" w:cs="Times New Roman" w:hint="eastAsia"/>
                <w:sz w:val="18"/>
                <w:szCs w:val="18"/>
              </w:rPr>
              <w:t>加：汇兑损失（减收益）</w:t>
            </w:r>
          </w:p>
        </w:tc>
        <w:tc>
          <w:tcPr>
            <w:tcW w:w="3260" w:type="dxa"/>
            <w:shd w:val="clear" w:color="auto" w:fill="FFFFFF" w:themeFill="background1"/>
            <w:noWrap/>
            <w:tcMar>
              <w:top w:w="0" w:type="dxa"/>
              <w:left w:w="108" w:type="dxa"/>
              <w:bottom w:w="0" w:type="dxa"/>
              <w:right w:w="108" w:type="dxa"/>
            </w:tcMar>
            <w:vAlign w:val="center"/>
            <w:hideMark/>
          </w:tcPr>
          <w:p w14:paraId="51E7005C" w14:textId="77777777" w:rsidR="00E72F0C" w:rsidRPr="006D52C1" w:rsidRDefault="00107901">
            <w:pPr>
              <w:pStyle w:val="a3"/>
              <w:spacing w:before="0" w:beforeAutospacing="0" w:after="0" w:afterAutospacing="0"/>
              <w:jc w:val="right"/>
              <w:rPr>
                <w:rFonts w:asciiTheme="minorEastAsia" w:eastAsiaTheme="minorEastAsia" w:hAnsiTheme="minorEastAsia" w:cs="Times New Roman" w:hint="eastAsia"/>
                <w:sz w:val="18"/>
                <w:szCs w:val="18"/>
              </w:rPr>
            </w:pPr>
            <w:r w:rsidRPr="006D52C1">
              <w:rPr>
                <w:rFonts w:asciiTheme="minorEastAsia" w:eastAsiaTheme="minorEastAsia" w:hAnsiTheme="minorEastAsia" w:cs="Arial"/>
                <w:sz w:val="18"/>
                <w:szCs w:val="18"/>
              </w:rPr>
              <w:t>-4,335,603.12</w:t>
            </w:r>
          </w:p>
        </w:tc>
        <w:tc>
          <w:tcPr>
            <w:tcW w:w="3122" w:type="dxa"/>
            <w:shd w:val="clear" w:color="auto" w:fill="FFFFFF" w:themeFill="background1"/>
            <w:noWrap/>
            <w:tcMar>
              <w:top w:w="0" w:type="dxa"/>
              <w:left w:w="108" w:type="dxa"/>
              <w:bottom w:w="0" w:type="dxa"/>
              <w:right w:w="108" w:type="dxa"/>
            </w:tcMar>
            <w:vAlign w:val="center"/>
            <w:hideMark/>
          </w:tcPr>
          <w:p w14:paraId="2605AE0D" w14:textId="77777777" w:rsidR="00E72F0C" w:rsidRPr="006D52C1" w:rsidRDefault="00107901">
            <w:pPr>
              <w:pStyle w:val="a3"/>
              <w:spacing w:before="0" w:beforeAutospacing="0" w:after="0" w:afterAutospacing="0"/>
              <w:jc w:val="right"/>
              <w:rPr>
                <w:rFonts w:asciiTheme="minorEastAsia" w:eastAsiaTheme="minorEastAsia" w:hAnsiTheme="minorEastAsia" w:cs="Times New Roman" w:hint="eastAsia"/>
                <w:sz w:val="18"/>
                <w:szCs w:val="18"/>
              </w:rPr>
            </w:pPr>
            <w:r w:rsidRPr="006D52C1">
              <w:rPr>
                <w:rFonts w:asciiTheme="minorEastAsia" w:eastAsiaTheme="minorEastAsia" w:hAnsiTheme="minorEastAsia" w:cs="Arial"/>
                <w:sz w:val="18"/>
                <w:szCs w:val="18"/>
              </w:rPr>
              <w:t>-34,728,126.84</w:t>
            </w:r>
          </w:p>
        </w:tc>
      </w:tr>
      <w:tr w:rsidR="00E72F0C" w:rsidRPr="006D52C1" w14:paraId="6888F08F" w14:textId="77777777" w:rsidTr="00DD2081">
        <w:trPr>
          <w:divId w:val="308705202"/>
          <w:trHeight w:val="301"/>
        </w:trPr>
        <w:tc>
          <w:tcPr>
            <w:tcW w:w="3232" w:type="dxa"/>
            <w:shd w:val="clear" w:color="auto" w:fill="FFFFFF" w:themeFill="background1"/>
            <w:noWrap/>
            <w:tcMar>
              <w:top w:w="0" w:type="dxa"/>
              <w:left w:w="108" w:type="dxa"/>
              <w:bottom w:w="0" w:type="dxa"/>
              <w:right w:w="108" w:type="dxa"/>
            </w:tcMar>
            <w:vAlign w:val="center"/>
            <w:hideMark/>
          </w:tcPr>
          <w:p w14:paraId="7F62C3BB" w14:textId="77777777" w:rsidR="00E72F0C" w:rsidRPr="006D52C1" w:rsidRDefault="00107901">
            <w:pPr>
              <w:pStyle w:val="a3"/>
              <w:spacing w:before="0" w:beforeAutospacing="0" w:after="0" w:afterAutospacing="0"/>
              <w:jc w:val="both"/>
              <w:rPr>
                <w:rFonts w:asciiTheme="minorEastAsia" w:eastAsiaTheme="minorEastAsia" w:hAnsiTheme="minorEastAsia" w:cs="Times New Roman" w:hint="eastAsia"/>
                <w:sz w:val="18"/>
                <w:szCs w:val="18"/>
              </w:rPr>
            </w:pPr>
            <w:r w:rsidRPr="006D52C1">
              <w:rPr>
                <w:rFonts w:asciiTheme="minorEastAsia" w:eastAsiaTheme="minorEastAsia" w:hAnsiTheme="minorEastAsia" w:cs="Times New Roman" w:hint="eastAsia"/>
                <w:sz w:val="18"/>
                <w:szCs w:val="18"/>
              </w:rPr>
              <w:t>加：手续费支出</w:t>
            </w:r>
          </w:p>
        </w:tc>
        <w:tc>
          <w:tcPr>
            <w:tcW w:w="3260" w:type="dxa"/>
            <w:shd w:val="clear" w:color="auto" w:fill="FFFFFF" w:themeFill="background1"/>
            <w:noWrap/>
            <w:tcMar>
              <w:top w:w="0" w:type="dxa"/>
              <w:left w:w="108" w:type="dxa"/>
              <w:bottom w:w="0" w:type="dxa"/>
              <w:right w:w="108" w:type="dxa"/>
            </w:tcMar>
            <w:vAlign w:val="center"/>
            <w:hideMark/>
          </w:tcPr>
          <w:p w14:paraId="0AFBE11C" w14:textId="77777777" w:rsidR="00E72F0C" w:rsidRPr="006D52C1" w:rsidRDefault="00107901">
            <w:pPr>
              <w:pStyle w:val="a3"/>
              <w:spacing w:before="0" w:beforeAutospacing="0" w:after="0" w:afterAutospacing="0"/>
              <w:jc w:val="right"/>
              <w:rPr>
                <w:rFonts w:asciiTheme="minorEastAsia" w:eastAsiaTheme="minorEastAsia" w:hAnsiTheme="minorEastAsia" w:cs="Times New Roman" w:hint="eastAsia"/>
                <w:sz w:val="18"/>
                <w:szCs w:val="18"/>
              </w:rPr>
            </w:pPr>
            <w:r w:rsidRPr="006D52C1">
              <w:rPr>
                <w:rFonts w:asciiTheme="minorEastAsia" w:eastAsiaTheme="minorEastAsia" w:hAnsiTheme="minorEastAsia" w:cs="Arial"/>
                <w:sz w:val="18"/>
                <w:szCs w:val="18"/>
              </w:rPr>
              <w:t>1,120,572.63</w:t>
            </w:r>
          </w:p>
        </w:tc>
        <w:tc>
          <w:tcPr>
            <w:tcW w:w="3122" w:type="dxa"/>
            <w:shd w:val="clear" w:color="auto" w:fill="FFFFFF" w:themeFill="background1"/>
            <w:noWrap/>
            <w:tcMar>
              <w:top w:w="0" w:type="dxa"/>
              <w:left w:w="108" w:type="dxa"/>
              <w:bottom w:w="0" w:type="dxa"/>
              <w:right w:w="108" w:type="dxa"/>
            </w:tcMar>
            <w:vAlign w:val="center"/>
            <w:hideMark/>
          </w:tcPr>
          <w:p w14:paraId="7BF7B287" w14:textId="77777777" w:rsidR="00E72F0C" w:rsidRPr="006D52C1" w:rsidRDefault="00107901">
            <w:pPr>
              <w:pStyle w:val="a3"/>
              <w:spacing w:before="0" w:beforeAutospacing="0" w:after="0" w:afterAutospacing="0"/>
              <w:jc w:val="right"/>
              <w:rPr>
                <w:rFonts w:asciiTheme="minorEastAsia" w:eastAsiaTheme="minorEastAsia" w:hAnsiTheme="minorEastAsia" w:cs="Times New Roman" w:hint="eastAsia"/>
                <w:sz w:val="18"/>
                <w:szCs w:val="18"/>
              </w:rPr>
            </w:pPr>
            <w:r w:rsidRPr="006D52C1">
              <w:rPr>
                <w:rFonts w:asciiTheme="minorEastAsia" w:eastAsiaTheme="minorEastAsia" w:hAnsiTheme="minorEastAsia" w:cs="Arial"/>
                <w:sz w:val="18"/>
                <w:szCs w:val="18"/>
              </w:rPr>
              <w:t>3,204,592.41</w:t>
            </w:r>
          </w:p>
        </w:tc>
      </w:tr>
      <w:tr w:rsidR="00E72F0C" w:rsidRPr="006D52C1" w14:paraId="2B2B7942" w14:textId="77777777" w:rsidTr="00DD2081">
        <w:trPr>
          <w:divId w:val="308705202"/>
          <w:trHeight w:val="301"/>
        </w:trPr>
        <w:tc>
          <w:tcPr>
            <w:tcW w:w="3232" w:type="dxa"/>
            <w:shd w:val="clear" w:color="auto" w:fill="FFFFFF" w:themeFill="background1"/>
            <w:noWrap/>
            <w:tcMar>
              <w:top w:w="0" w:type="dxa"/>
              <w:left w:w="108" w:type="dxa"/>
              <w:bottom w:w="0" w:type="dxa"/>
              <w:right w:w="108" w:type="dxa"/>
            </w:tcMar>
            <w:vAlign w:val="center"/>
            <w:hideMark/>
          </w:tcPr>
          <w:p w14:paraId="6881802E" w14:textId="77777777" w:rsidR="00E72F0C" w:rsidRPr="006D52C1" w:rsidRDefault="00107901">
            <w:pPr>
              <w:pStyle w:val="a3"/>
              <w:spacing w:before="0" w:beforeAutospacing="0" w:after="0" w:afterAutospacing="0"/>
              <w:jc w:val="both"/>
              <w:rPr>
                <w:rFonts w:asciiTheme="minorEastAsia" w:eastAsiaTheme="minorEastAsia" w:hAnsiTheme="minorEastAsia" w:cs="Times New Roman" w:hint="eastAsia"/>
                <w:sz w:val="18"/>
                <w:szCs w:val="18"/>
              </w:rPr>
            </w:pPr>
            <w:r w:rsidRPr="006D52C1">
              <w:rPr>
                <w:rFonts w:asciiTheme="minorEastAsia" w:eastAsiaTheme="minorEastAsia" w:hAnsiTheme="minorEastAsia" w:cs="Times New Roman" w:hint="eastAsia"/>
                <w:sz w:val="18"/>
                <w:szCs w:val="18"/>
              </w:rPr>
              <w:t>加：其他</w:t>
            </w:r>
          </w:p>
        </w:tc>
        <w:tc>
          <w:tcPr>
            <w:tcW w:w="3260" w:type="dxa"/>
            <w:shd w:val="clear" w:color="auto" w:fill="FFFFFF" w:themeFill="background1"/>
            <w:noWrap/>
            <w:tcMar>
              <w:top w:w="0" w:type="dxa"/>
              <w:left w:w="108" w:type="dxa"/>
              <w:bottom w:w="0" w:type="dxa"/>
              <w:right w:w="108" w:type="dxa"/>
            </w:tcMar>
            <w:vAlign w:val="center"/>
            <w:hideMark/>
          </w:tcPr>
          <w:p w14:paraId="4B1F4392" w14:textId="77777777" w:rsidR="00E72F0C" w:rsidRPr="006D52C1" w:rsidRDefault="00107901">
            <w:pPr>
              <w:pStyle w:val="a3"/>
              <w:spacing w:before="0" w:beforeAutospacing="0" w:after="0" w:afterAutospacing="0"/>
              <w:jc w:val="right"/>
              <w:rPr>
                <w:rFonts w:asciiTheme="minorEastAsia" w:eastAsiaTheme="minorEastAsia" w:hAnsiTheme="minorEastAsia" w:cs="Times New Roman" w:hint="eastAsia"/>
                <w:sz w:val="18"/>
                <w:szCs w:val="18"/>
              </w:rPr>
            </w:pPr>
            <w:r w:rsidRPr="006D52C1">
              <w:rPr>
                <w:rFonts w:asciiTheme="minorEastAsia" w:eastAsiaTheme="minorEastAsia" w:hAnsiTheme="minorEastAsia" w:cs="Arial"/>
                <w:sz w:val="18"/>
                <w:szCs w:val="18"/>
              </w:rPr>
              <w:t> </w:t>
            </w:r>
          </w:p>
        </w:tc>
        <w:tc>
          <w:tcPr>
            <w:tcW w:w="3122" w:type="dxa"/>
            <w:shd w:val="clear" w:color="auto" w:fill="FFFFFF" w:themeFill="background1"/>
            <w:noWrap/>
            <w:tcMar>
              <w:top w:w="0" w:type="dxa"/>
              <w:left w:w="108" w:type="dxa"/>
              <w:bottom w:w="0" w:type="dxa"/>
              <w:right w:w="108" w:type="dxa"/>
            </w:tcMar>
            <w:vAlign w:val="center"/>
            <w:hideMark/>
          </w:tcPr>
          <w:p w14:paraId="0970103C" w14:textId="77777777" w:rsidR="00E72F0C" w:rsidRPr="006D52C1" w:rsidRDefault="00107901">
            <w:pPr>
              <w:pStyle w:val="a3"/>
              <w:spacing w:before="0" w:beforeAutospacing="0" w:after="0" w:afterAutospacing="0"/>
              <w:jc w:val="right"/>
              <w:rPr>
                <w:rFonts w:asciiTheme="minorEastAsia" w:eastAsiaTheme="minorEastAsia" w:hAnsiTheme="minorEastAsia" w:cs="Times New Roman" w:hint="eastAsia"/>
                <w:sz w:val="18"/>
                <w:szCs w:val="18"/>
              </w:rPr>
            </w:pPr>
            <w:r w:rsidRPr="006D52C1">
              <w:rPr>
                <w:rFonts w:asciiTheme="minorEastAsia" w:eastAsiaTheme="minorEastAsia" w:hAnsiTheme="minorEastAsia" w:cs="Arial"/>
                <w:sz w:val="18"/>
                <w:szCs w:val="18"/>
              </w:rPr>
              <w:t>16,253.49</w:t>
            </w:r>
          </w:p>
        </w:tc>
      </w:tr>
      <w:tr w:rsidR="00E72F0C" w:rsidRPr="006D52C1" w14:paraId="7661FE5C" w14:textId="77777777" w:rsidTr="00DD2081">
        <w:trPr>
          <w:divId w:val="308705202"/>
          <w:trHeight w:val="301"/>
        </w:trPr>
        <w:tc>
          <w:tcPr>
            <w:tcW w:w="3232" w:type="dxa"/>
            <w:shd w:val="clear" w:color="auto" w:fill="FFFFFF" w:themeFill="background1"/>
            <w:noWrap/>
            <w:tcMar>
              <w:top w:w="0" w:type="dxa"/>
              <w:left w:w="108" w:type="dxa"/>
              <w:bottom w:w="0" w:type="dxa"/>
              <w:right w:w="108" w:type="dxa"/>
            </w:tcMar>
            <w:vAlign w:val="center"/>
            <w:hideMark/>
          </w:tcPr>
          <w:p w14:paraId="3DD799F1" w14:textId="77777777" w:rsidR="00E72F0C" w:rsidRPr="006D52C1" w:rsidRDefault="00107901">
            <w:pPr>
              <w:pStyle w:val="a3"/>
              <w:spacing w:before="0" w:beforeAutospacing="0" w:after="0" w:afterAutospacing="0"/>
              <w:jc w:val="center"/>
              <w:rPr>
                <w:rFonts w:asciiTheme="minorEastAsia" w:eastAsiaTheme="minorEastAsia" w:hAnsiTheme="minorEastAsia" w:cs="Times New Roman" w:hint="eastAsia"/>
                <w:sz w:val="18"/>
                <w:szCs w:val="18"/>
              </w:rPr>
            </w:pPr>
            <w:r w:rsidRPr="006D52C1">
              <w:rPr>
                <w:rFonts w:asciiTheme="minorEastAsia" w:eastAsiaTheme="minorEastAsia" w:hAnsiTheme="minorEastAsia" w:cs="Times New Roman" w:hint="eastAsia"/>
                <w:sz w:val="18"/>
                <w:szCs w:val="18"/>
              </w:rPr>
              <w:t>合计</w:t>
            </w:r>
          </w:p>
        </w:tc>
        <w:tc>
          <w:tcPr>
            <w:tcW w:w="3260" w:type="dxa"/>
            <w:shd w:val="clear" w:color="auto" w:fill="FFFFFF" w:themeFill="background1"/>
            <w:noWrap/>
            <w:tcMar>
              <w:top w:w="0" w:type="dxa"/>
              <w:left w:w="108" w:type="dxa"/>
              <w:bottom w:w="0" w:type="dxa"/>
              <w:right w:w="108" w:type="dxa"/>
            </w:tcMar>
            <w:vAlign w:val="center"/>
            <w:hideMark/>
          </w:tcPr>
          <w:p w14:paraId="13397889" w14:textId="77777777" w:rsidR="00E72F0C" w:rsidRPr="006D52C1" w:rsidRDefault="00107901">
            <w:pPr>
              <w:pStyle w:val="a3"/>
              <w:spacing w:before="0" w:beforeAutospacing="0" w:after="0" w:afterAutospacing="0"/>
              <w:jc w:val="right"/>
              <w:rPr>
                <w:rFonts w:asciiTheme="minorEastAsia" w:eastAsiaTheme="minorEastAsia" w:hAnsiTheme="minorEastAsia" w:cs="Times New Roman" w:hint="eastAsia"/>
                <w:sz w:val="18"/>
                <w:szCs w:val="18"/>
              </w:rPr>
            </w:pPr>
            <w:r w:rsidRPr="006D52C1">
              <w:rPr>
                <w:rFonts w:asciiTheme="minorEastAsia" w:eastAsiaTheme="minorEastAsia" w:hAnsiTheme="minorEastAsia" w:cs="Arial"/>
                <w:sz w:val="18"/>
                <w:szCs w:val="18"/>
              </w:rPr>
              <w:t>387,138,301.16</w:t>
            </w:r>
          </w:p>
        </w:tc>
        <w:tc>
          <w:tcPr>
            <w:tcW w:w="3122" w:type="dxa"/>
            <w:shd w:val="clear" w:color="auto" w:fill="FFFFFF" w:themeFill="background1"/>
            <w:noWrap/>
            <w:tcMar>
              <w:top w:w="0" w:type="dxa"/>
              <w:left w:w="108" w:type="dxa"/>
              <w:bottom w:w="0" w:type="dxa"/>
              <w:right w:w="108" w:type="dxa"/>
            </w:tcMar>
            <w:vAlign w:val="center"/>
            <w:hideMark/>
          </w:tcPr>
          <w:p w14:paraId="1ED1EC46" w14:textId="77777777" w:rsidR="00E72F0C" w:rsidRPr="006D52C1" w:rsidRDefault="00107901">
            <w:pPr>
              <w:pStyle w:val="a3"/>
              <w:spacing w:before="0" w:beforeAutospacing="0" w:after="0" w:afterAutospacing="0"/>
              <w:jc w:val="right"/>
              <w:rPr>
                <w:rFonts w:asciiTheme="minorEastAsia" w:eastAsiaTheme="minorEastAsia" w:hAnsiTheme="minorEastAsia" w:cs="Times New Roman" w:hint="eastAsia"/>
                <w:sz w:val="18"/>
                <w:szCs w:val="18"/>
              </w:rPr>
            </w:pPr>
            <w:r w:rsidRPr="006D52C1">
              <w:rPr>
                <w:rFonts w:asciiTheme="minorEastAsia" w:eastAsiaTheme="minorEastAsia" w:hAnsiTheme="minorEastAsia" w:cs="Arial"/>
                <w:sz w:val="18"/>
                <w:szCs w:val="18"/>
              </w:rPr>
              <w:t>270,089,706.64</w:t>
            </w:r>
          </w:p>
        </w:tc>
      </w:tr>
    </w:tbl>
    <w:p w14:paraId="3BCD37A1" w14:textId="77777777" w:rsidR="00632E5B" w:rsidRDefault="00107901">
      <w:pPr>
        <w:pStyle w:val="3"/>
        <w:spacing w:line="280" w:lineRule="exact"/>
        <w:jc w:val="left"/>
        <w:rPr>
          <w:rFonts w:ascii="宋体" w:hAnsi="宋体" w:cs="宋体" w:hint="eastAsia"/>
          <w:b/>
          <w:bCs/>
        </w:rPr>
      </w:pPr>
      <w:bookmarkStart w:id="316" w:name="_Toc989202"/>
      <w:r>
        <w:rPr>
          <w:rFonts w:ascii="宋体" w:hAnsi="宋体" w:cs="宋体"/>
          <w:b/>
          <w:bCs/>
        </w:rPr>
        <w:t>49、其他收益</w:t>
      </w:r>
      <w:bookmarkEnd w:id="316"/>
    </w:p>
    <w:p w14:paraId="4ADBFB3F"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7DBEDA6C" w14:textId="77777777" w:rsidTr="00DD2081">
        <w:trPr>
          <w:trHeight w:val="240"/>
        </w:trPr>
        <w:tc>
          <w:tcPr>
            <w:tcW w:w="3213" w:type="dxa"/>
            <w:shd w:val="clear" w:color="auto" w:fill="FFFFFF" w:themeFill="background1"/>
            <w:vAlign w:val="center"/>
          </w:tcPr>
          <w:p w14:paraId="74427EF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产生其他收益的来源</w:t>
            </w:r>
          </w:p>
        </w:tc>
        <w:tc>
          <w:tcPr>
            <w:tcW w:w="3213" w:type="dxa"/>
            <w:shd w:val="clear" w:color="auto" w:fill="FFFFFF" w:themeFill="background1"/>
            <w:vAlign w:val="center"/>
          </w:tcPr>
          <w:p w14:paraId="360DDD3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auto" w:fill="FFFFFF" w:themeFill="background1"/>
            <w:vAlign w:val="center"/>
          </w:tcPr>
          <w:p w14:paraId="4CEB664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632E5B" w14:paraId="0284422D" w14:textId="77777777" w:rsidTr="00DD2081">
        <w:trPr>
          <w:trHeight w:val="240"/>
        </w:trPr>
        <w:tc>
          <w:tcPr>
            <w:tcW w:w="3213" w:type="dxa"/>
            <w:shd w:val="clear" w:color="auto" w:fill="FFFFFF" w:themeFill="background1"/>
            <w:vAlign w:val="center"/>
          </w:tcPr>
          <w:p w14:paraId="1DCE696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政府补助计入</w:t>
            </w:r>
          </w:p>
        </w:tc>
        <w:tc>
          <w:tcPr>
            <w:tcW w:w="3213" w:type="dxa"/>
            <w:shd w:val="clear" w:color="auto" w:fill="FFFFFF" w:themeFill="background1"/>
            <w:vAlign w:val="center"/>
          </w:tcPr>
          <w:p w14:paraId="12AD89B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19,357,390.90</w:t>
            </w:r>
          </w:p>
        </w:tc>
        <w:tc>
          <w:tcPr>
            <w:tcW w:w="3213" w:type="dxa"/>
            <w:shd w:val="clear" w:color="auto" w:fill="FFFFFF" w:themeFill="background1"/>
            <w:vAlign w:val="center"/>
          </w:tcPr>
          <w:p w14:paraId="2689761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23,642,824.39</w:t>
            </w:r>
          </w:p>
        </w:tc>
      </w:tr>
      <w:tr w:rsidR="00632E5B" w14:paraId="36F48DE5" w14:textId="77777777" w:rsidTr="00DD2081">
        <w:trPr>
          <w:trHeight w:val="240"/>
        </w:trPr>
        <w:tc>
          <w:tcPr>
            <w:tcW w:w="3213" w:type="dxa"/>
            <w:shd w:val="clear" w:color="auto" w:fill="FFFFFF" w:themeFill="background1"/>
            <w:vAlign w:val="center"/>
          </w:tcPr>
          <w:p w14:paraId="26EB687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个税手续费返还</w:t>
            </w:r>
          </w:p>
        </w:tc>
        <w:tc>
          <w:tcPr>
            <w:tcW w:w="3213" w:type="dxa"/>
            <w:shd w:val="clear" w:color="auto" w:fill="FFFFFF" w:themeFill="background1"/>
            <w:vAlign w:val="center"/>
          </w:tcPr>
          <w:p w14:paraId="3012F52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387,026.38</w:t>
            </w:r>
          </w:p>
        </w:tc>
        <w:tc>
          <w:tcPr>
            <w:tcW w:w="3213" w:type="dxa"/>
            <w:shd w:val="clear" w:color="auto" w:fill="FFFFFF" w:themeFill="background1"/>
            <w:vAlign w:val="center"/>
          </w:tcPr>
          <w:p w14:paraId="6253767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279,722.80</w:t>
            </w:r>
          </w:p>
        </w:tc>
      </w:tr>
      <w:tr w:rsidR="00632E5B" w14:paraId="06E6F975" w14:textId="77777777" w:rsidTr="00DD2081">
        <w:trPr>
          <w:trHeight w:val="240"/>
        </w:trPr>
        <w:tc>
          <w:tcPr>
            <w:tcW w:w="3213" w:type="dxa"/>
            <w:shd w:val="clear" w:color="auto" w:fill="FFFFFF" w:themeFill="background1"/>
            <w:vAlign w:val="center"/>
          </w:tcPr>
          <w:p w14:paraId="5EF45BC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增值税加计扣除</w:t>
            </w:r>
          </w:p>
        </w:tc>
        <w:tc>
          <w:tcPr>
            <w:tcW w:w="3213" w:type="dxa"/>
            <w:shd w:val="clear" w:color="auto" w:fill="FFFFFF" w:themeFill="background1"/>
            <w:vAlign w:val="center"/>
          </w:tcPr>
          <w:p w14:paraId="5F7226C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11,682,059.60</w:t>
            </w:r>
          </w:p>
        </w:tc>
        <w:tc>
          <w:tcPr>
            <w:tcW w:w="3213" w:type="dxa"/>
            <w:shd w:val="clear" w:color="auto" w:fill="FFFFFF" w:themeFill="background1"/>
            <w:vAlign w:val="center"/>
          </w:tcPr>
          <w:p w14:paraId="39477F2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8,714,751.16</w:t>
            </w:r>
          </w:p>
        </w:tc>
      </w:tr>
      <w:tr w:rsidR="00632E5B" w14:paraId="1A1E8C86" w14:textId="77777777" w:rsidTr="00DD2081">
        <w:trPr>
          <w:trHeight w:val="240"/>
        </w:trPr>
        <w:tc>
          <w:tcPr>
            <w:tcW w:w="3213" w:type="dxa"/>
            <w:shd w:val="clear" w:color="auto" w:fill="FFFFFF" w:themeFill="background1"/>
            <w:vAlign w:val="center"/>
          </w:tcPr>
          <w:p w14:paraId="65FCA6A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2891B0B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31,426,476.88</w:t>
            </w:r>
          </w:p>
        </w:tc>
        <w:tc>
          <w:tcPr>
            <w:tcW w:w="3213" w:type="dxa"/>
            <w:shd w:val="clear" w:color="auto" w:fill="FFFFFF" w:themeFill="background1"/>
            <w:vAlign w:val="center"/>
          </w:tcPr>
          <w:p w14:paraId="7834BC0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32,637,298.35</w:t>
            </w:r>
          </w:p>
        </w:tc>
      </w:tr>
    </w:tbl>
    <w:p w14:paraId="2101AFD9" w14:textId="77777777" w:rsidR="00632E5B" w:rsidRDefault="00107901">
      <w:pPr>
        <w:pStyle w:val="3"/>
        <w:spacing w:line="280" w:lineRule="exact"/>
        <w:jc w:val="left"/>
        <w:rPr>
          <w:rFonts w:ascii="宋体" w:hAnsi="宋体" w:cs="宋体" w:hint="eastAsia"/>
          <w:b/>
          <w:bCs/>
        </w:rPr>
      </w:pPr>
      <w:bookmarkStart w:id="317" w:name="_Toc989203"/>
      <w:r>
        <w:rPr>
          <w:rFonts w:ascii="宋体" w:hAnsi="宋体" w:cs="宋体"/>
          <w:b/>
          <w:bCs/>
        </w:rPr>
        <w:t>50、公允价值变动收益</w:t>
      </w:r>
      <w:bookmarkEnd w:id="317"/>
    </w:p>
    <w:p w14:paraId="58C3D007"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79EF1383" w14:textId="77777777" w:rsidTr="00DD2081">
        <w:trPr>
          <w:trHeight w:val="240"/>
        </w:trPr>
        <w:tc>
          <w:tcPr>
            <w:tcW w:w="3213" w:type="dxa"/>
            <w:shd w:val="clear" w:color="auto" w:fill="FFFFFF" w:themeFill="background1"/>
            <w:vAlign w:val="center"/>
          </w:tcPr>
          <w:p w14:paraId="6B107F3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产生公允价值变动收益的来源</w:t>
            </w:r>
          </w:p>
        </w:tc>
        <w:tc>
          <w:tcPr>
            <w:tcW w:w="3213" w:type="dxa"/>
            <w:shd w:val="clear" w:color="auto" w:fill="FFFFFF" w:themeFill="background1"/>
            <w:vAlign w:val="center"/>
          </w:tcPr>
          <w:p w14:paraId="72ED900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auto" w:fill="FFFFFF" w:themeFill="background1"/>
            <w:vAlign w:val="center"/>
          </w:tcPr>
          <w:p w14:paraId="1EBAA8E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632E5B" w14:paraId="16398186" w14:textId="77777777" w:rsidTr="00DD2081">
        <w:trPr>
          <w:trHeight w:val="240"/>
        </w:trPr>
        <w:tc>
          <w:tcPr>
            <w:tcW w:w="3213" w:type="dxa"/>
            <w:shd w:val="clear" w:color="auto" w:fill="FFFFFF" w:themeFill="background1"/>
            <w:vAlign w:val="center"/>
          </w:tcPr>
          <w:p w14:paraId="63CC881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交易性金融资产</w:t>
            </w:r>
          </w:p>
        </w:tc>
        <w:tc>
          <w:tcPr>
            <w:tcW w:w="3213" w:type="dxa"/>
            <w:shd w:val="clear" w:color="auto" w:fill="FFFFFF" w:themeFill="background1"/>
            <w:vAlign w:val="center"/>
          </w:tcPr>
          <w:p w14:paraId="388EC6B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-10,296,860.00</w:t>
            </w:r>
          </w:p>
        </w:tc>
        <w:tc>
          <w:tcPr>
            <w:tcW w:w="3213" w:type="dxa"/>
            <w:shd w:val="clear" w:color="auto" w:fill="FFFFFF" w:themeFill="background1"/>
            <w:vAlign w:val="center"/>
          </w:tcPr>
          <w:p w14:paraId="586AD9F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-21,636,440.00</w:t>
            </w:r>
          </w:p>
        </w:tc>
      </w:tr>
      <w:tr w:rsidR="00632E5B" w14:paraId="630A7735" w14:textId="77777777" w:rsidTr="00DD2081">
        <w:trPr>
          <w:trHeight w:val="240"/>
        </w:trPr>
        <w:tc>
          <w:tcPr>
            <w:tcW w:w="3213" w:type="dxa"/>
            <w:shd w:val="clear" w:color="auto" w:fill="FFFFFF" w:themeFill="background1"/>
            <w:vAlign w:val="center"/>
          </w:tcPr>
          <w:p w14:paraId="372AB78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其他非流动金融资产</w:t>
            </w:r>
          </w:p>
        </w:tc>
        <w:tc>
          <w:tcPr>
            <w:tcW w:w="3213" w:type="dxa"/>
            <w:shd w:val="clear" w:color="auto" w:fill="FFFFFF" w:themeFill="background1"/>
            <w:vAlign w:val="center"/>
          </w:tcPr>
          <w:p w14:paraId="7CCF018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-63,481,747.07</w:t>
            </w:r>
          </w:p>
        </w:tc>
        <w:tc>
          <w:tcPr>
            <w:tcW w:w="3213" w:type="dxa"/>
            <w:shd w:val="clear" w:color="auto" w:fill="FFFFFF" w:themeFill="background1"/>
            <w:vAlign w:val="center"/>
          </w:tcPr>
          <w:p w14:paraId="2C7A187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4,579,663.82</w:t>
            </w:r>
          </w:p>
        </w:tc>
      </w:tr>
      <w:tr w:rsidR="00632E5B" w14:paraId="68A93E95" w14:textId="77777777" w:rsidTr="00DD2081">
        <w:trPr>
          <w:trHeight w:val="240"/>
        </w:trPr>
        <w:tc>
          <w:tcPr>
            <w:tcW w:w="3213" w:type="dxa"/>
            <w:shd w:val="clear" w:color="auto" w:fill="FFFFFF" w:themeFill="background1"/>
            <w:vAlign w:val="center"/>
          </w:tcPr>
          <w:p w14:paraId="238C1980"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50BB16E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-73,778,607.07</w:t>
            </w:r>
          </w:p>
        </w:tc>
        <w:tc>
          <w:tcPr>
            <w:tcW w:w="3213" w:type="dxa"/>
            <w:shd w:val="clear" w:color="auto" w:fill="FFFFFF" w:themeFill="background1"/>
            <w:vAlign w:val="center"/>
          </w:tcPr>
          <w:p w14:paraId="346A2F6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-17,056,776.18</w:t>
            </w:r>
          </w:p>
        </w:tc>
      </w:tr>
    </w:tbl>
    <w:p w14:paraId="39E98898" w14:textId="77777777" w:rsidR="00632E5B" w:rsidRDefault="00107901">
      <w:pPr>
        <w:pStyle w:val="3"/>
        <w:spacing w:line="280" w:lineRule="exact"/>
        <w:jc w:val="left"/>
        <w:rPr>
          <w:rFonts w:ascii="宋体" w:hAnsi="宋体" w:cs="宋体" w:hint="eastAsia"/>
          <w:b/>
          <w:bCs/>
        </w:rPr>
      </w:pPr>
      <w:bookmarkStart w:id="318" w:name="_Toc989204"/>
      <w:r>
        <w:rPr>
          <w:rFonts w:ascii="宋体" w:hAnsi="宋体" w:cs="宋体"/>
          <w:b/>
          <w:bCs/>
        </w:rPr>
        <w:t>51、投资收益</w:t>
      </w:r>
      <w:bookmarkEnd w:id="318"/>
    </w:p>
    <w:p w14:paraId="4F2A0875"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07A401FF" w14:textId="77777777" w:rsidTr="00DD2081">
        <w:trPr>
          <w:trHeight w:val="240"/>
        </w:trPr>
        <w:tc>
          <w:tcPr>
            <w:tcW w:w="3213" w:type="dxa"/>
            <w:shd w:val="clear" w:color="auto" w:fill="FFFFFF" w:themeFill="background1"/>
            <w:vAlign w:val="center"/>
          </w:tcPr>
          <w:p w14:paraId="1A93572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21836D8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auto" w:fill="FFFFFF" w:themeFill="background1"/>
            <w:vAlign w:val="center"/>
          </w:tcPr>
          <w:p w14:paraId="4A0D9F4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632E5B" w14:paraId="636EF079" w14:textId="77777777" w:rsidTr="00DD2081">
        <w:trPr>
          <w:trHeight w:val="240"/>
        </w:trPr>
        <w:tc>
          <w:tcPr>
            <w:tcW w:w="3213" w:type="dxa"/>
            <w:shd w:val="clear" w:color="auto" w:fill="FFFFFF" w:themeFill="background1"/>
            <w:vAlign w:val="center"/>
          </w:tcPr>
          <w:p w14:paraId="39ED44A4"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权益法核算的长期股权投资收益</w:t>
            </w:r>
          </w:p>
        </w:tc>
        <w:tc>
          <w:tcPr>
            <w:tcW w:w="3213" w:type="dxa"/>
            <w:shd w:val="clear" w:color="auto" w:fill="FFFFFF" w:themeFill="background1"/>
            <w:vAlign w:val="center"/>
          </w:tcPr>
          <w:p w14:paraId="5E6F197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-240,222.20</w:t>
            </w:r>
          </w:p>
        </w:tc>
        <w:tc>
          <w:tcPr>
            <w:tcW w:w="3213" w:type="dxa"/>
            <w:shd w:val="clear" w:color="auto" w:fill="FFFFFF" w:themeFill="background1"/>
            <w:vAlign w:val="center"/>
          </w:tcPr>
          <w:p w14:paraId="6731254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-971,584.46</w:t>
            </w:r>
          </w:p>
        </w:tc>
      </w:tr>
      <w:tr w:rsidR="00632E5B" w14:paraId="59D3AB52" w14:textId="77777777" w:rsidTr="00DD2081">
        <w:trPr>
          <w:trHeight w:val="240"/>
        </w:trPr>
        <w:tc>
          <w:tcPr>
            <w:tcW w:w="3213" w:type="dxa"/>
            <w:shd w:val="clear" w:color="auto" w:fill="FFFFFF" w:themeFill="background1"/>
            <w:vAlign w:val="center"/>
          </w:tcPr>
          <w:p w14:paraId="320C4533"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处置长期股权投资产生的投资收益</w:t>
            </w:r>
          </w:p>
        </w:tc>
        <w:tc>
          <w:tcPr>
            <w:tcW w:w="3213" w:type="dxa"/>
            <w:shd w:val="clear" w:color="auto" w:fill="FFFFFF" w:themeFill="background1"/>
            <w:vAlign w:val="center"/>
          </w:tcPr>
          <w:p w14:paraId="1BC776F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6,866,686.56</w:t>
            </w:r>
          </w:p>
        </w:tc>
        <w:tc>
          <w:tcPr>
            <w:tcW w:w="3213" w:type="dxa"/>
            <w:shd w:val="clear" w:color="auto" w:fill="FFFFFF" w:themeFill="background1"/>
            <w:vAlign w:val="center"/>
          </w:tcPr>
          <w:p w14:paraId="4E2AC4F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852,846.72</w:t>
            </w:r>
          </w:p>
        </w:tc>
      </w:tr>
      <w:tr w:rsidR="00632E5B" w14:paraId="2E35B613" w14:textId="77777777" w:rsidTr="00DD2081">
        <w:trPr>
          <w:trHeight w:val="240"/>
        </w:trPr>
        <w:tc>
          <w:tcPr>
            <w:tcW w:w="3213" w:type="dxa"/>
            <w:shd w:val="clear" w:color="auto" w:fill="FFFFFF" w:themeFill="background1"/>
            <w:vAlign w:val="center"/>
          </w:tcPr>
          <w:p w14:paraId="2860565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交易性金融资产在持有期间的投资收益</w:t>
            </w:r>
          </w:p>
        </w:tc>
        <w:tc>
          <w:tcPr>
            <w:tcW w:w="3213" w:type="dxa"/>
            <w:shd w:val="clear" w:color="auto" w:fill="FFFFFF" w:themeFill="background1"/>
            <w:vAlign w:val="center"/>
          </w:tcPr>
          <w:p w14:paraId="12DCEA2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2,120,705.63</w:t>
            </w:r>
          </w:p>
        </w:tc>
        <w:tc>
          <w:tcPr>
            <w:tcW w:w="3213" w:type="dxa"/>
            <w:shd w:val="clear" w:color="auto" w:fill="FFFFFF" w:themeFill="background1"/>
            <w:vAlign w:val="center"/>
          </w:tcPr>
          <w:p w14:paraId="400F8387" w14:textId="77777777" w:rsidR="00632E5B" w:rsidRDefault="00632E5B">
            <w:pPr>
              <w:spacing w:line="240" w:lineRule="exact"/>
              <w:jc w:val="right"/>
              <w:rPr>
                <w:rFonts w:ascii="宋体" w:eastAsia="宋体" w:hAnsi="宋体" w:cs="宋体" w:hint="eastAsia"/>
                <w:sz w:val="18"/>
                <w:szCs w:val="18"/>
              </w:rPr>
            </w:pPr>
          </w:p>
        </w:tc>
      </w:tr>
      <w:tr w:rsidR="00632E5B" w14:paraId="14FFFA64" w14:textId="77777777" w:rsidTr="00DD2081">
        <w:trPr>
          <w:trHeight w:val="240"/>
        </w:trPr>
        <w:tc>
          <w:tcPr>
            <w:tcW w:w="3213" w:type="dxa"/>
            <w:shd w:val="clear" w:color="auto" w:fill="FFFFFF" w:themeFill="background1"/>
            <w:vAlign w:val="center"/>
          </w:tcPr>
          <w:p w14:paraId="5D96BD2F"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债务重组收益</w:t>
            </w:r>
          </w:p>
        </w:tc>
        <w:tc>
          <w:tcPr>
            <w:tcW w:w="3213" w:type="dxa"/>
            <w:shd w:val="clear" w:color="auto" w:fill="FFFFFF" w:themeFill="background1"/>
            <w:vAlign w:val="center"/>
          </w:tcPr>
          <w:p w14:paraId="7AE49C7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1,725,782,224.49</w:t>
            </w:r>
          </w:p>
        </w:tc>
        <w:tc>
          <w:tcPr>
            <w:tcW w:w="3213" w:type="dxa"/>
            <w:shd w:val="clear" w:color="auto" w:fill="FFFFFF" w:themeFill="background1"/>
            <w:vAlign w:val="center"/>
          </w:tcPr>
          <w:p w14:paraId="2F52C29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3,143,687.73</w:t>
            </w:r>
          </w:p>
        </w:tc>
      </w:tr>
      <w:tr w:rsidR="00632E5B" w14:paraId="57BEA210" w14:textId="77777777" w:rsidTr="00DD2081">
        <w:trPr>
          <w:trHeight w:val="240"/>
        </w:trPr>
        <w:tc>
          <w:tcPr>
            <w:tcW w:w="3213" w:type="dxa"/>
            <w:shd w:val="clear" w:color="auto" w:fill="FFFFFF" w:themeFill="background1"/>
            <w:vAlign w:val="center"/>
          </w:tcPr>
          <w:p w14:paraId="3B35988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应收票据贴现</w:t>
            </w:r>
          </w:p>
        </w:tc>
        <w:tc>
          <w:tcPr>
            <w:tcW w:w="3213" w:type="dxa"/>
            <w:shd w:val="clear" w:color="auto" w:fill="FFFFFF" w:themeFill="background1"/>
            <w:vAlign w:val="center"/>
          </w:tcPr>
          <w:p w14:paraId="1228865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-326,396.13</w:t>
            </w:r>
          </w:p>
        </w:tc>
        <w:tc>
          <w:tcPr>
            <w:tcW w:w="3213" w:type="dxa"/>
            <w:shd w:val="clear" w:color="auto" w:fill="FFFFFF" w:themeFill="background1"/>
            <w:vAlign w:val="center"/>
          </w:tcPr>
          <w:p w14:paraId="37B5E27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-838,345.30</w:t>
            </w:r>
          </w:p>
        </w:tc>
      </w:tr>
      <w:tr w:rsidR="00632E5B" w14:paraId="74F01100" w14:textId="77777777" w:rsidTr="00DD2081">
        <w:trPr>
          <w:trHeight w:val="240"/>
        </w:trPr>
        <w:tc>
          <w:tcPr>
            <w:tcW w:w="3213" w:type="dxa"/>
            <w:shd w:val="clear" w:color="auto" w:fill="FFFFFF" w:themeFill="background1"/>
            <w:vAlign w:val="center"/>
          </w:tcPr>
          <w:p w14:paraId="475C12AF"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3245995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1,734,202,998.35</w:t>
            </w:r>
          </w:p>
        </w:tc>
        <w:tc>
          <w:tcPr>
            <w:tcW w:w="3213" w:type="dxa"/>
            <w:shd w:val="clear" w:color="auto" w:fill="FFFFFF" w:themeFill="background1"/>
            <w:vAlign w:val="center"/>
          </w:tcPr>
          <w:p w14:paraId="3319842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2,186,604.69</w:t>
            </w:r>
          </w:p>
        </w:tc>
      </w:tr>
    </w:tbl>
    <w:p w14:paraId="29E82AEF" w14:textId="77777777" w:rsidR="00632E5B" w:rsidRDefault="00107901">
      <w:pPr>
        <w:pStyle w:val="3"/>
        <w:spacing w:line="280" w:lineRule="exact"/>
        <w:jc w:val="left"/>
        <w:rPr>
          <w:rFonts w:ascii="宋体" w:hAnsi="宋体" w:cs="宋体" w:hint="eastAsia"/>
          <w:b/>
          <w:bCs/>
        </w:rPr>
      </w:pPr>
      <w:bookmarkStart w:id="319" w:name="_Toc989205"/>
      <w:r>
        <w:rPr>
          <w:rFonts w:ascii="宋体" w:hAnsi="宋体" w:cs="宋体"/>
          <w:b/>
          <w:bCs/>
        </w:rPr>
        <w:lastRenderedPageBreak/>
        <w:t>52、信用减值损失</w:t>
      </w:r>
      <w:bookmarkEnd w:id="319"/>
    </w:p>
    <w:p w14:paraId="4AC3D30A"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7DE13349" w14:textId="77777777" w:rsidTr="00DD2081">
        <w:trPr>
          <w:trHeight w:val="240"/>
        </w:trPr>
        <w:tc>
          <w:tcPr>
            <w:tcW w:w="3213" w:type="dxa"/>
            <w:shd w:val="clear" w:color="auto" w:fill="FFFFFF" w:themeFill="background1"/>
            <w:vAlign w:val="center"/>
          </w:tcPr>
          <w:p w14:paraId="5583F3A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422769B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auto" w:fill="FFFFFF" w:themeFill="background1"/>
            <w:vAlign w:val="center"/>
          </w:tcPr>
          <w:p w14:paraId="7D10859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632E5B" w14:paraId="0583C694" w14:textId="77777777" w:rsidTr="00DD2081">
        <w:trPr>
          <w:trHeight w:val="240"/>
        </w:trPr>
        <w:tc>
          <w:tcPr>
            <w:tcW w:w="3213" w:type="dxa"/>
            <w:shd w:val="clear" w:color="auto" w:fill="FFFFFF" w:themeFill="background1"/>
            <w:vAlign w:val="center"/>
          </w:tcPr>
          <w:p w14:paraId="4379847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应收票据坏账损失</w:t>
            </w:r>
          </w:p>
        </w:tc>
        <w:tc>
          <w:tcPr>
            <w:tcW w:w="3213" w:type="dxa"/>
            <w:shd w:val="clear" w:color="auto" w:fill="FFFFFF" w:themeFill="background1"/>
            <w:vAlign w:val="center"/>
          </w:tcPr>
          <w:p w14:paraId="27DB6FF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537,346.86</w:t>
            </w:r>
          </w:p>
        </w:tc>
        <w:tc>
          <w:tcPr>
            <w:tcW w:w="3213" w:type="dxa"/>
            <w:shd w:val="clear" w:color="auto" w:fill="FFFFFF" w:themeFill="background1"/>
            <w:vAlign w:val="center"/>
          </w:tcPr>
          <w:p w14:paraId="2863536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-139,556.88</w:t>
            </w:r>
          </w:p>
        </w:tc>
      </w:tr>
      <w:tr w:rsidR="00632E5B" w14:paraId="2FD6ABAA" w14:textId="77777777" w:rsidTr="00DD2081">
        <w:trPr>
          <w:trHeight w:val="240"/>
        </w:trPr>
        <w:tc>
          <w:tcPr>
            <w:tcW w:w="3213" w:type="dxa"/>
            <w:shd w:val="clear" w:color="auto" w:fill="FFFFFF" w:themeFill="background1"/>
            <w:vAlign w:val="center"/>
          </w:tcPr>
          <w:p w14:paraId="2B65D0AB"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应收账款坏账损失</w:t>
            </w:r>
          </w:p>
        </w:tc>
        <w:tc>
          <w:tcPr>
            <w:tcW w:w="3213" w:type="dxa"/>
            <w:shd w:val="clear" w:color="auto" w:fill="FFFFFF" w:themeFill="background1"/>
            <w:vAlign w:val="center"/>
          </w:tcPr>
          <w:p w14:paraId="7C02ECB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-320,473,131.62</w:t>
            </w:r>
          </w:p>
        </w:tc>
        <w:tc>
          <w:tcPr>
            <w:tcW w:w="3213" w:type="dxa"/>
            <w:shd w:val="clear" w:color="auto" w:fill="FFFFFF" w:themeFill="background1"/>
            <w:vAlign w:val="center"/>
          </w:tcPr>
          <w:p w14:paraId="1740E67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30,960,243.60</w:t>
            </w:r>
          </w:p>
        </w:tc>
      </w:tr>
      <w:tr w:rsidR="00632E5B" w14:paraId="73682507" w14:textId="77777777" w:rsidTr="00DD2081">
        <w:trPr>
          <w:trHeight w:val="240"/>
        </w:trPr>
        <w:tc>
          <w:tcPr>
            <w:tcW w:w="3213" w:type="dxa"/>
            <w:shd w:val="clear" w:color="auto" w:fill="FFFFFF" w:themeFill="background1"/>
            <w:vAlign w:val="center"/>
          </w:tcPr>
          <w:p w14:paraId="59846E53"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其他应收款坏账损失</w:t>
            </w:r>
          </w:p>
        </w:tc>
        <w:tc>
          <w:tcPr>
            <w:tcW w:w="3213" w:type="dxa"/>
            <w:shd w:val="clear" w:color="auto" w:fill="FFFFFF" w:themeFill="background1"/>
            <w:vAlign w:val="center"/>
          </w:tcPr>
          <w:p w14:paraId="488950A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-242,588,198.00</w:t>
            </w:r>
          </w:p>
        </w:tc>
        <w:tc>
          <w:tcPr>
            <w:tcW w:w="3213" w:type="dxa"/>
            <w:shd w:val="clear" w:color="auto" w:fill="FFFFFF" w:themeFill="background1"/>
            <w:vAlign w:val="center"/>
          </w:tcPr>
          <w:p w14:paraId="56E6E83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-711,770,711.33</w:t>
            </w:r>
          </w:p>
        </w:tc>
      </w:tr>
      <w:tr w:rsidR="00632E5B" w14:paraId="04BCFDFF" w14:textId="77777777" w:rsidTr="00DD2081">
        <w:trPr>
          <w:trHeight w:val="240"/>
        </w:trPr>
        <w:tc>
          <w:tcPr>
            <w:tcW w:w="3213" w:type="dxa"/>
            <w:shd w:val="clear" w:color="auto" w:fill="FFFFFF" w:themeFill="background1"/>
            <w:vAlign w:val="center"/>
          </w:tcPr>
          <w:p w14:paraId="7D617892"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1F5B832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-562,523,982.76</w:t>
            </w:r>
          </w:p>
        </w:tc>
        <w:tc>
          <w:tcPr>
            <w:tcW w:w="3213" w:type="dxa"/>
            <w:shd w:val="clear" w:color="auto" w:fill="FFFFFF" w:themeFill="background1"/>
            <w:vAlign w:val="center"/>
          </w:tcPr>
          <w:p w14:paraId="14C2803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-680,950,024.61</w:t>
            </w:r>
          </w:p>
        </w:tc>
      </w:tr>
    </w:tbl>
    <w:p w14:paraId="1394126D" w14:textId="77777777" w:rsidR="00632E5B" w:rsidRDefault="00107901">
      <w:pPr>
        <w:pStyle w:val="3"/>
        <w:spacing w:line="280" w:lineRule="exact"/>
        <w:jc w:val="left"/>
        <w:rPr>
          <w:rFonts w:ascii="宋体" w:hAnsi="宋体" w:cs="宋体" w:hint="eastAsia"/>
          <w:b/>
          <w:bCs/>
        </w:rPr>
      </w:pPr>
      <w:bookmarkStart w:id="320" w:name="_Toc989206"/>
      <w:r>
        <w:rPr>
          <w:rFonts w:ascii="宋体" w:hAnsi="宋体" w:cs="宋体"/>
          <w:b/>
          <w:bCs/>
        </w:rPr>
        <w:t>53、资产减值损失</w:t>
      </w:r>
      <w:bookmarkEnd w:id="320"/>
    </w:p>
    <w:p w14:paraId="32939699"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3663908E" w14:textId="77777777" w:rsidTr="00DD2081">
        <w:trPr>
          <w:trHeight w:val="240"/>
        </w:trPr>
        <w:tc>
          <w:tcPr>
            <w:tcW w:w="3213" w:type="dxa"/>
            <w:shd w:val="clear" w:color="auto" w:fill="FFFFFF" w:themeFill="background1"/>
            <w:vAlign w:val="center"/>
          </w:tcPr>
          <w:p w14:paraId="63052B7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58627EA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auto" w:fill="FFFFFF" w:themeFill="background1"/>
            <w:vAlign w:val="center"/>
          </w:tcPr>
          <w:p w14:paraId="55A1AC8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632E5B" w14:paraId="289B7BE0" w14:textId="77777777" w:rsidTr="00DD2081">
        <w:trPr>
          <w:trHeight w:val="240"/>
        </w:trPr>
        <w:tc>
          <w:tcPr>
            <w:tcW w:w="3213" w:type="dxa"/>
            <w:shd w:val="clear" w:color="auto" w:fill="FFFFFF" w:themeFill="background1"/>
            <w:vAlign w:val="center"/>
          </w:tcPr>
          <w:p w14:paraId="24AD5A33"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一、存货跌价损失及合同履约成本减值损失</w:t>
            </w:r>
          </w:p>
        </w:tc>
        <w:tc>
          <w:tcPr>
            <w:tcW w:w="3213" w:type="dxa"/>
            <w:shd w:val="clear" w:color="auto" w:fill="FFFFFF" w:themeFill="background1"/>
            <w:vAlign w:val="center"/>
          </w:tcPr>
          <w:p w14:paraId="296A1C5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-97,305,064.45</w:t>
            </w:r>
          </w:p>
        </w:tc>
        <w:tc>
          <w:tcPr>
            <w:tcW w:w="3213" w:type="dxa"/>
            <w:shd w:val="clear" w:color="auto" w:fill="FFFFFF" w:themeFill="background1"/>
            <w:vAlign w:val="center"/>
          </w:tcPr>
          <w:p w14:paraId="66CEDA5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-19,779,218.52</w:t>
            </w:r>
          </w:p>
        </w:tc>
      </w:tr>
      <w:tr w:rsidR="00632E5B" w14:paraId="28AFB830" w14:textId="77777777" w:rsidTr="00DD2081">
        <w:trPr>
          <w:trHeight w:val="240"/>
        </w:trPr>
        <w:tc>
          <w:tcPr>
            <w:tcW w:w="3213" w:type="dxa"/>
            <w:shd w:val="clear" w:color="auto" w:fill="FFFFFF" w:themeFill="background1"/>
            <w:vAlign w:val="center"/>
          </w:tcPr>
          <w:p w14:paraId="6FEBF74B"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二、长期股权投资减值损失</w:t>
            </w:r>
          </w:p>
        </w:tc>
        <w:tc>
          <w:tcPr>
            <w:tcW w:w="3213" w:type="dxa"/>
            <w:shd w:val="clear" w:color="auto" w:fill="FFFFFF" w:themeFill="background1"/>
            <w:vAlign w:val="center"/>
          </w:tcPr>
          <w:p w14:paraId="4A7AFDE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-13,918,066.11</w:t>
            </w:r>
          </w:p>
        </w:tc>
        <w:tc>
          <w:tcPr>
            <w:tcW w:w="3213" w:type="dxa"/>
            <w:shd w:val="clear" w:color="auto" w:fill="FFFFFF" w:themeFill="background1"/>
            <w:vAlign w:val="center"/>
          </w:tcPr>
          <w:p w14:paraId="6B6BFC02" w14:textId="77777777" w:rsidR="00632E5B" w:rsidRDefault="00632E5B">
            <w:pPr>
              <w:spacing w:line="240" w:lineRule="exact"/>
              <w:jc w:val="right"/>
              <w:rPr>
                <w:rFonts w:ascii="宋体" w:eastAsia="宋体" w:hAnsi="宋体" w:cs="宋体" w:hint="eastAsia"/>
                <w:sz w:val="18"/>
                <w:szCs w:val="18"/>
              </w:rPr>
            </w:pPr>
          </w:p>
        </w:tc>
      </w:tr>
      <w:tr w:rsidR="00632E5B" w14:paraId="32FAE6E6" w14:textId="77777777" w:rsidTr="00DD2081">
        <w:trPr>
          <w:trHeight w:val="240"/>
        </w:trPr>
        <w:tc>
          <w:tcPr>
            <w:tcW w:w="3213" w:type="dxa"/>
            <w:shd w:val="clear" w:color="auto" w:fill="FFFFFF" w:themeFill="background1"/>
            <w:vAlign w:val="center"/>
          </w:tcPr>
          <w:p w14:paraId="7839CCCC"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四、固定资产减值损失</w:t>
            </w:r>
          </w:p>
        </w:tc>
        <w:tc>
          <w:tcPr>
            <w:tcW w:w="3213" w:type="dxa"/>
            <w:shd w:val="clear" w:color="auto" w:fill="FFFFFF" w:themeFill="background1"/>
            <w:vAlign w:val="center"/>
          </w:tcPr>
          <w:p w14:paraId="5C72934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-562,852,216.35</w:t>
            </w:r>
          </w:p>
        </w:tc>
        <w:tc>
          <w:tcPr>
            <w:tcW w:w="3213" w:type="dxa"/>
            <w:shd w:val="clear" w:color="auto" w:fill="FFFFFF" w:themeFill="background1"/>
            <w:vAlign w:val="center"/>
          </w:tcPr>
          <w:p w14:paraId="3288539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-69,165,280.49</w:t>
            </w:r>
          </w:p>
        </w:tc>
      </w:tr>
      <w:tr w:rsidR="00632E5B" w14:paraId="30C09C1D" w14:textId="77777777" w:rsidTr="00DD2081">
        <w:trPr>
          <w:trHeight w:val="240"/>
        </w:trPr>
        <w:tc>
          <w:tcPr>
            <w:tcW w:w="3213" w:type="dxa"/>
            <w:shd w:val="clear" w:color="auto" w:fill="FFFFFF" w:themeFill="background1"/>
            <w:vAlign w:val="center"/>
          </w:tcPr>
          <w:p w14:paraId="5E78DDB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六、在建工程减值损失</w:t>
            </w:r>
          </w:p>
        </w:tc>
        <w:tc>
          <w:tcPr>
            <w:tcW w:w="3213" w:type="dxa"/>
            <w:shd w:val="clear" w:color="auto" w:fill="FFFFFF" w:themeFill="background1"/>
            <w:vAlign w:val="center"/>
          </w:tcPr>
          <w:p w14:paraId="5DDFBA3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-215,813,592.13</w:t>
            </w:r>
          </w:p>
        </w:tc>
        <w:tc>
          <w:tcPr>
            <w:tcW w:w="3213" w:type="dxa"/>
            <w:shd w:val="clear" w:color="auto" w:fill="FFFFFF" w:themeFill="background1"/>
            <w:vAlign w:val="center"/>
          </w:tcPr>
          <w:p w14:paraId="6AF76A94" w14:textId="77777777" w:rsidR="00632E5B" w:rsidRDefault="00632E5B">
            <w:pPr>
              <w:spacing w:line="240" w:lineRule="exact"/>
              <w:jc w:val="right"/>
              <w:rPr>
                <w:rFonts w:ascii="宋体" w:eastAsia="宋体" w:hAnsi="宋体" w:cs="宋体" w:hint="eastAsia"/>
                <w:sz w:val="18"/>
                <w:szCs w:val="18"/>
              </w:rPr>
            </w:pPr>
          </w:p>
        </w:tc>
      </w:tr>
      <w:tr w:rsidR="00632E5B" w14:paraId="598A6FC9" w14:textId="77777777" w:rsidTr="00DD2081">
        <w:trPr>
          <w:trHeight w:val="240"/>
        </w:trPr>
        <w:tc>
          <w:tcPr>
            <w:tcW w:w="3213" w:type="dxa"/>
            <w:shd w:val="clear" w:color="auto" w:fill="FFFFFF" w:themeFill="background1"/>
            <w:vAlign w:val="center"/>
          </w:tcPr>
          <w:p w14:paraId="6831D12F"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5A32F14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-889,888,939.04</w:t>
            </w:r>
          </w:p>
        </w:tc>
        <w:tc>
          <w:tcPr>
            <w:tcW w:w="3213" w:type="dxa"/>
            <w:shd w:val="clear" w:color="auto" w:fill="FFFFFF" w:themeFill="background1"/>
            <w:vAlign w:val="center"/>
          </w:tcPr>
          <w:p w14:paraId="6F60397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-88,944,499.01</w:t>
            </w:r>
          </w:p>
        </w:tc>
      </w:tr>
    </w:tbl>
    <w:p w14:paraId="46FBA470" w14:textId="77777777" w:rsidR="00632E5B" w:rsidRDefault="00107901">
      <w:pPr>
        <w:pStyle w:val="3"/>
        <w:spacing w:line="280" w:lineRule="exact"/>
        <w:jc w:val="left"/>
        <w:rPr>
          <w:rFonts w:ascii="宋体" w:hAnsi="宋体" w:cs="宋体" w:hint="eastAsia"/>
          <w:b/>
          <w:bCs/>
        </w:rPr>
      </w:pPr>
      <w:bookmarkStart w:id="321" w:name="_Toc989207"/>
      <w:r>
        <w:rPr>
          <w:rFonts w:ascii="宋体" w:hAnsi="宋体" w:cs="宋体"/>
          <w:b/>
          <w:bCs/>
        </w:rPr>
        <w:t>54、资产处置收益</w:t>
      </w:r>
      <w:bookmarkEnd w:id="321"/>
    </w:p>
    <w:p w14:paraId="3EE028D1"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2AB72F63" w14:textId="77777777" w:rsidTr="00DD2081">
        <w:trPr>
          <w:trHeight w:val="240"/>
        </w:trPr>
        <w:tc>
          <w:tcPr>
            <w:tcW w:w="3213" w:type="dxa"/>
            <w:shd w:val="clear" w:color="auto" w:fill="FFFFFF" w:themeFill="background1"/>
            <w:vAlign w:val="center"/>
          </w:tcPr>
          <w:p w14:paraId="388AA26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资产处置收益的来源</w:t>
            </w:r>
          </w:p>
        </w:tc>
        <w:tc>
          <w:tcPr>
            <w:tcW w:w="3213" w:type="dxa"/>
            <w:shd w:val="clear" w:color="auto" w:fill="FFFFFF" w:themeFill="background1"/>
            <w:vAlign w:val="center"/>
          </w:tcPr>
          <w:p w14:paraId="398455E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auto" w:fill="FFFFFF" w:themeFill="background1"/>
            <w:vAlign w:val="center"/>
          </w:tcPr>
          <w:p w14:paraId="24DF6F2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632E5B" w14:paraId="0A95B254" w14:textId="77777777" w:rsidTr="00DD2081">
        <w:trPr>
          <w:trHeight w:val="240"/>
        </w:trPr>
        <w:tc>
          <w:tcPr>
            <w:tcW w:w="3213" w:type="dxa"/>
            <w:shd w:val="clear" w:color="auto" w:fill="FFFFFF" w:themeFill="background1"/>
            <w:vAlign w:val="center"/>
          </w:tcPr>
          <w:p w14:paraId="50A1C01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处置使用权资产利得或损失</w:t>
            </w:r>
          </w:p>
        </w:tc>
        <w:tc>
          <w:tcPr>
            <w:tcW w:w="3213" w:type="dxa"/>
            <w:shd w:val="clear" w:color="auto" w:fill="FFFFFF" w:themeFill="background1"/>
            <w:vAlign w:val="center"/>
          </w:tcPr>
          <w:p w14:paraId="6853AF29" w14:textId="77777777" w:rsidR="00632E5B" w:rsidRDefault="00632E5B">
            <w:pPr>
              <w:spacing w:line="240" w:lineRule="exact"/>
              <w:jc w:val="right"/>
              <w:rPr>
                <w:rFonts w:ascii="宋体" w:eastAsia="宋体" w:hAnsi="宋体" w:cs="宋体" w:hint="eastAsia"/>
                <w:sz w:val="18"/>
                <w:szCs w:val="18"/>
              </w:rPr>
            </w:pPr>
          </w:p>
        </w:tc>
        <w:tc>
          <w:tcPr>
            <w:tcW w:w="3213" w:type="dxa"/>
            <w:shd w:val="clear" w:color="auto" w:fill="FFFFFF" w:themeFill="background1"/>
            <w:vAlign w:val="center"/>
          </w:tcPr>
          <w:p w14:paraId="6D73B28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2,469,536.34</w:t>
            </w:r>
          </w:p>
        </w:tc>
      </w:tr>
      <w:tr w:rsidR="00632E5B" w14:paraId="391E6913" w14:textId="77777777" w:rsidTr="00DD2081">
        <w:trPr>
          <w:trHeight w:val="240"/>
        </w:trPr>
        <w:tc>
          <w:tcPr>
            <w:tcW w:w="3213" w:type="dxa"/>
            <w:shd w:val="clear" w:color="auto" w:fill="FFFFFF" w:themeFill="background1"/>
            <w:vAlign w:val="center"/>
          </w:tcPr>
          <w:p w14:paraId="2BE6F19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固定资产处置利得或损失</w:t>
            </w:r>
          </w:p>
        </w:tc>
        <w:tc>
          <w:tcPr>
            <w:tcW w:w="3213" w:type="dxa"/>
            <w:shd w:val="clear" w:color="auto" w:fill="FFFFFF" w:themeFill="background1"/>
            <w:vAlign w:val="center"/>
          </w:tcPr>
          <w:p w14:paraId="55CF2D1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3,255,983.03</w:t>
            </w:r>
          </w:p>
        </w:tc>
        <w:tc>
          <w:tcPr>
            <w:tcW w:w="3213" w:type="dxa"/>
            <w:shd w:val="clear" w:color="auto" w:fill="FFFFFF" w:themeFill="background1"/>
            <w:vAlign w:val="center"/>
          </w:tcPr>
          <w:p w14:paraId="080168C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5,616,170.80</w:t>
            </w:r>
          </w:p>
        </w:tc>
      </w:tr>
      <w:tr w:rsidR="00632E5B" w14:paraId="0437F5B5" w14:textId="77777777" w:rsidTr="00DD2081">
        <w:trPr>
          <w:trHeight w:val="240"/>
        </w:trPr>
        <w:tc>
          <w:tcPr>
            <w:tcW w:w="3213" w:type="dxa"/>
            <w:shd w:val="clear" w:color="auto" w:fill="FFFFFF" w:themeFill="background1"/>
            <w:vAlign w:val="center"/>
          </w:tcPr>
          <w:p w14:paraId="5EB1C74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在建工程处置利得或损失</w:t>
            </w:r>
          </w:p>
        </w:tc>
        <w:tc>
          <w:tcPr>
            <w:tcW w:w="3213" w:type="dxa"/>
            <w:shd w:val="clear" w:color="auto" w:fill="FFFFFF" w:themeFill="background1"/>
            <w:vAlign w:val="center"/>
          </w:tcPr>
          <w:p w14:paraId="65360225" w14:textId="77777777" w:rsidR="00632E5B" w:rsidRDefault="00632E5B">
            <w:pPr>
              <w:spacing w:line="240" w:lineRule="exact"/>
              <w:jc w:val="right"/>
              <w:rPr>
                <w:rFonts w:ascii="宋体" w:eastAsia="宋体" w:hAnsi="宋体" w:cs="宋体" w:hint="eastAsia"/>
                <w:sz w:val="18"/>
                <w:szCs w:val="18"/>
              </w:rPr>
            </w:pPr>
          </w:p>
        </w:tc>
        <w:tc>
          <w:tcPr>
            <w:tcW w:w="3213" w:type="dxa"/>
            <w:shd w:val="clear" w:color="auto" w:fill="FFFFFF" w:themeFill="background1"/>
            <w:vAlign w:val="center"/>
          </w:tcPr>
          <w:p w14:paraId="63FD371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-311,292.02</w:t>
            </w:r>
          </w:p>
        </w:tc>
      </w:tr>
      <w:tr w:rsidR="00632E5B" w14:paraId="4BA7A6A6" w14:textId="77777777" w:rsidTr="00DD2081">
        <w:trPr>
          <w:trHeight w:val="240"/>
        </w:trPr>
        <w:tc>
          <w:tcPr>
            <w:tcW w:w="3213" w:type="dxa"/>
            <w:shd w:val="clear" w:color="auto" w:fill="FFFFFF" w:themeFill="background1"/>
            <w:vAlign w:val="center"/>
          </w:tcPr>
          <w:p w14:paraId="71D9CDA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无形资产处置利得或损失</w:t>
            </w:r>
          </w:p>
        </w:tc>
        <w:tc>
          <w:tcPr>
            <w:tcW w:w="3213" w:type="dxa"/>
            <w:shd w:val="clear" w:color="auto" w:fill="FFFFFF" w:themeFill="background1"/>
            <w:vAlign w:val="center"/>
          </w:tcPr>
          <w:p w14:paraId="4BB2B87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-23,982.20</w:t>
            </w:r>
          </w:p>
        </w:tc>
        <w:tc>
          <w:tcPr>
            <w:tcW w:w="3213" w:type="dxa"/>
            <w:shd w:val="clear" w:color="auto" w:fill="FFFFFF" w:themeFill="background1"/>
            <w:vAlign w:val="center"/>
          </w:tcPr>
          <w:p w14:paraId="225C57F9" w14:textId="77777777" w:rsidR="00632E5B" w:rsidRDefault="00632E5B">
            <w:pPr>
              <w:spacing w:line="240" w:lineRule="exact"/>
              <w:jc w:val="right"/>
              <w:rPr>
                <w:rFonts w:ascii="宋体" w:eastAsia="宋体" w:hAnsi="宋体" w:cs="宋体" w:hint="eastAsia"/>
                <w:sz w:val="18"/>
                <w:szCs w:val="18"/>
              </w:rPr>
            </w:pPr>
          </w:p>
        </w:tc>
      </w:tr>
      <w:tr w:rsidR="00632E5B" w14:paraId="3D35DFD3" w14:textId="77777777" w:rsidTr="00DD2081">
        <w:trPr>
          <w:trHeight w:val="240"/>
        </w:trPr>
        <w:tc>
          <w:tcPr>
            <w:tcW w:w="3213" w:type="dxa"/>
            <w:shd w:val="clear" w:color="auto" w:fill="FFFFFF" w:themeFill="background1"/>
            <w:vAlign w:val="center"/>
          </w:tcPr>
          <w:p w14:paraId="79B11B2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1A6C644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3,232,000.83</w:t>
            </w:r>
          </w:p>
        </w:tc>
        <w:tc>
          <w:tcPr>
            <w:tcW w:w="3213" w:type="dxa"/>
            <w:shd w:val="clear" w:color="auto" w:fill="FFFFFF" w:themeFill="background1"/>
            <w:vAlign w:val="center"/>
          </w:tcPr>
          <w:p w14:paraId="4B4F532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7,774,415.12</w:t>
            </w:r>
          </w:p>
        </w:tc>
      </w:tr>
    </w:tbl>
    <w:p w14:paraId="56D887A1" w14:textId="77777777" w:rsidR="00632E5B" w:rsidRDefault="00107901">
      <w:pPr>
        <w:pStyle w:val="3"/>
        <w:spacing w:line="280" w:lineRule="exact"/>
        <w:jc w:val="left"/>
        <w:rPr>
          <w:rFonts w:ascii="宋体" w:hAnsi="宋体" w:cs="宋体" w:hint="eastAsia"/>
          <w:b/>
          <w:bCs/>
        </w:rPr>
      </w:pPr>
      <w:bookmarkStart w:id="322" w:name="_Toc989208"/>
      <w:r>
        <w:rPr>
          <w:rFonts w:ascii="宋体" w:hAnsi="宋体" w:cs="宋体"/>
          <w:b/>
          <w:bCs/>
        </w:rPr>
        <w:t>55、营业外收入</w:t>
      </w:r>
      <w:bookmarkEnd w:id="322"/>
    </w:p>
    <w:p w14:paraId="4BD80D7E"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2409"/>
        <w:gridCol w:w="2410"/>
        <w:gridCol w:w="2410"/>
        <w:gridCol w:w="2410"/>
      </w:tblGrid>
      <w:tr w:rsidR="00632E5B" w14:paraId="7EE7F071" w14:textId="77777777" w:rsidTr="00DD2081">
        <w:trPr>
          <w:trHeight w:val="240"/>
        </w:trPr>
        <w:tc>
          <w:tcPr>
            <w:tcW w:w="2410" w:type="dxa"/>
            <w:shd w:val="clear" w:color="auto" w:fill="FFFFFF" w:themeFill="background1"/>
            <w:vAlign w:val="center"/>
          </w:tcPr>
          <w:p w14:paraId="3A8A8B1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2410" w:type="dxa"/>
            <w:shd w:val="clear" w:color="auto" w:fill="FFFFFF" w:themeFill="background1"/>
            <w:vAlign w:val="center"/>
          </w:tcPr>
          <w:p w14:paraId="7006D5E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2410" w:type="dxa"/>
            <w:shd w:val="clear" w:color="auto" w:fill="FFFFFF" w:themeFill="background1"/>
            <w:vAlign w:val="center"/>
          </w:tcPr>
          <w:p w14:paraId="51491C5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c>
          <w:tcPr>
            <w:tcW w:w="2410" w:type="dxa"/>
            <w:shd w:val="clear" w:color="auto" w:fill="FFFFFF" w:themeFill="background1"/>
            <w:vAlign w:val="center"/>
          </w:tcPr>
          <w:p w14:paraId="7CD1279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计入当期非经常性损益的金额</w:t>
            </w:r>
          </w:p>
        </w:tc>
      </w:tr>
      <w:tr w:rsidR="00632E5B" w14:paraId="6A6A2C50" w14:textId="77777777" w:rsidTr="00DD2081">
        <w:trPr>
          <w:trHeight w:val="240"/>
        </w:trPr>
        <w:tc>
          <w:tcPr>
            <w:tcW w:w="2410" w:type="dxa"/>
            <w:shd w:val="clear" w:color="auto" w:fill="FFFFFF" w:themeFill="background1"/>
            <w:vAlign w:val="center"/>
          </w:tcPr>
          <w:p w14:paraId="2300082D"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政府补助</w:t>
            </w:r>
          </w:p>
        </w:tc>
        <w:tc>
          <w:tcPr>
            <w:tcW w:w="2410" w:type="dxa"/>
            <w:shd w:val="clear" w:color="auto" w:fill="FFFFFF" w:themeFill="background1"/>
            <w:vAlign w:val="center"/>
          </w:tcPr>
          <w:p w14:paraId="53467A3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2,534,550.00</w:t>
            </w:r>
          </w:p>
        </w:tc>
        <w:tc>
          <w:tcPr>
            <w:tcW w:w="2410" w:type="dxa"/>
            <w:shd w:val="clear" w:color="auto" w:fill="FFFFFF" w:themeFill="background1"/>
            <w:vAlign w:val="center"/>
          </w:tcPr>
          <w:p w14:paraId="51CA8D7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4,138,763.00</w:t>
            </w:r>
          </w:p>
        </w:tc>
        <w:tc>
          <w:tcPr>
            <w:tcW w:w="2410" w:type="dxa"/>
            <w:shd w:val="clear" w:color="auto" w:fill="FFFFFF" w:themeFill="background1"/>
            <w:vAlign w:val="center"/>
          </w:tcPr>
          <w:p w14:paraId="62A18B4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2,534,550.00</w:t>
            </w:r>
          </w:p>
        </w:tc>
      </w:tr>
      <w:tr w:rsidR="00632E5B" w14:paraId="0D34F2BC" w14:textId="77777777" w:rsidTr="00DD2081">
        <w:trPr>
          <w:trHeight w:val="240"/>
        </w:trPr>
        <w:tc>
          <w:tcPr>
            <w:tcW w:w="2410" w:type="dxa"/>
            <w:shd w:val="clear" w:color="auto" w:fill="FFFFFF" w:themeFill="background1"/>
            <w:vAlign w:val="center"/>
          </w:tcPr>
          <w:p w14:paraId="0632F85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无需支付的款项</w:t>
            </w:r>
          </w:p>
        </w:tc>
        <w:tc>
          <w:tcPr>
            <w:tcW w:w="2410" w:type="dxa"/>
            <w:shd w:val="clear" w:color="auto" w:fill="FFFFFF" w:themeFill="background1"/>
            <w:vAlign w:val="center"/>
          </w:tcPr>
          <w:p w14:paraId="6C6EF8E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19,810,393.40</w:t>
            </w:r>
          </w:p>
        </w:tc>
        <w:tc>
          <w:tcPr>
            <w:tcW w:w="2410" w:type="dxa"/>
            <w:shd w:val="clear" w:color="auto" w:fill="FFFFFF" w:themeFill="background1"/>
            <w:vAlign w:val="center"/>
          </w:tcPr>
          <w:p w14:paraId="7850809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13,659,723.25</w:t>
            </w:r>
          </w:p>
        </w:tc>
        <w:tc>
          <w:tcPr>
            <w:tcW w:w="2410" w:type="dxa"/>
            <w:shd w:val="clear" w:color="auto" w:fill="FFFFFF" w:themeFill="background1"/>
            <w:vAlign w:val="center"/>
          </w:tcPr>
          <w:p w14:paraId="4361779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19,810,393.40</w:t>
            </w:r>
          </w:p>
        </w:tc>
      </w:tr>
      <w:tr w:rsidR="00632E5B" w14:paraId="5B1BD83C" w14:textId="77777777" w:rsidTr="00DD2081">
        <w:trPr>
          <w:trHeight w:val="240"/>
        </w:trPr>
        <w:tc>
          <w:tcPr>
            <w:tcW w:w="2410" w:type="dxa"/>
            <w:shd w:val="clear" w:color="auto" w:fill="FFFFFF" w:themeFill="background1"/>
            <w:vAlign w:val="center"/>
          </w:tcPr>
          <w:p w14:paraId="4350CFD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赔偿金收入</w:t>
            </w:r>
          </w:p>
        </w:tc>
        <w:tc>
          <w:tcPr>
            <w:tcW w:w="2410" w:type="dxa"/>
            <w:shd w:val="clear" w:color="auto" w:fill="FFFFFF" w:themeFill="background1"/>
            <w:vAlign w:val="center"/>
          </w:tcPr>
          <w:p w14:paraId="0E42582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2,288,154.66</w:t>
            </w:r>
          </w:p>
        </w:tc>
        <w:tc>
          <w:tcPr>
            <w:tcW w:w="2410" w:type="dxa"/>
            <w:shd w:val="clear" w:color="auto" w:fill="FFFFFF" w:themeFill="background1"/>
            <w:vAlign w:val="center"/>
          </w:tcPr>
          <w:p w14:paraId="223BA87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3,223,648.53</w:t>
            </w:r>
          </w:p>
        </w:tc>
        <w:tc>
          <w:tcPr>
            <w:tcW w:w="2410" w:type="dxa"/>
            <w:shd w:val="clear" w:color="auto" w:fill="FFFFFF" w:themeFill="background1"/>
            <w:vAlign w:val="center"/>
          </w:tcPr>
          <w:p w14:paraId="65BB3CE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2,288,154.66</w:t>
            </w:r>
          </w:p>
        </w:tc>
      </w:tr>
      <w:tr w:rsidR="00632E5B" w14:paraId="72EEFCBB" w14:textId="77777777" w:rsidTr="00DD2081">
        <w:trPr>
          <w:trHeight w:val="240"/>
        </w:trPr>
        <w:tc>
          <w:tcPr>
            <w:tcW w:w="2410" w:type="dxa"/>
            <w:shd w:val="clear" w:color="auto" w:fill="FFFFFF" w:themeFill="background1"/>
            <w:vAlign w:val="center"/>
          </w:tcPr>
          <w:p w14:paraId="564354B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罚款收入</w:t>
            </w:r>
          </w:p>
        </w:tc>
        <w:tc>
          <w:tcPr>
            <w:tcW w:w="2410" w:type="dxa"/>
            <w:shd w:val="clear" w:color="auto" w:fill="FFFFFF" w:themeFill="background1"/>
            <w:vAlign w:val="center"/>
          </w:tcPr>
          <w:p w14:paraId="7016691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700.00</w:t>
            </w:r>
          </w:p>
        </w:tc>
        <w:tc>
          <w:tcPr>
            <w:tcW w:w="2410" w:type="dxa"/>
            <w:shd w:val="clear" w:color="auto" w:fill="FFFFFF" w:themeFill="background1"/>
            <w:vAlign w:val="center"/>
          </w:tcPr>
          <w:p w14:paraId="26CA8B6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91,998.00</w:t>
            </w:r>
          </w:p>
        </w:tc>
        <w:tc>
          <w:tcPr>
            <w:tcW w:w="2410" w:type="dxa"/>
            <w:shd w:val="clear" w:color="auto" w:fill="FFFFFF" w:themeFill="background1"/>
            <w:vAlign w:val="center"/>
          </w:tcPr>
          <w:p w14:paraId="43536FA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700.00</w:t>
            </w:r>
          </w:p>
        </w:tc>
      </w:tr>
      <w:tr w:rsidR="00632E5B" w14:paraId="3A495FF4" w14:textId="77777777" w:rsidTr="00DD2081">
        <w:trPr>
          <w:trHeight w:val="240"/>
        </w:trPr>
        <w:tc>
          <w:tcPr>
            <w:tcW w:w="2410" w:type="dxa"/>
            <w:shd w:val="clear" w:color="auto" w:fill="FFFFFF" w:themeFill="background1"/>
            <w:vAlign w:val="center"/>
          </w:tcPr>
          <w:p w14:paraId="5562926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2410" w:type="dxa"/>
            <w:shd w:val="clear" w:color="auto" w:fill="FFFFFF" w:themeFill="background1"/>
            <w:vAlign w:val="center"/>
          </w:tcPr>
          <w:p w14:paraId="419899F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1,294,230.94</w:t>
            </w:r>
          </w:p>
        </w:tc>
        <w:tc>
          <w:tcPr>
            <w:tcW w:w="2410" w:type="dxa"/>
            <w:shd w:val="clear" w:color="auto" w:fill="FFFFFF" w:themeFill="background1"/>
            <w:vAlign w:val="center"/>
          </w:tcPr>
          <w:p w14:paraId="1656A8C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2,364,719.05</w:t>
            </w:r>
          </w:p>
        </w:tc>
        <w:tc>
          <w:tcPr>
            <w:tcW w:w="2410" w:type="dxa"/>
            <w:shd w:val="clear" w:color="auto" w:fill="FFFFFF" w:themeFill="background1"/>
            <w:vAlign w:val="center"/>
          </w:tcPr>
          <w:p w14:paraId="159618F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1,294,230.94</w:t>
            </w:r>
          </w:p>
        </w:tc>
      </w:tr>
      <w:tr w:rsidR="00632E5B" w14:paraId="3A918F77" w14:textId="77777777" w:rsidTr="00DD2081">
        <w:trPr>
          <w:trHeight w:val="240"/>
        </w:trPr>
        <w:tc>
          <w:tcPr>
            <w:tcW w:w="2410" w:type="dxa"/>
            <w:shd w:val="clear" w:color="auto" w:fill="FFFFFF" w:themeFill="background1"/>
            <w:vAlign w:val="center"/>
          </w:tcPr>
          <w:p w14:paraId="2BF2D667"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2410" w:type="dxa"/>
            <w:shd w:val="clear" w:color="auto" w:fill="FFFFFF" w:themeFill="background1"/>
            <w:vAlign w:val="center"/>
          </w:tcPr>
          <w:p w14:paraId="1E18013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25,928,029.00</w:t>
            </w:r>
          </w:p>
        </w:tc>
        <w:tc>
          <w:tcPr>
            <w:tcW w:w="2410" w:type="dxa"/>
            <w:shd w:val="clear" w:color="auto" w:fill="FFFFFF" w:themeFill="background1"/>
            <w:vAlign w:val="center"/>
          </w:tcPr>
          <w:p w14:paraId="19F26B2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23,478,851.83</w:t>
            </w:r>
          </w:p>
        </w:tc>
        <w:tc>
          <w:tcPr>
            <w:tcW w:w="2410" w:type="dxa"/>
            <w:shd w:val="clear" w:color="auto" w:fill="FFFFFF" w:themeFill="background1"/>
            <w:vAlign w:val="center"/>
          </w:tcPr>
          <w:p w14:paraId="0404788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25,928,029.00</w:t>
            </w:r>
          </w:p>
        </w:tc>
      </w:tr>
    </w:tbl>
    <w:p w14:paraId="15E63CE9" w14:textId="77777777" w:rsidR="00DD2081" w:rsidRDefault="00DD2081">
      <w:pPr>
        <w:pStyle w:val="3"/>
        <w:spacing w:line="280" w:lineRule="exact"/>
        <w:jc w:val="left"/>
        <w:rPr>
          <w:rFonts w:ascii="宋体" w:hAnsi="宋体" w:cs="宋体" w:hint="eastAsia"/>
          <w:b/>
          <w:bCs/>
        </w:rPr>
      </w:pPr>
      <w:bookmarkStart w:id="323" w:name="_Toc989209"/>
    </w:p>
    <w:p w14:paraId="004CD19F" w14:textId="77777777" w:rsidR="00DD2081" w:rsidRDefault="00DD2081">
      <w:pPr>
        <w:widowControl/>
        <w:rPr>
          <w:rFonts w:ascii="宋体" w:eastAsia="宋体" w:hAnsi="宋体" w:cs="宋体" w:hint="eastAsia"/>
          <w:b/>
          <w:bCs/>
          <w:szCs w:val="21"/>
        </w:rPr>
      </w:pPr>
      <w:r>
        <w:rPr>
          <w:rFonts w:ascii="宋体" w:hAnsi="宋体" w:cs="宋体" w:hint="eastAsia"/>
          <w:b/>
          <w:bCs/>
        </w:rPr>
        <w:br w:type="page"/>
      </w:r>
    </w:p>
    <w:p w14:paraId="0DCA9142" w14:textId="3CBB80E6" w:rsidR="00632E5B" w:rsidRDefault="00107901">
      <w:pPr>
        <w:pStyle w:val="3"/>
        <w:spacing w:line="280" w:lineRule="exact"/>
        <w:jc w:val="left"/>
        <w:rPr>
          <w:rFonts w:ascii="宋体" w:hAnsi="宋体" w:cs="宋体" w:hint="eastAsia"/>
          <w:b/>
          <w:bCs/>
        </w:rPr>
      </w:pPr>
      <w:r>
        <w:rPr>
          <w:rFonts w:ascii="宋体" w:hAnsi="宋体" w:cs="宋体"/>
          <w:b/>
          <w:bCs/>
        </w:rPr>
        <w:lastRenderedPageBreak/>
        <w:t>56、营业外支出</w:t>
      </w:r>
      <w:bookmarkEnd w:id="323"/>
    </w:p>
    <w:p w14:paraId="2F334CEC"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2409"/>
        <w:gridCol w:w="2410"/>
        <w:gridCol w:w="2410"/>
        <w:gridCol w:w="2410"/>
      </w:tblGrid>
      <w:tr w:rsidR="00632E5B" w14:paraId="26130CD3" w14:textId="77777777" w:rsidTr="00DD2081">
        <w:trPr>
          <w:trHeight w:val="240"/>
        </w:trPr>
        <w:tc>
          <w:tcPr>
            <w:tcW w:w="2410" w:type="dxa"/>
            <w:shd w:val="clear" w:color="auto" w:fill="FFFFFF" w:themeFill="background1"/>
            <w:vAlign w:val="center"/>
          </w:tcPr>
          <w:p w14:paraId="5E1AB93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2410" w:type="dxa"/>
            <w:shd w:val="clear" w:color="auto" w:fill="FFFFFF" w:themeFill="background1"/>
            <w:vAlign w:val="center"/>
          </w:tcPr>
          <w:p w14:paraId="423FAD9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2410" w:type="dxa"/>
            <w:shd w:val="clear" w:color="auto" w:fill="FFFFFF" w:themeFill="background1"/>
            <w:vAlign w:val="center"/>
          </w:tcPr>
          <w:p w14:paraId="1FF398C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c>
          <w:tcPr>
            <w:tcW w:w="2410" w:type="dxa"/>
            <w:shd w:val="clear" w:color="auto" w:fill="FFFFFF" w:themeFill="background1"/>
            <w:vAlign w:val="center"/>
          </w:tcPr>
          <w:p w14:paraId="5F38EE1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计入当期非经常性损益的金额</w:t>
            </w:r>
          </w:p>
        </w:tc>
      </w:tr>
      <w:tr w:rsidR="00632E5B" w14:paraId="412EC42F" w14:textId="77777777" w:rsidTr="00DD2081">
        <w:trPr>
          <w:trHeight w:val="240"/>
        </w:trPr>
        <w:tc>
          <w:tcPr>
            <w:tcW w:w="2410" w:type="dxa"/>
            <w:shd w:val="clear" w:color="auto" w:fill="FFFFFF" w:themeFill="background1"/>
            <w:vAlign w:val="center"/>
          </w:tcPr>
          <w:p w14:paraId="43DFC90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非流动资产毁损报废损失</w:t>
            </w:r>
          </w:p>
        </w:tc>
        <w:tc>
          <w:tcPr>
            <w:tcW w:w="2410" w:type="dxa"/>
            <w:shd w:val="clear" w:color="auto" w:fill="FFFFFF" w:themeFill="background1"/>
            <w:vAlign w:val="center"/>
          </w:tcPr>
          <w:p w14:paraId="7B2FEB3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1,117,792.35</w:t>
            </w:r>
          </w:p>
        </w:tc>
        <w:tc>
          <w:tcPr>
            <w:tcW w:w="2410" w:type="dxa"/>
            <w:shd w:val="clear" w:color="auto" w:fill="FFFFFF" w:themeFill="background1"/>
            <w:vAlign w:val="center"/>
          </w:tcPr>
          <w:p w14:paraId="7860208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741,187.55</w:t>
            </w:r>
          </w:p>
        </w:tc>
        <w:tc>
          <w:tcPr>
            <w:tcW w:w="2410" w:type="dxa"/>
            <w:shd w:val="clear" w:color="auto" w:fill="FFFFFF" w:themeFill="background1"/>
            <w:vAlign w:val="center"/>
          </w:tcPr>
          <w:p w14:paraId="1ACCE30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1,117,792.35</w:t>
            </w:r>
          </w:p>
        </w:tc>
      </w:tr>
      <w:tr w:rsidR="00632E5B" w14:paraId="2086F45F" w14:textId="77777777" w:rsidTr="00DD2081">
        <w:trPr>
          <w:trHeight w:val="240"/>
        </w:trPr>
        <w:tc>
          <w:tcPr>
            <w:tcW w:w="2410" w:type="dxa"/>
            <w:shd w:val="clear" w:color="auto" w:fill="FFFFFF" w:themeFill="background1"/>
            <w:vAlign w:val="center"/>
          </w:tcPr>
          <w:p w14:paraId="3A2918D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其中：固定资产报废损失</w:t>
            </w:r>
          </w:p>
        </w:tc>
        <w:tc>
          <w:tcPr>
            <w:tcW w:w="2410" w:type="dxa"/>
            <w:shd w:val="clear" w:color="auto" w:fill="FFFFFF" w:themeFill="background1"/>
            <w:vAlign w:val="center"/>
          </w:tcPr>
          <w:p w14:paraId="55AABAC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812,605.03</w:t>
            </w:r>
          </w:p>
        </w:tc>
        <w:tc>
          <w:tcPr>
            <w:tcW w:w="2410" w:type="dxa"/>
            <w:shd w:val="clear" w:color="auto" w:fill="FFFFFF" w:themeFill="background1"/>
            <w:vAlign w:val="center"/>
          </w:tcPr>
          <w:p w14:paraId="11CD74B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562,857.89</w:t>
            </w:r>
          </w:p>
        </w:tc>
        <w:tc>
          <w:tcPr>
            <w:tcW w:w="2410" w:type="dxa"/>
            <w:shd w:val="clear" w:color="auto" w:fill="FFFFFF" w:themeFill="background1"/>
            <w:vAlign w:val="center"/>
          </w:tcPr>
          <w:p w14:paraId="120337F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812,605.03</w:t>
            </w:r>
          </w:p>
        </w:tc>
      </w:tr>
      <w:tr w:rsidR="00632E5B" w14:paraId="32ACA29C" w14:textId="77777777" w:rsidTr="00DD2081">
        <w:trPr>
          <w:trHeight w:val="240"/>
        </w:trPr>
        <w:tc>
          <w:tcPr>
            <w:tcW w:w="2410" w:type="dxa"/>
            <w:shd w:val="clear" w:color="auto" w:fill="FFFFFF" w:themeFill="background1"/>
            <w:vAlign w:val="center"/>
          </w:tcPr>
          <w:p w14:paraId="74599AB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 xml:space="preserve">      在建工程报废损失</w:t>
            </w:r>
          </w:p>
        </w:tc>
        <w:tc>
          <w:tcPr>
            <w:tcW w:w="2410" w:type="dxa"/>
            <w:shd w:val="clear" w:color="auto" w:fill="FFFFFF" w:themeFill="background1"/>
            <w:vAlign w:val="center"/>
          </w:tcPr>
          <w:p w14:paraId="2C91D6F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305,187.32</w:t>
            </w:r>
          </w:p>
        </w:tc>
        <w:tc>
          <w:tcPr>
            <w:tcW w:w="2410" w:type="dxa"/>
            <w:shd w:val="clear" w:color="auto" w:fill="FFFFFF" w:themeFill="background1"/>
            <w:vAlign w:val="center"/>
          </w:tcPr>
          <w:p w14:paraId="71EFC1AD"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15E5F9C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305,187.32</w:t>
            </w:r>
          </w:p>
        </w:tc>
      </w:tr>
      <w:tr w:rsidR="00632E5B" w14:paraId="086B37E4" w14:textId="77777777" w:rsidTr="00DD2081">
        <w:trPr>
          <w:trHeight w:val="240"/>
        </w:trPr>
        <w:tc>
          <w:tcPr>
            <w:tcW w:w="2410" w:type="dxa"/>
            <w:shd w:val="clear" w:color="auto" w:fill="FFFFFF" w:themeFill="background1"/>
            <w:vAlign w:val="center"/>
          </w:tcPr>
          <w:p w14:paraId="23E7078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无形资产报废损失</w:t>
            </w:r>
          </w:p>
        </w:tc>
        <w:tc>
          <w:tcPr>
            <w:tcW w:w="2410" w:type="dxa"/>
            <w:shd w:val="clear" w:color="auto" w:fill="FFFFFF" w:themeFill="background1"/>
            <w:vAlign w:val="center"/>
          </w:tcPr>
          <w:p w14:paraId="71196DA2"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778FCFA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178,329.66</w:t>
            </w:r>
          </w:p>
        </w:tc>
        <w:tc>
          <w:tcPr>
            <w:tcW w:w="2410" w:type="dxa"/>
            <w:shd w:val="clear" w:color="auto" w:fill="FFFFFF" w:themeFill="background1"/>
            <w:vAlign w:val="center"/>
          </w:tcPr>
          <w:p w14:paraId="631DC714" w14:textId="77777777" w:rsidR="00632E5B" w:rsidRDefault="00632E5B">
            <w:pPr>
              <w:spacing w:line="240" w:lineRule="exact"/>
              <w:jc w:val="right"/>
              <w:rPr>
                <w:rFonts w:ascii="宋体" w:eastAsia="宋体" w:hAnsi="宋体" w:cs="宋体" w:hint="eastAsia"/>
                <w:sz w:val="18"/>
                <w:szCs w:val="18"/>
              </w:rPr>
            </w:pPr>
          </w:p>
        </w:tc>
      </w:tr>
      <w:tr w:rsidR="00632E5B" w14:paraId="65DF354D" w14:textId="77777777" w:rsidTr="00DD2081">
        <w:trPr>
          <w:trHeight w:val="240"/>
        </w:trPr>
        <w:tc>
          <w:tcPr>
            <w:tcW w:w="2410" w:type="dxa"/>
            <w:shd w:val="clear" w:color="auto" w:fill="FFFFFF" w:themeFill="background1"/>
            <w:vAlign w:val="center"/>
          </w:tcPr>
          <w:p w14:paraId="144BCF5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赔款、违约金支出</w:t>
            </w:r>
          </w:p>
        </w:tc>
        <w:tc>
          <w:tcPr>
            <w:tcW w:w="2410" w:type="dxa"/>
            <w:shd w:val="clear" w:color="auto" w:fill="FFFFFF" w:themeFill="background1"/>
            <w:vAlign w:val="center"/>
          </w:tcPr>
          <w:p w14:paraId="3B5E083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97,606,118.86</w:t>
            </w:r>
          </w:p>
        </w:tc>
        <w:tc>
          <w:tcPr>
            <w:tcW w:w="2410" w:type="dxa"/>
            <w:shd w:val="clear" w:color="auto" w:fill="FFFFFF" w:themeFill="background1"/>
            <w:vAlign w:val="center"/>
          </w:tcPr>
          <w:p w14:paraId="216DBDA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32,239,702.17</w:t>
            </w:r>
          </w:p>
        </w:tc>
        <w:tc>
          <w:tcPr>
            <w:tcW w:w="2410" w:type="dxa"/>
            <w:shd w:val="clear" w:color="auto" w:fill="FFFFFF" w:themeFill="background1"/>
            <w:vAlign w:val="center"/>
          </w:tcPr>
          <w:p w14:paraId="0A11BF2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97,606,118.86</w:t>
            </w:r>
          </w:p>
        </w:tc>
      </w:tr>
      <w:tr w:rsidR="00632E5B" w14:paraId="2DD68489" w14:textId="77777777" w:rsidTr="00DD2081">
        <w:trPr>
          <w:trHeight w:val="240"/>
        </w:trPr>
        <w:tc>
          <w:tcPr>
            <w:tcW w:w="2410" w:type="dxa"/>
            <w:shd w:val="clear" w:color="auto" w:fill="FFFFFF" w:themeFill="background1"/>
            <w:vAlign w:val="center"/>
          </w:tcPr>
          <w:p w14:paraId="3F0CA7A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未决诉讼</w:t>
            </w:r>
          </w:p>
        </w:tc>
        <w:tc>
          <w:tcPr>
            <w:tcW w:w="2410" w:type="dxa"/>
            <w:shd w:val="clear" w:color="auto" w:fill="FFFFFF" w:themeFill="background1"/>
            <w:vAlign w:val="center"/>
          </w:tcPr>
          <w:p w14:paraId="6388CC5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288,536,642.65</w:t>
            </w:r>
          </w:p>
        </w:tc>
        <w:tc>
          <w:tcPr>
            <w:tcW w:w="2410" w:type="dxa"/>
            <w:shd w:val="clear" w:color="auto" w:fill="FFFFFF" w:themeFill="background1"/>
            <w:vAlign w:val="center"/>
          </w:tcPr>
          <w:p w14:paraId="12133C09"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06F2DB5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288,536,642.65</w:t>
            </w:r>
          </w:p>
        </w:tc>
      </w:tr>
      <w:tr w:rsidR="00632E5B" w14:paraId="4CB6A84E" w14:textId="77777777" w:rsidTr="00DD2081">
        <w:trPr>
          <w:trHeight w:val="240"/>
        </w:trPr>
        <w:tc>
          <w:tcPr>
            <w:tcW w:w="2410" w:type="dxa"/>
            <w:shd w:val="clear" w:color="auto" w:fill="FFFFFF" w:themeFill="background1"/>
            <w:vAlign w:val="center"/>
          </w:tcPr>
          <w:p w14:paraId="19A7380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对外担保及按重整计划向协调审理下级公司提供偿债资源损失</w:t>
            </w:r>
          </w:p>
        </w:tc>
        <w:tc>
          <w:tcPr>
            <w:tcW w:w="2410" w:type="dxa"/>
            <w:shd w:val="clear" w:color="auto" w:fill="FFFFFF" w:themeFill="background1"/>
            <w:vAlign w:val="center"/>
          </w:tcPr>
          <w:p w14:paraId="3F1CA66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29,891,134.75</w:t>
            </w:r>
          </w:p>
        </w:tc>
        <w:tc>
          <w:tcPr>
            <w:tcW w:w="2410" w:type="dxa"/>
            <w:shd w:val="clear" w:color="auto" w:fill="FFFFFF" w:themeFill="background1"/>
            <w:vAlign w:val="center"/>
          </w:tcPr>
          <w:p w14:paraId="49298D8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244,526,980.00</w:t>
            </w:r>
          </w:p>
        </w:tc>
        <w:tc>
          <w:tcPr>
            <w:tcW w:w="2410" w:type="dxa"/>
            <w:shd w:val="clear" w:color="auto" w:fill="FFFFFF" w:themeFill="background1"/>
            <w:vAlign w:val="center"/>
          </w:tcPr>
          <w:p w14:paraId="5A28078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29,891,134.75</w:t>
            </w:r>
          </w:p>
        </w:tc>
      </w:tr>
      <w:tr w:rsidR="00632E5B" w14:paraId="5A37420F" w14:textId="77777777" w:rsidTr="00DD2081">
        <w:trPr>
          <w:trHeight w:val="240"/>
        </w:trPr>
        <w:tc>
          <w:tcPr>
            <w:tcW w:w="2410" w:type="dxa"/>
            <w:shd w:val="clear" w:color="auto" w:fill="FFFFFF" w:themeFill="background1"/>
            <w:vAlign w:val="center"/>
          </w:tcPr>
          <w:p w14:paraId="16638A6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2410" w:type="dxa"/>
            <w:shd w:val="clear" w:color="auto" w:fill="FFFFFF" w:themeFill="background1"/>
            <w:vAlign w:val="center"/>
          </w:tcPr>
          <w:p w14:paraId="03C0A77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11,438,015.10</w:t>
            </w:r>
          </w:p>
        </w:tc>
        <w:tc>
          <w:tcPr>
            <w:tcW w:w="2410" w:type="dxa"/>
            <w:shd w:val="clear" w:color="auto" w:fill="FFFFFF" w:themeFill="background1"/>
            <w:vAlign w:val="center"/>
          </w:tcPr>
          <w:p w14:paraId="10E5869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5,515,522.75</w:t>
            </w:r>
          </w:p>
        </w:tc>
        <w:tc>
          <w:tcPr>
            <w:tcW w:w="2410" w:type="dxa"/>
            <w:shd w:val="clear" w:color="auto" w:fill="FFFFFF" w:themeFill="background1"/>
            <w:vAlign w:val="center"/>
          </w:tcPr>
          <w:p w14:paraId="5068A96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11,438,015.10</w:t>
            </w:r>
          </w:p>
        </w:tc>
      </w:tr>
      <w:tr w:rsidR="00632E5B" w14:paraId="18EB5B35" w14:textId="77777777" w:rsidTr="00DD2081">
        <w:trPr>
          <w:trHeight w:val="240"/>
        </w:trPr>
        <w:tc>
          <w:tcPr>
            <w:tcW w:w="2410" w:type="dxa"/>
            <w:shd w:val="clear" w:color="auto" w:fill="FFFFFF" w:themeFill="background1"/>
            <w:vAlign w:val="center"/>
          </w:tcPr>
          <w:p w14:paraId="14EE266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2410" w:type="dxa"/>
            <w:shd w:val="clear" w:color="auto" w:fill="FFFFFF" w:themeFill="background1"/>
            <w:vAlign w:val="center"/>
          </w:tcPr>
          <w:p w14:paraId="0F43CE9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428,589,703.71</w:t>
            </w:r>
          </w:p>
        </w:tc>
        <w:tc>
          <w:tcPr>
            <w:tcW w:w="2410" w:type="dxa"/>
            <w:shd w:val="clear" w:color="auto" w:fill="FFFFFF" w:themeFill="background1"/>
            <w:vAlign w:val="center"/>
          </w:tcPr>
          <w:p w14:paraId="3758CE1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283,023,392.47</w:t>
            </w:r>
          </w:p>
        </w:tc>
        <w:tc>
          <w:tcPr>
            <w:tcW w:w="2410" w:type="dxa"/>
            <w:shd w:val="clear" w:color="auto" w:fill="FFFFFF" w:themeFill="background1"/>
            <w:vAlign w:val="center"/>
          </w:tcPr>
          <w:p w14:paraId="64E74FC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428,589,703.71</w:t>
            </w:r>
          </w:p>
        </w:tc>
      </w:tr>
    </w:tbl>
    <w:p w14:paraId="4D08D7DE" w14:textId="77777777" w:rsidR="00632E5B" w:rsidRDefault="00107901">
      <w:pPr>
        <w:pStyle w:val="3"/>
        <w:spacing w:line="280" w:lineRule="exact"/>
        <w:jc w:val="left"/>
        <w:rPr>
          <w:rFonts w:ascii="宋体" w:hAnsi="宋体" w:cs="宋体" w:hint="eastAsia"/>
          <w:b/>
          <w:bCs/>
        </w:rPr>
      </w:pPr>
      <w:bookmarkStart w:id="324" w:name="_Toc989210"/>
      <w:r>
        <w:rPr>
          <w:rFonts w:ascii="宋体" w:hAnsi="宋体" w:cs="宋体"/>
          <w:b/>
          <w:bCs/>
        </w:rPr>
        <w:t>57、所得税费用</w:t>
      </w:r>
      <w:bookmarkEnd w:id="324"/>
    </w:p>
    <w:p w14:paraId="674E3C68"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325" w:name="_Toc989211"/>
      <w:r>
        <w:rPr>
          <w:rFonts w:ascii="宋体" w:eastAsia="宋体" w:hAnsi="宋体" w:cs="宋体"/>
          <w:b/>
          <w:bCs/>
          <w:szCs w:val="21"/>
        </w:rPr>
        <w:t>（1） 所得税费用表</w:t>
      </w:r>
      <w:bookmarkEnd w:id="325"/>
    </w:p>
    <w:p w14:paraId="3F705D0A"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4A892B14" w14:textId="77777777" w:rsidTr="00DD2081">
        <w:trPr>
          <w:trHeight w:val="240"/>
        </w:trPr>
        <w:tc>
          <w:tcPr>
            <w:tcW w:w="3213" w:type="dxa"/>
            <w:shd w:val="clear" w:color="auto" w:fill="FFFFFF" w:themeFill="background1"/>
            <w:vAlign w:val="center"/>
          </w:tcPr>
          <w:p w14:paraId="54AE1AC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36453AF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auto" w:fill="FFFFFF" w:themeFill="background1"/>
            <w:vAlign w:val="center"/>
          </w:tcPr>
          <w:p w14:paraId="18F3582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632E5B" w14:paraId="730DC540" w14:textId="77777777" w:rsidTr="00DD2081">
        <w:trPr>
          <w:trHeight w:val="240"/>
        </w:trPr>
        <w:tc>
          <w:tcPr>
            <w:tcW w:w="3213" w:type="dxa"/>
            <w:shd w:val="clear" w:color="auto" w:fill="FFFFFF" w:themeFill="background1"/>
            <w:vAlign w:val="center"/>
          </w:tcPr>
          <w:p w14:paraId="0B467B7B"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当期所得税费用</w:t>
            </w:r>
          </w:p>
        </w:tc>
        <w:tc>
          <w:tcPr>
            <w:tcW w:w="3213" w:type="dxa"/>
            <w:shd w:val="clear" w:color="auto" w:fill="FFFFFF" w:themeFill="background1"/>
            <w:vAlign w:val="center"/>
          </w:tcPr>
          <w:p w14:paraId="29FBCFA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22,288,092.84</w:t>
            </w:r>
          </w:p>
        </w:tc>
        <w:tc>
          <w:tcPr>
            <w:tcW w:w="3213" w:type="dxa"/>
            <w:shd w:val="clear" w:color="auto" w:fill="FFFFFF" w:themeFill="background1"/>
            <w:vAlign w:val="center"/>
          </w:tcPr>
          <w:p w14:paraId="3C5A662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13,075,558.30</w:t>
            </w:r>
          </w:p>
        </w:tc>
      </w:tr>
      <w:tr w:rsidR="00632E5B" w14:paraId="180CA209" w14:textId="77777777" w:rsidTr="00DD2081">
        <w:trPr>
          <w:trHeight w:val="240"/>
        </w:trPr>
        <w:tc>
          <w:tcPr>
            <w:tcW w:w="3213" w:type="dxa"/>
            <w:shd w:val="clear" w:color="auto" w:fill="FFFFFF" w:themeFill="background1"/>
            <w:vAlign w:val="center"/>
          </w:tcPr>
          <w:p w14:paraId="7255155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递延所得税费用</w:t>
            </w:r>
          </w:p>
        </w:tc>
        <w:tc>
          <w:tcPr>
            <w:tcW w:w="3213" w:type="dxa"/>
            <w:shd w:val="clear" w:color="auto" w:fill="FFFFFF" w:themeFill="background1"/>
            <w:vAlign w:val="center"/>
          </w:tcPr>
          <w:p w14:paraId="4520BCC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-3,676,839.06</w:t>
            </w:r>
          </w:p>
        </w:tc>
        <w:tc>
          <w:tcPr>
            <w:tcW w:w="3213" w:type="dxa"/>
            <w:shd w:val="clear" w:color="auto" w:fill="FFFFFF" w:themeFill="background1"/>
            <w:vAlign w:val="center"/>
          </w:tcPr>
          <w:p w14:paraId="13F779E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13,776,634.41</w:t>
            </w:r>
          </w:p>
        </w:tc>
      </w:tr>
      <w:tr w:rsidR="00632E5B" w14:paraId="54314E70" w14:textId="77777777" w:rsidTr="00DD2081">
        <w:trPr>
          <w:trHeight w:val="240"/>
        </w:trPr>
        <w:tc>
          <w:tcPr>
            <w:tcW w:w="3213" w:type="dxa"/>
            <w:shd w:val="clear" w:color="auto" w:fill="FFFFFF" w:themeFill="background1"/>
            <w:vAlign w:val="center"/>
          </w:tcPr>
          <w:p w14:paraId="37B0E433"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182F437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18,611,253.78</w:t>
            </w:r>
          </w:p>
        </w:tc>
        <w:tc>
          <w:tcPr>
            <w:tcW w:w="3213" w:type="dxa"/>
            <w:shd w:val="clear" w:color="auto" w:fill="FFFFFF" w:themeFill="background1"/>
            <w:vAlign w:val="center"/>
          </w:tcPr>
          <w:p w14:paraId="683BAB8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26,852,192.71</w:t>
            </w:r>
          </w:p>
        </w:tc>
      </w:tr>
    </w:tbl>
    <w:p w14:paraId="029AEF17"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326" w:name="_Toc989212"/>
      <w:r>
        <w:rPr>
          <w:rFonts w:ascii="宋体" w:eastAsia="宋体" w:hAnsi="宋体" w:cs="宋体"/>
          <w:b/>
          <w:bCs/>
          <w:szCs w:val="21"/>
        </w:rPr>
        <w:t>（2） 会计利润与所得税费用调整过程</w:t>
      </w:r>
      <w:bookmarkEnd w:id="326"/>
    </w:p>
    <w:p w14:paraId="0CD2F503"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4820"/>
        <w:gridCol w:w="4819"/>
      </w:tblGrid>
      <w:tr w:rsidR="00632E5B" w14:paraId="577FA1BE" w14:textId="77777777" w:rsidTr="00DD2081">
        <w:trPr>
          <w:trHeight w:val="240"/>
        </w:trPr>
        <w:tc>
          <w:tcPr>
            <w:tcW w:w="4820" w:type="dxa"/>
            <w:shd w:val="clear" w:color="auto" w:fill="FFFFFF" w:themeFill="background1"/>
            <w:vAlign w:val="center"/>
          </w:tcPr>
          <w:p w14:paraId="140E3BA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4820" w:type="dxa"/>
            <w:shd w:val="clear" w:color="auto" w:fill="FFFFFF" w:themeFill="background1"/>
            <w:vAlign w:val="center"/>
          </w:tcPr>
          <w:p w14:paraId="01132BB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r>
      <w:tr w:rsidR="00632E5B" w14:paraId="38520EB4" w14:textId="77777777" w:rsidTr="00DD2081">
        <w:trPr>
          <w:trHeight w:val="240"/>
        </w:trPr>
        <w:tc>
          <w:tcPr>
            <w:tcW w:w="4820" w:type="dxa"/>
            <w:shd w:val="clear" w:color="auto" w:fill="FFFFFF" w:themeFill="background1"/>
            <w:vAlign w:val="center"/>
          </w:tcPr>
          <w:p w14:paraId="566CCAF4"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利润总额</w:t>
            </w:r>
          </w:p>
        </w:tc>
        <w:tc>
          <w:tcPr>
            <w:tcW w:w="4820" w:type="dxa"/>
            <w:shd w:val="clear" w:color="auto" w:fill="FFFFFF" w:themeFill="background1"/>
            <w:vAlign w:val="center"/>
          </w:tcPr>
          <w:p w14:paraId="26B2E6E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-1,157,509,814.86</w:t>
            </w:r>
          </w:p>
        </w:tc>
      </w:tr>
      <w:tr w:rsidR="00632E5B" w14:paraId="213BB560" w14:textId="77777777" w:rsidTr="00DD2081">
        <w:trPr>
          <w:trHeight w:val="240"/>
        </w:trPr>
        <w:tc>
          <w:tcPr>
            <w:tcW w:w="4820" w:type="dxa"/>
            <w:shd w:val="clear" w:color="auto" w:fill="FFFFFF" w:themeFill="background1"/>
            <w:vAlign w:val="center"/>
          </w:tcPr>
          <w:p w14:paraId="3F0AEBDA"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按法定/适用税率计算的所得税费用</w:t>
            </w:r>
          </w:p>
        </w:tc>
        <w:tc>
          <w:tcPr>
            <w:tcW w:w="4820" w:type="dxa"/>
            <w:shd w:val="clear" w:color="auto" w:fill="FFFFFF" w:themeFill="background1"/>
            <w:vAlign w:val="center"/>
          </w:tcPr>
          <w:p w14:paraId="2106E99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-289,377,453.72</w:t>
            </w:r>
          </w:p>
        </w:tc>
      </w:tr>
      <w:tr w:rsidR="00632E5B" w14:paraId="24D25A5A" w14:textId="77777777" w:rsidTr="00DD2081">
        <w:trPr>
          <w:trHeight w:val="240"/>
        </w:trPr>
        <w:tc>
          <w:tcPr>
            <w:tcW w:w="4820" w:type="dxa"/>
            <w:shd w:val="clear" w:color="auto" w:fill="FFFFFF" w:themeFill="background1"/>
            <w:vAlign w:val="center"/>
          </w:tcPr>
          <w:p w14:paraId="0AA9D8DA"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子公司适用不同税率的影响</w:t>
            </w:r>
          </w:p>
        </w:tc>
        <w:tc>
          <w:tcPr>
            <w:tcW w:w="4820" w:type="dxa"/>
            <w:shd w:val="clear" w:color="auto" w:fill="FFFFFF" w:themeFill="background1"/>
            <w:vAlign w:val="center"/>
          </w:tcPr>
          <w:p w14:paraId="30F0E6C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159,489,237.85</w:t>
            </w:r>
          </w:p>
        </w:tc>
      </w:tr>
      <w:tr w:rsidR="00632E5B" w14:paraId="57E7A574" w14:textId="77777777" w:rsidTr="00DD2081">
        <w:trPr>
          <w:trHeight w:val="240"/>
        </w:trPr>
        <w:tc>
          <w:tcPr>
            <w:tcW w:w="4820" w:type="dxa"/>
            <w:shd w:val="clear" w:color="auto" w:fill="FFFFFF" w:themeFill="background1"/>
            <w:vAlign w:val="center"/>
          </w:tcPr>
          <w:p w14:paraId="34E1046A"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调整以前期间所得税的影响</w:t>
            </w:r>
          </w:p>
        </w:tc>
        <w:tc>
          <w:tcPr>
            <w:tcW w:w="4820" w:type="dxa"/>
            <w:shd w:val="clear" w:color="auto" w:fill="FFFFFF" w:themeFill="background1"/>
            <w:vAlign w:val="center"/>
          </w:tcPr>
          <w:p w14:paraId="3773288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-13,851,082.86</w:t>
            </w:r>
          </w:p>
        </w:tc>
      </w:tr>
      <w:tr w:rsidR="00632E5B" w14:paraId="1C1B17FC" w14:textId="77777777" w:rsidTr="00DD2081">
        <w:trPr>
          <w:trHeight w:val="240"/>
        </w:trPr>
        <w:tc>
          <w:tcPr>
            <w:tcW w:w="4820" w:type="dxa"/>
            <w:shd w:val="clear" w:color="auto" w:fill="FFFFFF" w:themeFill="background1"/>
            <w:vAlign w:val="center"/>
          </w:tcPr>
          <w:p w14:paraId="6CC3331F"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非应税收入的影响</w:t>
            </w:r>
          </w:p>
        </w:tc>
        <w:tc>
          <w:tcPr>
            <w:tcW w:w="4820" w:type="dxa"/>
            <w:shd w:val="clear" w:color="auto" w:fill="FFFFFF" w:themeFill="background1"/>
            <w:vAlign w:val="center"/>
          </w:tcPr>
          <w:p w14:paraId="178D204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-21,548,345.99</w:t>
            </w:r>
          </w:p>
        </w:tc>
      </w:tr>
      <w:tr w:rsidR="00632E5B" w14:paraId="61705BB4" w14:textId="77777777" w:rsidTr="00DD2081">
        <w:trPr>
          <w:trHeight w:val="240"/>
        </w:trPr>
        <w:tc>
          <w:tcPr>
            <w:tcW w:w="4820" w:type="dxa"/>
            <w:shd w:val="clear" w:color="auto" w:fill="FFFFFF" w:themeFill="background1"/>
            <w:vAlign w:val="center"/>
          </w:tcPr>
          <w:p w14:paraId="5673E521"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不可抵扣的成本、费用和损失的影响</w:t>
            </w:r>
          </w:p>
        </w:tc>
        <w:tc>
          <w:tcPr>
            <w:tcW w:w="4820" w:type="dxa"/>
            <w:shd w:val="clear" w:color="auto" w:fill="FFFFFF" w:themeFill="background1"/>
            <w:vAlign w:val="center"/>
          </w:tcPr>
          <w:p w14:paraId="372A00E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21,856,489.37</w:t>
            </w:r>
          </w:p>
        </w:tc>
      </w:tr>
      <w:tr w:rsidR="00632E5B" w14:paraId="58C271B3" w14:textId="77777777" w:rsidTr="00DD2081">
        <w:trPr>
          <w:trHeight w:val="240"/>
        </w:trPr>
        <w:tc>
          <w:tcPr>
            <w:tcW w:w="4820" w:type="dxa"/>
            <w:shd w:val="clear" w:color="auto" w:fill="FFFFFF" w:themeFill="background1"/>
            <w:vAlign w:val="center"/>
          </w:tcPr>
          <w:p w14:paraId="2E7AE96D"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使用前期未确认递延所得税资产的可抵扣亏损的影响</w:t>
            </w:r>
          </w:p>
        </w:tc>
        <w:tc>
          <w:tcPr>
            <w:tcW w:w="4820" w:type="dxa"/>
            <w:shd w:val="clear" w:color="auto" w:fill="FFFFFF" w:themeFill="background1"/>
            <w:vAlign w:val="center"/>
          </w:tcPr>
          <w:p w14:paraId="3C59B6B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-485,389,929.03</w:t>
            </w:r>
          </w:p>
        </w:tc>
      </w:tr>
      <w:tr w:rsidR="00632E5B" w14:paraId="08B5D0A6" w14:textId="77777777" w:rsidTr="00DD2081">
        <w:trPr>
          <w:trHeight w:val="240"/>
        </w:trPr>
        <w:tc>
          <w:tcPr>
            <w:tcW w:w="4820" w:type="dxa"/>
            <w:shd w:val="clear" w:color="auto" w:fill="FFFFFF" w:themeFill="background1"/>
            <w:vAlign w:val="center"/>
          </w:tcPr>
          <w:p w14:paraId="3690D23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本期未确认递延所得税资产的可抵扣暂时性差异或可抵扣亏损的影响</w:t>
            </w:r>
          </w:p>
        </w:tc>
        <w:tc>
          <w:tcPr>
            <w:tcW w:w="4820" w:type="dxa"/>
            <w:shd w:val="clear" w:color="auto" w:fill="FFFFFF" w:themeFill="background1"/>
            <w:vAlign w:val="center"/>
          </w:tcPr>
          <w:p w14:paraId="6CDD814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382,411,841.19</w:t>
            </w:r>
          </w:p>
        </w:tc>
      </w:tr>
      <w:tr w:rsidR="00632E5B" w14:paraId="231AD3E8" w14:textId="77777777" w:rsidTr="00DD2081">
        <w:trPr>
          <w:trHeight w:val="240"/>
        </w:trPr>
        <w:tc>
          <w:tcPr>
            <w:tcW w:w="4820" w:type="dxa"/>
            <w:shd w:val="clear" w:color="auto" w:fill="FFFFFF" w:themeFill="background1"/>
            <w:vAlign w:val="center"/>
          </w:tcPr>
          <w:p w14:paraId="42121EF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研发费用加计扣除</w:t>
            </w:r>
          </w:p>
        </w:tc>
        <w:tc>
          <w:tcPr>
            <w:tcW w:w="4820" w:type="dxa"/>
            <w:shd w:val="clear" w:color="auto" w:fill="FFFFFF" w:themeFill="background1"/>
            <w:vAlign w:val="center"/>
          </w:tcPr>
          <w:p w14:paraId="4C3B899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-5,980,271.83</w:t>
            </w:r>
          </w:p>
        </w:tc>
      </w:tr>
      <w:tr w:rsidR="00632E5B" w14:paraId="5ACD3B26" w14:textId="77777777" w:rsidTr="00DD2081">
        <w:trPr>
          <w:trHeight w:val="240"/>
        </w:trPr>
        <w:tc>
          <w:tcPr>
            <w:tcW w:w="4820" w:type="dxa"/>
            <w:shd w:val="clear" w:color="auto" w:fill="FFFFFF" w:themeFill="background1"/>
            <w:vAlign w:val="center"/>
          </w:tcPr>
          <w:p w14:paraId="5740218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债权人豁免计入资本公积影响</w:t>
            </w:r>
          </w:p>
        </w:tc>
        <w:tc>
          <w:tcPr>
            <w:tcW w:w="4820" w:type="dxa"/>
            <w:shd w:val="clear" w:color="auto" w:fill="FFFFFF" w:themeFill="background1"/>
            <w:vAlign w:val="center"/>
          </w:tcPr>
          <w:p w14:paraId="5253255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271,070,373.39</w:t>
            </w:r>
          </w:p>
        </w:tc>
      </w:tr>
      <w:tr w:rsidR="00632E5B" w14:paraId="5AF29225" w14:textId="77777777" w:rsidTr="00DD2081">
        <w:trPr>
          <w:trHeight w:val="240"/>
        </w:trPr>
        <w:tc>
          <w:tcPr>
            <w:tcW w:w="4820" w:type="dxa"/>
            <w:shd w:val="clear" w:color="auto" w:fill="FFFFFF" w:themeFill="background1"/>
            <w:vAlign w:val="center"/>
          </w:tcPr>
          <w:p w14:paraId="0E62FCE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税率变动的影响对期初递延所得税余额的影响</w:t>
            </w:r>
          </w:p>
        </w:tc>
        <w:tc>
          <w:tcPr>
            <w:tcW w:w="4820" w:type="dxa"/>
            <w:shd w:val="clear" w:color="auto" w:fill="FFFFFF" w:themeFill="background1"/>
            <w:vAlign w:val="center"/>
          </w:tcPr>
          <w:p w14:paraId="068C99B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-69,604.60</w:t>
            </w:r>
          </w:p>
        </w:tc>
      </w:tr>
      <w:tr w:rsidR="00632E5B" w14:paraId="1C3102F4" w14:textId="77777777" w:rsidTr="00DD2081">
        <w:trPr>
          <w:trHeight w:val="240"/>
        </w:trPr>
        <w:tc>
          <w:tcPr>
            <w:tcW w:w="4820" w:type="dxa"/>
            <w:shd w:val="clear" w:color="auto" w:fill="FFFFFF" w:themeFill="background1"/>
            <w:vAlign w:val="center"/>
          </w:tcPr>
          <w:p w14:paraId="26DD6EE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所得税费用</w:t>
            </w:r>
          </w:p>
        </w:tc>
        <w:tc>
          <w:tcPr>
            <w:tcW w:w="4820" w:type="dxa"/>
            <w:shd w:val="clear" w:color="auto" w:fill="FFFFFF" w:themeFill="background1"/>
            <w:vAlign w:val="center"/>
          </w:tcPr>
          <w:p w14:paraId="17F48F7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18,611,253.78</w:t>
            </w:r>
          </w:p>
        </w:tc>
      </w:tr>
    </w:tbl>
    <w:p w14:paraId="77058C20" w14:textId="77777777" w:rsidR="00632E5B" w:rsidRDefault="00107901">
      <w:pPr>
        <w:pStyle w:val="3"/>
        <w:spacing w:line="280" w:lineRule="exact"/>
        <w:jc w:val="left"/>
        <w:rPr>
          <w:rFonts w:ascii="宋体" w:hAnsi="宋体" w:cs="宋体" w:hint="eastAsia"/>
          <w:b/>
          <w:bCs/>
        </w:rPr>
      </w:pPr>
      <w:bookmarkStart w:id="327" w:name="_Toc989213"/>
      <w:r>
        <w:rPr>
          <w:rFonts w:ascii="宋体" w:hAnsi="宋体" w:cs="宋体"/>
          <w:b/>
          <w:bCs/>
        </w:rPr>
        <w:t>58、其他综合收益</w:t>
      </w:r>
      <w:bookmarkEnd w:id="327"/>
    </w:p>
    <w:p w14:paraId="2ADDA582" w14:textId="5BEECF5C"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详见附注七之</w:t>
      </w:r>
      <w:r w:rsidR="00EA4BD8">
        <w:rPr>
          <w:rFonts w:ascii="宋体" w:eastAsia="宋体" w:hAnsi="宋体" w:cs="宋体"/>
          <w:sz w:val="18"/>
          <w:szCs w:val="18"/>
        </w:rPr>
        <w:t>40</w:t>
      </w:r>
      <w:r>
        <w:rPr>
          <w:rFonts w:ascii="宋体" w:eastAsia="宋体" w:hAnsi="宋体" w:cs="宋体"/>
          <w:sz w:val="18"/>
          <w:szCs w:val="18"/>
        </w:rPr>
        <w:t>本期发生金额情况。</w:t>
      </w:r>
    </w:p>
    <w:p w14:paraId="142325B3" w14:textId="77777777" w:rsidR="00632E5B" w:rsidRDefault="00107901">
      <w:pPr>
        <w:pStyle w:val="3"/>
        <w:spacing w:line="280" w:lineRule="exact"/>
        <w:jc w:val="left"/>
        <w:rPr>
          <w:rFonts w:ascii="宋体" w:hAnsi="宋体" w:cs="宋体" w:hint="eastAsia"/>
          <w:b/>
          <w:bCs/>
        </w:rPr>
      </w:pPr>
      <w:bookmarkStart w:id="328" w:name="_Toc989214"/>
      <w:r>
        <w:rPr>
          <w:rFonts w:ascii="宋体" w:hAnsi="宋体" w:cs="宋体"/>
          <w:b/>
          <w:bCs/>
        </w:rPr>
        <w:lastRenderedPageBreak/>
        <w:t>59、现金流量表项目</w:t>
      </w:r>
      <w:bookmarkEnd w:id="328"/>
    </w:p>
    <w:p w14:paraId="236A03B8"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329" w:name="_Toc989215"/>
      <w:r>
        <w:rPr>
          <w:rFonts w:ascii="宋体" w:eastAsia="宋体" w:hAnsi="宋体" w:cs="宋体"/>
          <w:b/>
          <w:bCs/>
          <w:szCs w:val="21"/>
        </w:rPr>
        <w:t>（1） 与经营活动有关的现金</w:t>
      </w:r>
      <w:bookmarkEnd w:id="329"/>
    </w:p>
    <w:p w14:paraId="351D6C75"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收到的其他与经营活动有关的现金</w:t>
      </w:r>
    </w:p>
    <w:p w14:paraId="44D68A56"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7A861CC2" w14:textId="77777777" w:rsidTr="00DD2081">
        <w:trPr>
          <w:trHeight w:val="240"/>
        </w:trPr>
        <w:tc>
          <w:tcPr>
            <w:tcW w:w="3213" w:type="dxa"/>
            <w:shd w:val="clear" w:color="auto" w:fill="FFFFFF" w:themeFill="background1"/>
            <w:vAlign w:val="center"/>
          </w:tcPr>
          <w:p w14:paraId="7585EA2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2D75672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auto" w:fill="FFFFFF" w:themeFill="background1"/>
            <w:vAlign w:val="center"/>
          </w:tcPr>
          <w:p w14:paraId="0C036D5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632E5B" w14:paraId="1965DD74" w14:textId="77777777" w:rsidTr="00DD2081">
        <w:trPr>
          <w:trHeight w:val="240"/>
        </w:trPr>
        <w:tc>
          <w:tcPr>
            <w:tcW w:w="3213" w:type="dxa"/>
            <w:shd w:val="clear" w:color="auto" w:fill="FFFFFF" w:themeFill="background1"/>
            <w:vAlign w:val="center"/>
          </w:tcPr>
          <w:p w14:paraId="060A383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保证金及其他往来款</w:t>
            </w:r>
          </w:p>
        </w:tc>
        <w:tc>
          <w:tcPr>
            <w:tcW w:w="3213" w:type="dxa"/>
            <w:shd w:val="clear" w:color="auto" w:fill="FFFFFF" w:themeFill="background1"/>
            <w:vAlign w:val="center"/>
          </w:tcPr>
          <w:p w14:paraId="511C361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21,710,017.88</w:t>
            </w:r>
          </w:p>
        </w:tc>
        <w:tc>
          <w:tcPr>
            <w:tcW w:w="3213" w:type="dxa"/>
            <w:shd w:val="clear" w:color="auto" w:fill="FFFFFF" w:themeFill="background1"/>
            <w:vAlign w:val="center"/>
          </w:tcPr>
          <w:p w14:paraId="425386C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152,568,576.08</w:t>
            </w:r>
          </w:p>
        </w:tc>
      </w:tr>
      <w:tr w:rsidR="00632E5B" w14:paraId="7AF28C64" w14:textId="77777777" w:rsidTr="00DD2081">
        <w:trPr>
          <w:trHeight w:val="240"/>
        </w:trPr>
        <w:tc>
          <w:tcPr>
            <w:tcW w:w="3213" w:type="dxa"/>
            <w:shd w:val="clear" w:color="auto" w:fill="FFFFFF" w:themeFill="background1"/>
            <w:vAlign w:val="center"/>
          </w:tcPr>
          <w:p w14:paraId="73ED733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专项补贴、补助款</w:t>
            </w:r>
          </w:p>
        </w:tc>
        <w:tc>
          <w:tcPr>
            <w:tcW w:w="3213" w:type="dxa"/>
            <w:shd w:val="clear" w:color="auto" w:fill="FFFFFF" w:themeFill="background1"/>
            <w:vAlign w:val="center"/>
          </w:tcPr>
          <w:p w14:paraId="776A218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13,150,860.57</w:t>
            </w:r>
          </w:p>
        </w:tc>
        <w:tc>
          <w:tcPr>
            <w:tcW w:w="3213" w:type="dxa"/>
            <w:shd w:val="clear" w:color="auto" w:fill="FFFFFF" w:themeFill="background1"/>
            <w:vAlign w:val="center"/>
          </w:tcPr>
          <w:p w14:paraId="3D943CF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13,072,857.23</w:t>
            </w:r>
          </w:p>
        </w:tc>
      </w:tr>
      <w:tr w:rsidR="00632E5B" w14:paraId="2A798E7F" w14:textId="77777777" w:rsidTr="00DD2081">
        <w:trPr>
          <w:trHeight w:val="240"/>
        </w:trPr>
        <w:tc>
          <w:tcPr>
            <w:tcW w:w="3213" w:type="dxa"/>
            <w:shd w:val="clear" w:color="auto" w:fill="FFFFFF" w:themeFill="background1"/>
            <w:vAlign w:val="center"/>
          </w:tcPr>
          <w:p w14:paraId="4600C3E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利息收入</w:t>
            </w:r>
          </w:p>
        </w:tc>
        <w:tc>
          <w:tcPr>
            <w:tcW w:w="3213" w:type="dxa"/>
            <w:shd w:val="clear" w:color="auto" w:fill="FFFFFF" w:themeFill="background1"/>
            <w:vAlign w:val="center"/>
          </w:tcPr>
          <w:p w14:paraId="26692EA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5,198,796.44</w:t>
            </w:r>
          </w:p>
        </w:tc>
        <w:tc>
          <w:tcPr>
            <w:tcW w:w="3213" w:type="dxa"/>
            <w:shd w:val="clear" w:color="auto" w:fill="FFFFFF" w:themeFill="background1"/>
            <w:vAlign w:val="center"/>
          </w:tcPr>
          <w:p w14:paraId="2C2F37B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6,830,387.62</w:t>
            </w:r>
          </w:p>
        </w:tc>
      </w:tr>
      <w:tr w:rsidR="00632E5B" w14:paraId="44FD26B5" w14:textId="77777777" w:rsidTr="00DD2081">
        <w:trPr>
          <w:trHeight w:val="240"/>
        </w:trPr>
        <w:tc>
          <w:tcPr>
            <w:tcW w:w="3213" w:type="dxa"/>
            <w:shd w:val="clear" w:color="auto" w:fill="FFFFFF" w:themeFill="background1"/>
            <w:vAlign w:val="center"/>
          </w:tcPr>
          <w:p w14:paraId="145C734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营业外收入</w:t>
            </w:r>
          </w:p>
        </w:tc>
        <w:tc>
          <w:tcPr>
            <w:tcW w:w="3213" w:type="dxa"/>
            <w:shd w:val="clear" w:color="auto" w:fill="FFFFFF" w:themeFill="background1"/>
            <w:vAlign w:val="center"/>
          </w:tcPr>
          <w:p w14:paraId="39BE6BA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3,583,085.60</w:t>
            </w:r>
          </w:p>
        </w:tc>
        <w:tc>
          <w:tcPr>
            <w:tcW w:w="3213" w:type="dxa"/>
            <w:shd w:val="clear" w:color="auto" w:fill="FFFFFF" w:themeFill="background1"/>
            <w:vAlign w:val="center"/>
          </w:tcPr>
          <w:p w14:paraId="5934430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5,680,365.58</w:t>
            </w:r>
          </w:p>
        </w:tc>
      </w:tr>
      <w:tr w:rsidR="00632E5B" w14:paraId="1CB09CC3" w14:textId="77777777" w:rsidTr="00DD2081">
        <w:trPr>
          <w:trHeight w:val="240"/>
        </w:trPr>
        <w:tc>
          <w:tcPr>
            <w:tcW w:w="3213" w:type="dxa"/>
            <w:shd w:val="clear" w:color="auto" w:fill="FFFFFF" w:themeFill="background1"/>
            <w:vAlign w:val="center"/>
          </w:tcPr>
          <w:p w14:paraId="3EC2D78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房屋、设备租赁收入</w:t>
            </w:r>
          </w:p>
        </w:tc>
        <w:tc>
          <w:tcPr>
            <w:tcW w:w="3213" w:type="dxa"/>
            <w:shd w:val="clear" w:color="auto" w:fill="FFFFFF" w:themeFill="background1"/>
            <w:vAlign w:val="center"/>
          </w:tcPr>
          <w:p w14:paraId="53D4285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2,997,813.77</w:t>
            </w:r>
          </w:p>
        </w:tc>
        <w:tc>
          <w:tcPr>
            <w:tcW w:w="3213" w:type="dxa"/>
            <w:shd w:val="clear" w:color="auto" w:fill="FFFFFF" w:themeFill="background1"/>
            <w:vAlign w:val="center"/>
          </w:tcPr>
          <w:p w14:paraId="0D1C95E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4,576,766.26</w:t>
            </w:r>
          </w:p>
        </w:tc>
      </w:tr>
      <w:tr w:rsidR="00632E5B" w14:paraId="338D557F" w14:textId="77777777" w:rsidTr="00DD2081">
        <w:trPr>
          <w:trHeight w:val="240"/>
        </w:trPr>
        <w:tc>
          <w:tcPr>
            <w:tcW w:w="3213" w:type="dxa"/>
            <w:shd w:val="clear" w:color="auto" w:fill="FFFFFF" w:themeFill="background1"/>
            <w:vAlign w:val="center"/>
          </w:tcPr>
          <w:p w14:paraId="3E7A9B6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3213" w:type="dxa"/>
            <w:shd w:val="clear" w:color="auto" w:fill="FFFFFF" w:themeFill="background1"/>
            <w:vAlign w:val="center"/>
          </w:tcPr>
          <w:p w14:paraId="00A807C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387,026.38</w:t>
            </w:r>
          </w:p>
        </w:tc>
        <w:tc>
          <w:tcPr>
            <w:tcW w:w="3213" w:type="dxa"/>
            <w:shd w:val="clear" w:color="auto" w:fill="FFFFFF" w:themeFill="background1"/>
            <w:vAlign w:val="center"/>
          </w:tcPr>
          <w:p w14:paraId="493FE6F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279,722.80</w:t>
            </w:r>
          </w:p>
        </w:tc>
      </w:tr>
      <w:tr w:rsidR="00632E5B" w14:paraId="6E9E4BFE" w14:textId="77777777" w:rsidTr="00DD2081">
        <w:trPr>
          <w:trHeight w:val="240"/>
        </w:trPr>
        <w:tc>
          <w:tcPr>
            <w:tcW w:w="3213" w:type="dxa"/>
            <w:shd w:val="clear" w:color="auto" w:fill="FFFFFF" w:themeFill="background1"/>
            <w:vAlign w:val="center"/>
          </w:tcPr>
          <w:p w14:paraId="5015C96B"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6EDCF75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47,027,600.64</w:t>
            </w:r>
          </w:p>
        </w:tc>
        <w:tc>
          <w:tcPr>
            <w:tcW w:w="3213" w:type="dxa"/>
            <w:shd w:val="clear" w:color="auto" w:fill="FFFFFF" w:themeFill="background1"/>
            <w:vAlign w:val="center"/>
          </w:tcPr>
          <w:p w14:paraId="2E0AC7C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183,008,675.57</w:t>
            </w:r>
          </w:p>
        </w:tc>
      </w:tr>
    </w:tbl>
    <w:p w14:paraId="0C8ACFE4"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支付的其他与经营活动有关的现金</w:t>
      </w:r>
    </w:p>
    <w:p w14:paraId="44561473"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42B226E0" w14:textId="77777777" w:rsidTr="00DD2081">
        <w:trPr>
          <w:trHeight w:val="240"/>
        </w:trPr>
        <w:tc>
          <w:tcPr>
            <w:tcW w:w="3213" w:type="dxa"/>
            <w:shd w:val="clear" w:color="auto" w:fill="FFFFFF" w:themeFill="background1"/>
            <w:vAlign w:val="center"/>
          </w:tcPr>
          <w:p w14:paraId="355B699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0EEE188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auto" w:fill="FFFFFF" w:themeFill="background1"/>
            <w:vAlign w:val="center"/>
          </w:tcPr>
          <w:p w14:paraId="5F2FAAA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632E5B" w14:paraId="7C2129FC" w14:textId="77777777" w:rsidTr="00DD2081">
        <w:trPr>
          <w:trHeight w:val="240"/>
        </w:trPr>
        <w:tc>
          <w:tcPr>
            <w:tcW w:w="3213" w:type="dxa"/>
            <w:shd w:val="clear" w:color="auto" w:fill="FFFFFF" w:themeFill="background1"/>
            <w:vAlign w:val="center"/>
          </w:tcPr>
          <w:p w14:paraId="478A3C4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支付的保证金及其他往来</w:t>
            </w:r>
          </w:p>
        </w:tc>
        <w:tc>
          <w:tcPr>
            <w:tcW w:w="3213" w:type="dxa"/>
            <w:shd w:val="clear" w:color="auto" w:fill="FFFFFF" w:themeFill="background1"/>
            <w:vAlign w:val="center"/>
          </w:tcPr>
          <w:p w14:paraId="1D379F5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570,038,443.20</w:t>
            </w:r>
          </w:p>
        </w:tc>
        <w:tc>
          <w:tcPr>
            <w:tcW w:w="3213" w:type="dxa"/>
            <w:shd w:val="clear" w:color="auto" w:fill="FFFFFF" w:themeFill="background1"/>
            <w:vAlign w:val="center"/>
          </w:tcPr>
          <w:p w14:paraId="79E9099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315,264,357.29</w:t>
            </w:r>
          </w:p>
        </w:tc>
      </w:tr>
      <w:tr w:rsidR="00632E5B" w14:paraId="418443DC" w14:textId="77777777" w:rsidTr="00DD2081">
        <w:trPr>
          <w:trHeight w:val="240"/>
        </w:trPr>
        <w:tc>
          <w:tcPr>
            <w:tcW w:w="3213" w:type="dxa"/>
            <w:shd w:val="clear" w:color="auto" w:fill="FFFFFF" w:themeFill="background1"/>
            <w:vAlign w:val="center"/>
          </w:tcPr>
          <w:p w14:paraId="1F54A3C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费用支出</w:t>
            </w:r>
          </w:p>
        </w:tc>
        <w:tc>
          <w:tcPr>
            <w:tcW w:w="3213" w:type="dxa"/>
            <w:shd w:val="clear" w:color="auto" w:fill="FFFFFF" w:themeFill="background1"/>
            <w:vAlign w:val="center"/>
          </w:tcPr>
          <w:p w14:paraId="0D1CE80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289,024,136.11</w:t>
            </w:r>
          </w:p>
        </w:tc>
        <w:tc>
          <w:tcPr>
            <w:tcW w:w="3213" w:type="dxa"/>
            <w:shd w:val="clear" w:color="auto" w:fill="FFFFFF" w:themeFill="background1"/>
            <w:vAlign w:val="center"/>
          </w:tcPr>
          <w:p w14:paraId="28FE5EB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210,984,683.29</w:t>
            </w:r>
          </w:p>
        </w:tc>
      </w:tr>
      <w:tr w:rsidR="00632E5B" w14:paraId="4CFF7063" w14:textId="77777777" w:rsidTr="00DD2081">
        <w:trPr>
          <w:trHeight w:val="240"/>
        </w:trPr>
        <w:tc>
          <w:tcPr>
            <w:tcW w:w="3213" w:type="dxa"/>
            <w:shd w:val="clear" w:color="auto" w:fill="FFFFFF" w:themeFill="background1"/>
            <w:vAlign w:val="center"/>
          </w:tcPr>
          <w:p w14:paraId="0A2C1D4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营业外支出</w:t>
            </w:r>
          </w:p>
        </w:tc>
        <w:tc>
          <w:tcPr>
            <w:tcW w:w="3213" w:type="dxa"/>
            <w:shd w:val="clear" w:color="auto" w:fill="FFFFFF" w:themeFill="background1"/>
            <w:vAlign w:val="center"/>
          </w:tcPr>
          <w:p w14:paraId="596CC64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40,871,118.46</w:t>
            </w:r>
          </w:p>
        </w:tc>
        <w:tc>
          <w:tcPr>
            <w:tcW w:w="3213" w:type="dxa"/>
            <w:shd w:val="clear" w:color="auto" w:fill="FFFFFF" w:themeFill="background1"/>
            <w:vAlign w:val="center"/>
          </w:tcPr>
          <w:p w14:paraId="3D003BB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37,755,224.92</w:t>
            </w:r>
          </w:p>
        </w:tc>
      </w:tr>
      <w:tr w:rsidR="00632E5B" w14:paraId="1048390B" w14:textId="77777777" w:rsidTr="00DD2081">
        <w:trPr>
          <w:trHeight w:val="240"/>
        </w:trPr>
        <w:tc>
          <w:tcPr>
            <w:tcW w:w="3213" w:type="dxa"/>
            <w:shd w:val="clear" w:color="auto" w:fill="FFFFFF" w:themeFill="background1"/>
            <w:vAlign w:val="center"/>
          </w:tcPr>
          <w:p w14:paraId="7E875370"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2898E8D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899,933,697.77</w:t>
            </w:r>
          </w:p>
        </w:tc>
        <w:tc>
          <w:tcPr>
            <w:tcW w:w="3213" w:type="dxa"/>
            <w:shd w:val="clear" w:color="auto" w:fill="FFFFFF" w:themeFill="background1"/>
            <w:vAlign w:val="center"/>
          </w:tcPr>
          <w:p w14:paraId="0D299BB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564,004,265.50</w:t>
            </w:r>
          </w:p>
        </w:tc>
      </w:tr>
    </w:tbl>
    <w:p w14:paraId="2529C140"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330" w:name="_Toc989216"/>
      <w:r>
        <w:rPr>
          <w:rFonts w:ascii="宋体" w:eastAsia="宋体" w:hAnsi="宋体" w:cs="宋体"/>
          <w:b/>
          <w:bCs/>
          <w:szCs w:val="21"/>
        </w:rPr>
        <w:t>（2） 与投资活动有关的现金</w:t>
      </w:r>
      <w:bookmarkEnd w:id="330"/>
    </w:p>
    <w:p w14:paraId="58AF0DE3"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收到的重要的与投资活动有关的现金</w:t>
      </w:r>
    </w:p>
    <w:p w14:paraId="4EB4AC6F"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3891756F" w14:textId="77777777" w:rsidTr="00DD2081">
        <w:trPr>
          <w:trHeight w:val="240"/>
        </w:trPr>
        <w:tc>
          <w:tcPr>
            <w:tcW w:w="3213" w:type="dxa"/>
            <w:shd w:val="clear" w:color="auto" w:fill="FFFFFF" w:themeFill="background1"/>
            <w:vAlign w:val="center"/>
          </w:tcPr>
          <w:p w14:paraId="0447F88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5816944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auto" w:fill="FFFFFF" w:themeFill="background1"/>
            <w:vAlign w:val="center"/>
          </w:tcPr>
          <w:p w14:paraId="7543794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632E5B" w14:paraId="35BF7B11" w14:textId="77777777" w:rsidTr="00DD2081">
        <w:trPr>
          <w:trHeight w:val="240"/>
        </w:trPr>
        <w:tc>
          <w:tcPr>
            <w:tcW w:w="3213" w:type="dxa"/>
            <w:shd w:val="clear" w:color="auto" w:fill="FFFFFF" w:themeFill="background1"/>
            <w:vAlign w:val="center"/>
          </w:tcPr>
          <w:p w14:paraId="3F5303E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 xml:space="preserve">收回投资收到的现金 </w:t>
            </w:r>
          </w:p>
          <w:p w14:paraId="6EC9BA4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其中：处置联营企业阜平众立腾晖新能源技术有限公司</w:t>
            </w:r>
          </w:p>
        </w:tc>
        <w:tc>
          <w:tcPr>
            <w:tcW w:w="3213" w:type="dxa"/>
            <w:shd w:val="clear" w:color="auto" w:fill="FFFFFF" w:themeFill="background1"/>
            <w:vAlign w:val="center"/>
          </w:tcPr>
          <w:p w14:paraId="4BFC8F02" w14:textId="77777777" w:rsidR="00632E5B" w:rsidRDefault="00632E5B">
            <w:pPr>
              <w:spacing w:line="240" w:lineRule="exact"/>
              <w:jc w:val="right"/>
              <w:rPr>
                <w:rFonts w:ascii="宋体" w:eastAsia="宋体" w:hAnsi="宋体" w:cs="宋体" w:hint="eastAsia"/>
                <w:sz w:val="18"/>
                <w:szCs w:val="18"/>
              </w:rPr>
            </w:pPr>
          </w:p>
        </w:tc>
        <w:tc>
          <w:tcPr>
            <w:tcW w:w="3213" w:type="dxa"/>
            <w:shd w:val="clear" w:color="auto" w:fill="FFFFFF" w:themeFill="background1"/>
            <w:vAlign w:val="center"/>
          </w:tcPr>
          <w:p w14:paraId="33072FB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11,000,000.00</w:t>
            </w:r>
          </w:p>
        </w:tc>
      </w:tr>
      <w:tr w:rsidR="00632E5B" w14:paraId="3980788D" w14:textId="77777777" w:rsidTr="00DD2081">
        <w:trPr>
          <w:trHeight w:val="240"/>
        </w:trPr>
        <w:tc>
          <w:tcPr>
            <w:tcW w:w="3213" w:type="dxa"/>
            <w:shd w:val="clear" w:color="auto" w:fill="FFFFFF" w:themeFill="background1"/>
            <w:vAlign w:val="center"/>
          </w:tcPr>
          <w:p w14:paraId="0DE11C5C"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1009BF74" w14:textId="77777777" w:rsidR="00632E5B" w:rsidRDefault="00632E5B">
            <w:pPr>
              <w:spacing w:line="240" w:lineRule="exact"/>
              <w:jc w:val="right"/>
              <w:rPr>
                <w:rFonts w:ascii="宋体" w:eastAsia="宋体" w:hAnsi="宋体" w:cs="宋体" w:hint="eastAsia"/>
                <w:sz w:val="18"/>
                <w:szCs w:val="18"/>
              </w:rPr>
            </w:pPr>
          </w:p>
        </w:tc>
        <w:tc>
          <w:tcPr>
            <w:tcW w:w="3213" w:type="dxa"/>
            <w:shd w:val="clear" w:color="auto" w:fill="FFFFFF" w:themeFill="background1"/>
            <w:vAlign w:val="center"/>
          </w:tcPr>
          <w:p w14:paraId="61028A4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11,000,000.00</w:t>
            </w:r>
          </w:p>
        </w:tc>
      </w:tr>
    </w:tbl>
    <w:p w14:paraId="109D8521"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收到的其他与投资活动有关的现金说明：</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39"/>
        <w:gridCol w:w="3242"/>
      </w:tblGrid>
      <w:tr w:rsidR="00E72F0C" w:rsidRPr="007071A0" w14:paraId="54E35532" w14:textId="77777777" w:rsidTr="008F13E1">
        <w:trPr>
          <w:divId w:val="1316685614"/>
          <w:trHeight w:val="312"/>
        </w:trPr>
        <w:tc>
          <w:tcPr>
            <w:tcW w:w="3308" w:type="pct"/>
            <w:tcMar>
              <w:top w:w="0" w:type="dxa"/>
              <w:left w:w="108" w:type="dxa"/>
              <w:bottom w:w="0" w:type="dxa"/>
              <w:right w:w="108" w:type="dxa"/>
            </w:tcMar>
            <w:vAlign w:val="center"/>
            <w:hideMark/>
          </w:tcPr>
          <w:p w14:paraId="0608F68B" w14:textId="77777777" w:rsidR="00E72F0C" w:rsidRPr="007071A0" w:rsidRDefault="00107901">
            <w:pPr>
              <w:pStyle w:val="a3"/>
              <w:spacing w:before="0" w:beforeAutospacing="0" w:after="0" w:afterAutospacing="0"/>
              <w:jc w:val="center"/>
              <w:rPr>
                <w:rFonts w:asciiTheme="minorEastAsia" w:eastAsiaTheme="minorEastAsia" w:hAnsiTheme="minorEastAsia" w:cs="Times New Roman" w:hint="eastAsia"/>
                <w:sz w:val="21"/>
                <w:szCs w:val="21"/>
              </w:rPr>
            </w:pPr>
            <w:r w:rsidRPr="007071A0">
              <w:rPr>
                <w:rFonts w:asciiTheme="minorEastAsia" w:eastAsiaTheme="minorEastAsia" w:hAnsiTheme="minorEastAsia" w:cs="Times New Roman" w:hint="eastAsia"/>
                <w:sz w:val="18"/>
                <w:szCs w:val="18"/>
              </w:rPr>
              <w:t>项目</w:t>
            </w:r>
          </w:p>
        </w:tc>
        <w:tc>
          <w:tcPr>
            <w:tcW w:w="1692" w:type="pct"/>
            <w:tcMar>
              <w:top w:w="0" w:type="dxa"/>
              <w:left w:w="108" w:type="dxa"/>
              <w:bottom w:w="0" w:type="dxa"/>
              <w:right w:w="108" w:type="dxa"/>
            </w:tcMar>
            <w:vAlign w:val="center"/>
            <w:hideMark/>
          </w:tcPr>
          <w:p w14:paraId="20E6E4C6" w14:textId="77777777" w:rsidR="00E72F0C" w:rsidRPr="007071A0" w:rsidRDefault="00107901">
            <w:pPr>
              <w:pStyle w:val="a3"/>
              <w:spacing w:before="0" w:beforeAutospacing="0" w:after="0" w:afterAutospacing="0"/>
              <w:jc w:val="center"/>
              <w:rPr>
                <w:rFonts w:asciiTheme="minorEastAsia" w:eastAsiaTheme="minorEastAsia" w:hAnsiTheme="minorEastAsia" w:cs="Times New Roman" w:hint="eastAsia"/>
                <w:sz w:val="21"/>
                <w:szCs w:val="21"/>
              </w:rPr>
            </w:pPr>
            <w:r w:rsidRPr="007071A0">
              <w:rPr>
                <w:rFonts w:asciiTheme="minorEastAsia" w:eastAsiaTheme="minorEastAsia" w:hAnsiTheme="minorEastAsia" w:cs="Times New Roman" w:hint="eastAsia"/>
                <w:sz w:val="18"/>
                <w:szCs w:val="18"/>
              </w:rPr>
              <w:t>金额</w:t>
            </w:r>
          </w:p>
        </w:tc>
      </w:tr>
      <w:tr w:rsidR="00E72F0C" w:rsidRPr="007071A0" w14:paraId="0CEFC815" w14:textId="77777777" w:rsidTr="008F13E1">
        <w:trPr>
          <w:divId w:val="1316685614"/>
          <w:trHeight w:val="312"/>
        </w:trPr>
        <w:tc>
          <w:tcPr>
            <w:tcW w:w="3308" w:type="pct"/>
            <w:tcMar>
              <w:top w:w="0" w:type="dxa"/>
              <w:left w:w="108" w:type="dxa"/>
              <w:bottom w:w="0" w:type="dxa"/>
              <w:right w:w="108" w:type="dxa"/>
            </w:tcMar>
            <w:vAlign w:val="center"/>
            <w:hideMark/>
          </w:tcPr>
          <w:p w14:paraId="30485421" w14:textId="77777777" w:rsidR="00E72F0C" w:rsidRPr="007071A0" w:rsidRDefault="00107901">
            <w:pPr>
              <w:pStyle w:val="a3"/>
              <w:spacing w:before="0" w:beforeAutospacing="0" w:after="0" w:afterAutospacing="0"/>
              <w:jc w:val="both"/>
              <w:rPr>
                <w:rFonts w:asciiTheme="minorEastAsia" w:eastAsiaTheme="minorEastAsia" w:hAnsiTheme="minorEastAsia" w:cs="Times New Roman" w:hint="eastAsia"/>
                <w:sz w:val="21"/>
                <w:szCs w:val="21"/>
              </w:rPr>
            </w:pPr>
            <w:r w:rsidRPr="007071A0">
              <w:rPr>
                <w:rFonts w:asciiTheme="minorEastAsia" w:eastAsiaTheme="minorEastAsia" w:hAnsiTheme="minorEastAsia" w:cs="Times New Roman" w:hint="eastAsia"/>
                <w:sz w:val="18"/>
                <w:szCs w:val="18"/>
              </w:rPr>
              <w:t>本期处置子公司在本期收到的现金或现金等价物</w:t>
            </w:r>
          </w:p>
        </w:tc>
        <w:tc>
          <w:tcPr>
            <w:tcW w:w="1692" w:type="pct"/>
            <w:tcMar>
              <w:top w:w="0" w:type="dxa"/>
              <w:left w:w="108" w:type="dxa"/>
              <w:bottom w:w="0" w:type="dxa"/>
              <w:right w:w="108" w:type="dxa"/>
            </w:tcMar>
            <w:vAlign w:val="center"/>
            <w:hideMark/>
          </w:tcPr>
          <w:p w14:paraId="61D03E38" w14:textId="77777777" w:rsidR="00E72F0C" w:rsidRPr="007071A0" w:rsidRDefault="00107901">
            <w:pPr>
              <w:pStyle w:val="a3"/>
              <w:spacing w:before="0" w:beforeAutospacing="0" w:after="0" w:afterAutospacing="0" w:line="360" w:lineRule="atLeast"/>
              <w:jc w:val="right"/>
              <w:rPr>
                <w:rFonts w:asciiTheme="minorEastAsia" w:eastAsiaTheme="minorEastAsia" w:hAnsiTheme="minorEastAsia" w:cs="Times New Roman" w:hint="eastAsia"/>
                <w:sz w:val="21"/>
                <w:szCs w:val="21"/>
              </w:rPr>
            </w:pPr>
            <w:r w:rsidRPr="007071A0">
              <w:rPr>
                <w:rFonts w:asciiTheme="minorEastAsia" w:eastAsiaTheme="minorEastAsia" w:hAnsiTheme="minorEastAsia" w:cs="Arial"/>
                <w:sz w:val="18"/>
                <w:szCs w:val="18"/>
              </w:rPr>
              <w:t xml:space="preserve">11,886,097.33 </w:t>
            </w:r>
          </w:p>
        </w:tc>
      </w:tr>
      <w:tr w:rsidR="00E72F0C" w:rsidRPr="007071A0" w14:paraId="7A5E130F" w14:textId="77777777" w:rsidTr="008F13E1">
        <w:trPr>
          <w:divId w:val="1316685614"/>
          <w:trHeight w:val="312"/>
        </w:trPr>
        <w:tc>
          <w:tcPr>
            <w:tcW w:w="3308" w:type="pct"/>
            <w:tcMar>
              <w:top w:w="0" w:type="dxa"/>
              <w:left w:w="108" w:type="dxa"/>
              <w:bottom w:w="0" w:type="dxa"/>
              <w:right w:w="108" w:type="dxa"/>
            </w:tcMar>
            <w:vAlign w:val="center"/>
            <w:hideMark/>
          </w:tcPr>
          <w:p w14:paraId="65DB8A05" w14:textId="77777777" w:rsidR="00E72F0C" w:rsidRPr="007071A0" w:rsidRDefault="00107901">
            <w:pPr>
              <w:pStyle w:val="a3"/>
              <w:spacing w:before="0" w:beforeAutospacing="0" w:after="0" w:afterAutospacing="0"/>
              <w:jc w:val="both"/>
              <w:rPr>
                <w:rFonts w:asciiTheme="minorEastAsia" w:eastAsiaTheme="minorEastAsia" w:hAnsiTheme="minorEastAsia" w:cs="Times New Roman" w:hint="eastAsia"/>
                <w:sz w:val="21"/>
                <w:szCs w:val="21"/>
              </w:rPr>
            </w:pPr>
            <w:r w:rsidRPr="007071A0">
              <w:rPr>
                <w:rFonts w:asciiTheme="minorEastAsia" w:eastAsiaTheme="minorEastAsia" w:hAnsiTheme="minorEastAsia" w:cs="Times New Roman" w:hint="eastAsia"/>
                <w:sz w:val="18"/>
                <w:szCs w:val="18"/>
              </w:rPr>
              <w:t>其中：</w:t>
            </w:r>
            <w:proofErr w:type="spellStart"/>
            <w:r w:rsidRPr="007071A0">
              <w:rPr>
                <w:rFonts w:asciiTheme="minorEastAsia" w:eastAsiaTheme="minorEastAsia" w:hAnsiTheme="minorEastAsia" w:cs="Times New Roman" w:hint="eastAsia"/>
                <w:sz w:val="18"/>
                <w:szCs w:val="18"/>
              </w:rPr>
              <w:t>Fattoria</w:t>
            </w:r>
            <w:proofErr w:type="spellEnd"/>
            <w:r w:rsidRPr="007071A0">
              <w:rPr>
                <w:rFonts w:asciiTheme="minorEastAsia" w:eastAsiaTheme="minorEastAsia" w:hAnsiTheme="minorEastAsia" w:cs="Times New Roman" w:hint="eastAsia"/>
                <w:sz w:val="18"/>
                <w:szCs w:val="18"/>
              </w:rPr>
              <w:t xml:space="preserve"> Solare Imola </w:t>
            </w:r>
            <w:proofErr w:type="spellStart"/>
            <w:r w:rsidRPr="007071A0">
              <w:rPr>
                <w:rFonts w:asciiTheme="minorEastAsia" w:eastAsiaTheme="minorEastAsia" w:hAnsiTheme="minorEastAsia" w:cs="Times New Roman" w:hint="eastAsia"/>
                <w:sz w:val="18"/>
                <w:szCs w:val="18"/>
              </w:rPr>
              <w:t>S.r.l</w:t>
            </w:r>
            <w:proofErr w:type="spellEnd"/>
          </w:p>
        </w:tc>
        <w:tc>
          <w:tcPr>
            <w:tcW w:w="1692" w:type="pct"/>
            <w:tcMar>
              <w:top w:w="0" w:type="dxa"/>
              <w:left w:w="108" w:type="dxa"/>
              <w:bottom w:w="0" w:type="dxa"/>
              <w:right w:w="108" w:type="dxa"/>
            </w:tcMar>
            <w:vAlign w:val="center"/>
            <w:hideMark/>
          </w:tcPr>
          <w:p w14:paraId="324ACB18" w14:textId="77777777" w:rsidR="00E72F0C" w:rsidRPr="007071A0" w:rsidRDefault="00107901">
            <w:pPr>
              <w:pStyle w:val="a3"/>
              <w:spacing w:before="0" w:beforeAutospacing="0" w:after="0" w:afterAutospacing="0" w:line="360" w:lineRule="atLeast"/>
              <w:jc w:val="right"/>
              <w:rPr>
                <w:rFonts w:asciiTheme="minorEastAsia" w:eastAsiaTheme="minorEastAsia" w:hAnsiTheme="minorEastAsia" w:cs="Times New Roman" w:hint="eastAsia"/>
                <w:sz w:val="21"/>
                <w:szCs w:val="21"/>
              </w:rPr>
            </w:pPr>
            <w:r w:rsidRPr="007071A0">
              <w:rPr>
                <w:rFonts w:asciiTheme="minorEastAsia" w:eastAsiaTheme="minorEastAsia" w:hAnsiTheme="minorEastAsia" w:cs="Arial"/>
                <w:sz w:val="18"/>
                <w:szCs w:val="18"/>
              </w:rPr>
              <w:t xml:space="preserve">11,886,097.33 </w:t>
            </w:r>
          </w:p>
        </w:tc>
      </w:tr>
      <w:tr w:rsidR="00E72F0C" w:rsidRPr="007071A0" w14:paraId="1F4848BD" w14:textId="77777777" w:rsidTr="008F13E1">
        <w:trPr>
          <w:divId w:val="1316685614"/>
          <w:trHeight w:val="312"/>
        </w:trPr>
        <w:tc>
          <w:tcPr>
            <w:tcW w:w="3308" w:type="pct"/>
            <w:tcMar>
              <w:top w:w="0" w:type="dxa"/>
              <w:left w:w="108" w:type="dxa"/>
              <w:bottom w:w="0" w:type="dxa"/>
              <w:right w:w="108" w:type="dxa"/>
            </w:tcMar>
            <w:vAlign w:val="center"/>
            <w:hideMark/>
          </w:tcPr>
          <w:p w14:paraId="060E2143" w14:textId="77777777" w:rsidR="00E72F0C" w:rsidRPr="007071A0" w:rsidRDefault="00107901">
            <w:pPr>
              <w:pStyle w:val="a3"/>
              <w:spacing w:before="0" w:beforeAutospacing="0" w:after="0" w:afterAutospacing="0"/>
              <w:jc w:val="both"/>
              <w:rPr>
                <w:rFonts w:asciiTheme="minorEastAsia" w:eastAsiaTheme="minorEastAsia" w:hAnsiTheme="minorEastAsia" w:cs="Times New Roman" w:hint="eastAsia"/>
                <w:sz w:val="21"/>
                <w:szCs w:val="21"/>
              </w:rPr>
            </w:pPr>
            <w:r w:rsidRPr="007071A0">
              <w:rPr>
                <w:rFonts w:asciiTheme="minorEastAsia" w:eastAsiaTheme="minorEastAsia" w:hAnsiTheme="minorEastAsia" w:cs="Times New Roman" w:hint="eastAsia"/>
                <w:sz w:val="18"/>
                <w:szCs w:val="18"/>
              </w:rPr>
              <w:t>减：丧失控制权日子公司持有的现金及现金等价物</w:t>
            </w:r>
          </w:p>
        </w:tc>
        <w:tc>
          <w:tcPr>
            <w:tcW w:w="1692" w:type="pct"/>
            <w:tcMar>
              <w:top w:w="0" w:type="dxa"/>
              <w:left w:w="108" w:type="dxa"/>
              <w:bottom w:w="0" w:type="dxa"/>
              <w:right w:w="108" w:type="dxa"/>
            </w:tcMar>
            <w:vAlign w:val="center"/>
            <w:hideMark/>
          </w:tcPr>
          <w:p w14:paraId="671EAFB9" w14:textId="77777777" w:rsidR="00E72F0C" w:rsidRPr="007071A0" w:rsidRDefault="00107901">
            <w:pPr>
              <w:pStyle w:val="a3"/>
              <w:spacing w:before="0" w:beforeAutospacing="0" w:after="0" w:afterAutospacing="0" w:line="360" w:lineRule="atLeast"/>
              <w:jc w:val="right"/>
              <w:rPr>
                <w:rFonts w:asciiTheme="minorEastAsia" w:eastAsiaTheme="minorEastAsia" w:hAnsiTheme="minorEastAsia" w:cs="Times New Roman" w:hint="eastAsia"/>
                <w:sz w:val="21"/>
                <w:szCs w:val="21"/>
              </w:rPr>
            </w:pPr>
            <w:r w:rsidRPr="007071A0">
              <w:rPr>
                <w:rFonts w:asciiTheme="minorEastAsia" w:eastAsiaTheme="minorEastAsia" w:hAnsiTheme="minorEastAsia" w:cs="Arial"/>
                <w:sz w:val="18"/>
                <w:szCs w:val="18"/>
              </w:rPr>
              <w:t xml:space="preserve">19,446.31 </w:t>
            </w:r>
          </w:p>
        </w:tc>
      </w:tr>
      <w:tr w:rsidR="00E72F0C" w:rsidRPr="007071A0" w14:paraId="333867B7" w14:textId="77777777" w:rsidTr="008F13E1">
        <w:trPr>
          <w:divId w:val="1316685614"/>
          <w:trHeight w:val="312"/>
        </w:trPr>
        <w:tc>
          <w:tcPr>
            <w:tcW w:w="3308" w:type="pct"/>
            <w:tcMar>
              <w:top w:w="0" w:type="dxa"/>
              <w:left w:w="108" w:type="dxa"/>
              <w:bottom w:w="0" w:type="dxa"/>
              <w:right w:w="108" w:type="dxa"/>
            </w:tcMar>
            <w:vAlign w:val="center"/>
            <w:hideMark/>
          </w:tcPr>
          <w:p w14:paraId="331B5028" w14:textId="77777777" w:rsidR="00E72F0C" w:rsidRPr="007071A0" w:rsidRDefault="00107901">
            <w:pPr>
              <w:pStyle w:val="a3"/>
              <w:spacing w:before="0" w:beforeAutospacing="0" w:after="0" w:afterAutospacing="0"/>
              <w:jc w:val="both"/>
              <w:rPr>
                <w:rFonts w:asciiTheme="minorEastAsia" w:eastAsiaTheme="minorEastAsia" w:hAnsiTheme="minorEastAsia" w:cs="Times New Roman" w:hint="eastAsia"/>
                <w:sz w:val="21"/>
                <w:szCs w:val="21"/>
              </w:rPr>
            </w:pPr>
            <w:r w:rsidRPr="007071A0">
              <w:rPr>
                <w:rFonts w:asciiTheme="minorEastAsia" w:eastAsiaTheme="minorEastAsia" w:hAnsiTheme="minorEastAsia" w:cs="Times New Roman" w:hint="eastAsia"/>
                <w:sz w:val="18"/>
                <w:szCs w:val="18"/>
              </w:rPr>
              <w:t>其中：</w:t>
            </w:r>
            <w:proofErr w:type="spellStart"/>
            <w:r w:rsidRPr="007071A0">
              <w:rPr>
                <w:rFonts w:asciiTheme="minorEastAsia" w:eastAsiaTheme="minorEastAsia" w:hAnsiTheme="minorEastAsia" w:cs="Times New Roman" w:hint="eastAsia"/>
                <w:sz w:val="18"/>
                <w:szCs w:val="18"/>
              </w:rPr>
              <w:t>Fattoria</w:t>
            </w:r>
            <w:proofErr w:type="spellEnd"/>
            <w:r w:rsidRPr="007071A0">
              <w:rPr>
                <w:rFonts w:asciiTheme="minorEastAsia" w:eastAsiaTheme="minorEastAsia" w:hAnsiTheme="minorEastAsia" w:cs="Times New Roman" w:hint="eastAsia"/>
                <w:sz w:val="18"/>
                <w:szCs w:val="18"/>
              </w:rPr>
              <w:t xml:space="preserve"> Solare Imola </w:t>
            </w:r>
            <w:proofErr w:type="spellStart"/>
            <w:r w:rsidRPr="007071A0">
              <w:rPr>
                <w:rFonts w:asciiTheme="minorEastAsia" w:eastAsiaTheme="minorEastAsia" w:hAnsiTheme="minorEastAsia" w:cs="Times New Roman" w:hint="eastAsia"/>
                <w:sz w:val="18"/>
                <w:szCs w:val="18"/>
              </w:rPr>
              <w:t>S.r.l</w:t>
            </w:r>
            <w:proofErr w:type="spellEnd"/>
          </w:p>
        </w:tc>
        <w:tc>
          <w:tcPr>
            <w:tcW w:w="1692" w:type="pct"/>
            <w:tcMar>
              <w:top w:w="0" w:type="dxa"/>
              <w:left w:w="108" w:type="dxa"/>
              <w:bottom w:w="0" w:type="dxa"/>
              <w:right w:w="108" w:type="dxa"/>
            </w:tcMar>
            <w:vAlign w:val="center"/>
            <w:hideMark/>
          </w:tcPr>
          <w:p w14:paraId="39DECBAC" w14:textId="77777777" w:rsidR="00E72F0C" w:rsidRPr="007071A0" w:rsidRDefault="00107901">
            <w:pPr>
              <w:pStyle w:val="a3"/>
              <w:spacing w:before="0" w:beforeAutospacing="0" w:after="0" w:afterAutospacing="0" w:line="360" w:lineRule="atLeast"/>
              <w:jc w:val="right"/>
              <w:rPr>
                <w:rFonts w:asciiTheme="minorEastAsia" w:eastAsiaTheme="minorEastAsia" w:hAnsiTheme="minorEastAsia" w:cs="Times New Roman" w:hint="eastAsia"/>
                <w:sz w:val="21"/>
                <w:szCs w:val="21"/>
              </w:rPr>
            </w:pPr>
            <w:r w:rsidRPr="007071A0">
              <w:rPr>
                <w:rFonts w:asciiTheme="minorEastAsia" w:eastAsiaTheme="minorEastAsia" w:hAnsiTheme="minorEastAsia" w:cs="Arial"/>
                <w:sz w:val="18"/>
                <w:szCs w:val="18"/>
              </w:rPr>
              <w:t xml:space="preserve">19,446.31 </w:t>
            </w:r>
          </w:p>
        </w:tc>
      </w:tr>
      <w:tr w:rsidR="00E72F0C" w:rsidRPr="007071A0" w14:paraId="478C06EE" w14:textId="77777777" w:rsidTr="008F13E1">
        <w:trPr>
          <w:divId w:val="1316685614"/>
          <w:trHeight w:val="312"/>
        </w:trPr>
        <w:tc>
          <w:tcPr>
            <w:tcW w:w="3308" w:type="pct"/>
            <w:tcMar>
              <w:top w:w="0" w:type="dxa"/>
              <w:left w:w="108" w:type="dxa"/>
              <w:bottom w:w="0" w:type="dxa"/>
              <w:right w:w="108" w:type="dxa"/>
            </w:tcMar>
            <w:vAlign w:val="center"/>
            <w:hideMark/>
          </w:tcPr>
          <w:p w14:paraId="15EFB658" w14:textId="77777777" w:rsidR="00E72F0C" w:rsidRPr="007071A0" w:rsidRDefault="00107901">
            <w:pPr>
              <w:pStyle w:val="a3"/>
              <w:spacing w:before="0" w:beforeAutospacing="0" w:after="0" w:afterAutospacing="0"/>
              <w:jc w:val="both"/>
              <w:rPr>
                <w:rFonts w:asciiTheme="minorEastAsia" w:eastAsiaTheme="minorEastAsia" w:hAnsiTheme="minorEastAsia" w:cs="Times New Roman" w:hint="eastAsia"/>
                <w:sz w:val="21"/>
                <w:szCs w:val="21"/>
              </w:rPr>
            </w:pPr>
            <w:r w:rsidRPr="007071A0">
              <w:rPr>
                <w:rFonts w:asciiTheme="minorEastAsia" w:eastAsiaTheme="minorEastAsia" w:hAnsiTheme="minorEastAsia" w:cs="Times New Roman" w:hint="eastAsia"/>
                <w:sz w:val="18"/>
                <w:szCs w:val="18"/>
              </w:rPr>
              <w:t>加：以前期间处置子公司在本期收到的现金或现金等价物</w:t>
            </w:r>
          </w:p>
        </w:tc>
        <w:tc>
          <w:tcPr>
            <w:tcW w:w="1692" w:type="pct"/>
            <w:tcMar>
              <w:top w:w="0" w:type="dxa"/>
              <w:left w:w="108" w:type="dxa"/>
              <w:bottom w:w="0" w:type="dxa"/>
              <w:right w:w="108" w:type="dxa"/>
            </w:tcMar>
            <w:vAlign w:val="center"/>
            <w:hideMark/>
          </w:tcPr>
          <w:p w14:paraId="2832FFCC" w14:textId="77777777" w:rsidR="00E72F0C" w:rsidRPr="007071A0"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7071A0">
              <w:rPr>
                <w:rFonts w:asciiTheme="minorEastAsia" w:eastAsiaTheme="minorEastAsia" w:hAnsiTheme="minorEastAsia" w:cs="Arial"/>
                <w:sz w:val="15"/>
                <w:szCs w:val="15"/>
              </w:rPr>
              <w:t> </w:t>
            </w:r>
          </w:p>
        </w:tc>
      </w:tr>
      <w:tr w:rsidR="00E72F0C" w:rsidRPr="007071A0" w14:paraId="7CFAD8A6" w14:textId="77777777" w:rsidTr="008F13E1">
        <w:trPr>
          <w:divId w:val="1316685614"/>
          <w:trHeight w:val="312"/>
        </w:trPr>
        <w:tc>
          <w:tcPr>
            <w:tcW w:w="3308" w:type="pct"/>
            <w:tcMar>
              <w:top w:w="0" w:type="dxa"/>
              <w:left w:w="108" w:type="dxa"/>
              <w:bottom w:w="0" w:type="dxa"/>
              <w:right w:w="108" w:type="dxa"/>
            </w:tcMar>
            <w:vAlign w:val="center"/>
            <w:hideMark/>
          </w:tcPr>
          <w:p w14:paraId="61F2BFC9" w14:textId="77777777" w:rsidR="00E72F0C" w:rsidRPr="007071A0" w:rsidRDefault="00107901">
            <w:pPr>
              <w:pStyle w:val="a3"/>
              <w:spacing w:before="0" w:beforeAutospacing="0" w:after="0" w:afterAutospacing="0"/>
              <w:jc w:val="both"/>
              <w:rPr>
                <w:rFonts w:asciiTheme="minorEastAsia" w:eastAsiaTheme="minorEastAsia" w:hAnsiTheme="minorEastAsia" w:cs="Times New Roman" w:hint="eastAsia"/>
                <w:sz w:val="21"/>
                <w:szCs w:val="21"/>
              </w:rPr>
            </w:pPr>
            <w:r w:rsidRPr="007071A0">
              <w:rPr>
                <w:rFonts w:asciiTheme="minorEastAsia" w:eastAsiaTheme="minorEastAsia" w:hAnsiTheme="minorEastAsia" w:cs="Times New Roman" w:hint="eastAsia"/>
                <w:sz w:val="18"/>
                <w:szCs w:val="18"/>
              </w:rPr>
              <w:t>处置子公司收到的现金净额</w:t>
            </w:r>
          </w:p>
        </w:tc>
        <w:tc>
          <w:tcPr>
            <w:tcW w:w="1692" w:type="pct"/>
            <w:tcMar>
              <w:top w:w="0" w:type="dxa"/>
              <w:left w:w="108" w:type="dxa"/>
              <w:bottom w:w="0" w:type="dxa"/>
              <w:right w:w="108" w:type="dxa"/>
            </w:tcMar>
            <w:vAlign w:val="center"/>
            <w:hideMark/>
          </w:tcPr>
          <w:p w14:paraId="38B46E5E" w14:textId="77777777" w:rsidR="00E72F0C" w:rsidRPr="007071A0" w:rsidRDefault="00107901">
            <w:pPr>
              <w:pStyle w:val="a3"/>
              <w:spacing w:before="0" w:beforeAutospacing="0" w:after="0" w:afterAutospacing="0" w:line="360" w:lineRule="atLeast"/>
              <w:jc w:val="right"/>
              <w:rPr>
                <w:rFonts w:asciiTheme="minorEastAsia" w:eastAsiaTheme="minorEastAsia" w:hAnsiTheme="minorEastAsia" w:cs="Times New Roman" w:hint="eastAsia"/>
                <w:sz w:val="21"/>
                <w:szCs w:val="21"/>
              </w:rPr>
            </w:pPr>
            <w:r w:rsidRPr="007071A0">
              <w:rPr>
                <w:rFonts w:asciiTheme="minorEastAsia" w:eastAsiaTheme="minorEastAsia" w:hAnsiTheme="minorEastAsia" w:cs="Arial"/>
                <w:sz w:val="18"/>
                <w:szCs w:val="18"/>
              </w:rPr>
              <w:t xml:space="preserve">11,866,651.02 </w:t>
            </w:r>
          </w:p>
        </w:tc>
      </w:tr>
    </w:tbl>
    <w:p w14:paraId="0E6C48FC"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支付的其他与投资活动有关的现金</w:t>
      </w:r>
    </w:p>
    <w:p w14:paraId="6B389D72"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48612B9C" w14:textId="77777777" w:rsidTr="00DD2081">
        <w:trPr>
          <w:trHeight w:val="240"/>
        </w:trPr>
        <w:tc>
          <w:tcPr>
            <w:tcW w:w="3213" w:type="dxa"/>
            <w:shd w:val="clear" w:color="auto" w:fill="FFFFFF" w:themeFill="background1"/>
            <w:vAlign w:val="center"/>
          </w:tcPr>
          <w:p w14:paraId="75FD1D9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0A6426F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auto" w:fill="FFFFFF" w:themeFill="background1"/>
            <w:vAlign w:val="center"/>
          </w:tcPr>
          <w:p w14:paraId="3F37526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632E5B" w14:paraId="69C60094" w14:textId="77777777" w:rsidTr="00DD2081">
        <w:trPr>
          <w:trHeight w:val="240"/>
        </w:trPr>
        <w:tc>
          <w:tcPr>
            <w:tcW w:w="3213" w:type="dxa"/>
            <w:shd w:val="clear" w:color="auto" w:fill="FFFFFF" w:themeFill="background1"/>
            <w:vAlign w:val="center"/>
          </w:tcPr>
          <w:p w14:paraId="52D2D29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支付的其他与投资活动有关的现金</w:t>
            </w:r>
          </w:p>
        </w:tc>
        <w:tc>
          <w:tcPr>
            <w:tcW w:w="3213" w:type="dxa"/>
            <w:shd w:val="clear" w:color="auto" w:fill="FFFFFF" w:themeFill="background1"/>
            <w:vAlign w:val="center"/>
          </w:tcPr>
          <w:p w14:paraId="7CE6D42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1,929,774.00</w:t>
            </w:r>
          </w:p>
        </w:tc>
        <w:tc>
          <w:tcPr>
            <w:tcW w:w="3213" w:type="dxa"/>
            <w:shd w:val="clear" w:color="auto" w:fill="FFFFFF" w:themeFill="background1"/>
            <w:vAlign w:val="center"/>
          </w:tcPr>
          <w:p w14:paraId="3E65FDC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r>
      <w:tr w:rsidR="00632E5B" w14:paraId="7FDD0476" w14:textId="77777777" w:rsidTr="00DD2081">
        <w:trPr>
          <w:trHeight w:val="240"/>
        </w:trPr>
        <w:tc>
          <w:tcPr>
            <w:tcW w:w="3213" w:type="dxa"/>
            <w:shd w:val="clear" w:color="auto" w:fill="FFFFFF" w:themeFill="background1"/>
            <w:vAlign w:val="center"/>
          </w:tcPr>
          <w:p w14:paraId="6C111191"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65DBE5C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1,929,774.00</w:t>
            </w:r>
          </w:p>
        </w:tc>
        <w:tc>
          <w:tcPr>
            <w:tcW w:w="3213" w:type="dxa"/>
            <w:shd w:val="clear" w:color="auto" w:fill="FFFFFF" w:themeFill="background1"/>
            <w:vAlign w:val="center"/>
          </w:tcPr>
          <w:p w14:paraId="400AF81B" w14:textId="77777777" w:rsidR="00632E5B" w:rsidRDefault="00632E5B">
            <w:pPr>
              <w:spacing w:line="240" w:lineRule="exact"/>
              <w:jc w:val="right"/>
              <w:rPr>
                <w:rFonts w:ascii="宋体" w:eastAsia="宋体" w:hAnsi="宋体" w:cs="宋体" w:hint="eastAsia"/>
                <w:sz w:val="18"/>
                <w:szCs w:val="18"/>
              </w:rPr>
            </w:pPr>
          </w:p>
        </w:tc>
      </w:tr>
    </w:tbl>
    <w:p w14:paraId="5D012F35"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支付的重要的与投资活动有关的现金</w:t>
      </w:r>
    </w:p>
    <w:p w14:paraId="117CE657"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lastRenderedPageBreak/>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0CC0B2C1" w14:textId="77777777" w:rsidTr="00DD2081">
        <w:trPr>
          <w:trHeight w:val="240"/>
        </w:trPr>
        <w:tc>
          <w:tcPr>
            <w:tcW w:w="3213" w:type="dxa"/>
            <w:shd w:val="clear" w:color="auto" w:fill="FFFFFF" w:themeFill="background1"/>
            <w:vAlign w:val="center"/>
          </w:tcPr>
          <w:p w14:paraId="7F9D422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4F0025B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auto" w:fill="FFFFFF" w:themeFill="background1"/>
            <w:vAlign w:val="center"/>
          </w:tcPr>
          <w:p w14:paraId="53B2C87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632E5B" w14:paraId="279FB230" w14:textId="77777777" w:rsidTr="00DD2081">
        <w:trPr>
          <w:trHeight w:val="240"/>
        </w:trPr>
        <w:tc>
          <w:tcPr>
            <w:tcW w:w="3213" w:type="dxa"/>
            <w:shd w:val="clear" w:color="auto" w:fill="FFFFFF" w:themeFill="background1"/>
            <w:vAlign w:val="center"/>
          </w:tcPr>
          <w:p w14:paraId="57965AD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重要的购建固定资产、无形资产和其他长期资产支付的现金</w:t>
            </w:r>
          </w:p>
        </w:tc>
        <w:tc>
          <w:tcPr>
            <w:tcW w:w="3213" w:type="dxa"/>
            <w:shd w:val="clear" w:color="auto" w:fill="FFFFFF" w:themeFill="background1"/>
            <w:vAlign w:val="center"/>
          </w:tcPr>
          <w:p w14:paraId="3E2719C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133,132,014.10</w:t>
            </w:r>
          </w:p>
        </w:tc>
        <w:tc>
          <w:tcPr>
            <w:tcW w:w="3213" w:type="dxa"/>
            <w:shd w:val="clear" w:color="auto" w:fill="FFFFFF" w:themeFill="background1"/>
            <w:vAlign w:val="center"/>
          </w:tcPr>
          <w:p w14:paraId="7D14F248" w14:textId="77777777" w:rsidR="00632E5B" w:rsidRDefault="00632E5B">
            <w:pPr>
              <w:spacing w:line="240" w:lineRule="exact"/>
              <w:jc w:val="right"/>
              <w:rPr>
                <w:rFonts w:ascii="宋体" w:eastAsia="宋体" w:hAnsi="宋体" w:cs="宋体" w:hint="eastAsia"/>
                <w:sz w:val="18"/>
                <w:szCs w:val="18"/>
              </w:rPr>
            </w:pPr>
          </w:p>
        </w:tc>
      </w:tr>
      <w:tr w:rsidR="00632E5B" w14:paraId="5B27CC83" w14:textId="77777777" w:rsidTr="00DD2081">
        <w:trPr>
          <w:trHeight w:val="240"/>
        </w:trPr>
        <w:tc>
          <w:tcPr>
            <w:tcW w:w="3213" w:type="dxa"/>
            <w:shd w:val="clear" w:color="auto" w:fill="FFFFFF" w:themeFill="background1"/>
            <w:vAlign w:val="center"/>
          </w:tcPr>
          <w:p w14:paraId="3483A2FF"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3910D60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133,132,014.10</w:t>
            </w:r>
          </w:p>
        </w:tc>
        <w:tc>
          <w:tcPr>
            <w:tcW w:w="3213" w:type="dxa"/>
            <w:shd w:val="clear" w:color="auto" w:fill="FFFFFF" w:themeFill="background1"/>
            <w:vAlign w:val="center"/>
          </w:tcPr>
          <w:p w14:paraId="55EF5F4C" w14:textId="77777777" w:rsidR="00632E5B" w:rsidRDefault="00632E5B">
            <w:pPr>
              <w:spacing w:line="240" w:lineRule="exact"/>
              <w:jc w:val="right"/>
              <w:rPr>
                <w:rFonts w:ascii="宋体" w:eastAsia="宋体" w:hAnsi="宋体" w:cs="宋体" w:hint="eastAsia"/>
                <w:sz w:val="18"/>
                <w:szCs w:val="18"/>
              </w:rPr>
            </w:pPr>
          </w:p>
        </w:tc>
      </w:tr>
    </w:tbl>
    <w:p w14:paraId="4215467E"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331" w:name="_Toc989217"/>
      <w:r>
        <w:rPr>
          <w:rFonts w:ascii="宋体" w:eastAsia="宋体" w:hAnsi="宋体" w:cs="宋体"/>
          <w:b/>
          <w:bCs/>
          <w:szCs w:val="21"/>
        </w:rPr>
        <w:t>（3） 与筹资活动有关的现金</w:t>
      </w:r>
      <w:bookmarkEnd w:id="331"/>
    </w:p>
    <w:p w14:paraId="453E2411"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收到的其他与筹资活动有关的现金</w:t>
      </w:r>
    </w:p>
    <w:p w14:paraId="7BFA8746"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44E4DA51" w14:textId="77777777" w:rsidTr="00DD2081">
        <w:trPr>
          <w:trHeight w:val="240"/>
        </w:trPr>
        <w:tc>
          <w:tcPr>
            <w:tcW w:w="3213" w:type="dxa"/>
            <w:shd w:val="clear" w:color="auto" w:fill="FFFFFF" w:themeFill="background1"/>
            <w:vAlign w:val="center"/>
          </w:tcPr>
          <w:p w14:paraId="5524863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753E84B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auto" w:fill="FFFFFF" w:themeFill="background1"/>
            <w:vAlign w:val="center"/>
          </w:tcPr>
          <w:p w14:paraId="7A77116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632E5B" w14:paraId="08C68241" w14:textId="77777777" w:rsidTr="00DD2081">
        <w:trPr>
          <w:trHeight w:val="240"/>
        </w:trPr>
        <w:tc>
          <w:tcPr>
            <w:tcW w:w="3213" w:type="dxa"/>
            <w:shd w:val="clear" w:color="auto" w:fill="FFFFFF" w:themeFill="background1"/>
            <w:vAlign w:val="center"/>
          </w:tcPr>
          <w:p w14:paraId="1A982D2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非金融机构借款</w:t>
            </w:r>
          </w:p>
        </w:tc>
        <w:tc>
          <w:tcPr>
            <w:tcW w:w="3213" w:type="dxa"/>
            <w:shd w:val="clear" w:color="auto" w:fill="FFFFFF" w:themeFill="background1"/>
            <w:vAlign w:val="center"/>
          </w:tcPr>
          <w:p w14:paraId="5B0998FF" w14:textId="77777777" w:rsidR="00632E5B" w:rsidRDefault="00632E5B">
            <w:pPr>
              <w:spacing w:line="240" w:lineRule="exact"/>
              <w:jc w:val="right"/>
              <w:rPr>
                <w:rFonts w:ascii="宋体" w:eastAsia="宋体" w:hAnsi="宋体" w:cs="宋体" w:hint="eastAsia"/>
                <w:sz w:val="18"/>
                <w:szCs w:val="18"/>
              </w:rPr>
            </w:pPr>
          </w:p>
        </w:tc>
        <w:tc>
          <w:tcPr>
            <w:tcW w:w="3213" w:type="dxa"/>
            <w:shd w:val="clear" w:color="auto" w:fill="FFFFFF" w:themeFill="background1"/>
            <w:vAlign w:val="center"/>
          </w:tcPr>
          <w:p w14:paraId="1A3F485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1,008,854.78</w:t>
            </w:r>
          </w:p>
        </w:tc>
      </w:tr>
      <w:tr w:rsidR="00632E5B" w14:paraId="4F4B2023" w14:textId="77777777" w:rsidTr="00DD2081">
        <w:trPr>
          <w:trHeight w:val="240"/>
        </w:trPr>
        <w:tc>
          <w:tcPr>
            <w:tcW w:w="3213" w:type="dxa"/>
            <w:shd w:val="clear" w:color="auto" w:fill="FFFFFF" w:themeFill="background1"/>
            <w:vAlign w:val="center"/>
          </w:tcPr>
          <w:p w14:paraId="427FB2E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收回短期借款保证金</w:t>
            </w:r>
          </w:p>
        </w:tc>
        <w:tc>
          <w:tcPr>
            <w:tcW w:w="3213" w:type="dxa"/>
            <w:shd w:val="clear" w:color="auto" w:fill="FFFFFF" w:themeFill="background1"/>
            <w:vAlign w:val="center"/>
          </w:tcPr>
          <w:p w14:paraId="37FE559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15,000,000.00</w:t>
            </w:r>
          </w:p>
        </w:tc>
        <w:tc>
          <w:tcPr>
            <w:tcW w:w="3213" w:type="dxa"/>
            <w:shd w:val="clear" w:color="auto" w:fill="FFFFFF" w:themeFill="background1"/>
            <w:vAlign w:val="center"/>
          </w:tcPr>
          <w:p w14:paraId="3325E190" w14:textId="77777777" w:rsidR="00632E5B" w:rsidRDefault="00632E5B">
            <w:pPr>
              <w:spacing w:line="240" w:lineRule="exact"/>
              <w:jc w:val="right"/>
              <w:rPr>
                <w:rFonts w:ascii="宋体" w:eastAsia="宋体" w:hAnsi="宋体" w:cs="宋体" w:hint="eastAsia"/>
                <w:sz w:val="18"/>
                <w:szCs w:val="18"/>
              </w:rPr>
            </w:pPr>
          </w:p>
        </w:tc>
      </w:tr>
      <w:tr w:rsidR="00632E5B" w14:paraId="6D138F4B" w14:textId="77777777" w:rsidTr="00DD2081">
        <w:trPr>
          <w:trHeight w:val="240"/>
        </w:trPr>
        <w:tc>
          <w:tcPr>
            <w:tcW w:w="3213" w:type="dxa"/>
            <w:shd w:val="clear" w:color="auto" w:fill="FFFFFF" w:themeFill="background1"/>
            <w:vAlign w:val="center"/>
          </w:tcPr>
          <w:p w14:paraId="101CBBD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财务投资人捐赠</w:t>
            </w:r>
          </w:p>
        </w:tc>
        <w:tc>
          <w:tcPr>
            <w:tcW w:w="3213" w:type="dxa"/>
            <w:shd w:val="clear" w:color="auto" w:fill="FFFFFF" w:themeFill="background1"/>
            <w:vAlign w:val="center"/>
          </w:tcPr>
          <w:p w14:paraId="395F6B9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680,357,091.42</w:t>
            </w:r>
          </w:p>
        </w:tc>
        <w:tc>
          <w:tcPr>
            <w:tcW w:w="3213" w:type="dxa"/>
            <w:shd w:val="clear" w:color="auto" w:fill="FFFFFF" w:themeFill="background1"/>
            <w:vAlign w:val="center"/>
          </w:tcPr>
          <w:p w14:paraId="1CAE7D8F" w14:textId="77777777" w:rsidR="00632E5B" w:rsidRDefault="00632E5B">
            <w:pPr>
              <w:spacing w:line="240" w:lineRule="exact"/>
              <w:jc w:val="right"/>
              <w:rPr>
                <w:rFonts w:ascii="宋体" w:eastAsia="宋体" w:hAnsi="宋体" w:cs="宋体" w:hint="eastAsia"/>
                <w:sz w:val="18"/>
                <w:szCs w:val="18"/>
              </w:rPr>
            </w:pPr>
          </w:p>
        </w:tc>
      </w:tr>
      <w:tr w:rsidR="00632E5B" w14:paraId="6337458F" w14:textId="77777777" w:rsidTr="00DD2081">
        <w:trPr>
          <w:trHeight w:val="240"/>
        </w:trPr>
        <w:tc>
          <w:tcPr>
            <w:tcW w:w="3213" w:type="dxa"/>
            <w:shd w:val="clear" w:color="auto" w:fill="FFFFFF" w:themeFill="background1"/>
            <w:vAlign w:val="center"/>
          </w:tcPr>
          <w:p w14:paraId="226D20D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4F92986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695,357,091.42</w:t>
            </w:r>
          </w:p>
        </w:tc>
        <w:tc>
          <w:tcPr>
            <w:tcW w:w="3213" w:type="dxa"/>
            <w:shd w:val="clear" w:color="auto" w:fill="FFFFFF" w:themeFill="background1"/>
            <w:vAlign w:val="center"/>
          </w:tcPr>
          <w:p w14:paraId="45EE54C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1,008,854.78</w:t>
            </w:r>
          </w:p>
        </w:tc>
      </w:tr>
    </w:tbl>
    <w:p w14:paraId="57235641"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支付的其他与筹资活动有关的现金</w:t>
      </w:r>
    </w:p>
    <w:p w14:paraId="01B0E3FE"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7969EC48" w14:textId="77777777" w:rsidTr="00DD2081">
        <w:trPr>
          <w:trHeight w:val="240"/>
        </w:trPr>
        <w:tc>
          <w:tcPr>
            <w:tcW w:w="3213" w:type="dxa"/>
            <w:shd w:val="clear" w:color="auto" w:fill="FFFFFF" w:themeFill="background1"/>
            <w:vAlign w:val="center"/>
          </w:tcPr>
          <w:p w14:paraId="7A273BB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4E2B07B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auto" w:fill="FFFFFF" w:themeFill="background1"/>
            <w:vAlign w:val="center"/>
          </w:tcPr>
          <w:p w14:paraId="63D4E53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632E5B" w14:paraId="2B008D32" w14:textId="77777777" w:rsidTr="00DD2081">
        <w:trPr>
          <w:trHeight w:val="240"/>
        </w:trPr>
        <w:tc>
          <w:tcPr>
            <w:tcW w:w="3213" w:type="dxa"/>
            <w:shd w:val="clear" w:color="auto" w:fill="FFFFFF" w:themeFill="background1"/>
            <w:vAlign w:val="center"/>
          </w:tcPr>
          <w:p w14:paraId="6F9A71A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还非金融机构借款</w:t>
            </w:r>
          </w:p>
        </w:tc>
        <w:tc>
          <w:tcPr>
            <w:tcW w:w="3213" w:type="dxa"/>
            <w:shd w:val="clear" w:color="auto" w:fill="FFFFFF" w:themeFill="background1"/>
            <w:vAlign w:val="center"/>
          </w:tcPr>
          <w:p w14:paraId="1307ECD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113,023,317.78</w:t>
            </w:r>
          </w:p>
        </w:tc>
        <w:tc>
          <w:tcPr>
            <w:tcW w:w="3213" w:type="dxa"/>
            <w:shd w:val="clear" w:color="auto" w:fill="FFFFFF" w:themeFill="background1"/>
            <w:vAlign w:val="center"/>
          </w:tcPr>
          <w:p w14:paraId="3216AD3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16,697,412.05</w:t>
            </w:r>
          </w:p>
        </w:tc>
      </w:tr>
      <w:tr w:rsidR="00632E5B" w14:paraId="71A82B3C" w14:textId="77777777" w:rsidTr="00DD2081">
        <w:trPr>
          <w:trHeight w:val="240"/>
        </w:trPr>
        <w:tc>
          <w:tcPr>
            <w:tcW w:w="3213" w:type="dxa"/>
            <w:shd w:val="clear" w:color="auto" w:fill="FFFFFF" w:themeFill="background1"/>
            <w:vAlign w:val="center"/>
          </w:tcPr>
          <w:p w14:paraId="4F358C0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支付租赁款</w:t>
            </w:r>
          </w:p>
        </w:tc>
        <w:tc>
          <w:tcPr>
            <w:tcW w:w="3213" w:type="dxa"/>
            <w:shd w:val="clear" w:color="auto" w:fill="FFFFFF" w:themeFill="background1"/>
            <w:vAlign w:val="center"/>
          </w:tcPr>
          <w:p w14:paraId="544AED9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3,808,316.98</w:t>
            </w:r>
          </w:p>
        </w:tc>
        <w:tc>
          <w:tcPr>
            <w:tcW w:w="3213" w:type="dxa"/>
            <w:shd w:val="clear" w:color="auto" w:fill="FFFFFF" w:themeFill="background1"/>
            <w:vAlign w:val="center"/>
          </w:tcPr>
          <w:p w14:paraId="5988D6E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1,402,301.43</w:t>
            </w:r>
          </w:p>
        </w:tc>
      </w:tr>
      <w:tr w:rsidR="00632E5B" w14:paraId="1ED03675" w14:textId="77777777" w:rsidTr="00DD2081">
        <w:trPr>
          <w:trHeight w:val="240"/>
        </w:trPr>
        <w:tc>
          <w:tcPr>
            <w:tcW w:w="3213" w:type="dxa"/>
            <w:shd w:val="clear" w:color="auto" w:fill="FFFFFF" w:themeFill="background1"/>
            <w:vAlign w:val="center"/>
          </w:tcPr>
          <w:p w14:paraId="5B8F912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融资租赁款</w:t>
            </w:r>
          </w:p>
        </w:tc>
        <w:tc>
          <w:tcPr>
            <w:tcW w:w="3213" w:type="dxa"/>
            <w:shd w:val="clear" w:color="auto" w:fill="FFFFFF" w:themeFill="background1"/>
            <w:vAlign w:val="center"/>
          </w:tcPr>
          <w:p w14:paraId="2DC0AF2F" w14:textId="77777777" w:rsidR="00632E5B" w:rsidRDefault="00632E5B">
            <w:pPr>
              <w:spacing w:line="240" w:lineRule="exact"/>
              <w:jc w:val="right"/>
              <w:rPr>
                <w:rFonts w:ascii="宋体" w:eastAsia="宋体" w:hAnsi="宋体" w:cs="宋体" w:hint="eastAsia"/>
                <w:sz w:val="18"/>
                <w:szCs w:val="18"/>
              </w:rPr>
            </w:pPr>
          </w:p>
        </w:tc>
        <w:tc>
          <w:tcPr>
            <w:tcW w:w="3213" w:type="dxa"/>
            <w:shd w:val="clear" w:color="auto" w:fill="FFFFFF" w:themeFill="background1"/>
            <w:vAlign w:val="center"/>
          </w:tcPr>
          <w:p w14:paraId="540D570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29,659,013.81</w:t>
            </w:r>
          </w:p>
        </w:tc>
      </w:tr>
      <w:tr w:rsidR="00632E5B" w14:paraId="559314B5" w14:textId="77777777" w:rsidTr="00DD2081">
        <w:trPr>
          <w:trHeight w:val="240"/>
        </w:trPr>
        <w:tc>
          <w:tcPr>
            <w:tcW w:w="3213" w:type="dxa"/>
            <w:shd w:val="clear" w:color="auto" w:fill="FFFFFF" w:themeFill="background1"/>
            <w:vAlign w:val="center"/>
          </w:tcPr>
          <w:p w14:paraId="34C5DF9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存放于管理人账户的偿债资金</w:t>
            </w:r>
          </w:p>
        </w:tc>
        <w:tc>
          <w:tcPr>
            <w:tcW w:w="3213" w:type="dxa"/>
            <w:shd w:val="clear" w:color="auto" w:fill="FFFFFF" w:themeFill="background1"/>
            <w:vAlign w:val="center"/>
          </w:tcPr>
          <w:p w14:paraId="261FDA2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910,080,039.06</w:t>
            </w:r>
          </w:p>
        </w:tc>
        <w:tc>
          <w:tcPr>
            <w:tcW w:w="3213" w:type="dxa"/>
            <w:shd w:val="clear" w:color="auto" w:fill="FFFFFF" w:themeFill="background1"/>
            <w:vAlign w:val="center"/>
          </w:tcPr>
          <w:p w14:paraId="2F0107C0" w14:textId="77777777" w:rsidR="00632E5B" w:rsidRDefault="00632E5B">
            <w:pPr>
              <w:spacing w:line="240" w:lineRule="exact"/>
              <w:jc w:val="right"/>
              <w:rPr>
                <w:rFonts w:ascii="宋体" w:eastAsia="宋体" w:hAnsi="宋体" w:cs="宋体" w:hint="eastAsia"/>
                <w:sz w:val="18"/>
                <w:szCs w:val="18"/>
              </w:rPr>
            </w:pPr>
          </w:p>
        </w:tc>
      </w:tr>
      <w:tr w:rsidR="00632E5B" w14:paraId="6A872D3A" w14:textId="77777777" w:rsidTr="00DD2081">
        <w:trPr>
          <w:trHeight w:val="240"/>
        </w:trPr>
        <w:tc>
          <w:tcPr>
            <w:tcW w:w="3213" w:type="dxa"/>
            <w:shd w:val="clear" w:color="auto" w:fill="FFFFFF" w:themeFill="background1"/>
            <w:vAlign w:val="center"/>
          </w:tcPr>
          <w:p w14:paraId="068E5A4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纳入信托计划子公司丧失控制权日子公司持有的现金及现金等价物</w:t>
            </w:r>
          </w:p>
        </w:tc>
        <w:tc>
          <w:tcPr>
            <w:tcW w:w="3213" w:type="dxa"/>
            <w:shd w:val="clear" w:color="auto" w:fill="FFFFFF" w:themeFill="background1"/>
            <w:vAlign w:val="center"/>
          </w:tcPr>
          <w:p w14:paraId="1E2AB05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19,008,846.23</w:t>
            </w:r>
          </w:p>
        </w:tc>
        <w:tc>
          <w:tcPr>
            <w:tcW w:w="3213" w:type="dxa"/>
            <w:shd w:val="clear" w:color="auto" w:fill="FFFFFF" w:themeFill="background1"/>
            <w:vAlign w:val="center"/>
          </w:tcPr>
          <w:p w14:paraId="66BC8D57" w14:textId="77777777" w:rsidR="00632E5B" w:rsidRDefault="00632E5B">
            <w:pPr>
              <w:spacing w:line="240" w:lineRule="exact"/>
              <w:jc w:val="right"/>
              <w:rPr>
                <w:rFonts w:ascii="宋体" w:eastAsia="宋体" w:hAnsi="宋体" w:cs="宋体" w:hint="eastAsia"/>
                <w:sz w:val="18"/>
                <w:szCs w:val="18"/>
              </w:rPr>
            </w:pPr>
          </w:p>
        </w:tc>
      </w:tr>
      <w:tr w:rsidR="00632E5B" w14:paraId="3910D86D" w14:textId="77777777" w:rsidTr="00DD2081">
        <w:trPr>
          <w:trHeight w:val="240"/>
        </w:trPr>
        <w:tc>
          <w:tcPr>
            <w:tcW w:w="3213" w:type="dxa"/>
            <w:shd w:val="clear" w:color="auto" w:fill="FFFFFF" w:themeFill="background1"/>
            <w:vAlign w:val="center"/>
          </w:tcPr>
          <w:p w14:paraId="5EDEF61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3213" w:type="dxa"/>
            <w:shd w:val="clear" w:color="auto" w:fill="FFFFFF" w:themeFill="background1"/>
            <w:vAlign w:val="center"/>
          </w:tcPr>
          <w:p w14:paraId="2A94B3E4" w14:textId="77777777" w:rsidR="00632E5B" w:rsidRDefault="00632E5B">
            <w:pPr>
              <w:spacing w:line="240" w:lineRule="exact"/>
              <w:jc w:val="right"/>
              <w:rPr>
                <w:rFonts w:ascii="宋体" w:eastAsia="宋体" w:hAnsi="宋体" w:cs="宋体" w:hint="eastAsia"/>
                <w:sz w:val="18"/>
                <w:szCs w:val="18"/>
              </w:rPr>
            </w:pPr>
          </w:p>
        </w:tc>
        <w:tc>
          <w:tcPr>
            <w:tcW w:w="3213" w:type="dxa"/>
            <w:shd w:val="clear" w:color="auto" w:fill="FFFFFF" w:themeFill="background1"/>
            <w:vAlign w:val="center"/>
          </w:tcPr>
          <w:p w14:paraId="25C6074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18,399.15</w:t>
            </w:r>
          </w:p>
        </w:tc>
      </w:tr>
      <w:tr w:rsidR="00632E5B" w14:paraId="6FEEEAD5" w14:textId="77777777" w:rsidTr="00DD2081">
        <w:trPr>
          <w:trHeight w:val="240"/>
        </w:trPr>
        <w:tc>
          <w:tcPr>
            <w:tcW w:w="3213" w:type="dxa"/>
            <w:shd w:val="clear" w:color="auto" w:fill="FFFFFF" w:themeFill="background1"/>
            <w:vAlign w:val="center"/>
          </w:tcPr>
          <w:p w14:paraId="564B8D9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2B8391F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1,045,920,520.05</w:t>
            </w:r>
          </w:p>
        </w:tc>
        <w:tc>
          <w:tcPr>
            <w:tcW w:w="3213" w:type="dxa"/>
            <w:shd w:val="clear" w:color="auto" w:fill="FFFFFF" w:themeFill="background1"/>
            <w:vAlign w:val="center"/>
          </w:tcPr>
          <w:p w14:paraId="7183FF8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47,777,126.44</w:t>
            </w:r>
          </w:p>
        </w:tc>
      </w:tr>
    </w:tbl>
    <w:p w14:paraId="5DC3B6A8"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筹资活动产生的各项负债变动情况</w:t>
      </w:r>
    </w:p>
    <w:p w14:paraId="3843295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0396C8EE" w14:textId="77777777" w:rsidR="00632E5B" w:rsidRDefault="00107901">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133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377"/>
        <w:gridCol w:w="1773"/>
        <w:gridCol w:w="1559"/>
        <w:gridCol w:w="1701"/>
        <w:gridCol w:w="1525"/>
        <w:gridCol w:w="1701"/>
        <w:gridCol w:w="1701"/>
      </w:tblGrid>
      <w:tr w:rsidR="00632E5B" w14:paraId="71720461" w14:textId="77777777" w:rsidTr="00DD2081">
        <w:trPr>
          <w:trHeight w:val="240"/>
          <w:jc w:val="center"/>
        </w:trPr>
        <w:tc>
          <w:tcPr>
            <w:tcW w:w="1377" w:type="dxa"/>
            <w:vMerge w:val="restart"/>
            <w:shd w:val="clear" w:color="auto" w:fill="FFFFFF" w:themeFill="background1"/>
            <w:vAlign w:val="center"/>
          </w:tcPr>
          <w:p w14:paraId="4AA6F46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773" w:type="dxa"/>
            <w:vMerge w:val="restart"/>
            <w:shd w:val="clear" w:color="auto" w:fill="FFFFFF" w:themeFill="background1"/>
            <w:vAlign w:val="center"/>
          </w:tcPr>
          <w:p w14:paraId="01FAF82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3260" w:type="dxa"/>
            <w:gridSpan w:val="2"/>
            <w:shd w:val="clear" w:color="auto" w:fill="FFFFFF" w:themeFill="background1"/>
            <w:vAlign w:val="center"/>
          </w:tcPr>
          <w:p w14:paraId="140D9BE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3226" w:type="dxa"/>
            <w:gridSpan w:val="2"/>
            <w:shd w:val="clear" w:color="auto" w:fill="FFFFFF" w:themeFill="background1"/>
            <w:vAlign w:val="center"/>
          </w:tcPr>
          <w:p w14:paraId="692289D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1701" w:type="dxa"/>
            <w:shd w:val="clear" w:color="auto" w:fill="FFFFFF" w:themeFill="background1"/>
            <w:vAlign w:val="center"/>
          </w:tcPr>
          <w:p w14:paraId="6D0EF24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632E5B" w14:paraId="786CCF62" w14:textId="77777777" w:rsidTr="00DD2081">
        <w:trPr>
          <w:trHeight w:val="240"/>
          <w:jc w:val="center"/>
        </w:trPr>
        <w:tc>
          <w:tcPr>
            <w:tcW w:w="1377" w:type="dxa"/>
            <w:vMerge/>
            <w:shd w:val="clear" w:color="auto" w:fill="FFFFFF" w:themeFill="background1"/>
            <w:vAlign w:val="center"/>
          </w:tcPr>
          <w:p w14:paraId="3E1EF50D" w14:textId="77777777" w:rsidR="00632E5B" w:rsidRDefault="00632E5B"/>
        </w:tc>
        <w:tc>
          <w:tcPr>
            <w:tcW w:w="1773" w:type="dxa"/>
            <w:vMerge/>
            <w:shd w:val="clear" w:color="auto" w:fill="FFFFFF" w:themeFill="background1"/>
            <w:vAlign w:val="center"/>
          </w:tcPr>
          <w:p w14:paraId="44ABB848" w14:textId="77777777" w:rsidR="00632E5B" w:rsidRDefault="00632E5B"/>
        </w:tc>
        <w:tc>
          <w:tcPr>
            <w:tcW w:w="1559" w:type="dxa"/>
            <w:shd w:val="clear" w:color="auto" w:fill="FFFFFF" w:themeFill="background1"/>
            <w:vAlign w:val="center"/>
          </w:tcPr>
          <w:p w14:paraId="0AC983B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现金变动</w:t>
            </w:r>
          </w:p>
        </w:tc>
        <w:tc>
          <w:tcPr>
            <w:tcW w:w="1701" w:type="dxa"/>
            <w:shd w:val="clear" w:color="auto" w:fill="FFFFFF" w:themeFill="background1"/>
            <w:vAlign w:val="center"/>
          </w:tcPr>
          <w:p w14:paraId="6FCEC9F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非现金变动</w:t>
            </w:r>
          </w:p>
        </w:tc>
        <w:tc>
          <w:tcPr>
            <w:tcW w:w="1525" w:type="dxa"/>
            <w:shd w:val="clear" w:color="auto" w:fill="FFFFFF" w:themeFill="background1"/>
            <w:vAlign w:val="center"/>
          </w:tcPr>
          <w:p w14:paraId="6B27C5D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现金变动</w:t>
            </w:r>
          </w:p>
        </w:tc>
        <w:tc>
          <w:tcPr>
            <w:tcW w:w="1701" w:type="dxa"/>
            <w:shd w:val="clear" w:color="auto" w:fill="FFFFFF" w:themeFill="background1"/>
            <w:vAlign w:val="center"/>
          </w:tcPr>
          <w:p w14:paraId="6FDD247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非现金变动</w:t>
            </w:r>
          </w:p>
        </w:tc>
        <w:tc>
          <w:tcPr>
            <w:tcW w:w="1701" w:type="dxa"/>
            <w:shd w:val="clear" w:color="auto" w:fill="FFFFFF" w:themeFill="background1"/>
            <w:vAlign w:val="center"/>
          </w:tcPr>
          <w:p w14:paraId="11CCC9F7" w14:textId="77777777" w:rsidR="00632E5B" w:rsidRDefault="00632E5B"/>
        </w:tc>
      </w:tr>
      <w:tr w:rsidR="00632E5B" w14:paraId="0BD6DDC5" w14:textId="77777777" w:rsidTr="00DD2081">
        <w:trPr>
          <w:trHeight w:val="240"/>
          <w:jc w:val="center"/>
        </w:trPr>
        <w:tc>
          <w:tcPr>
            <w:tcW w:w="1377" w:type="dxa"/>
            <w:shd w:val="clear" w:color="auto" w:fill="FFFFFF" w:themeFill="background1"/>
            <w:vAlign w:val="center"/>
          </w:tcPr>
          <w:p w14:paraId="015CEDD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其他应付款</w:t>
            </w:r>
          </w:p>
        </w:tc>
        <w:tc>
          <w:tcPr>
            <w:tcW w:w="1773" w:type="dxa"/>
            <w:shd w:val="clear" w:color="auto" w:fill="FFFFFF" w:themeFill="background1"/>
            <w:vAlign w:val="center"/>
          </w:tcPr>
          <w:p w14:paraId="651C57A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258,452,528.70</w:t>
            </w:r>
          </w:p>
        </w:tc>
        <w:tc>
          <w:tcPr>
            <w:tcW w:w="1559" w:type="dxa"/>
            <w:shd w:val="clear" w:color="auto" w:fill="FFFFFF" w:themeFill="background1"/>
            <w:vAlign w:val="center"/>
          </w:tcPr>
          <w:p w14:paraId="0B5B444A" w14:textId="77777777" w:rsidR="00632E5B" w:rsidRDefault="00632E5B">
            <w:pPr>
              <w:spacing w:line="240" w:lineRule="exact"/>
              <w:jc w:val="right"/>
              <w:rPr>
                <w:rFonts w:ascii="宋体" w:eastAsia="宋体" w:hAnsi="宋体" w:cs="宋体" w:hint="eastAsia"/>
                <w:sz w:val="18"/>
                <w:szCs w:val="18"/>
              </w:rPr>
            </w:pPr>
          </w:p>
        </w:tc>
        <w:tc>
          <w:tcPr>
            <w:tcW w:w="1701" w:type="dxa"/>
            <w:shd w:val="clear" w:color="auto" w:fill="FFFFFF" w:themeFill="background1"/>
            <w:vAlign w:val="center"/>
          </w:tcPr>
          <w:p w14:paraId="475786A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74,127,296.70</w:t>
            </w:r>
          </w:p>
        </w:tc>
        <w:tc>
          <w:tcPr>
            <w:tcW w:w="1525" w:type="dxa"/>
            <w:shd w:val="clear" w:color="auto" w:fill="FFFFFF" w:themeFill="background1"/>
            <w:vAlign w:val="center"/>
          </w:tcPr>
          <w:p w14:paraId="03D672B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1,681,890.67</w:t>
            </w:r>
          </w:p>
        </w:tc>
        <w:tc>
          <w:tcPr>
            <w:tcW w:w="1701" w:type="dxa"/>
            <w:shd w:val="clear" w:color="auto" w:fill="FFFFFF" w:themeFill="background1"/>
            <w:vAlign w:val="center"/>
          </w:tcPr>
          <w:p w14:paraId="54FC98F9" w14:textId="77777777" w:rsidR="00632E5B" w:rsidRDefault="00632E5B">
            <w:pPr>
              <w:spacing w:line="240" w:lineRule="exact"/>
              <w:jc w:val="right"/>
              <w:rPr>
                <w:rFonts w:ascii="宋体" w:eastAsia="宋体" w:hAnsi="宋体" w:cs="宋体" w:hint="eastAsia"/>
                <w:sz w:val="18"/>
                <w:szCs w:val="18"/>
              </w:rPr>
            </w:pPr>
          </w:p>
        </w:tc>
        <w:tc>
          <w:tcPr>
            <w:tcW w:w="1701" w:type="dxa"/>
            <w:shd w:val="clear" w:color="auto" w:fill="FFFFFF" w:themeFill="background1"/>
            <w:vAlign w:val="center"/>
          </w:tcPr>
          <w:p w14:paraId="798559E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330,897,934.73</w:t>
            </w:r>
          </w:p>
        </w:tc>
      </w:tr>
      <w:tr w:rsidR="00632E5B" w14:paraId="7AD65862" w14:textId="77777777" w:rsidTr="00DD2081">
        <w:trPr>
          <w:trHeight w:val="240"/>
          <w:jc w:val="center"/>
        </w:trPr>
        <w:tc>
          <w:tcPr>
            <w:tcW w:w="1377" w:type="dxa"/>
            <w:shd w:val="clear" w:color="auto" w:fill="FFFFFF" w:themeFill="background1"/>
            <w:vAlign w:val="center"/>
          </w:tcPr>
          <w:p w14:paraId="4D0682F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短期借款</w:t>
            </w:r>
          </w:p>
        </w:tc>
        <w:tc>
          <w:tcPr>
            <w:tcW w:w="1773" w:type="dxa"/>
            <w:shd w:val="clear" w:color="auto" w:fill="FFFFFF" w:themeFill="background1"/>
            <w:vAlign w:val="center"/>
          </w:tcPr>
          <w:p w14:paraId="0DDA301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2,910,605,047.91</w:t>
            </w:r>
          </w:p>
        </w:tc>
        <w:tc>
          <w:tcPr>
            <w:tcW w:w="1559" w:type="dxa"/>
            <w:shd w:val="clear" w:color="auto" w:fill="FFFFFF" w:themeFill="background1"/>
            <w:vAlign w:val="center"/>
          </w:tcPr>
          <w:p w14:paraId="0674BD3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237,511,901.92</w:t>
            </w:r>
          </w:p>
        </w:tc>
        <w:tc>
          <w:tcPr>
            <w:tcW w:w="1701" w:type="dxa"/>
            <w:shd w:val="clear" w:color="auto" w:fill="FFFFFF" w:themeFill="background1"/>
            <w:vAlign w:val="center"/>
          </w:tcPr>
          <w:p w14:paraId="478B203F" w14:textId="77777777" w:rsidR="00632E5B" w:rsidRDefault="00632E5B">
            <w:pPr>
              <w:spacing w:line="240" w:lineRule="exact"/>
              <w:jc w:val="right"/>
              <w:rPr>
                <w:rFonts w:ascii="宋体" w:eastAsia="宋体" w:hAnsi="宋体" w:cs="宋体" w:hint="eastAsia"/>
                <w:sz w:val="18"/>
                <w:szCs w:val="18"/>
              </w:rPr>
            </w:pPr>
          </w:p>
        </w:tc>
        <w:tc>
          <w:tcPr>
            <w:tcW w:w="1525" w:type="dxa"/>
            <w:shd w:val="clear" w:color="auto" w:fill="FFFFFF" w:themeFill="background1"/>
            <w:vAlign w:val="center"/>
          </w:tcPr>
          <w:p w14:paraId="3F60FF1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412,089,399.69</w:t>
            </w:r>
          </w:p>
        </w:tc>
        <w:tc>
          <w:tcPr>
            <w:tcW w:w="1701" w:type="dxa"/>
            <w:shd w:val="clear" w:color="auto" w:fill="FFFFFF" w:themeFill="background1"/>
            <w:vAlign w:val="center"/>
          </w:tcPr>
          <w:p w14:paraId="0727901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2,269,130,958.76</w:t>
            </w:r>
          </w:p>
        </w:tc>
        <w:tc>
          <w:tcPr>
            <w:tcW w:w="1701" w:type="dxa"/>
            <w:shd w:val="clear" w:color="auto" w:fill="FFFFFF" w:themeFill="background1"/>
            <w:vAlign w:val="center"/>
          </w:tcPr>
          <w:p w14:paraId="13CEAD2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466,896,591.38</w:t>
            </w:r>
          </w:p>
        </w:tc>
      </w:tr>
      <w:tr w:rsidR="00632E5B" w14:paraId="431014AF" w14:textId="77777777" w:rsidTr="00DD2081">
        <w:trPr>
          <w:trHeight w:val="240"/>
          <w:jc w:val="center"/>
        </w:trPr>
        <w:tc>
          <w:tcPr>
            <w:tcW w:w="1377" w:type="dxa"/>
            <w:shd w:val="clear" w:color="auto" w:fill="FFFFFF" w:themeFill="background1"/>
            <w:vAlign w:val="center"/>
          </w:tcPr>
          <w:p w14:paraId="0C099AE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长期借款</w:t>
            </w:r>
          </w:p>
        </w:tc>
        <w:tc>
          <w:tcPr>
            <w:tcW w:w="1773" w:type="dxa"/>
            <w:shd w:val="clear" w:color="auto" w:fill="FFFFFF" w:themeFill="background1"/>
            <w:vAlign w:val="center"/>
          </w:tcPr>
          <w:p w14:paraId="6788F1D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474,163,955.47</w:t>
            </w:r>
          </w:p>
        </w:tc>
        <w:tc>
          <w:tcPr>
            <w:tcW w:w="1559" w:type="dxa"/>
            <w:shd w:val="clear" w:color="auto" w:fill="FFFFFF" w:themeFill="background1"/>
            <w:vAlign w:val="center"/>
          </w:tcPr>
          <w:p w14:paraId="0BB21E4C" w14:textId="77777777" w:rsidR="00632E5B" w:rsidRDefault="00632E5B">
            <w:pPr>
              <w:spacing w:line="240" w:lineRule="exact"/>
              <w:jc w:val="right"/>
              <w:rPr>
                <w:rFonts w:ascii="宋体" w:eastAsia="宋体" w:hAnsi="宋体" w:cs="宋体" w:hint="eastAsia"/>
                <w:sz w:val="18"/>
                <w:szCs w:val="18"/>
              </w:rPr>
            </w:pPr>
          </w:p>
        </w:tc>
        <w:tc>
          <w:tcPr>
            <w:tcW w:w="1701" w:type="dxa"/>
            <w:shd w:val="clear" w:color="auto" w:fill="FFFFFF" w:themeFill="background1"/>
            <w:vAlign w:val="center"/>
          </w:tcPr>
          <w:p w14:paraId="4B40F9A3" w14:textId="77777777" w:rsidR="00632E5B" w:rsidRDefault="00632E5B">
            <w:pPr>
              <w:spacing w:line="240" w:lineRule="exact"/>
              <w:jc w:val="right"/>
              <w:rPr>
                <w:rFonts w:ascii="宋体" w:eastAsia="宋体" w:hAnsi="宋体" w:cs="宋体" w:hint="eastAsia"/>
                <w:sz w:val="18"/>
                <w:szCs w:val="18"/>
              </w:rPr>
            </w:pPr>
          </w:p>
        </w:tc>
        <w:tc>
          <w:tcPr>
            <w:tcW w:w="1525" w:type="dxa"/>
            <w:shd w:val="clear" w:color="auto" w:fill="FFFFFF" w:themeFill="background1"/>
            <w:vAlign w:val="center"/>
          </w:tcPr>
          <w:p w14:paraId="16B5CC9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37,025,742.98</w:t>
            </w:r>
          </w:p>
        </w:tc>
        <w:tc>
          <w:tcPr>
            <w:tcW w:w="1701" w:type="dxa"/>
            <w:shd w:val="clear" w:color="auto" w:fill="FFFFFF" w:themeFill="background1"/>
            <w:vAlign w:val="center"/>
          </w:tcPr>
          <w:p w14:paraId="57777A2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425,388,212.49</w:t>
            </w:r>
          </w:p>
        </w:tc>
        <w:tc>
          <w:tcPr>
            <w:tcW w:w="1701" w:type="dxa"/>
            <w:shd w:val="clear" w:color="auto" w:fill="FFFFFF" w:themeFill="background1"/>
            <w:vAlign w:val="center"/>
          </w:tcPr>
          <w:p w14:paraId="1D96F3B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11,750,000.00</w:t>
            </w:r>
          </w:p>
        </w:tc>
      </w:tr>
      <w:tr w:rsidR="00632E5B" w14:paraId="69F59E7D" w14:textId="77777777" w:rsidTr="00DD2081">
        <w:trPr>
          <w:trHeight w:val="240"/>
          <w:jc w:val="center"/>
        </w:trPr>
        <w:tc>
          <w:tcPr>
            <w:tcW w:w="1377" w:type="dxa"/>
            <w:shd w:val="clear" w:color="auto" w:fill="FFFFFF" w:themeFill="background1"/>
            <w:vAlign w:val="center"/>
          </w:tcPr>
          <w:p w14:paraId="5AF664A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一年内到期的非流动负债</w:t>
            </w:r>
          </w:p>
        </w:tc>
        <w:tc>
          <w:tcPr>
            <w:tcW w:w="1773" w:type="dxa"/>
            <w:shd w:val="clear" w:color="auto" w:fill="FFFFFF" w:themeFill="background1"/>
            <w:vAlign w:val="center"/>
          </w:tcPr>
          <w:p w14:paraId="3981184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539,513,803.59</w:t>
            </w:r>
          </w:p>
        </w:tc>
        <w:tc>
          <w:tcPr>
            <w:tcW w:w="1559" w:type="dxa"/>
            <w:shd w:val="clear" w:color="auto" w:fill="FFFFFF" w:themeFill="background1"/>
            <w:vAlign w:val="center"/>
          </w:tcPr>
          <w:p w14:paraId="288DA7C0" w14:textId="77777777" w:rsidR="00632E5B" w:rsidRDefault="00632E5B">
            <w:pPr>
              <w:spacing w:line="240" w:lineRule="exact"/>
              <w:jc w:val="right"/>
              <w:rPr>
                <w:rFonts w:ascii="宋体" w:eastAsia="宋体" w:hAnsi="宋体" w:cs="宋体" w:hint="eastAsia"/>
                <w:sz w:val="18"/>
                <w:szCs w:val="18"/>
              </w:rPr>
            </w:pPr>
          </w:p>
        </w:tc>
        <w:tc>
          <w:tcPr>
            <w:tcW w:w="1701" w:type="dxa"/>
            <w:shd w:val="clear" w:color="auto" w:fill="FFFFFF" w:themeFill="background1"/>
            <w:vAlign w:val="center"/>
          </w:tcPr>
          <w:p w14:paraId="5D69348F" w14:textId="77777777" w:rsidR="00632E5B" w:rsidRDefault="00632E5B">
            <w:pPr>
              <w:spacing w:line="240" w:lineRule="exact"/>
              <w:jc w:val="right"/>
              <w:rPr>
                <w:rFonts w:ascii="宋体" w:eastAsia="宋体" w:hAnsi="宋体" w:cs="宋体" w:hint="eastAsia"/>
                <w:sz w:val="18"/>
                <w:szCs w:val="18"/>
              </w:rPr>
            </w:pPr>
          </w:p>
        </w:tc>
        <w:tc>
          <w:tcPr>
            <w:tcW w:w="1525" w:type="dxa"/>
            <w:shd w:val="clear" w:color="auto" w:fill="FFFFFF" w:themeFill="background1"/>
            <w:vAlign w:val="center"/>
          </w:tcPr>
          <w:p w14:paraId="28123A8D" w14:textId="77777777" w:rsidR="00632E5B" w:rsidRDefault="00632E5B">
            <w:pPr>
              <w:spacing w:line="240" w:lineRule="exact"/>
              <w:jc w:val="right"/>
              <w:rPr>
                <w:rFonts w:ascii="宋体" w:eastAsia="宋体" w:hAnsi="宋体" w:cs="宋体" w:hint="eastAsia"/>
                <w:sz w:val="18"/>
                <w:szCs w:val="18"/>
              </w:rPr>
            </w:pPr>
          </w:p>
        </w:tc>
        <w:tc>
          <w:tcPr>
            <w:tcW w:w="1701" w:type="dxa"/>
            <w:shd w:val="clear" w:color="auto" w:fill="FFFFFF" w:themeFill="background1"/>
            <w:vAlign w:val="center"/>
          </w:tcPr>
          <w:p w14:paraId="5E5CFC9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143,716,375.87</w:t>
            </w:r>
          </w:p>
        </w:tc>
        <w:tc>
          <w:tcPr>
            <w:tcW w:w="1701" w:type="dxa"/>
            <w:shd w:val="clear" w:color="auto" w:fill="FFFFFF" w:themeFill="background1"/>
            <w:vAlign w:val="center"/>
          </w:tcPr>
          <w:p w14:paraId="30528CF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395,797,427.72</w:t>
            </w:r>
          </w:p>
        </w:tc>
      </w:tr>
      <w:tr w:rsidR="00632E5B" w14:paraId="6593590C" w14:textId="77777777" w:rsidTr="00DD2081">
        <w:trPr>
          <w:trHeight w:val="240"/>
          <w:jc w:val="center"/>
        </w:trPr>
        <w:tc>
          <w:tcPr>
            <w:tcW w:w="1377" w:type="dxa"/>
            <w:shd w:val="clear" w:color="auto" w:fill="FFFFFF" w:themeFill="background1"/>
            <w:vAlign w:val="center"/>
          </w:tcPr>
          <w:p w14:paraId="0ECE104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长期应付款</w:t>
            </w:r>
          </w:p>
        </w:tc>
        <w:tc>
          <w:tcPr>
            <w:tcW w:w="1773" w:type="dxa"/>
            <w:shd w:val="clear" w:color="auto" w:fill="FFFFFF" w:themeFill="background1"/>
            <w:vAlign w:val="center"/>
          </w:tcPr>
          <w:p w14:paraId="1254539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60,078,273.66</w:t>
            </w:r>
          </w:p>
        </w:tc>
        <w:tc>
          <w:tcPr>
            <w:tcW w:w="1559" w:type="dxa"/>
            <w:shd w:val="clear" w:color="auto" w:fill="FFFFFF" w:themeFill="background1"/>
            <w:vAlign w:val="center"/>
          </w:tcPr>
          <w:p w14:paraId="48174D66" w14:textId="77777777" w:rsidR="00632E5B" w:rsidRDefault="00632E5B">
            <w:pPr>
              <w:spacing w:line="240" w:lineRule="exact"/>
              <w:jc w:val="right"/>
              <w:rPr>
                <w:rFonts w:ascii="宋体" w:eastAsia="宋体" w:hAnsi="宋体" w:cs="宋体" w:hint="eastAsia"/>
                <w:sz w:val="18"/>
                <w:szCs w:val="18"/>
              </w:rPr>
            </w:pPr>
          </w:p>
        </w:tc>
        <w:tc>
          <w:tcPr>
            <w:tcW w:w="1701" w:type="dxa"/>
            <w:shd w:val="clear" w:color="auto" w:fill="FFFFFF" w:themeFill="background1"/>
            <w:vAlign w:val="center"/>
          </w:tcPr>
          <w:p w14:paraId="41012CD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834,218,976.53</w:t>
            </w:r>
          </w:p>
        </w:tc>
        <w:tc>
          <w:tcPr>
            <w:tcW w:w="1525" w:type="dxa"/>
            <w:shd w:val="clear" w:color="auto" w:fill="FFFFFF" w:themeFill="background1"/>
            <w:vAlign w:val="center"/>
          </w:tcPr>
          <w:p w14:paraId="652194A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111,341,427.11</w:t>
            </w:r>
          </w:p>
        </w:tc>
        <w:tc>
          <w:tcPr>
            <w:tcW w:w="1701" w:type="dxa"/>
            <w:shd w:val="clear" w:color="auto" w:fill="FFFFFF" w:themeFill="background1"/>
            <w:vAlign w:val="center"/>
          </w:tcPr>
          <w:p w14:paraId="544FFFF7" w14:textId="77777777" w:rsidR="00632E5B" w:rsidRDefault="00632E5B">
            <w:pPr>
              <w:spacing w:line="240" w:lineRule="exact"/>
              <w:jc w:val="right"/>
              <w:rPr>
                <w:rFonts w:ascii="宋体" w:eastAsia="宋体" w:hAnsi="宋体" w:cs="宋体" w:hint="eastAsia"/>
                <w:sz w:val="18"/>
                <w:szCs w:val="18"/>
              </w:rPr>
            </w:pPr>
          </w:p>
        </w:tc>
        <w:tc>
          <w:tcPr>
            <w:tcW w:w="1701" w:type="dxa"/>
            <w:shd w:val="clear" w:color="auto" w:fill="FFFFFF" w:themeFill="background1"/>
            <w:vAlign w:val="center"/>
          </w:tcPr>
          <w:p w14:paraId="1C1B7CE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782,955,823.08</w:t>
            </w:r>
          </w:p>
        </w:tc>
      </w:tr>
      <w:tr w:rsidR="00632E5B" w14:paraId="5496A8D2" w14:textId="77777777" w:rsidTr="00DD2081">
        <w:trPr>
          <w:trHeight w:val="240"/>
          <w:jc w:val="center"/>
        </w:trPr>
        <w:tc>
          <w:tcPr>
            <w:tcW w:w="1377" w:type="dxa"/>
            <w:shd w:val="clear" w:color="auto" w:fill="FFFFFF" w:themeFill="background1"/>
            <w:vAlign w:val="center"/>
          </w:tcPr>
          <w:p w14:paraId="60CC04D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租赁负债</w:t>
            </w:r>
          </w:p>
        </w:tc>
        <w:tc>
          <w:tcPr>
            <w:tcW w:w="1773" w:type="dxa"/>
            <w:shd w:val="clear" w:color="auto" w:fill="FFFFFF" w:themeFill="background1"/>
            <w:vAlign w:val="center"/>
          </w:tcPr>
          <w:p w14:paraId="0DE3748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54,203,365.98</w:t>
            </w:r>
          </w:p>
        </w:tc>
        <w:tc>
          <w:tcPr>
            <w:tcW w:w="1559" w:type="dxa"/>
            <w:shd w:val="clear" w:color="auto" w:fill="FFFFFF" w:themeFill="background1"/>
            <w:vAlign w:val="center"/>
          </w:tcPr>
          <w:p w14:paraId="69F9CACF" w14:textId="77777777" w:rsidR="00632E5B" w:rsidRDefault="00632E5B">
            <w:pPr>
              <w:spacing w:line="240" w:lineRule="exact"/>
              <w:jc w:val="right"/>
              <w:rPr>
                <w:rFonts w:ascii="宋体" w:eastAsia="宋体" w:hAnsi="宋体" w:cs="宋体" w:hint="eastAsia"/>
                <w:sz w:val="18"/>
                <w:szCs w:val="18"/>
              </w:rPr>
            </w:pPr>
          </w:p>
        </w:tc>
        <w:tc>
          <w:tcPr>
            <w:tcW w:w="1701" w:type="dxa"/>
            <w:shd w:val="clear" w:color="auto" w:fill="FFFFFF" w:themeFill="background1"/>
            <w:vAlign w:val="center"/>
          </w:tcPr>
          <w:p w14:paraId="2EE665C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10,904,491.19</w:t>
            </w:r>
          </w:p>
        </w:tc>
        <w:tc>
          <w:tcPr>
            <w:tcW w:w="1525" w:type="dxa"/>
            <w:shd w:val="clear" w:color="auto" w:fill="FFFFFF" w:themeFill="background1"/>
            <w:vAlign w:val="center"/>
          </w:tcPr>
          <w:p w14:paraId="57DA6EE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3,808,316.98</w:t>
            </w:r>
          </w:p>
        </w:tc>
        <w:tc>
          <w:tcPr>
            <w:tcW w:w="1701" w:type="dxa"/>
            <w:shd w:val="clear" w:color="auto" w:fill="FFFFFF" w:themeFill="background1"/>
            <w:vAlign w:val="center"/>
          </w:tcPr>
          <w:p w14:paraId="71DEAE2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56,207,511.25</w:t>
            </w:r>
          </w:p>
        </w:tc>
        <w:tc>
          <w:tcPr>
            <w:tcW w:w="1701" w:type="dxa"/>
            <w:shd w:val="clear" w:color="auto" w:fill="FFFFFF" w:themeFill="background1"/>
            <w:vAlign w:val="center"/>
          </w:tcPr>
          <w:p w14:paraId="06CBD42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5,092,028.94</w:t>
            </w:r>
          </w:p>
        </w:tc>
      </w:tr>
      <w:tr w:rsidR="00632E5B" w14:paraId="0F38EF44" w14:textId="77777777" w:rsidTr="00DD2081">
        <w:trPr>
          <w:trHeight w:val="240"/>
          <w:jc w:val="center"/>
        </w:trPr>
        <w:tc>
          <w:tcPr>
            <w:tcW w:w="1377" w:type="dxa"/>
            <w:shd w:val="clear" w:color="auto" w:fill="FFFFFF" w:themeFill="background1"/>
            <w:vAlign w:val="center"/>
          </w:tcPr>
          <w:p w14:paraId="32D7532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应付利息</w:t>
            </w:r>
          </w:p>
        </w:tc>
        <w:tc>
          <w:tcPr>
            <w:tcW w:w="1773" w:type="dxa"/>
            <w:shd w:val="clear" w:color="auto" w:fill="FFFFFF" w:themeFill="background1"/>
            <w:vAlign w:val="center"/>
          </w:tcPr>
          <w:p w14:paraId="099E21B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206,952,315.48</w:t>
            </w:r>
          </w:p>
        </w:tc>
        <w:tc>
          <w:tcPr>
            <w:tcW w:w="1559" w:type="dxa"/>
            <w:shd w:val="clear" w:color="auto" w:fill="FFFFFF" w:themeFill="background1"/>
            <w:vAlign w:val="center"/>
          </w:tcPr>
          <w:p w14:paraId="127F35F5" w14:textId="77777777" w:rsidR="00632E5B" w:rsidRDefault="00632E5B">
            <w:pPr>
              <w:spacing w:line="240" w:lineRule="exact"/>
              <w:jc w:val="right"/>
              <w:rPr>
                <w:rFonts w:ascii="宋体" w:eastAsia="宋体" w:hAnsi="宋体" w:cs="宋体" w:hint="eastAsia"/>
                <w:sz w:val="18"/>
                <w:szCs w:val="18"/>
              </w:rPr>
            </w:pPr>
          </w:p>
        </w:tc>
        <w:tc>
          <w:tcPr>
            <w:tcW w:w="1701" w:type="dxa"/>
            <w:shd w:val="clear" w:color="auto" w:fill="FFFFFF" w:themeFill="background1"/>
            <w:vAlign w:val="center"/>
          </w:tcPr>
          <w:p w14:paraId="3545A36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388,289,065.16</w:t>
            </w:r>
          </w:p>
        </w:tc>
        <w:tc>
          <w:tcPr>
            <w:tcW w:w="1525" w:type="dxa"/>
            <w:shd w:val="clear" w:color="auto" w:fill="FFFFFF" w:themeFill="background1"/>
            <w:vAlign w:val="center"/>
          </w:tcPr>
          <w:p w14:paraId="4B99ED5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257,231,505.17</w:t>
            </w:r>
          </w:p>
        </w:tc>
        <w:tc>
          <w:tcPr>
            <w:tcW w:w="1701" w:type="dxa"/>
            <w:shd w:val="clear" w:color="auto" w:fill="FFFFFF" w:themeFill="background1"/>
            <w:vAlign w:val="center"/>
          </w:tcPr>
          <w:p w14:paraId="6B32534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327,467,443.04</w:t>
            </w:r>
          </w:p>
        </w:tc>
        <w:tc>
          <w:tcPr>
            <w:tcW w:w="1701" w:type="dxa"/>
            <w:shd w:val="clear" w:color="auto" w:fill="FFFFFF" w:themeFill="background1"/>
            <w:vAlign w:val="center"/>
          </w:tcPr>
          <w:p w14:paraId="04B0D71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10,542,432.43</w:t>
            </w:r>
          </w:p>
        </w:tc>
      </w:tr>
      <w:tr w:rsidR="00632E5B" w14:paraId="4A88B5D2" w14:textId="77777777" w:rsidTr="00DD2081">
        <w:trPr>
          <w:trHeight w:val="240"/>
          <w:jc w:val="center"/>
        </w:trPr>
        <w:tc>
          <w:tcPr>
            <w:tcW w:w="1377" w:type="dxa"/>
            <w:shd w:val="clear" w:color="auto" w:fill="FFFFFF" w:themeFill="background1"/>
            <w:vAlign w:val="center"/>
          </w:tcPr>
          <w:p w14:paraId="163FCFFC"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773" w:type="dxa"/>
            <w:shd w:val="clear" w:color="auto" w:fill="FFFFFF" w:themeFill="background1"/>
            <w:vAlign w:val="center"/>
          </w:tcPr>
          <w:p w14:paraId="291AA69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4,503,969,290.79</w:t>
            </w:r>
          </w:p>
        </w:tc>
        <w:tc>
          <w:tcPr>
            <w:tcW w:w="1559" w:type="dxa"/>
            <w:shd w:val="clear" w:color="auto" w:fill="FFFFFF" w:themeFill="background1"/>
            <w:vAlign w:val="center"/>
          </w:tcPr>
          <w:p w14:paraId="7E753FC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237,511,901.92</w:t>
            </w:r>
          </w:p>
        </w:tc>
        <w:tc>
          <w:tcPr>
            <w:tcW w:w="1701" w:type="dxa"/>
            <w:shd w:val="clear" w:color="auto" w:fill="FFFFFF" w:themeFill="background1"/>
            <w:vAlign w:val="center"/>
          </w:tcPr>
          <w:p w14:paraId="731D729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1,307,539,829.58</w:t>
            </w:r>
          </w:p>
        </w:tc>
        <w:tc>
          <w:tcPr>
            <w:tcW w:w="1525" w:type="dxa"/>
            <w:shd w:val="clear" w:color="auto" w:fill="FFFFFF" w:themeFill="background1"/>
            <w:vAlign w:val="center"/>
          </w:tcPr>
          <w:p w14:paraId="4BC2D47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823,178,282.60</w:t>
            </w:r>
          </w:p>
        </w:tc>
        <w:tc>
          <w:tcPr>
            <w:tcW w:w="1701" w:type="dxa"/>
            <w:shd w:val="clear" w:color="auto" w:fill="FFFFFF" w:themeFill="background1"/>
            <w:vAlign w:val="center"/>
          </w:tcPr>
          <w:p w14:paraId="0C5DB49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3,221,910,501.41</w:t>
            </w:r>
          </w:p>
        </w:tc>
        <w:tc>
          <w:tcPr>
            <w:tcW w:w="1701" w:type="dxa"/>
            <w:shd w:val="clear" w:color="auto" w:fill="FFFFFF" w:themeFill="background1"/>
            <w:vAlign w:val="center"/>
          </w:tcPr>
          <w:p w14:paraId="01E508A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2,003,932,238.28</w:t>
            </w:r>
          </w:p>
        </w:tc>
      </w:tr>
    </w:tbl>
    <w:p w14:paraId="49E1A6B4" w14:textId="77777777" w:rsidR="00DD2081" w:rsidRDefault="00DD2081">
      <w:pPr>
        <w:pStyle w:val="3"/>
        <w:spacing w:line="280" w:lineRule="exact"/>
        <w:jc w:val="left"/>
        <w:rPr>
          <w:rFonts w:ascii="宋体" w:hAnsi="宋体" w:cs="宋体" w:hint="eastAsia"/>
          <w:b/>
          <w:bCs/>
        </w:rPr>
      </w:pPr>
      <w:bookmarkStart w:id="332" w:name="_Toc989218"/>
    </w:p>
    <w:p w14:paraId="55118C2F" w14:textId="77777777" w:rsidR="00DD2081" w:rsidRDefault="00DD2081">
      <w:pPr>
        <w:widowControl/>
        <w:rPr>
          <w:rFonts w:ascii="宋体" w:eastAsia="宋体" w:hAnsi="宋体" w:cs="宋体" w:hint="eastAsia"/>
          <w:b/>
          <w:bCs/>
          <w:szCs w:val="21"/>
        </w:rPr>
      </w:pPr>
      <w:r>
        <w:rPr>
          <w:rFonts w:ascii="宋体" w:hAnsi="宋体" w:cs="宋体" w:hint="eastAsia"/>
          <w:b/>
          <w:bCs/>
        </w:rPr>
        <w:br w:type="page"/>
      </w:r>
    </w:p>
    <w:p w14:paraId="79B40F02" w14:textId="70C51DB5" w:rsidR="00632E5B" w:rsidRDefault="00107901">
      <w:pPr>
        <w:pStyle w:val="3"/>
        <w:spacing w:line="280" w:lineRule="exact"/>
        <w:jc w:val="left"/>
        <w:rPr>
          <w:rFonts w:ascii="宋体" w:hAnsi="宋体" w:cs="宋体" w:hint="eastAsia"/>
          <w:b/>
          <w:bCs/>
        </w:rPr>
      </w:pPr>
      <w:r>
        <w:rPr>
          <w:rFonts w:ascii="宋体" w:hAnsi="宋体" w:cs="宋体"/>
          <w:b/>
          <w:bCs/>
        </w:rPr>
        <w:lastRenderedPageBreak/>
        <w:t>60、现金流量表补充资料</w:t>
      </w:r>
      <w:bookmarkEnd w:id="332"/>
    </w:p>
    <w:p w14:paraId="0BB0A8C8"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333" w:name="_Toc989219"/>
      <w:r>
        <w:rPr>
          <w:rFonts w:ascii="宋体" w:eastAsia="宋体" w:hAnsi="宋体" w:cs="宋体"/>
          <w:b/>
          <w:bCs/>
          <w:szCs w:val="21"/>
        </w:rPr>
        <w:t>（1） 现金流量表补充资料</w:t>
      </w:r>
      <w:bookmarkEnd w:id="333"/>
    </w:p>
    <w:p w14:paraId="1347A73F"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AF33DB" w14:paraId="43EE2D23" w14:textId="77777777" w:rsidTr="00F05317">
        <w:trPr>
          <w:trHeight w:val="240"/>
        </w:trPr>
        <w:tc>
          <w:tcPr>
            <w:tcW w:w="3213" w:type="dxa"/>
            <w:shd w:val="clear" w:color="auto" w:fill="FFFFFF" w:themeFill="background1"/>
            <w:vAlign w:val="center"/>
          </w:tcPr>
          <w:p w14:paraId="0A714A86" w14:textId="77777777" w:rsidR="00AF33DB" w:rsidRDefault="00AF33DB" w:rsidP="00585914">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补充资料</w:t>
            </w:r>
          </w:p>
        </w:tc>
        <w:tc>
          <w:tcPr>
            <w:tcW w:w="3213" w:type="dxa"/>
            <w:shd w:val="clear" w:color="auto" w:fill="FFFFFF" w:themeFill="background1"/>
            <w:vAlign w:val="center"/>
          </w:tcPr>
          <w:p w14:paraId="3744A416" w14:textId="77777777" w:rsidR="00AF33DB" w:rsidRDefault="00AF33DB" w:rsidP="00585914">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本期金额</w:t>
            </w:r>
          </w:p>
        </w:tc>
        <w:tc>
          <w:tcPr>
            <w:tcW w:w="3213" w:type="dxa"/>
            <w:shd w:val="clear" w:color="auto" w:fill="FFFFFF" w:themeFill="background1"/>
            <w:vAlign w:val="center"/>
          </w:tcPr>
          <w:p w14:paraId="5F57BCAD" w14:textId="77777777" w:rsidR="00AF33DB" w:rsidRDefault="00AF33DB" w:rsidP="00585914">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上期金额</w:t>
            </w:r>
          </w:p>
        </w:tc>
      </w:tr>
      <w:tr w:rsidR="00AF33DB" w14:paraId="30FF59A4" w14:textId="77777777" w:rsidTr="00F05317">
        <w:trPr>
          <w:trHeight w:val="240"/>
        </w:trPr>
        <w:tc>
          <w:tcPr>
            <w:tcW w:w="3213" w:type="dxa"/>
            <w:shd w:val="clear" w:color="auto" w:fill="FFFFFF" w:themeFill="background1"/>
            <w:vAlign w:val="center"/>
          </w:tcPr>
          <w:p w14:paraId="23466DF6" w14:textId="77777777" w:rsidR="00AF33DB" w:rsidRDefault="00AF33DB" w:rsidP="00585914">
            <w:pPr>
              <w:spacing w:before="40" w:after="40" w:line="240" w:lineRule="exact"/>
              <w:rPr>
                <w:rFonts w:ascii="宋体" w:eastAsia="宋体" w:hAnsi="宋体" w:cs="宋体" w:hint="eastAsia"/>
                <w:sz w:val="18"/>
                <w:szCs w:val="18"/>
              </w:rPr>
            </w:pPr>
            <w:r>
              <w:rPr>
                <w:rFonts w:ascii="宋体" w:eastAsia="宋体" w:hAnsi="宋体" w:cs="宋体"/>
                <w:sz w:val="18"/>
                <w:szCs w:val="18"/>
              </w:rPr>
              <w:t>1．将净利润调节为经营活动现金流量</w:t>
            </w:r>
          </w:p>
        </w:tc>
        <w:tc>
          <w:tcPr>
            <w:tcW w:w="3213" w:type="dxa"/>
            <w:shd w:val="clear" w:color="auto" w:fill="FFFFFF" w:themeFill="background1"/>
            <w:vAlign w:val="center"/>
          </w:tcPr>
          <w:p w14:paraId="5FF52C77" w14:textId="77777777" w:rsidR="00AF33DB" w:rsidRDefault="00AF33DB" w:rsidP="00585914"/>
        </w:tc>
        <w:tc>
          <w:tcPr>
            <w:tcW w:w="3213" w:type="dxa"/>
            <w:shd w:val="clear" w:color="auto" w:fill="FFFFFF" w:themeFill="background1"/>
            <w:vAlign w:val="center"/>
          </w:tcPr>
          <w:p w14:paraId="5BB7B09D" w14:textId="77777777" w:rsidR="00AF33DB" w:rsidRDefault="00AF33DB" w:rsidP="00585914"/>
        </w:tc>
      </w:tr>
      <w:tr w:rsidR="00AF33DB" w14:paraId="6DD1E3BE" w14:textId="77777777" w:rsidTr="00F05317">
        <w:trPr>
          <w:trHeight w:val="240"/>
        </w:trPr>
        <w:tc>
          <w:tcPr>
            <w:tcW w:w="3213" w:type="dxa"/>
            <w:shd w:val="clear" w:color="auto" w:fill="FFFFFF" w:themeFill="background1"/>
            <w:vAlign w:val="center"/>
          </w:tcPr>
          <w:p w14:paraId="4F1EC3EA" w14:textId="77777777" w:rsidR="00AF33DB" w:rsidRDefault="00AF33DB" w:rsidP="00585914">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净利润</w:t>
            </w:r>
          </w:p>
        </w:tc>
        <w:tc>
          <w:tcPr>
            <w:tcW w:w="3213" w:type="dxa"/>
            <w:shd w:val="clear" w:color="auto" w:fill="FFFFFF" w:themeFill="background1"/>
            <w:vAlign w:val="center"/>
          </w:tcPr>
          <w:p w14:paraId="6A4ED1F4" w14:textId="77777777" w:rsidR="00AF33DB" w:rsidRDefault="00AF33D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-1,176,121,068.64</w:t>
            </w:r>
          </w:p>
        </w:tc>
        <w:tc>
          <w:tcPr>
            <w:tcW w:w="3213" w:type="dxa"/>
            <w:shd w:val="clear" w:color="auto" w:fill="FFFFFF" w:themeFill="background1"/>
            <w:vAlign w:val="center"/>
          </w:tcPr>
          <w:p w14:paraId="6CD977B2" w14:textId="77777777" w:rsidR="00AF33DB" w:rsidRDefault="00AF33D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-1,498,571,451.48</w:t>
            </w:r>
          </w:p>
        </w:tc>
      </w:tr>
      <w:tr w:rsidR="00AF33DB" w14:paraId="79751188" w14:textId="77777777" w:rsidTr="00F05317">
        <w:trPr>
          <w:trHeight w:val="240"/>
        </w:trPr>
        <w:tc>
          <w:tcPr>
            <w:tcW w:w="3213" w:type="dxa"/>
            <w:shd w:val="clear" w:color="auto" w:fill="FFFFFF" w:themeFill="background1"/>
            <w:vAlign w:val="center"/>
          </w:tcPr>
          <w:p w14:paraId="281AE86F" w14:textId="77777777" w:rsidR="00AF33DB" w:rsidRDefault="00AF33DB" w:rsidP="00585914">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加：资产减值准备</w:t>
            </w:r>
          </w:p>
        </w:tc>
        <w:tc>
          <w:tcPr>
            <w:tcW w:w="3213" w:type="dxa"/>
            <w:shd w:val="clear" w:color="auto" w:fill="FFFFFF" w:themeFill="background1"/>
            <w:vAlign w:val="center"/>
          </w:tcPr>
          <w:p w14:paraId="2B53C045" w14:textId="77777777" w:rsidR="00AF33DB" w:rsidRDefault="00AF33DB" w:rsidP="00585914">
            <w:pPr>
              <w:spacing w:line="240" w:lineRule="exact"/>
              <w:jc w:val="right"/>
              <w:rPr>
                <w:rFonts w:ascii="宋体" w:eastAsia="宋体" w:hAnsi="宋体" w:cs="宋体" w:hint="eastAsia"/>
                <w:sz w:val="18"/>
                <w:szCs w:val="18"/>
              </w:rPr>
            </w:pPr>
            <w:r w:rsidRPr="007C6E8E">
              <w:rPr>
                <w:rFonts w:ascii="宋体" w:eastAsia="宋体" w:hAnsi="宋体" w:cs="宋体"/>
                <w:sz w:val="18"/>
                <w:szCs w:val="18"/>
              </w:rPr>
              <w:t>889,888,939.04</w:t>
            </w:r>
          </w:p>
        </w:tc>
        <w:tc>
          <w:tcPr>
            <w:tcW w:w="3213" w:type="dxa"/>
            <w:shd w:val="clear" w:color="auto" w:fill="FFFFFF" w:themeFill="background1"/>
            <w:vAlign w:val="center"/>
          </w:tcPr>
          <w:p w14:paraId="4703D7A8" w14:textId="77777777" w:rsidR="00AF33DB" w:rsidRDefault="00AF33DB" w:rsidP="00585914">
            <w:pPr>
              <w:spacing w:line="240" w:lineRule="exact"/>
              <w:jc w:val="right"/>
              <w:rPr>
                <w:rFonts w:ascii="宋体" w:eastAsia="宋体" w:hAnsi="宋体" w:cs="宋体" w:hint="eastAsia"/>
                <w:sz w:val="18"/>
                <w:szCs w:val="18"/>
              </w:rPr>
            </w:pPr>
            <w:r w:rsidRPr="007C6E8E">
              <w:rPr>
                <w:rFonts w:ascii="宋体" w:eastAsia="宋体" w:hAnsi="宋体" w:cs="宋体"/>
                <w:sz w:val="18"/>
                <w:szCs w:val="18"/>
              </w:rPr>
              <w:t>88,944,499.01</w:t>
            </w:r>
          </w:p>
        </w:tc>
      </w:tr>
      <w:tr w:rsidR="00AF33DB" w14:paraId="57FE4850" w14:textId="77777777" w:rsidTr="00F05317">
        <w:trPr>
          <w:trHeight w:val="240"/>
        </w:trPr>
        <w:tc>
          <w:tcPr>
            <w:tcW w:w="3213" w:type="dxa"/>
            <w:shd w:val="clear" w:color="auto" w:fill="FFFFFF" w:themeFill="background1"/>
            <w:vAlign w:val="center"/>
          </w:tcPr>
          <w:p w14:paraId="1B2E95E1" w14:textId="77777777" w:rsidR="00AF33DB" w:rsidRDefault="00AF33DB" w:rsidP="00585914">
            <w:pPr>
              <w:spacing w:before="40" w:after="40" w:line="240" w:lineRule="exact"/>
              <w:ind w:firstLineChars="300" w:firstLine="540"/>
              <w:rPr>
                <w:rFonts w:ascii="宋体" w:eastAsia="宋体" w:hAnsi="宋体" w:cs="宋体" w:hint="eastAsia"/>
                <w:sz w:val="18"/>
                <w:szCs w:val="18"/>
              </w:rPr>
            </w:pPr>
            <w:r w:rsidRPr="007C6E8E">
              <w:rPr>
                <w:rFonts w:ascii="宋体" w:eastAsia="宋体" w:hAnsi="宋体" w:cs="宋体" w:hint="eastAsia"/>
                <w:sz w:val="18"/>
                <w:szCs w:val="18"/>
              </w:rPr>
              <w:t>信用减值损失</w:t>
            </w:r>
          </w:p>
        </w:tc>
        <w:tc>
          <w:tcPr>
            <w:tcW w:w="3213" w:type="dxa"/>
            <w:shd w:val="clear" w:color="auto" w:fill="FFFFFF" w:themeFill="background1"/>
            <w:vAlign w:val="center"/>
          </w:tcPr>
          <w:p w14:paraId="65389BCC" w14:textId="77777777" w:rsidR="00AF33DB" w:rsidRDefault="00AF33DB" w:rsidP="00585914">
            <w:pPr>
              <w:spacing w:line="240" w:lineRule="exact"/>
              <w:jc w:val="right"/>
              <w:rPr>
                <w:rFonts w:ascii="宋体" w:eastAsia="宋体" w:hAnsi="宋体" w:cs="宋体" w:hint="eastAsia"/>
                <w:sz w:val="18"/>
                <w:szCs w:val="18"/>
              </w:rPr>
            </w:pPr>
            <w:r w:rsidRPr="007C6E8E">
              <w:rPr>
                <w:rFonts w:ascii="宋体" w:eastAsia="宋体" w:hAnsi="宋体" w:cs="宋体"/>
                <w:sz w:val="18"/>
                <w:szCs w:val="18"/>
              </w:rPr>
              <w:t>562,523,982.76</w:t>
            </w:r>
          </w:p>
        </w:tc>
        <w:tc>
          <w:tcPr>
            <w:tcW w:w="3213" w:type="dxa"/>
            <w:shd w:val="clear" w:color="auto" w:fill="FFFFFF" w:themeFill="background1"/>
            <w:vAlign w:val="center"/>
          </w:tcPr>
          <w:p w14:paraId="47BDD0C1" w14:textId="77777777" w:rsidR="00AF33DB" w:rsidRDefault="00AF33DB" w:rsidP="00585914">
            <w:pPr>
              <w:spacing w:line="240" w:lineRule="exact"/>
              <w:jc w:val="right"/>
              <w:rPr>
                <w:rFonts w:ascii="宋体" w:eastAsia="宋体" w:hAnsi="宋体" w:cs="宋体" w:hint="eastAsia"/>
                <w:sz w:val="18"/>
                <w:szCs w:val="18"/>
              </w:rPr>
            </w:pPr>
            <w:r w:rsidRPr="007C6E8E">
              <w:rPr>
                <w:rFonts w:ascii="宋体" w:eastAsia="宋体" w:hAnsi="宋体" w:cs="宋体"/>
                <w:sz w:val="18"/>
                <w:szCs w:val="18"/>
              </w:rPr>
              <w:t>680,950,024.61</w:t>
            </w:r>
          </w:p>
        </w:tc>
      </w:tr>
      <w:tr w:rsidR="00AF33DB" w14:paraId="2DB489BF" w14:textId="77777777" w:rsidTr="00F05317">
        <w:trPr>
          <w:trHeight w:val="240"/>
        </w:trPr>
        <w:tc>
          <w:tcPr>
            <w:tcW w:w="3213" w:type="dxa"/>
            <w:shd w:val="clear" w:color="auto" w:fill="FFFFFF" w:themeFill="background1"/>
            <w:vAlign w:val="center"/>
          </w:tcPr>
          <w:p w14:paraId="51291AD9" w14:textId="77777777" w:rsidR="00AF33DB" w:rsidRDefault="00AF33DB" w:rsidP="00585914">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固定资产折旧、油气资产折耗、生产性生物资产折旧</w:t>
            </w:r>
          </w:p>
        </w:tc>
        <w:tc>
          <w:tcPr>
            <w:tcW w:w="3213" w:type="dxa"/>
            <w:shd w:val="clear" w:color="auto" w:fill="FFFFFF" w:themeFill="background1"/>
            <w:vAlign w:val="center"/>
          </w:tcPr>
          <w:p w14:paraId="30F7E55A" w14:textId="77777777" w:rsidR="00AF33DB" w:rsidRDefault="00AF33D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308,173,243.22</w:t>
            </w:r>
          </w:p>
        </w:tc>
        <w:tc>
          <w:tcPr>
            <w:tcW w:w="3213" w:type="dxa"/>
            <w:shd w:val="clear" w:color="auto" w:fill="FFFFFF" w:themeFill="background1"/>
            <w:vAlign w:val="center"/>
          </w:tcPr>
          <w:p w14:paraId="31268477" w14:textId="77777777" w:rsidR="00AF33DB" w:rsidRDefault="00AF33D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327,544,016.15</w:t>
            </w:r>
          </w:p>
        </w:tc>
      </w:tr>
      <w:tr w:rsidR="00AF33DB" w14:paraId="794D6AAB" w14:textId="77777777" w:rsidTr="00F05317">
        <w:trPr>
          <w:trHeight w:val="240"/>
        </w:trPr>
        <w:tc>
          <w:tcPr>
            <w:tcW w:w="3213" w:type="dxa"/>
            <w:shd w:val="clear" w:color="auto" w:fill="FFFFFF" w:themeFill="background1"/>
            <w:vAlign w:val="center"/>
          </w:tcPr>
          <w:p w14:paraId="021526ED" w14:textId="77777777" w:rsidR="00AF33DB" w:rsidRDefault="00AF33DB" w:rsidP="00585914">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使用权资产折旧</w:t>
            </w:r>
          </w:p>
        </w:tc>
        <w:tc>
          <w:tcPr>
            <w:tcW w:w="3213" w:type="dxa"/>
            <w:shd w:val="clear" w:color="auto" w:fill="FFFFFF" w:themeFill="background1"/>
            <w:vAlign w:val="center"/>
          </w:tcPr>
          <w:p w14:paraId="008310F7" w14:textId="77777777" w:rsidR="00AF33DB" w:rsidRDefault="00AF33D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25,585,824.28</w:t>
            </w:r>
          </w:p>
        </w:tc>
        <w:tc>
          <w:tcPr>
            <w:tcW w:w="3213" w:type="dxa"/>
            <w:shd w:val="clear" w:color="auto" w:fill="FFFFFF" w:themeFill="background1"/>
            <w:vAlign w:val="center"/>
          </w:tcPr>
          <w:p w14:paraId="3F2E966B" w14:textId="77777777" w:rsidR="00AF33DB" w:rsidRDefault="00AF33D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29,581,961.77</w:t>
            </w:r>
          </w:p>
        </w:tc>
      </w:tr>
      <w:tr w:rsidR="00AF33DB" w14:paraId="5C1515D6" w14:textId="77777777" w:rsidTr="00F05317">
        <w:trPr>
          <w:trHeight w:val="240"/>
        </w:trPr>
        <w:tc>
          <w:tcPr>
            <w:tcW w:w="3213" w:type="dxa"/>
            <w:shd w:val="clear" w:color="auto" w:fill="FFFFFF" w:themeFill="background1"/>
            <w:vAlign w:val="center"/>
          </w:tcPr>
          <w:p w14:paraId="2A020D1F" w14:textId="77777777" w:rsidR="00AF33DB" w:rsidRDefault="00AF33DB" w:rsidP="00585914">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无形资产摊销</w:t>
            </w:r>
          </w:p>
        </w:tc>
        <w:tc>
          <w:tcPr>
            <w:tcW w:w="3213" w:type="dxa"/>
            <w:shd w:val="clear" w:color="auto" w:fill="FFFFFF" w:themeFill="background1"/>
            <w:vAlign w:val="center"/>
          </w:tcPr>
          <w:p w14:paraId="2BBE206D" w14:textId="77777777" w:rsidR="00AF33DB" w:rsidRDefault="00AF33D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7,963,301.45</w:t>
            </w:r>
          </w:p>
        </w:tc>
        <w:tc>
          <w:tcPr>
            <w:tcW w:w="3213" w:type="dxa"/>
            <w:shd w:val="clear" w:color="auto" w:fill="FFFFFF" w:themeFill="background1"/>
            <w:vAlign w:val="center"/>
          </w:tcPr>
          <w:p w14:paraId="37EEB7FC" w14:textId="77777777" w:rsidR="00AF33DB" w:rsidRDefault="00AF33D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8,330,072.78</w:t>
            </w:r>
          </w:p>
        </w:tc>
      </w:tr>
      <w:tr w:rsidR="00AF33DB" w14:paraId="6EE071F9" w14:textId="77777777" w:rsidTr="00F05317">
        <w:trPr>
          <w:trHeight w:val="240"/>
        </w:trPr>
        <w:tc>
          <w:tcPr>
            <w:tcW w:w="3213" w:type="dxa"/>
            <w:shd w:val="clear" w:color="auto" w:fill="FFFFFF" w:themeFill="background1"/>
            <w:vAlign w:val="center"/>
          </w:tcPr>
          <w:p w14:paraId="2FF3A409" w14:textId="77777777" w:rsidR="00AF33DB" w:rsidRDefault="00AF33DB" w:rsidP="00585914">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长期待摊费用摊销</w:t>
            </w:r>
          </w:p>
        </w:tc>
        <w:tc>
          <w:tcPr>
            <w:tcW w:w="3213" w:type="dxa"/>
            <w:shd w:val="clear" w:color="auto" w:fill="FFFFFF" w:themeFill="background1"/>
            <w:vAlign w:val="center"/>
          </w:tcPr>
          <w:p w14:paraId="30E8B953" w14:textId="77777777" w:rsidR="00AF33DB" w:rsidRDefault="00AF33D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6,136,140.53</w:t>
            </w:r>
          </w:p>
        </w:tc>
        <w:tc>
          <w:tcPr>
            <w:tcW w:w="3213" w:type="dxa"/>
            <w:shd w:val="clear" w:color="auto" w:fill="FFFFFF" w:themeFill="background1"/>
            <w:vAlign w:val="center"/>
          </w:tcPr>
          <w:p w14:paraId="6B1A66A3" w14:textId="77777777" w:rsidR="00AF33DB" w:rsidRDefault="00AF33D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6,520,724.91</w:t>
            </w:r>
          </w:p>
        </w:tc>
      </w:tr>
      <w:tr w:rsidR="00AF33DB" w14:paraId="5089D7A7" w14:textId="77777777" w:rsidTr="00F05317">
        <w:trPr>
          <w:trHeight w:val="240"/>
        </w:trPr>
        <w:tc>
          <w:tcPr>
            <w:tcW w:w="3213" w:type="dxa"/>
            <w:shd w:val="clear" w:color="auto" w:fill="FFFFFF" w:themeFill="background1"/>
            <w:vAlign w:val="center"/>
          </w:tcPr>
          <w:p w14:paraId="338159EA" w14:textId="77777777" w:rsidR="00AF33DB" w:rsidRDefault="00AF33DB" w:rsidP="00585914">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处置固定资产、无形资产和其他长期资产的损失（收益以“－”号填列）</w:t>
            </w:r>
          </w:p>
        </w:tc>
        <w:tc>
          <w:tcPr>
            <w:tcW w:w="3213" w:type="dxa"/>
            <w:shd w:val="clear" w:color="auto" w:fill="FFFFFF" w:themeFill="background1"/>
            <w:vAlign w:val="center"/>
          </w:tcPr>
          <w:p w14:paraId="0463349D" w14:textId="77777777" w:rsidR="00AF33DB" w:rsidRDefault="00AF33D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-3,232,000.83</w:t>
            </w:r>
          </w:p>
        </w:tc>
        <w:tc>
          <w:tcPr>
            <w:tcW w:w="3213" w:type="dxa"/>
            <w:shd w:val="clear" w:color="auto" w:fill="FFFFFF" w:themeFill="background1"/>
            <w:vAlign w:val="center"/>
          </w:tcPr>
          <w:p w14:paraId="6CE60CE6" w14:textId="77777777" w:rsidR="00AF33DB" w:rsidRDefault="00AF33D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-7,774,415.12</w:t>
            </w:r>
          </w:p>
        </w:tc>
      </w:tr>
      <w:tr w:rsidR="00AF33DB" w14:paraId="3A454D79" w14:textId="77777777" w:rsidTr="00F05317">
        <w:trPr>
          <w:trHeight w:val="240"/>
        </w:trPr>
        <w:tc>
          <w:tcPr>
            <w:tcW w:w="3213" w:type="dxa"/>
            <w:shd w:val="clear" w:color="auto" w:fill="FFFFFF" w:themeFill="background1"/>
            <w:vAlign w:val="center"/>
          </w:tcPr>
          <w:p w14:paraId="5323047F" w14:textId="77777777" w:rsidR="00AF33DB" w:rsidRDefault="00AF33DB" w:rsidP="00585914">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固定资产报废损失（收益以“－”号填列）</w:t>
            </w:r>
          </w:p>
        </w:tc>
        <w:tc>
          <w:tcPr>
            <w:tcW w:w="3213" w:type="dxa"/>
            <w:shd w:val="clear" w:color="auto" w:fill="FFFFFF" w:themeFill="background1"/>
            <w:vAlign w:val="center"/>
          </w:tcPr>
          <w:p w14:paraId="01706C62" w14:textId="77777777" w:rsidR="00AF33DB" w:rsidRDefault="00AF33D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1,117,792.35</w:t>
            </w:r>
          </w:p>
        </w:tc>
        <w:tc>
          <w:tcPr>
            <w:tcW w:w="3213" w:type="dxa"/>
            <w:shd w:val="clear" w:color="auto" w:fill="FFFFFF" w:themeFill="background1"/>
            <w:vAlign w:val="center"/>
          </w:tcPr>
          <w:p w14:paraId="50FAA2D3" w14:textId="77777777" w:rsidR="00AF33DB" w:rsidRDefault="00AF33D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741,187.55</w:t>
            </w:r>
          </w:p>
        </w:tc>
      </w:tr>
      <w:tr w:rsidR="00AF33DB" w14:paraId="3260EB04" w14:textId="77777777" w:rsidTr="00F05317">
        <w:trPr>
          <w:trHeight w:val="240"/>
        </w:trPr>
        <w:tc>
          <w:tcPr>
            <w:tcW w:w="3213" w:type="dxa"/>
            <w:shd w:val="clear" w:color="auto" w:fill="FFFFFF" w:themeFill="background1"/>
            <w:vAlign w:val="center"/>
          </w:tcPr>
          <w:p w14:paraId="0FB9F194" w14:textId="77777777" w:rsidR="00AF33DB" w:rsidRDefault="00AF33DB" w:rsidP="00585914">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公允价值变动损失（收益以“－”号填列）</w:t>
            </w:r>
          </w:p>
        </w:tc>
        <w:tc>
          <w:tcPr>
            <w:tcW w:w="3213" w:type="dxa"/>
            <w:shd w:val="clear" w:color="auto" w:fill="FFFFFF" w:themeFill="background1"/>
            <w:vAlign w:val="center"/>
          </w:tcPr>
          <w:p w14:paraId="6B756D57" w14:textId="77777777" w:rsidR="00AF33DB" w:rsidRDefault="00AF33D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73,778,607.07</w:t>
            </w:r>
          </w:p>
        </w:tc>
        <w:tc>
          <w:tcPr>
            <w:tcW w:w="3213" w:type="dxa"/>
            <w:shd w:val="clear" w:color="auto" w:fill="FFFFFF" w:themeFill="background1"/>
            <w:vAlign w:val="center"/>
          </w:tcPr>
          <w:p w14:paraId="12F093C0" w14:textId="77777777" w:rsidR="00AF33DB" w:rsidRDefault="00AF33D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17,056,776.18</w:t>
            </w:r>
          </w:p>
        </w:tc>
      </w:tr>
      <w:tr w:rsidR="00AF33DB" w14:paraId="0A5BD930" w14:textId="77777777" w:rsidTr="00F05317">
        <w:trPr>
          <w:trHeight w:val="240"/>
        </w:trPr>
        <w:tc>
          <w:tcPr>
            <w:tcW w:w="3213" w:type="dxa"/>
            <w:shd w:val="clear" w:color="auto" w:fill="FFFFFF" w:themeFill="background1"/>
            <w:vAlign w:val="center"/>
          </w:tcPr>
          <w:p w14:paraId="4B24D01E" w14:textId="77777777" w:rsidR="00AF33DB" w:rsidRDefault="00AF33DB" w:rsidP="00585914">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财务费用（收益以“－”号填列）</w:t>
            </w:r>
          </w:p>
        </w:tc>
        <w:tc>
          <w:tcPr>
            <w:tcW w:w="3213" w:type="dxa"/>
            <w:shd w:val="clear" w:color="auto" w:fill="FFFFFF" w:themeFill="background1"/>
            <w:vAlign w:val="center"/>
          </w:tcPr>
          <w:p w14:paraId="5E50FCAB" w14:textId="77777777" w:rsidR="00AF33DB" w:rsidRDefault="00AF33D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398,590,182.38</w:t>
            </w:r>
          </w:p>
        </w:tc>
        <w:tc>
          <w:tcPr>
            <w:tcW w:w="3213" w:type="dxa"/>
            <w:shd w:val="clear" w:color="auto" w:fill="FFFFFF" w:themeFill="background1"/>
            <w:vAlign w:val="center"/>
          </w:tcPr>
          <w:p w14:paraId="63FA09EE" w14:textId="77777777" w:rsidR="00AF33DB" w:rsidRDefault="00AF33D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300,486,456.15</w:t>
            </w:r>
          </w:p>
        </w:tc>
      </w:tr>
      <w:tr w:rsidR="00AF33DB" w14:paraId="08940742" w14:textId="77777777" w:rsidTr="00F05317">
        <w:trPr>
          <w:trHeight w:val="240"/>
        </w:trPr>
        <w:tc>
          <w:tcPr>
            <w:tcW w:w="3213" w:type="dxa"/>
            <w:shd w:val="clear" w:color="auto" w:fill="FFFFFF" w:themeFill="background1"/>
            <w:vAlign w:val="center"/>
          </w:tcPr>
          <w:p w14:paraId="00A7C53B" w14:textId="77777777" w:rsidR="00AF33DB" w:rsidRDefault="00AF33DB" w:rsidP="00585914">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投资损失（收益以“－”号填列）</w:t>
            </w:r>
          </w:p>
        </w:tc>
        <w:tc>
          <w:tcPr>
            <w:tcW w:w="3213" w:type="dxa"/>
            <w:shd w:val="clear" w:color="auto" w:fill="FFFFFF" w:themeFill="background1"/>
            <w:vAlign w:val="center"/>
          </w:tcPr>
          <w:p w14:paraId="3F462427" w14:textId="77777777" w:rsidR="00AF33DB" w:rsidRDefault="00AF33D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-1,734,202,998.35</w:t>
            </w:r>
          </w:p>
        </w:tc>
        <w:tc>
          <w:tcPr>
            <w:tcW w:w="3213" w:type="dxa"/>
            <w:shd w:val="clear" w:color="auto" w:fill="FFFFFF" w:themeFill="background1"/>
            <w:vAlign w:val="center"/>
          </w:tcPr>
          <w:p w14:paraId="00E5BD19" w14:textId="77777777" w:rsidR="00AF33DB" w:rsidRDefault="00AF33D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-2,186,604.69</w:t>
            </w:r>
          </w:p>
        </w:tc>
      </w:tr>
      <w:tr w:rsidR="00AF33DB" w14:paraId="74A9D8A9" w14:textId="77777777" w:rsidTr="00F05317">
        <w:trPr>
          <w:trHeight w:val="240"/>
        </w:trPr>
        <w:tc>
          <w:tcPr>
            <w:tcW w:w="3213" w:type="dxa"/>
            <w:shd w:val="clear" w:color="auto" w:fill="FFFFFF" w:themeFill="background1"/>
            <w:vAlign w:val="center"/>
          </w:tcPr>
          <w:p w14:paraId="31E711AC" w14:textId="77777777" w:rsidR="00AF33DB" w:rsidRDefault="00AF33DB" w:rsidP="00585914">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递延所得税资产减少（增加以“－”号填列）</w:t>
            </w:r>
          </w:p>
        </w:tc>
        <w:tc>
          <w:tcPr>
            <w:tcW w:w="3213" w:type="dxa"/>
            <w:shd w:val="clear" w:color="auto" w:fill="FFFFFF" w:themeFill="background1"/>
            <w:vAlign w:val="center"/>
          </w:tcPr>
          <w:p w14:paraId="089DB649" w14:textId="77777777" w:rsidR="00AF33DB" w:rsidRDefault="00AF33D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3,829,485.95</w:t>
            </w:r>
          </w:p>
        </w:tc>
        <w:tc>
          <w:tcPr>
            <w:tcW w:w="3213" w:type="dxa"/>
            <w:shd w:val="clear" w:color="auto" w:fill="FFFFFF" w:themeFill="background1"/>
            <w:vAlign w:val="center"/>
          </w:tcPr>
          <w:p w14:paraId="2566D298" w14:textId="77777777" w:rsidR="00AF33DB" w:rsidRDefault="00AF33D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40,406,316.76</w:t>
            </w:r>
          </w:p>
        </w:tc>
      </w:tr>
      <w:tr w:rsidR="00AF33DB" w14:paraId="582B54B1" w14:textId="77777777" w:rsidTr="00F05317">
        <w:trPr>
          <w:trHeight w:val="240"/>
        </w:trPr>
        <w:tc>
          <w:tcPr>
            <w:tcW w:w="3213" w:type="dxa"/>
            <w:shd w:val="clear" w:color="auto" w:fill="FFFFFF" w:themeFill="background1"/>
            <w:vAlign w:val="center"/>
          </w:tcPr>
          <w:p w14:paraId="32E9BFDF" w14:textId="77777777" w:rsidR="00AF33DB" w:rsidRDefault="00AF33DB" w:rsidP="00585914">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递延所得税负债增加（减少以“－”号填列）</w:t>
            </w:r>
          </w:p>
        </w:tc>
        <w:tc>
          <w:tcPr>
            <w:tcW w:w="3213" w:type="dxa"/>
            <w:shd w:val="clear" w:color="auto" w:fill="FFFFFF" w:themeFill="background1"/>
            <w:vAlign w:val="center"/>
          </w:tcPr>
          <w:p w14:paraId="4C72A29B" w14:textId="77777777" w:rsidR="00AF33DB" w:rsidRDefault="00AF33D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-7,506,325.01</w:t>
            </w:r>
          </w:p>
        </w:tc>
        <w:tc>
          <w:tcPr>
            <w:tcW w:w="3213" w:type="dxa"/>
            <w:shd w:val="clear" w:color="auto" w:fill="FFFFFF" w:themeFill="background1"/>
            <w:vAlign w:val="center"/>
          </w:tcPr>
          <w:p w14:paraId="64D4F0EB" w14:textId="77777777" w:rsidR="00AF33DB" w:rsidRDefault="00AF33D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-26,629,682.35</w:t>
            </w:r>
          </w:p>
        </w:tc>
      </w:tr>
      <w:tr w:rsidR="00AF33DB" w14:paraId="0FFC01BA" w14:textId="77777777" w:rsidTr="00F05317">
        <w:trPr>
          <w:trHeight w:val="240"/>
        </w:trPr>
        <w:tc>
          <w:tcPr>
            <w:tcW w:w="3213" w:type="dxa"/>
            <w:shd w:val="clear" w:color="auto" w:fill="FFFFFF" w:themeFill="background1"/>
            <w:vAlign w:val="center"/>
          </w:tcPr>
          <w:p w14:paraId="115CE4AB" w14:textId="77777777" w:rsidR="00AF33DB" w:rsidRDefault="00AF33DB" w:rsidP="00585914">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存货的减少（增加以“－”号填列）</w:t>
            </w:r>
          </w:p>
        </w:tc>
        <w:tc>
          <w:tcPr>
            <w:tcW w:w="3213" w:type="dxa"/>
            <w:shd w:val="clear" w:color="auto" w:fill="FFFFFF" w:themeFill="background1"/>
            <w:vAlign w:val="center"/>
          </w:tcPr>
          <w:p w14:paraId="33BD29D9" w14:textId="77777777" w:rsidR="00AF33DB" w:rsidRDefault="00AF33D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357,355,826.02</w:t>
            </w:r>
          </w:p>
        </w:tc>
        <w:tc>
          <w:tcPr>
            <w:tcW w:w="3213" w:type="dxa"/>
            <w:shd w:val="clear" w:color="auto" w:fill="FFFFFF" w:themeFill="background1"/>
            <w:vAlign w:val="center"/>
          </w:tcPr>
          <w:p w14:paraId="7AFB265F" w14:textId="77777777" w:rsidR="00AF33DB" w:rsidRDefault="00AF33D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124,241,138.00</w:t>
            </w:r>
          </w:p>
        </w:tc>
      </w:tr>
      <w:tr w:rsidR="00AF33DB" w14:paraId="57B00B06" w14:textId="77777777" w:rsidTr="00F05317">
        <w:trPr>
          <w:trHeight w:val="240"/>
        </w:trPr>
        <w:tc>
          <w:tcPr>
            <w:tcW w:w="3213" w:type="dxa"/>
            <w:shd w:val="clear" w:color="auto" w:fill="FFFFFF" w:themeFill="background1"/>
            <w:vAlign w:val="center"/>
          </w:tcPr>
          <w:p w14:paraId="51DAEFBF" w14:textId="77777777" w:rsidR="00AF33DB" w:rsidRDefault="00AF33DB" w:rsidP="00585914">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经营性应收项目的减少（增加以“－”号填列）</w:t>
            </w:r>
          </w:p>
        </w:tc>
        <w:tc>
          <w:tcPr>
            <w:tcW w:w="3213" w:type="dxa"/>
            <w:shd w:val="clear" w:color="auto" w:fill="FFFFFF" w:themeFill="background1"/>
            <w:vAlign w:val="center"/>
          </w:tcPr>
          <w:p w14:paraId="572C4E8C" w14:textId="77777777" w:rsidR="00AF33DB" w:rsidRDefault="00AF33D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-361,873,991.37</w:t>
            </w:r>
          </w:p>
        </w:tc>
        <w:tc>
          <w:tcPr>
            <w:tcW w:w="3213" w:type="dxa"/>
            <w:shd w:val="clear" w:color="auto" w:fill="FFFFFF" w:themeFill="background1"/>
            <w:vAlign w:val="center"/>
          </w:tcPr>
          <w:p w14:paraId="59CE3ABB" w14:textId="77777777" w:rsidR="00AF33DB" w:rsidRDefault="00AF33D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367,995,771.74</w:t>
            </w:r>
          </w:p>
        </w:tc>
      </w:tr>
      <w:tr w:rsidR="00AF33DB" w14:paraId="66BADEC5" w14:textId="77777777" w:rsidTr="00F05317">
        <w:trPr>
          <w:trHeight w:val="240"/>
        </w:trPr>
        <w:tc>
          <w:tcPr>
            <w:tcW w:w="3213" w:type="dxa"/>
            <w:shd w:val="clear" w:color="auto" w:fill="FFFFFF" w:themeFill="background1"/>
            <w:vAlign w:val="center"/>
          </w:tcPr>
          <w:p w14:paraId="17A3BF06" w14:textId="77777777" w:rsidR="00AF33DB" w:rsidRDefault="00AF33DB" w:rsidP="00585914">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经营性应付项目的增加（减少以“－”号填列）</w:t>
            </w:r>
          </w:p>
        </w:tc>
        <w:tc>
          <w:tcPr>
            <w:tcW w:w="3213" w:type="dxa"/>
            <w:shd w:val="clear" w:color="auto" w:fill="FFFFFF" w:themeFill="background1"/>
            <w:vAlign w:val="center"/>
          </w:tcPr>
          <w:p w14:paraId="7FE3F47C" w14:textId="77777777" w:rsidR="00AF33DB" w:rsidRDefault="00AF33D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71,840.48</w:t>
            </w:r>
          </w:p>
        </w:tc>
        <w:tc>
          <w:tcPr>
            <w:tcW w:w="3213" w:type="dxa"/>
            <w:shd w:val="clear" w:color="auto" w:fill="FFFFFF" w:themeFill="background1"/>
            <w:vAlign w:val="center"/>
          </w:tcPr>
          <w:p w14:paraId="672738CC" w14:textId="77777777" w:rsidR="00AF33DB" w:rsidRDefault="00AF33D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-155,738,184.32</w:t>
            </w:r>
          </w:p>
        </w:tc>
      </w:tr>
      <w:tr w:rsidR="00AF33DB" w14:paraId="28723B30" w14:textId="77777777" w:rsidTr="00F05317">
        <w:trPr>
          <w:trHeight w:val="240"/>
        </w:trPr>
        <w:tc>
          <w:tcPr>
            <w:tcW w:w="3213" w:type="dxa"/>
            <w:shd w:val="clear" w:color="auto" w:fill="FFFFFF" w:themeFill="background1"/>
            <w:vAlign w:val="center"/>
          </w:tcPr>
          <w:p w14:paraId="2A0124A7" w14:textId="77777777" w:rsidR="00AF33DB" w:rsidRDefault="00AF33DB" w:rsidP="00585914">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其他</w:t>
            </w:r>
          </w:p>
        </w:tc>
        <w:tc>
          <w:tcPr>
            <w:tcW w:w="3213" w:type="dxa"/>
            <w:shd w:val="clear" w:color="auto" w:fill="FFFFFF" w:themeFill="background1"/>
            <w:vAlign w:val="center"/>
          </w:tcPr>
          <w:p w14:paraId="08E7E287" w14:textId="77777777" w:rsidR="00AF33DB" w:rsidRDefault="00AF33D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-11,284,105.05</w:t>
            </w:r>
            <w:r>
              <w:rPr>
                <w:rFonts w:ascii="Times New Roman" w:eastAsia="宋体" w:hAnsi="Times New Roman" w:cs="Times New Roman"/>
                <w:color w:val="F00000"/>
                <w:vertAlign w:val="superscript"/>
              </w:rPr>
              <w:t>1</w:t>
            </w:r>
          </w:p>
        </w:tc>
        <w:tc>
          <w:tcPr>
            <w:tcW w:w="3213" w:type="dxa"/>
            <w:shd w:val="clear" w:color="auto" w:fill="FFFFFF" w:themeFill="background1"/>
            <w:vAlign w:val="center"/>
          </w:tcPr>
          <w:p w14:paraId="42EA0FF0" w14:textId="77777777" w:rsidR="00AF33DB" w:rsidRDefault="00AF33D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-12,236,780.78</w:t>
            </w:r>
          </w:p>
        </w:tc>
      </w:tr>
      <w:tr w:rsidR="00AF33DB" w14:paraId="3D3963DF" w14:textId="77777777" w:rsidTr="00F05317">
        <w:trPr>
          <w:trHeight w:val="240"/>
        </w:trPr>
        <w:tc>
          <w:tcPr>
            <w:tcW w:w="3213" w:type="dxa"/>
            <w:shd w:val="clear" w:color="auto" w:fill="FFFFFF" w:themeFill="background1"/>
            <w:vAlign w:val="center"/>
          </w:tcPr>
          <w:p w14:paraId="4155617A" w14:textId="77777777" w:rsidR="00AF33DB" w:rsidRDefault="00AF33DB" w:rsidP="00585914">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经营活动产生的现金流量净额</w:t>
            </w:r>
          </w:p>
        </w:tc>
        <w:tc>
          <w:tcPr>
            <w:tcW w:w="3213" w:type="dxa"/>
            <w:shd w:val="clear" w:color="auto" w:fill="FFFFFF" w:themeFill="background1"/>
            <w:vAlign w:val="center"/>
          </w:tcPr>
          <w:p w14:paraId="03895247" w14:textId="77777777" w:rsidR="00AF33DB" w:rsidRDefault="00AF33D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-659,205,323.72</w:t>
            </w:r>
          </w:p>
        </w:tc>
        <w:tc>
          <w:tcPr>
            <w:tcW w:w="3213" w:type="dxa"/>
            <w:shd w:val="clear" w:color="auto" w:fill="FFFFFF" w:themeFill="background1"/>
            <w:vAlign w:val="center"/>
          </w:tcPr>
          <w:p w14:paraId="46260FCF" w14:textId="77777777" w:rsidR="00AF33DB" w:rsidRDefault="00AF33D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289,661,826.87</w:t>
            </w:r>
          </w:p>
        </w:tc>
      </w:tr>
      <w:tr w:rsidR="00AF33DB" w14:paraId="0BEA88B0" w14:textId="77777777" w:rsidTr="00F05317">
        <w:trPr>
          <w:trHeight w:val="240"/>
        </w:trPr>
        <w:tc>
          <w:tcPr>
            <w:tcW w:w="3213" w:type="dxa"/>
            <w:shd w:val="clear" w:color="auto" w:fill="FFFFFF" w:themeFill="background1"/>
            <w:vAlign w:val="center"/>
          </w:tcPr>
          <w:p w14:paraId="5DB93C86" w14:textId="77777777" w:rsidR="00AF33DB" w:rsidRDefault="00AF33DB" w:rsidP="00585914">
            <w:pPr>
              <w:spacing w:before="40" w:after="40" w:line="240" w:lineRule="exact"/>
              <w:rPr>
                <w:rFonts w:ascii="宋体" w:eastAsia="宋体" w:hAnsi="宋体" w:cs="宋体" w:hint="eastAsia"/>
                <w:sz w:val="18"/>
                <w:szCs w:val="18"/>
              </w:rPr>
            </w:pPr>
            <w:r>
              <w:rPr>
                <w:rFonts w:ascii="宋体" w:eastAsia="宋体" w:hAnsi="宋体" w:cs="宋体"/>
                <w:sz w:val="18"/>
                <w:szCs w:val="18"/>
              </w:rPr>
              <w:t>2．不涉及现金收支的重大投资和筹资活动</w:t>
            </w:r>
          </w:p>
        </w:tc>
        <w:tc>
          <w:tcPr>
            <w:tcW w:w="3213" w:type="dxa"/>
            <w:shd w:val="clear" w:color="auto" w:fill="FFFFFF" w:themeFill="background1"/>
            <w:vAlign w:val="center"/>
          </w:tcPr>
          <w:p w14:paraId="2653CAB5" w14:textId="77777777" w:rsidR="00AF33DB" w:rsidRDefault="00AF33DB" w:rsidP="00585914"/>
        </w:tc>
        <w:tc>
          <w:tcPr>
            <w:tcW w:w="3213" w:type="dxa"/>
            <w:shd w:val="clear" w:color="auto" w:fill="FFFFFF" w:themeFill="background1"/>
            <w:vAlign w:val="center"/>
          </w:tcPr>
          <w:p w14:paraId="7794360D" w14:textId="77777777" w:rsidR="00AF33DB" w:rsidRDefault="00AF33DB" w:rsidP="00585914"/>
        </w:tc>
      </w:tr>
      <w:tr w:rsidR="00AF33DB" w14:paraId="3173C0CD" w14:textId="77777777" w:rsidTr="00F05317">
        <w:trPr>
          <w:trHeight w:val="240"/>
        </w:trPr>
        <w:tc>
          <w:tcPr>
            <w:tcW w:w="3213" w:type="dxa"/>
            <w:shd w:val="clear" w:color="auto" w:fill="FFFFFF" w:themeFill="background1"/>
            <w:vAlign w:val="center"/>
          </w:tcPr>
          <w:p w14:paraId="3F8A7412" w14:textId="77777777" w:rsidR="00AF33DB" w:rsidRDefault="00AF33DB" w:rsidP="00585914">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债务转为资本</w:t>
            </w:r>
          </w:p>
        </w:tc>
        <w:tc>
          <w:tcPr>
            <w:tcW w:w="3213" w:type="dxa"/>
            <w:shd w:val="clear" w:color="auto" w:fill="FFFFFF" w:themeFill="background1"/>
            <w:vAlign w:val="center"/>
          </w:tcPr>
          <w:p w14:paraId="3D93AFDB" w14:textId="77777777" w:rsidR="00AF33DB" w:rsidRDefault="00AF33DB" w:rsidP="00585914">
            <w:pPr>
              <w:spacing w:line="240" w:lineRule="exact"/>
              <w:jc w:val="right"/>
              <w:rPr>
                <w:rFonts w:ascii="宋体" w:eastAsia="宋体" w:hAnsi="宋体" w:cs="宋体" w:hint="eastAsia"/>
                <w:sz w:val="18"/>
                <w:szCs w:val="18"/>
              </w:rPr>
            </w:pPr>
          </w:p>
        </w:tc>
        <w:tc>
          <w:tcPr>
            <w:tcW w:w="3213" w:type="dxa"/>
            <w:shd w:val="clear" w:color="auto" w:fill="FFFFFF" w:themeFill="background1"/>
            <w:vAlign w:val="center"/>
          </w:tcPr>
          <w:p w14:paraId="65CE2BD0" w14:textId="77777777" w:rsidR="00AF33DB" w:rsidRDefault="00AF33DB" w:rsidP="00585914">
            <w:pPr>
              <w:spacing w:line="240" w:lineRule="exact"/>
              <w:jc w:val="right"/>
              <w:rPr>
                <w:rFonts w:ascii="宋体" w:eastAsia="宋体" w:hAnsi="宋体" w:cs="宋体" w:hint="eastAsia"/>
                <w:sz w:val="18"/>
                <w:szCs w:val="18"/>
              </w:rPr>
            </w:pPr>
          </w:p>
        </w:tc>
      </w:tr>
      <w:tr w:rsidR="00AF33DB" w14:paraId="3F61D0B6" w14:textId="77777777" w:rsidTr="00F05317">
        <w:trPr>
          <w:trHeight w:val="240"/>
        </w:trPr>
        <w:tc>
          <w:tcPr>
            <w:tcW w:w="3213" w:type="dxa"/>
            <w:shd w:val="clear" w:color="auto" w:fill="FFFFFF" w:themeFill="background1"/>
            <w:vAlign w:val="center"/>
          </w:tcPr>
          <w:p w14:paraId="40B84413" w14:textId="77777777" w:rsidR="00AF33DB" w:rsidRDefault="00AF33DB" w:rsidP="00585914">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一年内到期的可转换公司债券</w:t>
            </w:r>
          </w:p>
        </w:tc>
        <w:tc>
          <w:tcPr>
            <w:tcW w:w="3213" w:type="dxa"/>
            <w:shd w:val="clear" w:color="auto" w:fill="FFFFFF" w:themeFill="background1"/>
            <w:vAlign w:val="center"/>
          </w:tcPr>
          <w:p w14:paraId="7818714E" w14:textId="77777777" w:rsidR="00AF33DB" w:rsidRDefault="00AF33DB" w:rsidP="00585914">
            <w:pPr>
              <w:spacing w:line="240" w:lineRule="exact"/>
              <w:jc w:val="right"/>
              <w:rPr>
                <w:rFonts w:ascii="宋体" w:eastAsia="宋体" w:hAnsi="宋体" w:cs="宋体" w:hint="eastAsia"/>
                <w:sz w:val="18"/>
                <w:szCs w:val="18"/>
              </w:rPr>
            </w:pPr>
          </w:p>
        </w:tc>
        <w:tc>
          <w:tcPr>
            <w:tcW w:w="3213" w:type="dxa"/>
            <w:shd w:val="clear" w:color="auto" w:fill="FFFFFF" w:themeFill="background1"/>
            <w:vAlign w:val="center"/>
          </w:tcPr>
          <w:p w14:paraId="5CBFA675" w14:textId="77777777" w:rsidR="00AF33DB" w:rsidRDefault="00AF33DB" w:rsidP="00585914">
            <w:pPr>
              <w:spacing w:line="240" w:lineRule="exact"/>
              <w:jc w:val="right"/>
              <w:rPr>
                <w:rFonts w:ascii="宋体" w:eastAsia="宋体" w:hAnsi="宋体" w:cs="宋体" w:hint="eastAsia"/>
                <w:sz w:val="18"/>
                <w:szCs w:val="18"/>
              </w:rPr>
            </w:pPr>
          </w:p>
        </w:tc>
      </w:tr>
      <w:tr w:rsidR="00AF33DB" w14:paraId="53741DF2" w14:textId="77777777" w:rsidTr="00F05317">
        <w:trPr>
          <w:trHeight w:val="240"/>
        </w:trPr>
        <w:tc>
          <w:tcPr>
            <w:tcW w:w="3213" w:type="dxa"/>
            <w:shd w:val="clear" w:color="auto" w:fill="FFFFFF" w:themeFill="background1"/>
            <w:vAlign w:val="center"/>
          </w:tcPr>
          <w:p w14:paraId="2690B9C6" w14:textId="77777777" w:rsidR="00AF33DB" w:rsidRDefault="00AF33DB" w:rsidP="00585914">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融资租入固定资产</w:t>
            </w:r>
          </w:p>
        </w:tc>
        <w:tc>
          <w:tcPr>
            <w:tcW w:w="3213" w:type="dxa"/>
            <w:shd w:val="clear" w:color="auto" w:fill="FFFFFF" w:themeFill="background1"/>
            <w:vAlign w:val="center"/>
          </w:tcPr>
          <w:p w14:paraId="1933AABD" w14:textId="77777777" w:rsidR="00AF33DB" w:rsidRDefault="00AF33DB" w:rsidP="00585914">
            <w:pPr>
              <w:spacing w:line="240" w:lineRule="exact"/>
              <w:jc w:val="right"/>
              <w:rPr>
                <w:rFonts w:ascii="宋体" w:eastAsia="宋体" w:hAnsi="宋体" w:cs="宋体" w:hint="eastAsia"/>
                <w:sz w:val="18"/>
                <w:szCs w:val="18"/>
              </w:rPr>
            </w:pPr>
          </w:p>
        </w:tc>
        <w:tc>
          <w:tcPr>
            <w:tcW w:w="3213" w:type="dxa"/>
            <w:shd w:val="clear" w:color="auto" w:fill="FFFFFF" w:themeFill="background1"/>
            <w:vAlign w:val="center"/>
          </w:tcPr>
          <w:p w14:paraId="6E29C4E9" w14:textId="77777777" w:rsidR="00AF33DB" w:rsidRDefault="00AF33DB" w:rsidP="00585914">
            <w:pPr>
              <w:spacing w:line="240" w:lineRule="exact"/>
              <w:jc w:val="right"/>
              <w:rPr>
                <w:rFonts w:ascii="宋体" w:eastAsia="宋体" w:hAnsi="宋体" w:cs="宋体" w:hint="eastAsia"/>
                <w:sz w:val="18"/>
                <w:szCs w:val="18"/>
              </w:rPr>
            </w:pPr>
          </w:p>
        </w:tc>
      </w:tr>
      <w:tr w:rsidR="00AF33DB" w14:paraId="4DED04A2" w14:textId="77777777" w:rsidTr="00F05317">
        <w:trPr>
          <w:trHeight w:val="240"/>
        </w:trPr>
        <w:tc>
          <w:tcPr>
            <w:tcW w:w="3213" w:type="dxa"/>
            <w:shd w:val="clear" w:color="auto" w:fill="FFFFFF" w:themeFill="background1"/>
            <w:vAlign w:val="center"/>
          </w:tcPr>
          <w:p w14:paraId="28ADBE22" w14:textId="77777777" w:rsidR="00AF33DB" w:rsidRDefault="00AF33DB" w:rsidP="00585914">
            <w:pPr>
              <w:spacing w:before="40" w:after="40" w:line="240" w:lineRule="exact"/>
              <w:rPr>
                <w:rFonts w:ascii="宋体" w:eastAsia="宋体" w:hAnsi="宋体" w:cs="宋体" w:hint="eastAsia"/>
                <w:sz w:val="18"/>
                <w:szCs w:val="18"/>
              </w:rPr>
            </w:pPr>
            <w:r>
              <w:rPr>
                <w:rFonts w:ascii="宋体" w:eastAsia="宋体" w:hAnsi="宋体" w:cs="宋体"/>
                <w:sz w:val="18"/>
                <w:szCs w:val="18"/>
              </w:rPr>
              <w:t>3．现金及现金等价物净变动情况：</w:t>
            </w:r>
          </w:p>
        </w:tc>
        <w:tc>
          <w:tcPr>
            <w:tcW w:w="3213" w:type="dxa"/>
            <w:shd w:val="clear" w:color="auto" w:fill="FFFFFF" w:themeFill="background1"/>
            <w:vAlign w:val="center"/>
          </w:tcPr>
          <w:p w14:paraId="2C63E370" w14:textId="77777777" w:rsidR="00AF33DB" w:rsidRDefault="00AF33DB" w:rsidP="00585914"/>
        </w:tc>
        <w:tc>
          <w:tcPr>
            <w:tcW w:w="3213" w:type="dxa"/>
            <w:shd w:val="clear" w:color="auto" w:fill="FFFFFF" w:themeFill="background1"/>
            <w:vAlign w:val="center"/>
          </w:tcPr>
          <w:p w14:paraId="0F19054D" w14:textId="77777777" w:rsidR="00AF33DB" w:rsidRDefault="00AF33DB" w:rsidP="00585914"/>
        </w:tc>
      </w:tr>
      <w:tr w:rsidR="00AF33DB" w14:paraId="0B3F2A40" w14:textId="77777777" w:rsidTr="00F05317">
        <w:trPr>
          <w:trHeight w:val="240"/>
        </w:trPr>
        <w:tc>
          <w:tcPr>
            <w:tcW w:w="3213" w:type="dxa"/>
            <w:shd w:val="clear" w:color="auto" w:fill="FFFFFF" w:themeFill="background1"/>
            <w:vAlign w:val="center"/>
          </w:tcPr>
          <w:p w14:paraId="18D79465" w14:textId="77777777" w:rsidR="00AF33DB" w:rsidRDefault="00AF33DB" w:rsidP="00585914">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现金的期末余额</w:t>
            </w:r>
          </w:p>
        </w:tc>
        <w:tc>
          <w:tcPr>
            <w:tcW w:w="3213" w:type="dxa"/>
            <w:shd w:val="clear" w:color="auto" w:fill="FFFFFF" w:themeFill="background1"/>
            <w:vAlign w:val="center"/>
          </w:tcPr>
          <w:p w14:paraId="21649C7E" w14:textId="77777777" w:rsidR="00AF33DB" w:rsidRDefault="00AF33D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123,379,379.87</w:t>
            </w:r>
          </w:p>
        </w:tc>
        <w:tc>
          <w:tcPr>
            <w:tcW w:w="3213" w:type="dxa"/>
            <w:shd w:val="clear" w:color="auto" w:fill="FFFFFF" w:themeFill="background1"/>
            <w:vAlign w:val="center"/>
          </w:tcPr>
          <w:p w14:paraId="2BD45149" w14:textId="77777777" w:rsidR="00AF33DB" w:rsidRDefault="00AF33D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324,181,869.29</w:t>
            </w:r>
          </w:p>
        </w:tc>
      </w:tr>
      <w:tr w:rsidR="00AF33DB" w14:paraId="6FC34B3B" w14:textId="77777777" w:rsidTr="00F05317">
        <w:trPr>
          <w:trHeight w:val="240"/>
        </w:trPr>
        <w:tc>
          <w:tcPr>
            <w:tcW w:w="3213" w:type="dxa"/>
            <w:shd w:val="clear" w:color="auto" w:fill="FFFFFF" w:themeFill="background1"/>
            <w:vAlign w:val="center"/>
          </w:tcPr>
          <w:p w14:paraId="11448CBB" w14:textId="77777777" w:rsidR="00AF33DB" w:rsidRDefault="00AF33DB" w:rsidP="00585914">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减：现金的期初余额</w:t>
            </w:r>
          </w:p>
        </w:tc>
        <w:tc>
          <w:tcPr>
            <w:tcW w:w="3213" w:type="dxa"/>
            <w:shd w:val="clear" w:color="auto" w:fill="FFFFFF" w:themeFill="background1"/>
            <w:vAlign w:val="center"/>
          </w:tcPr>
          <w:p w14:paraId="0DD78D3F" w14:textId="77777777" w:rsidR="00AF33DB" w:rsidRDefault="00AF33D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324,181,869.29</w:t>
            </w:r>
          </w:p>
        </w:tc>
        <w:tc>
          <w:tcPr>
            <w:tcW w:w="3213" w:type="dxa"/>
            <w:shd w:val="clear" w:color="auto" w:fill="FFFFFF" w:themeFill="background1"/>
            <w:vAlign w:val="center"/>
          </w:tcPr>
          <w:p w14:paraId="21525CEA" w14:textId="77777777" w:rsidR="00AF33DB" w:rsidRDefault="00AF33D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442,621,800.18</w:t>
            </w:r>
          </w:p>
        </w:tc>
      </w:tr>
      <w:tr w:rsidR="00AF33DB" w14:paraId="0143888F" w14:textId="77777777" w:rsidTr="00F05317">
        <w:trPr>
          <w:trHeight w:val="240"/>
        </w:trPr>
        <w:tc>
          <w:tcPr>
            <w:tcW w:w="3213" w:type="dxa"/>
            <w:shd w:val="clear" w:color="auto" w:fill="FFFFFF" w:themeFill="background1"/>
            <w:vAlign w:val="center"/>
          </w:tcPr>
          <w:p w14:paraId="322A088D" w14:textId="77777777" w:rsidR="00AF33DB" w:rsidRDefault="00AF33DB" w:rsidP="00585914">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lastRenderedPageBreak/>
              <w:t>加：现金等价物的期末余额</w:t>
            </w:r>
          </w:p>
        </w:tc>
        <w:tc>
          <w:tcPr>
            <w:tcW w:w="3213" w:type="dxa"/>
            <w:shd w:val="clear" w:color="auto" w:fill="FFFFFF" w:themeFill="background1"/>
            <w:vAlign w:val="center"/>
          </w:tcPr>
          <w:p w14:paraId="1196D547" w14:textId="77777777" w:rsidR="00AF33DB" w:rsidRDefault="00AF33DB" w:rsidP="00585914">
            <w:pPr>
              <w:spacing w:line="240" w:lineRule="exact"/>
              <w:jc w:val="right"/>
              <w:rPr>
                <w:rFonts w:ascii="宋体" w:eastAsia="宋体" w:hAnsi="宋体" w:cs="宋体" w:hint="eastAsia"/>
                <w:sz w:val="18"/>
                <w:szCs w:val="18"/>
              </w:rPr>
            </w:pPr>
          </w:p>
        </w:tc>
        <w:tc>
          <w:tcPr>
            <w:tcW w:w="3213" w:type="dxa"/>
            <w:shd w:val="clear" w:color="auto" w:fill="FFFFFF" w:themeFill="background1"/>
            <w:vAlign w:val="center"/>
          </w:tcPr>
          <w:p w14:paraId="6280C647" w14:textId="77777777" w:rsidR="00AF33DB" w:rsidRDefault="00AF33DB" w:rsidP="00585914">
            <w:pPr>
              <w:spacing w:line="240" w:lineRule="exact"/>
              <w:jc w:val="right"/>
              <w:rPr>
                <w:rFonts w:ascii="宋体" w:eastAsia="宋体" w:hAnsi="宋体" w:cs="宋体" w:hint="eastAsia"/>
                <w:sz w:val="18"/>
                <w:szCs w:val="18"/>
              </w:rPr>
            </w:pPr>
          </w:p>
        </w:tc>
      </w:tr>
      <w:tr w:rsidR="00AF33DB" w14:paraId="3E2B5480" w14:textId="77777777" w:rsidTr="00F05317">
        <w:trPr>
          <w:trHeight w:val="240"/>
        </w:trPr>
        <w:tc>
          <w:tcPr>
            <w:tcW w:w="3213" w:type="dxa"/>
            <w:shd w:val="clear" w:color="auto" w:fill="FFFFFF" w:themeFill="background1"/>
            <w:vAlign w:val="center"/>
          </w:tcPr>
          <w:p w14:paraId="16DA859B" w14:textId="77777777" w:rsidR="00AF33DB" w:rsidRDefault="00AF33DB" w:rsidP="00585914">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减：现金等价物的期初余额</w:t>
            </w:r>
          </w:p>
        </w:tc>
        <w:tc>
          <w:tcPr>
            <w:tcW w:w="3213" w:type="dxa"/>
            <w:shd w:val="clear" w:color="auto" w:fill="FFFFFF" w:themeFill="background1"/>
            <w:vAlign w:val="center"/>
          </w:tcPr>
          <w:p w14:paraId="584452DD" w14:textId="77777777" w:rsidR="00AF33DB" w:rsidRDefault="00AF33DB" w:rsidP="00585914">
            <w:pPr>
              <w:spacing w:line="240" w:lineRule="exact"/>
              <w:jc w:val="right"/>
              <w:rPr>
                <w:rFonts w:ascii="宋体" w:eastAsia="宋体" w:hAnsi="宋体" w:cs="宋体" w:hint="eastAsia"/>
                <w:sz w:val="18"/>
                <w:szCs w:val="18"/>
              </w:rPr>
            </w:pPr>
          </w:p>
        </w:tc>
        <w:tc>
          <w:tcPr>
            <w:tcW w:w="3213" w:type="dxa"/>
            <w:shd w:val="clear" w:color="auto" w:fill="FFFFFF" w:themeFill="background1"/>
            <w:vAlign w:val="center"/>
          </w:tcPr>
          <w:p w14:paraId="502BDF88" w14:textId="77777777" w:rsidR="00AF33DB" w:rsidRDefault="00AF33DB" w:rsidP="00585914">
            <w:pPr>
              <w:spacing w:line="240" w:lineRule="exact"/>
              <w:jc w:val="right"/>
              <w:rPr>
                <w:rFonts w:ascii="宋体" w:eastAsia="宋体" w:hAnsi="宋体" w:cs="宋体" w:hint="eastAsia"/>
                <w:sz w:val="18"/>
                <w:szCs w:val="18"/>
              </w:rPr>
            </w:pPr>
          </w:p>
        </w:tc>
      </w:tr>
      <w:tr w:rsidR="00AF33DB" w14:paraId="47A755B9" w14:textId="77777777" w:rsidTr="00F05317">
        <w:trPr>
          <w:trHeight w:val="240"/>
        </w:trPr>
        <w:tc>
          <w:tcPr>
            <w:tcW w:w="3213" w:type="dxa"/>
            <w:shd w:val="clear" w:color="auto" w:fill="FFFFFF" w:themeFill="background1"/>
            <w:vAlign w:val="center"/>
          </w:tcPr>
          <w:p w14:paraId="1F558227" w14:textId="77777777" w:rsidR="00AF33DB" w:rsidRDefault="00AF33DB" w:rsidP="00585914">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现金及现金等价物净增加额</w:t>
            </w:r>
          </w:p>
        </w:tc>
        <w:tc>
          <w:tcPr>
            <w:tcW w:w="3213" w:type="dxa"/>
            <w:shd w:val="clear" w:color="auto" w:fill="FFFFFF" w:themeFill="background1"/>
            <w:vAlign w:val="center"/>
          </w:tcPr>
          <w:p w14:paraId="2E6EC8DE" w14:textId="77777777" w:rsidR="00AF33DB" w:rsidRDefault="00AF33D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-200,802,489.42</w:t>
            </w:r>
          </w:p>
        </w:tc>
        <w:tc>
          <w:tcPr>
            <w:tcW w:w="3213" w:type="dxa"/>
            <w:shd w:val="clear" w:color="auto" w:fill="FFFFFF" w:themeFill="background1"/>
            <w:vAlign w:val="center"/>
          </w:tcPr>
          <w:p w14:paraId="6B1CB70D" w14:textId="77777777" w:rsidR="00AF33DB" w:rsidRDefault="00AF33DB" w:rsidP="00585914">
            <w:pPr>
              <w:spacing w:line="240" w:lineRule="exact"/>
              <w:jc w:val="right"/>
              <w:rPr>
                <w:rFonts w:ascii="宋体" w:eastAsia="宋体" w:hAnsi="宋体" w:cs="宋体" w:hint="eastAsia"/>
                <w:sz w:val="18"/>
                <w:szCs w:val="18"/>
              </w:rPr>
            </w:pPr>
            <w:r>
              <w:rPr>
                <w:rFonts w:ascii="宋体" w:eastAsia="宋体" w:hAnsi="宋体" w:cs="宋体"/>
                <w:sz w:val="18"/>
                <w:szCs w:val="18"/>
              </w:rPr>
              <w:t>-118,439,930.89</w:t>
            </w:r>
          </w:p>
        </w:tc>
      </w:tr>
    </w:tbl>
    <w:p w14:paraId="4123FD2A" w14:textId="7D0EDAA7" w:rsidR="00632E5B" w:rsidRPr="00F84867" w:rsidRDefault="00107901">
      <w:pPr>
        <w:rPr>
          <w:rFonts w:asciiTheme="minorEastAsia" w:hAnsiTheme="minorEastAsia" w:hint="eastAsia"/>
          <w:sz w:val="18"/>
        </w:rPr>
      </w:pPr>
      <w:r w:rsidRPr="00F84867">
        <w:rPr>
          <w:rFonts w:asciiTheme="minorEastAsia" w:hAnsiTheme="minorEastAsia" w:cs="仿宋"/>
          <w:sz w:val="18"/>
        </w:rPr>
        <w:t>注</w:t>
      </w:r>
      <w:r w:rsidR="00F84867" w:rsidRPr="00F84867">
        <w:rPr>
          <w:rFonts w:asciiTheme="minorEastAsia" w:hAnsiTheme="minorEastAsia" w:cs="仿宋" w:hint="eastAsia"/>
          <w:sz w:val="18"/>
        </w:rPr>
        <w:t>1</w:t>
      </w:r>
      <w:r w:rsidRPr="00F84867">
        <w:rPr>
          <w:rFonts w:asciiTheme="minorEastAsia" w:hAnsiTheme="minorEastAsia" w:cs="仿宋"/>
          <w:sz w:val="18"/>
        </w:rPr>
        <w:t>：其他是存货跌价准备的转销影响-1,154.33万元，在建工程终止前期投入损失47.28万元，营业外收入中不需支付的应付款项-工程设备款影响-21.36万元。</w:t>
      </w:r>
    </w:p>
    <w:p w14:paraId="1CB401A9"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334" w:name="_Toc989220"/>
      <w:r>
        <w:rPr>
          <w:rFonts w:ascii="宋体" w:eastAsia="宋体" w:hAnsi="宋体" w:cs="宋体"/>
          <w:b/>
          <w:bCs/>
          <w:szCs w:val="21"/>
        </w:rPr>
        <w:t>（2） 现金和现金等价物的构成</w:t>
      </w:r>
      <w:bookmarkEnd w:id="334"/>
    </w:p>
    <w:p w14:paraId="40B07C39"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2615FBAF" w14:textId="77777777" w:rsidTr="00F05317">
        <w:trPr>
          <w:trHeight w:val="240"/>
        </w:trPr>
        <w:tc>
          <w:tcPr>
            <w:tcW w:w="3213" w:type="dxa"/>
            <w:shd w:val="clear" w:color="auto" w:fill="FFFFFF" w:themeFill="background1"/>
            <w:vAlign w:val="center"/>
          </w:tcPr>
          <w:p w14:paraId="4D9A69A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37D4086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auto" w:fill="FFFFFF" w:themeFill="background1"/>
            <w:vAlign w:val="center"/>
          </w:tcPr>
          <w:p w14:paraId="5C5438D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632E5B" w14:paraId="18B477F8" w14:textId="77777777" w:rsidTr="00F05317">
        <w:trPr>
          <w:trHeight w:val="240"/>
        </w:trPr>
        <w:tc>
          <w:tcPr>
            <w:tcW w:w="3213" w:type="dxa"/>
            <w:shd w:val="clear" w:color="auto" w:fill="FFFFFF" w:themeFill="background1"/>
            <w:vAlign w:val="center"/>
          </w:tcPr>
          <w:p w14:paraId="34651F0C"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一、现金</w:t>
            </w:r>
          </w:p>
        </w:tc>
        <w:tc>
          <w:tcPr>
            <w:tcW w:w="3213" w:type="dxa"/>
            <w:shd w:val="clear" w:color="auto" w:fill="FFFFFF" w:themeFill="background1"/>
            <w:vAlign w:val="center"/>
          </w:tcPr>
          <w:p w14:paraId="2664EB3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123,379,379.87</w:t>
            </w:r>
          </w:p>
        </w:tc>
        <w:tc>
          <w:tcPr>
            <w:tcW w:w="3213" w:type="dxa"/>
            <w:shd w:val="clear" w:color="auto" w:fill="FFFFFF" w:themeFill="background1"/>
            <w:vAlign w:val="center"/>
          </w:tcPr>
          <w:p w14:paraId="08A0B7B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324,181,869.29</w:t>
            </w:r>
          </w:p>
        </w:tc>
      </w:tr>
      <w:tr w:rsidR="00632E5B" w14:paraId="2FD68266" w14:textId="77777777" w:rsidTr="00F05317">
        <w:trPr>
          <w:trHeight w:val="240"/>
        </w:trPr>
        <w:tc>
          <w:tcPr>
            <w:tcW w:w="3213" w:type="dxa"/>
            <w:shd w:val="clear" w:color="auto" w:fill="FFFFFF" w:themeFill="background1"/>
            <w:vAlign w:val="center"/>
          </w:tcPr>
          <w:p w14:paraId="5E6B1712"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其中：库存现金</w:t>
            </w:r>
          </w:p>
        </w:tc>
        <w:tc>
          <w:tcPr>
            <w:tcW w:w="3213" w:type="dxa"/>
            <w:shd w:val="clear" w:color="auto" w:fill="FFFFFF" w:themeFill="background1"/>
            <w:vAlign w:val="center"/>
          </w:tcPr>
          <w:p w14:paraId="4D60ED4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195,057.43</w:t>
            </w:r>
          </w:p>
        </w:tc>
        <w:tc>
          <w:tcPr>
            <w:tcW w:w="3213" w:type="dxa"/>
            <w:shd w:val="clear" w:color="auto" w:fill="FFFFFF" w:themeFill="background1"/>
            <w:vAlign w:val="center"/>
          </w:tcPr>
          <w:p w14:paraId="1A7C5BB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267,473.12</w:t>
            </w:r>
          </w:p>
        </w:tc>
      </w:tr>
      <w:tr w:rsidR="00632E5B" w14:paraId="7314BCEB" w14:textId="77777777" w:rsidTr="00F05317">
        <w:trPr>
          <w:trHeight w:val="240"/>
        </w:trPr>
        <w:tc>
          <w:tcPr>
            <w:tcW w:w="3213" w:type="dxa"/>
            <w:shd w:val="clear" w:color="auto" w:fill="FFFFFF" w:themeFill="background1"/>
            <w:vAlign w:val="center"/>
          </w:tcPr>
          <w:p w14:paraId="53554883" w14:textId="77777777" w:rsidR="00632E5B" w:rsidRDefault="00107901">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可随时用于支付的银行存款</w:t>
            </w:r>
          </w:p>
        </w:tc>
        <w:tc>
          <w:tcPr>
            <w:tcW w:w="3213" w:type="dxa"/>
            <w:shd w:val="clear" w:color="auto" w:fill="FFFFFF" w:themeFill="background1"/>
            <w:vAlign w:val="center"/>
          </w:tcPr>
          <w:p w14:paraId="09CBB20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123,184,322.44</w:t>
            </w:r>
          </w:p>
        </w:tc>
        <w:tc>
          <w:tcPr>
            <w:tcW w:w="3213" w:type="dxa"/>
            <w:shd w:val="clear" w:color="auto" w:fill="FFFFFF" w:themeFill="background1"/>
            <w:vAlign w:val="center"/>
          </w:tcPr>
          <w:p w14:paraId="667A0B6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323,914,396.17</w:t>
            </w:r>
          </w:p>
        </w:tc>
      </w:tr>
      <w:tr w:rsidR="00632E5B" w14:paraId="54BD05DE" w14:textId="77777777" w:rsidTr="00F05317">
        <w:trPr>
          <w:trHeight w:val="240"/>
        </w:trPr>
        <w:tc>
          <w:tcPr>
            <w:tcW w:w="3213" w:type="dxa"/>
            <w:shd w:val="clear" w:color="auto" w:fill="FFFFFF" w:themeFill="background1"/>
            <w:vAlign w:val="center"/>
          </w:tcPr>
          <w:p w14:paraId="7DA07449"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三、期末现金及现金等价物余额</w:t>
            </w:r>
          </w:p>
        </w:tc>
        <w:tc>
          <w:tcPr>
            <w:tcW w:w="3213" w:type="dxa"/>
            <w:shd w:val="clear" w:color="auto" w:fill="FFFFFF" w:themeFill="background1"/>
            <w:vAlign w:val="center"/>
          </w:tcPr>
          <w:p w14:paraId="0F9A0A8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123,379,379.87</w:t>
            </w:r>
          </w:p>
        </w:tc>
        <w:tc>
          <w:tcPr>
            <w:tcW w:w="3213" w:type="dxa"/>
            <w:shd w:val="clear" w:color="auto" w:fill="FFFFFF" w:themeFill="background1"/>
            <w:vAlign w:val="center"/>
          </w:tcPr>
          <w:p w14:paraId="2392E08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324,181,869.29</w:t>
            </w:r>
          </w:p>
        </w:tc>
      </w:tr>
    </w:tbl>
    <w:p w14:paraId="7296F986"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335" w:name="_Toc989221"/>
      <w:r>
        <w:rPr>
          <w:rFonts w:ascii="宋体" w:eastAsia="宋体" w:hAnsi="宋体" w:cs="宋体"/>
          <w:b/>
          <w:bCs/>
          <w:szCs w:val="21"/>
        </w:rPr>
        <w:t>（3） 使用范围受限但仍属于现金及现金等价物列示的情况</w:t>
      </w:r>
      <w:bookmarkEnd w:id="335"/>
    </w:p>
    <w:p w14:paraId="24EF8EC1"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2409"/>
        <w:gridCol w:w="2410"/>
        <w:gridCol w:w="2410"/>
        <w:gridCol w:w="2410"/>
      </w:tblGrid>
      <w:tr w:rsidR="00632E5B" w14:paraId="73F67005" w14:textId="77777777" w:rsidTr="00F05317">
        <w:trPr>
          <w:trHeight w:val="240"/>
        </w:trPr>
        <w:tc>
          <w:tcPr>
            <w:tcW w:w="2410" w:type="dxa"/>
            <w:shd w:val="clear" w:color="auto" w:fill="FFFFFF" w:themeFill="background1"/>
            <w:vAlign w:val="center"/>
          </w:tcPr>
          <w:p w14:paraId="15444C5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2410" w:type="dxa"/>
            <w:shd w:val="clear" w:color="auto" w:fill="FFFFFF" w:themeFill="background1"/>
            <w:vAlign w:val="center"/>
          </w:tcPr>
          <w:p w14:paraId="78328C3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本期金额</w:t>
            </w:r>
          </w:p>
        </w:tc>
        <w:tc>
          <w:tcPr>
            <w:tcW w:w="2410" w:type="dxa"/>
            <w:shd w:val="clear" w:color="auto" w:fill="FFFFFF" w:themeFill="background1"/>
            <w:vAlign w:val="center"/>
          </w:tcPr>
          <w:p w14:paraId="4639DA3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上期金额</w:t>
            </w:r>
          </w:p>
        </w:tc>
        <w:tc>
          <w:tcPr>
            <w:tcW w:w="2410" w:type="dxa"/>
            <w:shd w:val="clear" w:color="auto" w:fill="FFFFFF" w:themeFill="background1"/>
            <w:vAlign w:val="center"/>
          </w:tcPr>
          <w:p w14:paraId="34747D4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仍属于现金及现金等价物的理由</w:t>
            </w:r>
          </w:p>
        </w:tc>
      </w:tr>
    </w:tbl>
    <w:p w14:paraId="5034533F"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336" w:name="_Toc989222"/>
      <w:r>
        <w:rPr>
          <w:rFonts w:ascii="宋体" w:eastAsia="宋体" w:hAnsi="宋体" w:cs="宋体"/>
          <w:b/>
          <w:bCs/>
          <w:szCs w:val="21"/>
        </w:rPr>
        <w:t>（4） 不属于现金及现金等价物的货币资金</w:t>
      </w:r>
      <w:bookmarkEnd w:id="336"/>
    </w:p>
    <w:p w14:paraId="026A733A"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2409"/>
        <w:gridCol w:w="2410"/>
        <w:gridCol w:w="2410"/>
        <w:gridCol w:w="2410"/>
      </w:tblGrid>
      <w:tr w:rsidR="00632E5B" w14:paraId="32460CC3" w14:textId="77777777" w:rsidTr="00F05317">
        <w:trPr>
          <w:trHeight w:val="240"/>
        </w:trPr>
        <w:tc>
          <w:tcPr>
            <w:tcW w:w="2410" w:type="dxa"/>
            <w:shd w:val="clear" w:color="auto" w:fill="FFFFFF" w:themeFill="background1"/>
            <w:vAlign w:val="center"/>
          </w:tcPr>
          <w:p w14:paraId="48D33BA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2410" w:type="dxa"/>
            <w:shd w:val="clear" w:color="auto" w:fill="FFFFFF" w:themeFill="background1"/>
            <w:vAlign w:val="center"/>
          </w:tcPr>
          <w:p w14:paraId="6AA46FB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本期金额</w:t>
            </w:r>
          </w:p>
        </w:tc>
        <w:tc>
          <w:tcPr>
            <w:tcW w:w="2410" w:type="dxa"/>
            <w:shd w:val="clear" w:color="auto" w:fill="FFFFFF" w:themeFill="background1"/>
            <w:vAlign w:val="center"/>
          </w:tcPr>
          <w:p w14:paraId="415F1F4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上期金额</w:t>
            </w:r>
          </w:p>
        </w:tc>
        <w:tc>
          <w:tcPr>
            <w:tcW w:w="2410" w:type="dxa"/>
            <w:shd w:val="clear" w:color="auto" w:fill="FFFFFF" w:themeFill="background1"/>
            <w:vAlign w:val="center"/>
          </w:tcPr>
          <w:p w14:paraId="7940493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不属于现金及现金等价物的理由</w:t>
            </w:r>
          </w:p>
        </w:tc>
      </w:tr>
      <w:tr w:rsidR="00632E5B" w14:paraId="7B1FA928" w14:textId="77777777" w:rsidTr="00F05317">
        <w:trPr>
          <w:trHeight w:val="240"/>
        </w:trPr>
        <w:tc>
          <w:tcPr>
            <w:tcW w:w="2410" w:type="dxa"/>
            <w:shd w:val="clear" w:color="auto" w:fill="FFFFFF" w:themeFill="background1"/>
            <w:vAlign w:val="center"/>
          </w:tcPr>
          <w:p w14:paraId="446474D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银行承兑汇票保证金</w:t>
            </w:r>
          </w:p>
        </w:tc>
        <w:tc>
          <w:tcPr>
            <w:tcW w:w="2410" w:type="dxa"/>
            <w:shd w:val="clear" w:color="auto" w:fill="FFFFFF" w:themeFill="background1"/>
            <w:vAlign w:val="center"/>
          </w:tcPr>
          <w:p w14:paraId="5CE2904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2.02</w:t>
            </w:r>
          </w:p>
        </w:tc>
        <w:tc>
          <w:tcPr>
            <w:tcW w:w="2410" w:type="dxa"/>
            <w:shd w:val="clear" w:color="auto" w:fill="FFFFFF" w:themeFill="background1"/>
            <w:vAlign w:val="center"/>
          </w:tcPr>
          <w:p w14:paraId="7AC5D48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9,616.82</w:t>
            </w:r>
          </w:p>
        </w:tc>
        <w:tc>
          <w:tcPr>
            <w:tcW w:w="2410" w:type="dxa"/>
            <w:shd w:val="clear" w:color="auto" w:fill="FFFFFF" w:themeFill="background1"/>
            <w:vAlign w:val="center"/>
          </w:tcPr>
          <w:p w14:paraId="127705A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使用受限</w:t>
            </w:r>
          </w:p>
        </w:tc>
      </w:tr>
      <w:tr w:rsidR="00632E5B" w14:paraId="4AA654D7" w14:textId="77777777" w:rsidTr="00F05317">
        <w:trPr>
          <w:trHeight w:val="240"/>
        </w:trPr>
        <w:tc>
          <w:tcPr>
            <w:tcW w:w="2410" w:type="dxa"/>
            <w:shd w:val="clear" w:color="auto" w:fill="FFFFFF" w:themeFill="background1"/>
            <w:vAlign w:val="center"/>
          </w:tcPr>
          <w:p w14:paraId="08A9622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保函保证金</w:t>
            </w:r>
          </w:p>
        </w:tc>
        <w:tc>
          <w:tcPr>
            <w:tcW w:w="2410" w:type="dxa"/>
            <w:shd w:val="clear" w:color="auto" w:fill="FFFFFF" w:themeFill="background1"/>
            <w:vAlign w:val="center"/>
          </w:tcPr>
          <w:p w14:paraId="652797D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62,835,089.68</w:t>
            </w:r>
          </w:p>
        </w:tc>
        <w:tc>
          <w:tcPr>
            <w:tcW w:w="2410" w:type="dxa"/>
            <w:shd w:val="clear" w:color="auto" w:fill="FFFFFF" w:themeFill="background1"/>
            <w:vAlign w:val="center"/>
          </w:tcPr>
          <w:p w14:paraId="3AF8B78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82,812,210.28</w:t>
            </w:r>
          </w:p>
        </w:tc>
        <w:tc>
          <w:tcPr>
            <w:tcW w:w="2410" w:type="dxa"/>
            <w:shd w:val="clear" w:color="auto" w:fill="FFFFFF" w:themeFill="background1"/>
            <w:vAlign w:val="center"/>
          </w:tcPr>
          <w:p w14:paraId="72A54DC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使用受限</w:t>
            </w:r>
          </w:p>
        </w:tc>
      </w:tr>
      <w:tr w:rsidR="00632E5B" w14:paraId="2DD1AD16" w14:textId="77777777" w:rsidTr="00F05317">
        <w:trPr>
          <w:trHeight w:val="240"/>
        </w:trPr>
        <w:tc>
          <w:tcPr>
            <w:tcW w:w="2410" w:type="dxa"/>
            <w:shd w:val="clear" w:color="auto" w:fill="FFFFFF" w:themeFill="background1"/>
            <w:vAlign w:val="center"/>
          </w:tcPr>
          <w:p w14:paraId="6A118BC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其他保证金</w:t>
            </w:r>
          </w:p>
        </w:tc>
        <w:tc>
          <w:tcPr>
            <w:tcW w:w="2410" w:type="dxa"/>
            <w:shd w:val="clear" w:color="auto" w:fill="FFFFFF" w:themeFill="background1"/>
            <w:vAlign w:val="center"/>
          </w:tcPr>
          <w:p w14:paraId="3E2B482D"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1D7CB0C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45.19</w:t>
            </w:r>
          </w:p>
        </w:tc>
        <w:tc>
          <w:tcPr>
            <w:tcW w:w="2410" w:type="dxa"/>
            <w:shd w:val="clear" w:color="auto" w:fill="FFFFFF" w:themeFill="background1"/>
            <w:vAlign w:val="center"/>
          </w:tcPr>
          <w:p w14:paraId="53959DC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使用受限</w:t>
            </w:r>
          </w:p>
        </w:tc>
      </w:tr>
      <w:tr w:rsidR="00632E5B" w14:paraId="25DD9B30" w14:textId="77777777" w:rsidTr="00F05317">
        <w:trPr>
          <w:trHeight w:val="240"/>
        </w:trPr>
        <w:tc>
          <w:tcPr>
            <w:tcW w:w="2410" w:type="dxa"/>
            <w:shd w:val="clear" w:color="auto" w:fill="FFFFFF" w:themeFill="background1"/>
            <w:vAlign w:val="center"/>
          </w:tcPr>
          <w:p w14:paraId="5FE9F2C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冻结资金</w:t>
            </w:r>
          </w:p>
        </w:tc>
        <w:tc>
          <w:tcPr>
            <w:tcW w:w="2410" w:type="dxa"/>
            <w:shd w:val="clear" w:color="auto" w:fill="FFFFFF" w:themeFill="background1"/>
            <w:vAlign w:val="center"/>
          </w:tcPr>
          <w:p w14:paraId="2D1337E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780,591,245.45</w:t>
            </w:r>
          </w:p>
        </w:tc>
        <w:tc>
          <w:tcPr>
            <w:tcW w:w="2410" w:type="dxa"/>
            <w:shd w:val="clear" w:color="auto" w:fill="FFFFFF" w:themeFill="background1"/>
            <w:vAlign w:val="center"/>
          </w:tcPr>
          <w:p w14:paraId="55534AB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221,408,533.91</w:t>
            </w:r>
          </w:p>
        </w:tc>
        <w:tc>
          <w:tcPr>
            <w:tcW w:w="2410" w:type="dxa"/>
            <w:shd w:val="clear" w:color="auto" w:fill="FFFFFF" w:themeFill="background1"/>
            <w:vAlign w:val="center"/>
          </w:tcPr>
          <w:p w14:paraId="77662D1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使用受限</w:t>
            </w:r>
          </w:p>
        </w:tc>
      </w:tr>
      <w:tr w:rsidR="00632E5B" w14:paraId="729B50E0" w14:textId="77777777" w:rsidTr="00F05317">
        <w:trPr>
          <w:trHeight w:val="240"/>
        </w:trPr>
        <w:tc>
          <w:tcPr>
            <w:tcW w:w="2410" w:type="dxa"/>
            <w:shd w:val="clear" w:color="auto" w:fill="FFFFFF" w:themeFill="background1"/>
            <w:vAlign w:val="center"/>
          </w:tcPr>
          <w:p w14:paraId="4197386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破产重整管理人账户银行存款</w:t>
            </w:r>
          </w:p>
        </w:tc>
        <w:tc>
          <w:tcPr>
            <w:tcW w:w="2410" w:type="dxa"/>
            <w:shd w:val="clear" w:color="auto" w:fill="FFFFFF" w:themeFill="background1"/>
            <w:vAlign w:val="center"/>
          </w:tcPr>
          <w:p w14:paraId="615BE1E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970,160,813.16</w:t>
            </w:r>
          </w:p>
        </w:tc>
        <w:tc>
          <w:tcPr>
            <w:tcW w:w="2410" w:type="dxa"/>
            <w:shd w:val="clear" w:color="auto" w:fill="FFFFFF" w:themeFill="background1"/>
            <w:vAlign w:val="center"/>
          </w:tcPr>
          <w:p w14:paraId="1CF6E30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60,080,774.10</w:t>
            </w:r>
          </w:p>
        </w:tc>
        <w:tc>
          <w:tcPr>
            <w:tcW w:w="2410" w:type="dxa"/>
            <w:shd w:val="clear" w:color="auto" w:fill="FFFFFF" w:themeFill="background1"/>
            <w:vAlign w:val="center"/>
          </w:tcPr>
          <w:p w14:paraId="4670DB5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使用受限</w:t>
            </w:r>
          </w:p>
        </w:tc>
      </w:tr>
      <w:tr w:rsidR="00632E5B" w14:paraId="2E702AF1" w14:textId="77777777" w:rsidTr="00F05317">
        <w:trPr>
          <w:trHeight w:val="240"/>
        </w:trPr>
        <w:tc>
          <w:tcPr>
            <w:tcW w:w="2410" w:type="dxa"/>
            <w:shd w:val="clear" w:color="auto" w:fill="FFFFFF" w:themeFill="background1"/>
            <w:vAlign w:val="center"/>
          </w:tcPr>
          <w:p w14:paraId="4B7A8B0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定期存款</w:t>
            </w:r>
          </w:p>
        </w:tc>
        <w:tc>
          <w:tcPr>
            <w:tcW w:w="2410" w:type="dxa"/>
            <w:shd w:val="clear" w:color="auto" w:fill="FFFFFF" w:themeFill="background1"/>
            <w:vAlign w:val="center"/>
          </w:tcPr>
          <w:p w14:paraId="37344384"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6B0EECB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15,000,000.00</w:t>
            </w:r>
          </w:p>
        </w:tc>
        <w:tc>
          <w:tcPr>
            <w:tcW w:w="2410" w:type="dxa"/>
            <w:shd w:val="clear" w:color="auto" w:fill="FFFFFF" w:themeFill="background1"/>
            <w:vAlign w:val="center"/>
          </w:tcPr>
          <w:p w14:paraId="369C8A3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使用受限</w:t>
            </w:r>
          </w:p>
        </w:tc>
      </w:tr>
      <w:tr w:rsidR="00632E5B" w14:paraId="3CFBBD58" w14:textId="77777777" w:rsidTr="00F05317">
        <w:trPr>
          <w:trHeight w:val="240"/>
        </w:trPr>
        <w:tc>
          <w:tcPr>
            <w:tcW w:w="2410" w:type="dxa"/>
            <w:shd w:val="clear" w:color="auto" w:fill="FFFFFF" w:themeFill="background1"/>
            <w:vAlign w:val="center"/>
          </w:tcPr>
          <w:p w14:paraId="202C1ECB"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2410" w:type="dxa"/>
            <w:shd w:val="clear" w:color="auto" w:fill="FFFFFF" w:themeFill="background1"/>
            <w:vAlign w:val="center"/>
          </w:tcPr>
          <w:p w14:paraId="57A610E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1,813,587,150.31</w:t>
            </w:r>
          </w:p>
        </w:tc>
        <w:tc>
          <w:tcPr>
            <w:tcW w:w="2410" w:type="dxa"/>
            <w:shd w:val="clear" w:color="auto" w:fill="FFFFFF" w:themeFill="background1"/>
            <w:vAlign w:val="center"/>
          </w:tcPr>
          <w:p w14:paraId="18E3993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379,311,180.30</w:t>
            </w:r>
          </w:p>
        </w:tc>
        <w:tc>
          <w:tcPr>
            <w:tcW w:w="2410" w:type="dxa"/>
            <w:shd w:val="clear" w:color="auto" w:fill="FFFFFF" w:themeFill="background1"/>
            <w:vAlign w:val="center"/>
          </w:tcPr>
          <w:p w14:paraId="6E794292" w14:textId="77777777" w:rsidR="00632E5B" w:rsidRDefault="00632E5B"/>
        </w:tc>
      </w:tr>
    </w:tbl>
    <w:p w14:paraId="4289F2E8"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337" w:name="_Toc989223"/>
      <w:r>
        <w:rPr>
          <w:rFonts w:ascii="宋体" w:eastAsia="宋体" w:hAnsi="宋体" w:cs="宋体"/>
          <w:b/>
          <w:bCs/>
          <w:szCs w:val="21"/>
        </w:rPr>
        <w:t>（5） 其他重大活动说明</w:t>
      </w:r>
      <w:bookmarkEnd w:id="337"/>
    </w:p>
    <w:p w14:paraId="41389216" w14:textId="77777777" w:rsidR="00E72F0C" w:rsidRDefault="00107901">
      <w:pPr>
        <w:pStyle w:val="a3"/>
        <w:divId w:val="1847551723"/>
        <w:rPr>
          <w:rFonts w:hint="eastAsia"/>
          <w:sz w:val="18"/>
          <w:szCs w:val="18"/>
        </w:rPr>
      </w:pPr>
      <w:r>
        <w:rPr>
          <w:rFonts w:hint="eastAsia"/>
          <w:sz w:val="18"/>
          <w:szCs w:val="18"/>
        </w:rPr>
        <w:t>  公司本期销售商品收到的银行承兑汇票背书转让的金额为527,492,291.11元，商业承兑汇票背书转让的金额为10,620,464.14元。</w:t>
      </w:r>
    </w:p>
    <w:p w14:paraId="70C63061" w14:textId="77777777" w:rsidR="00C8117C" w:rsidRDefault="00C8117C">
      <w:pPr>
        <w:widowControl/>
        <w:rPr>
          <w:rFonts w:ascii="宋体" w:eastAsia="宋体" w:hAnsi="宋体" w:cs="宋体" w:hint="eastAsia"/>
          <w:b/>
          <w:bCs/>
          <w:szCs w:val="21"/>
        </w:rPr>
      </w:pPr>
      <w:bookmarkStart w:id="338" w:name="_Toc989224"/>
      <w:r>
        <w:rPr>
          <w:rFonts w:ascii="宋体" w:hAnsi="宋体" w:cs="宋体"/>
          <w:b/>
          <w:bCs/>
        </w:rPr>
        <w:br w:type="page"/>
      </w:r>
    </w:p>
    <w:p w14:paraId="32492DBC" w14:textId="7E0DC186" w:rsidR="00632E5B" w:rsidRDefault="00107901">
      <w:pPr>
        <w:pStyle w:val="3"/>
        <w:spacing w:line="280" w:lineRule="exact"/>
        <w:jc w:val="left"/>
        <w:rPr>
          <w:rFonts w:ascii="宋体" w:hAnsi="宋体" w:cs="宋体" w:hint="eastAsia"/>
          <w:b/>
          <w:bCs/>
        </w:rPr>
      </w:pPr>
      <w:r>
        <w:rPr>
          <w:rFonts w:ascii="宋体" w:hAnsi="宋体" w:cs="宋体"/>
          <w:b/>
          <w:bCs/>
        </w:rPr>
        <w:lastRenderedPageBreak/>
        <w:t>61、外币货币性项目</w:t>
      </w:r>
      <w:bookmarkEnd w:id="338"/>
    </w:p>
    <w:p w14:paraId="3C6C53AC"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339" w:name="_Toc989225"/>
      <w:r>
        <w:rPr>
          <w:rFonts w:ascii="宋体" w:eastAsia="宋体" w:hAnsi="宋体" w:cs="宋体"/>
          <w:b/>
          <w:bCs/>
          <w:szCs w:val="21"/>
        </w:rPr>
        <w:t>（1） 外币货币性项目</w:t>
      </w:r>
      <w:bookmarkEnd w:id="339"/>
    </w:p>
    <w:p w14:paraId="22D2C72D" w14:textId="77777777" w:rsidR="00632E5B" w:rsidRDefault="00107901" w:rsidP="0009670B">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49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0" w:type="dxa"/>
          <w:right w:w="0" w:type="dxa"/>
        </w:tblCellMar>
        <w:tblLook w:val="04A0" w:firstRow="1" w:lastRow="0" w:firstColumn="1" w:lastColumn="0" w:noHBand="0" w:noVBand="1"/>
      </w:tblPr>
      <w:tblGrid>
        <w:gridCol w:w="2538"/>
        <w:gridCol w:w="2537"/>
        <w:gridCol w:w="2537"/>
        <w:gridCol w:w="1884"/>
      </w:tblGrid>
      <w:tr w:rsidR="00E72F0C" w:rsidRPr="00F84867" w14:paraId="617CEB08" w14:textId="77777777" w:rsidTr="00F05317">
        <w:trPr>
          <w:divId w:val="2033652695"/>
          <w:trHeight w:val="453"/>
        </w:trPr>
        <w:tc>
          <w:tcPr>
            <w:tcW w:w="2538" w:type="dxa"/>
            <w:shd w:val="clear" w:color="auto" w:fill="FFFFFF" w:themeFill="background1"/>
            <w:tcMar>
              <w:top w:w="15" w:type="dxa"/>
              <w:left w:w="15" w:type="dxa"/>
              <w:bottom w:w="0" w:type="dxa"/>
              <w:right w:w="15" w:type="dxa"/>
            </w:tcMar>
            <w:vAlign w:val="center"/>
            <w:hideMark/>
          </w:tcPr>
          <w:p w14:paraId="0B2FCD16" w14:textId="77777777" w:rsidR="00E72F0C" w:rsidRPr="00F84867" w:rsidRDefault="00107901">
            <w:pPr>
              <w:jc w:val="center"/>
              <w:rPr>
                <w:rFonts w:ascii="宋体" w:eastAsia="宋体" w:hAnsi="宋体" w:cs="宋体" w:hint="eastAsia"/>
                <w:color w:val="000000"/>
                <w:sz w:val="18"/>
                <w:szCs w:val="18"/>
              </w:rPr>
            </w:pPr>
            <w:r w:rsidRPr="00F84867">
              <w:rPr>
                <w:rFonts w:ascii="宋体" w:eastAsia="宋体" w:hAnsi="宋体" w:hint="eastAsia"/>
                <w:color w:val="000000"/>
                <w:sz w:val="18"/>
                <w:szCs w:val="18"/>
              </w:rPr>
              <w:t>项目</w:t>
            </w:r>
          </w:p>
        </w:tc>
        <w:tc>
          <w:tcPr>
            <w:tcW w:w="2537" w:type="dxa"/>
            <w:shd w:val="clear" w:color="auto" w:fill="FFFFFF" w:themeFill="background1"/>
            <w:tcMar>
              <w:top w:w="15" w:type="dxa"/>
              <w:left w:w="15" w:type="dxa"/>
              <w:bottom w:w="0" w:type="dxa"/>
              <w:right w:w="15" w:type="dxa"/>
            </w:tcMar>
            <w:vAlign w:val="center"/>
            <w:hideMark/>
          </w:tcPr>
          <w:p w14:paraId="43DB8043" w14:textId="77777777" w:rsidR="00E72F0C" w:rsidRPr="00F84867" w:rsidRDefault="00107901">
            <w:pPr>
              <w:jc w:val="center"/>
              <w:rPr>
                <w:rFonts w:ascii="宋体" w:eastAsia="宋体" w:hAnsi="宋体" w:cs="宋体" w:hint="eastAsia"/>
                <w:color w:val="000000"/>
                <w:sz w:val="18"/>
                <w:szCs w:val="18"/>
              </w:rPr>
            </w:pPr>
            <w:r w:rsidRPr="00F84867">
              <w:rPr>
                <w:rFonts w:ascii="宋体" w:eastAsia="宋体" w:hAnsi="宋体" w:hint="eastAsia"/>
                <w:color w:val="000000"/>
                <w:sz w:val="18"/>
                <w:szCs w:val="18"/>
              </w:rPr>
              <w:t>期末外币余额</w:t>
            </w:r>
          </w:p>
        </w:tc>
        <w:tc>
          <w:tcPr>
            <w:tcW w:w="2537" w:type="dxa"/>
            <w:shd w:val="clear" w:color="auto" w:fill="FFFFFF" w:themeFill="background1"/>
            <w:tcMar>
              <w:top w:w="15" w:type="dxa"/>
              <w:left w:w="15" w:type="dxa"/>
              <w:bottom w:w="0" w:type="dxa"/>
              <w:right w:w="15" w:type="dxa"/>
            </w:tcMar>
            <w:vAlign w:val="center"/>
            <w:hideMark/>
          </w:tcPr>
          <w:p w14:paraId="56D457D1" w14:textId="77777777" w:rsidR="00E72F0C" w:rsidRPr="00F84867" w:rsidRDefault="00107901">
            <w:pPr>
              <w:jc w:val="center"/>
              <w:rPr>
                <w:rFonts w:ascii="宋体" w:eastAsia="宋体" w:hAnsi="宋体" w:cs="宋体" w:hint="eastAsia"/>
                <w:color w:val="000000"/>
                <w:sz w:val="18"/>
                <w:szCs w:val="18"/>
              </w:rPr>
            </w:pPr>
            <w:r w:rsidRPr="00F84867">
              <w:rPr>
                <w:rFonts w:ascii="宋体" w:eastAsia="宋体" w:hAnsi="宋体" w:hint="eastAsia"/>
                <w:color w:val="000000"/>
                <w:sz w:val="18"/>
                <w:szCs w:val="18"/>
              </w:rPr>
              <w:t>折算汇率</w:t>
            </w:r>
          </w:p>
        </w:tc>
        <w:tc>
          <w:tcPr>
            <w:tcW w:w="1884" w:type="dxa"/>
            <w:shd w:val="clear" w:color="auto" w:fill="FFFFFF" w:themeFill="background1"/>
            <w:tcMar>
              <w:top w:w="15" w:type="dxa"/>
              <w:left w:w="15" w:type="dxa"/>
              <w:bottom w:w="0" w:type="dxa"/>
              <w:right w:w="15" w:type="dxa"/>
            </w:tcMar>
            <w:vAlign w:val="center"/>
            <w:hideMark/>
          </w:tcPr>
          <w:p w14:paraId="2B39BFB9" w14:textId="77777777" w:rsidR="00E72F0C" w:rsidRPr="00F84867" w:rsidRDefault="00107901">
            <w:pPr>
              <w:jc w:val="center"/>
              <w:rPr>
                <w:rFonts w:ascii="宋体" w:eastAsia="宋体" w:hAnsi="宋体" w:cs="宋体" w:hint="eastAsia"/>
                <w:color w:val="000000"/>
                <w:sz w:val="18"/>
                <w:szCs w:val="18"/>
              </w:rPr>
            </w:pPr>
            <w:r w:rsidRPr="00F84867">
              <w:rPr>
                <w:rFonts w:ascii="宋体" w:eastAsia="宋体" w:hAnsi="宋体" w:hint="eastAsia"/>
                <w:color w:val="000000"/>
                <w:sz w:val="18"/>
                <w:szCs w:val="18"/>
              </w:rPr>
              <w:t>期末折算人民币余额</w:t>
            </w:r>
          </w:p>
        </w:tc>
      </w:tr>
      <w:tr w:rsidR="00E72F0C" w:rsidRPr="00F84867" w14:paraId="182C22DF" w14:textId="77777777" w:rsidTr="00F05317">
        <w:trPr>
          <w:divId w:val="2033652695"/>
          <w:trHeight w:val="287"/>
        </w:trPr>
        <w:tc>
          <w:tcPr>
            <w:tcW w:w="2538" w:type="dxa"/>
            <w:shd w:val="clear" w:color="auto" w:fill="FFFFFF" w:themeFill="background1"/>
            <w:tcMar>
              <w:top w:w="15" w:type="dxa"/>
              <w:left w:w="15" w:type="dxa"/>
              <w:bottom w:w="0" w:type="dxa"/>
              <w:right w:w="15" w:type="dxa"/>
            </w:tcMar>
            <w:vAlign w:val="center"/>
            <w:hideMark/>
          </w:tcPr>
          <w:p w14:paraId="10516F0C" w14:textId="77777777" w:rsidR="00E72F0C" w:rsidRPr="00F84867" w:rsidRDefault="00107901">
            <w:pPr>
              <w:rPr>
                <w:rFonts w:ascii="宋体" w:eastAsia="宋体" w:hAnsi="宋体" w:cs="宋体" w:hint="eastAsia"/>
                <w:b/>
                <w:bCs/>
                <w:color w:val="000000"/>
                <w:sz w:val="18"/>
                <w:szCs w:val="18"/>
              </w:rPr>
            </w:pPr>
            <w:r w:rsidRPr="00F84867">
              <w:rPr>
                <w:rFonts w:ascii="宋体" w:eastAsia="宋体" w:hAnsi="宋体" w:hint="eastAsia"/>
                <w:b/>
                <w:bCs/>
                <w:color w:val="000000"/>
                <w:sz w:val="18"/>
                <w:szCs w:val="18"/>
              </w:rPr>
              <w:t>货币资金</w:t>
            </w:r>
          </w:p>
        </w:tc>
        <w:tc>
          <w:tcPr>
            <w:tcW w:w="2537" w:type="dxa"/>
            <w:shd w:val="clear" w:color="auto" w:fill="FFFFFF" w:themeFill="background1"/>
            <w:tcMar>
              <w:top w:w="15" w:type="dxa"/>
              <w:left w:w="15" w:type="dxa"/>
              <w:bottom w:w="0" w:type="dxa"/>
              <w:right w:w="15" w:type="dxa"/>
            </w:tcMar>
            <w:vAlign w:val="center"/>
            <w:hideMark/>
          </w:tcPr>
          <w:p w14:paraId="1F1DCA5F" w14:textId="77777777" w:rsidR="00E72F0C" w:rsidRPr="00F84867" w:rsidRDefault="00107901">
            <w:pPr>
              <w:jc w:val="right"/>
              <w:rPr>
                <w:rFonts w:ascii="宋体" w:eastAsia="宋体" w:hAnsi="宋体" w:cs="Arial" w:hint="eastAsia"/>
                <w:b/>
                <w:bCs/>
                <w:color w:val="000000"/>
                <w:sz w:val="18"/>
                <w:szCs w:val="18"/>
              </w:rPr>
            </w:pPr>
            <w:r w:rsidRPr="00F84867">
              <w:rPr>
                <w:rFonts w:ascii="宋体" w:eastAsia="宋体" w:hAnsi="宋体" w:cs="Arial"/>
                <w:b/>
                <w:bCs/>
                <w:color w:val="000000"/>
                <w:sz w:val="18"/>
                <w:szCs w:val="18"/>
              </w:rPr>
              <w:t>3,285,132,312.06</w:t>
            </w:r>
          </w:p>
        </w:tc>
        <w:tc>
          <w:tcPr>
            <w:tcW w:w="2537" w:type="dxa"/>
            <w:shd w:val="clear" w:color="auto" w:fill="FFFFFF" w:themeFill="background1"/>
            <w:tcMar>
              <w:top w:w="15" w:type="dxa"/>
              <w:left w:w="15" w:type="dxa"/>
              <w:bottom w:w="0" w:type="dxa"/>
              <w:right w:w="15" w:type="dxa"/>
            </w:tcMar>
            <w:vAlign w:val="center"/>
            <w:hideMark/>
          </w:tcPr>
          <w:p w14:paraId="54E95C07" w14:textId="77777777" w:rsidR="00E72F0C" w:rsidRPr="00F84867" w:rsidRDefault="00107901">
            <w:pPr>
              <w:jc w:val="right"/>
              <w:rPr>
                <w:rFonts w:ascii="宋体" w:eastAsia="宋体" w:hAnsi="宋体" w:cs="Arial" w:hint="eastAsia"/>
                <w:b/>
                <w:bCs/>
                <w:color w:val="000000"/>
                <w:sz w:val="18"/>
                <w:szCs w:val="18"/>
              </w:rPr>
            </w:pPr>
            <w:r w:rsidRPr="00F84867">
              <w:rPr>
                <w:rFonts w:ascii="宋体" w:eastAsia="宋体" w:hAnsi="宋体" w:cs="Arial"/>
                <w:b/>
                <w:bCs/>
                <w:color w:val="000000"/>
                <w:sz w:val="18"/>
                <w:szCs w:val="18"/>
              </w:rPr>
              <w:t xml:space="preserve">　</w:t>
            </w:r>
          </w:p>
        </w:tc>
        <w:tc>
          <w:tcPr>
            <w:tcW w:w="1884" w:type="dxa"/>
            <w:shd w:val="clear" w:color="auto" w:fill="FFFFFF" w:themeFill="background1"/>
            <w:tcMar>
              <w:top w:w="15" w:type="dxa"/>
              <w:left w:w="15" w:type="dxa"/>
              <w:bottom w:w="0" w:type="dxa"/>
              <w:right w:w="15" w:type="dxa"/>
            </w:tcMar>
            <w:vAlign w:val="center"/>
            <w:hideMark/>
          </w:tcPr>
          <w:p w14:paraId="177C5741" w14:textId="77777777" w:rsidR="00E72F0C" w:rsidRPr="00F84867" w:rsidRDefault="00107901">
            <w:pPr>
              <w:jc w:val="right"/>
              <w:rPr>
                <w:rFonts w:ascii="宋体" w:eastAsia="宋体" w:hAnsi="宋体" w:cs="Arial" w:hint="eastAsia"/>
                <w:b/>
                <w:bCs/>
                <w:color w:val="000000"/>
                <w:sz w:val="18"/>
                <w:szCs w:val="18"/>
              </w:rPr>
            </w:pPr>
            <w:r w:rsidRPr="00F84867">
              <w:rPr>
                <w:rFonts w:ascii="宋体" w:eastAsia="宋体" w:hAnsi="宋体" w:cs="Arial"/>
                <w:b/>
                <w:bCs/>
                <w:color w:val="000000"/>
                <w:sz w:val="18"/>
                <w:szCs w:val="18"/>
              </w:rPr>
              <w:t>51,030,938.18</w:t>
            </w:r>
          </w:p>
        </w:tc>
      </w:tr>
      <w:tr w:rsidR="00E72F0C" w:rsidRPr="00F84867" w14:paraId="0D5BE7C0" w14:textId="77777777" w:rsidTr="00F05317">
        <w:trPr>
          <w:divId w:val="2033652695"/>
          <w:trHeight w:val="287"/>
        </w:trPr>
        <w:tc>
          <w:tcPr>
            <w:tcW w:w="2538" w:type="dxa"/>
            <w:shd w:val="clear" w:color="auto" w:fill="FFFFFF" w:themeFill="background1"/>
            <w:tcMar>
              <w:top w:w="15" w:type="dxa"/>
              <w:left w:w="15" w:type="dxa"/>
              <w:bottom w:w="0" w:type="dxa"/>
              <w:right w:w="15" w:type="dxa"/>
            </w:tcMar>
            <w:vAlign w:val="center"/>
            <w:hideMark/>
          </w:tcPr>
          <w:p w14:paraId="704278B6" w14:textId="77777777" w:rsidR="00E72F0C" w:rsidRPr="00F84867" w:rsidRDefault="00107901">
            <w:pPr>
              <w:rPr>
                <w:rFonts w:ascii="宋体" w:eastAsia="宋体" w:hAnsi="宋体" w:cs="宋体" w:hint="eastAsia"/>
                <w:color w:val="000000"/>
                <w:sz w:val="18"/>
                <w:szCs w:val="18"/>
              </w:rPr>
            </w:pPr>
            <w:r w:rsidRPr="00F84867">
              <w:rPr>
                <w:rFonts w:ascii="宋体" w:eastAsia="宋体" w:hAnsi="宋体" w:hint="eastAsia"/>
                <w:color w:val="000000"/>
                <w:sz w:val="18"/>
                <w:szCs w:val="18"/>
              </w:rPr>
              <w:t>澳元</w:t>
            </w:r>
          </w:p>
        </w:tc>
        <w:tc>
          <w:tcPr>
            <w:tcW w:w="2537" w:type="dxa"/>
            <w:shd w:val="clear" w:color="auto" w:fill="FFFFFF" w:themeFill="background1"/>
            <w:tcMar>
              <w:top w:w="15" w:type="dxa"/>
              <w:left w:w="15" w:type="dxa"/>
              <w:bottom w:w="0" w:type="dxa"/>
              <w:right w:w="15" w:type="dxa"/>
            </w:tcMar>
            <w:vAlign w:val="center"/>
            <w:hideMark/>
          </w:tcPr>
          <w:p w14:paraId="411DC4B2"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0.17</w:t>
            </w:r>
          </w:p>
        </w:tc>
        <w:tc>
          <w:tcPr>
            <w:tcW w:w="2537" w:type="dxa"/>
            <w:shd w:val="clear" w:color="auto" w:fill="FFFFFF" w:themeFill="background1"/>
            <w:tcMar>
              <w:top w:w="15" w:type="dxa"/>
              <w:left w:w="15" w:type="dxa"/>
              <w:bottom w:w="0" w:type="dxa"/>
              <w:right w:w="15" w:type="dxa"/>
            </w:tcMar>
            <w:vAlign w:val="center"/>
            <w:hideMark/>
          </w:tcPr>
          <w:p w14:paraId="2E0FADC4"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4.507</w:t>
            </w:r>
          </w:p>
        </w:tc>
        <w:tc>
          <w:tcPr>
            <w:tcW w:w="1884" w:type="dxa"/>
            <w:shd w:val="clear" w:color="auto" w:fill="FFFFFF" w:themeFill="background1"/>
            <w:tcMar>
              <w:top w:w="15" w:type="dxa"/>
              <w:left w:w="15" w:type="dxa"/>
              <w:bottom w:w="0" w:type="dxa"/>
              <w:right w:w="15" w:type="dxa"/>
            </w:tcMar>
            <w:vAlign w:val="center"/>
            <w:hideMark/>
          </w:tcPr>
          <w:p w14:paraId="2A8A0E86"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0.76</w:t>
            </w:r>
          </w:p>
        </w:tc>
      </w:tr>
      <w:tr w:rsidR="00E72F0C" w:rsidRPr="00F84867" w14:paraId="0CDF7424" w14:textId="77777777" w:rsidTr="00F05317">
        <w:trPr>
          <w:divId w:val="2033652695"/>
          <w:trHeight w:val="287"/>
        </w:trPr>
        <w:tc>
          <w:tcPr>
            <w:tcW w:w="2538" w:type="dxa"/>
            <w:shd w:val="clear" w:color="auto" w:fill="FFFFFF" w:themeFill="background1"/>
            <w:tcMar>
              <w:top w:w="15" w:type="dxa"/>
              <w:left w:w="15" w:type="dxa"/>
              <w:bottom w:w="0" w:type="dxa"/>
              <w:right w:w="15" w:type="dxa"/>
            </w:tcMar>
            <w:vAlign w:val="center"/>
            <w:hideMark/>
          </w:tcPr>
          <w:p w14:paraId="19D665A7" w14:textId="77777777" w:rsidR="00E72F0C" w:rsidRPr="00F84867" w:rsidRDefault="00107901">
            <w:pPr>
              <w:rPr>
                <w:rFonts w:ascii="宋体" w:eastAsia="宋体" w:hAnsi="宋体" w:cs="宋体" w:hint="eastAsia"/>
                <w:color w:val="000000"/>
                <w:sz w:val="18"/>
                <w:szCs w:val="18"/>
              </w:rPr>
            </w:pPr>
            <w:r w:rsidRPr="00F84867">
              <w:rPr>
                <w:rFonts w:ascii="宋体" w:eastAsia="宋体" w:hAnsi="宋体" w:hint="eastAsia"/>
                <w:color w:val="000000"/>
                <w:sz w:val="18"/>
                <w:szCs w:val="18"/>
              </w:rPr>
              <w:t>港元</w:t>
            </w:r>
          </w:p>
        </w:tc>
        <w:tc>
          <w:tcPr>
            <w:tcW w:w="2537" w:type="dxa"/>
            <w:shd w:val="clear" w:color="auto" w:fill="FFFFFF" w:themeFill="background1"/>
            <w:tcMar>
              <w:top w:w="15" w:type="dxa"/>
              <w:left w:w="15" w:type="dxa"/>
              <w:bottom w:w="0" w:type="dxa"/>
              <w:right w:w="15" w:type="dxa"/>
            </w:tcMar>
            <w:vAlign w:val="center"/>
            <w:hideMark/>
          </w:tcPr>
          <w:p w14:paraId="51067449"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44.35</w:t>
            </w:r>
          </w:p>
        </w:tc>
        <w:tc>
          <w:tcPr>
            <w:tcW w:w="2537" w:type="dxa"/>
            <w:shd w:val="clear" w:color="auto" w:fill="FFFFFF" w:themeFill="background1"/>
            <w:tcMar>
              <w:top w:w="15" w:type="dxa"/>
              <w:left w:w="15" w:type="dxa"/>
              <w:bottom w:w="0" w:type="dxa"/>
              <w:right w:w="15" w:type="dxa"/>
            </w:tcMar>
            <w:vAlign w:val="center"/>
            <w:hideMark/>
          </w:tcPr>
          <w:p w14:paraId="7FA7EC55"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0.926</w:t>
            </w:r>
          </w:p>
        </w:tc>
        <w:tc>
          <w:tcPr>
            <w:tcW w:w="1884" w:type="dxa"/>
            <w:shd w:val="clear" w:color="auto" w:fill="FFFFFF" w:themeFill="background1"/>
            <w:tcMar>
              <w:top w:w="15" w:type="dxa"/>
              <w:left w:w="15" w:type="dxa"/>
              <w:bottom w:w="0" w:type="dxa"/>
              <w:right w:w="15" w:type="dxa"/>
            </w:tcMar>
            <w:vAlign w:val="center"/>
            <w:hideMark/>
          </w:tcPr>
          <w:p w14:paraId="68227495"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41.05</w:t>
            </w:r>
          </w:p>
        </w:tc>
      </w:tr>
      <w:tr w:rsidR="00E72F0C" w:rsidRPr="00F84867" w14:paraId="5B4A8ED3" w14:textId="77777777" w:rsidTr="00F05317">
        <w:trPr>
          <w:divId w:val="2033652695"/>
          <w:trHeight w:val="287"/>
        </w:trPr>
        <w:tc>
          <w:tcPr>
            <w:tcW w:w="2538" w:type="dxa"/>
            <w:shd w:val="clear" w:color="auto" w:fill="FFFFFF" w:themeFill="background1"/>
            <w:tcMar>
              <w:top w:w="15" w:type="dxa"/>
              <w:left w:w="15" w:type="dxa"/>
              <w:bottom w:w="0" w:type="dxa"/>
              <w:right w:w="15" w:type="dxa"/>
            </w:tcMar>
            <w:vAlign w:val="center"/>
            <w:hideMark/>
          </w:tcPr>
          <w:p w14:paraId="73772DCA" w14:textId="77777777" w:rsidR="00E72F0C" w:rsidRPr="00F84867" w:rsidRDefault="00107901">
            <w:pPr>
              <w:rPr>
                <w:rFonts w:ascii="宋体" w:eastAsia="宋体" w:hAnsi="宋体" w:cs="宋体" w:hint="eastAsia"/>
                <w:color w:val="000000"/>
                <w:sz w:val="18"/>
                <w:szCs w:val="18"/>
              </w:rPr>
            </w:pPr>
            <w:r w:rsidRPr="00F84867">
              <w:rPr>
                <w:rFonts w:ascii="宋体" w:eastAsia="宋体" w:hAnsi="宋体" w:hint="eastAsia"/>
                <w:color w:val="000000"/>
                <w:sz w:val="18"/>
                <w:szCs w:val="18"/>
              </w:rPr>
              <w:t>美元</w:t>
            </w:r>
          </w:p>
        </w:tc>
        <w:tc>
          <w:tcPr>
            <w:tcW w:w="2537" w:type="dxa"/>
            <w:shd w:val="clear" w:color="auto" w:fill="FFFFFF" w:themeFill="background1"/>
            <w:tcMar>
              <w:top w:w="15" w:type="dxa"/>
              <w:left w:w="15" w:type="dxa"/>
              <w:bottom w:w="0" w:type="dxa"/>
              <w:right w:w="15" w:type="dxa"/>
            </w:tcMar>
            <w:vAlign w:val="center"/>
            <w:hideMark/>
          </w:tcPr>
          <w:p w14:paraId="3E249EBC"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6,087,506.21</w:t>
            </w:r>
          </w:p>
        </w:tc>
        <w:tc>
          <w:tcPr>
            <w:tcW w:w="2537" w:type="dxa"/>
            <w:shd w:val="clear" w:color="auto" w:fill="FFFFFF" w:themeFill="background1"/>
            <w:tcMar>
              <w:top w:w="15" w:type="dxa"/>
              <w:left w:w="15" w:type="dxa"/>
              <w:bottom w:w="0" w:type="dxa"/>
              <w:right w:w="15" w:type="dxa"/>
            </w:tcMar>
            <w:vAlign w:val="center"/>
            <w:hideMark/>
          </w:tcPr>
          <w:p w14:paraId="1DEA71FC"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7.1884</w:t>
            </w:r>
          </w:p>
        </w:tc>
        <w:tc>
          <w:tcPr>
            <w:tcW w:w="1884" w:type="dxa"/>
            <w:shd w:val="clear" w:color="auto" w:fill="FFFFFF" w:themeFill="background1"/>
            <w:tcMar>
              <w:top w:w="15" w:type="dxa"/>
              <w:left w:w="15" w:type="dxa"/>
              <w:bottom w:w="0" w:type="dxa"/>
              <w:right w:w="15" w:type="dxa"/>
            </w:tcMar>
            <w:vAlign w:val="center"/>
            <w:hideMark/>
          </w:tcPr>
          <w:p w14:paraId="4623824D"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43,759,429.53</w:t>
            </w:r>
          </w:p>
        </w:tc>
      </w:tr>
      <w:tr w:rsidR="00E72F0C" w:rsidRPr="00F84867" w14:paraId="30D08948" w14:textId="77777777" w:rsidTr="00F05317">
        <w:trPr>
          <w:divId w:val="2033652695"/>
          <w:trHeight w:val="287"/>
        </w:trPr>
        <w:tc>
          <w:tcPr>
            <w:tcW w:w="2538" w:type="dxa"/>
            <w:shd w:val="clear" w:color="auto" w:fill="FFFFFF" w:themeFill="background1"/>
            <w:tcMar>
              <w:top w:w="15" w:type="dxa"/>
              <w:left w:w="15" w:type="dxa"/>
              <w:bottom w:w="0" w:type="dxa"/>
              <w:right w:w="15" w:type="dxa"/>
            </w:tcMar>
            <w:vAlign w:val="center"/>
            <w:hideMark/>
          </w:tcPr>
          <w:p w14:paraId="56562019" w14:textId="77777777" w:rsidR="00E72F0C" w:rsidRPr="00F84867" w:rsidRDefault="00107901">
            <w:pPr>
              <w:rPr>
                <w:rFonts w:ascii="宋体" w:eastAsia="宋体" w:hAnsi="宋体" w:cs="宋体" w:hint="eastAsia"/>
                <w:color w:val="000000"/>
                <w:sz w:val="18"/>
                <w:szCs w:val="18"/>
              </w:rPr>
            </w:pPr>
            <w:r w:rsidRPr="00F84867">
              <w:rPr>
                <w:rFonts w:ascii="宋体" w:eastAsia="宋体" w:hAnsi="宋体" w:hint="eastAsia"/>
                <w:color w:val="000000"/>
                <w:sz w:val="18"/>
                <w:szCs w:val="18"/>
              </w:rPr>
              <w:t>欧元</w:t>
            </w:r>
          </w:p>
        </w:tc>
        <w:tc>
          <w:tcPr>
            <w:tcW w:w="2537" w:type="dxa"/>
            <w:shd w:val="clear" w:color="auto" w:fill="FFFFFF" w:themeFill="background1"/>
            <w:tcMar>
              <w:top w:w="15" w:type="dxa"/>
              <w:left w:w="15" w:type="dxa"/>
              <w:bottom w:w="0" w:type="dxa"/>
              <w:right w:w="15" w:type="dxa"/>
            </w:tcMar>
            <w:vAlign w:val="center"/>
            <w:hideMark/>
          </w:tcPr>
          <w:p w14:paraId="411A4B0E"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19,790.43</w:t>
            </w:r>
          </w:p>
        </w:tc>
        <w:tc>
          <w:tcPr>
            <w:tcW w:w="2537" w:type="dxa"/>
            <w:shd w:val="clear" w:color="auto" w:fill="FFFFFF" w:themeFill="background1"/>
            <w:tcMar>
              <w:top w:w="15" w:type="dxa"/>
              <w:left w:w="15" w:type="dxa"/>
              <w:bottom w:w="0" w:type="dxa"/>
              <w:right w:w="15" w:type="dxa"/>
            </w:tcMar>
            <w:vAlign w:val="center"/>
            <w:hideMark/>
          </w:tcPr>
          <w:p w14:paraId="28BE281C"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7.5257</w:t>
            </w:r>
          </w:p>
        </w:tc>
        <w:tc>
          <w:tcPr>
            <w:tcW w:w="1884" w:type="dxa"/>
            <w:shd w:val="clear" w:color="auto" w:fill="FFFFFF" w:themeFill="background1"/>
            <w:tcMar>
              <w:top w:w="15" w:type="dxa"/>
              <w:left w:w="15" w:type="dxa"/>
              <w:bottom w:w="0" w:type="dxa"/>
              <w:right w:w="15" w:type="dxa"/>
            </w:tcMar>
            <w:vAlign w:val="center"/>
            <w:hideMark/>
          </w:tcPr>
          <w:p w14:paraId="221593B7"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148,936.27</w:t>
            </w:r>
          </w:p>
        </w:tc>
      </w:tr>
      <w:tr w:rsidR="00E72F0C" w:rsidRPr="00F84867" w14:paraId="656FCBCA" w14:textId="77777777" w:rsidTr="00F05317">
        <w:trPr>
          <w:divId w:val="2033652695"/>
          <w:trHeight w:val="287"/>
        </w:trPr>
        <w:tc>
          <w:tcPr>
            <w:tcW w:w="2538" w:type="dxa"/>
            <w:shd w:val="clear" w:color="auto" w:fill="FFFFFF" w:themeFill="background1"/>
            <w:tcMar>
              <w:top w:w="15" w:type="dxa"/>
              <w:left w:w="15" w:type="dxa"/>
              <w:bottom w:w="0" w:type="dxa"/>
              <w:right w:w="15" w:type="dxa"/>
            </w:tcMar>
            <w:vAlign w:val="center"/>
            <w:hideMark/>
          </w:tcPr>
          <w:p w14:paraId="4B2F52AB" w14:textId="77777777" w:rsidR="00E72F0C" w:rsidRPr="00F84867" w:rsidRDefault="00107901">
            <w:pPr>
              <w:rPr>
                <w:rFonts w:ascii="宋体" w:eastAsia="宋体" w:hAnsi="宋体" w:cs="宋体" w:hint="eastAsia"/>
                <w:color w:val="000000"/>
                <w:sz w:val="18"/>
                <w:szCs w:val="18"/>
              </w:rPr>
            </w:pPr>
            <w:r w:rsidRPr="00F84867">
              <w:rPr>
                <w:rFonts w:ascii="宋体" w:eastAsia="宋体" w:hAnsi="宋体" w:hint="eastAsia"/>
                <w:color w:val="000000"/>
                <w:sz w:val="18"/>
                <w:szCs w:val="18"/>
              </w:rPr>
              <w:t>日元</w:t>
            </w:r>
          </w:p>
        </w:tc>
        <w:tc>
          <w:tcPr>
            <w:tcW w:w="2537" w:type="dxa"/>
            <w:shd w:val="clear" w:color="auto" w:fill="FFFFFF" w:themeFill="background1"/>
            <w:tcMar>
              <w:top w:w="15" w:type="dxa"/>
              <w:left w:w="15" w:type="dxa"/>
              <w:bottom w:w="0" w:type="dxa"/>
              <w:right w:w="15" w:type="dxa"/>
            </w:tcMar>
            <w:vAlign w:val="center"/>
            <w:hideMark/>
          </w:tcPr>
          <w:p w14:paraId="718336D8"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121,613.00</w:t>
            </w:r>
          </w:p>
        </w:tc>
        <w:tc>
          <w:tcPr>
            <w:tcW w:w="2537" w:type="dxa"/>
            <w:shd w:val="clear" w:color="auto" w:fill="FFFFFF" w:themeFill="background1"/>
            <w:tcMar>
              <w:top w:w="15" w:type="dxa"/>
              <w:left w:w="15" w:type="dxa"/>
              <w:bottom w:w="0" w:type="dxa"/>
              <w:right w:w="15" w:type="dxa"/>
            </w:tcMar>
            <w:vAlign w:val="center"/>
            <w:hideMark/>
          </w:tcPr>
          <w:p w14:paraId="51DBFCAC"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0.04623</w:t>
            </w:r>
          </w:p>
        </w:tc>
        <w:tc>
          <w:tcPr>
            <w:tcW w:w="1884" w:type="dxa"/>
            <w:shd w:val="clear" w:color="auto" w:fill="FFFFFF" w:themeFill="background1"/>
            <w:tcMar>
              <w:top w:w="15" w:type="dxa"/>
              <w:left w:w="15" w:type="dxa"/>
              <w:bottom w:w="0" w:type="dxa"/>
              <w:right w:w="15" w:type="dxa"/>
            </w:tcMar>
            <w:vAlign w:val="center"/>
            <w:hideMark/>
          </w:tcPr>
          <w:p w14:paraId="7F79243A"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5,622.54</w:t>
            </w:r>
          </w:p>
        </w:tc>
      </w:tr>
      <w:tr w:rsidR="00E72F0C" w:rsidRPr="00F84867" w14:paraId="5E4B6A68" w14:textId="77777777" w:rsidTr="00F05317">
        <w:trPr>
          <w:divId w:val="2033652695"/>
          <w:trHeight w:val="287"/>
        </w:trPr>
        <w:tc>
          <w:tcPr>
            <w:tcW w:w="2538" w:type="dxa"/>
            <w:shd w:val="clear" w:color="auto" w:fill="FFFFFF" w:themeFill="background1"/>
            <w:tcMar>
              <w:top w:w="15" w:type="dxa"/>
              <w:left w:w="15" w:type="dxa"/>
              <w:bottom w:w="0" w:type="dxa"/>
              <w:right w:w="15" w:type="dxa"/>
            </w:tcMar>
            <w:vAlign w:val="center"/>
            <w:hideMark/>
          </w:tcPr>
          <w:p w14:paraId="0CE9F501" w14:textId="77777777" w:rsidR="00E72F0C" w:rsidRPr="00F84867" w:rsidRDefault="00107901">
            <w:pPr>
              <w:rPr>
                <w:rFonts w:ascii="宋体" w:eastAsia="宋体" w:hAnsi="宋体" w:cs="宋体" w:hint="eastAsia"/>
                <w:color w:val="000000"/>
                <w:sz w:val="18"/>
                <w:szCs w:val="18"/>
              </w:rPr>
            </w:pPr>
            <w:r w:rsidRPr="00F84867">
              <w:rPr>
                <w:rFonts w:ascii="宋体" w:eastAsia="宋体" w:hAnsi="宋体" w:hint="eastAsia"/>
                <w:color w:val="000000"/>
                <w:sz w:val="18"/>
                <w:szCs w:val="18"/>
              </w:rPr>
              <w:t>泰铢</w:t>
            </w:r>
          </w:p>
        </w:tc>
        <w:tc>
          <w:tcPr>
            <w:tcW w:w="2537" w:type="dxa"/>
            <w:shd w:val="clear" w:color="auto" w:fill="FFFFFF" w:themeFill="background1"/>
            <w:tcMar>
              <w:top w:w="15" w:type="dxa"/>
              <w:left w:w="15" w:type="dxa"/>
              <w:bottom w:w="0" w:type="dxa"/>
              <w:right w:w="15" w:type="dxa"/>
            </w:tcMar>
            <w:vAlign w:val="center"/>
            <w:hideMark/>
          </w:tcPr>
          <w:p w14:paraId="0668DB11"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23,809,013.87</w:t>
            </w:r>
          </w:p>
        </w:tc>
        <w:tc>
          <w:tcPr>
            <w:tcW w:w="2537" w:type="dxa"/>
            <w:shd w:val="clear" w:color="auto" w:fill="FFFFFF" w:themeFill="background1"/>
            <w:tcMar>
              <w:top w:w="15" w:type="dxa"/>
              <w:left w:w="15" w:type="dxa"/>
              <w:bottom w:w="0" w:type="dxa"/>
              <w:right w:w="15" w:type="dxa"/>
            </w:tcMar>
            <w:vAlign w:val="center"/>
            <w:hideMark/>
          </w:tcPr>
          <w:p w14:paraId="7FA8DB63"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0.2126</w:t>
            </w:r>
          </w:p>
        </w:tc>
        <w:tc>
          <w:tcPr>
            <w:tcW w:w="1884" w:type="dxa"/>
            <w:shd w:val="clear" w:color="auto" w:fill="FFFFFF" w:themeFill="background1"/>
            <w:tcMar>
              <w:top w:w="15" w:type="dxa"/>
              <w:left w:w="15" w:type="dxa"/>
              <w:bottom w:w="0" w:type="dxa"/>
              <w:right w:w="15" w:type="dxa"/>
            </w:tcMar>
            <w:vAlign w:val="center"/>
            <w:hideMark/>
          </w:tcPr>
          <w:p w14:paraId="0BF5585C"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5,061,796.36</w:t>
            </w:r>
          </w:p>
        </w:tc>
      </w:tr>
      <w:tr w:rsidR="00E72F0C" w:rsidRPr="00F84867" w14:paraId="55777F1B" w14:textId="77777777" w:rsidTr="00F05317">
        <w:trPr>
          <w:divId w:val="2033652695"/>
          <w:trHeight w:val="287"/>
        </w:trPr>
        <w:tc>
          <w:tcPr>
            <w:tcW w:w="2538" w:type="dxa"/>
            <w:shd w:val="clear" w:color="auto" w:fill="FFFFFF" w:themeFill="background1"/>
            <w:tcMar>
              <w:top w:w="15" w:type="dxa"/>
              <w:left w:w="15" w:type="dxa"/>
              <w:bottom w:w="0" w:type="dxa"/>
              <w:right w:w="15" w:type="dxa"/>
            </w:tcMar>
            <w:vAlign w:val="center"/>
            <w:hideMark/>
          </w:tcPr>
          <w:p w14:paraId="0E3DFF56" w14:textId="77777777" w:rsidR="00E72F0C" w:rsidRPr="00F84867" w:rsidRDefault="00107901">
            <w:pPr>
              <w:rPr>
                <w:rFonts w:ascii="宋体" w:eastAsia="宋体" w:hAnsi="宋体" w:cs="宋体" w:hint="eastAsia"/>
                <w:color w:val="000000"/>
                <w:sz w:val="18"/>
                <w:szCs w:val="18"/>
              </w:rPr>
            </w:pPr>
            <w:r w:rsidRPr="00F84867">
              <w:rPr>
                <w:rFonts w:ascii="宋体" w:eastAsia="宋体" w:hAnsi="宋体" w:hint="eastAsia"/>
                <w:color w:val="000000"/>
                <w:sz w:val="18"/>
                <w:szCs w:val="18"/>
              </w:rPr>
              <w:t>新加坡币</w:t>
            </w:r>
          </w:p>
        </w:tc>
        <w:tc>
          <w:tcPr>
            <w:tcW w:w="2537" w:type="dxa"/>
            <w:shd w:val="clear" w:color="auto" w:fill="FFFFFF" w:themeFill="background1"/>
            <w:tcMar>
              <w:top w:w="15" w:type="dxa"/>
              <w:left w:w="15" w:type="dxa"/>
              <w:bottom w:w="0" w:type="dxa"/>
              <w:right w:w="15" w:type="dxa"/>
            </w:tcMar>
            <w:vAlign w:val="center"/>
            <w:hideMark/>
          </w:tcPr>
          <w:p w14:paraId="7B793AC3"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212,737.09</w:t>
            </w:r>
          </w:p>
        </w:tc>
        <w:tc>
          <w:tcPr>
            <w:tcW w:w="2537" w:type="dxa"/>
            <w:shd w:val="clear" w:color="auto" w:fill="FFFFFF" w:themeFill="background1"/>
            <w:tcMar>
              <w:top w:w="15" w:type="dxa"/>
              <w:left w:w="15" w:type="dxa"/>
              <w:bottom w:w="0" w:type="dxa"/>
              <w:right w:w="15" w:type="dxa"/>
            </w:tcMar>
            <w:vAlign w:val="center"/>
            <w:hideMark/>
          </w:tcPr>
          <w:p w14:paraId="74D057B4"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5.3214</w:t>
            </w:r>
          </w:p>
        </w:tc>
        <w:tc>
          <w:tcPr>
            <w:tcW w:w="1884" w:type="dxa"/>
            <w:shd w:val="clear" w:color="auto" w:fill="FFFFFF" w:themeFill="background1"/>
            <w:tcMar>
              <w:top w:w="15" w:type="dxa"/>
              <w:left w:w="15" w:type="dxa"/>
              <w:bottom w:w="0" w:type="dxa"/>
              <w:right w:w="15" w:type="dxa"/>
            </w:tcMar>
            <w:vAlign w:val="center"/>
            <w:hideMark/>
          </w:tcPr>
          <w:p w14:paraId="77C180CF"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1,132,071.74</w:t>
            </w:r>
          </w:p>
        </w:tc>
      </w:tr>
      <w:tr w:rsidR="00E72F0C" w:rsidRPr="00F84867" w14:paraId="5B0EFC97" w14:textId="77777777" w:rsidTr="00F05317">
        <w:trPr>
          <w:divId w:val="2033652695"/>
          <w:trHeight w:val="287"/>
        </w:trPr>
        <w:tc>
          <w:tcPr>
            <w:tcW w:w="2538" w:type="dxa"/>
            <w:shd w:val="clear" w:color="auto" w:fill="FFFFFF" w:themeFill="background1"/>
            <w:tcMar>
              <w:top w:w="15" w:type="dxa"/>
              <w:left w:w="15" w:type="dxa"/>
              <w:bottom w:w="0" w:type="dxa"/>
              <w:right w:w="15" w:type="dxa"/>
            </w:tcMar>
            <w:vAlign w:val="center"/>
            <w:hideMark/>
          </w:tcPr>
          <w:p w14:paraId="64541D07" w14:textId="77777777" w:rsidR="00E72F0C" w:rsidRPr="00F84867" w:rsidRDefault="00107901">
            <w:pPr>
              <w:rPr>
                <w:rFonts w:ascii="宋体" w:eastAsia="宋体" w:hAnsi="宋体" w:cs="宋体" w:hint="eastAsia"/>
                <w:color w:val="000000"/>
                <w:sz w:val="18"/>
                <w:szCs w:val="18"/>
              </w:rPr>
            </w:pPr>
            <w:r w:rsidRPr="00F84867">
              <w:rPr>
                <w:rFonts w:ascii="宋体" w:eastAsia="宋体" w:hAnsi="宋体" w:hint="eastAsia"/>
                <w:color w:val="000000"/>
                <w:sz w:val="18"/>
                <w:szCs w:val="18"/>
              </w:rPr>
              <w:t>英镑</w:t>
            </w:r>
          </w:p>
        </w:tc>
        <w:tc>
          <w:tcPr>
            <w:tcW w:w="2537" w:type="dxa"/>
            <w:shd w:val="clear" w:color="auto" w:fill="FFFFFF" w:themeFill="background1"/>
            <w:tcMar>
              <w:top w:w="15" w:type="dxa"/>
              <w:left w:w="15" w:type="dxa"/>
              <w:bottom w:w="0" w:type="dxa"/>
              <w:right w:w="15" w:type="dxa"/>
            </w:tcMar>
            <w:vAlign w:val="center"/>
            <w:hideMark/>
          </w:tcPr>
          <w:p w14:paraId="09EA76CE"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545.95</w:t>
            </w:r>
          </w:p>
        </w:tc>
        <w:tc>
          <w:tcPr>
            <w:tcW w:w="2537" w:type="dxa"/>
            <w:shd w:val="clear" w:color="auto" w:fill="FFFFFF" w:themeFill="background1"/>
            <w:tcMar>
              <w:top w:w="15" w:type="dxa"/>
              <w:left w:w="15" w:type="dxa"/>
              <w:bottom w:w="0" w:type="dxa"/>
              <w:right w:w="15" w:type="dxa"/>
            </w:tcMar>
            <w:vAlign w:val="center"/>
            <w:hideMark/>
          </w:tcPr>
          <w:p w14:paraId="02DC6779"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9.0765</w:t>
            </w:r>
          </w:p>
        </w:tc>
        <w:tc>
          <w:tcPr>
            <w:tcW w:w="1884" w:type="dxa"/>
            <w:shd w:val="clear" w:color="auto" w:fill="FFFFFF" w:themeFill="background1"/>
            <w:tcMar>
              <w:top w:w="15" w:type="dxa"/>
              <w:left w:w="15" w:type="dxa"/>
              <w:bottom w:w="0" w:type="dxa"/>
              <w:right w:w="15" w:type="dxa"/>
            </w:tcMar>
            <w:vAlign w:val="center"/>
            <w:hideMark/>
          </w:tcPr>
          <w:p w14:paraId="5C7A4DFE"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4,955.32</w:t>
            </w:r>
          </w:p>
        </w:tc>
      </w:tr>
      <w:tr w:rsidR="00E72F0C" w:rsidRPr="00F84867" w14:paraId="6E56A579" w14:textId="77777777" w:rsidTr="00F05317">
        <w:trPr>
          <w:divId w:val="2033652695"/>
          <w:trHeight w:val="287"/>
        </w:trPr>
        <w:tc>
          <w:tcPr>
            <w:tcW w:w="2538" w:type="dxa"/>
            <w:shd w:val="clear" w:color="auto" w:fill="FFFFFF" w:themeFill="background1"/>
            <w:tcMar>
              <w:top w:w="15" w:type="dxa"/>
              <w:left w:w="15" w:type="dxa"/>
              <w:bottom w:w="0" w:type="dxa"/>
              <w:right w:w="15" w:type="dxa"/>
            </w:tcMar>
            <w:vAlign w:val="center"/>
            <w:hideMark/>
          </w:tcPr>
          <w:p w14:paraId="68FD0C3D" w14:textId="77777777" w:rsidR="00E72F0C" w:rsidRPr="00F84867" w:rsidRDefault="00107901">
            <w:pPr>
              <w:rPr>
                <w:rFonts w:ascii="宋体" w:eastAsia="宋体" w:hAnsi="宋体" w:cs="宋体" w:hint="eastAsia"/>
                <w:color w:val="000000"/>
                <w:sz w:val="18"/>
                <w:szCs w:val="18"/>
              </w:rPr>
            </w:pPr>
            <w:r w:rsidRPr="00F84867">
              <w:rPr>
                <w:rFonts w:ascii="宋体" w:eastAsia="宋体" w:hAnsi="宋体" w:hint="eastAsia"/>
                <w:color w:val="000000"/>
                <w:sz w:val="18"/>
                <w:szCs w:val="18"/>
              </w:rPr>
              <w:t>越南盾</w:t>
            </w:r>
          </w:p>
        </w:tc>
        <w:tc>
          <w:tcPr>
            <w:tcW w:w="2537" w:type="dxa"/>
            <w:shd w:val="clear" w:color="auto" w:fill="FFFFFF" w:themeFill="background1"/>
            <w:tcMar>
              <w:top w:w="15" w:type="dxa"/>
              <w:left w:w="15" w:type="dxa"/>
              <w:bottom w:w="0" w:type="dxa"/>
              <w:right w:w="15" w:type="dxa"/>
            </w:tcMar>
            <w:vAlign w:val="center"/>
            <w:hideMark/>
          </w:tcPr>
          <w:p w14:paraId="4ECB62C4"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3,254,881,061.00</w:t>
            </w:r>
          </w:p>
        </w:tc>
        <w:tc>
          <w:tcPr>
            <w:tcW w:w="2537" w:type="dxa"/>
            <w:shd w:val="clear" w:color="auto" w:fill="FFFFFF" w:themeFill="background1"/>
            <w:tcMar>
              <w:top w:w="15" w:type="dxa"/>
              <w:left w:w="15" w:type="dxa"/>
              <w:bottom w:w="0" w:type="dxa"/>
              <w:right w:w="15" w:type="dxa"/>
            </w:tcMar>
            <w:vAlign w:val="center"/>
            <w:hideMark/>
          </w:tcPr>
          <w:p w14:paraId="6B98D48A"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0.000282064</w:t>
            </w:r>
          </w:p>
        </w:tc>
        <w:tc>
          <w:tcPr>
            <w:tcW w:w="1884" w:type="dxa"/>
            <w:shd w:val="clear" w:color="auto" w:fill="FFFFFF" w:themeFill="background1"/>
            <w:tcMar>
              <w:top w:w="15" w:type="dxa"/>
              <w:left w:w="15" w:type="dxa"/>
              <w:bottom w:w="0" w:type="dxa"/>
              <w:right w:w="15" w:type="dxa"/>
            </w:tcMar>
            <w:vAlign w:val="center"/>
            <w:hideMark/>
          </w:tcPr>
          <w:p w14:paraId="611E9C14"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918,084.62</w:t>
            </w:r>
          </w:p>
        </w:tc>
      </w:tr>
      <w:tr w:rsidR="00E72F0C" w:rsidRPr="00F84867" w14:paraId="13B88AFE" w14:textId="77777777" w:rsidTr="00F05317">
        <w:trPr>
          <w:divId w:val="2033652695"/>
          <w:trHeight w:val="287"/>
        </w:trPr>
        <w:tc>
          <w:tcPr>
            <w:tcW w:w="2538" w:type="dxa"/>
            <w:shd w:val="clear" w:color="auto" w:fill="FFFFFF" w:themeFill="background1"/>
            <w:tcMar>
              <w:top w:w="15" w:type="dxa"/>
              <w:left w:w="15" w:type="dxa"/>
              <w:bottom w:w="0" w:type="dxa"/>
              <w:right w:w="15" w:type="dxa"/>
            </w:tcMar>
            <w:vAlign w:val="center"/>
            <w:hideMark/>
          </w:tcPr>
          <w:p w14:paraId="0D16F69D" w14:textId="77777777" w:rsidR="00E72F0C" w:rsidRPr="00F84867" w:rsidRDefault="00107901">
            <w:pPr>
              <w:rPr>
                <w:rFonts w:ascii="宋体" w:eastAsia="宋体" w:hAnsi="宋体" w:cs="宋体" w:hint="eastAsia"/>
                <w:b/>
                <w:bCs/>
                <w:color w:val="000000"/>
                <w:sz w:val="18"/>
                <w:szCs w:val="18"/>
              </w:rPr>
            </w:pPr>
            <w:r w:rsidRPr="00F84867">
              <w:rPr>
                <w:rFonts w:ascii="宋体" w:eastAsia="宋体" w:hAnsi="宋体" w:hint="eastAsia"/>
                <w:b/>
                <w:bCs/>
                <w:color w:val="000000"/>
                <w:sz w:val="18"/>
                <w:szCs w:val="18"/>
              </w:rPr>
              <w:t>其他应付款</w:t>
            </w:r>
          </w:p>
        </w:tc>
        <w:tc>
          <w:tcPr>
            <w:tcW w:w="2537" w:type="dxa"/>
            <w:shd w:val="clear" w:color="auto" w:fill="FFFFFF" w:themeFill="background1"/>
            <w:tcMar>
              <w:top w:w="15" w:type="dxa"/>
              <w:left w:w="15" w:type="dxa"/>
              <w:bottom w:w="0" w:type="dxa"/>
              <w:right w:w="15" w:type="dxa"/>
            </w:tcMar>
            <w:vAlign w:val="center"/>
            <w:hideMark/>
          </w:tcPr>
          <w:p w14:paraId="44FFAEFD" w14:textId="77777777" w:rsidR="00E72F0C" w:rsidRPr="00F84867" w:rsidRDefault="00107901">
            <w:pPr>
              <w:jc w:val="right"/>
              <w:rPr>
                <w:rFonts w:ascii="宋体" w:eastAsia="宋体" w:hAnsi="宋体" w:cs="Arial" w:hint="eastAsia"/>
                <w:b/>
                <w:bCs/>
                <w:color w:val="000000"/>
                <w:sz w:val="18"/>
                <w:szCs w:val="18"/>
              </w:rPr>
            </w:pPr>
            <w:r w:rsidRPr="00F84867">
              <w:rPr>
                <w:rFonts w:ascii="宋体" w:eastAsia="宋体" w:hAnsi="宋体" w:cs="Arial"/>
                <w:b/>
                <w:bCs/>
                <w:color w:val="000000"/>
                <w:sz w:val="18"/>
                <w:szCs w:val="18"/>
              </w:rPr>
              <w:t>18,364,335.77</w:t>
            </w:r>
          </w:p>
        </w:tc>
        <w:tc>
          <w:tcPr>
            <w:tcW w:w="2537" w:type="dxa"/>
            <w:shd w:val="clear" w:color="auto" w:fill="FFFFFF" w:themeFill="background1"/>
            <w:tcMar>
              <w:top w:w="15" w:type="dxa"/>
              <w:left w:w="15" w:type="dxa"/>
              <w:bottom w:w="0" w:type="dxa"/>
              <w:right w:w="15" w:type="dxa"/>
            </w:tcMar>
            <w:vAlign w:val="center"/>
            <w:hideMark/>
          </w:tcPr>
          <w:p w14:paraId="1FE90477"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 xml:space="preserve">　</w:t>
            </w:r>
          </w:p>
        </w:tc>
        <w:tc>
          <w:tcPr>
            <w:tcW w:w="1884" w:type="dxa"/>
            <w:shd w:val="clear" w:color="auto" w:fill="FFFFFF" w:themeFill="background1"/>
            <w:tcMar>
              <w:top w:w="15" w:type="dxa"/>
              <w:left w:w="15" w:type="dxa"/>
              <w:bottom w:w="0" w:type="dxa"/>
              <w:right w:w="15" w:type="dxa"/>
            </w:tcMar>
            <w:vAlign w:val="center"/>
            <w:hideMark/>
          </w:tcPr>
          <w:p w14:paraId="495D19EE" w14:textId="77777777" w:rsidR="00E72F0C" w:rsidRPr="00F84867" w:rsidRDefault="00107901">
            <w:pPr>
              <w:jc w:val="right"/>
              <w:rPr>
                <w:rFonts w:ascii="宋体" w:eastAsia="宋体" w:hAnsi="宋体" w:cs="Arial" w:hint="eastAsia"/>
                <w:b/>
                <w:bCs/>
                <w:color w:val="000000"/>
                <w:sz w:val="18"/>
                <w:szCs w:val="18"/>
              </w:rPr>
            </w:pPr>
            <w:r w:rsidRPr="00F84867">
              <w:rPr>
                <w:rFonts w:ascii="宋体" w:eastAsia="宋体" w:hAnsi="宋体" w:cs="Arial"/>
                <w:b/>
                <w:bCs/>
                <w:color w:val="000000"/>
                <w:sz w:val="18"/>
                <w:szCs w:val="18"/>
              </w:rPr>
              <w:t>16,949,293.28</w:t>
            </w:r>
          </w:p>
        </w:tc>
      </w:tr>
      <w:tr w:rsidR="00E72F0C" w:rsidRPr="00F84867" w14:paraId="6AE08228" w14:textId="77777777" w:rsidTr="00F05317">
        <w:trPr>
          <w:divId w:val="2033652695"/>
          <w:trHeight w:val="287"/>
        </w:trPr>
        <w:tc>
          <w:tcPr>
            <w:tcW w:w="2538" w:type="dxa"/>
            <w:shd w:val="clear" w:color="auto" w:fill="FFFFFF" w:themeFill="background1"/>
            <w:tcMar>
              <w:top w:w="15" w:type="dxa"/>
              <w:left w:w="15" w:type="dxa"/>
              <w:bottom w:w="0" w:type="dxa"/>
              <w:right w:w="15" w:type="dxa"/>
            </w:tcMar>
            <w:vAlign w:val="center"/>
            <w:hideMark/>
          </w:tcPr>
          <w:p w14:paraId="29B8E959" w14:textId="77777777" w:rsidR="00E72F0C" w:rsidRPr="00F84867" w:rsidRDefault="00107901">
            <w:pPr>
              <w:rPr>
                <w:rFonts w:ascii="宋体" w:eastAsia="宋体" w:hAnsi="宋体" w:cs="宋体" w:hint="eastAsia"/>
                <w:color w:val="000000"/>
                <w:sz w:val="18"/>
                <w:szCs w:val="18"/>
              </w:rPr>
            </w:pPr>
            <w:r w:rsidRPr="00F84867">
              <w:rPr>
                <w:rFonts w:ascii="宋体" w:eastAsia="宋体" w:hAnsi="宋体" w:hint="eastAsia"/>
                <w:color w:val="000000"/>
                <w:sz w:val="18"/>
                <w:szCs w:val="18"/>
              </w:rPr>
              <w:t>美元</w:t>
            </w:r>
          </w:p>
        </w:tc>
        <w:tc>
          <w:tcPr>
            <w:tcW w:w="2537" w:type="dxa"/>
            <w:shd w:val="clear" w:color="auto" w:fill="FFFFFF" w:themeFill="background1"/>
            <w:tcMar>
              <w:top w:w="15" w:type="dxa"/>
              <w:left w:w="15" w:type="dxa"/>
              <w:bottom w:w="0" w:type="dxa"/>
              <w:right w:w="15" w:type="dxa"/>
            </w:tcMar>
            <w:vAlign w:val="center"/>
            <w:hideMark/>
          </w:tcPr>
          <w:p w14:paraId="35DCC237"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984,707.50</w:t>
            </w:r>
          </w:p>
        </w:tc>
        <w:tc>
          <w:tcPr>
            <w:tcW w:w="2537" w:type="dxa"/>
            <w:shd w:val="clear" w:color="auto" w:fill="FFFFFF" w:themeFill="background1"/>
            <w:tcMar>
              <w:top w:w="15" w:type="dxa"/>
              <w:left w:w="15" w:type="dxa"/>
              <w:bottom w:w="0" w:type="dxa"/>
              <w:right w:w="15" w:type="dxa"/>
            </w:tcMar>
            <w:vAlign w:val="center"/>
            <w:hideMark/>
          </w:tcPr>
          <w:p w14:paraId="71138B5F"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7.1884</w:t>
            </w:r>
          </w:p>
        </w:tc>
        <w:tc>
          <w:tcPr>
            <w:tcW w:w="1884" w:type="dxa"/>
            <w:shd w:val="clear" w:color="auto" w:fill="FFFFFF" w:themeFill="background1"/>
            <w:tcMar>
              <w:top w:w="15" w:type="dxa"/>
              <w:left w:w="15" w:type="dxa"/>
              <w:bottom w:w="0" w:type="dxa"/>
              <w:right w:w="15" w:type="dxa"/>
            </w:tcMar>
            <w:vAlign w:val="center"/>
            <w:hideMark/>
          </w:tcPr>
          <w:p w14:paraId="15D6C216"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7,078,471.36</w:t>
            </w:r>
          </w:p>
        </w:tc>
      </w:tr>
      <w:tr w:rsidR="00E72F0C" w:rsidRPr="00F84867" w14:paraId="04DF7AA8" w14:textId="77777777" w:rsidTr="00F05317">
        <w:trPr>
          <w:divId w:val="2033652695"/>
          <w:trHeight w:val="287"/>
        </w:trPr>
        <w:tc>
          <w:tcPr>
            <w:tcW w:w="2538" w:type="dxa"/>
            <w:shd w:val="clear" w:color="auto" w:fill="FFFFFF" w:themeFill="background1"/>
            <w:tcMar>
              <w:top w:w="15" w:type="dxa"/>
              <w:left w:w="15" w:type="dxa"/>
              <w:bottom w:w="0" w:type="dxa"/>
              <w:right w:w="15" w:type="dxa"/>
            </w:tcMar>
            <w:vAlign w:val="center"/>
            <w:hideMark/>
          </w:tcPr>
          <w:p w14:paraId="41EE3344" w14:textId="77777777" w:rsidR="00E72F0C" w:rsidRPr="00F84867" w:rsidRDefault="00107901">
            <w:pPr>
              <w:rPr>
                <w:rFonts w:ascii="宋体" w:eastAsia="宋体" w:hAnsi="宋体" w:cs="宋体" w:hint="eastAsia"/>
                <w:color w:val="000000"/>
                <w:sz w:val="18"/>
                <w:szCs w:val="18"/>
              </w:rPr>
            </w:pPr>
            <w:r w:rsidRPr="00F84867">
              <w:rPr>
                <w:rFonts w:ascii="宋体" w:eastAsia="宋体" w:hAnsi="宋体" w:hint="eastAsia"/>
                <w:color w:val="000000"/>
                <w:sz w:val="18"/>
                <w:szCs w:val="18"/>
              </w:rPr>
              <w:t>欧元</w:t>
            </w:r>
          </w:p>
        </w:tc>
        <w:tc>
          <w:tcPr>
            <w:tcW w:w="2537" w:type="dxa"/>
            <w:shd w:val="clear" w:color="auto" w:fill="FFFFFF" w:themeFill="background1"/>
            <w:tcMar>
              <w:top w:w="15" w:type="dxa"/>
              <w:left w:w="15" w:type="dxa"/>
              <w:bottom w:w="0" w:type="dxa"/>
              <w:right w:w="15" w:type="dxa"/>
            </w:tcMar>
            <w:vAlign w:val="center"/>
            <w:hideMark/>
          </w:tcPr>
          <w:p w14:paraId="6A317F8F"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844,500.00</w:t>
            </w:r>
          </w:p>
        </w:tc>
        <w:tc>
          <w:tcPr>
            <w:tcW w:w="2537" w:type="dxa"/>
            <w:shd w:val="clear" w:color="auto" w:fill="FFFFFF" w:themeFill="background1"/>
            <w:tcMar>
              <w:top w:w="15" w:type="dxa"/>
              <w:left w:w="15" w:type="dxa"/>
              <w:bottom w:w="0" w:type="dxa"/>
              <w:right w:w="15" w:type="dxa"/>
            </w:tcMar>
            <w:vAlign w:val="center"/>
            <w:hideMark/>
          </w:tcPr>
          <w:p w14:paraId="07F77236"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7.5257</w:t>
            </w:r>
          </w:p>
        </w:tc>
        <w:tc>
          <w:tcPr>
            <w:tcW w:w="1884" w:type="dxa"/>
            <w:shd w:val="clear" w:color="auto" w:fill="FFFFFF" w:themeFill="background1"/>
            <w:tcMar>
              <w:top w:w="15" w:type="dxa"/>
              <w:left w:w="15" w:type="dxa"/>
              <w:bottom w:w="0" w:type="dxa"/>
              <w:right w:w="15" w:type="dxa"/>
            </w:tcMar>
            <w:vAlign w:val="center"/>
            <w:hideMark/>
          </w:tcPr>
          <w:p w14:paraId="3AE52C41"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6,355,453.65</w:t>
            </w:r>
          </w:p>
        </w:tc>
      </w:tr>
      <w:tr w:rsidR="00E72F0C" w:rsidRPr="00F84867" w14:paraId="2143053C" w14:textId="77777777" w:rsidTr="00F05317">
        <w:trPr>
          <w:divId w:val="2033652695"/>
          <w:trHeight w:val="287"/>
        </w:trPr>
        <w:tc>
          <w:tcPr>
            <w:tcW w:w="2538" w:type="dxa"/>
            <w:shd w:val="clear" w:color="auto" w:fill="FFFFFF" w:themeFill="background1"/>
            <w:tcMar>
              <w:top w:w="15" w:type="dxa"/>
              <w:left w:w="15" w:type="dxa"/>
              <w:bottom w:w="0" w:type="dxa"/>
              <w:right w:w="15" w:type="dxa"/>
            </w:tcMar>
            <w:vAlign w:val="center"/>
            <w:hideMark/>
          </w:tcPr>
          <w:p w14:paraId="0C71259F" w14:textId="77777777" w:rsidR="00E72F0C" w:rsidRPr="00F84867" w:rsidRDefault="00107901">
            <w:pPr>
              <w:rPr>
                <w:rFonts w:ascii="宋体" w:eastAsia="宋体" w:hAnsi="宋体" w:cs="宋体" w:hint="eastAsia"/>
                <w:color w:val="000000"/>
                <w:sz w:val="18"/>
                <w:szCs w:val="18"/>
              </w:rPr>
            </w:pPr>
            <w:r w:rsidRPr="00F84867">
              <w:rPr>
                <w:rFonts w:ascii="宋体" w:eastAsia="宋体" w:hAnsi="宋体" w:hint="eastAsia"/>
                <w:color w:val="000000"/>
                <w:sz w:val="18"/>
                <w:szCs w:val="18"/>
              </w:rPr>
              <w:t>泰铢</w:t>
            </w:r>
          </w:p>
        </w:tc>
        <w:tc>
          <w:tcPr>
            <w:tcW w:w="2537" w:type="dxa"/>
            <w:shd w:val="clear" w:color="auto" w:fill="FFFFFF" w:themeFill="background1"/>
            <w:tcMar>
              <w:top w:w="15" w:type="dxa"/>
              <w:left w:w="15" w:type="dxa"/>
              <w:bottom w:w="0" w:type="dxa"/>
              <w:right w:w="15" w:type="dxa"/>
            </w:tcMar>
            <w:vAlign w:val="center"/>
            <w:hideMark/>
          </w:tcPr>
          <w:p w14:paraId="6BBD0D24"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16,535,128.27</w:t>
            </w:r>
          </w:p>
        </w:tc>
        <w:tc>
          <w:tcPr>
            <w:tcW w:w="2537" w:type="dxa"/>
            <w:shd w:val="clear" w:color="auto" w:fill="FFFFFF" w:themeFill="background1"/>
            <w:tcMar>
              <w:top w:w="15" w:type="dxa"/>
              <w:left w:w="15" w:type="dxa"/>
              <w:bottom w:w="0" w:type="dxa"/>
              <w:right w:w="15" w:type="dxa"/>
            </w:tcMar>
            <w:vAlign w:val="center"/>
            <w:hideMark/>
          </w:tcPr>
          <w:p w14:paraId="4EAE09C0"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0.2126</w:t>
            </w:r>
          </w:p>
        </w:tc>
        <w:tc>
          <w:tcPr>
            <w:tcW w:w="1884" w:type="dxa"/>
            <w:shd w:val="clear" w:color="auto" w:fill="FFFFFF" w:themeFill="background1"/>
            <w:tcMar>
              <w:top w:w="15" w:type="dxa"/>
              <w:left w:w="15" w:type="dxa"/>
              <w:bottom w:w="0" w:type="dxa"/>
              <w:right w:w="15" w:type="dxa"/>
            </w:tcMar>
            <w:vAlign w:val="center"/>
            <w:hideMark/>
          </w:tcPr>
          <w:p w14:paraId="05B8E558"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3,515,368.27</w:t>
            </w:r>
          </w:p>
        </w:tc>
      </w:tr>
      <w:tr w:rsidR="00E72F0C" w:rsidRPr="00F84867" w14:paraId="59DEA39D" w14:textId="77777777" w:rsidTr="00F05317">
        <w:trPr>
          <w:divId w:val="2033652695"/>
          <w:trHeight w:val="287"/>
        </w:trPr>
        <w:tc>
          <w:tcPr>
            <w:tcW w:w="2538" w:type="dxa"/>
            <w:shd w:val="clear" w:color="auto" w:fill="FFFFFF" w:themeFill="background1"/>
            <w:tcMar>
              <w:top w:w="15" w:type="dxa"/>
              <w:left w:w="15" w:type="dxa"/>
              <w:bottom w:w="0" w:type="dxa"/>
              <w:right w:w="15" w:type="dxa"/>
            </w:tcMar>
            <w:vAlign w:val="center"/>
            <w:hideMark/>
          </w:tcPr>
          <w:p w14:paraId="232CA557" w14:textId="77777777" w:rsidR="00E72F0C" w:rsidRPr="00F84867" w:rsidRDefault="00107901">
            <w:pPr>
              <w:rPr>
                <w:rFonts w:ascii="宋体" w:eastAsia="宋体" w:hAnsi="宋体" w:cs="宋体" w:hint="eastAsia"/>
                <w:b/>
                <w:bCs/>
                <w:color w:val="000000"/>
                <w:sz w:val="18"/>
                <w:szCs w:val="18"/>
              </w:rPr>
            </w:pPr>
            <w:r w:rsidRPr="00F84867">
              <w:rPr>
                <w:rFonts w:ascii="宋体" w:eastAsia="宋体" w:hAnsi="宋体" w:hint="eastAsia"/>
                <w:b/>
                <w:bCs/>
                <w:color w:val="000000"/>
                <w:sz w:val="18"/>
                <w:szCs w:val="18"/>
              </w:rPr>
              <w:t>其他应收款</w:t>
            </w:r>
          </w:p>
        </w:tc>
        <w:tc>
          <w:tcPr>
            <w:tcW w:w="2537" w:type="dxa"/>
            <w:shd w:val="clear" w:color="auto" w:fill="FFFFFF" w:themeFill="background1"/>
            <w:tcMar>
              <w:top w:w="15" w:type="dxa"/>
              <w:left w:w="15" w:type="dxa"/>
              <w:bottom w:w="0" w:type="dxa"/>
              <w:right w:w="15" w:type="dxa"/>
            </w:tcMar>
            <w:vAlign w:val="center"/>
            <w:hideMark/>
          </w:tcPr>
          <w:p w14:paraId="02CFCC95" w14:textId="77777777" w:rsidR="00E72F0C" w:rsidRPr="00F84867" w:rsidRDefault="00107901">
            <w:pPr>
              <w:jc w:val="right"/>
              <w:rPr>
                <w:rFonts w:ascii="宋体" w:eastAsia="宋体" w:hAnsi="宋体" w:cs="Arial" w:hint="eastAsia"/>
                <w:b/>
                <w:bCs/>
                <w:color w:val="000000"/>
                <w:sz w:val="18"/>
                <w:szCs w:val="18"/>
              </w:rPr>
            </w:pPr>
            <w:r w:rsidRPr="00F84867">
              <w:rPr>
                <w:rFonts w:ascii="宋体" w:eastAsia="宋体" w:hAnsi="宋体" w:cs="Arial"/>
                <w:b/>
                <w:bCs/>
                <w:color w:val="000000"/>
                <w:sz w:val="18"/>
                <w:szCs w:val="18"/>
              </w:rPr>
              <w:t>527,788,961.25</w:t>
            </w:r>
          </w:p>
        </w:tc>
        <w:tc>
          <w:tcPr>
            <w:tcW w:w="2537" w:type="dxa"/>
            <w:shd w:val="clear" w:color="auto" w:fill="FFFFFF" w:themeFill="background1"/>
            <w:tcMar>
              <w:top w:w="15" w:type="dxa"/>
              <w:left w:w="15" w:type="dxa"/>
              <w:bottom w:w="0" w:type="dxa"/>
              <w:right w:w="15" w:type="dxa"/>
            </w:tcMar>
            <w:vAlign w:val="center"/>
            <w:hideMark/>
          </w:tcPr>
          <w:p w14:paraId="78E818A9"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 xml:space="preserve">　</w:t>
            </w:r>
          </w:p>
        </w:tc>
        <w:tc>
          <w:tcPr>
            <w:tcW w:w="1884" w:type="dxa"/>
            <w:shd w:val="clear" w:color="auto" w:fill="FFFFFF" w:themeFill="background1"/>
            <w:tcMar>
              <w:top w:w="15" w:type="dxa"/>
              <w:left w:w="15" w:type="dxa"/>
              <w:bottom w:w="0" w:type="dxa"/>
              <w:right w:w="15" w:type="dxa"/>
            </w:tcMar>
            <w:vAlign w:val="center"/>
            <w:hideMark/>
          </w:tcPr>
          <w:p w14:paraId="7B0715DC" w14:textId="77777777" w:rsidR="00E72F0C" w:rsidRPr="00F84867" w:rsidRDefault="00107901">
            <w:pPr>
              <w:jc w:val="right"/>
              <w:rPr>
                <w:rFonts w:ascii="宋体" w:eastAsia="宋体" w:hAnsi="宋体" w:cs="Arial" w:hint="eastAsia"/>
                <w:b/>
                <w:bCs/>
                <w:color w:val="000000"/>
                <w:sz w:val="18"/>
                <w:szCs w:val="18"/>
              </w:rPr>
            </w:pPr>
            <w:r w:rsidRPr="00F84867">
              <w:rPr>
                <w:rFonts w:ascii="宋体" w:eastAsia="宋体" w:hAnsi="宋体" w:cs="Arial"/>
                <w:b/>
                <w:bCs/>
                <w:color w:val="000000"/>
                <w:sz w:val="18"/>
                <w:szCs w:val="18"/>
              </w:rPr>
              <w:t>18,613,482.98</w:t>
            </w:r>
          </w:p>
        </w:tc>
      </w:tr>
      <w:tr w:rsidR="00E72F0C" w:rsidRPr="00F84867" w14:paraId="5B30A5E6" w14:textId="77777777" w:rsidTr="00F05317">
        <w:trPr>
          <w:divId w:val="2033652695"/>
          <w:trHeight w:val="287"/>
        </w:trPr>
        <w:tc>
          <w:tcPr>
            <w:tcW w:w="2538" w:type="dxa"/>
            <w:shd w:val="clear" w:color="auto" w:fill="FFFFFF" w:themeFill="background1"/>
            <w:tcMar>
              <w:top w:w="15" w:type="dxa"/>
              <w:left w:w="15" w:type="dxa"/>
              <w:bottom w:w="0" w:type="dxa"/>
              <w:right w:w="15" w:type="dxa"/>
            </w:tcMar>
            <w:vAlign w:val="center"/>
            <w:hideMark/>
          </w:tcPr>
          <w:p w14:paraId="4D37A044" w14:textId="77777777" w:rsidR="00E72F0C" w:rsidRPr="00F84867" w:rsidRDefault="00107901">
            <w:pPr>
              <w:rPr>
                <w:rFonts w:ascii="宋体" w:eastAsia="宋体" w:hAnsi="宋体" w:cs="宋体" w:hint="eastAsia"/>
                <w:color w:val="000000"/>
                <w:sz w:val="18"/>
                <w:szCs w:val="18"/>
              </w:rPr>
            </w:pPr>
            <w:r w:rsidRPr="00F84867">
              <w:rPr>
                <w:rFonts w:ascii="宋体" w:eastAsia="宋体" w:hAnsi="宋体" w:hint="eastAsia"/>
                <w:color w:val="000000"/>
                <w:sz w:val="18"/>
                <w:szCs w:val="18"/>
              </w:rPr>
              <w:t>美元</w:t>
            </w:r>
          </w:p>
        </w:tc>
        <w:tc>
          <w:tcPr>
            <w:tcW w:w="2537" w:type="dxa"/>
            <w:shd w:val="clear" w:color="auto" w:fill="FFFFFF" w:themeFill="background1"/>
            <w:tcMar>
              <w:top w:w="15" w:type="dxa"/>
              <w:left w:w="15" w:type="dxa"/>
              <w:bottom w:w="0" w:type="dxa"/>
              <w:right w:w="15" w:type="dxa"/>
            </w:tcMar>
            <w:vAlign w:val="center"/>
            <w:hideMark/>
          </w:tcPr>
          <w:p w14:paraId="6A0C2F8F"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2,072,184.47</w:t>
            </w:r>
          </w:p>
        </w:tc>
        <w:tc>
          <w:tcPr>
            <w:tcW w:w="2537" w:type="dxa"/>
            <w:shd w:val="clear" w:color="auto" w:fill="FFFFFF" w:themeFill="background1"/>
            <w:tcMar>
              <w:top w:w="15" w:type="dxa"/>
              <w:left w:w="15" w:type="dxa"/>
              <w:bottom w:w="0" w:type="dxa"/>
              <w:right w:w="15" w:type="dxa"/>
            </w:tcMar>
            <w:vAlign w:val="center"/>
            <w:hideMark/>
          </w:tcPr>
          <w:p w14:paraId="70897F80"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7.1884</w:t>
            </w:r>
          </w:p>
        </w:tc>
        <w:tc>
          <w:tcPr>
            <w:tcW w:w="1884" w:type="dxa"/>
            <w:shd w:val="clear" w:color="auto" w:fill="FFFFFF" w:themeFill="background1"/>
            <w:tcMar>
              <w:top w:w="15" w:type="dxa"/>
              <w:left w:w="15" w:type="dxa"/>
              <w:bottom w:w="0" w:type="dxa"/>
              <w:right w:w="15" w:type="dxa"/>
            </w:tcMar>
            <w:vAlign w:val="center"/>
            <w:hideMark/>
          </w:tcPr>
          <w:p w14:paraId="65ED49AF"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14,895,690.88</w:t>
            </w:r>
          </w:p>
        </w:tc>
      </w:tr>
      <w:tr w:rsidR="00E72F0C" w:rsidRPr="00F84867" w14:paraId="51805C30" w14:textId="77777777" w:rsidTr="00F05317">
        <w:trPr>
          <w:divId w:val="2033652695"/>
          <w:trHeight w:val="287"/>
        </w:trPr>
        <w:tc>
          <w:tcPr>
            <w:tcW w:w="2538" w:type="dxa"/>
            <w:shd w:val="clear" w:color="auto" w:fill="FFFFFF" w:themeFill="background1"/>
            <w:tcMar>
              <w:top w:w="15" w:type="dxa"/>
              <w:left w:w="15" w:type="dxa"/>
              <w:bottom w:w="0" w:type="dxa"/>
              <w:right w:w="15" w:type="dxa"/>
            </w:tcMar>
            <w:vAlign w:val="center"/>
            <w:hideMark/>
          </w:tcPr>
          <w:p w14:paraId="745954E6" w14:textId="77777777" w:rsidR="00E72F0C" w:rsidRPr="00F84867" w:rsidRDefault="00107901">
            <w:pPr>
              <w:rPr>
                <w:rFonts w:ascii="宋体" w:eastAsia="宋体" w:hAnsi="宋体" w:cs="宋体" w:hint="eastAsia"/>
                <w:color w:val="000000"/>
                <w:sz w:val="18"/>
                <w:szCs w:val="18"/>
              </w:rPr>
            </w:pPr>
            <w:r w:rsidRPr="00F84867">
              <w:rPr>
                <w:rFonts w:ascii="宋体" w:eastAsia="宋体" w:hAnsi="宋体" w:hint="eastAsia"/>
                <w:color w:val="000000"/>
                <w:sz w:val="18"/>
                <w:szCs w:val="18"/>
              </w:rPr>
              <w:t>泰铢</w:t>
            </w:r>
          </w:p>
        </w:tc>
        <w:tc>
          <w:tcPr>
            <w:tcW w:w="2537" w:type="dxa"/>
            <w:shd w:val="clear" w:color="auto" w:fill="FFFFFF" w:themeFill="background1"/>
            <w:tcMar>
              <w:top w:w="15" w:type="dxa"/>
              <w:left w:w="15" w:type="dxa"/>
              <w:bottom w:w="0" w:type="dxa"/>
              <w:right w:w="15" w:type="dxa"/>
            </w:tcMar>
            <w:vAlign w:val="center"/>
            <w:hideMark/>
          </w:tcPr>
          <w:p w14:paraId="221AEE6C"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16,621,602.78</w:t>
            </w:r>
          </w:p>
        </w:tc>
        <w:tc>
          <w:tcPr>
            <w:tcW w:w="2537" w:type="dxa"/>
            <w:shd w:val="clear" w:color="auto" w:fill="FFFFFF" w:themeFill="background1"/>
            <w:tcMar>
              <w:top w:w="15" w:type="dxa"/>
              <w:left w:w="15" w:type="dxa"/>
              <w:bottom w:w="0" w:type="dxa"/>
              <w:right w:w="15" w:type="dxa"/>
            </w:tcMar>
            <w:vAlign w:val="center"/>
            <w:hideMark/>
          </w:tcPr>
          <w:p w14:paraId="7E396A3D"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0.2126</w:t>
            </w:r>
          </w:p>
        </w:tc>
        <w:tc>
          <w:tcPr>
            <w:tcW w:w="1884" w:type="dxa"/>
            <w:shd w:val="clear" w:color="auto" w:fill="FFFFFF" w:themeFill="background1"/>
            <w:tcMar>
              <w:top w:w="15" w:type="dxa"/>
              <w:left w:w="15" w:type="dxa"/>
              <w:bottom w:w="0" w:type="dxa"/>
              <w:right w:w="15" w:type="dxa"/>
            </w:tcMar>
            <w:vAlign w:val="center"/>
            <w:hideMark/>
          </w:tcPr>
          <w:p w14:paraId="7BADB186"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3,533,752.75</w:t>
            </w:r>
          </w:p>
        </w:tc>
      </w:tr>
      <w:tr w:rsidR="00E72F0C" w:rsidRPr="00F84867" w14:paraId="0AF985B7" w14:textId="77777777" w:rsidTr="00F05317">
        <w:trPr>
          <w:divId w:val="2033652695"/>
          <w:trHeight w:val="287"/>
        </w:trPr>
        <w:tc>
          <w:tcPr>
            <w:tcW w:w="2538" w:type="dxa"/>
            <w:shd w:val="clear" w:color="auto" w:fill="FFFFFF" w:themeFill="background1"/>
            <w:tcMar>
              <w:top w:w="15" w:type="dxa"/>
              <w:left w:w="15" w:type="dxa"/>
              <w:bottom w:w="0" w:type="dxa"/>
              <w:right w:w="15" w:type="dxa"/>
            </w:tcMar>
            <w:vAlign w:val="center"/>
            <w:hideMark/>
          </w:tcPr>
          <w:p w14:paraId="445D76AD" w14:textId="77777777" w:rsidR="00E72F0C" w:rsidRPr="00F84867" w:rsidRDefault="00107901">
            <w:pPr>
              <w:rPr>
                <w:rFonts w:ascii="宋体" w:eastAsia="宋体" w:hAnsi="宋体" w:cs="宋体" w:hint="eastAsia"/>
                <w:color w:val="000000"/>
                <w:sz w:val="18"/>
                <w:szCs w:val="18"/>
              </w:rPr>
            </w:pPr>
            <w:r w:rsidRPr="00F84867">
              <w:rPr>
                <w:rFonts w:ascii="宋体" w:eastAsia="宋体" w:hAnsi="宋体" w:hint="eastAsia"/>
                <w:color w:val="000000"/>
                <w:sz w:val="18"/>
                <w:szCs w:val="18"/>
              </w:rPr>
              <w:t>新加坡币</w:t>
            </w:r>
          </w:p>
        </w:tc>
        <w:tc>
          <w:tcPr>
            <w:tcW w:w="2537" w:type="dxa"/>
            <w:shd w:val="clear" w:color="auto" w:fill="FFFFFF" w:themeFill="background1"/>
            <w:tcMar>
              <w:top w:w="15" w:type="dxa"/>
              <w:left w:w="15" w:type="dxa"/>
              <w:bottom w:w="0" w:type="dxa"/>
              <w:right w:w="15" w:type="dxa"/>
            </w:tcMar>
            <w:vAlign w:val="center"/>
            <w:hideMark/>
          </w:tcPr>
          <w:p w14:paraId="509EB180"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7,600.00</w:t>
            </w:r>
          </w:p>
        </w:tc>
        <w:tc>
          <w:tcPr>
            <w:tcW w:w="2537" w:type="dxa"/>
            <w:shd w:val="clear" w:color="auto" w:fill="FFFFFF" w:themeFill="background1"/>
            <w:tcMar>
              <w:top w:w="15" w:type="dxa"/>
              <w:left w:w="15" w:type="dxa"/>
              <w:bottom w:w="0" w:type="dxa"/>
              <w:right w:w="15" w:type="dxa"/>
            </w:tcMar>
            <w:vAlign w:val="center"/>
            <w:hideMark/>
          </w:tcPr>
          <w:p w14:paraId="730C4F7E"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5.3214</w:t>
            </w:r>
          </w:p>
        </w:tc>
        <w:tc>
          <w:tcPr>
            <w:tcW w:w="1884" w:type="dxa"/>
            <w:shd w:val="clear" w:color="auto" w:fill="FFFFFF" w:themeFill="background1"/>
            <w:tcMar>
              <w:top w:w="15" w:type="dxa"/>
              <w:left w:w="15" w:type="dxa"/>
              <w:bottom w:w="0" w:type="dxa"/>
              <w:right w:w="15" w:type="dxa"/>
            </w:tcMar>
            <w:vAlign w:val="center"/>
            <w:hideMark/>
          </w:tcPr>
          <w:p w14:paraId="3A52865E"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40,444.09</w:t>
            </w:r>
          </w:p>
        </w:tc>
      </w:tr>
      <w:tr w:rsidR="00E72F0C" w:rsidRPr="00F84867" w14:paraId="5402569D" w14:textId="77777777" w:rsidTr="00F05317">
        <w:trPr>
          <w:divId w:val="2033652695"/>
          <w:trHeight w:val="287"/>
        </w:trPr>
        <w:tc>
          <w:tcPr>
            <w:tcW w:w="2538" w:type="dxa"/>
            <w:shd w:val="clear" w:color="auto" w:fill="FFFFFF" w:themeFill="background1"/>
            <w:tcMar>
              <w:top w:w="15" w:type="dxa"/>
              <w:left w:w="15" w:type="dxa"/>
              <w:bottom w:w="0" w:type="dxa"/>
              <w:right w:w="15" w:type="dxa"/>
            </w:tcMar>
            <w:vAlign w:val="center"/>
            <w:hideMark/>
          </w:tcPr>
          <w:p w14:paraId="218B6E7C" w14:textId="77777777" w:rsidR="00E72F0C" w:rsidRPr="00F84867" w:rsidRDefault="00107901">
            <w:pPr>
              <w:rPr>
                <w:rFonts w:ascii="宋体" w:eastAsia="宋体" w:hAnsi="宋体" w:cs="宋体" w:hint="eastAsia"/>
                <w:color w:val="000000"/>
                <w:sz w:val="18"/>
                <w:szCs w:val="18"/>
              </w:rPr>
            </w:pPr>
            <w:r w:rsidRPr="00F84867">
              <w:rPr>
                <w:rFonts w:ascii="宋体" w:eastAsia="宋体" w:hAnsi="宋体" w:hint="eastAsia"/>
                <w:color w:val="000000"/>
                <w:sz w:val="18"/>
                <w:szCs w:val="18"/>
              </w:rPr>
              <w:t>越南盾</w:t>
            </w:r>
          </w:p>
        </w:tc>
        <w:tc>
          <w:tcPr>
            <w:tcW w:w="2537" w:type="dxa"/>
            <w:shd w:val="clear" w:color="auto" w:fill="FFFFFF" w:themeFill="background1"/>
            <w:tcMar>
              <w:top w:w="15" w:type="dxa"/>
              <w:left w:w="15" w:type="dxa"/>
              <w:bottom w:w="0" w:type="dxa"/>
              <w:right w:w="15" w:type="dxa"/>
            </w:tcMar>
            <w:vAlign w:val="center"/>
            <w:hideMark/>
          </w:tcPr>
          <w:p w14:paraId="7D1A5CF1"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509,087,574.00</w:t>
            </w:r>
          </w:p>
        </w:tc>
        <w:tc>
          <w:tcPr>
            <w:tcW w:w="2537" w:type="dxa"/>
            <w:shd w:val="clear" w:color="auto" w:fill="FFFFFF" w:themeFill="background1"/>
            <w:tcMar>
              <w:top w:w="15" w:type="dxa"/>
              <w:left w:w="15" w:type="dxa"/>
              <w:bottom w:w="0" w:type="dxa"/>
              <w:right w:w="15" w:type="dxa"/>
            </w:tcMar>
            <w:vAlign w:val="center"/>
            <w:hideMark/>
          </w:tcPr>
          <w:p w14:paraId="776C77D8"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0.000282064</w:t>
            </w:r>
          </w:p>
        </w:tc>
        <w:tc>
          <w:tcPr>
            <w:tcW w:w="1884" w:type="dxa"/>
            <w:shd w:val="clear" w:color="auto" w:fill="FFFFFF" w:themeFill="background1"/>
            <w:tcMar>
              <w:top w:w="15" w:type="dxa"/>
              <w:left w:w="15" w:type="dxa"/>
              <w:bottom w:w="0" w:type="dxa"/>
              <w:right w:w="15" w:type="dxa"/>
            </w:tcMar>
            <w:vAlign w:val="center"/>
            <w:hideMark/>
          </w:tcPr>
          <w:p w14:paraId="173E81B2"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143,595.26</w:t>
            </w:r>
          </w:p>
        </w:tc>
      </w:tr>
      <w:tr w:rsidR="00E72F0C" w:rsidRPr="00F84867" w14:paraId="10E4456B" w14:textId="77777777" w:rsidTr="00F05317">
        <w:trPr>
          <w:divId w:val="2033652695"/>
          <w:trHeight w:val="453"/>
        </w:trPr>
        <w:tc>
          <w:tcPr>
            <w:tcW w:w="2538" w:type="dxa"/>
            <w:shd w:val="clear" w:color="auto" w:fill="FFFFFF" w:themeFill="background1"/>
            <w:tcMar>
              <w:top w:w="15" w:type="dxa"/>
              <w:left w:w="15" w:type="dxa"/>
              <w:bottom w:w="0" w:type="dxa"/>
              <w:right w:w="15" w:type="dxa"/>
            </w:tcMar>
            <w:vAlign w:val="center"/>
            <w:hideMark/>
          </w:tcPr>
          <w:p w14:paraId="78C1B3C7" w14:textId="77777777" w:rsidR="00E72F0C" w:rsidRPr="00F84867" w:rsidRDefault="00107901">
            <w:pPr>
              <w:rPr>
                <w:rFonts w:ascii="宋体" w:eastAsia="宋体" w:hAnsi="宋体" w:cs="宋体" w:hint="eastAsia"/>
                <w:b/>
                <w:bCs/>
                <w:color w:val="000000"/>
                <w:sz w:val="18"/>
                <w:szCs w:val="18"/>
              </w:rPr>
            </w:pPr>
            <w:r w:rsidRPr="00F84867">
              <w:rPr>
                <w:rFonts w:ascii="宋体" w:eastAsia="宋体" w:hAnsi="宋体" w:hint="eastAsia"/>
                <w:b/>
                <w:bCs/>
                <w:color w:val="000000"/>
                <w:sz w:val="18"/>
                <w:szCs w:val="18"/>
              </w:rPr>
              <w:t>一年内到期的非流动负债</w:t>
            </w:r>
          </w:p>
        </w:tc>
        <w:tc>
          <w:tcPr>
            <w:tcW w:w="2537" w:type="dxa"/>
            <w:shd w:val="clear" w:color="auto" w:fill="FFFFFF" w:themeFill="background1"/>
            <w:tcMar>
              <w:top w:w="15" w:type="dxa"/>
              <w:left w:w="15" w:type="dxa"/>
              <w:bottom w:w="0" w:type="dxa"/>
              <w:right w:w="15" w:type="dxa"/>
            </w:tcMar>
            <w:vAlign w:val="center"/>
            <w:hideMark/>
          </w:tcPr>
          <w:p w14:paraId="3A1AC4F7" w14:textId="77777777" w:rsidR="00E72F0C" w:rsidRPr="00F84867" w:rsidRDefault="00107901">
            <w:pPr>
              <w:jc w:val="right"/>
              <w:rPr>
                <w:rFonts w:ascii="宋体" w:eastAsia="宋体" w:hAnsi="宋体" w:cs="Arial" w:hint="eastAsia"/>
                <w:b/>
                <w:bCs/>
                <w:color w:val="000000"/>
                <w:sz w:val="18"/>
                <w:szCs w:val="18"/>
              </w:rPr>
            </w:pPr>
            <w:r w:rsidRPr="00F84867">
              <w:rPr>
                <w:rFonts w:ascii="宋体" w:eastAsia="宋体" w:hAnsi="宋体" w:cs="Arial"/>
                <w:b/>
                <w:bCs/>
                <w:color w:val="000000"/>
                <w:sz w:val="18"/>
                <w:szCs w:val="18"/>
              </w:rPr>
              <w:t>6,051,532,068.00</w:t>
            </w:r>
          </w:p>
        </w:tc>
        <w:tc>
          <w:tcPr>
            <w:tcW w:w="2537" w:type="dxa"/>
            <w:shd w:val="clear" w:color="auto" w:fill="FFFFFF" w:themeFill="background1"/>
            <w:tcMar>
              <w:top w:w="15" w:type="dxa"/>
              <w:left w:w="15" w:type="dxa"/>
              <w:bottom w:w="0" w:type="dxa"/>
              <w:right w:w="15" w:type="dxa"/>
            </w:tcMar>
            <w:vAlign w:val="center"/>
            <w:hideMark/>
          </w:tcPr>
          <w:p w14:paraId="30031252"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 xml:space="preserve">　</w:t>
            </w:r>
          </w:p>
        </w:tc>
        <w:tc>
          <w:tcPr>
            <w:tcW w:w="1884" w:type="dxa"/>
            <w:shd w:val="clear" w:color="auto" w:fill="FFFFFF" w:themeFill="background1"/>
            <w:tcMar>
              <w:top w:w="15" w:type="dxa"/>
              <w:left w:w="15" w:type="dxa"/>
              <w:bottom w:w="0" w:type="dxa"/>
              <w:right w:w="15" w:type="dxa"/>
            </w:tcMar>
            <w:vAlign w:val="center"/>
            <w:hideMark/>
          </w:tcPr>
          <w:p w14:paraId="00E29E6C" w14:textId="77777777" w:rsidR="00E72F0C" w:rsidRPr="00F84867" w:rsidRDefault="00107901">
            <w:pPr>
              <w:jc w:val="right"/>
              <w:rPr>
                <w:rFonts w:ascii="宋体" w:eastAsia="宋体" w:hAnsi="宋体" w:cs="Arial" w:hint="eastAsia"/>
                <w:b/>
                <w:bCs/>
                <w:color w:val="000000"/>
                <w:sz w:val="18"/>
                <w:szCs w:val="18"/>
              </w:rPr>
            </w:pPr>
            <w:r w:rsidRPr="00F84867">
              <w:rPr>
                <w:rFonts w:ascii="宋体" w:eastAsia="宋体" w:hAnsi="宋体" w:cs="Arial"/>
                <w:b/>
                <w:bCs/>
                <w:color w:val="000000"/>
                <w:sz w:val="18"/>
                <w:szCs w:val="18"/>
              </w:rPr>
              <w:t>39,444,538.27</w:t>
            </w:r>
          </w:p>
        </w:tc>
      </w:tr>
      <w:tr w:rsidR="00E72F0C" w:rsidRPr="00F84867" w14:paraId="107CF4AD" w14:textId="77777777" w:rsidTr="00F05317">
        <w:trPr>
          <w:divId w:val="2033652695"/>
          <w:trHeight w:val="287"/>
        </w:trPr>
        <w:tc>
          <w:tcPr>
            <w:tcW w:w="2538" w:type="dxa"/>
            <w:shd w:val="clear" w:color="auto" w:fill="FFFFFF" w:themeFill="background1"/>
            <w:tcMar>
              <w:top w:w="15" w:type="dxa"/>
              <w:left w:w="15" w:type="dxa"/>
              <w:bottom w:w="0" w:type="dxa"/>
              <w:right w:w="15" w:type="dxa"/>
            </w:tcMar>
            <w:vAlign w:val="center"/>
            <w:hideMark/>
          </w:tcPr>
          <w:p w14:paraId="2047C57C" w14:textId="77777777" w:rsidR="00E72F0C" w:rsidRPr="00F84867" w:rsidRDefault="00107901">
            <w:pPr>
              <w:rPr>
                <w:rFonts w:ascii="宋体" w:eastAsia="宋体" w:hAnsi="宋体" w:cs="宋体" w:hint="eastAsia"/>
                <w:color w:val="000000"/>
                <w:sz w:val="18"/>
                <w:szCs w:val="18"/>
              </w:rPr>
            </w:pPr>
            <w:r w:rsidRPr="00F84867">
              <w:rPr>
                <w:rFonts w:ascii="宋体" w:eastAsia="宋体" w:hAnsi="宋体" w:hint="eastAsia"/>
                <w:color w:val="000000"/>
                <w:sz w:val="18"/>
                <w:szCs w:val="18"/>
              </w:rPr>
              <w:t>美元</w:t>
            </w:r>
          </w:p>
        </w:tc>
        <w:tc>
          <w:tcPr>
            <w:tcW w:w="2537" w:type="dxa"/>
            <w:shd w:val="clear" w:color="auto" w:fill="FFFFFF" w:themeFill="background1"/>
            <w:tcMar>
              <w:top w:w="15" w:type="dxa"/>
              <w:left w:w="15" w:type="dxa"/>
              <w:bottom w:w="0" w:type="dxa"/>
              <w:right w:w="15" w:type="dxa"/>
            </w:tcMar>
            <w:vAlign w:val="center"/>
            <w:hideMark/>
          </w:tcPr>
          <w:p w14:paraId="7C6FDA15"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5,250,000.00</w:t>
            </w:r>
          </w:p>
        </w:tc>
        <w:tc>
          <w:tcPr>
            <w:tcW w:w="2537" w:type="dxa"/>
            <w:shd w:val="clear" w:color="auto" w:fill="FFFFFF" w:themeFill="background1"/>
            <w:tcMar>
              <w:top w:w="15" w:type="dxa"/>
              <w:left w:w="15" w:type="dxa"/>
              <w:bottom w:w="0" w:type="dxa"/>
              <w:right w:w="15" w:type="dxa"/>
            </w:tcMar>
            <w:vAlign w:val="center"/>
            <w:hideMark/>
          </w:tcPr>
          <w:p w14:paraId="6A0E4A61"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7.1884</w:t>
            </w:r>
          </w:p>
        </w:tc>
        <w:tc>
          <w:tcPr>
            <w:tcW w:w="1884" w:type="dxa"/>
            <w:shd w:val="clear" w:color="auto" w:fill="FFFFFF" w:themeFill="background1"/>
            <w:tcMar>
              <w:top w:w="15" w:type="dxa"/>
              <w:left w:w="15" w:type="dxa"/>
              <w:bottom w:w="0" w:type="dxa"/>
              <w:right w:w="15" w:type="dxa"/>
            </w:tcMar>
            <w:vAlign w:val="center"/>
            <w:hideMark/>
          </w:tcPr>
          <w:p w14:paraId="41485F4D"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37,739,100.00</w:t>
            </w:r>
          </w:p>
        </w:tc>
      </w:tr>
      <w:tr w:rsidR="00E72F0C" w:rsidRPr="00F84867" w14:paraId="5DC79D21" w14:textId="77777777" w:rsidTr="00F05317">
        <w:trPr>
          <w:divId w:val="2033652695"/>
          <w:trHeight w:val="287"/>
        </w:trPr>
        <w:tc>
          <w:tcPr>
            <w:tcW w:w="2538" w:type="dxa"/>
            <w:shd w:val="clear" w:color="auto" w:fill="FFFFFF" w:themeFill="background1"/>
            <w:tcMar>
              <w:top w:w="15" w:type="dxa"/>
              <w:left w:w="15" w:type="dxa"/>
              <w:bottom w:w="0" w:type="dxa"/>
              <w:right w:w="15" w:type="dxa"/>
            </w:tcMar>
            <w:vAlign w:val="center"/>
            <w:hideMark/>
          </w:tcPr>
          <w:p w14:paraId="24C35350" w14:textId="77777777" w:rsidR="00E72F0C" w:rsidRPr="00F84867" w:rsidRDefault="00107901">
            <w:pPr>
              <w:rPr>
                <w:rFonts w:ascii="宋体" w:eastAsia="宋体" w:hAnsi="宋体" w:cs="宋体" w:hint="eastAsia"/>
                <w:color w:val="000000"/>
                <w:sz w:val="18"/>
                <w:szCs w:val="18"/>
              </w:rPr>
            </w:pPr>
            <w:r w:rsidRPr="00F84867">
              <w:rPr>
                <w:rFonts w:ascii="宋体" w:eastAsia="宋体" w:hAnsi="宋体" w:hint="eastAsia"/>
                <w:color w:val="000000"/>
                <w:sz w:val="18"/>
                <w:szCs w:val="18"/>
              </w:rPr>
              <w:t>越南盾</w:t>
            </w:r>
          </w:p>
        </w:tc>
        <w:tc>
          <w:tcPr>
            <w:tcW w:w="2537" w:type="dxa"/>
            <w:shd w:val="clear" w:color="auto" w:fill="FFFFFF" w:themeFill="background1"/>
            <w:tcMar>
              <w:top w:w="15" w:type="dxa"/>
              <w:left w:w="15" w:type="dxa"/>
              <w:bottom w:w="0" w:type="dxa"/>
              <w:right w:w="15" w:type="dxa"/>
            </w:tcMar>
            <w:vAlign w:val="center"/>
            <w:hideMark/>
          </w:tcPr>
          <w:p w14:paraId="745FDBF5"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6,046,282,068.00</w:t>
            </w:r>
          </w:p>
        </w:tc>
        <w:tc>
          <w:tcPr>
            <w:tcW w:w="2537" w:type="dxa"/>
            <w:shd w:val="clear" w:color="auto" w:fill="FFFFFF" w:themeFill="background1"/>
            <w:tcMar>
              <w:top w:w="15" w:type="dxa"/>
              <w:left w:w="15" w:type="dxa"/>
              <w:bottom w:w="0" w:type="dxa"/>
              <w:right w:w="15" w:type="dxa"/>
            </w:tcMar>
            <w:vAlign w:val="center"/>
            <w:hideMark/>
          </w:tcPr>
          <w:p w14:paraId="1C86332D"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0.000282064</w:t>
            </w:r>
          </w:p>
        </w:tc>
        <w:tc>
          <w:tcPr>
            <w:tcW w:w="1884" w:type="dxa"/>
            <w:shd w:val="clear" w:color="auto" w:fill="FFFFFF" w:themeFill="background1"/>
            <w:tcMar>
              <w:top w:w="15" w:type="dxa"/>
              <w:left w:w="15" w:type="dxa"/>
              <w:bottom w:w="0" w:type="dxa"/>
              <w:right w:w="15" w:type="dxa"/>
            </w:tcMar>
            <w:vAlign w:val="center"/>
            <w:hideMark/>
          </w:tcPr>
          <w:p w14:paraId="636611D9"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1,705,438.27</w:t>
            </w:r>
          </w:p>
        </w:tc>
      </w:tr>
      <w:tr w:rsidR="00E72F0C" w:rsidRPr="00F84867" w14:paraId="39A57871" w14:textId="77777777" w:rsidTr="00F05317">
        <w:trPr>
          <w:divId w:val="2033652695"/>
          <w:trHeight w:val="287"/>
        </w:trPr>
        <w:tc>
          <w:tcPr>
            <w:tcW w:w="2538" w:type="dxa"/>
            <w:shd w:val="clear" w:color="auto" w:fill="FFFFFF" w:themeFill="background1"/>
            <w:tcMar>
              <w:top w:w="15" w:type="dxa"/>
              <w:left w:w="15" w:type="dxa"/>
              <w:bottom w:w="0" w:type="dxa"/>
              <w:right w:w="15" w:type="dxa"/>
            </w:tcMar>
            <w:vAlign w:val="center"/>
            <w:hideMark/>
          </w:tcPr>
          <w:p w14:paraId="4DE3D906" w14:textId="77777777" w:rsidR="00E72F0C" w:rsidRPr="00F84867" w:rsidRDefault="00107901">
            <w:pPr>
              <w:rPr>
                <w:rFonts w:ascii="宋体" w:eastAsia="宋体" w:hAnsi="宋体" w:cs="宋体" w:hint="eastAsia"/>
                <w:b/>
                <w:bCs/>
                <w:color w:val="000000"/>
                <w:sz w:val="18"/>
                <w:szCs w:val="18"/>
              </w:rPr>
            </w:pPr>
            <w:r w:rsidRPr="00F84867">
              <w:rPr>
                <w:rFonts w:ascii="宋体" w:eastAsia="宋体" w:hAnsi="宋体" w:hint="eastAsia"/>
                <w:b/>
                <w:bCs/>
                <w:color w:val="000000"/>
                <w:sz w:val="18"/>
                <w:szCs w:val="18"/>
              </w:rPr>
              <w:t>应付利息</w:t>
            </w:r>
          </w:p>
        </w:tc>
        <w:tc>
          <w:tcPr>
            <w:tcW w:w="2537" w:type="dxa"/>
            <w:shd w:val="clear" w:color="auto" w:fill="FFFFFF" w:themeFill="background1"/>
            <w:tcMar>
              <w:top w:w="15" w:type="dxa"/>
              <w:left w:w="15" w:type="dxa"/>
              <w:bottom w:w="0" w:type="dxa"/>
              <w:right w:w="15" w:type="dxa"/>
            </w:tcMar>
            <w:vAlign w:val="center"/>
            <w:hideMark/>
          </w:tcPr>
          <w:p w14:paraId="39099372" w14:textId="77777777" w:rsidR="00E72F0C" w:rsidRPr="00F84867" w:rsidRDefault="00107901">
            <w:pPr>
              <w:jc w:val="right"/>
              <w:rPr>
                <w:rFonts w:ascii="宋体" w:eastAsia="宋体" w:hAnsi="宋体" w:cs="Arial" w:hint="eastAsia"/>
                <w:b/>
                <w:bCs/>
                <w:color w:val="000000"/>
                <w:sz w:val="18"/>
                <w:szCs w:val="18"/>
              </w:rPr>
            </w:pPr>
            <w:r w:rsidRPr="00F84867">
              <w:rPr>
                <w:rFonts w:ascii="宋体" w:eastAsia="宋体" w:hAnsi="宋体" w:cs="Arial"/>
                <w:b/>
                <w:bCs/>
                <w:color w:val="000000"/>
                <w:sz w:val="18"/>
                <w:szCs w:val="18"/>
              </w:rPr>
              <w:t>831,383.07</w:t>
            </w:r>
          </w:p>
        </w:tc>
        <w:tc>
          <w:tcPr>
            <w:tcW w:w="2537" w:type="dxa"/>
            <w:shd w:val="clear" w:color="auto" w:fill="FFFFFF" w:themeFill="background1"/>
            <w:tcMar>
              <w:top w:w="15" w:type="dxa"/>
              <w:left w:w="15" w:type="dxa"/>
              <w:bottom w:w="0" w:type="dxa"/>
              <w:right w:w="15" w:type="dxa"/>
            </w:tcMar>
            <w:vAlign w:val="center"/>
            <w:hideMark/>
          </w:tcPr>
          <w:p w14:paraId="3F6A5534"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 xml:space="preserve">　</w:t>
            </w:r>
          </w:p>
        </w:tc>
        <w:tc>
          <w:tcPr>
            <w:tcW w:w="1884" w:type="dxa"/>
            <w:shd w:val="clear" w:color="auto" w:fill="FFFFFF" w:themeFill="background1"/>
            <w:tcMar>
              <w:top w:w="15" w:type="dxa"/>
              <w:left w:w="15" w:type="dxa"/>
              <w:bottom w:w="0" w:type="dxa"/>
              <w:right w:w="15" w:type="dxa"/>
            </w:tcMar>
            <w:vAlign w:val="center"/>
            <w:hideMark/>
          </w:tcPr>
          <w:p w14:paraId="6D538F18" w14:textId="77777777" w:rsidR="00E72F0C" w:rsidRPr="00F84867" w:rsidRDefault="00107901">
            <w:pPr>
              <w:jc w:val="right"/>
              <w:rPr>
                <w:rFonts w:ascii="宋体" w:eastAsia="宋体" w:hAnsi="宋体" w:cs="Arial" w:hint="eastAsia"/>
                <w:b/>
                <w:bCs/>
                <w:color w:val="000000"/>
                <w:sz w:val="18"/>
                <w:szCs w:val="18"/>
              </w:rPr>
            </w:pPr>
            <w:r w:rsidRPr="00F84867">
              <w:rPr>
                <w:rFonts w:ascii="宋体" w:eastAsia="宋体" w:hAnsi="宋体" w:cs="Arial"/>
                <w:b/>
                <w:bCs/>
                <w:color w:val="000000"/>
                <w:sz w:val="18"/>
                <w:szCs w:val="18"/>
              </w:rPr>
              <w:t>5,976,314.08</w:t>
            </w:r>
          </w:p>
        </w:tc>
      </w:tr>
      <w:tr w:rsidR="00E72F0C" w:rsidRPr="00F84867" w14:paraId="538CB22F" w14:textId="77777777" w:rsidTr="00F05317">
        <w:trPr>
          <w:divId w:val="2033652695"/>
          <w:trHeight w:val="287"/>
        </w:trPr>
        <w:tc>
          <w:tcPr>
            <w:tcW w:w="2538" w:type="dxa"/>
            <w:shd w:val="clear" w:color="auto" w:fill="FFFFFF" w:themeFill="background1"/>
            <w:tcMar>
              <w:top w:w="15" w:type="dxa"/>
              <w:left w:w="15" w:type="dxa"/>
              <w:bottom w:w="0" w:type="dxa"/>
              <w:right w:w="15" w:type="dxa"/>
            </w:tcMar>
            <w:vAlign w:val="center"/>
            <w:hideMark/>
          </w:tcPr>
          <w:p w14:paraId="1C0A501C" w14:textId="77777777" w:rsidR="00E72F0C" w:rsidRPr="00F84867" w:rsidRDefault="00107901">
            <w:pPr>
              <w:rPr>
                <w:rFonts w:ascii="宋体" w:eastAsia="宋体" w:hAnsi="宋体" w:cs="宋体" w:hint="eastAsia"/>
                <w:color w:val="000000"/>
                <w:sz w:val="18"/>
                <w:szCs w:val="18"/>
              </w:rPr>
            </w:pPr>
            <w:r w:rsidRPr="00F84867">
              <w:rPr>
                <w:rFonts w:ascii="宋体" w:eastAsia="宋体" w:hAnsi="宋体" w:hint="eastAsia"/>
                <w:color w:val="000000"/>
                <w:sz w:val="18"/>
                <w:szCs w:val="18"/>
              </w:rPr>
              <w:t>美元</w:t>
            </w:r>
          </w:p>
        </w:tc>
        <w:tc>
          <w:tcPr>
            <w:tcW w:w="2537" w:type="dxa"/>
            <w:shd w:val="clear" w:color="auto" w:fill="FFFFFF" w:themeFill="background1"/>
            <w:tcMar>
              <w:top w:w="15" w:type="dxa"/>
              <w:left w:w="15" w:type="dxa"/>
              <w:bottom w:w="0" w:type="dxa"/>
              <w:right w:w="15" w:type="dxa"/>
            </w:tcMar>
            <w:vAlign w:val="center"/>
            <w:hideMark/>
          </w:tcPr>
          <w:p w14:paraId="52AFF978"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831,383.07</w:t>
            </w:r>
          </w:p>
        </w:tc>
        <w:tc>
          <w:tcPr>
            <w:tcW w:w="2537" w:type="dxa"/>
            <w:shd w:val="clear" w:color="auto" w:fill="FFFFFF" w:themeFill="background1"/>
            <w:tcMar>
              <w:top w:w="15" w:type="dxa"/>
              <w:left w:w="15" w:type="dxa"/>
              <w:bottom w:w="0" w:type="dxa"/>
              <w:right w:w="15" w:type="dxa"/>
            </w:tcMar>
            <w:vAlign w:val="center"/>
            <w:hideMark/>
          </w:tcPr>
          <w:p w14:paraId="44024C62"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7.1884</w:t>
            </w:r>
          </w:p>
        </w:tc>
        <w:tc>
          <w:tcPr>
            <w:tcW w:w="1884" w:type="dxa"/>
            <w:shd w:val="clear" w:color="auto" w:fill="FFFFFF" w:themeFill="background1"/>
            <w:tcMar>
              <w:top w:w="15" w:type="dxa"/>
              <w:left w:w="15" w:type="dxa"/>
              <w:bottom w:w="0" w:type="dxa"/>
              <w:right w:w="15" w:type="dxa"/>
            </w:tcMar>
            <w:vAlign w:val="center"/>
            <w:hideMark/>
          </w:tcPr>
          <w:p w14:paraId="273912A3"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5,976,314.08</w:t>
            </w:r>
          </w:p>
        </w:tc>
      </w:tr>
      <w:tr w:rsidR="00E72F0C" w:rsidRPr="00F84867" w14:paraId="41301983" w14:textId="77777777" w:rsidTr="00F05317">
        <w:trPr>
          <w:divId w:val="2033652695"/>
          <w:trHeight w:val="287"/>
        </w:trPr>
        <w:tc>
          <w:tcPr>
            <w:tcW w:w="2538" w:type="dxa"/>
            <w:shd w:val="clear" w:color="auto" w:fill="FFFFFF" w:themeFill="background1"/>
            <w:tcMar>
              <w:top w:w="15" w:type="dxa"/>
              <w:left w:w="15" w:type="dxa"/>
              <w:bottom w:w="0" w:type="dxa"/>
              <w:right w:w="15" w:type="dxa"/>
            </w:tcMar>
            <w:vAlign w:val="center"/>
            <w:hideMark/>
          </w:tcPr>
          <w:p w14:paraId="579C8D0A" w14:textId="77777777" w:rsidR="00E72F0C" w:rsidRPr="00F84867" w:rsidRDefault="00107901">
            <w:pPr>
              <w:rPr>
                <w:rFonts w:ascii="宋体" w:eastAsia="宋体" w:hAnsi="宋体" w:cs="宋体" w:hint="eastAsia"/>
                <w:b/>
                <w:bCs/>
                <w:color w:val="000000"/>
                <w:sz w:val="18"/>
                <w:szCs w:val="18"/>
              </w:rPr>
            </w:pPr>
            <w:r w:rsidRPr="00F84867">
              <w:rPr>
                <w:rFonts w:ascii="宋体" w:eastAsia="宋体" w:hAnsi="宋体" w:hint="eastAsia"/>
                <w:b/>
                <w:bCs/>
                <w:color w:val="000000"/>
                <w:sz w:val="18"/>
                <w:szCs w:val="18"/>
              </w:rPr>
              <w:t>应付账款</w:t>
            </w:r>
          </w:p>
        </w:tc>
        <w:tc>
          <w:tcPr>
            <w:tcW w:w="2537" w:type="dxa"/>
            <w:shd w:val="clear" w:color="auto" w:fill="FFFFFF" w:themeFill="background1"/>
            <w:tcMar>
              <w:top w:w="15" w:type="dxa"/>
              <w:left w:w="15" w:type="dxa"/>
              <w:bottom w:w="0" w:type="dxa"/>
              <w:right w:w="15" w:type="dxa"/>
            </w:tcMar>
            <w:vAlign w:val="center"/>
            <w:hideMark/>
          </w:tcPr>
          <w:p w14:paraId="2BDB9BEA" w14:textId="77777777" w:rsidR="00E72F0C" w:rsidRPr="00F84867" w:rsidRDefault="00107901">
            <w:pPr>
              <w:jc w:val="right"/>
              <w:rPr>
                <w:rFonts w:ascii="宋体" w:eastAsia="宋体" w:hAnsi="宋体" w:cs="Arial" w:hint="eastAsia"/>
                <w:b/>
                <w:bCs/>
                <w:color w:val="000000"/>
                <w:sz w:val="18"/>
                <w:szCs w:val="18"/>
              </w:rPr>
            </w:pPr>
            <w:r w:rsidRPr="00F84867">
              <w:rPr>
                <w:rFonts w:ascii="宋体" w:eastAsia="宋体" w:hAnsi="宋体" w:cs="Arial"/>
                <w:b/>
                <w:bCs/>
                <w:color w:val="000000"/>
                <w:sz w:val="18"/>
                <w:szCs w:val="18"/>
              </w:rPr>
              <w:t>1,194,504,565.38</w:t>
            </w:r>
          </w:p>
        </w:tc>
        <w:tc>
          <w:tcPr>
            <w:tcW w:w="2537" w:type="dxa"/>
            <w:shd w:val="clear" w:color="auto" w:fill="FFFFFF" w:themeFill="background1"/>
            <w:tcMar>
              <w:top w:w="15" w:type="dxa"/>
              <w:left w:w="15" w:type="dxa"/>
              <w:bottom w:w="0" w:type="dxa"/>
              <w:right w:w="15" w:type="dxa"/>
            </w:tcMar>
            <w:vAlign w:val="center"/>
            <w:hideMark/>
          </w:tcPr>
          <w:p w14:paraId="22F92D56"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 xml:space="preserve">　</w:t>
            </w:r>
          </w:p>
        </w:tc>
        <w:tc>
          <w:tcPr>
            <w:tcW w:w="1884" w:type="dxa"/>
            <w:shd w:val="clear" w:color="auto" w:fill="FFFFFF" w:themeFill="background1"/>
            <w:tcMar>
              <w:top w:w="15" w:type="dxa"/>
              <w:left w:w="15" w:type="dxa"/>
              <w:bottom w:w="0" w:type="dxa"/>
              <w:right w:w="15" w:type="dxa"/>
            </w:tcMar>
            <w:vAlign w:val="center"/>
            <w:hideMark/>
          </w:tcPr>
          <w:p w14:paraId="4C4D011A" w14:textId="77777777" w:rsidR="00E72F0C" w:rsidRPr="00F84867" w:rsidRDefault="00107901">
            <w:pPr>
              <w:jc w:val="right"/>
              <w:rPr>
                <w:rFonts w:ascii="宋体" w:eastAsia="宋体" w:hAnsi="宋体" w:cs="Arial" w:hint="eastAsia"/>
                <w:b/>
                <w:bCs/>
                <w:color w:val="000000"/>
                <w:sz w:val="18"/>
                <w:szCs w:val="18"/>
              </w:rPr>
            </w:pPr>
            <w:r w:rsidRPr="00F84867">
              <w:rPr>
                <w:rFonts w:ascii="宋体" w:eastAsia="宋体" w:hAnsi="宋体" w:cs="Arial"/>
                <w:b/>
                <w:bCs/>
                <w:color w:val="000000"/>
                <w:sz w:val="18"/>
                <w:szCs w:val="18"/>
              </w:rPr>
              <w:t>68,945,727.94</w:t>
            </w:r>
          </w:p>
        </w:tc>
      </w:tr>
      <w:tr w:rsidR="00E72F0C" w:rsidRPr="00F84867" w14:paraId="57821532" w14:textId="77777777" w:rsidTr="00F05317">
        <w:trPr>
          <w:divId w:val="2033652695"/>
          <w:trHeight w:val="287"/>
        </w:trPr>
        <w:tc>
          <w:tcPr>
            <w:tcW w:w="2538" w:type="dxa"/>
            <w:shd w:val="clear" w:color="auto" w:fill="FFFFFF" w:themeFill="background1"/>
            <w:tcMar>
              <w:top w:w="15" w:type="dxa"/>
              <w:left w:w="15" w:type="dxa"/>
              <w:bottom w:w="0" w:type="dxa"/>
              <w:right w:w="15" w:type="dxa"/>
            </w:tcMar>
            <w:vAlign w:val="center"/>
            <w:hideMark/>
          </w:tcPr>
          <w:p w14:paraId="6D4F92F9" w14:textId="77777777" w:rsidR="00E72F0C" w:rsidRPr="00F84867" w:rsidRDefault="00107901">
            <w:pPr>
              <w:rPr>
                <w:rFonts w:ascii="宋体" w:eastAsia="宋体" w:hAnsi="宋体" w:cs="宋体" w:hint="eastAsia"/>
                <w:color w:val="000000"/>
                <w:sz w:val="18"/>
                <w:szCs w:val="18"/>
              </w:rPr>
            </w:pPr>
            <w:r w:rsidRPr="00F84867">
              <w:rPr>
                <w:rFonts w:ascii="宋体" w:eastAsia="宋体" w:hAnsi="宋体" w:hint="eastAsia"/>
                <w:color w:val="000000"/>
                <w:sz w:val="18"/>
                <w:szCs w:val="18"/>
              </w:rPr>
              <w:t>美元</w:t>
            </w:r>
          </w:p>
        </w:tc>
        <w:tc>
          <w:tcPr>
            <w:tcW w:w="2537" w:type="dxa"/>
            <w:shd w:val="clear" w:color="auto" w:fill="FFFFFF" w:themeFill="background1"/>
            <w:tcMar>
              <w:top w:w="15" w:type="dxa"/>
              <w:left w:w="15" w:type="dxa"/>
              <w:bottom w:w="0" w:type="dxa"/>
              <w:right w:w="15" w:type="dxa"/>
            </w:tcMar>
            <w:vAlign w:val="center"/>
            <w:hideMark/>
          </w:tcPr>
          <w:p w14:paraId="20C6593D"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1,657,774.57</w:t>
            </w:r>
          </w:p>
        </w:tc>
        <w:tc>
          <w:tcPr>
            <w:tcW w:w="2537" w:type="dxa"/>
            <w:shd w:val="clear" w:color="auto" w:fill="FFFFFF" w:themeFill="background1"/>
            <w:tcMar>
              <w:top w:w="15" w:type="dxa"/>
              <w:left w:w="15" w:type="dxa"/>
              <w:bottom w:w="0" w:type="dxa"/>
              <w:right w:w="15" w:type="dxa"/>
            </w:tcMar>
            <w:vAlign w:val="center"/>
            <w:hideMark/>
          </w:tcPr>
          <w:p w14:paraId="745A3985"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7.1884</w:t>
            </w:r>
          </w:p>
        </w:tc>
        <w:tc>
          <w:tcPr>
            <w:tcW w:w="1884" w:type="dxa"/>
            <w:shd w:val="clear" w:color="auto" w:fill="FFFFFF" w:themeFill="background1"/>
            <w:tcMar>
              <w:top w:w="15" w:type="dxa"/>
              <w:left w:w="15" w:type="dxa"/>
              <w:bottom w:w="0" w:type="dxa"/>
              <w:right w:w="15" w:type="dxa"/>
            </w:tcMar>
            <w:vAlign w:val="center"/>
            <w:hideMark/>
          </w:tcPr>
          <w:p w14:paraId="445DA4A5"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11,916,746.67</w:t>
            </w:r>
          </w:p>
        </w:tc>
      </w:tr>
      <w:tr w:rsidR="00E72F0C" w:rsidRPr="00F84867" w14:paraId="24F0D85E" w14:textId="77777777" w:rsidTr="00F05317">
        <w:trPr>
          <w:divId w:val="2033652695"/>
          <w:trHeight w:val="287"/>
        </w:trPr>
        <w:tc>
          <w:tcPr>
            <w:tcW w:w="2538" w:type="dxa"/>
            <w:shd w:val="clear" w:color="auto" w:fill="FFFFFF" w:themeFill="background1"/>
            <w:tcMar>
              <w:top w:w="15" w:type="dxa"/>
              <w:left w:w="15" w:type="dxa"/>
              <w:bottom w:w="0" w:type="dxa"/>
              <w:right w:w="15" w:type="dxa"/>
            </w:tcMar>
            <w:vAlign w:val="center"/>
            <w:hideMark/>
          </w:tcPr>
          <w:p w14:paraId="34741567" w14:textId="77777777" w:rsidR="00E72F0C" w:rsidRPr="00F84867" w:rsidRDefault="00107901">
            <w:pPr>
              <w:rPr>
                <w:rFonts w:ascii="宋体" w:eastAsia="宋体" w:hAnsi="宋体" w:cs="宋体" w:hint="eastAsia"/>
                <w:color w:val="000000"/>
                <w:sz w:val="18"/>
                <w:szCs w:val="18"/>
              </w:rPr>
            </w:pPr>
            <w:r w:rsidRPr="00F84867">
              <w:rPr>
                <w:rFonts w:ascii="宋体" w:eastAsia="宋体" w:hAnsi="宋体" w:hint="eastAsia"/>
                <w:color w:val="000000"/>
                <w:sz w:val="18"/>
                <w:szCs w:val="18"/>
              </w:rPr>
              <w:t>欧元</w:t>
            </w:r>
          </w:p>
        </w:tc>
        <w:tc>
          <w:tcPr>
            <w:tcW w:w="2537" w:type="dxa"/>
            <w:shd w:val="clear" w:color="auto" w:fill="FFFFFF" w:themeFill="background1"/>
            <w:tcMar>
              <w:top w:w="15" w:type="dxa"/>
              <w:left w:w="15" w:type="dxa"/>
              <w:bottom w:w="0" w:type="dxa"/>
              <w:right w:w="15" w:type="dxa"/>
            </w:tcMar>
            <w:vAlign w:val="center"/>
            <w:hideMark/>
          </w:tcPr>
          <w:p w14:paraId="6465DC05"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31,436.93</w:t>
            </w:r>
          </w:p>
        </w:tc>
        <w:tc>
          <w:tcPr>
            <w:tcW w:w="2537" w:type="dxa"/>
            <w:shd w:val="clear" w:color="auto" w:fill="FFFFFF" w:themeFill="background1"/>
            <w:tcMar>
              <w:top w:w="15" w:type="dxa"/>
              <w:left w:w="15" w:type="dxa"/>
              <w:bottom w:w="0" w:type="dxa"/>
              <w:right w:w="15" w:type="dxa"/>
            </w:tcMar>
            <w:vAlign w:val="center"/>
            <w:hideMark/>
          </w:tcPr>
          <w:p w14:paraId="32B69039"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7.5257</w:t>
            </w:r>
          </w:p>
        </w:tc>
        <w:tc>
          <w:tcPr>
            <w:tcW w:w="1884" w:type="dxa"/>
            <w:shd w:val="clear" w:color="auto" w:fill="FFFFFF" w:themeFill="background1"/>
            <w:tcMar>
              <w:top w:w="15" w:type="dxa"/>
              <w:left w:w="15" w:type="dxa"/>
              <w:bottom w:w="0" w:type="dxa"/>
              <w:right w:w="15" w:type="dxa"/>
            </w:tcMar>
            <w:vAlign w:val="center"/>
            <w:hideMark/>
          </w:tcPr>
          <w:p w14:paraId="20C79D78"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236,584.91</w:t>
            </w:r>
          </w:p>
        </w:tc>
      </w:tr>
      <w:tr w:rsidR="00E72F0C" w:rsidRPr="00F84867" w14:paraId="69CA3A58" w14:textId="77777777" w:rsidTr="00F05317">
        <w:trPr>
          <w:divId w:val="2033652695"/>
          <w:trHeight w:val="287"/>
        </w:trPr>
        <w:tc>
          <w:tcPr>
            <w:tcW w:w="2538" w:type="dxa"/>
            <w:shd w:val="clear" w:color="auto" w:fill="FFFFFF" w:themeFill="background1"/>
            <w:tcMar>
              <w:top w:w="15" w:type="dxa"/>
              <w:left w:w="15" w:type="dxa"/>
              <w:bottom w:w="0" w:type="dxa"/>
              <w:right w:w="15" w:type="dxa"/>
            </w:tcMar>
            <w:vAlign w:val="center"/>
            <w:hideMark/>
          </w:tcPr>
          <w:p w14:paraId="46A94479" w14:textId="77777777" w:rsidR="00E72F0C" w:rsidRPr="00F84867" w:rsidRDefault="00107901">
            <w:pPr>
              <w:rPr>
                <w:rFonts w:ascii="宋体" w:eastAsia="宋体" w:hAnsi="宋体" w:cs="宋体" w:hint="eastAsia"/>
                <w:color w:val="000000"/>
                <w:sz w:val="18"/>
                <w:szCs w:val="18"/>
              </w:rPr>
            </w:pPr>
            <w:r w:rsidRPr="00F84867">
              <w:rPr>
                <w:rFonts w:ascii="宋体" w:eastAsia="宋体" w:hAnsi="宋体" w:hint="eastAsia"/>
                <w:color w:val="000000"/>
                <w:sz w:val="18"/>
                <w:szCs w:val="18"/>
              </w:rPr>
              <w:t>泰铢</w:t>
            </w:r>
          </w:p>
        </w:tc>
        <w:tc>
          <w:tcPr>
            <w:tcW w:w="2537" w:type="dxa"/>
            <w:shd w:val="clear" w:color="auto" w:fill="FFFFFF" w:themeFill="background1"/>
            <w:tcMar>
              <w:top w:w="15" w:type="dxa"/>
              <w:left w:w="15" w:type="dxa"/>
              <w:bottom w:w="0" w:type="dxa"/>
              <w:right w:w="15" w:type="dxa"/>
            </w:tcMar>
            <w:vAlign w:val="center"/>
            <w:hideMark/>
          </w:tcPr>
          <w:p w14:paraId="66B4A3E1"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265,902,858.88</w:t>
            </w:r>
          </w:p>
        </w:tc>
        <w:tc>
          <w:tcPr>
            <w:tcW w:w="2537" w:type="dxa"/>
            <w:shd w:val="clear" w:color="auto" w:fill="FFFFFF" w:themeFill="background1"/>
            <w:tcMar>
              <w:top w:w="15" w:type="dxa"/>
              <w:left w:w="15" w:type="dxa"/>
              <w:bottom w:w="0" w:type="dxa"/>
              <w:right w:w="15" w:type="dxa"/>
            </w:tcMar>
            <w:vAlign w:val="center"/>
            <w:hideMark/>
          </w:tcPr>
          <w:p w14:paraId="3AFFEB58"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0.2126</w:t>
            </w:r>
          </w:p>
        </w:tc>
        <w:tc>
          <w:tcPr>
            <w:tcW w:w="1884" w:type="dxa"/>
            <w:shd w:val="clear" w:color="auto" w:fill="FFFFFF" w:themeFill="background1"/>
            <w:tcMar>
              <w:top w:w="15" w:type="dxa"/>
              <w:left w:w="15" w:type="dxa"/>
              <w:bottom w:w="0" w:type="dxa"/>
              <w:right w:w="15" w:type="dxa"/>
            </w:tcMar>
            <w:vAlign w:val="center"/>
            <w:hideMark/>
          </w:tcPr>
          <w:p w14:paraId="06F46B6F"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56,530,947.78</w:t>
            </w:r>
          </w:p>
        </w:tc>
      </w:tr>
      <w:tr w:rsidR="00E72F0C" w:rsidRPr="00F84867" w14:paraId="2A4079AF" w14:textId="77777777" w:rsidTr="00F05317">
        <w:trPr>
          <w:divId w:val="2033652695"/>
          <w:trHeight w:val="287"/>
        </w:trPr>
        <w:tc>
          <w:tcPr>
            <w:tcW w:w="2538" w:type="dxa"/>
            <w:shd w:val="clear" w:color="auto" w:fill="FFFFFF" w:themeFill="background1"/>
            <w:tcMar>
              <w:top w:w="15" w:type="dxa"/>
              <w:left w:w="15" w:type="dxa"/>
              <w:bottom w:w="0" w:type="dxa"/>
              <w:right w:w="15" w:type="dxa"/>
            </w:tcMar>
            <w:vAlign w:val="center"/>
            <w:hideMark/>
          </w:tcPr>
          <w:p w14:paraId="0E2D2494" w14:textId="77777777" w:rsidR="00E72F0C" w:rsidRPr="00F84867" w:rsidRDefault="00107901">
            <w:pPr>
              <w:rPr>
                <w:rFonts w:ascii="宋体" w:eastAsia="宋体" w:hAnsi="宋体" w:cs="宋体" w:hint="eastAsia"/>
                <w:color w:val="000000"/>
                <w:sz w:val="18"/>
                <w:szCs w:val="18"/>
              </w:rPr>
            </w:pPr>
            <w:r w:rsidRPr="00F84867">
              <w:rPr>
                <w:rFonts w:ascii="宋体" w:eastAsia="宋体" w:hAnsi="宋体" w:hint="eastAsia"/>
                <w:color w:val="000000"/>
                <w:sz w:val="18"/>
                <w:szCs w:val="18"/>
              </w:rPr>
              <w:t>越南盾</w:t>
            </w:r>
          </w:p>
        </w:tc>
        <w:tc>
          <w:tcPr>
            <w:tcW w:w="2537" w:type="dxa"/>
            <w:shd w:val="clear" w:color="auto" w:fill="FFFFFF" w:themeFill="background1"/>
            <w:tcMar>
              <w:top w:w="15" w:type="dxa"/>
              <w:left w:w="15" w:type="dxa"/>
              <w:bottom w:w="0" w:type="dxa"/>
              <w:right w:w="15" w:type="dxa"/>
            </w:tcMar>
            <w:vAlign w:val="center"/>
            <w:hideMark/>
          </w:tcPr>
          <w:p w14:paraId="74E0F6BD"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926,912,495.00</w:t>
            </w:r>
          </w:p>
        </w:tc>
        <w:tc>
          <w:tcPr>
            <w:tcW w:w="2537" w:type="dxa"/>
            <w:shd w:val="clear" w:color="auto" w:fill="FFFFFF" w:themeFill="background1"/>
            <w:tcMar>
              <w:top w:w="15" w:type="dxa"/>
              <w:left w:w="15" w:type="dxa"/>
              <w:bottom w:w="0" w:type="dxa"/>
              <w:right w:w="15" w:type="dxa"/>
            </w:tcMar>
            <w:vAlign w:val="center"/>
            <w:hideMark/>
          </w:tcPr>
          <w:p w14:paraId="75669A9B"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0.000282064</w:t>
            </w:r>
          </w:p>
        </w:tc>
        <w:tc>
          <w:tcPr>
            <w:tcW w:w="1884" w:type="dxa"/>
            <w:shd w:val="clear" w:color="auto" w:fill="FFFFFF" w:themeFill="background1"/>
            <w:tcMar>
              <w:top w:w="15" w:type="dxa"/>
              <w:left w:w="15" w:type="dxa"/>
              <w:bottom w:w="0" w:type="dxa"/>
              <w:right w:w="15" w:type="dxa"/>
            </w:tcMar>
            <w:vAlign w:val="center"/>
            <w:hideMark/>
          </w:tcPr>
          <w:p w14:paraId="7C462683"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261,448.58</w:t>
            </w:r>
          </w:p>
        </w:tc>
      </w:tr>
      <w:tr w:rsidR="00E72F0C" w:rsidRPr="00F84867" w14:paraId="2F71DEF5" w14:textId="77777777" w:rsidTr="00F05317">
        <w:trPr>
          <w:divId w:val="2033652695"/>
          <w:trHeight w:val="287"/>
        </w:trPr>
        <w:tc>
          <w:tcPr>
            <w:tcW w:w="2538" w:type="dxa"/>
            <w:shd w:val="clear" w:color="auto" w:fill="FFFFFF" w:themeFill="background1"/>
            <w:tcMar>
              <w:top w:w="15" w:type="dxa"/>
              <w:left w:w="15" w:type="dxa"/>
              <w:bottom w:w="0" w:type="dxa"/>
              <w:right w:w="15" w:type="dxa"/>
            </w:tcMar>
            <w:vAlign w:val="center"/>
            <w:hideMark/>
          </w:tcPr>
          <w:p w14:paraId="0688FF6D" w14:textId="77777777" w:rsidR="00E72F0C" w:rsidRPr="00F84867" w:rsidRDefault="00107901">
            <w:pPr>
              <w:rPr>
                <w:rFonts w:ascii="宋体" w:eastAsia="宋体" w:hAnsi="宋体" w:cs="宋体" w:hint="eastAsia"/>
                <w:b/>
                <w:bCs/>
                <w:color w:val="000000"/>
                <w:sz w:val="18"/>
                <w:szCs w:val="18"/>
              </w:rPr>
            </w:pPr>
            <w:r w:rsidRPr="00F84867">
              <w:rPr>
                <w:rFonts w:ascii="宋体" w:eastAsia="宋体" w:hAnsi="宋体" w:hint="eastAsia"/>
                <w:b/>
                <w:bCs/>
                <w:color w:val="000000"/>
                <w:sz w:val="18"/>
                <w:szCs w:val="18"/>
              </w:rPr>
              <w:t>应交税费</w:t>
            </w:r>
          </w:p>
        </w:tc>
        <w:tc>
          <w:tcPr>
            <w:tcW w:w="2537" w:type="dxa"/>
            <w:shd w:val="clear" w:color="auto" w:fill="FFFFFF" w:themeFill="background1"/>
            <w:tcMar>
              <w:top w:w="15" w:type="dxa"/>
              <w:left w:w="15" w:type="dxa"/>
              <w:bottom w:w="0" w:type="dxa"/>
              <w:right w:w="15" w:type="dxa"/>
            </w:tcMar>
            <w:vAlign w:val="center"/>
            <w:hideMark/>
          </w:tcPr>
          <w:p w14:paraId="50BBABB3" w14:textId="77777777" w:rsidR="00E72F0C" w:rsidRPr="00F84867" w:rsidRDefault="00107901">
            <w:pPr>
              <w:jc w:val="right"/>
              <w:rPr>
                <w:rFonts w:ascii="宋体" w:eastAsia="宋体" w:hAnsi="宋体" w:cs="Arial" w:hint="eastAsia"/>
                <w:b/>
                <w:bCs/>
                <w:color w:val="000000"/>
                <w:sz w:val="18"/>
                <w:szCs w:val="18"/>
              </w:rPr>
            </w:pPr>
            <w:r w:rsidRPr="00F84867">
              <w:rPr>
                <w:rFonts w:ascii="宋体" w:eastAsia="宋体" w:hAnsi="宋体" w:cs="Arial"/>
                <w:b/>
                <w:bCs/>
                <w:color w:val="000000"/>
                <w:sz w:val="18"/>
                <w:szCs w:val="18"/>
              </w:rPr>
              <w:t>1,998,122.81</w:t>
            </w:r>
          </w:p>
        </w:tc>
        <w:tc>
          <w:tcPr>
            <w:tcW w:w="2537" w:type="dxa"/>
            <w:shd w:val="clear" w:color="auto" w:fill="FFFFFF" w:themeFill="background1"/>
            <w:tcMar>
              <w:top w:w="15" w:type="dxa"/>
              <w:left w:w="15" w:type="dxa"/>
              <w:bottom w:w="0" w:type="dxa"/>
              <w:right w:w="15" w:type="dxa"/>
            </w:tcMar>
            <w:vAlign w:val="center"/>
            <w:hideMark/>
          </w:tcPr>
          <w:p w14:paraId="4AB6C738"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 xml:space="preserve">　</w:t>
            </w:r>
          </w:p>
        </w:tc>
        <w:tc>
          <w:tcPr>
            <w:tcW w:w="1884" w:type="dxa"/>
            <w:shd w:val="clear" w:color="auto" w:fill="FFFFFF" w:themeFill="background1"/>
            <w:tcMar>
              <w:top w:w="15" w:type="dxa"/>
              <w:left w:w="15" w:type="dxa"/>
              <w:bottom w:w="0" w:type="dxa"/>
              <w:right w:w="15" w:type="dxa"/>
            </w:tcMar>
            <w:vAlign w:val="center"/>
            <w:hideMark/>
          </w:tcPr>
          <w:p w14:paraId="61059D56" w14:textId="77777777" w:rsidR="00E72F0C" w:rsidRPr="00F84867" w:rsidRDefault="00107901">
            <w:pPr>
              <w:jc w:val="right"/>
              <w:rPr>
                <w:rFonts w:ascii="宋体" w:eastAsia="宋体" w:hAnsi="宋体" w:cs="Arial" w:hint="eastAsia"/>
                <w:b/>
                <w:bCs/>
                <w:color w:val="000000"/>
                <w:sz w:val="18"/>
                <w:szCs w:val="18"/>
              </w:rPr>
            </w:pPr>
            <w:r w:rsidRPr="00F84867">
              <w:rPr>
                <w:rFonts w:ascii="宋体" w:eastAsia="宋体" w:hAnsi="宋体" w:cs="Arial"/>
                <w:b/>
                <w:bCs/>
                <w:color w:val="000000"/>
                <w:sz w:val="18"/>
                <w:szCs w:val="18"/>
              </w:rPr>
              <w:t>816,899.53</w:t>
            </w:r>
          </w:p>
        </w:tc>
      </w:tr>
      <w:tr w:rsidR="00E72F0C" w:rsidRPr="00F84867" w14:paraId="330C8763" w14:textId="77777777" w:rsidTr="00F05317">
        <w:trPr>
          <w:divId w:val="2033652695"/>
          <w:trHeight w:val="287"/>
        </w:trPr>
        <w:tc>
          <w:tcPr>
            <w:tcW w:w="2538" w:type="dxa"/>
            <w:shd w:val="clear" w:color="auto" w:fill="FFFFFF" w:themeFill="background1"/>
            <w:tcMar>
              <w:top w:w="15" w:type="dxa"/>
              <w:left w:w="15" w:type="dxa"/>
              <w:bottom w:w="0" w:type="dxa"/>
              <w:right w:w="15" w:type="dxa"/>
            </w:tcMar>
            <w:vAlign w:val="center"/>
            <w:hideMark/>
          </w:tcPr>
          <w:p w14:paraId="3E833A5D" w14:textId="77777777" w:rsidR="00E72F0C" w:rsidRPr="00F84867" w:rsidRDefault="00107901">
            <w:pPr>
              <w:rPr>
                <w:rFonts w:ascii="宋体" w:eastAsia="宋体" w:hAnsi="宋体" w:cs="宋体" w:hint="eastAsia"/>
                <w:color w:val="000000"/>
                <w:sz w:val="18"/>
                <w:szCs w:val="18"/>
              </w:rPr>
            </w:pPr>
            <w:r w:rsidRPr="00F84867">
              <w:rPr>
                <w:rFonts w:ascii="宋体" w:eastAsia="宋体" w:hAnsi="宋体" w:hint="eastAsia"/>
                <w:color w:val="000000"/>
                <w:sz w:val="18"/>
                <w:szCs w:val="18"/>
              </w:rPr>
              <w:t>美元</w:t>
            </w:r>
          </w:p>
        </w:tc>
        <w:tc>
          <w:tcPr>
            <w:tcW w:w="2537" w:type="dxa"/>
            <w:shd w:val="clear" w:color="auto" w:fill="FFFFFF" w:themeFill="background1"/>
            <w:tcMar>
              <w:top w:w="15" w:type="dxa"/>
              <w:left w:w="15" w:type="dxa"/>
              <w:bottom w:w="0" w:type="dxa"/>
              <w:right w:w="15" w:type="dxa"/>
            </w:tcMar>
            <w:vAlign w:val="center"/>
            <w:hideMark/>
          </w:tcPr>
          <w:p w14:paraId="4B62E810"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56,208.41</w:t>
            </w:r>
          </w:p>
        </w:tc>
        <w:tc>
          <w:tcPr>
            <w:tcW w:w="2537" w:type="dxa"/>
            <w:shd w:val="clear" w:color="auto" w:fill="FFFFFF" w:themeFill="background1"/>
            <w:tcMar>
              <w:top w:w="15" w:type="dxa"/>
              <w:left w:w="15" w:type="dxa"/>
              <w:bottom w:w="0" w:type="dxa"/>
              <w:right w:w="15" w:type="dxa"/>
            </w:tcMar>
            <w:vAlign w:val="center"/>
            <w:hideMark/>
          </w:tcPr>
          <w:p w14:paraId="2C6D8555"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7.1884</w:t>
            </w:r>
          </w:p>
        </w:tc>
        <w:tc>
          <w:tcPr>
            <w:tcW w:w="1884" w:type="dxa"/>
            <w:shd w:val="clear" w:color="auto" w:fill="FFFFFF" w:themeFill="background1"/>
            <w:tcMar>
              <w:top w:w="15" w:type="dxa"/>
              <w:left w:w="15" w:type="dxa"/>
              <w:bottom w:w="0" w:type="dxa"/>
              <w:right w:w="15" w:type="dxa"/>
            </w:tcMar>
            <w:vAlign w:val="center"/>
            <w:hideMark/>
          </w:tcPr>
          <w:p w14:paraId="00A0C75A"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404,048.53</w:t>
            </w:r>
          </w:p>
        </w:tc>
      </w:tr>
      <w:tr w:rsidR="00E72F0C" w:rsidRPr="00F84867" w14:paraId="051775F4" w14:textId="77777777" w:rsidTr="00F05317">
        <w:trPr>
          <w:divId w:val="2033652695"/>
          <w:trHeight w:val="287"/>
        </w:trPr>
        <w:tc>
          <w:tcPr>
            <w:tcW w:w="2538" w:type="dxa"/>
            <w:shd w:val="clear" w:color="auto" w:fill="FFFFFF" w:themeFill="background1"/>
            <w:tcMar>
              <w:top w:w="15" w:type="dxa"/>
              <w:left w:w="15" w:type="dxa"/>
              <w:bottom w:w="0" w:type="dxa"/>
              <w:right w:w="15" w:type="dxa"/>
            </w:tcMar>
            <w:vAlign w:val="center"/>
            <w:hideMark/>
          </w:tcPr>
          <w:p w14:paraId="02B2A395" w14:textId="77777777" w:rsidR="00E72F0C" w:rsidRPr="00F84867" w:rsidRDefault="00107901">
            <w:pPr>
              <w:rPr>
                <w:rFonts w:ascii="宋体" w:eastAsia="宋体" w:hAnsi="宋体" w:cs="宋体" w:hint="eastAsia"/>
                <w:color w:val="000000"/>
                <w:sz w:val="18"/>
                <w:szCs w:val="18"/>
              </w:rPr>
            </w:pPr>
            <w:r w:rsidRPr="00F84867">
              <w:rPr>
                <w:rFonts w:ascii="宋体" w:eastAsia="宋体" w:hAnsi="宋体" w:hint="eastAsia"/>
                <w:color w:val="000000"/>
                <w:sz w:val="18"/>
                <w:szCs w:val="18"/>
              </w:rPr>
              <w:t>泰铢</w:t>
            </w:r>
          </w:p>
        </w:tc>
        <w:tc>
          <w:tcPr>
            <w:tcW w:w="2537" w:type="dxa"/>
            <w:shd w:val="clear" w:color="auto" w:fill="FFFFFF" w:themeFill="background1"/>
            <w:tcMar>
              <w:top w:w="15" w:type="dxa"/>
              <w:left w:w="15" w:type="dxa"/>
              <w:bottom w:w="0" w:type="dxa"/>
              <w:right w:w="15" w:type="dxa"/>
            </w:tcMar>
            <w:vAlign w:val="center"/>
            <w:hideMark/>
          </w:tcPr>
          <w:p w14:paraId="1A3A361A"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1,941,914.40</w:t>
            </w:r>
          </w:p>
        </w:tc>
        <w:tc>
          <w:tcPr>
            <w:tcW w:w="2537" w:type="dxa"/>
            <w:shd w:val="clear" w:color="auto" w:fill="FFFFFF" w:themeFill="background1"/>
            <w:tcMar>
              <w:top w:w="15" w:type="dxa"/>
              <w:left w:w="15" w:type="dxa"/>
              <w:bottom w:w="0" w:type="dxa"/>
              <w:right w:w="15" w:type="dxa"/>
            </w:tcMar>
            <w:vAlign w:val="center"/>
            <w:hideMark/>
          </w:tcPr>
          <w:p w14:paraId="463A50A9"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0.2126</w:t>
            </w:r>
          </w:p>
        </w:tc>
        <w:tc>
          <w:tcPr>
            <w:tcW w:w="1884" w:type="dxa"/>
            <w:shd w:val="clear" w:color="auto" w:fill="FFFFFF" w:themeFill="background1"/>
            <w:tcMar>
              <w:top w:w="15" w:type="dxa"/>
              <w:left w:w="15" w:type="dxa"/>
              <w:bottom w:w="0" w:type="dxa"/>
              <w:right w:w="15" w:type="dxa"/>
            </w:tcMar>
            <w:vAlign w:val="center"/>
            <w:hideMark/>
          </w:tcPr>
          <w:p w14:paraId="463547FC"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412,851.00</w:t>
            </w:r>
          </w:p>
        </w:tc>
      </w:tr>
      <w:tr w:rsidR="00E72F0C" w:rsidRPr="00F84867" w14:paraId="67D46E81" w14:textId="77777777" w:rsidTr="00F05317">
        <w:trPr>
          <w:divId w:val="2033652695"/>
          <w:trHeight w:val="287"/>
        </w:trPr>
        <w:tc>
          <w:tcPr>
            <w:tcW w:w="2538" w:type="dxa"/>
            <w:shd w:val="clear" w:color="auto" w:fill="FFFFFF" w:themeFill="background1"/>
            <w:tcMar>
              <w:top w:w="15" w:type="dxa"/>
              <w:left w:w="15" w:type="dxa"/>
              <w:bottom w:w="0" w:type="dxa"/>
              <w:right w:w="15" w:type="dxa"/>
            </w:tcMar>
            <w:vAlign w:val="center"/>
            <w:hideMark/>
          </w:tcPr>
          <w:p w14:paraId="7014B83A" w14:textId="77777777" w:rsidR="00E72F0C" w:rsidRPr="00F84867" w:rsidRDefault="00107901">
            <w:pPr>
              <w:rPr>
                <w:rFonts w:ascii="宋体" w:eastAsia="宋体" w:hAnsi="宋体" w:cs="宋体" w:hint="eastAsia"/>
                <w:b/>
                <w:bCs/>
                <w:color w:val="000000"/>
                <w:sz w:val="18"/>
                <w:szCs w:val="18"/>
              </w:rPr>
            </w:pPr>
            <w:r w:rsidRPr="00F84867">
              <w:rPr>
                <w:rFonts w:ascii="宋体" w:eastAsia="宋体" w:hAnsi="宋体" w:hint="eastAsia"/>
                <w:b/>
                <w:bCs/>
                <w:color w:val="000000"/>
                <w:sz w:val="18"/>
                <w:szCs w:val="18"/>
              </w:rPr>
              <w:t>应收账款</w:t>
            </w:r>
          </w:p>
        </w:tc>
        <w:tc>
          <w:tcPr>
            <w:tcW w:w="2537" w:type="dxa"/>
            <w:shd w:val="clear" w:color="auto" w:fill="FFFFFF" w:themeFill="background1"/>
            <w:tcMar>
              <w:top w:w="15" w:type="dxa"/>
              <w:left w:w="15" w:type="dxa"/>
              <w:bottom w:w="0" w:type="dxa"/>
              <w:right w:w="15" w:type="dxa"/>
            </w:tcMar>
            <w:vAlign w:val="center"/>
            <w:hideMark/>
          </w:tcPr>
          <w:p w14:paraId="65EC77D0" w14:textId="77777777" w:rsidR="00E72F0C" w:rsidRPr="00F84867" w:rsidRDefault="00107901">
            <w:pPr>
              <w:jc w:val="right"/>
              <w:rPr>
                <w:rFonts w:ascii="宋体" w:eastAsia="宋体" w:hAnsi="宋体" w:cs="Arial" w:hint="eastAsia"/>
                <w:b/>
                <w:bCs/>
                <w:color w:val="000000"/>
                <w:sz w:val="18"/>
                <w:szCs w:val="18"/>
              </w:rPr>
            </w:pPr>
            <w:r w:rsidRPr="00F84867">
              <w:rPr>
                <w:rFonts w:ascii="宋体" w:eastAsia="宋体" w:hAnsi="宋体" w:cs="Arial"/>
                <w:b/>
                <w:bCs/>
                <w:color w:val="000000"/>
                <w:sz w:val="18"/>
                <w:szCs w:val="18"/>
              </w:rPr>
              <w:t>13,783,393.08</w:t>
            </w:r>
          </w:p>
        </w:tc>
        <w:tc>
          <w:tcPr>
            <w:tcW w:w="2537" w:type="dxa"/>
            <w:shd w:val="clear" w:color="auto" w:fill="FFFFFF" w:themeFill="background1"/>
            <w:tcMar>
              <w:top w:w="15" w:type="dxa"/>
              <w:left w:w="15" w:type="dxa"/>
              <w:bottom w:w="0" w:type="dxa"/>
              <w:right w:w="15" w:type="dxa"/>
            </w:tcMar>
            <w:vAlign w:val="center"/>
            <w:hideMark/>
          </w:tcPr>
          <w:p w14:paraId="3BBD5263"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 xml:space="preserve">　</w:t>
            </w:r>
          </w:p>
        </w:tc>
        <w:tc>
          <w:tcPr>
            <w:tcW w:w="1884" w:type="dxa"/>
            <w:shd w:val="clear" w:color="auto" w:fill="FFFFFF" w:themeFill="background1"/>
            <w:tcMar>
              <w:top w:w="15" w:type="dxa"/>
              <w:left w:w="15" w:type="dxa"/>
              <w:bottom w:w="0" w:type="dxa"/>
              <w:right w:w="15" w:type="dxa"/>
            </w:tcMar>
            <w:vAlign w:val="center"/>
            <w:hideMark/>
          </w:tcPr>
          <w:p w14:paraId="690E620D" w14:textId="77777777" w:rsidR="00E72F0C" w:rsidRPr="00F84867" w:rsidRDefault="00107901">
            <w:pPr>
              <w:jc w:val="right"/>
              <w:rPr>
                <w:rFonts w:ascii="宋体" w:eastAsia="宋体" w:hAnsi="宋体" w:cs="Arial" w:hint="eastAsia"/>
                <w:b/>
                <w:bCs/>
                <w:color w:val="000000"/>
                <w:sz w:val="18"/>
                <w:szCs w:val="18"/>
              </w:rPr>
            </w:pPr>
            <w:r w:rsidRPr="00F84867">
              <w:rPr>
                <w:rFonts w:ascii="宋体" w:eastAsia="宋体" w:hAnsi="宋体" w:cs="Arial"/>
                <w:b/>
                <w:bCs/>
                <w:color w:val="000000"/>
                <w:sz w:val="18"/>
                <w:szCs w:val="18"/>
              </w:rPr>
              <w:t>84,074,609.19</w:t>
            </w:r>
          </w:p>
        </w:tc>
      </w:tr>
      <w:tr w:rsidR="00E72F0C" w:rsidRPr="00F84867" w14:paraId="38885C7A" w14:textId="77777777" w:rsidTr="00F05317">
        <w:trPr>
          <w:divId w:val="2033652695"/>
          <w:trHeight w:val="287"/>
        </w:trPr>
        <w:tc>
          <w:tcPr>
            <w:tcW w:w="2538" w:type="dxa"/>
            <w:shd w:val="clear" w:color="auto" w:fill="FFFFFF" w:themeFill="background1"/>
            <w:tcMar>
              <w:top w:w="15" w:type="dxa"/>
              <w:left w:w="15" w:type="dxa"/>
              <w:bottom w:w="0" w:type="dxa"/>
              <w:right w:w="15" w:type="dxa"/>
            </w:tcMar>
            <w:vAlign w:val="center"/>
            <w:hideMark/>
          </w:tcPr>
          <w:p w14:paraId="5BA02646" w14:textId="77777777" w:rsidR="00E72F0C" w:rsidRPr="00F84867" w:rsidRDefault="00107901">
            <w:pPr>
              <w:rPr>
                <w:rFonts w:ascii="宋体" w:eastAsia="宋体" w:hAnsi="宋体" w:cs="宋体" w:hint="eastAsia"/>
                <w:color w:val="000000"/>
                <w:sz w:val="18"/>
                <w:szCs w:val="18"/>
              </w:rPr>
            </w:pPr>
            <w:r w:rsidRPr="00F84867">
              <w:rPr>
                <w:rFonts w:ascii="宋体" w:eastAsia="宋体" w:hAnsi="宋体" w:hint="eastAsia"/>
                <w:color w:val="000000"/>
                <w:sz w:val="18"/>
                <w:szCs w:val="18"/>
              </w:rPr>
              <w:t>美元</w:t>
            </w:r>
          </w:p>
        </w:tc>
        <w:tc>
          <w:tcPr>
            <w:tcW w:w="2537" w:type="dxa"/>
            <w:shd w:val="clear" w:color="auto" w:fill="FFFFFF" w:themeFill="background1"/>
            <w:tcMar>
              <w:top w:w="15" w:type="dxa"/>
              <w:left w:w="15" w:type="dxa"/>
              <w:bottom w:w="0" w:type="dxa"/>
              <w:right w:w="15" w:type="dxa"/>
            </w:tcMar>
            <w:vAlign w:val="center"/>
            <w:hideMark/>
          </w:tcPr>
          <w:p w14:paraId="29E93C59"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11,632,251.47</w:t>
            </w:r>
          </w:p>
        </w:tc>
        <w:tc>
          <w:tcPr>
            <w:tcW w:w="2537" w:type="dxa"/>
            <w:shd w:val="clear" w:color="auto" w:fill="FFFFFF" w:themeFill="background1"/>
            <w:tcMar>
              <w:top w:w="15" w:type="dxa"/>
              <w:left w:w="15" w:type="dxa"/>
              <w:bottom w:w="0" w:type="dxa"/>
              <w:right w:w="15" w:type="dxa"/>
            </w:tcMar>
            <w:vAlign w:val="center"/>
            <w:hideMark/>
          </w:tcPr>
          <w:p w14:paraId="73BCF1E7"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7.1884</w:t>
            </w:r>
          </w:p>
        </w:tc>
        <w:tc>
          <w:tcPr>
            <w:tcW w:w="1884" w:type="dxa"/>
            <w:shd w:val="clear" w:color="auto" w:fill="FFFFFF" w:themeFill="background1"/>
            <w:tcMar>
              <w:top w:w="15" w:type="dxa"/>
              <w:left w:w="15" w:type="dxa"/>
              <w:bottom w:w="0" w:type="dxa"/>
              <w:right w:w="15" w:type="dxa"/>
            </w:tcMar>
            <w:vAlign w:val="center"/>
            <w:hideMark/>
          </w:tcPr>
          <w:p w14:paraId="32992760"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83,617,276.48</w:t>
            </w:r>
          </w:p>
        </w:tc>
      </w:tr>
      <w:tr w:rsidR="00E72F0C" w:rsidRPr="00F84867" w14:paraId="69452974" w14:textId="77777777" w:rsidTr="00F05317">
        <w:trPr>
          <w:divId w:val="2033652695"/>
          <w:trHeight w:val="287"/>
        </w:trPr>
        <w:tc>
          <w:tcPr>
            <w:tcW w:w="2538" w:type="dxa"/>
            <w:shd w:val="clear" w:color="auto" w:fill="FFFFFF" w:themeFill="background1"/>
            <w:tcMar>
              <w:top w:w="15" w:type="dxa"/>
              <w:left w:w="15" w:type="dxa"/>
              <w:bottom w:w="0" w:type="dxa"/>
              <w:right w:w="15" w:type="dxa"/>
            </w:tcMar>
            <w:vAlign w:val="center"/>
            <w:hideMark/>
          </w:tcPr>
          <w:p w14:paraId="62507C8D" w14:textId="77777777" w:rsidR="00E72F0C" w:rsidRPr="00F84867" w:rsidRDefault="00107901">
            <w:pPr>
              <w:rPr>
                <w:rFonts w:ascii="宋体" w:eastAsia="宋体" w:hAnsi="宋体" w:cs="宋体" w:hint="eastAsia"/>
                <w:color w:val="000000"/>
                <w:sz w:val="18"/>
                <w:szCs w:val="18"/>
              </w:rPr>
            </w:pPr>
            <w:r w:rsidRPr="00F84867">
              <w:rPr>
                <w:rFonts w:ascii="宋体" w:eastAsia="宋体" w:hAnsi="宋体" w:hint="eastAsia"/>
                <w:color w:val="000000"/>
                <w:sz w:val="18"/>
                <w:szCs w:val="18"/>
              </w:rPr>
              <w:t>泰铢</w:t>
            </w:r>
          </w:p>
        </w:tc>
        <w:tc>
          <w:tcPr>
            <w:tcW w:w="2537" w:type="dxa"/>
            <w:shd w:val="clear" w:color="auto" w:fill="FFFFFF" w:themeFill="background1"/>
            <w:tcMar>
              <w:top w:w="15" w:type="dxa"/>
              <w:left w:w="15" w:type="dxa"/>
              <w:bottom w:w="0" w:type="dxa"/>
              <w:right w:w="15" w:type="dxa"/>
            </w:tcMar>
            <w:vAlign w:val="center"/>
            <w:hideMark/>
          </w:tcPr>
          <w:p w14:paraId="44C70AF5"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2,151,141.61</w:t>
            </w:r>
          </w:p>
        </w:tc>
        <w:tc>
          <w:tcPr>
            <w:tcW w:w="2537" w:type="dxa"/>
            <w:shd w:val="clear" w:color="auto" w:fill="FFFFFF" w:themeFill="background1"/>
            <w:tcMar>
              <w:top w:w="15" w:type="dxa"/>
              <w:left w:w="15" w:type="dxa"/>
              <w:bottom w:w="0" w:type="dxa"/>
              <w:right w:w="15" w:type="dxa"/>
            </w:tcMar>
            <w:vAlign w:val="center"/>
            <w:hideMark/>
          </w:tcPr>
          <w:p w14:paraId="22FC3BC3"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0.2126</w:t>
            </w:r>
          </w:p>
        </w:tc>
        <w:tc>
          <w:tcPr>
            <w:tcW w:w="1884" w:type="dxa"/>
            <w:shd w:val="clear" w:color="auto" w:fill="FFFFFF" w:themeFill="background1"/>
            <w:tcMar>
              <w:top w:w="15" w:type="dxa"/>
              <w:left w:w="15" w:type="dxa"/>
              <w:bottom w:w="0" w:type="dxa"/>
              <w:right w:w="15" w:type="dxa"/>
            </w:tcMar>
            <w:vAlign w:val="center"/>
            <w:hideMark/>
          </w:tcPr>
          <w:p w14:paraId="418D6AC0"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457,332.71</w:t>
            </w:r>
          </w:p>
        </w:tc>
      </w:tr>
      <w:tr w:rsidR="00E72F0C" w:rsidRPr="00F84867" w14:paraId="749A62F9" w14:textId="77777777" w:rsidTr="00F05317">
        <w:trPr>
          <w:divId w:val="2033652695"/>
          <w:trHeight w:val="287"/>
        </w:trPr>
        <w:tc>
          <w:tcPr>
            <w:tcW w:w="2538" w:type="dxa"/>
            <w:shd w:val="clear" w:color="auto" w:fill="FFFFFF" w:themeFill="background1"/>
            <w:tcMar>
              <w:top w:w="15" w:type="dxa"/>
              <w:left w:w="15" w:type="dxa"/>
              <w:bottom w:w="0" w:type="dxa"/>
              <w:right w:w="15" w:type="dxa"/>
            </w:tcMar>
            <w:vAlign w:val="center"/>
            <w:hideMark/>
          </w:tcPr>
          <w:p w14:paraId="1D5441F3" w14:textId="77777777" w:rsidR="00E72F0C" w:rsidRPr="00F84867" w:rsidRDefault="00107901">
            <w:pPr>
              <w:rPr>
                <w:rFonts w:ascii="宋体" w:eastAsia="宋体" w:hAnsi="宋体" w:cs="宋体" w:hint="eastAsia"/>
                <w:b/>
                <w:bCs/>
                <w:color w:val="000000"/>
                <w:sz w:val="18"/>
                <w:szCs w:val="18"/>
              </w:rPr>
            </w:pPr>
            <w:r w:rsidRPr="00F84867">
              <w:rPr>
                <w:rFonts w:ascii="宋体" w:eastAsia="宋体" w:hAnsi="宋体" w:hint="eastAsia"/>
                <w:b/>
                <w:bCs/>
                <w:color w:val="000000"/>
                <w:sz w:val="18"/>
                <w:szCs w:val="18"/>
              </w:rPr>
              <w:t>短期借款</w:t>
            </w:r>
          </w:p>
        </w:tc>
        <w:tc>
          <w:tcPr>
            <w:tcW w:w="2537" w:type="dxa"/>
            <w:shd w:val="clear" w:color="auto" w:fill="FFFFFF" w:themeFill="background1"/>
            <w:tcMar>
              <w:top w:w="15" w:type="dxa"/>
              <w:left w:w="15" w:type="dxa"/>
              <w:bottom w:w="0" w:type="dxa"/>
              <w:right w:w="15" w:type="dxa"/>
            </w:tcMar>
            <w:vAlign w:val="center"/>
            <w:hideMark/>
          </w:tcPr>
          <w:p w14:paraId="4472D5F4" w14:textId="77777777" w:rsidR="00E72F0C" w:rsidRPr="00F84867" w:rsidRDefault="00107901">
            <w:pPr>
              <w:jc w:val="right"/>
              <w:rPr>
                <w:rFonts w:ascii="宋体" w:eastAsia="宋体" w:hAnsi="宋体" w:cs="Arial" w:hint="eastAsia"/>
                <w:b/>
                <w:bCs/>
                <w:color w:val="000000"/>
                <w:sz w:val="18"/>
                <w:szCs w:val="18"/>
              </w:rPr>
            </w:pPr>
            <w:r w:rsidRPr="00F84867">
              <w:rPr>
                <w:rFonts w:ascii="宋体" w:eastAsia="宋体" w:hAnsi="宋体" w:cs="Arial"/>
                <w:b/>
                <w:bCs/>
                <w:color w:val="000000"/>
                <w:sz w:val="18"/>
                <w:szCs w:val="18"/>
              </w:rPr>
              <w:t>82,633,403.85</w:t>
            </w:r>
          </w:p>
        </w:tc>
        <w:tc>
          <w:tcPr>
            <w:tcW w:w="2537" w:type="dxa"/>
            <w:shd w:val="clear" w:color="auto" w:fill="FFFFFF" w:themeFill="background1"/>
            <w:tcMar>
              <w:top w:w="15" w:type="dxa"/>
              <w:left w:w="15" w:type="dxa"/>
              <w:bottom w:w="0" w:type="dxa"/>
              <w:right w:w="15" w:type="dxa"/>
            </w:tcMar>
            <w:vAlign w:val="center"/>
            <w:hideMark/>
          </w:tcPr>
          <w:p w14:paraId="0486C0D8" w14:textId="77777777" w:rsidR="00E72F0C" w:rsidRPr="00F84867" w:rsidRDefault="00107901">
            <w:pPr>
              <w:jc w:val="right"/>
              <w:rPr>
                <w:rFonts w:ascii="宋体" w:eastAsia="宋体" w:hAnsi="宋体" w:cs="Arial" w:hint="eastAsia"/>
                <w:b/>
                <w:bCs/>
                <w:color w:val="000000"/>
                <w:sz w:val="18"/>
                <w:szCs w:val="18"/>
              </w:rPr>
            </w:pPr>
            <w:r w:rsidRPr="00F84867">
              <w:rPr>
                <w:rFonts w:ascii="宋体" w:eastAsia="宋体" w:hAnsi="宋体" w:cs="Arial"/>
                <w:b/>
                <w:bCs/>
                <w:color w:val="000000"/>
                <w:sz w:val="18"/>
                <w:szCs w:val="18"/>
              </w:rPr>
              <w:t xml:space="preserve">　</w:t>
            </w:r>
          </w:p>
        </w:tc>
        <w:tc>
          <w:tcPr>
            <w:tcW w:w="1884" w:type="dxa"/>
            <w:shd w:val="clear" w:color="auto" w:fill="FFFFFF" w:themeFill="background1"/>
            <w:tcMar>
              <w:top w:w="15" w:type="dxa"/>
              <w:left w:w="15" w:type="dxa"/>
              <w:bottom w:w="0" w:type="dxa"/>
              <w:right w:w="15" w:type="dxa"/>
            </w:tcMar>
            <w:vAlign w:val="center"/>
            <w:hideMark/>
          </w:tcPr>
          <w:p w14:paraId="40A0D1B8" w14:textId="77777777" w:rsidR="00E72F0C" w:rsidRPr="00F84867" w:rsidRDefault="00107901">
            <w:pPr>
              <w:jc w:val="right"/>
              <w:rPr>
                <w:rFonts w:ascii="宋体" w:eastAsia="宋体" w:hAnsi="宋体" w:cs="Arial" w:hint="eastAsia"/>
                <w:b/>
                <w:bCs/>
                <w:color w:val="000000"/>
                <w:sz w:val="18"/>
                <w:szCs w:val="18"/>
              </w:rPr>
            </w:pPr>
            <w:r w:rsidRPr="00F84867">
              <w:rPr>
                <w:rFonts w:ascii="宋体" w:eastAsia="宋体" w:hAnsi="宋体" w:cs="Arial"/>
                <w:b/>
                <w:bCs/>
                <w:color w:val="000000"/>
                <w:sz w:val="18"/>
                <w:szCs w:val="18"/>
              </w:rPr>
              <w:t>64,952,144.63</w:t>
            </w:r>
          </w:p>
        </w:tc>
      </w:tr>
      <w:tr w:rsidR="00E72F0C" w:rsidRPr="00F84867" w14:paraId="263088E6" w14:textId="77777777" w:rsidTr="00F05317">
        <w:trPr>
          <w:divId w:val="2033652695"/>
          <w:trHeight w:val="287"/>
        </w:trPr>
        <w:tc>
          <w:tcPr>
            <w:tcW w:w="2538" w:type="dxa"/>
            <w:shd w:val="clear" w:color="auto" w:fill="FFFFFF" w:themeFill="background1"/>
            <w:tcMar>
              <w:top w:w="15" w:type="dxa"/>
              <w:left w:w="15" w:type="dxa"/>
              <w:bottom w:w="0" w:type="dxa"/>
              <w:right w:w="15" w:type="dxa"/>
            </w:tcMar>
            <w:vAlign w:val="center"/>
            <w:hideMark/>
          </w:tcPr>
          <w:p w14:paraId="61D3D035" w14:textId="77777777" w:rsidR="00E72F0C" w:rsidRPr="00F84867" w:rsidRDefault="00107901">
            <w:pPr>
              <w:rPr>
                <w:rFonts w:ascii="宋体" w:eastAsia="宋体" w:hAnsi="宋体" w:cs="宋体" w:hint="eastAsia"/>
                <w:color w:val="000000"/>
                <w:sz w:val="18"/>
                <w:szCs w:val="18"/>
              </w:rPr>
            </w:pPr>
            <w:r w:rsidRPr="00F84867">
              <w:rPr>
                <w:rFonts w:ascii="宋体" w:eastAsia="宋体" w:hAnsi="宋体" w:hint="eastAsia"/>
                <w:color w:val="000000"/>
                <w:sz w:val="18"/>
                <w:szCs w:val="18"/>
              </w:rPr>
              <w:t>美元</w:t>
            </w:r>
          </w:p>
        </w:tc>
        <w:tc>
          <w:tcPr>
            <w:tcW w:w="2537" w:type="dxa"/>
            <w:shd w:val="clear" w:color="auto" w:fill="FFFFFF" w:themeFill="background1"/>
            <w:tcMar>
              <w:top w:w="15" w:type="dxa"/>
              <w:left w:w="15" w:type="dxa"/>
              <w:bottom w:w="0" w:type="dxa"/>
              <w:right w:w="15" w:type="dxa"/>
            </w:tcMar>
            <w:vAlign w:val="center"/>
            <w:hideMark/>
          </w:tcPr>
          <w:p w14:paraId="15E774DF"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6,792,666.50</w:t>
            </w:r>
          </w:p>
        </w:tc>
        <w:tc>
          <w:tcPr>
            <w:tcW w:w="2537" w:type="dxa"/>
            <w:shd w:val="clear" w:color="auto" w:fill="FFFFFF" w:themeFill="background1"/>
            <w:tcMar>
              <w:top w:w="15" w:type="dxa"/>
              <w:left w:w="15" w:type="dxa"/>
              <w:bottom w:w="0" w:type="dxa"/>
              <w:right w:w="15" w:type="dxa"/>
            </w:tcMar>
            <w:vAlign w:val="center"/>
            <w:hideMark/>
          </w:tcPr>
          <w:p w14:paraId="6B7B4CE6"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7.1884</w:t>
            </w:r>
          </w:p>
        </w:tc>
        <w:tc>
          <w:tcPr>
            <w:tcW w:w="1884" w:type="dxa"/>
            <w:shd w:val="clear" w:color="auto" w:fill="FFFFFF" w:themeFill="background1"/>
            <w:tcMar>
              <w:top w:w="15" w:type="dxa"/>
              <w:left w:w="15" w:type="dxa"/>
              <w:bottom w:w="0" w:type="dxa"/>
              <w:right w:w="15" w:type="dxa"/>
            </w:tcMar>
            <w:vAlign w:val="center"/>
            <w:hideMark/>
          </w:tcPr>
          <w:p w14:paraId="7442151A"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48,828,403.87</w:t>
            </w:r>
          </w:p>
        </w:tc>
      </w:tr>
      <w:tr w:rsidR="00E72F0C" w:rsidRPr="00F84867" w14:paraId="089B3340" w14:textId="77777777" w:rsidTr="00F05317">
        <w:trPr>
          <w:divId w:val="2033652695"/>
          <w:trHeight w:val="302"/>
        </w:trPr>
        <w:tc>
          <w:tcPr>
            <w:tcW w:w="2538" w:type="dxa"/>
            <w:shd w:val="clear" w:color="auto" w:fill="FFFFFF" w:themeFill="background1"/>
            <w:tcMar>
              <w:top w:w="15" w:type="dxa"/>
              <w:left w:w="15" w:type="dxa"/>
              <w:bottom w:w="0" w:type="dxa"/>
              <w:right w:w="15" w:type="dxa"/>
            </w:tcMar>
            <w:vAlign w:val="center"/>
            <w:hideMark/>
          </w:tcPr>
          <w:p w14:paraId="2F009C2C" w14:textId="77777777" w:rsidR="00E72F0C" w:rsidRPr="00F84867" w:rsidRDefault="00107901">
            <w:pPr>
              <w:rPr>
                <w:rFonts w:ascii="宋体" w:eastAsia="宋体" w:hAnsi="宋体" w:cs="宋体" w:hint="eastAsia"/>
                <w:color w:val="000000"/>
                <w:sz w:val="18"/>
                <w:szCs w:val="18"/>
              </w:rPr>
            </w:pPr>
            <w:r w:rsidRPr="00F84867">
              <w:rPr>
                <w:rFonts w:ascii="宋体" w:eastAsia="宋体" w:hAnsi="宋体" w:hint="eastAsia"/>
                <w:color w:val="000000"/>
                <w:sz w:val="18"/>
                <w:szCs w:val="18"/>
              </w:rPr>
              <w:t>泰铢</w:t>
            </w:r>
          </w:p>
        </w:tc>
        <w:tc>
          <w:tcPr>
            <w:tcW w:w="2537" w:type="dxa"/>
            <w:shd w:val="clear" w:color="auto" w:fill="FFFFFF" w:themeFill="background1"/>
            <w:tcMar>
              <w:top w:w="15" w:type="dxa"/>
              <w:left w:w="15" w:type="dxa"/>
              <w:bottom w:w="0" w:type="dxa"/>
              <w:right w:w="15" w:type="dxa"/>
            </w:tcMar>
            <w:vAlign w:val="center"/>
            <w:hideMark/>
          </w:tcPr>
          <w:p w14:paraId="45741BCD"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75,840,737.35</w:t>
            </w:r>
          </w:p>
        </w:tc>
        <w:tc>
          <w:tcPr>
            <w:tcW w:w="2537" w:type="dxa"/>
            <w:shd w:val="clear" w:color="auto" w:fill="FFFFFF" w:themeFill="background1"/>
            <w:tcMar>
              <w:top w:w="15" w:type="dxa"/>
              <w:left w:w="15" w:type="dxa"/>
              <w:bottom w:w="0" w:type="dxa"/>
              <w:right w:w="15" w:type="dxa"/>
            </w:tcMar>
            <w:vAlign w:val="center"/>
            <w:hideMark/>
          </w:tcPr>
          <w:p w14:paraId="125B5CD2"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0.2126</w:t>
            </w:r>
          </w:p>
        </w:tc>
        <w:tc>
          <w:tcPr>
            <w:tcW w:w="1884" w:type="dxa"/>
            <w:shd w:val="clear" w:color="auto" w:fill="FFFFFF" w:themeFill="background1"/>
            <w:tcMar>
              <w:top w:w="15" w:type="dxa"/>
              <w:left w:w="15" w:type="dxa"/>
              <w:bottom w:w="0" w:type="dxa"/>
              <w:right w:w="15" w:type="dxa"/>
            </w:tcMar>
            <w:vAlign w:val="center"/>
            <w:hideMark/>
          </w:tcPr>
          <w:p w14:paraId="5604937E" w14:textId="77777777" w:rsidR="00E72F0C" w:rsidRPr="00F84867" w:rsidRDefault="00107901">
            <w:pPr>
              <w:jc w:val="right"/>
              <w:rPr>
                <w:rFonts w:ascii="宋体" w:eastAsia="宋体" w:hAnsi="宋体" w:cs="Arial" w:hint="eastAsia"/>
                <w:color w:val="000000"/>
                <w:sz w:val="18"/>
                <w:szCs w:val="18"/>
              </w:rPr>
            </w:pPr>
            <w:r w:rsidRPr="00F84867">
              <w:rPr>
                <w:rFonts w:ascii="宋体" w:eastAsia="宋体" w:hAnsi="宋体" w:cs="Arial"/>
                <w:color w:val="000000"/>
                <w:sz w:val="18"/>
                <w:szCs w:val="18"/>
              </w:rPr>
              <w:t>16,123,740.76</w:t>
            </w:r>
          </w:p>
        </w:tc>
      </w:tr>
    </w:tbl>
    <w:p w14:paraId="256376DF" w14:textId="798C6B9E" w:rsidR="00632E5B" w:rsidRPr="00992D4F" w:rsidRDefault="00107901" w:rsidP="00992D4F">
      <w:pPr>
        <w:keepNext/>
        <w:keepLines/>
        <w:spacing w:before="300" w:after="300" w:line="280" w:lineRule="exact"/>
        <w:outlineLvl w:val="3"/>
        <w:rPr>
          <w:rFonts w:ascii="宋体" w:eastAsia="宋体" w:hAnsi="宋体" w:cs="宋体" w:hint="eastAsia"/>
          <w:b/>
          <w:bCs/>
          <w:szCs w:val="21"/>
        </w:rPr>
      </w:pPr>
      <w:bookmarkStart w:id="340" w:name="_Toc989226"/>
      <w:r w:rsidRPr="00992D4F">
        <w:rPr>
          <w:rFonts w:ascii="宋体" w:eastAsia="宋体" w:hAnsi="宋体" w:cs="宋体"/>
          <w:b/>
          <w:bCs/>
          <w:szCs w:val="21"/>
        </w:rPr>
        <w:lastRenderedPageBreak/>
        <w:t>（2） 境外经营实体说明，包括对于重要的境外经营实体，应披露其境外主要经营地、记账本位币及选择依据，记账本位币发生变化的还应披露原因。</w:t>
      </w:r>
      <w:bookmarkEnd w:id="340"/>
    </w:p>
    <w:p w14:paraId="73D41DAE"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9"/>
        <w:gridCol w:w="1826"/>
        <w:gridCol w:w="1552"/>
        <w:gridCol w:w="2364"/>
      </w:tblGrid>
      <w:tr w:rsidR="00E72F0C" w14:paraId="6C40987B" w14:textId="77777777" w:rsidTr="00F84867">
        <w:trPr>
          <w:divId w:val="106391497"/>
          <w:trHeight w:val="312"/>
          <w:tblHeader/>
        </w:trPr>
        <w:tc>
          <w:tcPr>
            <w:tcW w:w="1987" w:type="pct"/>
            <w:tcMar>
              <w:top w:w="12" w:type="dxa"/>
              <w:left w:w="12" w:type="dxa"/>
              <w:bottom w:w="0" w:type="dxa"/>
              <w:right w:w="12" w:type="dxa"/>
            </w:tcMar>
            <w:vAlign w:val="center"/>
            <w:hideMark/>
          </w:tcPr>
          <w:p w14:paraId="2B837FCB" w14:textId="77777777" w:rsidR="00E72F0C" w:rsidRDefault="00107901">
            <w:pPr>
              <w:pStyle w:val="a3"/>
              <w:spacing w:before="0" w:beforeAutospacing="0" w:after="0" w:afterAutospacing="0"/>
              <w:jc w:val="center"/>
              <w:textAlignment w:val="center"/>
              <w:rPr>
                <w:rFonts w:ascii="Times New Roman" w:hAnsi="Times New Roman" w:cs="Times New Roman"/>
                <w:sz w:val="21"/>
                <w:szCs w:val="21"/>
              </w:rPr>
            </w:pPr>
            <w:r>
              <w:rPr>
                <w:rFonts w:cs="Times New Roman" w:hint="eastAsia"/>
                <w:color w:val="000000"/>
                <w:sz w:val="18"/>
                <w:szCs w:val="18"/>
              </w:rPr>
              <w:t>境外经营实体单位名称</w:t>
            </w:r>
          </w:p>
        </w:tc>
        <w:tc>
          <w:tcPr>
            <w:tcW w:w="958" w:type="pct"/>
            <w:tcMar>
              <w:top w:w="12" w:type="dxa"/>
              <w:left w:w="12" w:type="dxa"/>
              <w:bottom w:w="0" w:type="dxa"/>
              <w:right w:w="12" w:type="dxa"/>
            </w:tcMar>
            <w:vAlign w:val="center"/>
            <w:hideMark/>
          </w:tcPr>
          <w:p w14:paraId="6ECA51A8" w14:textId="77777777" w:rsidR="00E72F0C" w:rsidRDefault="00107901">
            <w:pPr>
              <w:pStyle w:val="a3"/>
              <w:spacing w:before="0" w:beforeAutospacing="0" w:after="0" w:afterAutospacing="0"/>
              <w:jc w:val="center"/>
              <w:textAlignment w:val="center"/>
              <w:rPr>
                <w:rFonts w:ascii="Times New Roman" w:hAnsi="Times New Roman" w:cs="Times New Roman"/>
                <w:sz w:val="21"/>
                <w:szCs w:val="21"/>
              </w:rPr>
            </w:pPr>
            <w:r>
              <w:rPr>
                <w:rFonts w:cs="Times New Roman" w:hint="eastAsia"/>
                <w:color w:val="000000"/>
                <w:sz w:val="18"/>
                <w:szCs w:val="18"/>
              </w:rPr>
              <w:t>境外主要经营地</w:t>
            </w:r>
          </w:p>
        </w:tc>
        <w:tc>
          <w:tcPr>
            <w:tcW w:w="814" w:type="pct"/>
            <w:tcMar>
              <w:top w:w="12" w:type="dxa"/>
              <w:left w:w="12" w:type="dxa"/>
              <w:bottom w:w="0" w:type="dxa"/>
              <w:right w:w="12" w:type="dxa"/>
            </w:tcMar>
            <w:vAlign w:val="center"/>
            <w:hideMark/>
          </w:tcPr>
          <w:p w14:paraId="62AB7BBC" w14:textId="77777777" w:rsidR="00E72F0C" w:rsidRDefault="00107901">
            <w:pPr>
              <w:pStyle w:val="a3"/>
              <w:spacing w:before="0" w:beforeAutospacing="0" w:after="0" w:afterAutospacing="0"/>
              <w:jc w:val="center"/>
              <w:textAlignment w:val="center"/>
              <w:rPr>
                <w:rFonts w:ascii="Times New Roman" w:hAnsi="Times New Roman" w:cs="Times New Roman"/>
                <w:sz w:val="21"/>
                <w:szCs w:val="21"/>
              </w:rPr>
            </w:pPr>
            <w:r>
              <w:rPr>
                <w:rFonts w:cs="Times New Roman" w:hint="eastAsia"/>
                <w:color w:val="000000"/>
                <w:sz w:val="18"/>
                <w:szCs w:val="18"/>
              </w:rPr>
              <w:t>记账本位币</w:t>
            </w:r>
          </w:p>
        </w:tc>
        <w:tc>
          <w:tcPr>
            <w:tcW w:w="1240" w:type="pct"/>
            <w:tcMar>
              <w:top w:w="12" w:type="dxa"/>
              <w:left w:w="12" w:type="dxa"/>
              <w:bottom w:w="0" w:type="dxa"/>
              <w:right w:w="12" w:type="dxa"/>
            </w:tcMar>
            <w:vAlign w:val="center"/>
            <w:hideMark/>
          </w:tcPr>
          <w:p w14:paraId="67B6D61A" w14:textId="77777777" w:rsidR="00E72F0C" w:rsidRDefault="00107901">
            <w:pPr>
              <w:pStyle w:val="a3"/>
              <w:spacing w:before="0" w:beforeAutospacing="0" w:after="0" w:afterAutospacing="0"/>
              <w:jc w:val="center"/>
              <w:textAlignment w:val="center"/>
              <w:rPr>
                <w:rFonts w:ascii="Times New Roman" w:hAnsi="Times New Roman" w:cs="Times New Roman"/>
                <w:sz w:val="21"/>
                <w:szCs w:val="21"/>
              </w:rPr>
            </w:pPr>
            <w:r>
              <w:rPr>
                <w:rFonts w:cs="Times New Roman" w:hint="eastAsia"/>
                <w:color w:val="000000"/>
                <w:sz w:val="18"/>
                <w:szCs w:val="18"/>
              </w:rPr>
              <w:t>记账本位币选择依据</w:t>
            </w:r>
          </w:p>
        </w:tc>
      </w:tr>
      <w:tr w:rsidR="00E72F0C" w14:paraId="4DFCBCD4" w14:textId="77777777" w:rsidTr="00F84867">
        <w:trPr>
          <w:divId w:val="106391497"/>
          <w:trHeight w:val="312"/>
        </w:trPr>
        <w:tc>
          <w:tcPr>
            <w:tcW w:w="1987" w:type="pct"/>
            <w:tcMar>
              <w:top w:w="12" w:type="dxa"/>
              <w:left w:w="12" w:type="dxa"/>
              <w:bottom w:w="0" w:type="dxa"/>
              <w:right w:w="12" w:type="dxa"/>
            </w:tcMar>
            <w:vAlign w:val="center"/>
            <w:hideMark/>
          </w:tcPr>
          <w:p w14:paraId="05269C40" w14:textId="77777777" w:rsidR="00E72F0C" w:rsidRDefault="00107901">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中利集团（香港）有限公司</w:t>
            </w:r>
          </w:p>
        </w:tc>
        <w:tc>
          <w:tcPr>
            <w:tcW w:w="958" w:type="pct"/>
            <w:tcMar>
              <w:top w:w="12" w:type="dxa"/>
              <w:left w:w="12" w:type="dxa"/>
              <w:bottom w:w="0" w:type="dxa"/>
              <w:right w:w="12" w:type="dxa"/>
            </w:tcMar>
            <w:vAlign w:val="center"/>
            <w:hideMark/>
          </w:tcPr>
          <w:p w14:paraId="3544F694" w14:textId="77777777" w:rsidR="00E72F0C" w:rsidRDefault="00107901">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香港</w:t>
            </w:r>
          </w:p>
        </w:tc>
        <w:tc>
          <w:tcPr>
            <w:tcW w:w="814" w:type="pct"/>
            <w:tcMar>
              <w:top w:w="12" w:type="dxa"/>
              <w:left w:w="12" w:type="dxa"/>
              <w:bottom w:w="0" w:type="dxa"/>
              <w:right w:w="12" w:type="dxa"/>
            </w:tcMar>
            <w:vAlign w:val="center"/>
            <w:hideMark/>
          </w:tcPr>
          <w:p w14:paraId="31B44F81" w14:textId="77777777" w:rsidR="00E72F0C" w:rsidRDefault="00107901">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美元</w:t>
            </w:r>
          </w:p>
        </w:tc>
        <w:tc>
          <w:tcPr>
            <w:tcW w:w="1240" w:type="pct"/>
            <w:tcMar>
              <w:top w:w="12" w:type="dxa"/>
              <w:left w:w="12" w:type="dxa"/>
              <w:bottom w:w="0" w:type="dxa"/>
              <w:right w:w="12" w:type="dxa"/>
            </w:tcMar>
            <w:vAlign w:val="center"/>
            <w:hideMark/>
          </w:tcPr>
          <w:p w14:paraId="6D5AC321" w14:textId="77777777" w:rsidR="00E72F0C" w:rsidRDefault="00107901">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业务收支主要货币</w:t>
            </w:r>
          </w:p>
        </w:tc>
      </w:tr>
      <w:tr w:rsidR="00E72F0C" w14:paraId="24559654" w14:textId="77777777" w:rsidTr="00F84867">
        <w:trPr>
          <w:divId w:val="106391497"/>
          <w:trHeight w:val="312"/>
        </w:trPr>
        <w:tc>
          <w:tcPr>
            <w:tcW w:w="1987" w:type="pct"/>
            <w:tcMar>
              <w:top w:w="12" w:type="dxa"/>
              <w:left w:w="12" w:type="dxa"/>
              <w:bottom w:w="0" w:type="dxa"/>
              <w:right w:w="12" w:type="dxa"/>
            </w:tcMar>
            <w:vAlign w:val="center"/>
            <w:hideMark/>
          </w:tcPr>
          <w:p w14:paraId="73E4E3F5" w14:textId="77777777" w:rsidR="00E72F0C" w:rsidRDefault="00107901">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腾晖技术（泰国）有限公司</w:t>
            </w:r>
          </w:p>
        </w:tc>
        <w:tc>
          <w:tcPr>
            <w:tcW w:w="958" w:type="pct"/>
            <w:tcMar>
              <w:top w:w="12" w:type="dxa"/>
              <w:left w:w="12" w:type="dxa"/>
              <w:bottom w:w="0" w:type="dxa"/>
              <w:right w:w="12" w:type="dxa"/>
            </w:tcMar>
            <w:vAlign w:val="center"/>
            <w:hideMark/>
          </w:tcPr>
          <w:p w14:paraId="2F0A3121" w14:textId="77777777" w:rsidR="00E72F0C" w:rsidRDefault="00107901">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泰国</w:t>
            </w:r>
          </w:p>
        </w:tc>
        <w:tc>
          <w:tcPr>
            <w:tcW w:w="814" w:type="pct"/>
            <w:tcMar>
              <w:top w:w="12" w:type="dxa"/>
              <w:left w:w="12" w:type="dxa"/>
              <w:bottom w:w="0" w:type="dxa"/>
              <w:right w:w="12" w:type="dxa"/>
            </w:tcMar>
            <w:vAlign w:val="center"/>
            <w:hideMark/>
          </w:tcPr>
          <w:p w14:paraId="350B9408" w14:textId="77777777" w:rsidR="00E72F0C" w:rsidRDefault="00107901">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泰铢</w:t>
            </w:r>
          </w:p>
        </w:tc>
        <w:tc>
          <w:tcPr>
            <w:tcW w:w="1240" w:type="pct"/>
            <w:tcMar>
              <w:top w:w="12" w:type="dxa"/>
              <w:left w:w="12" w:type="dxa"/>
              <w:bottom w:w="0" w:type="dxa"/>
              <w:right w:w="12" w:type="dxa"/>
            </w:tcMar>
            <w:vAlign w:val="center"/>
            <w:hideMark/>
          </w:tcPr>
          <w:p w14:paraId="183AD6F8" w14:textId="77777777" w:rsidR="00E72F0C" w:rsidRDefault="00107901">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业务收支主要货币</w:t>
            </w:r>
          </w:p>
        </w:tc>
      </w:tr>
      <w:tr w:rsidR="00E72F0C" w14:paraId="65946003" w14:textId="77777777" w:rsidTr="00F84867">
        <w:trPr>
          <w:divId w:val="106391497"/>
          <w:trHeight w:val="312"/>
        </w:trPr>
        <w:tc>
          <w:tcPr>
            <w:tcW w:w="1987" w:type="pct"/>
            <w:tcMar>
              <w:top w:w="12" w:type="dxa"/>
              <w:left w:w="12" w:type="dxa"/>
              <w:bottom w:w="0" w:type="dxa"/>
              <w:right w:w="12" w:type="dxa"/>
            </w:tcMar>
            <w:vAlign w:val="center"/>
            <w:hideMark/>
          </w:tcPr>
          <w:p w14:paraId="0274CAC5" w14:textId="77777777" w:rsidR="00E72F0C" w:rsidRDefault="00107901">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利星科技（亚洲）有限公司</w:t>
            </w:r>
          </w:p>
        </w:tc>
        <w:tc>
          <w:tcPr>
            <w:tcW w:w="958" w:type="pct"/>
            <w:tcMar>
              <w:top w:w="12" w:type="dxa"/>
              <w:left w:w="12" w:type="dxa"/>
              <w:bottom w:w="0" w:type="dxa"/>
              <w:right w:w="12" w:type="dxa"/>
            </w:tcMar>
            <w:vAlign w:val="center"/>
            <w:hideMark/>
          </w:tcPr>
          <w:p w14:paraId="55938829" w14:textId="77777777" w:rsidR="00E72F0C" w:rsidRDefault="00107901">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新加坡</w:t>
            </w:r>
          </w:p>
        </w:tc>
        <w:tc>
          <w:tcPr>
            <w:tcW w:w="814" w:type="pct"/>
            <w:tcMar>
              <w:top w:w="12" w:type="dxa"/>
              <w:left w:w="12" w:type="dxa"/>
              <w:bottom w:w="0" w:type="dxa"/>
              <w:right w:w="12" w:type="dxa"/>
            </w:tcMar>
            <w:vAlign w:val="center"/>
            <w:hideMark/>
          </w:tcPr>
          <w:p w14:paraId="17DB6743" w14:textId="77777777" w:rsidR="00E72F0C" w:rsidRDefault="00107901">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美元</w:t>
            </w:r>
          </w:p>
        </w:tc>
        <w:tc>
          <w:tcPr>
            <w:tcW w:w="1240" w:type="pct"/>
            <w:tcMar>
              <w:top w:w="12" w:type="dxa"/>
              <w:left w:w="12" w:type="dxa"/>
              <w:bottom w:w="0" w:type="dxa"/>
              <w:right w:w="12" w:type="dxa"/>
            </w:tcMar>
            <w:vAlign w:val="center"/>
            <w:hideMark/>
          </w:tcPr>
          <w:p w14:paraId="57154211" w14:textId="77777777" w:rsidR="00E72F0C" w:rsidRDefault="00107901">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业务收支主要货币</w:t>
            </w:r>
          </w:p>
        </w:tc>
      </w:tr>
      <w:tr w:rsidR="00E72F0C" w14:paraId="24F3C8B6" w14:textId="77777777" w:rsidTr="00F84867">
        <w:trPr>
          <w:divId w:val="106391497"/>
          <w:trHeight w:val="312"/>
        </w:trPr>
        <w:tc>
          <w:tcPr>
            <w:tcW w:w="1987" w:type="pct"/>
            <w:tcMar>
              <w:top w:w="12" w:type="dxa"/>
              <w:left w:w="12" w:type="dxa"/>
              <w:bottom w:w="0" w:type="dxa"/>
              <w:right w:w="12" w:type="dxa"/>
            </w:tcMar>
            <w:vAlign w:val="center"/>
            <w:hideMark/>
          </w:tcPr>
          <w:p w14:paraId="08344B21" w14:textId="77777777" w:rsidR="00E72F0C" w:rsidRDefault="00107901">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越南利星科技有限公司</w:t>
            </w:r>
          </w:p>
        </w:tc>
        <w:tc>
          <w:tcPr>
            <w:tcW w:w="958" w:type="pct"/>
            <w:tcMar>
              <w:top w:w="12" w:type="dxa"/>
              <w:left w:w="12" w:type="dxa"/>
              <w:bottom w:w="0" w:type="dxa"/>
              <w:right w:w="12" w:type="dxa"/>
            </w:tcMar>
            <w:vAlign w:val="center"/>
            <w:hideMark/>
          </w:tcPr>
          <w:p w14:paraId="5932E403" w14:textId="77777777" w:rsidR="00E72F0C" w:rsidRDefault="00107901">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越南</w:t>
            </w:r>
          </w:p>
        </w:tc>
        <w:tc>
          <w:tcPr>
            <w:tcW w:w="814" w:type="pct"/>
            <w:tcMar>
              <w:top w:w="12" w:type="dxa"/>
              <w:left w:w="12" w:type="dxa"/>
              <w:bottom w:w="0" w:type="dxa"/>
              <w:right w:w="12" w:type="dxa"/>
            </w:tcMar>
            <w:vAlign w:val="center"/>
            <w:hideMark/>
          </w:tcPr>
          <w:p w14:paraId="10623BAE" w14:textId="77777777" w:rsidR="00E72F0C" w:rsidRDefault="00107901">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美元</w:t>
            </w:r>
          </w:p>
        </w:tc>
        <w:tc>
          <w:tcPr>
            <w:tcW w:w="1240" w:type="pct"/>
            <w:tcMar>
              <w:top w:w="12" w:type="dxa"/>
              <w:left w:w="12" w:type="dxa"/>
              <w:bottom w:w="0" w:type="dxa"/>
              <w:right w:w="12" w:type="dxa"/>
            </w:tcMar>
            <w:vAlign w:val="center"/>
            <w:hideMark/>
          </w:tcPr>
          <w:p w14:paraId="23984DF7" w14:textId="77777777" w:rsidR="00E72F0C" w:rsidRDefault="00107901">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业务收支主要货币</w:t>
            </w:r>
          </w:p>
        </w:tc>
      </w:tr>
      <w:tr w:rsidR="00E72F0C" w14:paraId="3C02787A" w14:textId="77777777" w:rsidTr="00F84867">
        <w:trPr>
          <w:divId w:val="106391497"/>
          <w:trHeight w:val="327"/>
        </w:trPr>
        <w:tc>
          <w:tcPr>
            <w:tcW w:w="1987" w:type="pct"/>
            <w:tcMar>
              <w:top w:w="12" w:type="dxa"/>
              <w:left w:w="12" w:type="dxa"/>
              <w:bottom w:w="0" w:type="dxa"/>
              <w:right w:w="12" w:type="dxa"/>
            </w:tcMar>
            <w:vAlign w:val="center"/>
            <w:hideMark/>
          </w:tcPr>
          <w:p w14:paraId="3767A8A3" w14:textId="77777777" w:rsidR="00E72F0C" w:rsidRDefault="00107901">
            <w:pPr>
              <w:pStyle w:val="a3"/>
              <w:spacing w:before="0" w:beforeAutospacing="0" w:after="0" w:afterAutospacing="0"/>
              <w:jc w:val="center"/>
              <w:rPr>
                <w:rFonts w:ascii="Times New Roman" w:hAnsi="Times New Roman" w:cs="Times New Roman"/>
                <w:sz w:val="21"/>
                <w:szCs w:val="21"/>
              </w:rPr>
            </w:pPr>
            <w:proofErr w:type="spellStart"/>
            <w:r>
              <w:rPr>
                <w:rFonts w:ascii="Times New Roman" w:hAnsi="Times New Roman" w:cs="Times New Roman"/>
                <w:sz w:val="18"/>
                <w:szCs w:val="18"/>
              </w:rPr>
              <w:t>Talesun</w:t>
            </w:r>
            <w:proofErr w:type="spellEnd"/>
            <w:r>
              <w:rPr>
                <w:rFonts w:ascii="Times New Roman" w:hAnsi="Times New Roman" w:cs="Times New Roman"/>
                <w:sz w:val="18"/>
                <w:szCs w:val="18"/>
              </w:rPr>
              <w:t xml:space="preserve"> Greenpower Tech </w:t>
            </w:r>
            <w:proofErr w:type="spellStart"/>
            <w:r>
              <w:rPr>
                <w:rFonts w:ascii="Times New Roman" w:hAnsi="Times New Roman" w:cs="Times New Roman"/>
                <w:sz w:val="18"/>
                <w:szCs w:val="18"/>
              </w:rPr>
              <w:t>co.,ltd</w:t>
            </w:r>
            <w:proofErr w:type="spellEnd"/>
          </w:p>
        </w:tc>
        <w:tc>
          <w:tcPr>
            <w:tcW w:w="958" w:type="pct"/>
            <w:tcMar>
              <w:top w:w="12" w:type="dxa"/>
              <w:left w:w="12" w:type="dxa"/>
              <w:bottom w:w="0" w:type="dxa"/>
              <w:right w:w="12" w:type="dxa"/>
            </w:tcMar>
            <w:vAlign w:val="center"/>
            <w:hideMark/>
          </w:tcPr>
          <w:p w14:paraId="1EBD49BC" w14:textId="77777777" w:rsidR="00E72F0C" w:rsidRDefault="00107901">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泰国</w:t>
            </w:r>
          </w:p>
        </w:tc>
        <w:tc>
          <w:tcPr>
            <w:tcW w:w="814" w:type="pct"/>
            <w:tcMar>
              <w:top w:w="12" w:type="dxa"/>
              <w:left w:w="12" w:type="dxa"/>
              <w:bottom w:w="0" w:type="dxa"/>
              <w:right w:w="12" w:type="dxa"/>
            </w:tcMar>
            <w:vAlign w:val="center"/>
            <w:hideMark/>
          </w:tcPr>
          <w:p w14:paraId="5EC286F0" w14:textId="77777777" w:rsidR="00E72F0C" w:rsidRDefault="00107901">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泰铢</w:t>
            </w:r>
          </w:p>
        </w:tc>
        <w:tc>
          <w:tcPr>
            <w:tcW w:w="1240" w:type="pct"/>
            <w:tcMar>
              <w:top w:w="12" w:type="dxa"/>
              <w:left w:w="12" w:type="dxa"/>
              <w:bottom w:w="0" w:type="dxa"/>
              <w:right w:w="12" w:type="dxa"/>
            </w:tcMar>
            <w:vAlign w:val="center"/>
            <w:hideMark/>
          </w:tcPr>
          <w:p w14:paraId="67BF96A0" w14:textId="77777777" w:rsidR="00E72F0C" w:rsidRDefault="00107901">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业务收支主要货币</w:t>
            </w:r>
          </w:p>
        </w:tc>
      </w:tr>
    </w:tbl>
    <w:p w14:paraId="0DD3DE9D" w14:textId="77777777" w:rsidR="00632E5B" w:rsidRDefault="00107901">
      <w:pPr>
        <w:pStyle w:val="3"/>
        <w:spacing w:line="280" w:lineRule="exact"/>
        <w:jc w:val="left"/>
        <w:rPr>
          <w:rFonts w:ascii="宋体" w:hAnsi="宋体" w:cs="宋体" w:hint="eastAsia"/>
          <w:b/>
          <w:bCs/>
        </w:rPr>
      </w:pPr>
      <w:bookmarkStart w:id="341" w:name="_Toc989227"/>
      <w:r>
        <w:rPr>
          <w:rFonts w:ascii="宋体" w:hAnsi="宋体" w:cs="宋体"/>
          <w:b/>
          <w:bCs/>
        </w:rPr>
        <w:t>62、租赁</w:t>
      </w:r>
      <w:bookmarkEnd w:id="341"/>
    </w:p>
    <w:p w14:paraId="140FD5A6"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342" w:name="_Toc989228"/>
      <w:r>
        <w:rPr>
          <w:rFonts w:ascii="宋体" w:eastAsia="宋体" w:hAnsi="宋体" w:cs="宋体"/>
          <w:b/>
          <w:bCs/>
          <w:szCs w:val="21"/>
        </w:rPr>
        <w:t>（1） 本公司作为承租方</w:t>
      </w:r>
      <w:bookmarkEnd w:id="342"/>
    </w:p>
    <w:p w14:paraId="3E840604"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69E79095"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未纳入租赁负债计量的可变租赁付款额</w:t>
      </w:r>
    </w:p>
    <w:p w14:paraId="73A288C1"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D655225"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简化处理的短期租赁或低价值资产的租赁费用</w:t>
      </w:r>
    </w:p>
    <w:p w14:paraId="730D1CFF"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80"/>
        <w:gridCol w:w="2247"/>
      </w:tblGrid>
      <w:tr w:rsidR="00E72F0C" w:rsidRPr="00695EAE" w14:paraId="1600B647" w14:textId="77777777" w:rsidTr="00695EAE">
        <w:trPr>
          <w:divId w:val="1587379878"/>
          <w:trHeight w:val="90"/>
          <w:tblHeader/>
        </w:trPr>
        <w:tc>
          <w:tcPr>
            <w:tcW w:w="3833" w:type="pct"/>
            <w:tcMar>
              <w:top w:w="0" w:type="dxa"/>
              <w:left w:w="108" w:type="dxa"/>
              <w:bottom w:w="0" w:type="dxa"/>
              <w:right w:w="108" w:type="dxa"/>
            </w:tcMar>
            <w:hideMark/>
          </w:tcPr>
          <w:p w14:paraId="591E4E62" w14:textId="77777777" w:rsidR="00E72F0C" w:rsidRPr="00695EAE" w:rsidRDefault="00107901">
            <w:pPr>
              <w:pStyle w:val="a3"/>
              <w:autoSpaceDE w:val="0"/>
              <w:autoSpaceDN w:val="0"/>
              <w:snapToGrid w:val="0"/>
              <w:spacing w:line="90" w:lineRule="atLeast"/>
              <w:jc w:val="center"/>
              <w:textAlignment w:val="bottom"/>
              <w:rPr>
                <w:rFonts w:asciiTheme="minorEastAsia" w:eastAsiaTheme="minorEastAsia" w:hAnsiTheme="minorEastAsia" w:hint="eastAsia"/>
              </w:rPr>
            </w:pPr>
            <w:r w:rsidRPr="00695EAE">
              <w:rPr>
                <w:rFonts w:asciiTheme="minorEastAsia" w:eastAsiaTheme="minorEastAsia" w:hAnsiTheme="minorEastAsia" w:hint="eastAsia"/>
                <w:color w:val="000000"/>
                <w:sz w:val="18"/>
                <w:szCs w:val="18"/>
              </w:rPr>
              <w:t>项目</w:t>
            </w:r>
          </w:p>
        </w:tc>
        <w:tc>
          <w:tcPr>
            <w:tcW w:w="1167" w:type="pct"/>
            <w:tcMar>
              <w:top w:w="0" w:type="dxa"/>
              <w:left w:w="108" w:type="dxa"/>
              <w:bottom w:w="0" w:type="dxa"/>
              <w:right w:w="108" w:type="dxa"/>
            </w:tcMar>
            <w:hideMark/>
          </w:tcPr>
          <w:p w14:paraId="7AB1E73B" w14:textId="77777777" w:rsidR="00E72F0C" w:rsidRPr="00695EAE" w:rsidRDefault="00107901">
            <w:pPr>
              <w:pStyle w:val="a3"/>
              <w:autoSpaceDE w:val="0"/>
              <w:autoSpaceDN w:val="0"/>
              <w:snapToGrid w:val="0"/>
              <w:spacing w:line="90" w:lineRule="atLeast"/>
              <w:jc w:val="center"/>
              <w:textAlignment w:val="bottom"/>
              <w:rPr>
                <w:rFonts w:asciiTheme="minorEastAsia" w:eastAsiaTheme="minorEastAsia" w:hAnsiTheme="minorEastAsia" w:hint="eastAsia"/>
              </w:rPr>
            </w:pPr>
            <w:r w:rsidRPr="00695EAE">
              <w:rPr>
                <w:rFonts w:asciiTheme="minorEastAsia" w:eastAsiaTheme="minorEastAsia" w:hAnsiTheme="minorEastAsia" w:hint="eastAsia"/>
                <w:color w:val="000000"/>
                <w:sz w:val="18"/>
                <w:szCs w:val="18"/>
              </w:rPr>
              <w:t>金额</w:t>
            </w:r>
          </w:p>
        </w:tc>
      </w:tr>
      <w:tr w:rsidR="00E72F0C" w:rsidRPr="00695EAE" w14:paraId="28F6831C" w14:textId="77777777" w:rsidTr="00695EAE">
        <w:trPr>
          <w:divId w:val="1587379878"/>
        </w:trPr>
        <w:tc>
          <w:tcPr>
            <w:tcW w:w="3833" w:type="pct"/>
            <w:tcMar>
              <w:top w:w="0" w:type="dxa"/>
              <w:left w:w="108" w:type="dxa"/>
              <w:bottom w:w="0" w:type="dxa"/>
              <w:right w:w="108" w:type="dxa"/>
            </w:tcMar>
            <w:hideMark/>
          </w:tcPr>
          <w:p w14:paraId="345D6E60" w14:textId="77777777" w:rsidR="00E72F0C" w:rsidRPr="00695EAE" w:rsidRDefault="00107901">
            <w:pPr>
              <w:pStyle w:val="a3"/>
              <w:autoSpaceDE w:val="0"/>
              <w:autoSpaceDN w:val="0"/>
              <w:snapToGrid w:val="0"/>
              <w:spacing w:line="360" w:lineRule="atLeast"/>
              <w:textAlignment w:val="bottom"/>
              <w:rPr>
                <w:rFonts w:asciiTheme="minorEastAsia" w:eastAsiaTheme="minorEastAsia" w:hAnsiTheme="minorEastAsia" w:hint="eastAsia"/>
              </w:rPr>
            </w:pPr>
            <w:r w:rsidRPr="00695EAE">
              <w:rPr>
                <w:rFonts w:asciiTheme="minorEastAsia" w:eastAsiaTheme="minorEastAsia" w:hAnsiTheme="minorEastAsia" w:hint="eastAsia"/>
                <w:color w:val="000000"/>
                <w:sz w:val="18"/>
                <w:szCs w:val="18"/>
              </w:rPr>
              <w:t>计入当期损益的短期租赁费用</w:t>
            </w:r>
          </w:p>
        </w:tc>
        <w:tc>
          <w:tcPr>
            <w:tcW w:w="1167" w:type="pct"/>
            <w:tcMar>
              <w:top w:w="0" w:type="dxa"/>
              <w:left w:w="108" w:type="dxa"/>
              <w:bottom w:w="0" w:type="dxa"/>
              <w:right w:w="108" w:type="dxa"/>
            </w:tcMar>
            <w:vAlign w:val="center"/>
            <w:hideMark/>
          </w:tcPr>
          <w:p w14:paraId="7F6035A2" w14:textId="77777777" w:rsidR="00E72F0C" w:rsidRPr="00695EAE"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695EAE">
              <w:rPr>
                <w:rFonts w:asciiTheme="minorEastAsia" w:eastAsiaTheme="minorEastAsia" w:hAnsiTheme="minorEastAsia" w:cs="Arial"/>
                <w:color w:val="000000"/>
                <w:sz w:val="18"/>
                <w:szCs w:val="18"/>
              </w:rPr>
              <w:t>23,942,240.92</w:t>
            </w:r>
          </w:p>
        </w:tc>
      </w:tr>
      <w:tr w:rsidR="00E72F0C" w:rsidRPr="00695EAE" w14:paraId="1D6C9062" w14:textId="77777777" w:rsidTr="00695EAE">
        <w:trPr>
          <w:divId w:val="1587379878"/>
        </w:trPr>
        <w:tc>
          <w:tcPr>
            <w:tcW w:w="3833" w:type="pct"/>
            <w:tcMar>
              <w:top w:w="0" w:type="dxa"/>
              <w:left w:w="108" w:type="dxa"/>
              <w:bottom w:w="0" w:type="dxa"/>
              <w:right w:w="108" w:type="dxa"/>
            </w:tcMar>
            <w:hideMark/>
          </w:tcPr>
          <w:p w14:paraId="14109B5F" w14:textId="77777777" w:rsidR="00E72F0C" w:rsidRPr="00695EAE" w:rsidRDefault="00107901">
            <w:pPr>
              <w:pStyle w:val="a3"/>
              <w:autoSpaceDE w:val="0"/>
              <w:autoSpaceDN w:val="0"/>
              <w:snapToGrid w:val="0"/>
              <w:spacing w:line="360" w:lineRule="atLeast"/>
              <w:textAlignment w:val="bottom"/>
              <w:rPr>
                <w:rFonts w:asciiTheme="minorEastAsia" w:eastAsiaTheme="minorEastAsia" w:hAnsiTheme="minorEastAsia" w:hint="eastAsia"/>
              </w:rPr>
            </w:pPr>
            <w:r w:rsidRPr="00695EAE">
              <w:rPr>
                <w:rFonts w:asciiTheme="minorEastAsia" w:eastAsiaTheme="minorEastAsia" w:hAnsiTheme="minorEastAsia" w:hint="eastAsia"/>
                <w:color w:val="000000"/>
                <w:sz w:val="18"/>
                <w:szCs w:val="18"/>
              </w:rPr>
              <w:t>低价值资产租赁费用</w:t>
            </w:r>
          </w:p>
        </w:tc>
        <w:tc>
          <w:tcPr>
            <w:tcW w:w="1167" w:type="pct"/>
            <w:tcMar>
              <w:top w:w="0" w:type="dxa"/>
              <w:left w:w="108" w:type="dxa"/>
              <w:bottom w:w="0" w:type="dxa"/>
              <w:right w:w="108" w:type="dxa"/>
            </w:tcMar>
            <w:hideMark/>
          </w:tcPr>
          <w:p w14:paraId="5C2548F4" w14:textId="77777777" w:rsidR="00E72F0C" w:rsidRPr="00695EAE" w:rsidRDefault="00107901">
            <w:pPr>
              <w:pStyle w:val="a3"/>
              <w:autoSpaceDE w:val="0"/>
              <w:autoSpaceDN w:val="0"/>
              <w:snapToGrid w:val="0"/>
              <w:spacing w:line="360" w:lineRule="atLeast"/>
              <w:jc w:val="right"/>
              <w:textAlignment w:val="bottom"/>
              <w:rPr>
                <w:rFonts w:asciiTheme="minorEastAsia" w:eastAsiaTheme="minorEastAsia" w:hAnsiTheme="minorEastAsia" w:hint="eastAsia"/>
              </w:rPr>
            </w:pPr>
            <w:r w:rsidRPr="00695EAE">
              <w:rPr>
                <w:rFonts w:asciiTheme="minorEastAsia" w:eastAsiaTheme="minorEastAsia" w:hAnsiTheme="minorEastAsia" w:cs="Arial"/>
                <w:color w:val="000000"/>
                <w:sz w:val="15"/>
                <w:szCs w:val="15"/>
              </w:rPr>
              <w:t> </w:t>
            </w:r>
          </w:p>
        </w:tc>
      </w:tr>
      <w:tr w:rsidR="00E72F0C" w:rsidRPr="00695EAE" w14:paraId="5EC46A53" w14:textId="77777777" w:rsidTr="00695EAE">
        <w:trPr>
          <w:divId w:val="1587379878"/>
        </w:trPr>
        <w:tc>
          <w:tcPr>
            <w:tcW w:w="3833" w:type="pct"/>
            <w:tcMar>
              <w:top w:w="0" w:type="dxa"/>
              <w:left w:w="108" w:type="dxa"/>
              <w:bottom w:w="0" w:type="dxa"/>
              <w:right w:w="108" w:type="dxa"/>
            </w:tcMar>
            <w:hideMark/>
          </w:tcPr>
          <w:p w14:paraId="68EBCDF9" w14:textId="77777777" w:rsidR="00E72F0C" w:rsidRPr="00695EAE" w:rsidRDefault="00107901">
            <w:pPr>
              <w:pStyle w:val="a3"/>
              <w:autoSpaceDE w:val="0"/>
              <w:autoSpaceDN w:val="0"/>
              <w:snapToGrid w:val="0"/>
              <w:spacing w:line="360" w:lineRule="atLeast"/>
              <w:textAlignment w:val="bottom"/>
              <w:rPr>
                <w:rFonts w:asciiTheme="minorEastAsia" w:eastAsiaTheme="minorEastAsia" w:hAnsiTheme="minorEastAsia" w:hint="eastAsia"/>
              </w:rPr>
            </w:pPr>
            <w:r w:rsidRPr="00695EAE">
              <w:rPr>
                <w:rFonts w:asciiTheme="minorEastAsia" w:eastAsiaTheme="minorEastAsia" w:hAnsiTheme="minorEastAsia" w:hint="eastAsia"/>
                <w:color w:val="000000"/>
                <w:sz w:val="18"/>
                <w:szCs w:val="18"/>
              </w:rPr>
              <w:t>计入当期损益的未纳入租赁负债计量的可变租赁付款额</w:t>
            </w:r>
          </w:p>
        </w:tc>
        <w:tc>
          <w:tcPr>
            <w:tcW w:w="1167" w:type="pct"/>
            <w:tcMar>
              <w:top w:w="0" w:type="dxa"/>
              <w:left w:w="108" w:type="dxa"/>
              <w:bottom w:w="0" w:type="dxa"/>
              <w:right w:w="108" w:type="dxa"/>
            </w:tcMar>
            <w:hideMark/>
          </w:tcPr>
          <w:p w14:paraId="3949C983" w14:textId="77777777" w:rsidR="00E72F0C" w:rsidRPr="00695EAE" w:rsidRDefault="00107901">
            <w:pPr>
              <w:pStyle w:val="a3"/>
              <w:autoSpaceDE w:val="0"/>
              <w:autoSpaceDN w:val="0"/>
              <w:snapToGrid w:val="0"/>
              <w:spacing w:line="360" w:lineRule="atLeast"/>
              <w:jc w:val="right"/>
              <w:textAlignment w:val="bottom"/>
              <w:rPr>
                <w:rFonts w:asciiTheme="minorEastAsia" w:eastAsiaTheme="minorEastAsia" w:hAnsiTheme="minorEastAsia" w:hint="eastAsia"/>
              </w:rPr>
            </w:pPr>
            <w:r w:rsidRPr="00695EAE">
              <w:rPr>
                <w:rFonts w:asciiTheme="minorEastAsia" w:eastAsiaTheme="minorEastAsia" w:hAnsiTheme="minorEastAsia" w:cs="Arial"/>
                <w:color w:val="000000"/>
                <w:sz w:val="15"/>
                <w:szCs w:val="15"/>
              </w:rPr>
              <w:t> </w:t>
            </w:r>
          </w:p>
        </w:tc>
      </w:tr>
      <w:tr w:rsidR="00E72F0C" w:rsidRPr="00695EAE" w14:paraId="6A1341EE" w14:textId="77777777" w:rsidTr="00695EAE">
        <w:trPr>
          <w:divId w:val="1587379878"/>
        </w:trPr>
        <w:tc>
          <w:tcPr>
            <w:tcW w:w="3833" w:type="pct"/>
            <w:tcMar>
              <w:top w:w="0" w:type="dxa"/>
              <w:left w:w="108" w:type="dxa"/>
              <w:bottom w:w="0" w:type="dxa"/>
              <w:right w:w="108" w:type="dxa"/>
            </w:tcMar>
            <w:hideMark/>
          </w:tcPr>
          <w:p w14:paraId="302FD3C9" w14:textId="77777777" w:rsidR="00E72F0C" w:rsidRPr="00695EAE" w:rsidRDefault="00107901">
            <w:pPr>
              <w:pStyle w:val="a3"/>
              <w:autoSpaceDE w:val="0"/>
              <w:autoSpaceDN w:val="0"/>
              <w:snapToGrid w:val="0"/>
              <w:spacing w:line="360" w:lineRule="atLeast"/>
              <w:textAlignment w:val="bottom"/>
              <w:rPr>
                <w:rFonts w:asciiTheme="minorEastAsia" w:eastAsiaTheme="minorEastAsia" w:hAnsiTheme="minorEastAsia" w:hint="eastAsia"/>
              </w:rPr>
            </w:pPr>
            <w:r w:rsidRPr="00695EAE">
              <w:rPr>
                <w:rFonts w:asciiTheme="minorEastAsia" w:eastAsiaTheme="minorEastAsia" w:hAnsiTheme="minorEastAsia" w:hint="eastAsia"/>
                <w:color w:val="000000"/>
                <w:sz w:val="18"/>
                <w:szCs w:val="18"/>
              </w:rPr>
              <w:t>转租使用权资产取得的收入</w:t>
            </w:r>
          </w:p>
        </w:tc>
        <w:tc>
          <w:tcPr>
            <w:tcW w:w="1167" w:type="pct"/>
            <w:tcMar>
              <w:top w:w="0" w:type="dxa"/>
              <w:left w:w="108" w:type="dxa"/>
              <w:bottom w:w="0" w:type="dxa"/>
              <w:right w:w="108" w:type="dxa"/>
            </w:tcMar>
            <w:hideMark/>
          </w:tcPr>
          <w:p w14:paraId="35DC937F" w14:textId="77777777" w:rsidR="00E72F0C" w:rsidRPr="00695EAE" w:rsidRDefault="00107901">
            <w:pPr>
              <w:pStyle w:val="a3"/>
              <w:autoSpaceDE w:val="0"/>
              <w:autoSpaceDN w:val="0"/>
              <w:snapToGrid w:val="0"/>
              <w:spacing w:line="360" w:lineRule="atLeast"/>
              <w:jc w:val="right"/>
              <w:textAlignment w:val="bottom"/>
              <w:rPr>
                <w:rFonts w:asciiTheme="minorEastAsia" w:eastAsiaTheme="minorEastAsia" w:hAnsiTheme="minorEastAsia" w:hint="eastAsia"/>
              </w:rPr>
            </w:pPr>
            <w:r w:rsidRPr="00695EAE">
              <w:rPr>
                <w:rFonts w:asciiTheme="minorEastAsia" w:eastAsiaTheme="minorEastAsia" w:hAnsiTheme="minorEastAsia" w:cs="Arial"/>
                <w:color w:val="000000"/>
                <w:sz w:val="15"/>
                <w:szCs w:val="15"/>
              </w:rPr>
              <w:t> </w:t>
            </w:r>
          </w:p>
        </w:tc>
      </w:tr>
      <w:tr w:rsidR="00E72F0C" w:rsidRPr="00695EAE" w14:paraId="21998580" w14:textId="77777777" w:rsidTr="00695EAE">
        <w:trPr>
          <w:divId w:val="1587379878"/>
        </w:trPr>
        <w:tc>
          <w:tcPr>
            <w:tcW w:w="3833" w:type="pct"/>
            <w:tcMar>
              <w:top w:w="0" w:type="dxa"/>
              <w:left w:w="108" w:type="dxa"/>
              <w:bottom w:w="0" w:type="dxa"/>
              <w:right w:w="108" w:type="dxa"/>
            </w:tcMar>
            <w:hideMark/>
          </w:tcPr>
          <w:p w14:paraId="7FD53CA5" w14:textId="77777777" w:rsidR="00E72F0C" w:rsidRPr="00695EAE" w:rsidRDefault="00107901">
            <w:pPr>
              <w:pStyle w:val="a3"/>
              <w:autoSpaceDE w:val="0"/>
              <w:autoSpaceDN w:val="0"/>
              <w:snapToGrid w:val="0"/>
              <w:spacing w:line="360" w:lineRule="atLeast"/>
              <w:textAlignment w:val="bottom"/>
              <w:rPr>
                <w:rFonts w:asciiTheme="minorEastAsia" w:eastAsiaTheme="minorEastAsia" w:hAnsiTheme="minorEastAsia" w:hint="eastAsia"/>
              </w:rPr>
            </w:pPr>
            <w:r w:rsidRPr="00695EAE">
              <w:rPr>
                <w:rFonts w:asciiTheme="minorEastAsia" w:eastAsiaTheme="minorEastAsia" w:hAnsiTheme="minorEastAsia" w:hint="eastAsia"/>
                <w:color w:val="000000"/>
                <w:sz w:val="18"/>
                <w:szCs w:val="18"/>
              </w:rPr>
              <w:t>与租赁相关的总现金流出</w:t>
            </w:r>
          </w:p>
        </w:tc>
        <w:tc>
          <w:tcPr>
            <w:tcW w:w="1167" w:type="pct"/>
            <w:tcMar>
              <w:top w:w="0" w:type="dxa"/>
              <w:left w:w="108" w:type="dxa"/>
              <w:bottom w:w="0" w:type="dxa"/>
              <w:right w:w="108" w:type="dxa"/>
            </w:tcMar>
            <w:vAlign w:val="bottom"/>
            <w:hideMark/>
          </w:tcPr>
          <w:p w14:paraId="32848971" w14:textId="77777777" w:rsidR="00E72F0C" w:rsidRPr="00695EAE"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695EAE">
              <w:rPr>
                <w:rFonts w:asciiTheme="minorEastAsia" w:eastAsiaTheme="minorEastAsia" w:hAnsiTheme="minorEastAsia" w:cs="Arial"/>
                <w:color w:val="000000"/>
                <w:sz w:val="18"/>
                <w:szCs w:val="18"/>
              </w:rPr>
              <w:t xml:space="preserve">5,172,560.13 </w:t>
            </w:r>
          </w:p>
        </w:tc>
      </w:tr>
      <w:tr w:rsidR="00E72F0C" w:rsidRPr="00695EAE" w14:paraId="26900A58" w14:textId="77777777" w:rsidTr="00695EAE">
        <w:trPr>
          <w:divId w:val="1587379878"/>
        </w:trPr>
        <w:tc>
          <w:tcPr>
            <w:tcW w:w="3833" w:type="pct"/>
            <w:tcMar>
              <w:top w:w="0" w:type="dxa"/>
              <w:left w:w="108" w:type="dxa"/>
              <w:bottom w:w="0" w:type="dxa"/>
              <w:right w:w="108" w:type="dxa"/>
            </w:tcMar>
            <w:hideMark/>
          </w:tcPr>
          <w:p w14:paraId="19A343FD" w14:textId="77777777" w:rsidR="00E72F0C" w:rsidRPr="00695EAE" w:rsidRDefault="00107901">
            <w:pPr>
              <w:pStyle w:val="a3"/>
              <w:autoSpaceDE w:val="0"/>
              <w:autoSpaceDN w:val="0"/>
              <w:snapToGrid w:val="0"/>
              <w:spacing w:line="360" w:lineRule="atLeast"/>
              <w:textAlignment w:val="bottom"/>
              <w:rPr>
                <w:rFonts w:asciiTheme="minorEastAsia" w:eastAsiaTheme="minorEastAsia" w:hAnsiTheme="minorEastAsia" w:hint="eastAsia"/>
              </w:rPr>
            </w:pPr>
            <w:r w:rsidRPr="00695EAE">
              <w:rPr>
                <w:rFonts w:asciiTheme="minorEastAsia" w:eastAsiaTheme="minorEastAsia" w:hAnsiTheme="minorEastAsia" w:hint="eastAsia"/>
                <w:color w:val="000000"/>
                <w:sz w:val="18"/>
                <w:szCs w:val="18"/>
              </w:rPr>
              <w:t>售后租回交易产生的相关损益</w:t>
            </w:r>
          </w:p>
        </w:tc>
        <w:tc>
          <w:tcPr>
            <w:tcW w:w="1167" w:type="pct"/>
            <w:tcMar>
              <w:top w:w="0" w:type="dxa"/>
              <w:left w:w="108" w:type="dxa"/>
              <w:bottom w:w="0" w:type="dxa"/>
              <w:right w:w="108" w:type="dxa"/>
            </w:tcMar>
            <w:hideMark/>
          </w:tcPr>
          <w:p w14:paraId="2773F523" w14:textId="77777777" w:rsidR="00E72F0C" w:rsidRPr="00695EAE" w:rsidRDefault="00107901">
            <w:pPr>
              <w:pStyle w:val="a3"/>
              <w:autoSpaceDE w:val="0"/>
              <w:autoSpaceDN w:val="0"/>
              <w:snapToGrid w:val="0"/>
              <w:spacing w:line="360" w:lineRule="atLeast"/>
              <w:jc w:val="right"/>
              <w:textAlignment w:val="bottom"/>
              <w:rPr>
                <w:rFonts w:asciiTheme="minorEastAsia" w:eastAsiaTheme="minorEastAsia" w:hAnsiTheme="minorEastAsia" w:hint="eastAsia"/>
              </w:rPr>
            </w:pPr>
            <w:r w:rsidRPr="00695EAE">
              <w:rPr>
                <w:rFonts w:asciiTheme="minorEastAsia" w:eastAsiaTheme="minorEastAsia" w:hAnsiTheme="minorEastAsia"/>
                <w:color w:val="000000"/>
                <w:sz w:val="18"/>
                <w:szCs w:val="18"/>
              </w:rPr>
              <w:t> </w:t>
            </w:r>
          </w:p>
        </w:tc>
      </w:tr>
      <w:tr w:rsidR="00E72F0C" w:rsidRPr="00695EAE" w14:paraId="457B125D" w14:textId="77777777" w:rsidTr="00695EAE">
        <w:trPr>
          <w:divId w:val="1587379878"/>
        </w:trPr>
        <w:tc>
          <w:tcPr>
            <w:tcW w:w="3833" w:type="pct"/>
            <w:tcMar>
              <w:top w:w="0" w:type="dxa"/>
              <w:left w:w="108" w:type="dxa"/>
              <w:bottom w:w="0" w:type="dxa"/>
              <w:right w:w="108" w:type="dxa"/>
            </w:tcMar>
            <w:hideMark/>
          </w:tcPr>
          <w:p w14:paraId="7EE9A882" w14:textId="77777777" w:rsidR="00E72F0C" w:rsidRPr="00695EAE" w:rsidRDefault="00107901">
            <w:pPr>
              <w:pStyle w:val="a3"/>
              <w:autoSpaceDE w:val="0"/>
              <w:autoSpaceDN w:val="0"/>
              <w:snapToGrid w:val="0"/>
              <w:spacing w:line="360" w:lineRule="atLeast"/>
              <w:textAlignment w:val="bottom"/>
              <w:rPr>
                <w:rFonts w:asciiTheme="minorEastAsia" w:eastAsiaTheme="minorEastAsia" w:hAnsiTheme="minorEastAsia" w:hint="eastAsia"/>
              </w:rPr>
            </w:pPr>
            <w:r w:rsidRPr="00695EAE">
              <w:rPr>
                <w:rFonts w:asciiTheme="minorEastAsia" w:eastAsiaTheme="minorEastAsia" w:hAnsiTheme="minorEastAsia" w:hint="eastAsia"/>
                <w:color w:val="000000"/>
                <w:sz w:val="18"/>
                <w:szCs w:val="18"/>
              </w:rPr>
              <w:t>其他</w:t>
            </w:r>
            <w:r w:rsidRPr="00695EAE">
              <w:rPr>
                <w:rFonts w:asciiTheme="minorEastAsia" w:eastAsiaTheme="minorEastAsia" w:hAnsiTheme="minorEastAsia"/>
                <w:color w:val="000000"/>
                <w:sz w:val="18"/>
                <w:szCs w:val="18"/>
              </w:rPr>
              <w:t xml:space="preserve"> </w:t>
            </w:r>
          </w:p>
        </w:tc>
        <w:tc>
          <w:tcPr>
            <w:tcW w:w="1167" w:type="pct"/>
            <w:tcMar>
              <w:top w:w="0" w:type="dxa"/>
              <w:left w:w="108" w:type="dxa"/>
              <w:bottom w:w="0" w:type="dxa"/>
              <w:right w:w="108" w:type="dxa"/>
            </w:tcMar>
            <w:hideMark/>
          </w:tcPr>
          <w:p w14:paraId="64F27B8F" w14:textId="77777777" w:rsidR="00E72F0C" w:rsidRPr="00695EAE" w:rsidRDefault="00107901">
            <w:pPr>
              <w:pStyle w:val="a3"/>
              <w:autoSpaceDE w:val="0"/>
              <w:autoSpaceDN w:val="0"/>
              <w:snapToGrid w:val="0"/>
              <w:spacing w:line="360" w:lineRule="atLeast"/>
              <w:jc w:val="right"/>
              <w:textAlignment w:val="bottom"/>
              <w:rPr>
                <w:rFonts w:asciiTheme="minorEastAsia" w:eastAsiaTheme="minorEastAsia" w:hAnsiTheme="minorEastAsia" w:hint="eastAsia"/>
              </w:rPr>
            </w:pPr>
            <w:r w:rsidRPr="00695EAE">
              <w:rPr>
                <w:rFonts w:asciiTheme="minorEastAsia" w:eastAsiaTheme="minorEastAsia" w:hAnsiTheme="minorEastAsia"/>
                <w:color w:val="000000"/>
                <w:sz w:val="18"/>
                <w:szCs w:val="18"/>
              </w:rPr>
              <w:t> </w:t>
            </w:r>
          </w:p>
        </w:tc>
      </w:tr>
    </w:tbl>
    <w:p w14:paraId="0878A768"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343" w:name="_Toc989229"/>
      <w:r>
        <w:rPr>
          <w:rFonts w:ascii="宋体" w:eastAsia="宋体" w:hAnsi="宋体" w:cs="宋体"/>
          <w:b/>
          <w:bCs/>
          <w:szCs w:val="21"/>
        </w:rPr>
        <w:t>（2） 本公司作为出租方</w:t>
      </w:r>
      <w:bookmarkEnd w:id="343"/>
    </w:p>
    <w:p w14:paraId="17BAF396"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作为出租人的经营租赁</w:t>
      </w:r>
    </w:p>
    <w:p w14:paraId="7A1F7ACF"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24B755AE"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0E19C14E" w14:textId="77777777" w:rsidTr="00F05317">
        <w:trPr>
          <w:trHeight w:val="240"/>
        </w:trPr>
        <w:tc>
          <w:tcPr>
            <w:tcW w:w="3213" w:type="dxa"/>
            <w:shd w:val="clear" w:color="auto" w:fill="FFFFFF" w:themeFill="background1"/>
            <w:vAlign w:val="center"/>
          </w:tcPr>
          <w:p w14:paraId="285EBF1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55D4B44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租赁收入</w:t>
            </w:r>
          </w:p>
        </w:tc>
        <w:tc>
          <w:tcPr>
            <w:tcW w:w="3213" w:type="dxa"/>
            <w:shd w:val="clear" w:color="auto" w:fill="FFFFFF" w:themeFill="background1"/>
            <w:vAlign w:val="center"/>
          </w:tcPr>
          <w:p w14:paraId="5C1433F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其中：未计入租赁收款额的可变租赁付款额相关的收入</w:t>
            </w:r>
          </w:p>
        </w:tc>
      </w:tr>
      <w:tr w:rsidR="00632E5B" w14:paraId="628DFEDA" w14:textId="77777777" w:rsidTr="00F05317">
        <w:trPr>
          <w:trHeight w:val="240"/>
        </w:trPr>
        <w:tc>
          <w:tcPr>
            <w:tcW w:w="3213" w:type="dxa"/>
            <w:shd w:val="clear" w:color="auto" w:fill="FFFFFF" w:themeFill="background1"/>
            <w:vAlign w:val="center"/>
          </w:tcPr>
          <w:p w14:paraId="0D19808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房产出租</w:t>
            </w:r>
          </w:p>
        </w:tc>
        <w:tc>
          <w:tcPr>
            <w:tcW w:w="3213" w:type="dxa"/>
            <w:shd w:val="clear" w:color="auto" w:fill="FFFFFF" w:themeFill="background1"/>
            <w:vAlign w:val="center"/>
          </w:tcPr>
          <w:p w14:paraId="2663FDC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3,156,213.77</w:t>
            </w:r>
          </w:p>
        </w:tc>
        <w:tc>
          <w:tcPr>
            <w:tcW w:w="3213" w:type="dxa"/>
            <w:shd w:val="clear" w:color="auto" w:fill="FFFFFF" w:themeFill="background1"/>
            <w:vAlign w:val="center"/>
          </w:tcPr>
          <w:p w14:paraId="650A989F" w14:textId="77777777" w:rsidR="00632E5B" w:rsidRDefault="00632E5B">
            <w:pPr>
              <w:spacing w:line="240" w:lineRule="exact"/>
              <w:jc w:val="right"/>
              <w:rPr>
                <w:rFonts w:ascii="宋体" w:eastAsia="宋体" w:hAnsi="宋体" w:cs="宋体" w:hint="eastAsia"/>
                <w:sz w:val="18"/>
                <w:szCs w:val="18"/>
              </w:rPr>
            </w:pPr>
          </w:p>
        </w:tc>
      </w:tr>
      <w:tr w:rsidR="00632E5B" w14:paraId="578EFA97" w14:textId="77777777" w:rsidTr="00F05317">
        <w:trPr>
          <w:trHeight w:val="240"/>
        </w:trPr>
        <w:tc>
          <w:tcPr>
            <w:tcW w:w="3213" w:type="dxa"/>
            <w:shd w:val="clear" w:color="auto" w:fill="FFFFFF" w:themeFill="background1"/>
            <w:vAlign w:val="center"/>
          </w:tcPr>
          <w:p w14:paraId="7C76CB0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7457E9F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3,156,213.77</w:t>
            </w:r>
          </w:p>
        </w:tc>
        <w:tc>
          <w:tcPr>
            <w:tcW w:w="3213" w:type="dxa"/>
            <w:shd w:val="clear" w:color="auto" w:fill="FFFFFF" w:themeFill="background1"/>
            <w:vAlign w:val="center"/>
          </w:tcPr>
          <w:p w14:paraId="6BB69C16" w14:textId="77777777" w:rsidR="00632E5B" w:rsidRDefault="00632E5B">
            <w:pPr>
              <w:spacing w:line="240" w:lineRule="exact"/>
              <w:jc w:val="right"/>
              <w:rPr>
                <w:rFonts w:ascii="宋体" w:eastAsia="宋体" w:hAnsi="宋体" w:cs="宋体" w:hint="eastAsia"/>
                <w:sz w:val="18"/>
                <w:szCs w:val="18"/>
              </w:rPr>
            </w:pPr>
          </w:p>
        </w:tc>
      </w:tr>
    </w:tbl>
    <w:p w14:paraId="233063C6"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作为出租人的融资租赁</w:t>
      </w:r>
    </w:p>
    <w:p w14:paraId="12707282"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EE594F4"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未来五年每年未折现租赁收款额</w:t>
      </w:r>
    </w:p>
    <w:p w14:paraId="48904987"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1F4C5534" w14:textId="77777777" w:rsidR="00632E5B" w:rsidRDefault="00107901">
      <w:pPr>
        <w:pStyle w:val="3"/>
        <w:spacing w:line="280" w:lineRule="exact"/>
        <w:jc w:val="left"/>
        <w:rPr>
          <w:rFonts w:ascii="宋体" w:hAnsi="宋体" w:cs="宋体" w:hint="eastAsia"/>
          <w:b/>
          <w:bCs/>
        </w:rPr>
      </w:pPr>
      <w:bookmarkStart w:id="344" w:name="_Toc989230"/>
      <w:r>
        <w:rPr>
          <w:rFonts w:ascii="宋体" w:hAnsi="宋体" w:cs="宋体"/>
          <w:b/>
          <w:bCs/>
        </w:rPr>
        <w:lastRenderedPageBreak/>
        <w:t>63、研发支出</w:t>
      </w:r>
      <w:bookmarkEnd w:id="344"/>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9"/>
        <w:gridCol w:w="3313"/>
        <w:gridCol w:w="3313"/>
      </w:tblGrid>
      <w:tr w:rsidR="00E72F0C" w:rsidRPr="00F84867" w14:paraId="15B6CBBD" w14:textId="77777777" w:rsidTr="00F84867">
        <w:trPr>
          <w:divId w:val="1989479842"/>
          <w:trHeight w:val="289"/>
        </w:trPr>
        <w:tc>
          <w:tcPr>
            <w:tcW w:w="3219" w:type="dxa"/>
            <w:noWrap/>
            <w:tcMar>
              <w:top w:w="15" w:type="dxa"/>
              <w:left w:w="15" w:type="dxa"/>
              <w:bottom w:w="0" w:type="dxa"/>
              <w:right w:w="15" w:type="dxa"/>
            </w:tcMar>
            <w:vAlign w:val="center"/>
            <w:hideMark/>
          </w:tcPr>
          <w:p w14:paraId="4E6D7253" w14:textId="77777777" w:rsidR="00E72F0C" w:rsidRPr="00F84867" w:rsidRDefault="00107901">
            <w:pPr>
              <w:pStyle w:val="a3"/>
              <w:spacing w:before="0" w:beforeAutospacing="0" w:after="0" w:afterAutospacing="0"/>
              <w:jc w:val="center"/>
              <w:rPr>
                <w:rFonts w:asciiTheme="minorEastAsia" w:eastAsiaTheme="minorEastAsia" w:hAnsiTheme="minorEastAsia" w:cs="Calibri" w:hint="eastAsia"/>
                <w:sz w:val="21"/>
                <w:szCs w:val="21"/>
              </w:rPr>
            </w:pPr>
            <w:r w:rsidRPr="00F84867">
              <w:rPr>
                <w:rStyle w:val="a4"/>
                <w:rFonts w:asciiTheme="minorEastAsia" w:eastAsiaTheme="minorEastAsia" w:hAnsiTheme="minorEastAsia" w:cs="Calibri" w:hint="eastAsia"/>
                <w:color w:val="000000"/>
                <w:sz w:val="18"/>
                <w:szCs w:val="18"/>
              </w:rPr>
              <w:t>费用性质</w:t>
            </w:r>
          </w:p>
        </w:tc>
        <w:tc>
          <w:tcPr>
            <w:tcW w:w="3313" w:type="dxa"/>
            <w:tcMar>
              <w:top w:w="15" w:type="dxa"/>
              <w:left w:w="15" w:type="dxa"/>
              <w:bottom w:w="0" w:type="dxa"/>
              <w:right w:w="15" w:type="dxa"/>
            </w:tcMar>
            <w:vAlign w:val="center"/>
            <w:hideMark/>
          </w:tcPr>
          <w:p w14:paraId="57C7AA1A" w14:textId="77777777" w:rsidR="00E72F0C" w:rsidRPr="00F84867" w:rsidRDefault="00107901">
            <w:pPr>
              <w:pStyle w:val="a3"/>
              <w:spacing w:before="0" w:beforeAutospacing="0" w:after="0" w:afterAutospacing="0"/>
              <w:jc w:val="center"/>
              <w:rPr>
                <w:rFonts w:asciiTheme="minorEastAsia" w:eastAsiaTheme="minorEastAsia" w:hAnsiTheme="minorEastAsia" w:cs="Calibri" w:hint="eastAsia"/>
                <w:sz w:val="21"/>
                <w:szCs w:val="21"/>
              </w:rPr>
            </w:pPr>
            <w:r w:rsidRPr="00F84867">
              <w:rPr>
                <w:rStyle w:val="a4"/>
                <w:rFonts w:asciiTheme="minorEastAsia" w:eastAsiaTheme="minorEastAsia" w:hAnsiTheme="minorEastAsia" w:cs="Calibri" w:hint="eastAsia"/>
                <w:color w:val="000000"/>
                <w:sz w:val="18"/>
                <w:szCs w:val="18"/>
              </w:rPr>
              <w:t>本期发生额</w:t>
            </w:r>
          </w:p>
        </w:tc>
        <w:tc>
          <w:tcPr>
            <w:tcW w:w="3313" w:type="dxa"/>
            <w:noWrap/>
            <w:tcMar>
              <w:top w:w="15" w:type="dxa"/>
              <w:left w:w="15" w:type="dxa"/>
              <w:bottom w:w="0" w:type="dxa"/>
              <w:right w:w="15" w:type="dxa"/>
            </w:tcMar>
            <w:vAlign w:val="center"/>
            <w:hideMark/>
          </w:tcPr>
          <w:p w14:paraId="21D57A05" w14:textId="77777777" w:rsidR="00E72F0C" w:rsidRPr="00F84867" w:rsidRDefault="00107901">
            <w:pPr>
              <w:pStyle w:val="a3"/>
              <w:spacing w:before="0" w:beforeAutospacing="0" w:after="0" w:afterAutospacing="0"/>
              <w:jc w:val="center"/>
              <w:rPr>
                <w:rFonts w:asciiTheme="minorEastAsia" w:eastAsiaTheme="minorEastAsia" w:hAnsiTheme="minorEastAsia" w:cs="Calibri" w:hint="eastAsia"/>
                <w:sz w:val="21"/>
                <w:szCs w:val="21"/>
              </w:rPr>
            </w:pPr>
            <w:r w:rsidRPr="00F84867">
              <w:rPr>
                <w:rStyle w:val="a4"/>
                <w:rFonts w:asciiTheme="minorEastAsia" w:eastAsiaTheme="minorEastAsia" w:hAnsiTheme="minorEastAsia" w:cs="Calibri" w:hint="eastAsia"/>
                <w:color w:val="000000"/>
                <w:sz w:val="18"/>
                <w:szCs w:val="18"/>
              </w:rPr>
              <w:t>上期发生额</w:t>
            </w:r>
          </w:p>
        </w:tc>
      </w:tr>
      <w:tr w:rsidR="00E72F0C" w:rsidRPr="00F84867" w14:paraId="74D4E7A9" w14:textId="77777777" w:rsidTr="00F84867">
        <w:trPr>
          <w:divId w:val="1989479842"/>
          <w:trHeight w:val="289"/>
        </w:trPr>
        <w:tc>
          <w:tcPr>
            <w:tcW w:w="0" w:type="auto"/>
            <w:noWrap/>
            <w:tcMar>
              <w:top w:w="15" w:type="dxa"/>
              <w:left w:w="15" w:type="dxa"/>
              <w:bottom w:w="0" w:type="dxa"/>
              <w:right w:w="15" w:type="dxa"/>
            </w:tcMar>
            <w:vAlign w:val="center"/>
            <w:hideMark/>
          </w:tcPr>
          <w:p w14:paraId="20B2D4CC" w14:textId="77777777" w:rsidR="00E72F0C" w:rsidRPr="00F84867" w:rsidRDefault="00107901">
            <w:pPr>
              <w:pStyle w:val="a3"/>
              <w:spacing w:before="0" w:beforeAutospacing="0" w:after="0" w:afterAutospacing="0"/>
              <w:jc w:val="both"/>
              <w:rPr>
                <w:rFonts w:asciiTheme="minorEastAsia" w:eastAsiaTheme="minorEastAsia" w:hAnsiTheme="minorEastAsia" w:cs="Calibri" w:hint="eastAsia"/>
                <w:sz w:val="21"/>
                <w:szCs w:val="21"/>
              </w:rPr>
            </w:pPr>
            <w:r w:rsidRPr="00F84867">
              <w:rPr>
                <w:rFonts w:asciiTheme="minorEastAsia" w:eastAsiaTheme="minorEastAsia" w:hAnsiTheme="minorEastAsia" w:cs="Calibri" w:hint="eastAsia"/>
                <w:color w:val="000000"/>
                <w:sz w:val="18"/>
                <w:szCs w:val="18"/>
              </w:rPr>
              <w:t>职工薪酬</w:t>
            </w:r>
          </w:p>
        </w:tc>
        <w:tc>
          <w:tcPr>
            <w:tcW w:w="3313" w:type="dxa"/>
            <w:tcMar>
              <w:top w:w="15" w:type="dxa"/>
              <w:left w:w="15" w:type="dxa"/>
              <w:bottom w:w="0" w:type="dxa"/>
              <w:right w:w="15" w:type="dxa"/>
            </w:tcMar>
            <w:vAlign w:val="center"/>
            <w:hideMark/>
          </w:tcPr>
          <w:p w14:paraId="079A665D" w14:textId="77777777" w:rsidR="00E72F0C" w:rsidRPr="00F84867" w:rsidRDefault="00107901">
            <w:pPr>
              <w:pStyle w:val="a3"/>
              <w:spacing w:before="0" w:beforeAutospacing="0" w:after="0" w:afterAutospacing="0"/>
              <w:jc w:val="right"/>
              <w:rPr>
                <w:rFonts w:asciiTheme="minorEastAsia" w:eastAsiaTheme="minorEastAsia" w:hAnsiTheme="minorEastAsia" w:cs="Calibri" w:hint="eastAsia"/>
                <w:sz w:val="21"/>
                <w:szCs w:val="21"/>
              </w:rPr>
            </w:pPr>
            <w:r w:rsidRPr="00F84867">
              <w:rPr>
                <w:rFonts w:asciiTheme="minorEastAsia" w:eastAsiaTheme="minorEastAsia" w:hAnsiTheme="minorEastAsia" w:cs="Arial"/>
                <w:color w:val="000000"/>
                <w:sz w:val="18"/>
                <w:szCs w:val="18"/>
              </w:rPr>
              <w:t>20,859,328.80</w:t>
            </w:r>
          </w:p>
        </w:tc>
        <w:tc>
          <w:tcPr>
            <w:tcW w:w="3313" w:type="dxa"/>
            <w:tcMar>
              <w:top w:w="15" w:type="dxa"/>
              <w:left w:w="15" w:type="dxa"/>
              <w:bottom w:w="0" w:type="dxa"/>
              <w:right w:w="15" w:type="dxa"/>
            </w:tcMar>
            <w:vAlign w:val="center"/>
            <w:hideMark/>
          </w:tcPr>
          <w:p w14:paraId="49559F81" w14:textId="77777777" w:rsidR="00E72F0C" w:rsidRPr="00F84867" w:rsidRDefault="00107901">
            <w:pPr>
              <w:pStyle w:val="a3"/>
              <w:spacing w:before="0" w:beforeAutospacing="0" w:after="0" w:afterAutospacing="0"/>
              <w:jc w:val="right"/>
              <w:rPr>
                <w:rFonts w:asciiTheme="minorEastAsia" w:eastAsiaTheme="minorEastAsia" w:hAnsiTheme="minorEastAsia" w:cs="Calibri" w:hint="eastAsia"/>
                <w:sz w:val="21"/>
                <w:szCs w:val="21"/>
              </w:rPr>
            </w:pPr>
            <w:r w:rsidRPr="00F84867">
              <w:rPr>
                <w:rFonts w:asciiTheme="minorEastAsia" w:eastAsiaTheme="minorEastAsia" w:hAnsiTheme="minorEastAsia" w:cs="Arial"/>
                <w:color w:val="000000"/>
                <w:sz w:val="18"/>
                <w:szCs w:val="18"/>
              </w:rPr>
              <w:t>43,681,488.20</w:t>
            </w:r>
          </w:p>
        </w:tc>
      </w:tr>
      <w:tr w:rsidR="00E72F0C" w:rsidRPr="00F84867" w14:paraId="27BC5335" w14:textId="77777777" w:rsidTr="00F84867">
        <w:trPr>
          <w:divId w:val="1989479842"/>
          <w:trHeight w:val="289"/>
        </w:trPr>
        <w:tc>
          <w:tcPr>
            <w:tcW w:w="0" w:type="auto"/>
            <w:noWrap/>
            <w:tcMar>
              <w:top w:w="15" w:type="dxa"/>
              <w:left w:w="15" w:type="dxa"/>
              <w:bottom w:w="0" w:type="dxa"/>
              <w:right w:w="15" w:type="dxa"/>
            </w:tcMar>
            <w:vAlign w:val="center"/>
            <w:hideMark/>
          </w:tcPr>
          <w:p w14:paraId="26C82965" w14:textId="77777777" w:rsidR="00E72F0C" w:rsidRPr="00F84867" w:rsidRDefault="00107901">
            <w:pPr>
              <w:pStyle w:val="a3"/>
              <w:spacing w:before="0" w:beforeAutospacing="0" w:after="0" w:afterAutospacing="0"/>
              <w:jc w:val="both"/>
              <w:rPr>
                <w:rFonts w:asciiTheme="minorEastAsia" w:eastAsiaTheme="minorEastAsia" w:hAnsiTheme="minorEastAsia" w:cs="Calibri" w:hint="eastAsia"/>
                <w:sz w:val="21"/>
                <w:szCs w:val="21"/>
              </w:rPr>
            </w:pPr>
            <w:r w:rsidRPr="00F84867">
              <w:rPr>
                <w:rFonts w:asciiTheme="minorEastAsia" w:eastAsiaTheme="minorEastAsia" w:hAnsiTheme="minorEastAsia" w:cs="Calibri" w:hint="eastAsia"/>
                <w:color w:val="000000"/>
                <w:sz w:val="18"/>
                <w:szCs w:val="18"/>
              </w:rPr>
              <w:t>材料费</w:t>
            </w:r>
          </w:p>
        </w:tc>
        <w:tc>
          <w:tcPr>
            <w:tcW w:w="3313" w:type="dxa"/>
            <w:tcMar>
              <w:top w:w="15" w:type="dxa"/>
              <w:left w:w="15" w:type="dxa"/>
              <w:bottom w:w="0" w:type="dxa"/>
              <w:right w:w="15" w:type="dxa"/>
            </w:tcMar>
            <w:vAlign w:val="center"/>
            <w:hideMark/>
          </w:tcPr>
          <w:p w14:paraId="67E8C9DA" w14:textId="77777777" w:rsidR="00E72F0C" w:rsidRPr="00F84867" w:rsidRDefault="00107901">
            <w:pPr>
              <w:pStyle w:val="a3"/>
              <w:spacing w:before="0" w:beforeAutospacing="0" w:after="0" w:afterAutospacing="0"/>
              <w:jc w:val="right"/>
              <w:rPr>
                <w:rFonts w:asciiTheme="minorEastAsia" w:eastAsiaTheme="minorEastAsia" w:hAnsiTheme="minorEastAsia" w:cs="Calibri" w:hint="eastAsia"/>
                <w:sz w:val="21"/>
                <w:szCs w:val="21"/>
              </w:rPr>
            </w:pPr>
            <w:r w:rsidRPr="00F84867">
              <w:rPr>
                <w:rFonts w:asciiTheme="minorEastAsia" w:eastAsiaTheme="minorEastAsia" w:hAnsiTheme="minorEastAsia" w:cs="Arial"/>
                <w:color w:val="000000"/>
                <w:sz w:val="18"/>
                <w:szCs w:val="18"/>
              </w:rPr>
              <w:t>19,594,943.25</w:t>
            </w:r>
          </w:p>
        </w:tc>
        <w:tc>
          <w:tcPr>
            <w:tcW w:w="3313" w:type="dxa"/>
            <w:tcMar>
              <w:top w:w="15" w:type="dxa"/>
              <w:left w:w="15" w:type="dxa"/>
              <w:bottom w:w="0" w:type="dxa"/>
              <w:right w:w="15" w:type="dxa"/>
            </w:tcMar>
            <w:vAlign w:val="center"/>
            <w:hideMark/>
          </w:tcPr>
          <w:p w14:paraId="689498F1" w14:textId="77777777" w:rsidR="00E72F0C" w:rsidRPr="00F84867" w:rsidRDefault="00107901">
            <w:pPr>
              <w:pStyle w:val="a3"/>
              <w:spacing w:before="0" w:beforeAutospacing="0" w:after="0" w:afterAutospacing="0"/>
              <w:jc w:val="right"/>
              <w:rPr>
                <w:rFonts w:asciiTheme="minorEastAsia" w:eastAsiaTheme="minorEastAsia" w:hAnsiTheme="minorEastAsia" w:cs="Calibri" w:hint="eastAsia"/>
                <w:sz w:val="21"/>
                <w:szCs w:val="21"/>
              </w:rPr>
            </w:pPr>
            <w:r w:rsidRPr="00F84867">
              <w:rPr>
                <w:rFonts w:asciiTheme="minorEastAsia" w:eastAsiaTheme="minorEastAsia" w:hAnsiTheme="minorEastAsia" w:cs="Arial"/>
                <w:color w:val="000000"/>
                <w:sz w:val="18"/>
                <w:szCs w:val="18"/>
              </w:rPr>
              <w:t>47,051,773.02</w:t>
            </w:r>
          </w:p>
        </w:tc>
      </w:tr>
      <w:tr w:rsidR="00E72F0C" w:rsidRPr="00F84867" w14:paraId="26DD3D97" w14:textId="77777777" w:rsidTr="00F84867">
        <w:trPr>
          <w:divId w:val="1989479842"/>
          <w:trHeight w:val="289"/>
        </w:trPr>
        <w:tc>
          <w:tcPr>
            <w:tcW w:w="0" w:type="auto"/>
            <w:noWrap/>
            <w:tcMar>
              <w:top w:w="15" w:type="dxa"/>
              <w:left w:w="15" w:type="dxa"/>
              <w:bottom w:w="0" w:type="dxa"/>
              <w:right w:w="15" w:type="dxa"/>
            </w:tcMar>
            <w:vAlign w:val="center"/>
            <w:hideMark/>
          </w:tcPr>
          <w:p w14:paraId="7ED0E32E" w14:textId="77777777" w:rsidR="00E72F0C" w:rsidRPr="00F84867" w:rsidRDefault="00107901">
            <w:pPr>
              <w:pStyle w:val="a3"/>
              <w:spacing w:before="0" w:beforeAutospacing="0" w:after="0" w:afterAutospacing="0"/>
              <w:jc w:val="both"/>
              <w:rPr>
                <w:rFonts w:asciiTheme="minorEastAsia" w:eastAsiaTheme="minorEastAsia" w:hAnsiTheme="minorEastAsia" w:cs="Calibri" w:hint="eastAsia"/>
                <w:sz w:val="21"/>
                <w:szCs w:val="21"/>
              </w:rPr>
            </w:pPr>
            <w:r w:rsidRPr="00F84867">
              <w:rPr>
                <w:rFonts w:asciiTheme="minorEastAsia" w:eastAsiaTheme="minorEastAsia" w:hAnsiTheme="minorEastAsia" w:cs="Calibri" w:hint="eastAsia"/>
                <w:color w:val="000000"/>
                <w:sz w:val="18"/>
                <w:szCs w:val="18"/>
              </w:rPr>
              <w:t>研发设备折旧</w:t>
            </w:r>
          </w:p>
        </w:tc>
        <w:tc>
          <w:tcPr>
            <w:tcW w:w="3313" w:type="dxa"/>
            <w:tcMar>
              <w:top w:w="15" w:type="dxa"/>
              <w:left w:w="15" w:type="dxa"/>
              <w:bottom w:w="0" w:type="dxa"/>
              <w:right w:w="15" w:type="dxa"/>
            </w:tcMar>
            <w:vAlign w:val="center"/>
            <w:hideMark/>
          </w:tcPr>
          <w:p w14:paraId="2EA84E21" w14:textId="77777777" w:rsidR="00E72F0C" w:rsidRPr="00F84867" w:rsidRDefault="00107901">
            <w:pPr>
              <w:pStyle w:val="a3"/>
              <w:spacing w:before="0" w:beforeAutospacing="0" w:after="0" w:afterAutospacing="0"/>
              <w:jc w:val="right"/>
              <w:rPr>
                <w:rFonts w:asciiTheme="minorEastAsia" w:eastAsiaTheme="minorEastAsia" w:hAnsiTheme="minorEastAsia" w:cs="Calibri" w:hint="eastAsia"/>
                <w:sz w:val="21"/>
                <w:szCs w:val="21"/>
              </w:rPr>
            </w:pPr>
            <w:r w:rsidRPr="00F84867">
              <w:rPr>
                <w:rFonts w:asciiTheme="minorEastAsia" w:eastAsiaTheme="minorEastAsia" w:hAnsiTheme="minorEastAsia" w:cs="Arial"/>
                <w:color w:val="000000"/>
                <w:sz w:val="18"/>
                <w:szCs w:val="18"/>
              </w:rPr>
              <w:t>1,364,835.73</w:t>
            </w:r>
          </w:p>
        </w:tc>
        <w:tc>
          <w:tcPr>
            <w:tcW w:w="3313" w:type="dxa"/>
            <w:tcMar>
              <w:top w:w="15" w:type="dxa"/>
              <w:left w:w="15" w:type="dxa"/>
              <w:bottom w:w="0" w:type="dxa"/>
              <w:right w:w="15" w:type="dxa"/>
            </w:tcMar>
            <w:vAlign w:val="center"/>
            <w:hideMark/>
          </w:tcPr>
          <w:p w14:paraId="09CA098E" w14:textId="77777777" w:rsidR="00E72F0C" w:rsidRPr="00F84867" w:rsidRDefault="00107901">
            <w:pPr>
              <w:pStyle w:val="a3"/>
              <w:spacing w:before="0" w:beforeAutospacing="0" w:after="0" w:afterAutospacing="0"/>
              <w:jc w:val="right"/>
              <w:rPr>
                <w:rFonts w:asciiTheme="minorEastAsia" w:eastAsiaTheme="minorEastAsia" w:hAnsiTheme="minorEastAsia" w:cs="Calibri" w:hint="eastAsia"/>
                <w:sz w:val="21"/>
                <w:szCs w:val="21"/>
              </w:rPr>
            </w:pPr>
            <w:r w:rsidRPr="00F84867">
              <w:rPr>
                <w:rFonts w:asciiTheme="minorEastAsia" w:eastAsiaTheme="minorEastAsia" w:hAnsiTheme="minorEastAsia" w:cs="Arial"/>
                <w:color w:val="000000"/>
                <w:sz w:val="18"/>
                <w:szCs w:val="18"/>
              </w:rPr>
              <w:t>6,324,023.44</w:t>
            </w:r>
          </w:p>
        </w:tc>
      </w:tr>
      <w:tr w:rsidR="00E72F0C" w:rsidRPr="00F84867" w14:paraId="0F004896" w14:textId="77777777" w:rsidTr="00F84867">
        <w:trPr>
          <w:divId w:val="1989479842"/>
          <w:trHeight w:val="289"/>
        </w:trPr>
        <w:tc>
          <w:tcPr>
            <w:tcW w:w="0" w:type="auto"/>
            <w:noWrap/>
            <w:tcMar>
              <w:top w:w="15" w:type="dxa"/>
              <w:left w:w="15" w:type="dxa"/>
              <w:bottom w:w="0" w:type="dxa"/>
              <w:right w:w="15" w:type="dxa"/>
            </w:tcMar>
            <w:vAlign w:val="center"/>
            <w:hideMark/>
          </w:tcPr>
          <w:p w14:paraId="10909BC1" w14:textId="77777777" w:rsidR="00E72F0C" w:rsidRPr="00F84867" w:rsidRDefault="00107901">
            <w:pPr>
              <w:pStyle w:val="a3"/>
              <w:spacing w:before="0" w:beforeAutospacing="0" w:after="0" w:afterAutospacing="0"/>
              <w:jc w:val="both"/>
              <w:rPr>
                <w:rFonts w:asciiTheme="minorEastAsia" w:eastAsiaTheme="minorEastAsia" w:hAnsiTheme="minorEastAsia" w:cs="Calibri" w:hint="eastAsia"/>
                <w:sz w:val="21"/>
                <w:szCs w:val="21"/>
              </w:rPr>
            </w:pPr>
            <w:r w:rsidRPr="00F84867">
              <w:rPr>
                <w:rFonts w:asciiTheme="minorEastAsia" w:eastAsiaTheme="minorEastAsia" w:hAnsiTheme="minorEastAsia" w:cs="Calibri" w:hint="eastAsia"/>
                <w:color w:val="000000"/>
                <w:sz w:val="18"/>
                <w:szCs w:val="18"/>
              </w:rPr>
              <w:t>其他</w:t>
            </w:r>
            <w:r w:rsidRPr="00F84867">
              <w:rPr>
                <w:rFonts w:asciiTheme="minorEastAsia" w:eastAsiaTheme="minorEastAsia" w:hAnsiTheme="minorEastAsia" w:cs="Calibri"/>
                <w:color w:val="000000"/>
                <w:sz w:val="18"/>
                <w:szCs w:val="18"/>
              </w:rPr>
              <w:t> </w:t>
            </w:r>
          </w:p>
        </w:tc>
        <w:tc>
          <w:tcPr>
            <w:tcW w:w="3313" w:type="dxa"/>
            <w:tcMar>
              <w:top w:w="15" w:type="dxa"/>
              <w:left w:w="15" w:type="dxa"/>
              <w:bottom w:w="0" w:type="dxa"/>
              <w:right w:w="15" w:type="dxa"/>
            </w:tcMar>
            <w:vAlign w:val="center"/>
            <w:hideMark/>
          </w:tcPr>
          <w:p w14:paraId="16B4030C" w14:textId="77777777" w:rsidR="00E72F0C" w:rsidRPr="00F84867" w:rsidRDefault="00107901">
            <w:pPr>
              <w:pStyle w:val="a3"/>
              <w:spacing w:before="0" w:beforeAutospacing="0" w:after="0" w:afterAutospacing="0"/>
              <w:jc w:val="right"/>
              <w:rPr>
                <w:rFonts w:asciiTheme="minorEastAsia" w:eastAsiaTheme="minorEastAsia" w:hAnsiTheme="minorEastAsia" w:cs="Calibri" w:hint="eastAsia"/>
                <w:sz w:val="21"/>
                <w:szCs w:val="21"/>
              </w:rPr>
            </w:pPr>
            <w:r w:rsidRPr="00F84867">
              <w:rPr>
                <w:rFonts w:asciiTheme="minorEastAsia" w:eastAsiaTheme="minorEastAsia" w:hAnsiTheme="minorEastAsia" w:cs="Arial"/>
                <w:color w:val="000000"/>
                <w:sz w:val="18"/>
                <w:szCs w:val="18"/>
              </w:rPr>
              <w:t>9,945,489.45</w:t>
            </w:r>
          </w:p>
        </w:tc>
        <w:tc>
          <w:tcPr>
            <w:tcW w:w="3313" w:type="dxa"/>
            <w:tcMar>
              <w:top w:w="15" w:type="dxa"/>
              <w:left w:w="15" w:type="dxa"/>
              <w:bottom w:w="0" w:type="dxa"/>
              <w:right w:w="15" w:type="dxa"/>
            </w:tcMar>
            <w:vAlign w:val="center"/>
            <w:hideMark/>
          </w:tcPr>
          <w:p w14:paraId="12E5A539" w14:textId="77777777" w:rsidR="00E72F0C" w:rsidRPr="00F84867" w:rsidRDefault="00107901">
            <w:pPr>
              <w:pStyle w:val="a3"/>
              <w:spacing w:before="0" w:beforeAutospacing="0" w:after="0" w:afterAutospacing="0"/>
              <w:jc w:val="right"/>
              <w:rPr>
                <w:rFonts w:asciiTheme="minorEastAsia" w:eastAsiaTheme="minorEastAsia" w:hAnsiTheme="minorEastAsia" w:cs="Calibri" w:hint="eastAsia"/>
                <w:sz w:val="21"/>
                <w:szCs w:val="21"/>
              </w:rPr>
            </w:pPr>
            <w:r w:rsidRPr="00F84867">
              <w:rPr>
                <w:rFonts w:asciiTheme="minorEastAsia" w:eastAsiaTheme="minorEastAsia" w:hAnsiTheme="minorEastAsia" w:cs="Arial"/>
                <w:color w:val="000000"/>
                <w:sz w:val="18"/>
                <w:szCs w:val="18"/>
              </w:rPr>
              <w:t>16,001,842.54</w:t>
            </w:r>
          </w:p>
        </w:tc>
      </w:tr>
      <w:tr w:rsidR="00E72F0C" w:rsidRPr="00F84867" w14:paraId="1ED3EF29" w14:textId="77777777" w:rsidTr="00F84867">
        <w:trPr>
          <w:divId w:val="1989479842"/>
          <w:trHeight w:val="289"/>
        </w:trPr>
        <w:tc>
          <w:tcPr>
            <w:tcW w:w="0" w:type="auto"/>
            <w:noWrap/>
            <w:tcMar>
              <w:top w:w="15" w:type="dxa"/>
              <w:left w:w="15" w:type="dxa"/>
              <w:bottom w:w="0" w:type="dxa"/>
              <w:right w:w="15" w:type="dxa"/>
            </w:tcMar>
            <w:vAlign w:val="center"/>
            <w:hideMark/>
          </w:tcPr>
          <w:p w14:paraId="18ED63E8" w14:textId="77777777" w:rsidR="00E72F0C" w:rsidRPr="00F84867" w:rsidRDefault="00107901">
            <w:pPr>
              <w:pStyle w:val="a3"/>
              <w:spacing w:before="0" w:beforeAutospacing="0" w:after="0" w:afterAutospacing="0"/>
              <w:jc w:val="center"/>
              <w:rPr>
                <w:rFonts w:asciiTheme="minorEastAsia" w:eastAsiaTheme="minorEastAsia" w:hAnsiTheme="minorEastAsia" w:cs="Calibri" w:hint="eastAsia"/>
                <w:sz w:val="21"/>
                <w:szCs w:val="21"/>
              </w:rPr>
            </w:pPr>
            <w:r w:rsidRPr="00F84867">
              <w:rPr>
                <w:rStyle w:val="a4"/>
                <w:rFonts w:asciiTheme="minorEastAsia" w:eastAsiaTheme="minorEastAsia" w:hAnsiTheme="minorEastAsia" w:cs="Calibri" w:hint="eastAsia"/>
                <w:color w:val="000000"/>
                <w:sz w:val="18"/>
                <w:szCs w:val="18"/>
              </w:rPr>
              <w:t>合计</w:t>
            </w:r>
          </w:p>
        </w:tc>
        <w:tc>
          <w:tcPr>
            <w:tcW w:w="3313" w:type="dxa"/>
            <w:tcMar>
              <w:top w:w="15" w:type="dxa"/>
              <w:left w:w="15" w:type="dxa"/>
              <w:bottom w:w="0" w:type="dxa"/>
              <w:right w:w="15" w:type="dxa"/>
            </w:tcMar>
            <w:vAlign w:val="center"/>
            <w:hideMark/>
          </w:tcPr>
          <w:p w14:paraId="661E84B5" w14:textId="77777777" w:rsidR="00E72F0C" w:rsidRPr="00F84867" w:rsidRDefault="00107901">
            <w:pPr>
              <w:pStyle w:val="a3"/>
              <w:spacing w:before="0" w:beforeAutospacing="0" w:after="0" w:afterAutospacing="0"/>
              <w:jc w:val="right"/>
              <w:rPr>
                <w:rFonts w:asciiTheme="minorEastAsia" w:eastAsiaTheme="minorEastAsia" w:hAnsiTheme="minorEastAsia" w:cs="Calibri" w:hint="eastAsia"/>
                <w:sz w:val="21"/>
                <w:szCs w:val="21"/>
              </w:rPr>
            </w:pPr>
            <w:r w:rsidRPr="00F84867">
              <w:rPr>
                <w:rStyle w:val="a4"/>
                <w:rFonts w:asciiTheme="minorEastAsia" w:eastAsiaTheme="minorEastAsia" w:hAnsiTheme="minorEastAsia" w:cs="Arial"/>
                <w:color w:val="000000"/>
                <w:sz w:val="18"/>
                <w:szCs w:val="18"/>
              </w:rPr>
              <w:t>51,764,597.23</w:t>
            </w:r>
          </w:p>
        </w:tc>
        <w:tc>
          <w:tcPr>
            <w:tcW w:w="3313" w:type="dxa"/>
            <w:tcMar>
              <w:top w:w="15" w:type="dxa"/>
              <w:left w:w="15" w:type="dxa"/>
              <w:bottom w:w="0" w:type="dxa"/>
              <w:right w:w="15" w:type="dxa"/>
            </w:tcMar>
            <w:vAlign w:val="center"/>
            <w:hideMark/>
          </w:tcPr>
          <w:p w14:paraId="3BD61442" w14:textId="77777777" w:rsidR="00E72F0C" w:rsidRPr="00F84867" w:rsidRDefault="00107901">
            <w:pPr>
              <w:pStyle w:val="a3"/>
              <w:spacing w:before="0" w:beforeAutospacing="0" w:after="0" w:afterAutospacing="0"/>
              <w:jc w:val="right"/>
              <w:rPr>
                <w:rFonts w:asciiTheme="minorEastAsia" w:eastAsiaTheme="minorEastAsia" w:hAnsiTheme="minorEastAsia" w:cs="Calibri" w:hint="eastAsia"/>
                <w:sz w:val="21"/>
                <w:szCs w:val="21"/>
              </w:rPr>
            </w:pPr>
            <w:r w:rsidRPr="00F84867">
              <w:rPr>
                <w:rStyle w:val="a4"/>
                <w:rFonts w:asciiTheme="minorEastAsia" w:eastAsiaTheme="minorEastAsia" w:hAnsiTheme="minorEastAsia" w:cs="Arial"/>
                <w:color w:val="000000"/>
                <w:sz w:val="18"/>
                <w:szCs w:val="18"/>
              </w:rPr>
              <w:t>113,059,127.20</w:t>
            </w:r>
          </w:p>
        </w:tc>
      </w:tr>
      <w:tr w:rsidR="00E72F0C" w:rsidRPr="00F84867" w14:paraId="60536672" w14:textId="77777777" w:rsidTr="00F84867">
        <w:trPr>
          <w:divId w:val="1989479842"/>
          <w:trHeight w:val="304"/>
        </w:trPr>
        <w:tc>
          <w:tcPr>
            <w:tcW w:w="0" w:type="auto"/>
            <w:noWrap/>
            <w:tcMar>
              <w:top w:w="15" w:type="dxa"/>
              <w:left w:w="15" w:type="dxa"/>
              <w:bottom w:w="0" w:type="dxa"/>
              <w:right w:w="15" w:type="dxa"/>
            </w:tcMar>
            <w:vAlign w:val="center"/>
            <w:hideMark/>
          </w:tcPr>
          <w:p w14:paraId="438AC0CD" w14:textId="77777777" w:rsidR="00E72F0C" w:rsidRPr="00F84867" w:rsidRDefault="00107901">
            <w:pPr>
              <w:pStyle w:val="a3"/>
              <w:spacing w:before="0" w:beforeAutospacing="0" w:after="0" w:afterAutospacing="0"/>
              <w:jc w:val="both"/>
              <w:rPr>
                <w:rFonts w:asciiTheme="minorEastAsia" w:eastAsiaTheme="minorEastAsia" w:hAnsiTheme="minorEastAsia" w:cs="Calibri" w:hint="eastAsia"/>
                <w:sz w:val="21"/>
                <w:szCs w:val="21"/>
              </w:rPr>
            </w:pPr>
            <w:r w:rsidRPr="00F84867">
              <w:rPr>
                <w:rFonts w:asciiTheme="minorEastAsia" w:eastAsiaTheme="minorEastAsia" w:hAnsiTheme="minorEastAsia" w:cs="Calibri" w:hint="eastAsia"/>
                <w:color w:val="000000"/>
                <w:sz w:val="18"/>
                <w:szCs w:val="18"/>
              </w:rPr>
              <w:t>其中：费用化研发支出</w:t>
            </w:r>
          </w:p>
        </w:tc>
        <w:tc>
          <w:tcPr>
            <w:tcW w:w="3313" w:type="dxa"/>
            <w:tcMar>
              <w:top w:w="15" w:type="dxa"/>
              <w:left w:w="15" w:type="dxa"/>
              <w:bottom w:w="0" w:type="dxa"/>
              <w:right w:w="15" w:type="dxa"/>
            </w:tcMar>
            <w:vAlign w:val="center"/>
            <w:hideMark/>
          </w:tcPr>
          <w:p w14:paraId="3D134832" w14:textId="77777777" w:rsidR="00E72F0C" w:rsidRPr="00F84867" w:rsidRDefault="00107901">
            <w:pPr>
              <w:pStyle w:val="a3"/>
              <w:spacing w:before="0" w:beforeAutospacing="0" w:after="0" w:afterAutospacing="0"/>
              <w:jc w:val="right"/>
              <w:rPr>
                <w:rFonts w:asciiTheme="minorEastAsia" w:eastAsiaTheme="minorEastAsia" w:hAnsiTheme="minorEastAsia" w:cs="Calibri" w:hint="eastAsia"/>
                <w:sz w:val="21"/>
                <w:szCs w:val="21"/>
              </w:rPr>
            </w:pPr>
            <w:r w:rsidRPr="00F84867">
              <w:rPr>
                <w:rFonts w:asciiTheme="minorEastAsia" w:eastAsiaTheme="minorEastAsia" w:hAnsiTheme="minorEastAsia" w:cs="Arial"/>
                <w:color w:val="000000"/>
                <w:sz w:val="18"/>
                <w:szCs w:val="18"/>
              </w:rPr>
              <w:t>51,764,597.23</w:t>
            </w:r>
          </w:p>
        </w:tc>
        <w:tc>
          <w:tcPr>
            <w:tcW w:w="3313" w:type="dxa"/>
            <w:tcMar>
              <w:top w:w="15" w:type="dxa"/>
              <w:left w:w="15" w:type="dxa"/>
              <w:bottom w:w="0" w:type="dxa"/>
              <w:right w:w="15" w:type="dxa"/>
            </w:tcMar>
            <w:vAlign w:val="center"/>
            <w:hideMark/>
          </w:tcPr>
          <w:p w14:paraId="27C58A32" w14:textId="77777777" w:rsidR="00E72F0C" w:rsidRPr="00F84867" w:rsidRDefault="00107901">
            <w:pPr>
              <w:pStyle w:val="a3"/>
              <w:spacing w:before="0" w:beforeAutospacing="0" w:after="0" w:afterAutospacing="0"/>
              <w:jc w:val="right"/>
              <w:rPr>
                <w:rFonts w:asciiTheme="minorEastAsia" w:eastAsiaTheme="minorEastAsia" w:hAnsiTheme="minorEastAsia" w:cs="Calibri" w:hint="eastAsia"/>
                <w:sz w:val="21"/>
                <w:szCs w:val="21"/>
              </w:rPr>
            </w:pPr>
            <w:r w:rsidRPr="00F84867">
              <w:rPr>
                <w:rFonts w:asciiTheme="minorEastAsia" w:eastAsiaTheme="minorEastAsia" w:hAnsiTheme="minorEastAsia" w:cs="Arial"/>
                <w:color w:val="000000"/>
                <w:sz w:val="18"/>
                <w:szCs w:val="18"/>
              </w:rPr>
              <w:t>113,059,127.20</w:t>
            </w:r>
          </w:p>
        </w:tc>
      </w:tr>
    </w:tbl>
    <w:p w14:paraId="36671F32" w14:textId="77777777" w:rsidR="00632E5B" w:rsidRDefault="00107901">
      <w:pPr>
        <w:pStyle w:val="2"/>
        <w:spacing w:before="300" w:after="300" w:line="320" w:lineRule="exact"/>
        <w:rPr>
          <w:rFonts w:ascii="宋体" w:eastAsia="宋体" w:hAnsi="宋体" w:cs="宋体" w:hint="eastAsia"/>
          <w:b/>
          <w:bCs/>
          <w:sz w:val="24"/>
          <w:szCs w:val="24"/>
        </w:rPr>
      </w:pPr>
      <w:bookmarkStart w:id="345" w:name="_Toc989231"/>
      <w:r>
        <w:rPr>
          <w:rFonts w:ascii="宋体" w:eastAsia="宋体" w:hAnsi="宋体" w:cs="宋体"/>
          <w:b/>
          <w:bCs/>
          <w:sz w:val="24"/>
          <w:szCs w:val="24"/>
        </w:rPr>
        <w:t>八、合并范围的变更</w:t>
      </w:r>
      <w:bookmarkEnd w:id="345"/>
    </w:p>
    <w:p w14:paraId="2D24A0B3" w14:textId="77777777" w:rsidR="00632E5B" w:rsidRDefault="00107901">
      <w:pPr>
        <w:pStyle w:val="3"/>
        <w:spacing w:line="280" w:lineRule="exact"/>
        <w:jc w:val="left"/>
        <w:rPr>
          <w:rFonts w:ascii="宋体" w:hAnsi="宋体" w:cs="宋体" w:hint="eastAsia"/>
          <w:b/>
          <w:bCs/>
        </w:rPr>
      </w:pPr>
      <w:bookmarkStart w:id="346" w:name="_Toc989232"/>
      <w:r>
        <w:rPr>
          <w:rFonts w:ascii="宋体" w:hAnsi="宋体" w:cs="宋体"/>
          <w:b/>
          <w:bCs/>
        </w:rPr>
        <w:t>1、处置子公司</w:t>
      </w:r>
      <w:bookmarkEnd w:id="346"/>
    </w:p>
    <w:p w14:paraId="7135BD34"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本期是否存在丧失子公司控制权的交易或事项</w:t>
      </w:r>
    </w:p>
    <w:p w14:paraId="35A86D5A"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14:paraId="1977DA1C"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105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742"/>
        <w:gridCol w:w="1274"/>
        <w:gridCol w:w="742"/>
        <w:gridCol w:w="742"/>
        <w:gridCol w:w="742"/>
        <w:gridCol w:w="742"/>
        <w:gridCol w:w="1284"/>
        <w:gridCol w:w="741"/>
        <w:gridCol w:w="741"/>
        <w:gridCol w:w="741"/>
        <w:gridCol w:w="741"/>
        <w:gridCol w:w="741"/>
        <w:gridCol w:w="1081"/>
      </w:tblGrid>
      <w:tr w:rsidR="00632E5B" w14:paraId="7441E715" w14:textId="77777777" w:rsidTr="00F05317">
        <w:trPr>
          <w:trHeight w:val="240"/>
          <w:jc w:val="center"/>
        </w:trPr>
        <w:tc>
          <w:tcPr>
            <w:tcW w:w="742" w:type="dxa"/>
            <w:shd w:val="clear" w:color="auto" w:fill="FFFFFF" w:themeFill="background1"/>
            <w:vAlign w:val="center"/>
          </w:tcPr>
          <w:p w14:paraId="25F7116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子公司名称</w:t>
            </w:r>
          </w:p>
        </w:tc>
        <w:tc>
          <w:tcPr>
            <w:tcW w:w="1274" w:type="dxa"/>
            <w:shd w:val="clear" w:color="auto" w:fill="FFFFFF" w:themeFill="background1"/>
            <w:vAlign w:val="center"/>
          </w:tcPr>
          <w:p w14:paraId="126477B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丧失控制权时点的处置价款</w:t>
            </w:r>
          </w:p>
        </w:tc>
        <w:tc>
          <w:tcPr>
            <w:tcW w:w="742" w:type="dxa"/>
            <w:shd w:val="clear" w:color="auto" w:fill="FFFFFF" w:themeFill="background1"/>
            <w:vAlign w:val="center"/>
          </w:tcPr>
          <w:p w14:paraId="3351574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丧失控制权时点的处置比例</w:t>
            </w:r>
          </w:p>
        </w:tc>
        <w:tc>
          <w:tcPr>
            <w:tcW w:w="742" w:type="dxa"/>
            <w:shd w:val="clear" w:color="auto" w:fill="FFFFFF" w:themeFill="background1"/>
            <w:vAlign w:val="center"/>
          </w:tcPr>
          <w:p w14:paraId="528E610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丧失控制权时点的处置方式</w:t>
            </w:r>
          </w:p>
        </w:tc>
        <w:tc>
          <w:tcPr>
            <w:tcW w:w="742" w:type="dxa"/>
            <w:shd w:val="clear" w:color="auto" w:fill="FFFFFF" w:themeFill="background1"/>
            <w:vAlign w:val="center"/>
          </w:tcPr>
          <w:p w14:paraId="3B2C939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丧失控制权的时点</w:t>
            </w:r>
          </w:p>
        </w:tc>
        <w:tc>
          <w:tcPr>
            <w:tcW w:w="742" w:type="dxa"/>
            <w:shd w:val="clear" w:color="auto" w:fill="FFFFFF" w:themeFill="background1"/>
            <w:vAlign w:val="center"/>
          </w:tcPr>
          <w:p w14:paraId="3827107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丧失控制权时点的判断依据</w:t>
            </w:r>
          </w:p>
        </w:tc>
        <w:tc>
          <w:tcPr>
            <w:tcW w:w="1284" w:type="dxa"/>
            <w:shd w:val="clear" w:color="auto" w:fill="FFFFFF" w:themeFill="background1"/>
            <w:vAlign w:val="center"/>
          </w:tcPr>
          <w:p w14:paraId="4DAEEAA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处置价款与处置投资对应的合并财务报表层面享有该子公司净资产份额的差额</w:t>
            </w:r>
          </w:p>
        </w:tc>
        <w:tc>
          <w:tcPr>
            <w:tcW w:w="741" w:type="dxa"/>
            <w:shd w:val="clear" w:color="auto" w:fill="FFFFFF" w:themeFill="background1"/>
            <w:vAlign w:val="center"/>
          </w:tcPr>
          <w:p w14:paraId="4A6C476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丧失控制权之日剩余股权的比例</w:t>
            </w:r>
          </w:p>
        </w:tc>
        <w:tc>
          <w:tcPr>
            <w:tcW w:w="741" w:type="dxa"/>
            <w:shd w:val="clear" w:color="auto" w:fill="FFFFFF" w:themeFill="background1"/>
            <w:vAlign w:val="center"/>
          </w:tcPr>
          <w:p w14:paraId="36FC329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丧失控制权之日合并财务报表层面剩余股权的账面价值</w:t>
            </w:r>
          </w:p>
        </w:tc>
        <w:tc>
          <w:tcPr>
            <w:tcW w:w="741" w:type="dxa"/>
            <w:shd w:val="clear" w:color="auto" w:fill="FFFFFF" w:themeFill="background1"/>
            <w:vAlign w:val="center"/>
          </w:tcPr>
          <w:p w14:paraId="042E254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丧失控制权之日合并财务报表层面剩余股权的公允价值</w:t>
            </w:r>
          </w:p>
        </w:tc>
        <w:tc>
          <w:tcPr>
            <w:tcW w:w="741" w:type="dxa"/>
            <w:shd w:val="clear" w:color="auto" w:fill="FFFFFF" w:themeFill="background1"/>
            <w:vAlign w:val="center"/>
          </w:tcPr>
          <w:p w14:paraId="7958B46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按照公允价值重新计量剩余股权产生的利得或损失</w:t>
            </w:r>
          </w:p>
        </w:tc>
        <w:tc>
          <w:tcPr>
            <w:tcW w:w="741" w:type="dxa"/>
            <w:shd w:val="clear" w:color="auto" w:fill="FFFFFF" w:themeFill="background1"/>
            <w:vAlign w:val="center"/>
          </w:tcPr>
          <w:p w14:paraId="5B0E130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丧失控制权之日合并财务报表层面剩余股权公允价值的确定方法及主要假设</w:t>
            </w:r>
          </w:p>
        </w:tc>
        <w:tc>
          <w:tcPr>
            <w:tcW w:w="1081" w:type="dxa"/>
            <w:shd w:val="clear" w:color="auto" w:fill="FFFFFF" w:themeFill="background1"/>
            <w:vAlign w:val="center"/>
          </w:tcPr>
          <w:p w14:paraId="45FC1F1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与原子公司股权投资相关的其他综合收益转入投资损益或留存收益的金额</w:t>
            </w:r>
          </w:p>
        </w:tc>
      </w:tr>
      <w:tr w:rsidR="00632E5B" w14:paraId="6EC7B249" w14:textId="77777777" w:rsidTr="00F05317">
        <w:trPr>
          <w:trHeight w:val="240"/>
          <w:jc w:val="center"/>
        </w:trPr>
        <w:tc>
          <w:tcPr>
            <w:tcW w:w="742" w:type="dxa"/>
            <w:shd w:val="clear" w:color="auto" w:fill="FFFFFF" w:themeFill="background1"/>
            <w:vAlign w:val="center"/>
          </w:tcPr>
          <w:p w14:paraId="1F4B0B24" w14:textId="77777777" w:rsidR="00632E5B" w:rsidRDefault="00107901">
            <w:pPr>
              <w:spacing w:line="240" w:lineRule="exact"/>
              <w:rPr>
                <w:rFonts w:ascii="宋体" w:eastAsia="宋体" w:hAnsi="宋体" w:cs="宋体" w:hint="eastAsia"/>
                <w:sz w:val="18"/>
                <w:szCs w:val="18"/>
              </w:rPr>
            </w:pPr>
            <w:proofErr w:type="spellStart"/>
            <w:r>
              <w:rPr>
                <w:rFonts w:ascii="宋体" w:eastAsia="宋体" w:hAnsi="宋体" w:cs="宋体"/>
                <w:sz w:val="18"/>
                <w:szCs w:val="18"/>
              </w:rPr>
              <w:t>Fattoria</w:t>
            </w:r>
            <w:proofErr w:type="spellEnd"/>
            <w:r>
              <w:rPr>
                <w:rFonts w:ascii="宋体" w:eastAsia="宋体" w:hAnsi="宋体" w:cs="宋体"/>
                <w:sz w:val="18"/>
                <w:szCs w:val="18"/>
              </w:rPr>
              <w:t xml:space="preserve"> Solare Imola </w:t>
            </w:r>
            <w:proofErr w:type="spellStart"/>
            <w:r>
              <w:rPr>
                <w:rFonts w:ascii="宋体" w:eastAsia="宋体" w:hAnsi="宋体" w:cs="宋体"/>
                <w:sz w:val="18"/>
                <w:szCs w:val="18"/>
              </w:rPr>
              <w:t>S.r.l</w:t>
            </w:r>
            <w:proofErr w:type="spellEnd"/>
          </w:p>
        </w:tc>
        <w:tc>
          <w:tcPr>
            <w:tcW w:w="1274" w:type="dxa"/>
            <w:shd w:val="clear" w:color="auto" w:fill="FFFFFF" w:themeFill="background1"/>
            <w:vAlign w:val="center"/>
          </w:tcPr>
          <w:p w14:paraId="1CF716F5" w14:textId="77777777" w:rsidR="00632E5B" w:rsidRPr="00DD022D" w:rsidRDefault="00107901">
            <w:pPr>
              <w:spacing w:line="240" w:lineRule="exact"/>
              <w:jc w:val="right"/>
              <w:rPr>
                <w:rFonts w:ascii="宋体" w:eastAsia="宋体" w:hAnsi="宋体" w:cs="宋体" w:hint="eastAsia"/>
                <w:sz w:val="15"/>
                <w:szCs w:val="15"/>
              </w:rPr>
            </w:pPr>
            <w:r w:rsidRPr="00DD022D">
              <w:rPr>
                <w:rFonts w:ascii="宋体" w:eastAsia="宋体" w:hAnsi="宋体" w:cs="宋体"/>
                <w:sz w:val="15"/>
                <w:szCs w:val="15"/>
              </w:rPr>
              <w:t>11,886,097.32</w:t>
            </w:r>
          </w:p>
        </w:tc>
        <w:tc>
          <w:tcPr>
            <w:tcW w:w="742" w:type="dxa"/>
            <w:shd w:val="clear" w:color="auto" w:fill="FFFFFF" w:themeFill="background1"/>
            <w:vAlign w:val="center"/>
          </w:tcPr>
          <w:p w14:paraId="4E38754B" w14:textId="77777777" w:rsidR="00632E5B" w:rsidRPr="00DD022D" w:rsidRDefault="00107901">
            <w:pPr>
              <w:spacing w:line="240" w:lineRule="exact"/>
              <w:jc w:val="right"/>
              <w:rPr>
                <w:rFonts w:ascii="宋体" w:eastAsia="宋体" w:hAnsi="宋体" w:cs="宋体" w:hint="eastAsia"/>
                <w:sz w:val="15"/>
                <w:szCs w:val="15"/>
              </w:rPr>
            </w:pPr>
            <w:r w:rsidRPr="00DD022D">
              <w:rPr>
                <w:rFonts w:ascii="宋体" w:eastAsia="宋体" w:hAnsi="宋体" w:cs="宋体"/>
                <w:sz w:val="15"/>
                <w:szCs w:val="15"/>
              </w:rPr>
              <w:t>100.00%</w:t>
            </w:r>
          </w:p>
        </w:tc>
        <w:tc>
          <w:tcPr>
            <w:tcW w:w="742" w:type="dxa"/>
            <w:shd w:val="clear" w:color="auto" w:fill="FFFFFF" w:themeFill="background1"/>
            <w:vAlign w:val="center"/>
          </w:tcPr>
          <w:p w14:paraId="66F8923D" w14:textId="77777777" w:rsidR="00632E5B" w:rsidRPr="00DD022D" w:rsidRDefault="00107901">
            <w:pPr>
              <w:spacing w:line="240" w:lineRule="exact"/>
              <w:rPr>
                <w:rFonts w:ascii="宋体" w:eastAsia="宋体" w:hAnsi="宋体" w:cs="宋体" w:hint="eastAsia"/>
                <w:sz w:val="15"/>
                <w:szCs w:val="15"/>
              </w:rPr>
            </w:pPr>
            <w:r w:rsidRPr="00DD022D">
              <w:rPr>
                <w:rFonts w:ascii="宋体" w:eastAsia="宋体" w:hAnsi="宋体" w:cs="宋体"/>
                <w:sz w:val="15"/>
                <w:szCs w:val="15"/>
              </w:rPr>
              <w:t>出售</w:t>
            </w:r>
          </w:p>
        </w:tc>
        <w:tc>
          <w:tcPr>
            <w:tcW w:w="742" w:type="dxa"/>
            <w:shd w:val="clear" w:color="auto" w:fill="FFFFFF" w:themeFill="background1"/>
            <w:vAlign w:val="center"/>
          </w:tcPr>
          <w:p w14:paraId="690F1FC0" w14:textId="77777777" w:rsidR="00632E5B" w:rsidRPr="00DD022D" w:rsidRDefault="00107901">
            <w:pPr>
              <w:spacing w:line="240" w:lineRule="exact"/>
              <w:rPr>
                <w:rFonts w:ascii="宋体" w:eastAsia="宋体" w:hAnsi="宋体" w:cs="宋体" w:hint="eastAsia"/>
                <w:sz w:val="15"/>
                <w:szCs w:val="15"/>
              </w:rPr>
            </w:pPr>
            <w:r w:rsidRPr="00DD022D">
              <w:rPr>
                <w:rFonts w:ascii="宋体" w:eastAsia="宋体" w:hAnsi="宋体" w:cs="宋体"/>
                <w:sz w:val="15"/>
                <w:szCs w:val="15"/>
              </w:rPr>
              <w:t>2024年06月01日</w:t>
            </w:r>
          </w:p>
        </w:tc>
        <w:tc>
          <w:tcPr>
            <w:tcW w:w="742" w:type="dxa"/>
            <w:shd w:val="clear" w:color="auto" w:fill="FFFFFF" w:themeFill="background1"/>
            <w:vAlign w:val="center"/>
          </w:tcPr>
          <w:p w14:paraId="0441F0AE" w14:textId="77777777" w:rsidR="00632E5B" w:rsidRPr="00DD022D" w:rsidRDefault="00107901">
            <w:pPr>
              <w:spacing w:line="240" w:lineRule="exact"/>
              <w:rPr>
                <w:rFonts w:ascii="宋体" w:eastAsia="宋体" w:hAnsi="宋体" w:cs="宋体" w:hint="eastAsia"/>
                <w:sz w:val="15"/>
                <w:szCs w:val="15"/>
              </w:rPr>
            </w:pPr>
            <w:r w:rsidRPr="00DD022D">
              <w:rPr>
                <w:rFonts w:ascii="宋体" w:eastAsia="宋体" w:hAnsi="宋体" w:cs="宋体"/>
                <w:sz w:val="15"/>
                <w:szCs w:val="15"/>
              </w:rPr>
              <w:t>控制权转移</w:t>
            </w:r>
          </w:p>
        </w:tc>
        <w:tc>
          <w:tcPr>
            <w:tcW w:w="1284" w:type="dxa"/>
            <w:shd w:val="clear" w:color="auto" w:fill="FFFFFF" w:themeFill="background1"/>
            <w:vAlign w:val="center"/>
          </w:tcPr>
          <w:p w14:paraId="70BAF436" w14:textId="77777777" w:rsidR="00632E5B" w:rsidRPr="00DD022D" w:rsidRDefault="00107901">
            <w:pPr>
              <w:spacing w:line="240" w:lineRule="exact"/>
              <w:jc w:val="right"/>
              <w:rPr>
                <w:rFonts w:ascii="宋体" w:eastAsia="宋体" w:hAnsi="宋体" w:cs="宋体" w:hint="eastAsia"/>
                <w:sz w:val="15"/>
                <w:szCs w:val="15"/>
              </w:rPr>
            </w:pPr>
            <w:r w:rsidRPr="00DD022D">
              <w:rPr>
                <w:rFonts w:ascii="宋体" w:eastAsia="宋体" w:hAnsi="宋体" w:cs="宋体"/>
                <w:sz w:val="15"/>
                <w:szCs w:val="15"/>
              </w:rPr>
              <w:t>11,759,120.21</w:t>
            </w:r>
          </w:p>
        </w:tc>
        <w:tc>
          <w:tcPr>
            <w:tcW w:w="741" w:type="dxa"/>
            <w:shd w:val="clear" w:color="auto" w:fill="FFFFFF" w:themeFill="background1"/>
            <w:vAlign w:val="center"/>
          </w:tcPr>
          <w:p w14:paraId="4F37B3E0" w14:textId="77777777" w:rsidR="00632E5B" w:rsidRPr="00DD022D" w:rsidRDefault="00632E5B">
            <w:pPr>
              <w:spacing w:line="240" w:lineRule="exact"/>
              <w:jc w:val="right"/>
              <w:rPr>
                <w:rFonts w:ascii="宋体" w:eastAsia="宋体" w:hAnsi="宋体" w:cs="宋体" w:hint="eastAsia"/>
                <w:sz w:val="15"/>
                <w:szCs w:val="15"/>
              </w:rPr>
            </w:pPr>
          </w:p>
        </w:tc>
        <w:tc>
          <w:tcPr>
            <w:tcW w:w="741" w:type="dxa"/>
            <w:shd w:val="clear" w:color="auto" w:fill="FFFFFF" w:themeFill="background1"/>
            <w:vAlign w:val="center"/>
          </w:tcPr>
          <w:p w14:paraId="26FC86BF" w14:textId="77777777" w:rsidR="00632E5B" w:rsidRPr="00DD022D" w:rsidRDefault="00632E5B">
            <w:pPr>
              <w:spacing w:line="240" w:lineRule="exact"/>
              <w:jc w:val="right"/>
              <w:rPr>
                <w:rFonts w:ascii="宋体" w:eastAsia="宋体" w:hAnsi="宋体" w:cs="宋体" w:hint="eastAsia"/>
                <w:sz w:val="15"/>
                <w:szCs w:val="15"/>
              </w:rPr>
            </w:pPr>
          </w:p>
        </w:tc>
        <w:tc>
          <w:tcPr>
            <w:tcW w:w="741" w:type="dxa"/>
            <w:shd w:val="clear" w:color="auto" w:fill="FFFFFF" w:themeFill="background1"/>
            <w:vAlign w:val="center"/>
          </w:tcPr>
          <w:p w14:paraId="40CA1638" w14:textId="77777777" w:rsidR="00632E5B" w:rsidRPr="00DD022D" w:rsidRDefault="00632E5B">
            <w:pPr>
              <w:spacing w:line="240" w:lineRule="exact"/>
              <w:jc w:val="right"/>
              <w:rPr>
                <w:rFonts w:ascii="宋体" w:eastAsia="宋体" w:hAnsi="宋体" w:cs="宋体" w:hint="eastAsia"/>
                <w:sz w:val="15"/>
                <w:szCs w:val="15"/>
              </w:rPr>
            </w:pPr>
          </w:p>
        </w:tc>
        <w:tc>
          <w:tcPr>
            <w:tcW w:w="741" w:type="dxa"/>
            <w:shd w:val="clear" w:color="auto" w:fill="FFFFFF" w:themeFill="background1"/>
            <w:vAlign w:val="center"/>
          </w:tcPr>
          <w:p w14:paraId="23C32B1A" w14:textId="77777777" w:rsidR="00632E5B" w:rsidRPr="00DD022D" w:rsidRDefault="00632E5B">
            <w:pPr>
              <w:spacing w:line="240" w:lineRule="exact"/>
              <w:jc w:val="right"/>
              <w:rPr>
                <w:rFonts w:ascii="宋体" w:eastAsia="宋体" w:hAnsi="宋体" w:cs="宋体" w:hint="eastAsia"/>
                <w:sz w:val="15"/>
                <w:szCs w:val="15"/>
              </w:rPr>
            </w:pPr>
          </w:p>
        </w:tc>
        <w:tc>
          <w:tcPr>
            <w:tcW w:w="741" w:type="dxa"/>
            <w:shd w:val="clear" w:color="auto" w:fill="FFFFFF" w:themeFill="background1"/>
            <w:vAlign w:val="center"/>
          </w:tcPr>
          <w:p w14:paraId="1159463C" w14:textId="77777777" w:rsidR="00632E5B" w:rsidRPr="00DD022D" w:rsidRDefault="00632E5B">
            <w:pPr>
              <w:spacing w:line="240" w:lineRule="exact"/>
              <w:rPr>
                <w:rFonts w:ascii="宋体" w:eastAsia="宋体" w:hAnsi="宋体" w:cs="宋体" w:hint="eastAsia"/>
                <w:sz w:val="15"/>
                <w:szCs w:val="15"/>
              </w:rPr>
            </w:pPr>
          </w:p>
        </w:tc>
        <w:tc>
          <w:tcPr>
            <w:tcW w:w="1081" w:type="dxa"/>
            <w:shd w:val="clear" w:color="auto" w:fill="FFFFFF" w:themeFill="background1"/>
            <w:vAlign w:val="center"/>
          </w:tcPr>
          <w:p w14:paraId="28E831B5" w14:textId="77777777" w:rsidR="00632E5B" w:rsidRPr="00DD022D" w:rsidRDefault="00107901">
            <w:pPr>
              <w:spacing w:line="240" w:lineRule="exact"/>
              <w:jc w:val="right"/>
              <w:rPr>
                <w:rFonts w:ascii="宋体" w:eastAsia="宋体" w:hAnsi="宋体" w:cs="宋体" w:hint="eastAsia"/>
                <w:sz w:val="15"/>
                <w:szCs w:val="15"/>
              </w:rPr>
            </w:pPr>
            <w:r w:rsidRPr="00DD022D">
              <w:rPr>
                <w:rFonts w:ascii="宋体" w:eastAsia="宋体" w:hAnsi="宋体" w:cs="宋体"/>
                <w:sz w:val="15"/>
                <w:szCs w:val="15"/>
              </w:rPr>
              <w:t>-17,276.07</w:t>
            </w:r>
          </w:p>
        </w:tc>
      </w:tr>
    </w:tbl>
    <w:p w14:paraId="7E0F89EF"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其他说明：</w:t>
      </w:r>
    </w:p>
    <w:p w14:paraId="352B99EC" w14:textId="77777777" w:rsidR="00E72F0C" w:rsidRDefault="00107901" w:rsidP="00695EAE">
      <w:pPr>
        <w:pStyle w:val="a3"/>
        <w:spacing w:before="0" w:beforeAutospacing="0" w:after="0" w:afterAutospacing="0"/>
        <w:ind w:firstLineChars="200" w:firstLine="360"/>
        <w:divId w:val="487863614"/>
        <w:rPr>
          <w:rFonts w:hint="eastAsia"/>
          <w:sz w:val="18"/>
          <w:szCs w:val="18"/>
        </w:rPr>
      </w:pPr>
      <w:r>
        <w:rPr>
          <w:rFonts w:hint="eastAsia"/>
          <w:sz w:val="18"/>
          <w:szCs w:val="18"/>
        </w:rPr>
        <w:t>无法收回的应收原子公司</w:t>
      </w:r>
      <w:proofErr w:type="spellStart"/>
      <w:r>
        <w:rPr>
          <w:rFonts w:hint="eastAsia"/>
          <w:sz w:val="18"/>
          <w:szCs w:val="18"/>
        </w:rPr>
        <w:t>Fattoria</w:t>
      </w:r>
      <w:proofErr w:type="spellEnd"/>
      <w:r>
        <w:rPr>
          <w:rFonts w:hint="eastAsia"/>
          <w:sz w:val="18"/>
          <w:szCs w:val="18"/>
        </w:rPr>
        <w:t xml:space="preserve"> Solare Imola </w:t>
      </w:r>
      <w:proofErr w:type="spellStart"/>
      <w:r>
        <w:rPr>
          <w:rFonts w:hint="eastAsia"/>
          <w:sz w:val="18"/>
          <w:szCs w:val="18"/>
        </w:rPr>
        <w:t>S.r.l</w:t>
      </w:r>
      <w:proofErr w:type="spellEnd"/>
      <w:r>
        <w:rPr>
          <w:rFonts w:hint="eastAsia"/>
          <w:sz w:val="18"/>
          <w:szCs w:val="18"/>
        </w:rPr>
        <w:t>应收款项抵减投资收益金额为4,875,157.58元。</w:t>
      </w:r>
    </w:p>
    <w:p w14:paraId="64BCD590"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是否存在通过多次交易分步处置对子公司投资且在本期丧失控制权的情形</w:t>
      </w:r>
    </w:p>
    <w:p w14:paraId="3B59E58E"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02C8562D" w14:textId="77777777" w:rsidR="00632E5B" w:rsidRDefault="00107901">
      <w:pPr>
        <w:pStyle w:val="3"/>
        <w:spacing w:line="280" w:lineRule="exact"/>
        <w:jc w:val="left"/>
        <w:rPr>
          <w:rFonts w:ascii="宋体" w:hAnsi="宋体" w:cs="宋体" w:hint="eastAsia"/>
          <w:b/>
          <w:bCs/>
        </w:rPr>
      </w:pPr>
      <w:bookmarkStart w:id="347" w:name="_Toc989233"/>
      <w:r>
        <w:rPr>
          <w:rFonts w:ascii="宋体" w:hAnsi="宋体" w:cs="宋体"/>
          <w:b/>
          <w:bCs/>
        </w:rPr>
        <w:t>2、其他原因的合并范围变动</w:t>
      </w:r>
      <w:bookmarkEnd w:id="347"/>
    </w:p>
    <w:p w14:paraId="5A9EAACD"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说明其他原因导致的合并范围变动（如，新设子公司、清算子公司等）及其相关情况：</w:t>
      </w:r>
    </w:p>
    <w:p w14:paraId="140B6BFF" w14:textId="745E8C98" w:rsidR="00E72F0C" w:rsidRDefault="00107901" w:rsidP="00695EAE">
      <w:pPr>
        <w:pStyle w:val="a3"/>
        <w:spacing w:before="0" w:beforeAutospacing="0" w:after="0" w:afterAutospacing="0"/>
        <w:divId w:val="278416025"/>
        <w:rPr>
          <w:rFonts w:hint="eastAsia"/>
          <w:sz w:val="18"/>
          <w:szCs w:val="18"/>
        </w:rPr>
      </w:pPr>
      <w:r>
        <w:rPr>
          <w:rFonts w:hint="eastAsia"/>
          <w:sz w:val="18"/>
          <w:szCs w:val="18"/>
        </w:rPr>
        <w:lastRenderedPageBreak/>
        <w:t>  本期新设子公司越南利星科技有限公司，注册资本367.35亿越南盾，本公司持股100%，截止2024年12月31日已完成出资。</w:t>
      </w:r>
      <w:r>
        <w:rPr>
          <w:rFonts w:hint="eastAsia"/>
          <w:sz w:val="18"/>
          <w:szCs w:val="18"/>
        </w:rPr>
        <w:br/>
        <w:t>  本期注销的子公司：东莞市中利特种电缆材料有限公司、湖州昊晖生态养殖有限公司、苏州腾晖华晟电力技术有限公司、苏州腾晖通安电力技术有限公司、苏州腾晖华耀电力技术有限公司、常熟腾晖能投光伏发电有限公司、重庆腾晖能投新能源有限公司、苏州腾晖科能电力技术有限公司、常熟创成光伏电站开发有限公司、常熟明拓光伏电站开发有限公司、宿迁和曦新能源有限公司、常熟明远光伏电站开发有限公司、宿迁和晨新能源有限公司、常熟拓志光伏电站开发有限公司、常熟诚明光伏电站开发有限公司、常熟诚丰光伏电站开发有限公司、河南腾晖家能新能源有限公司、TS SOLAR SPAIN A.G.、TS SOLAR ALFA SRL、TS SOLAR BETA SRL、TS SOLAR DELTA SRL、TS SOLAR EPSILON SRL、TS SOLAR ETA SRL、TS SOLAR GAMMA SRL、TS SOLAR THETA SRL、TS SOLAR ZETA SRL。</w:t>
      </w:r>
      <w:r>
        <w:rPr>
          <w:rFonts w:hint="eastAsia"/>
          <w:sz w:val="18"/>
          <w:szCs w:val="18"/>
        </w:rPr>
        <w:br/>
        <w:t xml:space="preserve">  本期因执行重整计划纳入信托计划而不再纳入合并范围的子公司：常熟拓明光伏电站开发有限公司、常熟诚元光伏电站开发有限公司、常熟宏发光伏电站开发有限公司、山东腾晖新能源技术有限公司、淄博盛晖光伏技术有限公司、淄博新晖光伏发电有限公司、宿迁腾晖光电有限公司、宿迁腾晖新能源技术有限公司、泗阳腾晖光电有限公司、泗阳腾晖新能源技术有限公司、沛县腾晖新能源技术有限公司、黄骅市腾晖新能源技术有限公司、山东腾晖光电有限公司、中利新能源（香港）投资有限公司、TS Energy Global S.à </w:t>
      </w:r>
      <w:proofErr w:type="spellStart"/>
      <w:r>
        <w:rPr>
          <w:rFonts w:hint="eastAsia"/>
          <w:sz w:val="18"/>
          <w:szCs w:val="18"/>
        </w:rPr>
        <w:t>r.l</w:t>
      </w:r>
      <w:proofErr w:type="spellEnd"/>
      <w:r>
        <w:rPr>
          <w:rFonts w:hint="eastAsia"/>
          <w:sz w:val="18"/>
          <w:szCs w:val="18"/>
        </w:rPr>
        <w:t>.、TALESUN NEW ENERGY VIETNAM COMPANY LIMITED、</w:t>
      </w:r>
      <w:proofErr w:type="spellStart"/>
      <w:r>
        <w:rPr>
          <w:rFonts w:hint="eastAsia"/>
          <w:sz w:val="18"/>
          <w:szCs w:val="18"/>
        </w:rPr>
        <w:t>Talesun</w:t>
      </w:r>
      <w:proofErr w:type="spellEnd"/>
      <w:r>
        <w:rPr>
          <w:rFonts w:hint="eastAsia"/>
          <w:sz w:val="18"/>
          <w:szCs w:val="18"/>
        </w:rPr>
        <w:t xml:space="preserve"> Solar Switzerland AG、</w:t>
      </w:r>
      <w:proofErr w:type="spellStart"/>
      <w:r>
        <w:rPr>
          <w:rFonts w:hint="eastAsia"/>
          <w:sz w:val="18"/>
          <w:szCs w:val="18"/>
        </w:rPr>
        <w:t>Talesun</w:t>
      </w:r>
      <w:proofErr w:type="spellEnd"/>
      <w:r>
        <w:rPr>
          <w:rFonts w:hint="eastAsia"/>
          <w:sz w:val="18"/>
          <w:szCs w:val="18"/>
        </w:rPr>
        <w:t xml:space="preserve"> Energy Argentina S.A.、</w:t>
      </w:r>
      <w:proofErr w:type="spellStart"/>
      <w:r>
        <w:rPr>
          <w:rFonts w:hint="eastAsia"/>
          <w:sz w:val="18"/>
          <w:szCs w:val="18"/>
        </w:rPr>
        <w:t>Talesun</w:t>
      </w:r>
      <w:proofErr w:type="spellEnd"/>
      <w:r>
        <w:rPr>
          <w:rFonts w:hint="eastAsia"/>
          <w:sz w:val="18"/>
          <w:szCs w:val="18"/>
        </w:rPr>
        <w:t xml:space="preserve"> Energy LATAM S.A.、</w:t>
      </w:r>
      <w:proofErr w:type="spellStart"/>
      <w:r>
        <w:rPr>
          <w:rFonts w:hint="eastAsia"/>
          <w:sz w:val="18"/>
          <w:szCs w:val="18"/>
        </w:rPr>
        <w:t>Talesun</w:t>
      </w:r>
      <w:proofErr w:type="spellEnd"/>
      <w:r>
        <w:rPr>
          <w:rFonts w:hint="eastAsia"/>
          <w:sz w:val="18"/>
          <w:szCs w:val="18"/>
        </w:rPr>
        <w:t xml:space="preserve"> Solar Germany GmbH、TSI Solar Enerji </w:t>
      </w:r>
      <w:proofErr w:type="spellStart"/>
      <w:r>
        <w:rPr>
          <w:rFonts w:hint="eastAsia"/>
          <w:sz w:val="18"/>
          <w:szCs w:val="18"/>
        </w:rPr>
        <w:t>Anonim</w:t>
      </w:r>
      <w:proofErr w:type="spellEnd"/>
      <w:r>
        <w:rPr>
          <w:rFonts w:hint="eastAsia"/>
          <w:sz w:val="18"/>
          <w:szCs w:val="18"/>
        </w:rPr>
        <w:t xml:space="preserve"> </w:t>
      </w:r>
      <w:proofErr w:type="spellStart"/>
      <w:r>
        <w:rPr>
          <w:rFonts w:hint="eastAsia"/>
          <w:sz w:val="18"/>
          <w:szCs w:val="18"/>
        </w:rPr>
        <w:t>Sirketi</w:t>
      </w:r>
      <w:proofErr w:type="spellEnd"/>
      <w:r>
        <w:rPr>
          <w:rFonts w:hint="eastAsia"/>
          <w:sz w:val="18"/>
          <w:szCs w:val="18"/>
        </w:rPr>
        <w:t>、</w:t>
      </w:r>
      <w:proofErr w:type="spellStart"/>
      <w:r>
        <w:rPr>
          <w:rFonts w:hint="eastAsia"/>
          <w:sz w:val="18"/>
          <w:szCs w:val="18"/>
        </w:rPr>
        <w:t>Talesun</w:t>
      </w:r>
      <w:proofErr w:type="spellEnd"/>
      <w:r>
        <w:rPr>
          <w:rFonts w:hint="eastAsia"/>
          <w:sz w:val="18"/>
          <w:szCs w:val="18"/>
        </w:rPr>
        <w:t xml:space="preserve"> Solar Technologies S.A.G.L、</w:t>
      </w:r>
      <w:proofErr w:type="spellStart"/>
      <w:r>
        <w:rPr>
          <w:rFonts w:hint="eastAsia"/>
          <w:sz w:val="18"/>
          <w:szCs w:val="18"/>
        </w:rPr>
        <w:t>Talesun</w:t>
      </w:r>
      <w:proofErr w:type="spellEnd"/>
      <w:r>
        <w:rPr>
          <w:rFonts w:hint="eastAsia"/>
          <w:sz w:val="18"/>
          <w:szCs w:val="18"/>
        </w:rPr>
        <w:t xml:space="preserve"> Solar Bucharest S.R.L、TS SOLAR ITALY AG、</w:t>
      </w:r>
      <w:proofErr w:type="spellStart"/>
      <w:r>
        <w:rPr>
          <w:rFonts w:hint="eastAsia"/>
          <w:sz w:val="18"/>
          <w:szCs w:val="18"/>
        </w:rPr>
        <w:t>Fattoria</w:t>
      </w:r>
      <w:proofErr w:type="spellEnd"/>
      <w:r>
        <w:rPr>
          <w:rFonts w:hint="eastAsia"/>
          <w:sz w:val="18"/>
          <w:szCs w:val="18"/>
        </w:rPr>
        <w:t xml:space="preserve"> Solare Alfonsine </w:t>
      </w:r>
      <w:proofErr w:type="spellStart"/>
      <w:r>
        <w:rPr>
          <w:rFonts w:hint="eastAsia"/>
          <w:sz w:val="18"/>
          <w:szCs w:val="18"/>
        </w:rPr>
        <w:t>S.r.l</w:t>
      </w:r>
      <w:proofErr w:type="spellEnd"/>
      <w:r>
        <w:rPr>
          <w:rFonts w:hint="eastAsia"/>
          <w:sz w:val="18"/>
          <w:szCs w:val="18"/>
        </w:rPr>
        <w:t>.、</w:t>
      </w:r>
      <w:proofErr w:type="spellStart"/>
      <w:r>
        <w:rPr>
          <w:rFonts w:hint="eastAsia"/>
          <w:sz w:val="18"/>
          <w:szCs w:val="18"/>
        </w:rPr>
        <w:t>Fattoria</w:t>
      </w:r>
      <w:proofErr w:type="spellEnd"/>
      <w:r>
        <w:rPr>
          <w:rFonts w:hint="eastAsia"/>
          <w:sz w:val="18"/>
          <w:szCs w:val="18"/>
        </w:rPr>
        <w:t xml:space="preserve"> Solare Montecchio </w:t>
      </w:r>
      <w:proofErr w:type="spellStart"/>
      <w:r>
        <w:rPr>
          <w:rFonts w:hint="eastAsia"/>
          <w:sz w:val="18"/>
          <w:szCs w:val="18"/>
        </w:rPr>
        <w:t>S.r.l</w:t>
      </w:r>
      <w:proofErr w:type="spellEnd"/>
      <w:r>
        <w:rPr>
          <w:rFonts w:hint="eastAsia"/>
          <w:sz w:val="18"/>
          <w:szCs w:val="18"/>
        </w:rPr>
        <w:t>、</w:t>
      </w:r>
      <w:proofErr w:type="spellStart"/>
      <w:r>
        <w:rPr>
          <w:rFonts w:hint="eastAsia"/>
          <w:sz w:val="18"/>
          <w:szCs w:val="18"/>
        </w:rPr>
        <w:t>Talesun</w:t>
      </w:r>
      <w:proofErr w:type="spellEnd"/>
      <w:r>
        <w:rPr>
          <w:rFonts w:hint="eastAsia"/>
          <w:sz w:val="18"/>
          <w:szCs w:val="18"/>
        </w:rPr>
        <w:t xml:space="preserve"> Energy Solutions S.R.L.、TS ENERGY ROOFTOPS S.R.L.、AMT 1801 S.R.L.、TS Energy Apulia </w:t>
      </w:r>
      <w:proofErr w:type="spellStart"/>
      <w:r>
        <w:rPr>
          <w:rFonts w:hint="eastAsia"/>
          <w:sz w:val="18"/>
          <w:szCs w:val="18"/>
        </w:rPr>
        <w:t>Srl</w:t>
      </w:r>
      <w:proofErr w:type="spellEnd"/>
      <w:r>
        <w:rPr>
          <w:rFonts w:hint="eastAsia"/>
          <w:sz w:val="18"/>
          <w:szCs w:val="18"/>
        </w:rPr>
        <w:t xml:space="preserve">、Tre </w:t>
      </w:r>
      <w:proofErr w:type="spellStart"/>
      <w:r>
        <w:rPr>
          <w:rFonts w:hint="eastAsia"/>
          <w:sz w:val="18"/>
          <w:szCs w:val="18"/>
        </w:rPr>
        <w:t>ConfiniSrl</w:t>
      </w:r>
      <w:proofErr w:type="spellEnd"/>
      <w:r>
        <w:rPr>
          <w:rFonts w:hint="eastAsia"/>
          <w:sz w:val="18"/>
          <w:szCs w:val="18"/>
        </w:rPr>
        <w:t>、</w:t>
      </w:r>
      <w:proofErr w:type="spellStart"/>
      <w:r>
        <w:rPr>
          <w:rFonts w:hint="eastAsia"/>
          <w:sz w:val="18"/>
          <w:szCs w:val="18"/>
        </w:rPr>
        <w:t>FerrandinaSrl</w:t>
      </w:r>
      <w:proofErr w:type="spellEnd"/>
      <w:r>
        <w:rPr>
          <w:rFonts w:hint="eastAsia"/>
          <w:sz w:val="18"/>
          <w:szCs w:val="18"/>
        </w:rPr>
        <w:t>、</w:t>
      </w:r>
      <w:proofErr w:type="spellStart"/>
      <w:r>
        <w:rPr>
          <w:rFonts w:hint="eastAsia"/>
          <w:sz w:val="18"/>
          <w:szCs w:val="18"/>
        </w:rPr>
        <w:t>Ginosa</w:t>
      </w:r>
      <w:proofErr w:type="spellEnd"/>
      <w:r>
        <w:rPr>
          <w:rFonts w:hint="eastAsia"/>
          <w:sz w:val="18"/>
          <w:szCs w:val="18"/>
        </w:rPr>
        <w:t xml:space="preserve"> </w:t>
      </w:r>
      <w:proofErr w:type="spellStart"/>
      <w:r>
        <w:rPr>
          <w:rFonts w:hint="eastAsia"/>
          <w:sz w:val="18"/>
          <w:szCs w:val="18"/>
        </w:rPr>
        <w:t>Srl</w:t>
      </w:r>
      <w:proofErr w:type="spellEnd"/>
      <w:r>
        <w:rPr>
          <w:rFonts w:hint="eastAsia"/>
          <w:sz w:val="18"/>
          <w:szCs w:val="18"/>
        </w:rPr>
        <w:t xml:space="preserve">、San Mauro </w:t>
      </w:r>
      <w:proofErr w:type="spellStart"/>
      <w:r>
        <w:rPr>
          <w:rFonts w:hint="eastAsia"/>
          <w:sz w:val="18"/>
          <w:szCs w:val="18"/>
        </w:rPr>
        <w:t>Srl</w:t>
      </w:r>
      <w:proofErr w:type="spellEnd"/>
      <w:r>
        <w:rPr>
          <w:rFonts w:hint="eastAsia"/>
          <w:sz w:val="18"/>
          <w:szCs w:val="18"/>
        </w:rPr>
        <w:t>、TS ENERGY EUROPE S.A.、腾晖电力美国有限公司、TALESUN DO BRASIL CONSULTORIA LTDA.、Zhongli New Energy USA CO.,LLC、中利太阳能控股日本有限公司、Space Engineer A LLC、合同会社井上能源、JAE株式会社、新电力太阳光厚岸发电所合同会社、新电力太阳光御殿场发电所合同会社、新电力御殿场太阳光第1株式会社、农光振兴株式会社、新荣商事株式会社、中利腾晖香港有限公司、TALESUN SOLAR FRANCE、TALESUN SOLAR TECHNOLOGY(SINGAPORE) PTE.LTD.、腾晖电力日本有限公司、</w:t>
      </w:r>
      <w:proofErr w:type="spellStart"/>
      <w:r w:rsidR="00695EAE">
        <w:rPr>
          <w:rFonts w:hint="eastAsia"/>
          <w:sz w:val="18"/>
          <w:szCs w:val="18"/>
        </w:rPr>
        <w:t>Talesun</w:t>
      </w:r>
      <w:proofErr w:type="spellEnd"/>
      <w:r w:rsidR="00695EAE">
        <w:rPr>
          <w:rFonts w:hint="eastAsia"/>
          <w:sz w:val="18"/>
          <w:szCs w:val="18"/>
        </w:rPr>
        <w:t xml:space="preserve"> Solar Canada Inc.</w:t>
      </w:r>
      <w:r>
        <w:rPr>
          <w:rFonts w:hint="eastAsia"/>
          <w:sz w:val="18"/>
          <w:szCs w:val="18"/>
        </w:rPr>
        <w:t>。</w:t>
      </w:r>
    </w:p>
    <w:p w14:paraId="153AC0E0" w14:textId="77777777" w:rsidR="00632E5B" w:rsidRDefault="00107901">
      <w:pPr>
        <w:pStyle w:val="2"/>
        <w:spacing w:before="300" w:after="300" w:line="320" w:lineRule="exact"/>
        <w:rPr>
          <w:rFonts w:ascii="宋体" w:eastAsia="宋体" w:hAnsi="宋体" w:cs="宋体" w:hint="eastAsia"/>
          <w:b/>
          <w:bCs/>
          <w:sz w:val="24"/>
          <w:szCs w:val="24"/>
        </w:rPr>
      </w:pPr>
      <w:bookmarkStart w:id="348" w:name="_Toc989234"/>
      <w:r>
        <w:rPr>
          <w:rFonts w:ascii="宋体" w:eastAsia="宋体" w:hAnsi="宋体" w:cs="宋体"/>
          <w:b/>
          <w:bCs/>
          <w:sz w:val="24"/>
          <w:szCs w:val="24"/>
        </w:rPr>
        <w:t>九、在其他主体中的权益</w:t>
      </w:r>
      <w:bookmarkEnd w:id="348"/>
    </w:p>
    <w:p w14:paraId="0A05FD70" w14:textId="77777777" w:rsidR="00632E5B" w:rsidRDefault="00107901">
      <w:pPr>
        <w:pStyle w:val="3"/>
        <w:spacing w:line="280" w:lineRule="exact"/>
        <w:jc w:val="left"/>
        <w:rPr>
          <w:rFonts w:ascii="宋体" w:hAnsi="宋体" w:cs="宋体" w:hint="eastAsia"/>
          <w:b/>
          <w:bCs/>
        </w:rPr>
      </w:pPr>
      <w:bookmarkStart w:id="349" w:name="_Toc989235"/>
      <w:r>
        <w:rPr>
          <w:rFonts w:ascii="宋体" w:hAnsi="宋体" w:cs="宋体"/>
          <w:b/>
          <w:bCs/>
        </w:rPr>
        <w:t>1、在子公司中的权益</w:t>
      </w:r>
      <w:bookmarkEnd w:id="349"/>
    </w:p>
    <w:p w14:paraId="22D85DAC" w14:textId="77777777" w:rsidR="00632E5B" w:rsidRDefault="00107901">
      <w:pPr>
        <w:keepNext/>
        <w:keepLines/>
        <w:spacing w:before="300" w:after="300" w:line="280" w:lineRule="exact"/>
        <w:outlineLvl w:val="3"/>
        <w:rPr>
          <w:rFonts w:ascii="宋体" w:eastAsia="宋体" w:hAnsi="宋体" w:cs="宋体" w:hint="eastAsia"/>
          <w:b/>
          <w:bCs/>
          <w:sz w:val="18"/>
          <w:szCs w:val="18"/>
        </w:rPr>
      </w:pPr>
      <w:bookmarkStart w:id="350" w:name="_Toc989236"/>
      <w:r>
        <w:rPr>
          <w:rFonts w:ascii="宋体" w:eastAsia="宋体" w:hAnsi="宋体" w:cs="宋体"/>
          <w:b/>
          <w:bCs/>
          <w:sz w:val="18"/>
          <w:szCs w:val="18"/>
        </w:rPr>
        <w:t>（1） 企业集团的构成</w:t>
      </w:r>
      <w:bookmarkEnd w:id="350"/>
    </w:p>
    <w:p w14:paraId="618E5ADC"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42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557"/>
        <w:gridCol w:w="1770"/>
        <w:gridCol w:w="1205"/>
        <w:gridCol w:w="1205"/>
        <w:gridCol w:w="1205"/>
        <w:gridCol w:w="921"/>
        <w:gridCol w:w="851"/>
        <w:gridCol w:w="708"/>
      </w:tblGrid>
      <w:tr w:rsidR="00632E5B" w14:paraId="3E4ACAB8" w14:textId="77777777" w:rsidTr="00F05317">
        <w:trPr>
          <w:trHeight w:val="240"/>
          <w:jc w:val="center"/>
        </w:trPr>
        <w:tc>
          <w:tcPr>
            <w:tcW w:w="1557" w:type="dxa"/>
            <w:vMerge w:val="restart"/>
            <w:shd w:val="clear" w:color="auto" w:fill="FFFFFF" w:themeFill="background1"/>
            <w:vAlign w:val="center"/>
          </w:tcPr>
          <w:p w14:paraId="2D409FC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子公司名称</w:t>
            </w:r>
          </w:p>
        </w:tc>
        <w:tc>
          <w:tcPr>
            <w:tcW w:w="1770" w:type="dxa"/>
            <w:vMerge w:val="restart"/>
            <w:shd w:val="clear" w:color="auto" w:fill="FFFFFF" w:themeFill="background1"/>
            <w:vAlign w:val="center"/>
          </w:tcPr>
          <w:p w14:paraId="233EB12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注册资本</w:t>
            </w:r>
          </w:p>
        </w:tc>
        <w:tc>
          <w:tcPr>
            <w:tcW w:w="1205" w:type="dxa"/>
            <w:vMerge w:val="restart"/>
            <w:shd w:val="clear" w:color="auto" w:fill="FFFFFF" w:themeFill="background1"/>
            <w:vAlign w:val="center"/>
          </w:tcPr>
          <w:p w14:paraId="371EAB1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主要经营地</w:t>
            </w:r>
          </w:p>
        </w:tc>
        <w:tc>
          <w:tcPr>
            <w:tcW w:w="1205" w:type="dxa"/>
            <w:vMerge w:val="restart"/>
            <w:shd w:val="clear" w:color="auto" w:fill="FFFFFF" w:themeFill="background1"/>
            <w:vAlign w:val="center"/>
          </w:tcPr>
          <w:p w14:paraId="2E96523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注册地</w:t>
            </w:r>
          </w:p>
        </w:tc>
        <w:tc>
          <w:tcPr>
            <w:tcW w:w="1205" w:type="dxa"/>
            <w:vMerge w:val="restart"/>
            <w:shd w:val="clear" w:color="auto" w:fill="FFFFFF" w:themeFill="background1"/>
            <w:vAlign w:val="center"/>
          </w:tcPr>
          <w:p w14:paraId="57DDF9E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业务性质</w:t>
            </w:r>
          </w:p>
        </w:tc>
        <w:tc>
          <w:tcPr>
            <w:tcW w:w="1772" w:type="dxa"/>
            <w:gridSpan w:val="2"/>
            <w:shd w:val="clear" w:color="auto" w:fill="FFFFFF" w:themeFill="background1"/>
            <w:vAlign w:val="center"/>
          </w:tcPr>
          <w:p w14:paraId="79C8E38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持股比例</w:t>
            </w:r>
          </w:p>
        </w:tc>
        <w:tc>
          <w:tcPr>
            <w:tcW w:w="708" w:type="dxa"/>
            <w:vMerge w:val="restart"/>
            <w:shd w:val="clear" w:color="auto" w:fill="FFFFFF" w:themeFill="background1"/>
            <w:vAlign w:val="center"/>
          </w:tcPr>
          <w:p w14:paraId="2ACE100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取得方式</w:t>
            </w:r>
          </w:p>
        </w:tc>
      </w:tr>
      <w:tr w:rsidR="00632E5B" w14:paraId="64964BEA" w14:textId="77777777" w:rsidTr="00F05317">
        <w:trPr>
          <w:trHeight w:val="240"/>
          <w:jc w:val="center"/>
        </w:trPr>
        <w:tc>
          <w:tcPr>
            <w:tcW w:w="1557" w:type="dxa"/>
            <w:vMerge/>
            <w:shd w:val="clear" w:color="auto" w:fill="FFFFFF" w:themeFill="background1"/>
            <w:vAlign w:val="center"/>
          </w:tcPr>
          <w:p w14:paraId="564FC252" w14:textId="77777777" w:rsidR="00632E5B" w:rsidRDefault="00632E5B"/>
        </w:tc>
        <w:tc>
          <w:tcPr>
            <w:tcW w:w="1770" w:type="dxa"/>
            <w:vMerge/>
            <w:shd w:val="clear" w:color="auto" w:fill="FFFFFF" w:themeFill="background1"/>
            <w:vAlign w:val="center"/>
          </w:tcPr>
          <w:p w14:paraId="4CDE9696" w14:textId="77777777" w:rsidR="00632E5B" w:rsidRDefault="00632E5B"/>
        </w:tc>
        <w:tc>
          <w:tcPr>
            <w:tcW w:w="1205" w:type="dxa"/>
            <w:vMerge/>
            <w:shd w:val="clear" w:color="auto" w:fill="FFFFFF" w:themeFill="background1"/>
            <w:vAlign w:val="center"/>
          </w:tcPr>
          <w:p w14:paraId="1243C752" w14:textId="77777777" w:rsidR="00632E5B" w:rsidRDefault="00632E5B"/>
        </w:tc>
        <w:tc>
          <w:tcPr>
            <w:tcW w:w="1205" w:type="dxa"/>
            <w:vMerge/>
            <w:shd w:val="clear" w:color="auto" w:fill="FFFFFF" w:themeFill="background1"/>
            <w:vAlign w:val="center"/>
          </w:tcPr>
          <w:p w14:paraId="4D424B90" w14:textId="77777777" w:rsidR="00632E5B" w:rsidRDefault="00632E5B"/>
        </w:tc>
        <w:tc>
          <w:tcPr>
            <w:tcW w:w="1205" w:type="dxa"/>
            <w:vMerge/>
            <w:shd w:val="clear" w:color="auto" w:fill="FFFFFF" w:themeFill="background1"/>
            <w:vAlign w:val="center"/>
          </w:tcPr>
          <w:p w14:paraId="0359A4B0" w14:textId="77777777" w:rsidR="00632E5B" w:rsidRDefault="00632E5B"/>
        </w:tc>
        <w:tc>
          <w:tcPr>
            <w:tcW w:w="921" w:type="dxa"/>
            <w:shd w:val="clear" w:color="auto" w:fill="FFFFFF" w:themeFill="background1"/>
            <w:vAlign w:val="center"/>
          </w:tcPr>
          <w:p w14:paraId="210FB17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直接</w:t>
            </w:r>
          </w:p>
        </w:tc>
        <w:tc>
          <w:tcPr>
            <w:tcW w:w="851" w:type="dxa"/>
            <w:shd w:val="clear" w:color="auto" w:fill="FFFFFF" w:themeFill="background1"/>
            <w:vAlign w:val="center"/>
          </w:tcPr>
          <w:p w14:paraId="72178DD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间接</w:t>
            </w:r>
          </w:p>
        </w:tc>
        <w:tc>
          <w:tcPr>
            <w:tcW w:w="708" w:type="dxa"/>
            <w:vMerge/>
            <w:shd w:val="clear" w:color="auto" w:fill="FFFFFF" w:themeFill="background1"/>
            <w:vAlign w:val="center"/>
          </w:tcPr>
          <w:p w14:paraId="0CA9AE74" w14:textId="77777777" w:rsidR="00632E5B" w:rsidRDefault="00632E5B"/>
        </w:tc>
      </w:tr>
      <w:tr w:rsidR="00632E5B" w14:paraId="783734CF" w14:textId="77777777" w:rsidTr="00F05317">
        <w:trPr>
          <w:trHeight w:val="240"/>
          <w:jc w:val="center"/>
        </w:trPr>
        <w:tc>
          <w:tcPr>
            <w:tcW w:w="1557" w:type="dxa"/>
            <w:shd w:val="clear" w:color="auto" w:fill="FFFFFF" w:themeFill="background1"/>
            <w:vAlign w:val="center"/>
          </w:tcPr>
          <w:p w14:paraId="74EB3D8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青海中利光纤技术有限公司</w:t>
            </w:r>
          </w:p>
        </w:tc>
        <w:tc>
          <w:tcPr>
            <w:tcW w:w="1770" w:type="dxa"/>
            <w:shd w:val="clear" w:color="auto" w:fill="FFFFFF" w:themeFill="background1"/>
            <w:vAlign w:val="center"/>
          </w:tcPr>
          <w:p w14:paraId="7FA5397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822,112,500.00</w:t>
            </w:r>
          </w:p>
        </w:tc>
        <w:tc>
          <w:tcPr>
            <w:tcW w:w="1205" w:type="dxa"/>
            <w:shd w:val="clear" w:color="auto" w:fill="FFFFFF" w:themeFill="background1"/>
            <w:vAlign w:val="center"/>
          </w:tcPr>
          <w:p w14:paraId="009B669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青海西宁</w:t>
            </w:r>
          </w:p>
        </w:tc>
        <w:tc>
          <w:tcPr>
            <w:tcW w:w="1205" w:type="dxa"/>
            <w:shd w:val="clear" w:color="auto" w:fill="FFFFFF" w:themeFill="background1"/>
            <w:vAlign w:val="center"/>
          </w:tcPr>
          <w:p w14:paraId="64BADA1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青海西宁</w:t>
            </w:r>
          </w:p>
        </w:tc>
        <w:tc>
          <w:tcPr>
            <w:tcW w:w="1205" w:type="dxa"/>
            <w:shd w:val="clear" w:color="auto" w:fill="FFFFFF" w:themeFill="background1"/>
            <w:vAlign w:val="center"/>
          </w:tcPr>
          <w:p w14:paraId="6F4E53A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生产销售</w:t>
            </w:r>
          </w:p>
        </w:tc>
        <w:tc>
          <w:tcPr>
            <w:tcW w:w="921" w:type="dxa"/>
            <w:shd w:val="clear" w:color="auto" w:fill="FFFFFF" w:themeFill="background1"/>
            <w:vAlign w:val="center"/>
          </w:tcPr>
          <w:p w14:paraId="2AEC90D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851" w:type="dxa"/>
            <w:shd w:val="clear" w:color="auto" w:fill="FFFFFF" w:themeFill="background1"/>
            <w:vAlign w:val="center"/>
          </w:tcPr>
          <w:p w14:paraId="507DCAD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708" w:type="dxa"/>
            <w:shd w:val="clear" w:color="auto" w:fill="FFFFFF" w:themeFill="background1"/>
            <w:vAlign w:val="center"/>
          </w:tcPr>
          <w:p w14:paraId="04DB9D8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3F318890" w14:textId="77777777" w:rsidTr="00F05317">
        <w:trPr>
          <w:trHeight w:val="240"/>
          <w:jc w:val="center"/>
        </w:trPr>
        <w:tc>
          <w:tcPr>
            <w:tcW w:w="1557" w:type="dxa"/>
            <w:shd w:val="clear" w:color="auto" w:fill="FFFFFF" w:themeFill="background1"/>
            <w:vAlign w:val="center"/>
          </w:tcPr>
          <w:p w14:paraId="78F1D13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青海光通信材料工程技术研究中心有限公司</w:t>
            </w:r>
          </w:p>
        </w:tc>
        <w:tc>
          <w:tcPr>
            <w:tcW w:w="1770" w:type="dxa"/>
            <w:shd w:val="clear" w:color="auto" w:fill="FFFFFF" w:themeFill="background1"/>
            <w:vAlign w:val="center"/>
          </w:tcPr>
          <w:p w14:paraId="6FF36FD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5,000,000.00</w:t>
            </w:r>
          </w:p>
        </w:tc>
        <w:tc>
          <w:tcPr>
            <w:tcW w:w="1205" w:type="dxa"/>
            <w:shd w:val="clear" w:color="auto" w:fill="FFFFFF" w:themeFill="background1"/>
            <w:vAlign w:val="center"/>
          </w:tcPr>
          <w:p w14:paraId="69173F2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青海西宁</w:t>
            </w:r>
          </w:p>
        </w:tc>
        <w:tc>
          <w:tcPr>
            <w:tcW w:w="1205" w:type="dxa"/>
            <w:shd w:val="clear" w:color="auto" w:fill="FFFFFF" w:themeFill="background1"/>
            <w:vAlign w:val="center"/>
          </w:tcPr>
          <w:p w14:paraId="3BDDF11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青海西宁</w:t>
            </w:r>
          </w:p>
        </w:tc>
        <w:tc>
          <w:tcPr>
            <w:tcW w:w="1205" w:type="dxa"/>
            <w:shd w:val="clear" w:color="auto" w:fill="FFFFFF" w:themeFill="background1"/>
            <w:vAlign w:val="center"/>
          </w:tcPr>
          <w:p w14:paraId="4C75DA5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研究开发</w:t>
            </w:r>
          </w:p>
        </w:tc>
        <w:tc>
          <w:tcPr>
            <w:tcW w:w="921" w:type="dxa"/>
            <w:shd w:val="clear" w:color="auto" w:fill="FFFFFF" w:themeFill="background1"/>
            <w:vAlign w:val="center"/>
          </w:tcPr>
          <w:p w14:paraId="6046FCA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1E5838F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398F07F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1CBC02D7" w14:textId="77777777" w:rsidTr="00F05317">
        <w:trPr>
          <w:trHeight w:val="240"/>
          <w:jc w:val="center"/>
        </w:trPr>
        <w:tc>
          <w:tcPr>
            <w:tcW w:w="1557" w:type="dxa"/>
            <w:shd w:val="clear" w:color="auto" w:fill="FFFFFF" w:themeFill="background1"/>
            <w:vAlign w:val="center"/>
          </w:tcPr>
          <w:p w14:paraId="6A50E37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辽宁中德电缆有限公司</w:t>
            </w:r>
          </w:p>
        </w:tc>
        <w:tc>
          <w:tcPr>
            <w:tcW w:w="1770" w:type="dxa"/>
            <w:shd w:val="clear" w:color="auto" w:fill="FFFFFF" w:themeFill="background1"/>
            <w:vAlign w:val="center"/>
          </w:tcPr>
          <w:p w14:paraId="3C3410D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303,496,700.00</w:t>
            </w:r>
          </w:p>
        </w:tc>
        <w:tc>
          <w:tcPr>
            <w:tcW w:w="1205" w:type="dxa"/>
            <w:shd w:val="clear" w:color="auto" w:fill="FFFFFF" w:themeFill="background1"/>
            <w:vAlign w:val="center"/>
          </w:tcPr>
          <w:p w14:paraId="34761D0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辽宁铁岭</w:t>
            </w:r>
          </w:p>
        </w:tc>
        <w:tc>
          <w:tcPr>
            <w:tcW w:w="1205" w:type="dxa"/>
            <w:shd w:val="clear" w:color="auto" w:fill="FFFFFF" w:themeFill="background1"/>
            <w:vAlign w:val="center"/>
          </w:tcPr>
          <w:p w14:paraId="3244A67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辽宁铁岭</w:t>
            </w:r>
          </w:p>
        </w:tc>
        <w:tc>
          <w:tcPr>
            <w:tcW w:w="1205" w:type="dxa"/>
            <w:shd w:val="clear" w:color="auto" w:fill="FFFFFF" w:themeFill="background1"/>
            <w:vAlign w:val="center"/>
          </w:tcPr>
          <w:p w14:paraId="0EB2953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生产销售</w:t>
            </w:r>
          </w:p>
        </w:tc>
        <w:tc>
          <w:tcPr>
            <w:tcW w:w="921" w:type="dxa"/>
            <w:shd w:val="clear" w:color="auto" w:fill="FFFFFF" w:themeFill="background1"/>
            <w:vAlign w:val="center"/>
          </w:tcPr>
          <w:p w14:paraId="7413607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851" w:type="dxa"/>
            <w:shd w:val="clear" w:color="auto" w:fill="FFFFFF" w:themeFill="background1"/>
            <w:vAlign w:val="center"/>
          </w:tcPr>
          <w:p w14:paraId="26683D8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708" w:type="dxa"/>
            <w:shd w:val="clear" w:color="auto" w:fill="FFFFFF" w:themeFill="background1"/>
            <w:vAlign w:val="center"/>
          </w:tcPr>
          <w:p w14:paraId="080E03F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5EF6DD7D" w14:textId="77777777" w:rsidTr="00F05317">
        <w:trPr>
          <w:trHeight w:val="240"/>
          <w:jc w:val="center"/>
        </w:trPr>
        <w:tc>
          <w:tcPr>
            <w:tcW w:w="1557" w:type="dxa"/>
            <w:shd w:val="clear" w:color="auto" w:fill="FFFFFF" w:themeFill="background1"/>
            <w:vAlign w:val="center"/>
          </w:tcPr>
          <w:p w14:paraId="73C5A43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常熟市中联光电新材料有限责任公司</w:t>
            </w:r>
          </w:p>
        </w:tc>
        <w:tc>
          <w:tcPr>
            <w:tcW w:w="1770" w:type="dxa"/>
            <w:shd w:val="clear" w:color="auto" w:fill="FFFFFF" w:themeFill="background1"/>
            <w:vAlign w:val="center"/>
          </w:tcPr>
          <w:p w14:paraId="003A592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200,000,000.00</w:t>
            </w:r>
          </w:p>
        </w:tc>
        <w:tc>
          <w:tcPr>
            <w:tcW w:w="1205" w:type="dxa"/>
            <w:shd w:val="clear" w:color="auto" w:fill="FFFFFF" w:themeFill="background1"/>
            <w:vAlign w:val="center"/>
          </w:tcPr>
          <w:p w14:paraId="597A1DD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3CD73BD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28205A1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生产销售</w:t>
            </w:r>
          </w:p>
        </w:tc>
        <w:tc>
          <w:tcPr>
            <w:tcW w:w="921" w:type="dxa"/>
            <w:shd w:val="clear" w:color="auto" w:fill="FFFFFF" w:themeFill="background1"/>
            <w:vAlign w:val="center"/>
          </w:tcPr>
          <w:p w14:paraId="7C2CDEC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851" w:type="dxa"/>
            <w:shd w:val="clear" w:color="auto" w:fill="FFFFFF" w:themeFill="background1"/>
            <w:vAlign w:val="center"/>
          </w:tcPr>
          <w:p w14:paraId="606C2C0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708" w:type="dxa"/>
            <w:shd w:val="clear" w:color="auto" w:fill="FFFFFF" w:themeFill="background1"/>
            <w:vAlign w:val="center"/>
          </w:tcPr>
          <w:p w14:paraId="30E1BC0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67F67817" w14:textId="77777777" w:rsidTr="00F05317">
        <w:trPr>
          <w:trHeight w:val="240"/>
          <w:jc w:val="center"/>
        </w:trPr>
        <w:tc>
          <w:tcPr>
            <w:tcW w:w="1557" w:type="dxa"/>
            <w:shd w:val="clear" w:color="auto" w:fill="FFFFFF" w:themeFill="background1"/>
            <w:vAlign w:val="center"/>
          </w:tcPr>
          <w:p w14:paraId="3F9BDDC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辽宁中利光电新材料有限公司</w:t>
            </w:r>
          </w:p>
        </w:tc>
        <w:tc>
          <w:tcPr>
            <w:tcW w:w="1770" w:type="dxa"/>
            <w:shd w:val="clear" w:color="auto" w:fill="FFFFFF" w:themeFill="background1"/>
            <w:vAlign w:val="center"/>
          </w:tcPr>
          <w:p w14:paraId="5998CFB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48,000,000.00</w:t>
            </w:r>
          </w:p>
        </w:tc>
        <w:tc>
          <w:tcPr>
            <w:tcW w:w="1205" w:type="dxa"/>
            <w:shd w:val="clear" w:color="auto" w:fill="FFFFFF" w:themeFill="background1"/>
            <w:vAlign w:val="center"/>
          </w:tcPr>
          <w:p w14:paraId="5664D1C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辽宁铁岭</w:t>
            </w:r>
          </w:p>
        </w:tc>
        <w:tc>
          <w:tcPr>
            <w:tcW w:w="1205" w:type="dxa"/>
            <w:shd w:val="clear" w:color="auto" w:fill="FFFFFF" w:themeFill="background1"/>
            <w:vAlign w:val="center"/>
          </w:tcPr>
          <w:p w14:paraId="74D0B1A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辽宁铁岭</w:t>
            </w:r>
          </w:p>
        </w:tc>
        <w:tc>
          <w:tcPr>
            <w:tcW w:w="1205" w:type="dxa"/>
            <w:shd w:val="clear" w:color="auto" w:fill="FFFFFF" w:themeFill="background1"/>
            <w:vAlign w:val="center"/>
          </w:tcPr>
          <w:p w14:paraId="053B74B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生产销售</w:t>
            </w:r>
          </w:p>
        </w:tc>
        <w:tc>
          <w:tcPr>
            <w:tcW w:w="921" w:type="dxa"/>
            <w:shd w:val="clear" w:color="auto" w:fill="FFFFFF" w:themeFill="background1"/>
            <w:vAlign w:val="center"/>
          </w:tcPr>
          <w:p w14:paraId="54FA24E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1B661B7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3737850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24D8A8B7" w14:textId="77777777" w:rsidTr="00F05317">
        <w:trPr>
          <w:trHeight w:val="240"/>
          <w:jc w:val="center"/>
        </w:trPr>
        <w:tc>
          <w:tcPr>
            <w:tcW w:w="1557" w:type="dxa"/>
            <w:shd w:val="clear" w:color="auto" w:fill="FFFFFF" w:themeFill="background1"/>
            <w:vAlign w:val="center"/>
          </w:tcPr>
          <w:p w14:paraId="7569E67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苏州中能金带新材料技术有限公司</w:t>
            </w:r>
          </w:p>
        </w:tc>
        <w:tc>
          <w:tcPr>
            <w:tcW w:w="1770" w:type="dxa"/>
            <w:shd w:val="clear" w:color="auto" w:fill="FFFFFF" w:themeFill="background1"/>
            <w:vAlign w:val="center"/>
          </w:tcPr>
          <w:p w14:paraId="7ABA5FF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20,000,000.00</w:t>
            </w:r>
          </w:p>
        </w:tc>
        <w:tc>
          <w:tcPr>
            <w:tcW w:w="1205" w:type="dxa"/>
            <w:shd w:val="clear" w:color="auto" w:fill="FFFFFF" w:themeFill="background1"/>
            <w:vAlign w:val="center"/>
          </w:tcPr>
          <w:p w14:paraId="5B000AD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2BAD26B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2CB3D67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生产销售</w:t>
            </w:r>
          </w:p>
        </w:tc>
        <w:tc>
          <w:tcPr>
            <w:tcW w:w="921" w:type="dxa"/>
            <w:shd w:val="clear" w:color="auto" w:fill="FFFFFF" w:themeFill="background1"/>
            <w:vAlign w:val="center"/>
          </w:tcPr>
          <w:p w14:paraId="0A37306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0247C5F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16826E9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23348E65" w14:textId="77777777" w:rsidTr="00F05317">
        <w:trPr>
          <w:trHeight w:val="240"/>
          <w:jc w:val="center"/>
        </w:trPr>
        <w:tc>
          <w:tcPr>
            <w:tcW w:w="1557" w:type="dxa"/>
            <w:shd w:val="clear" w:color="auto" w:fill="FFFFFF" w:themeFill="background1"/>
            <w:vAlign w:val="center"/>
          </w:tcPr>
          <w:p w14:paraId="26CD3E8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lastRenderedPageBreak/>
              <w:t>常熟市中联金属材料有限公司</w:t>
            </w:r>
          </w:p>
        </w:tc>
        <w:tc>
          <w:tcPr>
            <w:tcW w:w="1770" w:type="dxa"/>
            <w:shd w:val="clear" w:color="auto" w:fill="FFFFFF" w:themeFill="background1"/>
            <w:vAlign w:val="center"/>
          </w:tcPr>
          <w:p w14:paraId="2AE3ECC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100,000,000.00</w:t>
            </w:r>
          </w:p>
        </w:tc>
        <w:tc>
          <w:tcPr>
            <w:tcW w:w="1205" w:type="dxa"/>
            <w:shd w:val="clear" w:color="auto" w:fill="FFFFFF" w:themeFill="background1"/>
            <w:vAlign w:val="center"/>
          </w:tcPr>
          <w:p w14:paraId="04FE4E5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2B0FB86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1522BAC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生产销售</w:t>
            </w:r>
          </w:p>
        </w:tc>
        <w:tc>
          <w:tcPr>
            <w:tcW w:w="921" w:type="dxa"/>
            <w:shd w:val="clear" w:color="auto" w:fill="FFFFFF" w:themeFill="background1"/>
            <w:vAlign w:val="center"/>
          </w:tcPr>
          <w:p w14:paraId="706489A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5C01EDA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5107618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1D52DE97" w14:textId="77777777" w:rsidTr="00F05317">
        <w:trPr>
          <w:trHeight w:val="240"/>
          <w:jc w:val="center"/>
        </w:trPr>
        <w:tc>
          <w:tcPr>
            <w:tcW w:w="1557" w:type="dxa"/>
            <w:shd w:val="clear" w:color="auto" w:fill="FFFFFF" w:themeFill="background1"/>
            <w:vAlign w:val="center"/>
          </w:tcPr>
          <w:p w14:paraId="32478E3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宁夏中盛电缆技术有限公司</w:t>
            </w:r>
          </w:p>
        </w:tc>
        <w:tc>
          <w:tcPr>
            <w:tcW w:w="1770" w:type="dxa"/>
            <w:shd w:val="clear" w:color="auto" w:fill="FFFFFF" w:themeFill="background1"/>
            <w:vAlign w:val="center"/>
          </w:tcPr>
          <w:p w14:paraId="7E26849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100,000,000.00</w:t>
            </w:r>
          </w:p>
        </w:tc>
        <w:tc>
          <w:tcPr>
            <w:tcW w:w="1205" w:type="dxa"/>
            <w:shd w:val="clear" w:color="auto" w:fill="FFFFFF" w:themeFill="background1"/>
            <w:vAlign w:val="center"/>
          </w:tcPr>
          <w:p w14:paraId="26B9040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宁夏石嘴山</w:t>
            </w:r>
          </w:p>
        </w:tc>
        <w:tc>
          <w:tcPr>
            <w:tcW w:w="1205" w:type="dxa"/>
            <w:shd w:val="clear" w:color="auto" w:fill="FFFFFF" w:themeFill="background1"/>
            <w:vAlign w:val="center"/>
          </w:tcPr>
          <w:p w14:paraId="22DB2C9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宁夏石嘴山</w:t>
            </w:r>
          </w:p>
        </w:tc>
        <w:tc>
          <w:tcPr>
            <w:tcW w:w="1205" w:type="dxa"/>
            <w:shd w:val="clear" w:color="auto" w:fill="FFFFFF" w:themeFill="background1"/>
            <w:vAlign w:val="center"/>
          </w:tcPr>
          <w:p w14:paraId="4D49BC3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生产与销售</w:t>
            </w:r>
          </w:p>
        </w:tc>
        <w:tc>
          <w:tcPr>
            <w:tcW w:w="921" w:type="dxa"/>
            <w:shd w:val="clear" w:color="auto" w:fill="FFFFFF" w:themeFill="background1"/>
            <w:vAlign w:val="center"/>
          </w:tcPr>
          <w:p w14:paraId="20C5BE3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851" w:type="dxa"/>
            <w:shd w:val="clear" w:color="auto" w:fill="FFFFFF" w:themeFill="background1"/>
            <w:vAlign w:val="center"/>
          </w:tcPr>
          <w:p w14:paraId="5D1F9EC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708" w:type="dxa"/>
            <w:shd w:val="clear" w:color="auto" w:fill="FFFFFF" w:themeFill="background1"/>
            <w:vAlign w:val="center"/>
          </w:tcPr>
          <w:p w14:paraId="211AD46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07DD83BA" w14:textId="77777777" w:rsidTr="00F05317">
        <w:trPr>
          <w:trHeight w:val="240"/>
          <w:jc w:val="center"/>
        </w:trPr>
        <w:tc>
          <w:tcPr>
            <w:tcW w:w="1557" w:type="dxa"/>
            <w:shd w:val="clear" w:color="auto" w:fill="FFFFFF" w:themeFill="background1"/>
            <w:vAlign w:val="center"/>
          </w:tcPr>
          <w:p w14:paraId="0F320DA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宁夏盛晖光伏技术有限公司</w:t>
            </w:r>
          </w:p>
        </w:tc>
        <w:tc>
          <w:tcPr>
            <w:tcW w:w="1770" w:type="dxa"/>
            <w:shd w:val="clear" w:color="auto" w:fill="FFFFFF" w:themeFill="background1"/>
            <w:vAlign w:val="center"/>
          </w:tcPr>
          <w:p w14:paraId="0E42FF3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31,500,000.00</w:t>
            </w:r>
          </w:p>
        </w:tc>
        <w:tc>
          <w:tcPr>
            <w:tcW w:w="1205" w:type="dxa"/>
            <w:shd w:val="clear" w:color="auto" w:fill="FFFFFF" w:themeFill="background1"/>
            <w:vAlign w:val="center"/>
          </w:tcPr>
          <w:p w14:paraId="3B44926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宁夏石嘴山</w:t>
            </w:r>
          </w:p>
        </w:tc>
        <w:tc>
          <w:tcPr>
            <w:tcW w:w="1205" w:type="dxa"/>
            <w:shd w:val="clear" w:color="auto" w:fill="FFFFFF" w:themeFill="background1"/>
            <w:vAlign w:val="center"/>
          </w:tcPr>
          <w:p w14:paraId="50B15B9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宁夏石嘴山</w:t>
            </w:r>
          </w:p>
        </w:tc>
        <w:tc>
          <w:tcPr>
            <w:tcW w:w="1205" w:type="dxa"/>
            <w:shd w:val="clear" w:color="auto" w:fill="FFFFFF" w:themeFill="background1"/>
            <w:vAlign w:val="center"/>
          </w:tcPr>
          <w:p w14:paraId="3F12EE4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光伏电站经营</w:t>
            </w:r>
          </w:p>
        </w:tc>
        <w:tc>
          <w:tcPr>
            <w:tcW w:w="921" w:type="dxa"/>
            <w:shd w:val="clear" w:color="auto" w:fill="FFFFFF" w:themeFill="background1"/>
            <w:vAlign w:val="center"/>
          </w:tcPr>
          <w:p w14:paraId="544C8F8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182C326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7296378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1ED745B8" w14:textId="77777777" w:rsidTr="00F05317">
        <w:trPr>
          <w:trHeight w:val="240"/>
          <w:jc w:val="center"/>
        </w:trPr>
        <w:tc>
          <w:tcPr>
            <w:tcW w:w="1557" w:type="dxa"/>
            <w:shd w:val="clear" w:color="auto" w:fill="FFFFFF" w:themeFill="background1"/>
            <w:vAlign w:val="center"/>
          </w:tcPr>
          <w:p w14:paraId="58131AE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苏州众利线缆有限公司</w:t>
            </w:r>
          </w:p>
        </w:tc>
        <w:tc>
          <w:tcPr>
            <w:tcW w:w="1770" w:type="dxa"/>
            <w:shd w:val="clear" w:color="auto" w:fill="FFFFFF" w:themeFill="background1"/>
            <w:vAlign w:val="center"/>
          </w:tcPr>
          <w:p w14:paraId="6FFC3A2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100,000,000.00</w:t>
            </w:r>
          </w:p>
        </w:tc>
        <w:tc>
          <w:tcPr>
            <w:tcW w:w="1205" w:type="dxa"/>
            <w:shd w:val="clear" w:color="auto" w:fill="FFFFFF" w:themeFill="background1"/>
            <w:vAlign w:val="center"/>
          </w:tcPr>
          <w:p w14:paraId="3A4FDE6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251324F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6A7D65D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生产销售</w:t>
            </w:r>
          </w:p>
        </w:tc>
        <w:tc>
          <w:tcPr>
            <w:tcW w:w="921" w:type="dxa"/>
            <w:shd w:val="clear" w:color="auto" w:fill="FFFFFF" w:themeFill="background1"/>
            <w:vAlign w:val="center"/>
          </w:tcPr>
          <w:p w14:paraId="67B850E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851" w:type="dxa"/>
            <w:shd w:val="clear" w:color="auto" w:fill="FFFFFF" w:themeFill="background1"/>
            <w:vAlign w:val="center"/>
          </w:tcPr>
          <w:p w14:paraId="2504946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708" w:type="dxa"/>
            <w:shd w:val="clear" w:color="auto" w:fill="FFFFFF" w:themeFill="background1"/>
            <w:vAlign w:val="center"/>
          </w:tcPr>
          <w:p w14:paraId="3BBEB94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65E2A728" w14:textId="77777777" w:rsidTr="00F05317">
        <w:trPr>
          <w:trHeight w:val="240"/>
          <w:jc w:val="center"/>
        </w:trPr>
        <w:tc>
          <w:tcPr>
            <w:tcW w:w="1557" w:type="dxa"/>
            <w:shd w:val="clear" w:color="auto" w:fill="FFFFFF" w:themeFill="background1"/>
            <w:vAlign w:val="center"/>
          </w:tcPr>
          <w:p w14:paraId="439A64A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常熟利星光电科技有限公司</w:t>
            </w:r>
          </w:p>
        </w:tc>
        <w:tc>
          <w:tcPr>
            <w:tcW w:w="1770" w:type="dxa"/>
            <w:shd w:val="clear" w:color="auto" w:fill="FFFFFF" w:themeFill="background1"/>
            <w:vAlign w:val="center"/>
          </w:tcPr>
          <w:p w14:paraId="15145F7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29,737,502.00</w:t>
            </w:r>
          </w:p>
        </w:tc>
        <w:tc>
          <w:tcPr>
            <w:tcW w:w="1205" w:type="dxa"/>
            <w:shd w:val="clear" w:color="auto" w:fill="FFFFFF" w:themeFill="background1"/>
            <w:vAlign w:val="center"/>
          </w:tcPr>
          <w:p w14:paraId="499E46C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580EC44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498D565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生产销售</w:t>
            </w:r>
          </w:p>
        </w:tc>
        <w:tc>
          <w:tcPr>
            <w:tcW w:w="921" w:type="dxa"/>
            <w:shd w:val="clear" w:color="auto" w:fill="FFFFFF" w:themeFill="background1"/>
            <w:vAlign w:val="center"/>
          </w:tcPr>
          <w:p w14:paraId="4E35894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851" w:type="dxa"/>
            <w:shd w:val="clear" w:color="auto" w:fill="FFFFFF" w:themeFill="background1"/>
            <w:vAlign w:val="center"/>
          </w:tcPr>
          <w:p w14:paraId="76DFCAB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708" w:type="dxa"/>
            <w:shd w:val="clear" w:color="auto" w:fill="FFFFFF" w:themeFill="background1"/>
            <w:vAlign w:val="center"/>
          </w:tcPr>
          <w:p w14:paraId="0271E17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1208177B" w14:textId="77777777" w:rsidTr="00F05317">
        <w:trPr>
          <w:trHeight w:val="240"/>
          <w:jc w:val="center"/>
        </w:trPr>
        <w:tc>
          <w:tcPr>
            <w:tcW w:w="1557" w:type="dxa"/>
            <w:shd w:val="clear" w:color="auto" w:fill="FFFFFF" w:themeFill="background1"/>
            <w:vAlign w:val="center"/>
          </w:tcPr>
          <w:p w14:paraId="4333941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利星科技（亚洲）有限公司</w:t>
            </w:r>
          </w:p>
        </w:tc>
        <w:tc>
          <w:tcPr>
            <w:tcW w:w="1770" w:type="dxa"/>
            <w:shd w:val="clear" w:color="auto" w:fill="FFFFFF" w:themeFill="background1"/>
            <w:vAlign w:val="center"/>
          </w:tcPr>
          <w:p w14:paraId="2CC4BF5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9,980,000.00</w:t>
            </w:r>
            <w:r>
              <w:rPr>
                <w:rFonts w:ascii="Times New Roman" w:eastAsia="宋体" w:hAnsi="Times New Roman" w:cs="Times New Roman"/>
                <w:color w:val="F00000"/>
                <w:vertAlign w:val="superscript"/>
              </w:rPr>
              <w:t>1</w:t>
            </w:r>
          </w:p>
        </w:tc>
        <w:tc>
          <w:tcPr>
            <w:tcW w:w="1205" w:type="dxa"/>
            <w:shd w:val="clear" w:color="auto" w:fill="FFFFFF" w:themeFill="background1"/>
            <w:vAlign w:val="center"/>
          </w:tcPr>
          <w:p w14:paraId="12ED8B6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新加坡</w:t>
            </w:r>
          </w:p>
        </w:tc>
        <w:tc>
          <w:tcPr>
            <w:tcW w:w="1205" w:type="dxa"/>
            <w:shd w:val="clear" w:color="auto" w:fill="FFFFFF" w:themeFill="background1"/>
            <w:vAlign w:val="center"/>
          </w:tcPr>
          <w:p w14:paraId="3E08DE1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新加坡</w:t>
            </w:r>
          </w:p>
        </w:tc>
        <w:tc>
          <w:tcPr>
            <w:tcW w:w="1205" w:type="dxa"/>
            <w:shd w:val="clear" w:color="auto" w:fill="FFFFFF" w:themeFill="background1"/>
            <w:vAlign w:val="center"/>
          </w:tcPr>
          <w:p w14:paraId="753D91C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生产与销售</w:t>
            </w:r>
          </w:p>
        </w:tc>
        <w:tc>
          <w:tcPr>
            <w:tcW w:w="921" w:type="dxa"/>
            <w:shd w:val="clear" w:color="auto" w:fill="FFFFFF" w:themeFill="background1"/>
            <w:vAlign w:val="center"/>
          </w:tcPr>
          <w:p w14:paraId="560EE65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14A8AB3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25BE567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77FBE70C" w14:textId="77777777" w:rsidTr="00F05317">
        <w:trPr>
          <w:trHeight w:val="240"/>
          <w:jc w:val="center"/>
        </w:trPr>
        <w:tc>
          <w:tcPr>
            <w:tcW w:w="1557" w:type="dxa"/>
            <w:shd w:val="clear" w:color="auto" w:fill="FFFFFF" w:themeFill="background1"/>
            <w:vAlign w:val="center"/>
          </w:tcPr>
          <w:p w14:paraId="5B79940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越南利星科技有限公司</w:t>
            </w:r>
          </w:p>
        </w:tc>
        <w:tc>
          <w:tcPr>
            <w:tcW w:w="1770" w:type="dxa"/>
            <w:shd w:val="clear" w:color="auto" w:fill="FFFFFF" w:themeFill="background1"/>
            <w:vAlign w:val="center"/>
          </w:tcPr>
          <w:p w14:paraId="6230181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36,735,000,000.00</w:t>
            </w:r>
            <w:r>
              <w:rPr>
                <w:rFonts w:ascii="Times New Roman" w:eastAsia="宋体" w:hAnsi="Times New Roman" w:cs="Times New Roman"/>
                <w:color w:val="F00000"/>
                <w:vertAlign w:val="superscript"/>
              </w:rPr>
              <w:t>2</w:t>
            </w:r>
          </w:p>
        </w:tc>
        <w:tc>
          <w:tcPr>
            <w:tcW w:w="1205" w:type="dxa"/>
            <w:shd w:val="clear" w:color="auto" w:fill="FFFFFF" w:themeFill="background1"/>
            <w:vAlign w:val="center"/>
          </w:tcPr>
          <w:p w14:paraId="6A1A3FB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越南</w:t>
            </w:r>
          </w:p>
        </w:tc>
        <w:tc>
          <w:tcPr>
            <w:tcW w:w="1205" w:type="dxa"/>
            <w:shd w:val="clear" w:color="auto" w:fill="FFFFFF" w:themeFill="background1"/>
            <w:vAlign w:val="center"/>
          </w:tcPr>
          <w:p w14:paraId="0C0B434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越南</w:t>
            </w:r>
          </w:p>
        </w:tc>
        <w:tc>
          <w:tcPr>
            <w:tcW w:w="1205" w:type="dxa"/>
            <w:shd w:val="clear" w:color="auto" w:fill="FFFFFF" w:themeFill="background1"/>
            <w:vAlign w:val="center"/>
          </w:tcPr>
          <w:p w14:paraId="271F93B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生产与销售</w:t>
            </w:r>
          </w:p>
        </w:tc>
        <w:tc>
          <w:tcPr>
            <w:tcW w:w="921" w:type="dxa"/>
            <w:shd w:val="clear" w:color="auto" w:fill="FFFFFF" w:themeFill="background1"/>
            <w:vAlign w:val="center"/>
          </w:tcPr>
          <w:p w14:paraId="0172A66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2667805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6BB41E5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46590C9A" w14:textId="77777777" w:rsidTr="00F05317">
        <w:trPr>
          <w:trHeight w:val="240"/>
          <w:jc w:val="center"/>
        </w:trPr>
        <w:tc>
          <w:tcPr>
            <w:tcW w:w="1557" w:type="dxa"/>
            <w:shd w:val="clear" w:color="auto" w:fill="FFFFFF" w:themeFill="background1"/>
            <w:vAlign w:val="center"/>
          </w:tcPr>
          <w:p w14:paraId="15DBA2E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常熟市协友企业服务有限公司</w:t>
            </w:r>
          </w:p>
        </w:tc>
        <w:tc>
          <w:tcPr>
            <w:tcW w:w="1770" w:type="dxa"/>
            <w:shd w:val="clear" w:color="auto" w:fill="FFFFFF" w:themeFill="background1"/>
            <w:vAlign w:val="center"/>
          </w:tcPr>
          <w:p w14:paraId="260484C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2,000,000.00</w:t>
            </w:r>
          </w:p>
        </w:tc>
        <w:tc>
          <w:tcPr>
            <w:tcW w:w="1205" w:type="dxa"/>
            <w:shd w:val="clear" w:color="auto" w:fill="FFFFFF" w:themeFill="background1"/>
            <w:vAlign w:val="center"/>
          </w:tcPr>
          <w:p w14:paraId="1665B2F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5690435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7774399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服务业</w:t>
            </w:r>
          </w:p>
        </w:tc>
        <w:tc>
          <w:tcPr>
            <w:tcW w:w="921" w:type="dxa"/>
            <w:shd w:val="clear" w:color="auto" w:fill="FFFFFF" w:themeFill="background1"/>
            <w:vAlign w:val="center"/>
          </w:tcPr>
          <w:p w14:paraId="40D35A8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851" w:type="dxa"/>
            <w:shd w:val="clear" w:color="auto" w:fill="FFFFFF" w:themeFill="background1"/>
            <w:vAlign w:val="center"/>
          </w:tcPr>
          <w:p w14:paraId="07440DA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708" w:type="dxa"/>
            <w:shd w:val="clear" w:color="auto" w:fill="FFFFFF" w:themeFill="background1"/>
            <w:vAlign w:val="center"/>
          </w:tcPr>
          <w:p w14:paraId="58CCDD7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62A7699E" w14:textId="77777777" w:rsidTr="00F05317">
        <w:trPr>
          <w:trHeight w:val="240"/>
          <w:jc w:val="center"/>
        </w:trPr>
        <w:tc>
          <w:tcPr>
            <w:tcW w:w="1557" w:type="dxa"/>
            <w:shd w:val="clear" w:color="auto" w:fill="FFFFFF" w:themeFill="background1"/>
            <w:vAlign w:val="center"/>
          </w:tcPr>
          <w:p w14:paraId="614538C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中利集团（香港）有限公司</w:t>
            </w:r>
          </w:p>
        </w:tc>
        <w:tc>
          <w:tcPr>
            <w:tcW w:w="1770" w:type="dxa"/>
            <w:shd w:val="clear" w:color="auto" w:fill="FFFFFF" w:themeFill="background1"/>
            <w:vAlign w:val="center"/>
          </w:tcPr>
          <w:p w14:paraId="379FF30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10,000.00</w:t>
            </w:r>
            <w:r>
              <w:rPr>
                <w:rFonts w:ascii="Times New Roman" w:eastAsia="宋体" w:hAnsi="Times New Roman" w:cs="Times New Roman"/>
                <w:color w:val="F00000"/>
                <w:vertAlign w:val="superscript"/>
              </w:rPr>
              <w:t>3</w:t>
            </w:r>
          </w:p>
        </w:tc>
        <w:tc>
          <w:tcPr>
            <w:tcW w:w="1205" w:type="dxa"/>
            <w:shd w:val="clear" w:color="auto" w:fill="FFFFFF" w:themeFill="background1"/>
            <w:vAlign w:val="center"/>
          </w:tcPr>
          <w:p w14:paraId="0E3BFB8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香港</w:t>
            </w:r>
          </w:p>
        </w:tc>
        <w:tc>
          <w:tcPr>
            <w:tcW w:w="1205" w:type="dxa"/>
            <w:shd w:val="clear" w:color="auto" w:fill="FFFFFF" w:themeFill="background1"/>
            <w:vAlign w:val="center"/>
          </w:tcPr>
          <w:p w14:paraId="2E2C968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香港</w:t>
            </w:r>
          </w:p>
        </w:tc>
        <w:tc>
          <w:tcPr>
            <w:tcW w:w="1205" w:type="dxa"/>
            <w:shd w:val="clear" w:color="auto" w:fill="FFFFFF" w:themeFill="background1"/>
            <w:vAlign w:val="center"/>
          </w:tcPr>
          <w:p w14:paraId="7F96720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电线电缆光缆通信设备贸易</w:t>
            </w:r>
          </w:p>
        </w:tc>
        <w:tc>
          <w:tcPr>
            <w:tcW w:w="921" w:type="dxa"/>
            <w:shd w:val="clear" w:color="auto" w:fill="FFFFFF" w:themeFill="background1"/>
            <w:vAlign w:val="center"/>
          </w:tcPr>
          <w:p w14:paraId="49A18C5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851" w:type="dxa"/>
            <w:shd w:val="clear" w:color="auto" w:fill="FFFFFF" w:themeFill="background1"/>
            <w:vAlign w:val="center"/>
          </w:tcPr>
          <w:p w14:paraId="559129E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708" w:type="dxa"/>
            <w:shd w:val="clear" w:color="auto" w:fill="FFFFFF" w:themeFill="background1"/>
            <w:vAlign w:val="center"/>
          </w:tcPr>
          <w:p w14:paraId="3D00CC3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0C84CF90" w14:textId="77777777" w:rsidTr="00F05317">
        <w:trPr>
          <w:trHeight w:val="240"/>
          <w:jc w:val="center"/>
        </w:trPr>
        <w:tc>
          <w:tcPr>
            <w:tcW w:w="1557" w:type="dxa"/>
            <w:shd w:val="clear" w:color="auto" w:fill="FFFFFF" w:themeFill="background1"/>
            <w:vAlign w:val="center"/>
          </w:tcPr>
          <w:p w14:paraId="4B8BB41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常州船用电缆有限责任公司</w:t>
            </w:r>
          </w:p>
        </w:tc>
        <w:tc>
          <w:tcPr>
            <w:tcW w:w="1770" w:type="dxa"/>
            <w:shd w:val="clear" w:color="auto" w:fill="FFFFFF" w:themeFill="background1"/>
            <w:vAlign w:val="center"/>
          </w:tcPr>
          <w:p w14:paraId="4989444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351,000,000.00</w:t>
            </w:r>
          </w:p>
        </w:tc>
        <w:tc>
          <w:tcPr>
            <w:tcW w:w="1205" w:type="dxa"/>
            <w:shd w:val="clear" w:color="auto" w:fill="FFFFFF" w:themeFill="background1"/>
            <w:vAlign w:val="center"/>
          </w:tcPr>
          <w:p w14:paraId="320C404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江苏常州</w:t>
            </w:r>
          </w:p>
        </w:tc>
        <w:tc>
          <w:tcPr>
            <w:tcW w:w="1205" w:type="dxa"/>
            <w:shd w:val="clear" w:color="auto" w:fill="FFFFFF" w:themeFill="background1"/>
            <w:vAlign w:val="center"/>
          </w:tcPr>
          <w:p w14:paraId="1B0B261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江苏常州</w:t>
            </w:r>
          </w:p>
        </w:tc>
        <w:tc>
          <w:tcPr>
            <w:tcW w:w="1205" w:type="dxa"/>
            <w:shd w:val="clear" w:color="auto" w:fill="FFFFFF" w:themeFill="background1"/>
            <w:vAlign w:val="center"/>
          </w:tcPr>
          <w:p w14:paraId="15C0CD3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生产销售</w:t>
            </w:r>
          </w:p>
        </w:tc>
        <w:tc>
          <w:tcPr>
            <w:tcW w:w="921" w:type="dxa"/>
            <w:shd w:val="clear" w:color="auto" w:fill="FFFFFF" w:themeFill="background1"/>
            <w:vAlign w:val="center"/>
          </w:tcPr>
          <w:p w14:paraId="208EA6A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1B9C3A6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537A0E5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购买</w:t>
            </w:r>
          </w:p>
        </w:tc>
      </w:tr>
      <w:tr w:rsidR="00632E5B" w14:paraId="28591C16" w14:textId="77777777" w:rsidTr="00F05317">
        <w:trPr>
          <w:trHeight w:val="240"/>
          <w:jc w:val="center"/>
        </w:trPr>
        <w:tc>
          <w:tcPr>
            <w:tcW w:w="1557" w:type="dxa"/>
            <w:shd w:val="clear" w:color="auto" w:fill="FFFFFF" w:themeFill="background1"/>
            <w:vAlign w:val="center"/>
          </w:tcPr>
          <w:p w14:paraId="5E1B846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常熟拓宏光电科技有限公司</w:t>
            </w:r>
          </w:p>
        </w:tc>
        <w:tc>
          <w:tcPr>
            <w:tcW w:w="1770" w:type="dxa"/>
            <w:shd w:val="clear" w:color="auto" w:fill="FFFFFF" w:themeFill="background1"/>
            <w:vAlign w:val="center"/>
          </w:tcPr>
          <w:p w14:paraId="60B2588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351,000,000.00</w:t>
            </w:r>
          </w:p>
        </w:tc>
        <w:tc>
          <w:tcPr>
            <w:tcW w:w="1205" w:type="dxa"/>
            <w:shd w:val="clear" w:color="auto" w:fill="FFFFFF" w:themeFill="background1"/>
            <w:vAlign w:val="center"/>
          </w:tcPr>
          <w:p w14:paraId="34FA097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774A8B7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01D682D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生产销售</w:t>
            </w:r>
          </w:p>
        </w:tc>
        <w:tc>
          <w:tcPr>
            <w:tcW w:w="921" w:type="dxa"/>
            <w:shd w:val="clear" w:color="auto" w:fill="FFFFFF" w:themeFill="background1"/>
            <w:vAlign w:val="center"/>
          </w:tcPr>
          <w:p w14:paraId="1D666E1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851" w:type="dxa"/>
            <w:shd w:val="clear" w:color="auto" w:fill="FFFFFF" w:themeFill="background1"/>
            <w:vAlign w:val="center"/>
          </w:tcPr>
          <w:p w14:paraId="7D9B199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708" w:type="dxa"/>
            <w:shd w:val="clear" w:color="auto" w:fill="FFFFFF" w:themeFill="background1"/>
            <w:vAlign w:val="center"/>
          </w:tcPr>
          <w:p w14:paraId="42328D0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524872C3" w14:textId="77777777" w:rsidTr="00F05317">
        <w:trPr>
          <w:trHeight w:val="240"/>
          <w:jc w:val="center"/>
        </w:trPr>
        <w:tc>
          <w:tcPr>
            <w:tcW w:w="1557" w:type="dxa"/>
            <w:shd w:val="clear" w:color="auto" w:fill="FFFFFF" w:themeFill="background1"/>
            <w:vAlign w:val="center"/>
          </w:tcPr>
          <w:p w14:paraId="7D9749F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苏州腾晖光伏技术有限公司</w:t>
            </w:r>
          </w:p>
        </w:tc>
        <w:tc>
          <w:tcPr>
            <w:tcW w:w="1770" w:type="dxa"/>
            <w:shd w:val="clear" w:color="auto" w:fill="FFFFFF" w:themeFill="background1"/>
            <w:vAlign w:val="center"/>
          </w:tcPr>
          <w:p w14:paraId="2FFD57A2" w14:textId="4065FB1E" w:rsidR="00632E5B" w:rsidRDefault="00FB24C9">
            <w:pPr>
              <w:spacing w:line="240" w:lineRule="exact"/>
              <w:jc w:val="right"/>
              <w:rPr>
                <w:rFonts w:ascii="宋体" w:eastAsia="宋体" w:hAnsi="宋体" w:cs="宋体" w:hint="eastAsia"/>
                <w:sz w:val="18"/>
                <w:szCs w:val="18"/>
              </w:rPr>
            </w:pPr>
            <w:r>
              <w:rPr>
                <w:rFonts w:ascii="宋体" w:eastAsia="宋体" w:hAnsi="宋体" w:cs="宋体"/>
                <w:sz w:val="18"/>
                <w:szCs w:val="18"/>
              </w:rPr>
              <w:t>4,562,35</w:t>
            </w:r>
            <w:r w:rsidR="00107901">
              <w:rPr>
                <w:rFonts w:ascii="宋体" w:eastAsia="宋体" w:hAnsi="宋体" w:cs="宋体"/>
                <w:sz w:val="18"/>
                <w:szCs w:val="18"/>
              </w:rPr>
              <w:t>5,840.76</w:t>
            </w:r>
          </w:p>
        </w:tc>
        <w:tc>
          <w:tcPr>
            <w:tcW w:w="1205" w:type="dxa"/>
            <w:shd w:val="clear" w:color="auto" w:fill="FFFFFF" w:themeFill="background1"/>
            <w:vAlign w:val="center"/>
          </w:tcPr>
          <w:p w14:paraId="25179FA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1655375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5E38E4B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生产销售</w:t>
            </w:r>
          </w:p>
        </w:tc>
        <w:tc>
          <w:tcPr>
            <w:tcW w:w="921" w:type="dxa"/>
            <w:shd w:val="clear" w:color="auto" w:fill="FFFFFF" w:themeFill="background1"/>
            <w:vAlign w:val="center"/>
          </w:tcPr>
          <w:p w14:paraId="47AC023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30.00%</w:t>
            </w:r>
          </w:p>
        </w:tc>
        <w:tc>
          <w:tcPr>
            <w:tcW w:w="851" w:type="dxa"/>
            <w:shd w:val="clear" w:color="auto" w:fill="FFFFFF" w:themeFill="background1"/>
            <w:vAlign w:val="center"/>
          </w:tcPr>
          <w:p w14:paraId="2CDE1D3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70.00%</w:t>
            </w:r>
          </w:p>
        </w:tc>
        <w:tc>
          <w:tcPr>
            <w:tcW w:w="708" w:type="dxa"/>
            <w:shd w:val="clear" w:color="auto" w:fill="FFFFFF" w:themeFill="background1"/>
            <w:vAlign w:val="center"/>
          </w:tcPr>
          <w:p w14:paraId="6012F4D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01FDF3A4" w14:textId="77777777" w:rsidTr="00F05317">
        <w:trPr>
          <w:trHeight w:val="240"/>
          <w:jc w:val="center"/>
        </w:trPr>
        <w:tc>
          <w:tcPr>
            <w:tcW w:w="1557" w:type="dxa"/>
            <w:shd w:val="clear" w:color="auto" w:fill="FFFFFF" w:themeFill="background1"/>
            <w:vAlign w:val="center"/>
          </w:tcPr>
          <w:p w14:paraId="406790A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山东腾晖电力技术有限公司</w:t>
            </w:r>
          </w:p>
        </w:tc>
        <w:tc>
          <w:tcPr>
            <w:tcW w:w="1770" w:type="dxa"/>
            <w:shd w:val="clear" w:color="auto" w:fill="FFFFFF" w:themeFill="background1"/>
            <w:vAlign w:val="center"/>
          </w:tcPr>
          <w:p w14:paraId="60266E5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200,000,000.00</w:t>
            </w:r>
          </w:p>
        </w:tc>
        <w:tc>
          <w:tcPr>
            <w:tcW w:w="1205" w:type="dxa"/>
            <w:shd w:val="clear" w:color="auto" w:fill="FFFFFF" w:themeFill="background1"/>
            <w:vAlign w:val="center"/>
          </w:tcPr>
          <w:p w14:paraId="3D64584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山东淄博</w:t>
            </w:r>
          </w:p>
        </w:tc>
        <w:tc>
          <w:tcPr>
            <w:tcW w:w="1205" w:type="dxa"/>
            <w:shd w:val="clear" w:color="auto" w:fill="FFFFFF" w:themeFill="background1"/>
            <w:vAlign w:val="center"/>
          </w:tcPr>
          <w:p w14:paraId="4D9C412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山东淄博</w:t>
            </w:r>
          </w:p>
        </w:tc>
        <w:tc>
          <w:tcPr>
            <w:tcW w:w="1205" w:type="dxa"/>
            <w:shd w:val="clear" w:color="auto" w:fill="FFFFFF" w:themeFill="background1"/>
            <w:vAlign w:val="center"/>
          </w:tcPr>
          <w:p w14:paraId="7E7BBA4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光伏电站开发、运营</w:t>
            </w:r>
          </w:p>
        </w:tc>
        <w:tc>
          <w:tcPr>
            <w:tcW w:w="921" w:type="dxa"/>
            <w:shd w:val="clear" w:color="auto" w:fill="FFFFFF" w:themeFill="background1"/>
            <w:vAlign w:val="center"/>
          </w:tcPr>
          <w:p w14:paraId="6BA5F21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5845FE8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1043541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2B65586B" w14:textId="77777777" w:rsidTr="00F05317">
        <w:trPr>
          <w:trHeight w:val="240"/>
          <w:jc w:val="center"/>
        </w:trPr>
        <w:tc>
          <w:tcPr>
            <w:tcW w:w="1557" w:type="dxa"/>
            <w:shd w:val="clear" w:color="auto" w:fill="FFFFFF" w:themeFill="background1"/>
            <w:vAlign w:val="center"/>
          </w:tcPr>
          <w:p w14:paraId="067882A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常熟盛晖光伏技术有限公司</w:t>
            </w:r>
          </w:p>
        </w:tc>
        <w:tc>
          <w:tcPr>
            <w:tcW w:w="1770" w:type="dxa"/>
            <w:shd w:val="clear" w:color="auto" w:fill="FFFFFF" w:themeFill="background1"/>
            <w:vAlign w:val="center"/>
          </w:tcPr>
          <w:p w14:paraId="5839946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auto" w:fill="FFFFFF" w:themeFill="background1"/>
            <w:vAlign w:val="center"/>
          </w:tcPr>
          <w:p w14:paraId="33FFA37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712F6F5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43CF254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光伏电站经营</w:t>
            </w:r>
          </w:p>
        </w:tc>
        <w:tc>
          <w:tcPr>
            <w:tcW w:w="921" w:type="dxa"/>
            <w:shd w:val="clear" w:color="auto" w:fill="FFFFFF" w:themeFill="background1"/>
            <w:vAlign w:val="center"/>
          </w:tcPr>
          <w:p w14:paraId="7CD642D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42CF7D2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2D01715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13595ED8" w14:textId="77777777" w:rsidTr="00F05317">
        <w:trPr>
          <w:trHeight w:val="240"/>
          <w:jc w:val="center"/>
        </w:trPr>
        <w:tc>
          <w:tcPr>
            <w:tcW w:w="1557" w:type="dxa"/>
            <w:shd w:val="clear" w:color="auto" w:fill="FFFFFF" w:themeFill="background1"/>
            <w:vAlign w:val="center"/>
          </w:tcPr>
          <w:p w14:paraId="69FDBD7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南昌讯晖光伏技术有限公司</w:t>
            </w:r>
          </w:p>
        </w:tc>
        <w:tc>
          <w:tcPr>
            <w:tcW w:w="1770" w:type="dxa"/>
            <w:shd w:val="clear" w:color="auto" w:fill="FFFFFF" w:themeFill="background1"/>
            <w:vAlign w:val="center"/>
          </w:tcPr>
          <w:p w14:paraId="465B3C3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auto" w:fill="FFFFFF" w:themeFill="background1"/>
            <w:vAlign w:val="center"/>
          </w:tcPr>
          <w:p w14:paraId="3522526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江西南昌</w:t>
            </w:r>
          </w:p>
        </w:tc>
        <w:tc>
          <w:tcPr>
            <w:tcW w:w="1205" w:type="dxa"/>
            <w:shd w:val="clear" w:color="auto" w:fill="FFFFFF" w:themeFill="background1"/>
            <w:vAlign w:val="center"/>
          </w:tcPr>
          <w:p w14:paraId="00C0821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江西南昌</w:t>
            </w:r>
          </w:p>
        </w:tc>
        <w:tc>
          <w:tcPr>
            <w:tcW w:w="1205" w:type="dxa"/>
            <w:shd w:val="clear" w:color="auto" w:fill="FFFFFF" w:themeFill="background1"/>
            <w:vAlign w:val="center"/>
          </w:tcPr>
          <w:p w14:paraId="744AFD5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光伏电站经营</w:t>
            </w:r>
          </w:p>
        </w:tc>
        <w:tc>
          <w:tcPr>
            <w:tcW w:w="921" w:type="dxa"/>
            <w:shd w:val="clear" w:color="auto" w:fill="FFFFFF" w:themeFill="background1"/>
            <w:vAlign w:val="center"/>
          </w:tcPr>
          <w:p w14:paraId="7BE729F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6E42935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0B1A847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0C1874F6" w14:textId="77777777" w:rsidTr="00F05317">
        <w:trPr>
          <w:trHeight w:val="240"/>
          <w:jc w:val="center"/>
        </w:trPr>
        <w:tc>
          <w:tcPr>
            <w:tcW w:w="1557" w:type="dxa"/>
            <w:shd w:val="clear" w:color="auto" w:fill="FFFFFF" w:themeFill="background1"/>
            <w:vAlign w:val="center"/>
          </w:tcPr>
          <w:p w14:paraId="6698371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江苏腾晖农业产业研究有限公司</w:t>
            </w:r>
          </w:p>
        </w:tc>
        <w:tc>
          <w:tcPr>
            <w:tcW w:w="1770" w:type="dxa"/>
            <w:shd w:val="clear" w:color="auto" w:fill="FFFFFF" w:themeFill="background1"/>
            <w:vAlign w:val="center"/>
          </w:tcPr>
          <w:p w14:paraId="7887720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10,000,000.00</w:t>
            </w:r>
          </w:p>
        </w:tc>
        <w:tc>
          <w:tcPr>
            <w:tcW w:w="1205" w:type="dxa"/>
            <w:shd w:val="clear" w:color="auto" w:fill="FFFFFF" w:themeFill="background1"/>
            <w:vAlign w:val="center"/>
          </w:tcPr>
          <w:p w14:paraId="7F2D971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1309F14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7F78D80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农业技术研究</w:t>
            </w:r>
          </w:p>
        </w:tc>
        <w:tc>
          <w:tcPr>
            <w:tcW w:w="921" w:type="dxa"/>
            <w:shd w:val="clear" w:color="auto" w:fill="FFFFFF" w:themeFill="background1"/>
            <w:vAlign w:val="center"/>
          </w:tcPr>
          <w:p w14:paraId="5A044BB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71D9E79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4F97C2C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1D5807D1" w14:textId="77777777" w:rsidTr="00F05317">
        <w:trPr>
          <w:trHeight w:val="240"/>
          <w:jc w:val="center"/>
        </w:trPr>
        <w:tc>
          <w:tcPr>
            <w:tcW w:w="1557" w:type="dxa"/>
            <w:shd w:val="clear" w:color="auto" w:fill="FFFFFF" w:themeFill="background1"/>
            <w:vAlign w:val="center"/>
          </w:tcPr>
          <w:p w14:paraId="214BAFF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民权永晖新能源技术服务有限公司</w:t>
            </w:r>
          </w:p>
        </w:tc>
        <w:tc>
          <w:tcPr>
            <w:tcW w:w="1770" w:type="dxa"/>
            <w:shd w:val="clear" w:color="auto" w:fill="FFFFFF" w:themeFill="background1"/>
            <w:vAlign w:val="center"/>
          </w:tcPr>
          <w:p w14:paraId="6FAABC8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500,000.00</w:t>
            </w:r>
          </w:p>
        </w:tc>
        <w:tc>
          <w:tcPr>
            <w:tcW w:w="1205" w:type="dxa"/>
            <w:shd w:val="clear" w:color="auto" w:fill="FFFFFF" w:themeFill="background1"/>
            <w:vAlign w:val="center"/>
          </w:tcPr>
          <w:p w14:paraId="04101F9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河南民权</w:t>
            </w:r>
          </w:p>
        </w:tc>
        <w:tc>
          <w:tcPr>
            <w:tcW w:w="1205" w:type="dxa"/>
            <w:shd w:val="clear" w:color="auto" w:fill="FFFFFF" w:themeFill="background1"/>
            <w:vAlign w:val="center"/>
          </w:tcPr>
          <w:p w14:paraId="799826A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河南民权</w:t>
            </w:r>
          </w:p>
        </w:tc>
        <w:tc>
          <w:tcPr>
            <w:tcW w:w="1205" w:type="dxa"/>
            <w:shd w:val="clear" w:color="auto" w:fill="FFFFFF" w:themeFill="background1"/>
            <w:vAlign w:val="center"/>
          </w:tcPr>
          <w:p w14:paraId="5D0F2C0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太阳能发电，光伏项目开发</w:t>
            </w:r>
          </w:p>
        </w:tc>
        <w:tc>
          <w:tcPr>
            <w:tcW w:w="921" w:type="dxa"/>
            <w:shd w:val="clear" w:color="auto" w:fill="FFFFFF" w:themeFill="background1"/>
            <w:vAlign w:val="center"/>
          </w:tcPr>
          <w:p w14:paraId="2A1A043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4320270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438696E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140A532F" w14:textId="77777777" w:rsidTr="00F05317">
        <w:trPr>
          <w:trHeight w:val="240"/>
          <w:jc w:val="center"/>
        </w:trPr>
        <w:tc>
          <w:tcPr>
            <w:tcW w:w="1557" w:type="dxa"/>
            <w:shd w:val="clear" w:color="auto" w:fill="FFFFFF" w:themeFill="background1"/>
            <w:vAlign w:val="center"/>
          </w:tcPr>
          <w:p w14:paraId="5530A5F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山阳昌荣腾晖新能源发电有限公司</w:t>
            </w:r>
          </w:p>
        </w:tc>
        <w:tc>
          <w:tcPr>
            <w:tcW w:w="1770" w:type="dxa"/>
            <w:shd w:val="clear" w:color="auto" w:fill="FFFFFF" w:themeFill="background1"/>
            <w:vAlign w:val="center"/>
          </w:tcPr>
          <w:p w14:paraId="465C6BD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500,000.00</w:t>
            </w:r>
          </w:p>
        </w:tc>
        <w:tc>
          <w:tcPr>
            <w:tcW w:w="1205" w:type="dxa"/>
            <w:shd w:val="clear" w:color="auto" w:fill="FFFFFF" w:themeFill="background1"/>
            <w:vAlign w:val="center"/>
          </w:tcPr>
          <w:p w14:paraId="62A2194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陕西山阳</w:t>
            </w:r>
          </w:p>
        </w:tc>
        <w:tc>
          <w:tcPr>
            <w:tcW w:w="1205" w:type="dxa"/>
            <w:shd w:val="clear" w:color="auto" w:fill="FFFFFF" w:themeFill="background1"/>
            <w:vAlign w:val="center"/>
          </w:tcPr>
          <w:p w14:paraId="7FAFC00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陕西山阳</w:t>
            </w:r>
          </w:p>
        </w:tc>
        <w:tc>
          <w:tcPr>
            <w:tcW w:w="1205" w:type="dxa"/>
            <w:shd w:val="clear" w:color="auto" w:fill="FFFFFF" w:themeFill="background1"/>
            <w:vAlign w:val="center"/>
          </w:tcPr>
          <w:p w14:paraId="1465EE1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光伏发电站建设</w:t>
            </w:r>
          </w:p>
        </w:tc>
        <w:tc>
          <w:tcPr>
            <w:tcW w:w="921" w:type="dxa"/>
            <w:shd w:val="clear" w:color="auto" w:fill="FFFFFF" w:themeFill="background1"/>
            <w:vAlign w:val="center"/>
          </w:tcPr>
          <w:p w14:paraId="256A8D7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03C2DEA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65E4C29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23451344" w14:textId="77777777" w:rsidTr="00F05317">
        <w:trPr>
          <w:trHeight w:val="240"/>
          <w:jc w:val="center"/>
        </w:trPr>
        <w:tc>
          <w:tcPr>
            <w:tcW w:w="1557" w:type="dxa"/>
            <w:shd w:val="clear" w:color="auto" w:fill="FFFFFF" w:themeFill="background1"/>
            <w:vAlign w:val="center"/>
          </w:tcPr>
          <w:p w14:paraId="6B25DF4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丰宁满族自治县中晖光伏发电有限公司</w:t>
            </w:r>
          </w:p>
        </w:tc>
        <w:tc>
          <w:tcPr>
            <w:tcW w:w="1770" w:type="dxa"/>
            <w:shd w:val="clear" w:color="auto" w:fill="FFFFFF" w:themeFill="background1"/>
            <w:vAlign w:val="center"/>
          </w:tcPr>
          <w:p w14:paraId="26F2AEC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auto" w:fill="FFFFFF" w:themeFill="background1"/>
            <w:vAlign w:val="center"/>
          </w:tcPr>
          <w:p w14:paraId="472722E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河北丰宁</w:t>
            </w:r>
          </w:p>
        </w:tc>
        <w:tc>
          <w:tcPr>
            <w:tcW w:w="1205" w:type="dxa"/>
            <w:shd w:val="clear" w:color="auto" w:fill="FFFFFF" w:themeFill="background1"/>
            <w:vAlign w:val="center"/>
          </w:tcPr>
          <w:p w14:paraId="43734E1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河北丰宁</w:t>
            </w:r>
          </w:p>
        </w:tc>
        <w:tc>
          <w:tcPr>
            <w:tcW w:w="1205" w:type="dxa"/>
            <w:shd w:val="clear" w:color="auto" w:fill="FFFFFF" w:themeFill="background1"/>
            <w:vAlign w:val="center"/>
          </w:tcPr>
          <w:p w14:paraId="39869A9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光伏发电、太阳能发电技术研发</w:t>
            </w:r>
          </w:p>
        </w:tc>
        <w:tc>
          <w:tcPr>
            <w:tcW w:w="921" w:type="dxa"/>
            <w:shd w:val="clear" w:color="auto" w:fill="FFFFFF" w:themeFill="background1"/>
            <w:vAlign w:val="center"/>
          </w:tcPr>
          <w:p w14:paraId="7BE5B0C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35BCA4C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210A4D5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7D816010" w14:textId="77777777" w:rsidTr="00F05317">
        <w:trPr>
          <w:trHeight w:val="240"/>
          <w:jc w:val="center"/>
        </w:trPr>
        <w:tc>
          <w:tcPr>
            <w:tcW w:w="1557" w:type="dxa"/>
            <w:shd w:val="clear" w:color="auto" w:fill="FFFFFF" w:themeFill="background1"/>
            <w:vAlign w:val="center"/>
          </w:tcPr>
          <w:p w14:paraId="2C00CE5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承德县腾晖光伏发电有限公司</w:t>
            </w:r>
          </w:p>
        </w:tc>
        <w:tc>
          <w:tcPr>
            <w:tcW w:w="1770" w:type="dxa"/>
            <w:shd w:val="clear" w:color="auto" w:fill="FFFFFF" w:themeFill="background1"/>
            <w:vAlign w:val="center"/>
          </w:tcPr>
          <w:p w14:paraId="35F82FF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500,000.00</w:t>
            </w:r>
          </w:p>
        </w:tc>
        <w:tc>
          <w:tcPr>
            <w:tcW w:w="1205" w:type="dxa"/>
            <w:shd w:val="clear" w:color="auto" w:fill="FFFFFF" w:themeFill="background1"/>
            <w:vAlign w:val="center"/>
          </w:tcPr>
          <w:p w14:paraId="0D54696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河北承德</w:t>
            </w:r>
          </w:p>
        </w:tc>
        <w:tc>
          <w:tcPr>
            <w:tcW w:w="1205" w:type="dxa"/>
            <w:shd w:val="clear" w:color="auto" w:fill="FFFFFF" w:themeFill="background1"/>
            <w:vAlign w:val="center"/>
          </w:tcPr>
          <w:p w14:paraId="7A5C4C0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河北承德</w:t>
            </w:r>
          </w:p>
        </w:tc>
        <w:tc>
          <w:tcPr>
            <w:tcW w:w="1205" w:type="dxa"/>
            <w:shd w:val="clear" w:color="auto" w:fill="FFFFFF" w:themeFill="background1"/>
            <w:vAlign w:val="center"/>
          </w:tcPr>
          <w:p w14:paraId="41DD06C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光伏发电站建设</w:t>
            </w:r>
          </w:p>
        </w:tc>
        <w:tc>
          <w:tcPr>
            <w:tcW w:w="921" w:type="dxa"/>
            <w:shd w:val="clear" w:color="auto" w:fill="FFFFFF" w:themeFill="background1"/>
            <w:vAlign w:val="center"/>
          </w:tcPr>
          <w:p w14:paraId="5758D0B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054CA61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688CD2D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0F0E84EA" w14:textId="77777777" w:rsidTr="00F05317">
        <w:trPr>
          <w:trHeight w:val="240"/>
          <w:jc w:val="center"/>
        </w:trPr>
        <w:tc>
          <w:tcPr>
            <w:tcW w:w="1557" w:type="dxa"/>
            <w:shd w:val="clear" w:color="auto" w:fill="FFFFFF" w:themeFill="background1"/>
            <w:vAlign w:val="center"/>
          </w:tcPr>
          <w:p w14:paraId="674F3D7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略阳昌兴腾晖电力技术有限公司</w:t>
            </w:r>
          </w:p>
        </w:tc>
        <w:tc>
          <w:tcPr>
            <w:tcW w:w="1770" w:type="dxa"/>
            <w:shd w:val="clear" w:color="auto" w:fill="FFFFFF" w:themeFill="background1"/>
            <w:vAlign w:val="center"/>
          </w:tcPr>
          <w:p w14:paraId="65F627F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500,000.00</w:t>
            </w:r>
          </w:p>
        </w:tc>
        <w:tc>
          <w:tcPr>
            <w:tcW w:w="1205" w:type="dxa"/>
            <w:shd w:val="clear" w:color="auto" w:fill="FFFFFF" w:themeFill="background1"/>
            <w:vAlign w:val="center"/>
          </w:tcPr>
          <w:p w14:paraId="2F67325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陕西汉中</w:t>
            </w:r>
          </w:p>
        </w:tc>
        <w:tc>
          <w:tcPr>
            <w:tcW w:w="1205" w:type="dxa"/>
            <w:shd w:val="clear" w:color="auto" w:fill="FFFFFF" w:themeFill="background1"/>
            <w:vAlign w:val="center"/>
          </w:tcPr>
          <w:p w14:paraId="25036C7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陕西汉中</w:t>
            </w:r>
          </w:p>
        </w:tc>
        <w:tc>
          <w:tcPr>
            <w:tcW w:w="1205" w:type="dxa"/>
            <w:shd w:val="clear" w:color="auto" w:fill="FFFFFF" w:themeFill="background1"/>
            <w:vAlign w:val="center"/>
          </w:tcPr>
          <w:p w14:paraId="0F647C1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电站运维</w:t>
            </w:r>
          </w:p>
        </w:tc>
        <w:tc>
          <w:tcPr>
            <w:tcW w:w="921" w:type="dxa"/>
            <w:shd w:val="clear" w:color="auto" w:fill="FFFFFF" w:themeFill="background1"/>
            <w:vAlign w:val="center"/>
          </w:tcPr>
          <w:p w14:paraId="1CF9C2B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34B0CFE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7E25E6A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3F4F17E5" w14:textId="77777777" w:rsidTr="00F05317">
        <w:trPr>
          <w:trHeight w:val="240"/>
          <w:jc w:val="center"/>
        </w:trPr>
        <w:tc>
          <w:tcPr>
            <w:tcW w:w="1557" w:type="dxa"/>
            <w:shd w:val="clear" w:color="auto" w:fill="FFFFFF" w:themeFill="background1"/>
            <w:vAlign w:val="center"/>
          </w:tcPr>
          <w:p w14:paraId="3B0DBC6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苏州腾晖中南电力技术有限公司</w:t>
            </w:r>
          </w:p>
        </w:tc>
        <w:tc>
          <w:tcPr>
            <w:tcW w:w="1770" w:type="dxa"/>
            <w:shd w:val="clear" w:color="auto" w:fill="FFFFFF" w:themeFill="background1"/>
            <w:vAlign w:val="center"/>
          </w:tcPr>
          <w:p w14:paraId="1900B7F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2,000,000.00</w:t>
            </w:r>
          </w:p>
        </w:tc>
        <w:tc>
          <w:tcPr>
            <w:tcW w:w="1205" w:type="dxa"/>
            <w:shd w:val="clear" w:color="auto" w:fill="FFFFFF" w:themeFill="background1"/>
            <w:vAlign w:val="center"/>
          </w:tcPr>
          <w:p w14:paraId="4B9F748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3F47009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21ED8F1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太阳能发电产品生产、销售</w:t>
            </w:r>
          </w:p>
        </w:tc>
        <w:tc>
          <w:tcPr>
            <w:tcW w:w="921" w:type="dxa"/>
            <w:shd w:val="clear" w:color="auto" w:fill="FFFFFF" w:themeFill="background1"/>
            <w:vAlign w:val="center"/>
          </w:tcPr>
          <w:p w14:paraId="319866F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3EB1D46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51.00%</w:t>
            </w:r>
          </w:p>
        </w:tc>
        <w:tc>
          <w:tcPr>
            <w:tcW w:w="708" w:type="dxa"/>
            <w:shd w:val="clear" w:color="auto" w:fill="FFFFFF" w:themeFill="background1"/>
            <w:vAlign w:val="center"/>
          </w:tcPr>
          <w:p w14:paraId="472DB39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055D29CB" w14:textId="77777777" w:rsidTr="00F05317">
        <w:trPr>
          <w:trHeight w:val="240"/>
          <w:jc w:val="center"/>
        </w:trPr>
        <w:tc>
          <w:tcPr>
            <w:tcW w:w="1557" w:type="dxa"/>
            <w:shd w:val="clear" w:color="auto" w:fill="FFFFFF" w:themeFill="background1"/>
            <w:vAlign w:val="center"/>
          </w:tcPr>
          <w:p w14:paraId="585491F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苏州腾晖能投电力技术有限公司</w:t>
            </w:r>
          </w:p>
        </w:tc>
        <w:tc>
          <w:tcPr>
            <w:tcW w:w="1770" w:type="dxa"/>
            <w:shd w:val="clear" w:color="auto" w:fill="FFFFFF" w:themeFill="background1"/>
            <w:vAlign w:val="center"/>
          </w:tcPr>
          <w:p w14:paraId="3F6FBE0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2,000,000.00</w:t>
            </w:r>
          </w:p>
        </w:tc>
        <w:tc>
          <w:tcPr>
            <w:tcW w:w="1205" w:type="dxa"/>
            <w:shd w:val="clear" w:color="auto" w:fill="FFFFFF" w:themeFill="background1"/>
            <w:vAlign w:val="center"/>
          </w:tcPr>
          <w:p w14:paraId="3CD975C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7D87E9F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6228B6E6" w14:textId="77777777" w:rsidR="00632E5B" w:rsidRDefault="00107901" w:rsidP="00F91968">
            <w:pPr>
              <w:spacing w:line="276" w:lineRule="auto"/>
              <w:rPr>
                <w:rFonts w:ascii="宋体" w:eastAsia="宋体" w:hAnsi="宋体" w:cs="宋体" w:hint="eastAsia"/>
                <w:sz w:val="18"/>
                <w:szCs w:val="18"/>
              </w:rPr>
            </w:pPr>
            <w:r>
              <w:rPr>
                <w:rFonts w:ascii="宋体" w:eastAsia="宋体" w:hAnsi="宋体" w:cs="宋体"/>
                <w:sz w:val="18"/>
                <w:szCs w:val="18"/>
              </w:rPr>
              <w:t>光伏设备及元器件销售</w:t>
            </w:r>
          </w:p>
        </w:tc>
        <w:tc>
          <w:tcPr>
            <w:tcW w:w="921" w:type="dxa"/>
            <w:shd w:val="clear" w:color="auto" w:fill="FFFFFF" w:themeFill="background1"/>
            <w:vAlign w:val="center"/>
          </w:tcPr>
          <w:p w14:paraId="4EFD78A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6D0BB75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70.00%</w:t>
            </w:r>
          </w:p>
        </w:tc>
        <w:tc>
          <w:tcPr>
            <w:tcW w:w="708" w:type="dxa"/>
            <w:shd w:val="clear" w:color="auto" w:fill="FFFFFF" w:themeFill="background1"/>
            <w:vAlign w:val="center"/>
          </w:tcPr>
          <w:p w14:paraId="7584DE9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068F86BF" w14:textId="77777777" w:rsidTr="00F05317">
        <w:trPr>
          <w:trHeight w:val="240"/>
          <w:jc w:val="center"/>
        </w:trPr>
        <w:tc>
          <w:tcPr>
            <w:tcW w:w="1557" w:type="dxa"/>
            <w:shd w:val="clear" w:color="auto" w:fill="FFFFFF" w:themeFill="background1"/>
            <w:vAlign w:val="center"/>
          </w:tcPr>
          <w:p w14:paraId="621914D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苏州腾晖拓毅电力技术有限公司</w:t>
            </w:r>
          </w:p>
        </w:tc>
        <w:tc>
          <w:tcPr>
            <w:tcW w:w="1770" w:type="dxa"/>
            <w:shd w:val="clear" w:color="auto" w:fill="FFFFFF" w:themeFill="background1"/>
            <w:vAlign w:val="center"/>
          </w:tcPr>
          <w:p w14:paraId="7741F3A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2,000,000.00</w:t>
            </w:r>
          </w:p>
        </w:tc>
        <w:tc>
          <w:tcPr>
            <w:tcW w:w="1205" w:type="dxa"/>
            <w:shd w:val="clear" w:color="auto" w:fill="FFFFFF" w:themeFill="background1"/>
            <w:vAlign w:val="center"/>
          </w:tcPr>
          <w:p w14:paraId="382DC65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4F1F65C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02915406" w14:textId="77777777" w:rsidR="00632E5B" w:rsidRDefault="00107901" w:rsidP="00F91968">
            <w:pPr>
              <w:spacing w:line="276" w:lineRule="auto"/>
              <w:rPr>
                <w:rFonts w:ascii="宋体" w:eastAsia="宋体" w:hAnsi="宋体" w:cs="宋体" w:hint="eastAsia"/>
                <w:sz w:val="18"/>
                <w:szCs w:val="18"/>
              </w:rPr>
            </w:pPr>
            <w:r>
              <w:rPr>
                <w:rFonts w:ascii="宋体" w:eastAsia="宋体" w:hAnsi="宋体" w:cs="宋体"/>
                <w:sz w:val="18"/>
                <w:szCs w:val="18"/>
              </w:rPr>
              <w:t>太阳能产品销售</w:t>
            </w:r>
          </w:p>
        </w:tc>
        <w:tc>
          <w:tcPr>
            <w:tcW w:w="921" w:type="dxa"/>
            <w:shd w:val="clear" w:color="auto" w:fill="FFFFFF" w:themeFill="background1"/>
            <w:vAlign w:val="center"/>
          </w:tcPr>
          <w:p w14:paraId="1C5128E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709AB44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70.00%</w:t>
            </w:r>
          </w:p>
        </w:tc>
        <w:tc>
          <w:tcPr>
            <w:tcW w:w="708" w:type="dxa"/>
            <w:shd w:val="clear" w:color="auto" w:fill="FFFFFF" w:themeFill="background1"/>
            <w:vAlign w:val="center"/>
          </w:tcPr>
          <w:p w14:paraId="7A04006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4EDEAD89" w14:textId="77777777" w:rsidTr="00F05317">
        <w:trPr>
          <w:trHeight w:val="240"/>
          <w:jc w:val="center"/>
        </w:trPr>
        <w:tc>
          <w:tcPr>
            <w:tcW w:w="1557" w:type="dxa"/>
            <w:shd w:val="clear" w:color="auto" w:fill="FFFFFF" w:themeFill="background1"/>
            <w:vAlign w:val="center"/>
          </w:tcPr>
          <w:p w14:paraId="4B310A7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太和县拓晖光伏发电有限责任公司</w:t>
            </w:r>
          </w:p>
        </w:tc>
        <w:tc>
          <w:tcPr>
            <w:tcW w:w="1770" w:type="dxa"/>
            <w:shd w:val="clear" w:color="auto" w:fill="FFFFFF" w:themeFill="background1"/>
            <w:vAlign w:val="center"/>
          </w:tcPr>
          <w:p w14:paraId="336ADF6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auto" w:fill="FFFFFF" w:themeFill="background1"/>
            <w:vAlign w:val="center"/>
          </w:tcPr>
          <w:p w14:paraId="2609556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安徽阜阳</w:t>
            </w:r>
          </w:p>
        </w:tc>
        <w:tc>
          <w:tcPr>
            <w:tcW w:w="1205" w:type="dxa"/>
            <w:shd w:val="clear" w:color="auto" w:fill="FFFFFF" w:themeFill="background1"/>
            <w:vAlign w:val="center"/>
          </w:tcPr>
          <w:p w14:paraId="4F1E01D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安徽阜阳</w:t>
            </w:r>
          </w:p>
        </w:tc>
        <w:tc>
          <w:tcPr>
            <w:tcW w:w="1205" w:type="dxa"/>
            <w:shd w:val="clear" w:color="auto" w:fill="FFFFFF" w:themeFill="background1"/>
            <w:vAlign w:val="center"/>
          </w:tcPr>
          <w:p w14:paraId="4D3A9D5B" w14:textId="77777777" w:rsidR="00632E5B" w:rsidRDefault="00107901" w:rsidP="00F91968">
            <w:pPr>
              <w:spacing w:line="276" w:lineRule="auto"/>
              <w:rPr>
                <w:rFonts w:ascii="宋体" w:eastAsia="宋体" w:hAnsi="宋体" w:cs="宋体" w:hint="eastAsia"/>
                <w:sz w:val="18"/>
                <w:szCs w:val="18"/>
              </w:rPr>
            </w:pPr>
            <w:r>
              <w:rPr>
                <w:rFonts w:ascii="宋体" w:eastAsia="宋体" w:hAnsi="宋体" w:cs="宋体"/>
                <w:sz w:val="18"/>
                <w:szCs w:val="18"/>
              </w:rPr>
              <w:t>发电、输电、供电业务</w:t>
            </w:r>
          </w:p>
        </w:tc>
        <w:tc>
          <w:tcPr>
            <w:tcW w:w="921" w:type="dxa"/>
            <w:shd w:val="clear" w:color="auto" w:fill="FFFFFF" w:themeFill="background1"/>
            <w:vAlign w:val="center"/>
          </w:tcPr>
          <w:p w14:paraId="5CB381A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6D80C19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70.00%</w:t>
            </w:r>
          </w:p>
        </w:tc>
        <w:tc>
          <w:tcPr>
            <w:tcW w:w="708" w:type="dxa"/>
            <w:shd w:val="clear" w:color="auto" w:fill="FFFFFF" w:themeFill="background1"/>
            <w:vAlign w:val="center"/>
          </w:tcPr>
          <w:p w14:paraId="7F8FE8B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6EB2868E" w14:textId="77777777" w:rsidTr="00F05317">
        <w:trPr>
          <w:trHeight w:val="240"/>
          <w:jc w:val="center"/>
        </w:trPr>
        <w:tc>
          <w:tcPr>
            <w:tcW w:w="1557" w:type="dxa"/>
            <w:shd w:val="clear" w:color="auto" w:fill="FFFFFF" w:themeFill="background1"/>
            <w:vAlign w:val="center"/>
          </w:tcPr>
          <w:p w14:paraId="4FB4358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lastRenderedPageBreak/>
              <w:t>常熟耀创光伏电站开发有限公司</w:t>
            </w:r>
          </w:p>
        </w:tc>
        <w:tc>
          <w:tcPr>
            <w:tcW w:w="1770" w:type="dxa"/>
            <w:shd w:val="clear" w:color="auto" w:fill="FFFFFF" w:themeFill="background1"/>
            <w:vAlign w:val="center"/>
          </w:tcPr>
          <w:p w14:paraId="4F75CD2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auto" w:fill="FFFFFF" w:themeFill="background1"/>
            <w:vAlign w:val="center"/>
          </w:tcPr>
          <w:p w14:paraId="754B9CC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70CAF2D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34D3B6F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921" w:type="dxa"/>
            <w:shd w:val="clear" w:color="auto" w:fill="FFFFFF" w:themeFill="background1"/>
            <w:vAlign w:val="center"/>
          </w:tcPr>
          <w:p w14:paraId="391F01D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759756D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49EB9B5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305D5BC0" w14:textId="77777777" w:rsidTr="00F05317">
        <w:trPr>
          <w:trHeight w:val="240"/>
          <w:jc w:val="center"/>
        </w:trPr>
        <w:tc>
          <w:tcPr>
            <w:tcW w:w="1557" w:type="dxa"/>
            <w:shd w:val="clear" w:color="auto" w:fill="FFFFFF" w:themeFill="background1"/>
            <w:vAlign w:val="center"/>
          </w:tcPr>
          <w:p w14:paraId="51E0F9C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常熟宏鼎光伏电站开发有限公司</w:t>
            </w:r>
          </w:p>
        </w:tc>
        <w:tc>
          <w:tcPr>
            <w:tcW w:w="1770" w:type="dxa"/>
            <w:shd w:val="clear" w:color="auto" w:fill="FFFFFF" w:themeFill="background1"/>
            <w:vAlign w:val="center"/>
          </w:tcPr>
          <w:p w14:paraId="3EDA713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auto" w:fill="FFFFFF" w:themeFill="background1"/>
            <w:vAlign w:val="center"/>
          </w:tcPr>
          <w:p w14:paraId="5D3596A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6BE2734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696DD52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921" w:type="dxa"/>
            <w:shd w:val="clear" w:color="auto" w:fill="FFFFFF" w:themeFill="background1"/>
            <w:vAlign w:val="center"/>
          </w:tcPr>
          <w:p w14:paraId="3597B30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17BCF12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467C79E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30A59264" w14:textId="77777777" w:rsidTr="00F05317">
        <w:trPr>
          <w:trHeight w:val="240"/>
          <w:jc w:val="center"/>
        </w:trPr>
        <w:tc>
          <w:tcPr>
            <w:tcW w:w="1557" w:type="dxa"/>
            <w:shd w:val="clear" w:color="auto" w:fill="FFFFFF" w:themeFill="background1"/>
            <w:vAlign w:val="center"/>
          </w:tcPr>
          <w:p w14:paraId="08959D8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常熟顺晖光伏电站开发有限公司</w:t>
            </w:r>
          </w:p>
        </w:tc>
        <w:tc>
          <w:tcPr>
            <w:tcW w:w="1770" w:type="dxa"/>
            <w:shd w:val="clear" w:color="auto" w:fill="FFFFFF" w:themeFill="background1"/>
            <w:vAlign w:val="center"/>
          </w:tcPr>
          <w:p w14:paraId="6EC8460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auto" w:fill="FFFFFF" w:themeFill="background1"/>
            <w:vAlign w:val="center"/>
          </w:tcPr>
          <w:p w14:paraId="1432CD5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7BFD2E6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3AE9A8B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921" w:type="dxa"/>
            <w:shd w:val="clear" w:color="auto" w:fill="FFFFFF" w:themeFill="background1"/>
            <w:vAlign w:val="center"/>
          </w:tcPr>
          <w:p w14:paraId="30FA4E0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0D8FF1F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6642EDB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45C601B0" w14:textId="77777777" w:rsidTr="00F05317">
        <w:trPr>
          <w:trHeight w:val="240"/>
          <w:jc w:val="center"/>
        </w:trPr>
        <w:tc>
          <w:tcPr>
            <w:tcW w:w="1557" w:type="dxa"/>
            <w:shd w:val="clear" w:color="auto" w:fill="FFFFFF" w:themeFill="background1"/>
            <w:vAlign w:val="center"/>
          </w:tcPr>
          <w:p w14:paraId="5AEDE02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赤峰新晖光伏发电有限公司</w:t>
            </w:r>
          </w:p>
        </w:tc>
        <w:tc>
          <w:tcPr>
            <w:tcW w:w="1770" w:type="dxa"/>
            <w:shd w:val="clear" w:color="auto" w:fill="FFFFFF" w:themeFill="background1"/>
            <w:vAlign w:val="center"/>
          </w:tcPr>
          <w:p w14:paraId="72BDA34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auto" w:fill="FFFFFF" w:themeFill="background1"/>
            <w:vAlign w:val="center"/>
          </w:tcPr>
          <w:p w14:paraId="702E4DA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内蒙古赤峰</w:t>
            </w:r>
          </w:p>
        </w:tc>
        <w:tc>
          <w:tcPr>
            <w:tcW w:w="1205" w:type="dxa"/>
            <w:shd w:val="clear" w:color="auto" w:fill="FFFFFF" w:themeFill="background1"/>
            <w:vAlign w:val="center"/>
          </w:tcPr>
          <w:p w14:paraId="3B65348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内蒙古赤峰</w:t>
            </w:r>
          </w:p>
        </w:tc>
        <w:tc>
          <w:tcPr>
            <w:tcW w:w="1205" w:type="dxa"/>
            <w:shd w:val="clear" w:color="auto" w:fill="FFFFFF" w:themeFill="background1"/>
            <w:vAlign w:val="center"/>
          </w:tcPr>
          <w:p w14:paraId="349C7EC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光伏电站经营</w:t>
            </w:r>
          </w:p>
        </w:tc>
        <w:tc>
          <w:tcPr>
            <w:tcW w:w="921" w:type="dxa"/>
            <w:shd w:val="clear" w:color="auto" w:fill="FFFFFF" w:themeFill="background1"/>
            <w:vAlign w:val="center"/>
          </w:tcPr>
          <w:p w14:paraId="72B75A9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7F1A968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3A0DFD9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77311AE7" w14:textId="77777777" w:rsidTr="00F05317">
        <w:trPr>
          <w:trHeight w:val="240"/>
          <w:jc w:val="center"/>
        </w:trPr>
        <w:tc>
          <w:tcPr>
            <w:tcW w:w="1557" w:type="dxa"/>
            <w:shd w:val="clear" w:color="auto" w:fill="FFFFFF" w:themeFill="background1"/>
            <w:vAlign w:val="center"/>
          </w:tcPr>
          <w:p w14:paraId="583B9E7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常熟创杰光伏电站开发有限公司</w:t>
            </w:r>
          </w:p>
        </w:tc>
        <w:tc>
          <w:tcPr>
            <w:tcW w:w="1770" w:type="dxa"/>
            <w:shd w:val="clear" w:color="auto" w:fill="FFFFFF" w:themeFill="background1"/>
            <w:vAlign w:val="center"/>
          </w:tcPr>
          <w:p w14:paraId="023C34A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auto" w:fill="FFFFFF" w:themeFill="background1"/>
            <w:vAlign w:val="center"/>
          </w:tcPr>
          <w:p w14:paraId="5ABC74D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0ADBEA6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31BB362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921" w:type="dxa"/>
            <w:shd w:val="clear" w:color="auto" w:fill="FFFFFF" w:themeFill="background1"/>
            <w:vAlign w:val="center"/>
          </w:tcPr>
          <w:p w14:paraId="761A12E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6153BE0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64ADB62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1C0310E1" w14:textId="77777777" w:rsidTr="00F05317">
        <w:trPr>
          <w:trHeight w:val="240"/>
          <w:jc w:val="center"/>
        </w:trPr>
        <w:tc>
          <w:tcPr>
            <w:tcW w:w="1557" w:type="dxa"/>
            <w:shd w:val="clear" w:color="auto" w:fill="FFFFFF" w:themeFill="background1"/>
            <w:vAlign w:val="center"/>
          </w:tcPr>
          <w:p w14:paraId="31E206F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常熟创基光伏电站开发有限公司</w:t>
            </w:r>
          </w:p>
        </w:tc>
        <w:tc>
          <w:tcPr>
            <w:tcW w:w="1770" w:type="dxa"/>
            <w:shd w:val="clear" w:color="auto" w:fill="FFFFFF" w:themeFill="background1"/>
            <w:vAlign w:val="center"/>
          </w:tcPr>
          <w:p w14:paraId="473296C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auto" w:fill="FFFFFF" w:themeFill="background1"/>
            <w:vAlign w:val="center"/>
          </w:tcPr>
          <w:p w14:paraId="7ACF816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05A4F55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24659E4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921" w:type="dxa"/>
            <w:shd w:val="clear" w:color="auto" w:fill="FFFFFF" w:themeFill="background1"/>
            <w:vAlign w:val="center"/>
          </w:tcPr>
          <w:p w14:paraId="69757A5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5AE3E53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73DDB8A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00087AF1" w14:textId="77777777" w:rsidTr="00F05317">
        <w:trPr>
          <w:trHeight w:val="240"/>
          <w:jc w:val="center"/>
        </w:trPr>
        <w:tc>
          <w:tcPr>
            <w:tcW w:w="1557" w:type="dxa"/>
            <w:shd w:val="clear" w:color="auto" w:fill="FFFFFF" w:themeFill="background1"/>
            <w:vAlign w:val="center"/>
          </w:tcPr>
          <w:p w14:paraId="3CAB529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常熟宏达光伏电站开发有限公司</w:t>
            </w:r>
          </w:p>
        </w:tc>
        <w:tc>
          <w:tcPr>
            <w:tcW w:w="1770" w:type="dxa"/>
            <w:shd w:val="clear" w:color="auto" w:fill="FFFFFF" w:themeFill="background1"/>
            <w:vAlign w:val="center"/>
          </w:tcPr>
          <w:p w14:paraId="138C564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auto" w:fill="FFFFFF" w:themeFill="background1"/>
            <w:vAlign w:val="center"/>
          </w:tcPr>
          <w:p w14:paraId="09D7B3F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331F1AF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4B5942B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921" w:type="dxa"/>
            <w:shd w:val="clear" w:color="auto" w:fill="FFFFFF" w:themeFill="background1"/>
            <w:vAlign w:val="center"/>
          </w:tcPr>
          <w:p w14:paraId="3A61B5B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5185B0C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10DCC1E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285177FA" w14:textId="77777777" w:rsidTr="00F05317">
        <w:trPr>
          <w:trHeight w:val="240"/>
          <w:jc w:val="center"/>
        </w:trPr>
        <w:tc>
          <w:tcPr>
            <w:tcW w:w="1557" w:type="dxa"/>
            <w:shd w:val="clear" w:color="auto" w:fill="FFFFFF" w:themeFill="background1"/>
            <w:vAlign w:val="center"/>
          </w:tcPr>
          <w:p w14:paraId="60611AD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常熟拓泰光伏电站开发有限公司</w:t>
            </w:r>
          </w:p>
        </w:tc>
        <w:tc>
          <w:tcPr>
            <w:tcW w:w="1770" w:type="dxa"/>
            <w:shd w:val="clear" w:color="auto" w:fill="FFFFFF" w:themeFill="background1"/>
            <w:vAlign w:val="center"/>
          </w:tcPr>
          <w:p w14:paraId="0850435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auto" w:fill="FFFFFF" w:themeFill="background1"/>
            <w:vAlign w:val="center"/>
          </w:tcPr>
          <w:p w14:paraId="0A332FE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68C2651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04AD4D4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921" w:type="dxa"/>
            <w:shd w:val="clear" w:color="auto" w:fill="FFFFFF" w:themeFill="background1"/>
            <w:vAlign w:val="center"/>
          </w:tcPr>
          <w:p w14:paraId="077B0E9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16EB704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613E265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073A08B4" w14:textId="77777777" w:rsidTr="00F05317">
        <w:trPr>
          <w:trHeight w:val="240"/>
          <w:jc w:val="center"/>
        </w:trPr>
        <w:tc>
          <w:tcPr>
            <w:tcW w:w="1557" w:type="dxa"/>
            <w:shd w:val="clear" w:color="auto" w:fill="FFFFFF" w:themeFill="background1"/>
            <w:vAlign w:val="center"/>
          </w:tcPr>
          <w:p w14:paraId="5874774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常熟宏晖光伏电站开发有限公司</w:t>
            </w:r>
          </w:p>
        </w:tc>
        <w:tc>
          <w:tcPr>
            <w:tcW w:w="1770" w:type="dxa"/>
            <w:shd w:val="clear" w:color="auto" w:fill="FFFFFF" w:themeFill="background1"/>
            <w:vAlign w:val="center"/>
          </w:tcPr>
          <w:p w14:paraId="0710C73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auto" w:fill="FFFFFF" w:themeFill="background1"/>
            <w:vAlign w:val="center"/>
          </w:tcPr>
          <w:p w14:paraId="29B8774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24C5C6C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52667E4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921" w:type="dxa"/>
            <w:shd w:val="clear" w:color="auto" w:fill="FFFFFF" w:themeFill="background1"/>
            <w:vAlign w:val="center"/>
          </w:tcPr>
          <w:p w14:paraId="410845E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756ED1B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37710E3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009297C8" w14:textId="77777777" w:rsidTr="00F05317">
        <w:trPr>
          <w:trHeight w:val="240"/>
          <w:jc w:val="center"/>
        </w:trPr>
        <w:tc>
          <w:tcPr>
            <w:tcW w:w="1557" w:type="dxa"/>
            <w:shd w:val="clear" w:color="auto" w:fill="FFFFFF" w:themeFill="background1"/>
            <w:vAlign w:val="center"/>
          </w:tcPr>
          <w:p w14:paraId="586C9CE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常熟诚利光伏电站开发有限公司</w:t>
            </w:r>
          </w:p>
        </w:tc>
        <w:tc>
          <w:tcPr>
            <w:tcW w:w="1770" w:type="dxa"/>
            <w:shd w:val="clear" w:color="auto" w:fill="FFFFFF" w:themeFill="background1"/>
            <w:vAlign w:val="center"/>
          </w:tcPr>
          <w:p w14:paraId="59CB6C7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auto" w:fill="FFFFFF" w:themeFill="background1"/>
            <w:vAlign w:val="center"/>
          </w:tcPr>
          <w:p w14:paraId="6C0D977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607919A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20D92E8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921" w:type="dxa"/>
            <w:shd w:val="clear" w:color="auto" w:fill="FFFFFF" w:themeFill="background1"/>
            <w:vAlign w:val="center"/>
          </w:tcPr>
          <w:p w14:paraId="46D9A56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26AAAC5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7CA27C9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7D802B97" w14:textId="77777777" w:rsidTr="00F05317">
        <w:trPr>
          <w:trHeight w:val="240"/>
          <w:jc w:val="center"/>
        </w:trPr>
        <w:tc>
          <w:tcPr>
            <w:tcW w:w="1557" w:type="dxa"/>
            <w:shd w:val="clear" w:color="auto" w:fill="FFFFFF" w:themeFill="background1"/>
            <w:vAlign w:val="center"/>
          </w:tcPr>
          <w:p w14:paraId="12D58EE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常熟宏胜光伏电站开发有限公司</w:t>
            </w:r>
          </w:p>
        </w:tc>
        <w:tc>
          <w:tcPr>
            <w:tcW w:w="1770" w:type="dxa"/>
            <w:shd w:val="clear" w:color="auto" w:fill="FFFFFF" w:themeFill="background1"/>
            <w:vAlign w:val="center"/>
          </w:tcPr>
          <w:p w14:paraId="25D8E79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auto" w:fill="FFFFFF" w:themeFill="background1"/>
            <w:vAlign w:val="center"/>
          </w:tcPr>
          <w:p w14:paraId="0D38D0B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57AB408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5FD64C0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921" w:type="dxa"/>
            <w:shd w:val="clear" w:color="auto" w:fill="FFFFFF" w:themeFill="background1"/>
            <w:vAlign w:val="center"/>
          </w:tcPr>
          <w:p w14:paraId="3B304CE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47037DB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6BFA544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3915B38B" w14:textId="77777777" w:rsidTr="00F05317">
        <w:trPr>
          <w:trHeight w:val="240"/>
          <w:jc w:val="center"/>
        </w:trPr>
        <w:tc>
          <w:tcPr>
            <w:tcW w:w="1557" w:type="dxa"/>
            <w:shd w:val="clear" w:color="auto" w:fill="FFFFFF" w:themeFill="background1"/>
            <w:vAlign w:val="center"/>
          </w:tcPr>
          <w:p w14:paraId="39152D2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青海腾辉新能源有限公司</w:t>
            </w:r>
          </w:p>
        </w:tc>
        <w:tc>
          <w:tcPr>
            <w:tcW w:w="1770" w:type="dxa"/>
            <w:shd w:val="clear" w:color="auto" w:fill="FFFFFF" w:themeFill="background1"/>
            <w:vAlign w:val="center"/>
          </w:tcPr>
          <w:p w14:paraId="7C72F1C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auto" w:fill="FFFFFF" w:themeFill="background1"/>
            <w:vAlign w:val="center"/>
          </w:tcPr>
          <w:p w14:paraId="60B28F1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青海西宁</w:t>
            </w:r>
          </w:p>
        </w:tc>
        <w:tc>
          <w:tcPr>
            <w:tcW w:w="1205" w:type="dxa"/>
            <w:shd w:val="clear" w:color="auto" w:fill="FFFFFF" w:themeFill="background1"/>
            <w:vAlign w:val="center"/>
          </w:tcPr>
          <w:p w14:paraId="3D27AAD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青海西宁</w:t>
            </w:r>
          </w:p>
        </w:tc>
        <w:tc>
          <w:tcPr>
            <w:tcW w:w="1205" w:type="dxa"/>
            <w:shd w:val="clear" w:color="auto" w:fill="FFFFFF" w:themeFill="background1"/>
            <w:vAlign w:val="center"/>
          </w:tcPr>
          <w:p w14:paraId="35D1B2E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光伏设备及元器件销售</w:t>
            </w:r>
          </w:p>
        </w:tc>
        <w:tc>
          <w:tcPr>
            <w:tcW w:w="921" w:type="dxa"/>
            <w:shd w:val="clear" w:color="auto" w:fill="FFFFFF" w:themeFill="background1"/>
            <w:vAlign w:val="center"/>
          </w:tcPr>
          <w:p w14:paraId="48C9159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654F361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2ADB45E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032E0D9B" w14:textId="77777777" w:rsidTr="00F05317">
        <w:trPr>
          <w:trHeight w:val="240"/>
          <w:jc w:val="center"/>
        </w:trPr>
        <w:tc>
          <w:tcPr>
            <w:tcW w:w="1557" w:type="dxa"/>
            <w:shd w:val="clear" w:color="auto" w:fill="FFFFFF" w:themeFill="background1"/>
            <w:vAlign w:val="center"/>
          </w:tcPr>
          <w:p w14:paraId="1095A24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常熟耀硕光伏电站开发有限公司</w:t>
            </w:r>
          </w:p>
        </w:tc>
        <w:tc>
          <w:tcPr>
            <w:tcW w:w="1770" w:type="dxa"/>
            <w:shd w:val="clear" w:color="auto" w:fill="FFFFFF" w:themeFill="background1"/>
            <w:vAlign w:val="center"/>
          </w:tcPr>
          <w:p w14:paraId="578056C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auto" w:fill="FFFFFF" w:themeFill="background1"/>
            <w:vAlign w:val="center"/>
          </w:tcPr>
          <w:p w14:paraId="718D5B2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56EF62C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38AD445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921" w:type="dxa"/>
            <w:shd w:val="clear" w:color="auto" w:fill="FFFFFF" w:themeFill="background1"/>
            <w:vAlign w:val="center"/>
          </w:tcPr>
          <w:p w14:paraId="6A235B2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696BCA3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6738A56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67E4BE85" w14:textId="77777777" w:rsidTr="00F05317">
        <w:trPr>
          <w:trHeight w:val="240"/>
          <w:jc w:val="center"/>
        </w:trPr>
        <w:tc>
          <w:tcPr>
            <w:tcW w:w="1557" w:type="dxa"/>
            <w:shd w:val="clear" w:color="auto" w:fill="FFFFFF" w:themeFill="background1"/>
            <w:vAlign w:val="center"/>
          </w:tcPr>
          <w:p w14:paraId="18CC94B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成都玄晖电力工程设计有限公司</w:t>
            </w:r>
          </w:p>
        </w:tc>
        <w:tc>
          <w:tcPr>
            <w:tcW w:w="1770" w:type="dxa"/>
            <w:shd w:val="clear" w:color="auto" w:fill="FFFFFF" w:themeFill="background1"/>
            <w:vAlign w:val="center"/>
          </w:tcPr>
          <w:p w14:paraId="7B727DD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2,000,000.00</w:t>
            </w:r>
          </w:p>
        </w:tc>
        <w:tc>
          <w:tcPr>
            <w:tcW w:w="1205" w:type="dxa"/>
            <w:shd w:val="clear" w:color="auto" w:fill="FFFFFF" w:themeFill="background1"/>
            <w:vAlign w:val="center"/>
          </w:tcPr>
          <w:p w14:paraId="72534D0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四川成都</w:t>
            </w:r>
          </w:p>
        </w:tc>
        <w:tc>
          <w:tcPr>
            <w:tcW w:w="1205" w:type="dxa"/>
            <w:shd w:val="clear" w:color="auto" w:fill="FFFFFF" w:themeFill="background1"/>
            <w:vAlign w:val="center"/>
          </w:tcPr>
          <w:p w14:paraId="00BF7D0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四川成都</w:t>
            </w:r>
          </w:p>
        </w:tc>
        <w:tc>
          <w:tcPr>
            <w:tcW w:w="1205" w:type="dxa"/>
            <w:shd w:val="clear" w:color="auto" w:fill="FFFFFF" w:themeFill="background1"/>
            <w:vAlign w:val="center"/>
          </w:tcPr>
          <w:p w14:paraId="4D2C743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工程设计服务费</w:t>
            </w:r>
          </w:p>
        </w:tc>
        <w:tc>
          <w:tcPr>
            <w:tcW w:w="921" w:type="dxa"/>
            <w:shd w:val="clear" w:color="auto" w:fill="FFFFFF" w:themeFill="background1"/>
            <w:vAlign w:val="center"/>
          </w:tcPr>
          <w:p w14:paraId="3D7474A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37ABC87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5437487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6C855101" w14:textId="77777777" w:rsidTr="00F05317">
        <w:trPr>
          <w:trHeight w:val="240"/>
          <w:jc w:val="center"/>
        </w:trPr>
        <w:tc>
          <w:tcPr>
            <w:tcW w:w="1557" w:type="dxa"/>
            <w:shd w:val="clear" w:color="auto" w:fill="FFFFFF" w:themeFill="background1"/>
            <w:vAlign w:val="center"/>
          </w:tcPr>
          <w:p w14:paraId="4D6DEFB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常州中旭光伏有限公司</w:t>
            </w:r>
          </w:p>
        </w:tc>
        <w:tc>
          <w:tcPr>
            <w:tcW w:w="1770" w:type="dxa"/>
            <w:shd w:val="clear" w:color="auto" w:fill="FFFFFF" w:themeFill="background1"/>
            <w:vAlign w:val="center"/>
          </w:tcPr>
          <w:p w14:paraId="0D926C4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5,000,000.00</w:t>
            </w:r>
          </w:p>
        </w:tc>
        <w:tc>
          <w:tcPr>
            <w:tcW w:w="1205" w:type="dxa"/>
            <w:shd w:val="clear" w:color="auto" w:fill="FFFFFF" w:themeFill="background1"/>
            <w:vAlign w:val="center"/>
          </w:tcPr>
          <w:p w14:paraId="4550414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江苏常州</w:t>
            </w:r>
          </w:p>
        </w:tc>
        <w:tc>
          <w:tcPr>
            <w:tcW w:w="1205" w:type="dxa"/>
            <w:shd w:val="clear" w:color="auto" w:fill="FFFFFF" w:themeFill="background1"/>
            <w:vAlign w:val="center"/>
          </w:tcPr>
          <w:p w14:paraId="32E5DD3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江苏常州</w:t>
            </w:r>
          </w:p>
        </w:tc>
        <w:tc>
          <w:tcPr>
            <w:tcW w:w="1205" w:type="dxa"/>
            <w:shd w:val="clear" w:color="auto" w:fill="FFFFFF" w:themeFill="background1"/>
            <w:vAlign w:val="center"/>
          </w:tcPr>
          <w:p w14:paraId="37649AA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光伏发电技术及设备的研发；光伏电站投资</w:t>
            </w:r>
          </w:p>
        </w:tc>
        <w:tc>
          <w:tcPr>
            <w:tcW w:w="921" w:type="dxa"/>
            <w:shd w:val="clear" w:color="auto" w:fill="FFFFFF" w:themeFill="background1"/>
            <w:vAlign w:val="center"/>
          </w:tcPr>
          <w:p w14:paraId="298E461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5224EF5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6DFF0C3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62752691" w14:textId="77777777" w:rsidTr="00F05317">
        <w:trPr>
          <w:trHeight w:val="240"/>
          <w:jc w:val="center"/>
        </w:trPr>
        <w:tc>
          <w:tcPr>
            <w:tcW w:w="1557" w:type="dxa"/>
            <w:shd w:val="clear" w:color="auto" w:fill="FFFFFF" w:themeFill="background1"/>
            <w:vAlign w:val="center"/>
          </w:tcPr>
          <w:p w14:paraId="5181934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兴化市戴南辉腾光伏发电有限公司</w:t>
            </w:r>
          </w:p>
        </w:tc>
        <w:tc>
          <w:tcPr>
            <w:tcW w:w="1770" w:type="dxa"/>
            <w:shd w:val="clear" w:color="auto" w:fill="FFFFFF" w:themeFill="background1"/>
            <w:vAlign w:val="center"/>
          </w:tcPr>
          <w:p w14:paraId="72FB73F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5,000,000.00</w:t>
            </w:r>
          </w:p>
        </w:tc>
        <w:tc>
          <w:tcPr>
            <w:tcW w:w="1205" w:type="dxa"/>
            <w:shd w:val="clear" w:color="auto" w:fill="FFFFFF" w:themeFill="background1"/>
            <w:vAlign w:val="center"/>
          </w:tcPr>
          <w:p w14:paraId="339BAF0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江苏兴化</w:t>
            </w:r>
          </w:p>
        </w:tc>
        <w:tc>
          <w:tcPr>
            <w:tcW w:w="1205" w:type="dxa"/>
            <w:shd w:val="clear" w:color="auto" w:fill="FFFFFF" w:themeFill="background1"/>
            <w:vAlign w:val="center"/>
          </w:tcPr>
          <w:p w14:paraId="76968EA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江苏兴化</w:t>
            </w:r>
          </w:p>
        </w:tc>
        <w:tc>
          <w:tcPr>
            <w:tcW w:w="1205" w:type="dxa"/>
            <w:shd w:val="clear" w:color="auto" w:fill="FFFFFF" w:themeFill="background1"/>
            <w:vAlign w:val="center"/>
          </w:tcPr>
          <w:p w14:paraId="08EBD18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太阳能发电；光伏发电技术及设备的研发</w:t>
            </w:r>
          </w:p>
        </w:tc>
        <w:tc>
          <w:tcPr>
            <w:tcW w:w="921" w:type="dxa"/>
            <w:shd w:val="clear" w:color="auto" w:fill="FFFFFF" w:themeFill="background1"/>
            <w:vAlign w:val="center"/>
          </w:tcPr>
          <w:p w14:paraId="59D2ADE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0266E3D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403F964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4C7BA31F" w14:textId="77777777" w:rsidTr="00F05317">
        <w:trPr>
          <w:trHeight w:val="240"/>
          <w:jc w:val="center"/>
        </w:trPr>
        <w:tc>
          <w:tcPr>
            <w:tcW w:w="1557" w:type="dxa"/>
            <w:shd w:val="clear" w:color="auto" w:fill="FFFFFF" w:themeFill="background1"/>
            <w:vAlign w:val="center"/>
          </w:tcPr>
          <w:p w14:paraId="4355746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中旭光伏发电（兴化）有限公司</w:t>
            </w:r>
          </w:p>
        </w:tc>
        <w:tc>
          <w:tcPr>
            <w:tcW w:w="1770" w:type="dxa"/>
            <w:shd w:val="clear" w:color="auto" w:fill="FFFFFF" w:themeFill="background1"/>
            <w:vAlign w:val="center"/>
          </w:tcPr>
          <w:p w14:paraId="406034B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5,000,000.00</w:t>
            </w:r>
          </w:p>
        </w:tc>
        <w:tc>
          <w:tcPr>
            <w:tcW w:w="1205" w:type="dxa"/>
            <w:shd w:val="clear" w:color="auto" w:fill="FFFFFF" w:themeFill="background1"/>
            <w:vAlign w:val="center"/>
          </w:tcPr>
          <w:p w14:paraId="45D3366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江苏兴化</w:t>
            </w:r>
          </w:p>
        </w:tc>
        <w:tc>
          <w:tcPr>
            <w:tcW w:w="1205" w:type="dxa"/>
            <w:shd w:val="clear" w:color="auto" w:fill="FFFFFF" w:themeFill="background1"/>
            <w:vAlign w:val="center"/>
          </w:tcPr>
          <w:p w14:paraId="52DA28A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江苏兴化</w:t>
            </w:r>
          </w:p>
        </w:tc>
        <w:tc>
          <w:tcPr>
            <w:tcW w:w="1205" w:type="dxa"/>
            <w:shd w:val="clear" w:color="auto" w:fill="FFFFFF" w:themeFill="background1"/>
            <w:vAlign w:val="center"/>
          </w:tcPr>
          <w:p w14:paraId="1655E9A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光伏发电技术及设备的研发；光伏电站投资</w:t>
            </w:r>
          </w:p>
        </w:tc>
        <w:tc>
          <w:tcPr>
            <w:tcW w:w="921" w:type="dxa"/>
            <w:shd w:val="clear" w:color="auto" w:fill="FFFFFF" w:themeFill="background1"/>
            <w:vAlign w:val="center"/>
          </w:tcPr>
          <w:p w14:paraId="78F18FD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66284C0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32FA6ED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21585553" w14:textId="77777777" w:rsidTr="00F05317">
        <w:trPr>
          <w:trHeight w:val="240"/>
          <w:jc w:val="center"/>
        </w:trPr>
        <w:tc>
          <w:tcPr>
            <w:tcW w:w="1557" w:type="dxa"/>
            <w:shd w:val="clear" w:color="auto" w:fill="FFFFFF" w:themeFill="background1"/>
            <w:vAlign w:val="center"/>
          </w:tcPr>
          <w:p w14:paraId="3E2DB4C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中利腾晖（吐鲁番）光伏新材料有限责任公司</w:t>
            </w:r>
          </w:p>
        </w:tc>
        <w:tc>
          <w:tcPr>
            <w:tcW w:w="1770" w:type="dxa"/>
            <w:shd w:val="clear" w:color="auto" w:fill="FFFFFF" w:themeFill="background1"/>
            <w:vAlign w:val="center"/>
          </w:tcPr>
          <w:p w14:paraId="7A7C177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20,000,000.00</w:t>
            </w:r>
          </w:p>
        </w:tc>
        <w:tc>
          <w:tcPr>
            <w:tcW w:w="1205" w:type="dxa"/>
            <w:shd w:val="clear" w:color="auto" w:fill="FFFFFF" w:themeFill="background1"/>
            <w:vAlign w:val="center"/>
          </w:tcPr>
          <w:p w14:paraId="059C474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新疆吐鲁番</w:t>
            </w:r>
          </w:p>
        </w:tc>
        <w:tc>
          <w:tcPr>
            <w:tcW w:w="1205" w:type="dxa"/>
            <w:shd w:val="clear" w:color="auto" w:fill="FFFFFF" w:themeFill="background1"/>
            <w:vAlign w:val="center"/>
          </w:tcPr>
          <w:p w14:paraId="5766768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新疆吐鲁番</w:t>
            </w:r>
          </w:p>
        </w:tc>
        <w:tc>
          <w:tcPr>
            <w:tcW w:w="1205" w:type="dxa"/>
            <w:shd w:val="clear" w:color="auto" w:fill="FFFFFF" w:themeFill="background1"/>
            <w:vAlign w:val="center"/>
          </w:tcPr>
          <w:p w14:paraId="10DE2B2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光伏发电产品生产、销售</w:t>
            </w:r>
          </w:p>
        </w:tc>
        <w:tc>
          <w:tcPr>
            <w:tcW w:w="921" w:type="dxa"/>
            <w:shd w:val="clear" w:color="auto" w:fill="FFFFFF" w:themeFill="background1"/>
            <w:vAlign w:val="center"/>
          </w:tcPr>
          <w:p w14:paraId="362A58A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1197BE3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0568D24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271B5142" w14:textId="77777777" w:rsidTr="00F05317">
        <w:trPr>
          <w:trHeight w:val="240"/>
          <w:jc w:val="center"/>
        </w:trPr>
        <w:tc>
          <w:tcPr>
            <w:tcW w:w="1557" w:type="dxa"/>
            <w:shd w:val="clear" w:color="auto" w:fill="FFFFFF" w:themeFill="background1"/>
            <w:vAlign w:val="center"/>
          </w:tcPr>
          <w:p w14:paraId="54CE0EF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苏州中利腾晖贸易有限公司</w:t>
            </w:r>
          </w:p>
        </w:tc>
        <w:tc>
          <w:tcPr>
            <w:tcW w:w="1770" w:type="dxa"/>
            <w:shd w:val="clear" w:color="auto" w:fill="FFFFFF" w:themeFill="background1"/>
            <w:vAlign w:val="center"/>
          </w:tcPr>
          <w:p w14:paraId="0021145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10,000,000.00</w:t>
            </w:r>
          </w:p>
        </w:tc>
        <w:tc>
          <w:tcPr>
            <w:tcW w:w="1205" w:type="dxa"/>
            <w:shd w:val="clear" w:color="auto" w:fill="FFFFFF" w:themeFill="background1"/>
            <w:vAlign w:val="center"/>
          </w:tcPr>
          <w:p w14:paraId="1015213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15A756B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4FB7046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光伏产品销售、进出口业务</w:t>
            </w:r>
          </w:p>
        </w:tc>
        <w:tc>
          <w:tcPr>
            <w:tcW w:w="921" w:type="dxa"/>
            <w:shd w:val="clear" w:color="auto" w:fill="FFFFFF" w:themeFill="background1"/>
            <w:vAlign w:val="center"/>
          </w:tcPr>
          <w:p w14:paraId="3B31BA5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7DC6B1D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4AA13FD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7765A88B" w14:textId="77777777" w:rsidTr="00F05317">
        <w:trPr>
          <w:trHeight w:val="240"/>
          <w:jc w:val="center"/>
        </w:trPr>
        <w:tc>
          <w:tcPr>
            <w:tcW w:w="1557" w:type="dxa"/>
            <w:shd w:val="clear" w:color="auto" w:fill="FFFFFF" w:themeFill="background1"/>
            <w:vAlign w:val="center"/>
          </w:tcPr>
          <w:p w14:paraId="5E091A4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中利腾晖（扬州）新能源科技有限公司</w:t>
            </w:r>
          </w:p>
        </w:tc>
        <w:tc>
          <w:tcPr>
            <w:tcW w:w="1770" w:type="dxa"/>
            <w:shd w:val="clear" w:color="auto" w:fill="FFFFFF" w:themeFill="background1"/>
            <w:vAlign w:val="center"/>
          </w:tcPr>
          <w:p w14:paraId="1E41222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2,000,000.00</w:t>
            </w:r>
          </w:p>
        </w:tc>
        <w:tc>
          <w:tcPr>
            <w:tcW w:w="1205" w:type="dxa"/>
            <w:shd w:val="clear" w:color="auto" w:fill="FFFFFF" w:themeFill="background1"/>
            <w:vAlign w:val="center"/>
          </w:tcPr>
          <w:p w14:paraId="43C90E2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江苏扬州</w:t>
            </w:r>
          </w:p>
        </w:tc>
        <w:tc>
          <w:tcPr>
            <w:tcW w:w="1205" w:type="dxa"/>
            <w:shd w:val="clear" w:color="auto" w:fill="FFFFFF" w:themeFill="background1"/>
            <w:vAlign w:val="center"/>
          </w:tcPr>
          <w:p w14:paraId="13301CE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江苏扬州</w:t>
            </w:r>
          </w:p>
        </w:tc>
        <w:tc>
          <w:tcPr>
            <w:tcW w:w="1205" w:type="dxa"/>
            <w:shd w:val="clear" w:color="auto" w:fill="FFFFFF" w:themeFill="background1"/>
            <w:vAlign w:val="center"/>
          </w:tcPr>
          <w:p w14:paraId="37D06DC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货物进出口</w:t>
            </w:r>
          </w:p>
        </w:tc>
        <w:tc>
          <w:tcPr>
            <w:tcW w:w="921" w:type="dxa"/>
            <w:shd w:val="clear" w:color="auto" w:fill="FFFFFF" w:themeFill="background1"/>
            <w:vAlign w:val="center"/>
          </w:tcPr>
          <w:p w14:paraId="5210522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572D248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60.00%</w:t>
            </w:r>
          </w:p>
        </w:tc>
        <w:tc>
          <w:tcPr>
            <w:tcW w:w="708" w:type="dxa"/>
            <w:shd w:val="clear" w:color="auto" w:fill="FFFFFF" w:themeFill="background1"/>
            <w:vAlign w:val="center"/>
          </w:tcPr>
          <w:p w14:paraId="79DEE78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7CACB810" w14:textId="77777777" w:rsidTr="00F05317">
        <w:trPr>
          <w:trHeight w:val="240"/>
          <w:jc w:val="center"/>
        </w:trPr>
        <w:tc>
          <w:tcPr>
            <w:tcW w:w="1557" w:type="dxa"/>
            <w:shd w:val="clear" w:color="auto" w:fill="FFFFFF" w:themeFill="background1"/>
            <w:vAlign w:val="center"/>
          </w:tcPr>
          <w:p w14:paraId="11FFCFD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腾晖晶优（苏州）光伏科技有限公司</w:t>
            </w:r>
          </w:p>
        </w:tc>
        <w:tc>
          <w:tcPr>
            <w:tcW w:w="1770" w:type="dxa"/>
            <w:shd w:val="clear" w:color="auto" w:fill="FFFFFF" w:themeFill="background1"/>
            <w:vAlign w:val="center"/>
          </w:tcPr>
          <w:p w14:paraId="1DD4270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auto" w:fill="FFFFFF" w:themeFill="background1"/>
            <w:vAlign w:val="center"/>
          </w:tcPr>
          <w:p w14:paraId="6EE9B71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1721EA1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0B1F1EA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光伏设备及元器件制造</w:t>
            </w:r>
          </w:p>
        </w:tc>
        <w:tc>
          <w:tcPr>
            <w:tcW w:w="921" w:type="dxa"/>
            <w:shd w:val="clear" w:color="auto" w:fill="FFFFFF" w:themeFill="background1"/>
            <w:vAlign w:val="center"/>
          </w:tcPr>
          <w:p w14:paraId="43E77E0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22DB97F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60.00%</w:t>
            </w:r>
          </w:p>
        </w:tc>
        <w:tc>
          <w:tcPr>
            <w:tcW w:w="708" w:type="dxa"/>
            <w:shd w:val="clear" w:color="auto" w:fill="FFFFFF" w:themeFill="background1"/>
            <w:vAlign w:val="center"/>
          </w:tcPr>
          <w:p w14:paraId="5D6166A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7A932277" w14:textId="77777777" w:rsidTr="00F05317">
        <w:trPr>
          <w:trHeight w:val="240"/>
          <w:jc w:val="center"/>
        </w:trPr>
        <w:tc>
          <w:tcPr>
            <w:tcW w:w="1557" w:type="dxa"/>
            <w:shd w:val="clear" w:color="auto" w:fill="FFFFFF" w:themeFill="background1"/>
            <w:vAlign w:val="center"/>
          </w:tcPr>
          <w:p w14:paraId="091E270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腾优光伏科技（苏州）有限公司</w:t>
            </w:r>
          </w:p>
        </w:tc>
        <w:tc>
          <w:tcPr>
            <w:tcW w:w="1770" w:type="dxa"/>
            <w:shd w:val="clear" w:color="auto" w:fill="FFFFFF" w:themeFill="background1"/>
            <w:vAlign w:val="center"/>
          </w:tcPr>
          <w:p w14:paraId="64CB78D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auto" w:fill="FFFFFF" w:themeFill="background1"/>
            <w:vAlign w:val="center"/>
          </w:tcPr>
          <w:p w14:paraId="6CE7359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江苏苏州</w:t>
            </w:r>
          </w:p>
        </w:tc>
        <w:tc>
          <w:tcPr>
            <w:tcW w:w="1205" w:type="dxa"/>
            <w:shd w:val="clear" w:color="auto" w:fill="FFFFFF" w:themeFill="background1"/>
            <w:vAlign w:val="center"/>
          </w:tcPr>
          <w:p w14:paraId="7CFF636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江苏苏州</w:t>
            </w:r>
          </w:p>
        </w:tc>
        <w:tc>
          <w:tcPr>
            <w:tcW w:w="1205" w:type="dxa"/>
            <w:shd w:val="clear" w:color="auto" w:fill="FFFFFF" w:themeFill="background1"/>
            <w:vAlign w:val="center"/>
          </w:tcPr>
          <w:p w14:paraId="6C9645C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光伏设备及元器件销售</w:t>
            </w:r>
          </w:p>
        </w:tc>
        <w:tc>
          <w:tcPr>
            <w:tcW w:w="921" w:type="dxa"/>
            <w:shd w:val="clear" w:color="auto" w:fill="FFFFFF" w:themeFill="background1"/>
            <w:vAlign w:val="center"/>
          </w:tcPr>
          <w:p w14:paraId="5BFEF26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5EA5310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90.00%</w:t>
            </w:r>
          </w:p>
        </w:tc>
        <w:tc>
          <w:tcPr>
            <w:tcW w:w="708" w:type="dxa"/>
            <w:shd w:val="clear" w:color="auto" w:fill="FFFFFF" w:themeFill="background1"/>
            <w:vAlign w:val="center"/>
          </w:tcPr>
          <w:p w14:paraId="0257BA4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4B6CB30E" w14:textId="77777777" w:rsidTr="00F05317">
        <w:trPr>
          <w:trHeight w:val="240"/>
          <w:jc w:val="center"/>
        </w:trPr>
        <w:tc>
          <w:tcPr>
            <w:tcW w:w="1557" w:type="dxa"/>
            <w:shd w:val="clear" w:color="auto" w:fill="FFFFFF" w:themeFill="background1"/>
            <w:vAlign w:val="center"/>
          </w:tcPr>
          <w:p w14:paraId="799E312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苏州腾晖家能光伏电力有限公司</w:t>
            </w:r>
          </w:p>
        </w:tc>
        <w:tc>
          <w:tcPr>
            <w:tcW w:w="1770" w:type="dxa"/>
            <w:shd w:val="clear" w:color="auto" w:fill="FFFFFF" w:themeFill="background1"/>
            <w:vAlign w:val="center"/>
          </w:tcPr>
          <w:p w14:paraId="44D0BB1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12,000,000.00</w:t>
            </w:r>
          </w:p>
        </w:tc>
        <w:tc>
          <w:tcPr>
            <w:tcW w:w="1205" w:type="dxa"/>
            <w:shd w:val="clear" w:color="auto" w:fill="FFFFFF" w:themeFill="background1"/>
            <w:vAlign w:val="center"/>
          </w:tcPr>
          <w:p w14:paraId="16A699C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10655BA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1B78F32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太阳能发电技术服务</w:t>
            </w:r>
          </w:p>
        </w:tc>
        <w:tc>
          <w:tcPr>
            <w:tcW w:w="921" w:type="dxa"/>
            <w:shd w:val="clear" w:color="auto" w:fill="FFFFFF" w:themeFill="background1"/>
            <w:vAlign w:val="center"/>
          </w:tcPr>
          <w:p w14:paraId="0A14D37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5C01743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3ED34E3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2820AB92" w14:textId="77777777" w:rsidTr="00F05317">
        <w:trPr>
          <w:trHeight w:val="240"/>
          <w:jc w:val="center"/>
        </w:trPr>
        <w:tc>
          <w:tcPr>
            <w:tcW w:w="1557" w:type="dxa"/>
            <w:shd w:val="clear" w:color="auto" w:fill="FFFFFF" w:themeFill="background1"/>
            <w:vAlign w:val="center"/>
          </w:tcPr>
          <w:p w14:paraId="241DEB7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lastRenderedPageBreak/>
              <w:t>北京新晖光伏发电有限责任公司</w:t>
            </w:r>
          </w:p>
        </w:tc>
        <w:tc>
          <w:tcPr>
            <w:tcW w:w="1770" w:type="dxa"/>
            <w:shd w:val="clear" w:color="auto" w:fill="FFFFFF" w:themeFill="background1"/>
            <w:vAlign w:val="center"/>
          </w:tcPr>
          <w:p w14:paraId="2ADF03B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2,000,000.00</w:t>
            </w:r>
          </w:p>
        </w:tc>
        <w:tc>
          <w:tcPr>
            <w:tcW w:w="1205" w:type="dxa"/>
            <w:shd w:val="clear" w:color="auto" w:fill="FFFFFF" w:themeFill="background1"/>
            <w:vAlign w:val="center"/>
          </w:tcPr>
          <w:p w14:paraId="489EEC0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北京</w:t>
            </w:r>
          </w:p>
        </w:tc>
        <w:tc>
          <w:tcPr>
            <w:tcW w:w="1205" w:type="dxa"/>
            <w:shd w:val="clear" w:color="auto" w:fill="FFFFFF" w:themeFill="background1"/>
            <w:vAlign w:val="center"/>
          </w:tcPr>
          <w:p w14:paraId="13D2CE1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北京</w:t>
            </w:r>
          </w:p>
        </w:tc>
        <w:tc>
          <w:tcPr>
            <w:tcW w:w="1205" w:type="dxa"/>
            <w:shd w:val="clear" w:color="auto" w:fill="FFFFFF" w:themeFill="background1"/>
            <w:vAlign w:val="center"/>
          </w:tcPr>
          <w:p w14:paraId="193955F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发电业务、输电业务、供（配）电业务</w:t>
            </w:r>
          </w:p>
        </w:tc>
        <w:tc>
          <w:tcPr>
            <w:tcW w:w="921" w:type="dxa"/>
            <w:shd w:val="clear" w:color="auto" w:fill="FFFFFF" w:themeFill="background1"/>
            <w:vAlign w:val="center"/>
          </w:tcPr>
          <w:p w14:paraId="47A3F07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774D229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70.00%</w:t>
            </w:r>
          </w:p>
        </w:tc>
        <w:tc>
          <w:tcPr>
            <w:tcW w:w="708" w:type="dxa"/>
            <w:shd w:val="clear" w:color="auto" w:fill="FFFFFF" w:themeFill="background1"/>
            <w:vAlign w:val="center"/>
          </w:tcPr>
          <w:p w14:paraId="653472B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6664865C" w14:textId="77777777" w:rsidTr="00F05317">
        <w:trPr>
          <w:trHeight w:val="240"/>
          <w:jc w:val="center"/>
        </w:trPr>
        <w:tc>
          <w:tcPr>
            <w:tcW w:w="1557" w:type="dxa"/>
            <w:shd w:val="clear" w:color="auto" w:fill="FFFFFF" w:themeFill="background1"/>
            <w:vAlign w:val="center"/>
          </w:tcPr>
          <w:p w14:paraId="0862CD8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常熟拓嘉光伏电站开发有限公司</w:t>
            </w:r>
          </w:p>
        </w:tc>
        <w:tc>
          <w:tcPr>
            <w:tcW w:w="1770" w:type="dxa"/>
            <w:shd w:val="clear" w:color="auto" w:fill="FFFFFF" w:themeFill="background1"/>
            <w:vAlign w:val="center"/>
          </w:tcPr>
          <w:p w14:paraId="517313C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auto" w:fill="FFFFFF" w:themeFill="background1"/>
            <w:vAlign w:val="center"/>
          </w:tcPr>
          <w:p w14:paraId="46C97B9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3A96938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3DA6E68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921" w:type="dxa"/>
            <w:shd w:val="clear" w:color="auto" w:fill="FFFFFF" w:themeFill="background1"/>
            <w:vAlign w:val="center"/>
          </w:tcPr>
          <w:p w14:paraId="46E5C6B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780645B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23AE078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7B80D479" w14:textId="77777777" w:rsidTr="00F05317">
        <w:trPr>
          <w:trHeight w:val="240"/>
          <w:jc w:val="center"/>
        </w:trPr>
        <w:tc>
          <w:tcPr>
            <w:tcW w:w="1557" w:type="dxa"/>
            <w:shd w:val="clear" w:color="auto" w:fill="FFFFFF" w:themeFill="background1"/>
            <w:vAlign w:val="center"/>
          </w:tcPr>
          <w:p w14:paraId="398364F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铁岭中晖新能源有限公司</w:t>
            </w:r>
          </w:p>
        </w:tc>
        <w:tc>
          <w:tcPr>
            <w:tcW w:w="1770" w:type="dxa"/>
            <w:shd w:val="clear" w:color="auto" w:fill="FFFFFF" w:themeFill="background1"/>
            <w:vAlign w:val="center"/>
          </w:tcPr>
          <w:p w14:paraId="00C5470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auto" w:fill="FFFFFF" w:themeFill="background1"/>
            <w:vAlign w:val="center"/>
          </w:tcPr>
          <w:p w14:paraId="2B419AB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辽宁铁岭</w:t>
            </w:r>
          </w:p>
        </w:tc>
        <w:tc>
          <w:tcPr>
            <w:tcW w:w="1205" w:type="dxa"/>
            <w:shd w:val="clear" w:color="auto" w:fill="FFFFFF" w:themeFill="background1"/>
            <w:vAlign w:val="center"/>
          </w:tcPr>
          <w:p w14:paraId="0ED98F3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辽宁铁岭</w:t>
            </w:r>
          </w:p>
        </w:tc>
        <w:tc>
          <w:tcPr>
            <w:tcW w:w="1205" w:type="dxa"/>
            <w:shd w:val="clear" w:color="auto" w:fill="FFFFFF" w:themeFill="background1"/>
            <w:vAlign w:val="center"/>
          </w:tcPr>
          <w:p w14:paraId="4B58E8F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921" w:type="dxa"/>
            <w:shd w:val="clear" w:color="auto" w:fill="FFFFFF" w:themeFill="background1"/>
            <w:vAlign w:val="center"/>
          </w:tcPr>
          <w:p w14:paraId="2CED5C9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29054EA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4BA7B2B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040A9728" w14:textId="77777777" w:rsidTr="00F05317">
        <w:trPr>
          <w:trHeight w:val="240"/>
          <w:jc w:val="center"/>
        </w:trPr>
        <w:tc>
          <w:tcPr>
            <w:tcW w:w="1557" w:type="dxa"/>
            <w:shd w:val="clear" w:color="auto" w:fill="FFFFFF" w:themeFill="background1"/>
            <w:vAlign w:val="center"/>
          </w:tcPr>
          <w:p w14:paraId="186421A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常熟创展光伏电站开发有限公司</w:t>
            </w:r>
          </w:p>
        </w:tc>
        <w:tc>
          <w:tcPr>
            <w:tcW w:w="1770" w:type="dxa"/>
            <w:shd w:val="clear" w:color="auto" w:fill="FFFFFF" w:themeFill="background1"/>
            <w:vAlign w:val="center"/>
          </w:tcPr>
          <w:p w14:paraId="546C4C6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auto" w:fill="FFFFFF" w:themeFill="background1"/>
            <w:vAlign w:val="center"/>
          </w:tcPr>
          <w:p w14:paraId="59BBD67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1620A02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auto" w:fill="FFFFFF" w:themeFill="background1"/>
            <w:vAlign w:val="center"/>
          </w:tcPr>
          <w:p w14:paraId="7CABCB3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921" w:type="dxa"/>
            <w:shd w:val="clear" w:color="auto" w:fill="FFFFFF" w:themeFill="background1"/>
            <w:vAlign w:val="center"/>
          </w:tcPr>
          <w:p w14:paraId="65A08DF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5B724BF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4AD90E6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0995E290" w14:textId="77777777" w:rsidTr="00F05317">
        <w:trPr>
          <w:trHeight w:val="240"/>
          <w:jc w:val="center"/>
        </w:trPr>
        <w:tc>
          <w:tcPr>
            <w:tcW w:w="1557" w:type="dxa"/>
            <w:shd w:val="clear" w:color="auto" w:fill="FFFFFF" w:themeFill="background1"/>
            <w:vAlign w:val="center"/>
          </w:tcPr>
          <w:p w14:paraId="2555982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鄄城上新光伏发电有限公司</w:t>
            </w:r>
          </w:p>
        </w:tc>
        <w:tc>
          <w:tcPr>
            <w:tcW w:w="1770" w:type="dxa"/>
            <w:shd w:val="clear" w:color="auto" w:fill="FFFFFF" w:themeFill="background1"/>
            <w:vAlign w:val="center"/>
          </w:tcPr>
          <w:p w14:paraId="5FBBA42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10,000,000.00</w:t>
            </w:r>
          </w:p>
        </w:tc>
        <w:tc>
          <w:tcPr>
            <w:tcW w:w="1205" w:type="dxa"/>
            <w:shd w:val="clear" w:color="auto" w:fill="FFFFFF" w:themeFill="background1"/>
            <w:vAlign w:val="center"/>
          </w:tcPr>
          <w:p w14:paraId="3C945F2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山东菏泽</w:t>
            </w:r>
          </w:p>
        </w:tc>
        <w:tc>
          <w:tcPr>
            <w:tcW w:w="1205" w:type="dxa"/>
            <w:shd w:val="clear" w:color="auto" w:fill="FFFFFF" w:themeFill="background1"/>
            <w:vAlign w:val="center"/>
          </w:tcPr>
          <w:p w14:paraId="23133AD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山东菏泽</w:t>
            </w:r>
          </w:p>
        </w:tc>
        <w:tc>
          <w:tcPr>
            <w:tcW w:w="1205" w:type="dxa"/>
            <w:shd w:val="clear" w:color="auto" w:fill="FFFFFF" w:themeFill="background1"/>
            <w:vAlign w:val="center"/>
          </w:tcPr>
          <w:p w14:paraId="33C5955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光伏电站经营</w:t>
            </w:r>
          </w:p>
        </w:tc>
        <w:tc>
          <w:tcPr>
            <w:tcW w:w="921" w:type="dxa"/>
            <w:shd w:val="clear" w:color="auto" w:fill="FFFFFF" w:themeFill="background1"/>
            <w:vAlign w:val="center"/>
          </w:tcPr>
          <w:p w14:paraId="3DFDE8E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50DD447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5398021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收购</w:t>
            </w:r>
          </w:p>
        </w:tc>
      </w:tr>
      <w:tr w:rsidR="00632E5B" w14:paraId="57521D45" w14:textId="77777777" w:rsidTr="00F05317">
        <w:trPr>
          <w:trHeight w:val="240"/>
          <w:jc w:val="center"/>
        </w:trPr>
        <w:tc>
          <w:tcPr>
            <w:tcW w:w="1557" w:type="dxa"/>
            <w:shd w:val="clear" w:color="auto" w:fill="FFFFFF" w:themeFill="background1"/>
            <w:vAlign w:val="center"/>
          </w:tcPr>
          <w:p w14:paraId="5621617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腾晖技术（泰国）有限公司</w:t>
            </w:r>
          </w:p>
        </w:tc>
        <w:tc>
          <w:tcPr>
            <w:tcW w:w="1770" w:type="dxa"/>
            <w:shd w:val="clear" w:color="auto" w:fill="FFFFFF" w:themeFill="background1"/>
            <w:vAlign w:val="center"/>
          </w:tcPr>
          <w:p w14:paraId="59A5D49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1,350,465,800.00</w:t>
            </w:r>
            <w:r>
              <w:rPr>
                <w:rFonts w:ascii="Times New Roman" w:eastAsia="宋体" w:hAnsi="Times New Roman" w:cs="Times New Roman"/>
                <w:color w:val="F00000"/>
                <w:vertAlign w:val="superscript"/>
              </w:rPr>
              <w:t>4</w:t>
            </w:r>
          </w:p>
        </w:tc>
        <w:tc>
          <w:tcPr>
            <w:tcW w:w="1205" w:type="dxa"/>
            <w:shd w:val="clear" w:color="auto" w:fill="FFFFFF" w:themeFill="background1"/>
            <w:vAlign w:val="center"/>
          </w:tcPr>
          <w:p w14:paraId="49D8CEE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泰国</w:t>
            </w:r>
          </w:p>
        </w:tc>
        <w:tc>
          <w:tcPr>
            <w:tcW w:w="1205" w:type="dxa"/>
            <w:shd w:val="clear" w:color="auto" w:fill="FFFFFF" w:themeFill="background1"/>
            <w:vAlign w:val="center"/>
          </w:tcPr>
          <w:p w14:paraId="1D86B3B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泰国</w:t>
            </w:r>
          </w:p>
        </w:tc>
        <w:tc>
          <w:tcPr>
            <w:tcW w:w="1205" w:type="dxa"/>
            <w:shd w:val="clear" w:color="auto" w:fill="FFFFFF" w:themeFill="background1"/>
            <w:vAlign w:val="center"/>
          </w:tcPr>
          <w:p w14:paraId="53AA0D2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光伏产品生产、销售</w:t>
            </w:r>
          </w:p>
        </w:tc>
        <w:tc>
          <w:tcPr>
            <w:tcW w:w="921" w:type="dxa"/>
            <w:shd w:val="clear" w:color="auto" w:fill="FFFFFF" w:themeFill="background1"/>
            <w:vAlign w:val="center"/>
          </w:tcPr>
          <w:p w14:paraId="3DC6C96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0E28B45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708" w:type="dxa"/>
            <w:shd w:val="clear" w:color="auto" w:fill="FFFFFF" w:themeFill="background1"/>
            <w:vAlign w:val="center"/>
          </w:tcPr>
          <w:p w14:paraId="4A9BD54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r w:rsidR="00632E5B" w14:paraId="2385F739" w14:textId="77777777" w:rsidTr="00F05317">
        <w:trPr>
          <w:trHeight w:val="240"/>
          <w:jc w:val="center"/>
        </w:trPr>
        <w:tc>
          <w:tcPr>
            <w:tcW w:w="1557" w:type="dxa"/>
            <w:shd w:val="clear" w:color="auto" w:fill="FFFFFF" w:themeFill="background1"/>
            <w:vAlign w:val="center"/>
          </w:tcPr>
          <w:p w14:paraId="0439D269" w14:textId="77777777" w:rsidR="00632E5B" w:rsidRDefault="00107901">
            <w:pPr>
              <w:spacing w:line="240" w:lineRule="exact"/>
              <w:rPr>
                <w:rFonts w:ascii="宋体" w:eastAsia="宋体" w:hAnsi="宋体" w:cs="宋体" w:hint="eastAsia"/>
                <w:sz w:val="18"/>
                <w:szCs w:val="18"/>
              </w:rPr>
            </w:pPr>
            <w:proofErr w:type="spellStart"/>
            <w:r>
              <w:rPr>
                <w:rFonts w:ascii="宋体" w:eastAsia="宋体" w:hAnsi="宋体" w:cs="宋体"/>
                <w:sz w:val="18"/>
                <w:szCs w:val="18"/>
              </w:rPr>
              <w:t>Talesun</w:t>
            </w:r>
            <w:proofErr w:type="spellEnd"/>
            <w:r>
              <w:rPr>
                <w:rFonts w:ascii="宋体" w:eastAsia="宋体" w:hAnsi="宋体" w:cs="宋体"/>
                <w:sz w:val="18"/>
                <w:szCs w:val="18"/>
              </w:rPr>
              <w:t xml:space="preserve"> Greenpower Tech </w:t>
            </w:r>
            <w:proofErr w:type="spellStart"/>
            <w:r>
              <w:rPr>
                <w:rFonts w:ascii="宋体" w:eastAsia="宋体" w:hAnsi="宋体" w:cs="宋体"/>
                <w:sz w:val="18"/>
                <w:szCs w:val="18"/>
              </w:rPr>
              <w:t>co.,ltd</w:t>
            </w:r>
            <w:proofErr w:type="spellEnd"/>
          </w:p>
        </w:tc>
        <w:tc>
          <w:tcPr>
            <w:tcW w:w="1770" w:type="dxa"/>
            <w:shd w:val="clear" w:color="auto" w:fill="FFFFFF" w:themeFill="background1"/>
            <w:vAlign w:val="center"/>
          </w:tcPr>
          <w:p w14:paraId="3949C0A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100,000,000.00</w:t>
            </w:r>
            <w:r>
              <w:rPr>
                <w:rFonts w:ascii="Times New Roman" w:eastAsia="宋体" w:hAnsi="Times New Roman" w:cs="Times New Roman"/>
                <w:color w:val="F00000"/>
                <w:vertAlign w:val="superscript"/>
              </w:rPr>
              <w:t>5</w:t>
            </w:r>
          </w:p>
        </w:tc>
        <w:tc>
          <w:tcPr>
            <w:tcW w:w="1205" w:type="dxa"/>
            <w:shd w:val="clear" w:color="auto" w:fill="FFFFFF" w:themeFill="background1"/>
            <w:vAlign w:val="center"/>
          </w:tcPr>
          <w:p w14:paraId="5D710E4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泰国</w:t>
            </w:r>
          </w:p>
        </w:tc>
        <w:tc>
          <w:tcPr>
            <w:tcW w:w="1205" w:type="dxa"/>
            <w:shd w:val="clear" w:color="auto" w:fill="FFFFFF" w:themeFill="background1"/>
            <w:vAlign w:val="center"/>
          </w:tcPr>
          <w:p w14:paraId="553D8F6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泰国</w:t>
            </w:r>
          </w:p>
        </w:tc>
        <w:tc>
          <w:tcPr>
            <w:tcW w:w="1205" w:type="dxa"/>
            <w:shd w:val="clear" w:color="auto" w:fill="FFFFFF" w:themeFill="background1"/>
            <w:vAlign w:val="center"/>
          </w:tcPr>
          <w:p w14:paraId="35B486C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光伏电站投资建设、维护等</w:t>
            </w:r>
          </w:p>
        </w:tc>
        <w:tc>
          <w:tcPr>
            <w:tcW w:w="921" w:type="dxa"/>
            <w:shd w:val="clear" w:color="auto" w:fill="FFFFFF" w:themeFill="background1"/>
            <w:vAlign w:val="center"/>
          </w:tcPr>
          <w:p w14:paraId="69A2E73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851" w:type="dxa"/>
            <w:shd w:val="clear" w:color="auto" w:fill="FFFFFF" w:themeFill="background1"/>
            <w:vAlign w:val="center"/>
          </w:tcPr>
          <w:p w14:paraId="298C226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51.00%</w:t>
            </w:r>
          </w:p>
        </w:tc>
        <w:tc>
          <w:tcPr>
            <w:tcW w:w="708" w:type="dxa"/>
            <w:shd w:val="clear" w:color="auto" w:fill="FFFFFF" w:themeFill="background1"/>
            <w:vAlign w:val="center"/>
          </w:tcPr>
          <w:p w14:paraId="0010E74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设立</w:t>
            </w:r>
          </w:p>
        </w:tc>
      </w:tr>
    </w:tbl>
    <w:p w14:paraId="013D2AD8" w14:textId="10650AB8" w:rsidR="00632E5B" w:rsidRPr="00F84867" w:rsidRDefault="00107901">
      <w:pPr>
        <w:rPr>
          <w:rFonts w:asciiTheme="minorEastAsia" w:hAnsiTheme="minorEastAsia" w:hint="eastAsia"/>
        </w:rPr>
      </w:pPr>
      <w:r w:rsidRPr="00F84867">
        <w:rPr>
          <w:rFonts w:asciiTheme="minorEastAsia" w:hAnsiTheme="minorEastAsia" w:cs="仿宋"/>
        </w:rPr>
        <w:t>注：1 美元</w:t>
      </w:r>
      <w:r w:rsidR="00F84867">
        <w:rPr>
          <w:rFonts w:asciiTheme="minorEastAsia" w:hAnsiTheme="minorEastAsia" w:cs="仿宋" w:hint="eastAsia"/>
        </w:rPr>
        <w:t>；</w:t>
      </w:r>
      <w:r w:rsidRPr="00F84867">
        <w:rPr>
          <w:rFonts w:asciiTheme="minorEastAsia" w:hAnsiTheme="minorEastAsia" w:cs="仿宋"/>
        </w:rPr>
        <w:t>2 越南盾</w:t>
      </w:r>
      <w:r w:rsidR="00F84867">
        <w:rPr>
          <w:rFonts w:asciiTheme="minorEastAsia" w:hAnsiTheme="minorEastAsia" w:cs="仿宋" w:hint="eastAsia"/>
        </w:rPr>
        <w:t>；</w:t>
      </w:r>
      <w:r w:rsidRPr="00F84867">
        <w:rPr>
          <w:rFonts w:asciiTheme="minorEastAsia" w:hAnsiTheme="minorEastAsia" w:cs="仿宋"/>
        </w:rPr>
        <w:t>3 美元</w:t>
      </w:r>
      <w:r w:rsidR="00F84867">
        <w:rPr>
          <w:rFonts w:asciiTheme="minorEastAsia" w:hAnsiTheme="minorEastAsia" w:cs="仿宋" w:hint="eastAsia"/>
        </w:rPr>
        <w:t>；</w:t>
      </w:r>
      <w:r w:rsidRPr="00F84867">
        <w:rPr>
          <w:rFonts w:asciiTheme="minorEastAsia" w:hAnsiTheme="minorEastAsia" w:cs="仿宋"/>
        </w:rPr>
        <w:t>4 泰铢</w:t>
      </w:r>
      <w:r w:rsidR="00F84867">
        <w:rPr>
          <w:rFonts w:asciiTheme="minorEastAsia" w:hAnsiTheme="minorEastAsia" w:cs="仿宋" w:hint="eastAsia"/>
        </w:rPr>
        <w:t>；</w:t>
      </w:r>
      <w:r w:rsidRPr="00F84867">
        <w:rPr>
          <w:rFonts w:asciiTheme="minorEastAsia" w:hAnsiTheme="minorEastAsia" w:cs="仿宋"/>
        </w:rPr>
        <w:t>5 泰铢</w:t>
      </w:r>
      <w:r w:rsidR="00695EAE">
        <w:rPr>
          <w:rFonts w:asciiTheme="minorEastAsia" w:hAnsiTheme="minorEastAsia" w:cs="仿宋" w:hint="eastAsia"/>
        </w:rPr>
        <w:t>。</w:t>
      </w:r>
    </w:p>
    <w:p w14:paraId="7110BF4B" w14:textId="77777777" w:rsidR="00632E5B" w:rsidRDefault="00107901">
      <w:pPr>
        <w:pStyle w:val="3"/>
        <w:spacing w:line="280" w:lineRule="exact"/>
        <w:jc w:val="left"/>
        <w:rPr>
          <w:rFonts w:ascii="宋体" w:hAnsi="宋体" w:cs="宋体" w:hint="eastAsia"/>
          <w:b/>
          <w:bCs/>
        </w:rPr>
      </w:pPr>
      <w:bookmarkStart w:id="351" w:name="_Toc989241"/>
      <w:r>
        <w:rPr>
          <w:rFonts w:ascii="宋体" w:hAnsi="宋体" w:cs="宋体"/>
          <w:b/>
          <w:bCs/>
        </w:rPr>
        <w:t>2、在合营安排或联营企业中的权益</w:t>
      </w:r>
      <w:bookmarkEnd w:id="351"/>
    </w:p>
    <w:p w14:paraId="2A87889F"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352" w:name="_Toc989242"/>
      <w:r>
        <w:rPr>
          <w:rFonts w:ascii="宋体" w:eastAsia="宋体" w:hAnsi="宋体" w:cs="宋体"/>
          <w:b/>
          <w:bCs/>
          <w:szCs w:val="21"/>
        </w:rPr>
        <w:t>（1） 不重要的合营企业和联营企业的汇总财务信息</w:t>
      </w:r>
      <w:bookmarkEnd w:id="352"/>
    </w:p>
    <w:p w14:paraId="2C9116A7"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2F83AE97" w14:textId="77777777" w:rsidTr="00F91968">
        <w:trPr>
          <w:trHeight w:val="240"/>
        </w:trPr>
        <w:tc>
          <w:tcPr>
            <w:tcW w:w="3213" w:type="dxa"/>
            <w:shd w:val="clear" w:color="auto" w:fill="FFFFFF" w:themeFill="background1"/>
            <w:vAlign w:val="center"/>
          </w:tcPr>
          <w:p w14:paraId="551EC4CE" w14:textId="77777777" w:rsidR="00632E5B" w:rsidRDefault="00632E5B"/>
        </w:tc>
        <w:tc>
          <w:tcPr>
            <w:tcW w:w="3213" w:type="dxa"/>
            <w:shd w:val="clear" w:color="auto" w:fill="FFFFFF" w:themeFill="background1"/>
            <w:vAlign w:val="center"/>
          </w:tcPr>
          <w:p w14:paraId="1870FF4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期末余额/本期发生额</w:t>
            </w:r>
          </w:p>
        </w:tc>
        <w:tc>
          <w:tcPr>
            <w:tcW w:w="3213" w:type="dxa"/>
            <w:shd w:val="clear" w:color="auto" w:fill="FFFFFF" w:themeFill="background1"/>
            <w:vAlign w:val="center"/>
          </w:tcPr>
          <w:p w14:paraId="41FD5A7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期初余额/上期发生额</w:t>
            </w:r>
          </w:p>
        </w:tc>
      </w:tr>
      <w:tr w:rsidR="00632E5B" w14:paraId="5D21DB72" w14:textId="77777777" w:rsidTr="00F91968">
        <w:trPr>
          <w:trHeight w:val="240"/>
        </w:trPr>
        <w:tc>
          <w:tcPr>
            <w:tcW w:w="3213" w:type="dxa"/>
            <w:shd w:val="clear" w:color="auto" w:fill="FFFFFF" w:themeFill="background1"/>
            <w:vAlign w:val="center"/>
          </w:tcPr>
          <w:p w14:paraId="69CDB543"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合营企业：</w:t>
            </w:r>
          </w:p>
        </w:tc>
        <w:tc>
          <w:tcPr>
            <w:tcW w:w="3213" w:type="dxa"/>
            <w:shd w:val="clear" w:color="auto" w:fill="FFFFFF" w:themeFill="background1"/>
            <w:vAlign w:val="center"/>
          </w:tcPr>
          <w:p w14:paraId="13AFC673" w14:textId="77777777" w:rsidR="00632E5B" w:rsidRDefault="00632E5B"/>
        </w:tc>
        <w:tc>
          <w:tcPr>
            <w:tcW w:w="3213" w:type="dxa"/>
            <w:shd w:val="clear" w:color="auto" w:fill="FFFFFF" w:themeFill="background1"/>
            <w:vAlign w:val="center"/>
          </w:tcPr>
          <w:p w14:paraId="595CEDF6" w14:textId="77777777" w:rsidR="00632E5B" w:rsidRDefault="00632E5B"/>
        </w:tc>
      </w:tr>
      <w:tr w:rsidR="00632E5B" w14:paraId="3F15AE30" w14:textId="77777777" w:rsidTr="00F91968">
        <w:trPr>
          <w:trHeight w:val="240"/>
        </w:trPr>
        <w:tc>
          <w:tcPr>
            <w:tcW w:w="3213" w:type="dxa"/>
            <w:shd w:val="clear" w:color="auto" w:fill="FFFFFF" w:themeFill="background1"/>
            <w:vAlign w:val="center"/>
          </w:tcPr>
          <w:p w14:paraId="76EC7F8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下列各项按持股比例计算的合计数</w:t>
            </w:r>
          </w:p>
        </w:tc>
        <w:tc>
          <w:tcPr>
            <w:tcW w:w="3213" w:type="dxa"/>
            <w:shd w:val="clear" w:color="auto" w:fill="FFFFFF" w:themeFill="background1"/>
            <w:vAlign w:val="center"/>
          </w:tcPr>
          <w:p w14:paraId="69E53316" w14:textId="77777777" w:rsidR="00632E5B" w:rsidRDefault="00632E5B"/>
        </w:tc>
        <w:tc>
          <w:tcPr>
            <w:tcW w:w="3213" w:type="dxa"/>
            <w:shd w:val="clear" w:color="auto" w:fill="FFFFFF" w:themeFill="background1"/>
            <w:vAlign w:val="center"/>
          </w:tcPr>
          <w:p w14:paraId="18E5B321" w14:textId="77777777" w:rsidR="00632E5B" w:rsidRDefault="00632E5B"/>
        </w:tc>
      </w:tr>
      <w:tr w:rsidR="00632E5B" w14:paraId="643D5656" w14:textId="77777777" w:rsidTr="00F91968">
        <w:trPr>
          <w:trHeight w:val="240"/>
        </w:trPr>
        <w:tc>
          <w:tcPr>
            <w:tcW w:w="3213" w:type="dxa"/>
            <w:shd w:val="clear" w:color="auto" w:fill="FFFFFF" w:themeFill="background1"/>
            <w:vAlign w:val="center"/>
          </w:tcPr>
          <w:p w14:paraId="3DC83FE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联营企业：</w:t>
            </w:r>
          </w:p>
        </w:tc>
        <w:tc>
          <w:tcPr>
            <w:tcW w:w="3213" w:type="dxa"/>
            <w:shd w:val="clear" w:color="auto" w:fill="FFFFFF" w:themeFill="background1"/>
            <w:vAlign w:val="center"/>
          </w:tcPr>
          <w:p w14:paraId="464954CB" w14:textId="77777777" w:rsidR="00632E5B" w:rsidRDefault="00632E5B"/>
        </w:tc>
        <w:tc>
          <w:tcPr>
            <w:tcW w:w="3213" w:type="dxa"/>
            <w:shd w:val="clear" w:color="auto" w:fill="FFFFFF" w:themeFill="background1"/>
            <w:vAlign w:val="center"/>
          </w:tcPr>
          <w:p w14:paraId="0646C698" w14:textId="77777777" w:rsidR="00632E5B" w:rsidRDefault="00632E5B"/>
        </w:tc>
      </w:tr>
      <w:tr w:rsidR="00632E5B" w14:paraId="72E848B0" w14:textId="77777777" w:rsidTr="00F91968">
        <w:trPr>
          <w:trHeight w:val="240"/>
        </w:trPr>
        <w:tc>
          <w:tcPr>
            <w:tcW w:w="3213" w:type="dxa"/>
            <w:shd w:val="clear" w:color="auto" w:fill="FFFFFF" w:themeFill="background1"/>
            <w:vAlign w:val="center"/>
          </w:tcPr>
          <w:p w14:paraId="2026060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投资账面价值合计</w:t>
            </w:r>
          </w:p>
        </w:tc>
        <w:tc>
          <w:tcPr>
            <w:tcW w:w="3213" w:type="dxa"/>
            <w:shd w:val="clear" w:color="auto" w:fill="FFFFFF" w:themeFill="background1"/>
            <w:vAlign w:val="center"/>
          </w:tcPr>
          <w:p w14:paraId="6DC1D36B" w14:textId="77777777" w:rsidR="00632E5B" w:rsidRDefault="00632E5B">
            <w:pPr>
              <w:spacing w:line="240" w:lineRule="exact"/>
              <w:jc w:val="right"/>
              <w:rPr>
                <w:rFonts w:ascii="宋体" w:eastAsia="宋体" w:hAnsi="宋体" w:cs="宋体" w:hint="eastAsia"/>
                <w:sz w:val="18"/>
                <w:szCs w:val="18"/>
              </w:rPr>
            </w:pPr>
          </w:p>
        </w:tc>
        <w:tc>
          <w:tcPr>
            <w:tcW w:w="3213" w:type="dxa"/>
            <w:shd w:val="clear" w:color="auto" w:fill="FFFFFF" w:themeFill="background1"/>
            <w:vAlign w:val="center"/>
          </w:tcPr>
          <w:p w14:paraId="3FD89566" w14:textId="2379AC66" w:rsidR="00632E5B" w:rsidRDefault="00C12D5F">
            <w:pPr>
              <w:spacing w:line="240" w:lineRule="exact"/>
              <w:jc w:val="right"/>
              <w:rPr>
                <w:rFonts w:ascii="宋体" w:eastAsia="宋体" w:hAnsi="宋体" w:cs="宋体" w:hint="eastAsia"/>
                <w:sz w:val="18"/>
                <w:szCs w:val="18"/>
              </w:rPr>
            </w:pPr>
            <w:r>
              <w:rPr>
                <w:rFonts w:ascii="宋体" w:eastAsia="宋体" w:hAnsi="宋体" w:cs="宋体"/>
                <w:sz w:val="18"/>
                <w:szCs w:val="18"/>
              </w:rPr>
              <w:t>14,158,288.31</w:t>
            </w:r>
          </w:p>
        </w:tc>
      </w:tr>
      <w:tr w:rsidR="00632E5B" w14:paraId="4F278B0D" w14:textId="77777777" w:rsidTr="00F91968">
        <w:trPr>
          <w:trHeight w:val="240"/>
        </w:trPr>
        <w:tc>
          <w:tcPr>
            <w:tcW w:w="3213" w:type="dxa"/>
            <w:shd w:val="clear" w:color="auto" w:fill="FFFFFF" w:themeFill="background1"/>
            <w:vAlign w:val="center"/>
          </w:tcPr>
          <w:p w14:paraId="5439719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下列各项按持股比例计算的合计数</w:t>
            </w:r>
          </w:p>
        </w:tc>
        <w:tc>
          <w:tcPr>
            <w:tcW w:w="3213" w:type="dxa"/>
            <w:shd w:val="clear" w:color="auto" w:fill="FFFFFF" w:themeFill="background1"/>
            <w:vAlign w:val="center"/>
          </w:tcPr>
          <w:p w14:paraId="3AC765D4" w14:textId="77777777" w:rsidR="00632E5B" w:rsidRDefault="00632E5B"/>
        </w:tc>
        <w:tc>
          <w:tcPr>
            <w:tcW w:w="3213" w:type="dxa"/>
            <w:shd w:val="clear" w:color="auto" w:fill="FFFFFF" w:themeFill="background1"/>
            <w:vAlign w:val="center"/>
          </w:tcPr>
          <w:p w14:paraId="0E9A43CB" w14:textId="77777777" w:rsidR="00632E5B" w:rsidRDefault="00632E5B"/>
        </w:tc>
      </w:tr>
      <w:tr w:rsidR="00632E5B" w14:paraId="0E66A2D1" w14:textId="77777777" w:rsidTr="00F91968">
        <w:trPr>
          <w:trHeight w:val="240"/>
        </w:trPr>
        <w:tc>
          <w:tcPr>
            <w:tcW w:w="3213" w:type="dxa"/>
            <w:shd w:val="clear" w:color="auto" w:fill="FFFFFF" w:themeFill="background1"/>
            <w:vAlign w:val="center"/>
          </w:tcPr>
          <w:p w14:paraId="3B0E566D"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--净利润</w:t>
            </w:r>
          </w:p>
        </w:tc>
        <w:tc>
          <w:tcPr>
            <w:tcW w:w="3213" w:type="dxa"/>
            <w:shd w:val="clear" w:color="auto" w:fill="FFFFFF" w:themeFill="background1"/>
            <w:vAlign w:val="center"/>
          </w:tcPr>
          <w:p w14:paraId="3016723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-240,222.20</w:t>
            </w:r>
          </w:p>
        </w:tc>
        <w:tc>
          <w:tcPr>
            <w:tcW w:w="3213" w:type="dxa"/>
            <w:shd w:val="clear" w:color="auto" w:fill="FFFFFF" w:themeFill="background1"/>
            <w:vAlign w:val="center"/>
          </w:tcPr>
          <w:p w14:paraId="68292B1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-971,584.46</w:t>
            </w:r>
          </w:p>
        </w:tc>
      </w:tr>
      <w:tr w:rsidR="00632E5B" w14:paraId="774EC237" w14:textId="77777777" w:rsidTr="00F91968">
        <w:trPr>
          <w:trHeight w:val="240"/>
        </w:trPr>
        <w:tc>
          <w:tcPr>
            <w:tcW w:w="3213" w:type="dxa"/>
            <w:shd w:val="clear" w:color="auto" w:fill="FFFFFF" w:themeFill="background1"/>
            <w:vAlign w:val="center"/>
          </w:tcPr>
          <w:p w14:paraId="1280EBC5"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--综合收益总额</w:t>
            </w:r>
          </w:p>
        </w:tc>
        <w:tc>
          <w:tcPr>
            <w:tcW w:w="3213" w:type="dxa"/>
            <w:shd w:val="clear" w:color="auto" w:fill="FFFFFF" w:themeFill="background1"/>
            <w:vAlign w:val="center"/>
          </w:tcPr>
          <w:p w14:paraId="76E18EB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-240,222.20</w:t>
            </w:r>
          </w:p>
        </w:tc>
        <w:tc>
          <w:tcPr>
            <w:tcW w:w="3213" w:type="dxa"/>
            <w:shd w:val="clear" w:color="auto" w:fill="FFFFFF" w:themeFill="background1"/>
            <w:vAlign w:val="center"/>
          </w:tcPr>
          <w:p w14:paraId="462E3FB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-971,584.46</w:t>
            </w:r>
          </w:p>
        </w:tc>
      </w:tr>
    </w:tbl>
    <w:p w14:paraId="2F6DC2F0" w14:textId="77777777" w:rsidR="00632E5B" w:rsidRDefault="00107901">
      <w:pPr>
        <w:pStyle w:val="2"/>
        <w:spacing w:before="300" w:after="300" w:line="320" w:lineRule="exact"/>
        <w:rPr>
          <w:rFonts w:ascii="宋体" w:eastAsia="宋体" w:hAnsi="宋体" w:cs="宋体" w:hint="eastAsia"/>
          <w:b/>
          <w:bCs/>
          <w:sz w:val="24"/>
          <w:szCs w:val="24"/>
        </w:rPr>
      </w:pPr>
      <w:bookmarkStart w:id="353" w:name="_Toc989243"/>
      <w:r>
        <w:rPr>
          <w:rFonts w:ascii="宋体" w:eastAsia="宋体" w:hAnsi="宋体" w:cs="宋体"/>
          <w:b/>
          <w:bCs/>
          <w:sz w:val="24"/>
          <w:szCs w:val="24"/>
        </w:rPr>
        <w:t>十、政府补助</w:t>
      </w:r>
      <w:bookmarkEnd w:id="353"/>
    </w:p>
    <w:p w14:paraId="20DC40B0" w14:textId="77777777" w:rsidR="00632E5B" w:rsidRDefault="00107901">
      <w:pPr>
        <w:pStyle w:val="3"/>
        <w:spacing w:line="280" w:lineRule="exact"/>
        <w:jc w:val="left"/>
        <w:rPr>
          <w:rFonts w:ascii="宋体" w:hAnsi="宋体" w:cs="宋体" w:hint="eastAsia"/>
          <w:b/>
          <w:bCs/>
        </w:rPr>
      </w:pPr>
      <w:bookmarkStart w:id="354" w:name="_Toc989244"/>
      <w:r>
        <w:rPr>
          <w:rFonts w:ascii="宋体" w:hAnsi="宋体" w:cs="宋体"/>
          <w:b/>
          <w:bCs/>
        </w:rPr>
        <w:t>1、报告期末按应收金额确认的政府补助</w:t>
      </w:r>
      <w:bookmarkEnd w:id="354"/>
    </w:p>
    <w:p w14:paraId="3CAA6F10"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1738B7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未能在预计时点收到预计金额的政府补助的原因</w:t>
      </w:r>
    </w:p>
    <w:p w14:paraId="78B9EEC1"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100947A5" w14:textId="77777777" w:rsidR="00632E5B" w:rsidRDefault="00107901">
      <w:pPr>
        <w:pStyle w:val="3"/>
        <w:spacing w:line="280" w:lineRule="exact"/>
        <w:jc w:val="left"/>
        <w:rPr>
          <w:rFonts w:ascii="宋体" w:hAnsi="宋体" w:cs="宋体" w:hint="eastAsia"/>
          <w:b/>
          <w:bCs/>
        </w:rPr>
      </w:pPr>
      <w:bookmarkStart w:id="355" w:name="_Toc989245"/>
      <w:r>
        <w:rPr>
          <w:rFonts w:ascii="宋体" w:hAnsi="宋体" w:cs="宋体"/>
          <w:b/>
          <w:bCs/>
        </w:rPr>
        <w:t>2、涉及政府补助的负债项目</w:t>
      </w:r>
      <w:bookmarkEnd w:id="355"/>
    </w:p>
    <w:p w14:paraId="4F0E3D36"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704F2A43"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073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204"/>
        <w:gridCol w:w="1520"/>
        <w:gridCol w:w="1418"/>
        <w:gridCol w:w="1205"/>
        <w:gridCol w:w="1488"/>
        <w:gridCol w:w="1205"/>
        <w:gridCol w:w="1488"/>
        <w:gridCol w:w="1205"/>
      </w:tblGrid>
      <w:tr w:rsidR="00632E5B" w14:paraId="5D73ED0A" w14:textId="77777777" w:rsidTr="00F91968">
        <w:trPr>
          <w:trHeight w:val="240"/>
          <w:jc w:val="center"/>
        </w:trPr>
        <w:tc>
          <w:tcPr>
            <w:tcW w:w="1204" w:type="dxa"/>
            <w:shd w:val="clear" w:color="auto" w:fill="FFFFFF" w:themeFill="background1"/>
            <w:vAlign w:val="center"/>
          </w:tcPr>
          <w:p w14:paraId="281550E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会计科目</w:t>
            </w:r>
          </w:p>
        </w:tc>
        <w:tc>
          <w:tcPr>
            <w:tcW w:w="1520" w:type="dxa"/>
            <w:shd w:val="clear" w:color="auto" w:fill="FFFFFF" w:themeFill="background1"/>
            <w:vAlign w:val="center"/>
          </w:tcPr>
          <w:p w14:paraId="54CCFAB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418" w:type="dxa"/>
            <w:shd w:val="clear" w:color="auto" w:fill="FFFFFF" w:themeFill="background1"/>
            <w:vAlign w:val="center"/>
          </w:tcPr>
          <w:p w14:paraId="56BC228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本期新增补助金额</w:t>
            </w:r>
          </w:p>
        </w:tc>
        <w:tc>
          <w:tcPr>
            <w:tcW w:w="1205" w:type="dxa"/>
            <w:shd w:val="clear" w:color="auto" w:fill="FFFFFF" w:themeFill="background1"/>
            <w:vAlign w:val="center"/>
          </w:tcPr>
          <w:p w14:paraId="0A85E7F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本期计入营业外收入金额</w:t>
            </w:r>
          </w:p>
        </w:tc>
        <w:tc>
          <w:tcPr>
            <w:tcW w:w="1488" w:type="dxa"/>
            <w:shd w:val="clear" w:color="auto" w:fill="FFFFFF" w:themeFill="background1"/>
            <w:vAlign w:val="center"/>
          </w:tcPr>
          <w:p w14:paraId="4E20D4C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本期转入其他收益金额</w:t>
            </w:r>
          </w:p>
        </w:tc>
        <w:tc>
          <w:tcPr>
            <w:tcW w:w="1205" w:type="dxa"/>
            <w:shd w:val="clear" w:color="auto" w:fill="FFFFFF" w:themeFill="background1"/>
            <w:vAlign w:val="center"/>
          </w:tcPr>
          <w:p w14:paraId="5C8FE5A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本期其他变动</w:t>
            </w:r>
          </w:p>
        </w:tc>
        <w:tc>
          <w:tcPr>
            <w:tcW w:w="1488" w:type="dxa"/>
            <w:shd w:val="clear" w:color="auto" w:fill="FFFFFF" w:themeFill="background1"/>
            <w:vAlign w:val="center"/>
          </w:tcPr>
          <w:p w14:paraId="17693DB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1205" w:type="dxa"/>
            <w:shd w:val="clear" w:color="auto" w:fill="FFFFFF" w:themeFill="background1"/>
            <w:vAlign w:val="center"/>
          </w:tcPr>
          <w:p w14:paraId="3B70478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与资产/收益相关</w:t>
            </w:r>
          </w:p>
        </w:tc>
      </w:tr>
      <w:tr w:rsidR="00632E5B" w14:paraId="15A7052C" w14:textId="77777777" w:rsidTr="00F91968">
        <w:trPr>
          <w:trHeight w:val="240"/>
          <w:jc w:val="center"/>
        </w:trPr>
        <w:tc>
          <w:tcPr>
            <w:tcW w:w="1204" w:type="dxa"/>
            <w:shd w:val="clear" w:color="auto" w:fill="FFFFFF" w:themeFill="background1"/>
            <w:vAlign w:val="center"/>
          </w:tcPr>
          <w:p w14:paraId="435975EB"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递延收益</w:t>
            </w:r>
          </w:p>
        </w:tc>
        <w:tc>
          <w:tcPr>
            <w:tcW w:w="1520" w:type="dxa"/>
            <w:shd w:val="clear" w:color="auto" w:fill="FFFFFF" w:themeFill="background1"/>
            <w:vAlign w:val="center"/>
          </w:tcPr>
          <w:p w14:paraId="5A0D97A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62,748,553.07</w:t>
            </w:r>
          </w:p>
        </w:tc>
        <w:tc>
          <w:tcPr>
            <w:tcW w:w="1418" w:type="dxa"/>
            <w:shd w:val="clear" w:color="auto" w:fill="FFFFFF" w:themeFill="background1"/>
            <w:vAlign w:val="center"/>
          </w:tcPr>
          <w:p w14:paraId="5680C9D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3,000,000.00</w:t>
            </w:r>
          </w:p>
        </w:tc>
        <w:tc>
          <w:tcPr>
            <w:tcW w:w="1205" w:type="dxa"/>
            <w:shd w:val="clear" w:color="auto" w:fill="FFFFFF" w:themeFill="background1"/>
            <w:vAlign w:val="center"/>
          </w:tcPr>
          <w:p w14:paraId="25CC694B" w14:textId="77777777" w:rsidR="00632E5B" w:rsidRDefault="00632E5B">
            <w:pPr>
              <w:spacing w:line="240" w:lineRule="exact"/>
              <w:jc w:val="right"/>
              <w:rPr>
                <w:rFonts w:ascii="宋体" w:eastAsia="宋体" w:hAnsi="宋体" w:cs="宋体" w:hint="eastAsia"/>
                <w:sz w:val="18"/>
                <w:szCs w:val="18"/>
              </w:rPr>
            </w:pPr>
          </w:p>
        </w:tc>
        <w:tc>
          <w:tcPr>
            <w:tcW w:w="1488" w:type="dxa"/>
            <w:shd w:val="clear" w:color="auto" w:fill="FFFFFF" w:themeFill="background1"/>
            <w:vAlign w:val="center"/>
          </w:tcPr>
          <w:p w14:paraId="2DF0257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11,741,080.33</w:t>
            </w:r>
          </w:p>
        </w:tc>
        <w:tc>
          <w:tcPr>
            <w:tcW w:w="1205" w:type="dxa"/>
            <w:shd w:val="clear" w:color="auto" w:fill="FFFFFF" w:themeFill="background1"/>
            <w:vAlign w:val="center"/>
          </w:tcPr>
          <w:p w14:paraId="70D9D0B8" w14:textId="77777777" w:rsidR="00632E5B" w:rsidRDefault="00632E5B">
            <w:pPr>
              <w:spacing w:line="240" w:lineRule="exact"/>
              <w:jc w:val="right"/>
              <w:rPr>
                <w:rFonts w:ascii="宋体" w:eastAsia="宋体" w:hAnsi="宋体" w:cs="宋体" w:hint="eastAsia"/>
                <w:sz w:val="18"/>
                <w:szCs w:val="18"/>
              </w:rPr>
            </w:pPr>
          </w:p>
        </w:tc>
        <w:tc>
          <w:tcPr>
            <w:tcW w:w="1488" w:type="dxa"/>
            <w:shd w:val="clear" w:color="auto" w:fill="FFFFFF" w:themeFill="background1"/>
            <w:vAlign w:val="center"/>
          </w:tcPr>
          <w:p w14:paraId="6F290D2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54,007,472.74</w:t>
            </w:r>
          </w:p>
        </w:tc>
        <w:tc>
          <w:tcPr>
            <w:tcW w:w="1205" w:type="dxa"/>
            <w:shd w:val="clear" w:color="auto" w:fill="FFFFFF" w:themeFill="background1"/>
            <w:vAlign w:val="center"/>
          </w:tcPr>
          <w:p w14:paraId="14EAFAD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与资产相关</w:t>
            </w:r>
          </w:p>
        </w:tc>
      </w:tr>
    </w:tbl>
    <w:p w14:paraId="437E1963" w14:textId="77777777" w:rsidR="00632E5B" w:rsidRDefault="00107901">
      <w:pPr>
        <w:pStyle w:val="3"/>
        <w:spacing w:line="280" w:lineRule="exact"/>
        <w:jc w:val="left"/>
        <w:rPr>
          <w:rFonts w:ascii="宋体" w:hAnsi="宋体" w:cs="宋体" w:hint="eastAsia"/>
          <w:b/>
          <w:bCs/>
        </w:rPr>
      </w:pPr>
      <w:bookmarkStart w:id="356" w:name="_Toc989246"/>
      <w:r>
        <w:rPr>
          <w:rFonts w:ascii="宋体" w:hAnsi="宋体" w:cs="宋体"/>
          <w:b/>
          <w:bCs/>
        </w:rPr>
        <w:lastRenderedPageBreak/>
        <w:t>3、计入当期损益的政府补助</w:t>
      </w:r>
      <w:bookmarkEnd w:id="356"/>
    </w:p>
    <w:p w14:paraId="57A0D1D7"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4F9F0E01"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553EE96F" w14:textId="77777777" w:rsidTr="00F91968">
        <w:trPr>
          <w:trHeight w:val="240"/>
        </w:trPr>
        <w:tc>
          <w:tcPr>
            <w:tcW w:w="3213" w:type="dxa"/>
            <w:shd w:val="clear" w:color="auto" w:fill="FFFFFF" w:themeFill="background1"/>
            <w:vAlign w:val="center"/>
          </w:tcPr>
          <w:p w14:paraId="23E9219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会计科目</w:t>
            </w:r>
          </w:p>
        </w:tc>
        <w:tc>
          <w:tcPr>
            <w:tcW w:w="3213" w:type="dxa"/>
            <w:shd w:val="clear" w:color="auto" w:fill="FFFFFF" w:themeFill="background1"/>
            <w:vAlign w:val="center"/>
          </w:tcPr>
          <w:p w14:paraId="41BA86E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auto" w:fill="FFFFFF" w:themeFill="background1"/>
            <w:vAlign w:val="center"/>
          </w:tcPr>
          <w:p w14:paraId="2BD63F1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632E5B" w14:paraId="3937B7FC" w14:textId="77777777" w:rsidTr="00F91968">
        <w:trPr>
          <w:trHeight w:val="240"/>
        </w:trPr>
        <w:tc>
          <w:tcPr>
            <w:tcW w:w="3213" w:type="dxa"/>
            <w:shd w:val="clear" w:color="auto" w:fill="FFFFFF" w:themeFill="background1"/>
            <w:vAlign w:val="center"/>
          </w:tcPr>
          <w:p w14:paraId="698E3B3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其他收益</w:t>
            </w:r>
          </w:p>
        </w:tc>
        <w:tc>
          <w:tcPr>
            <w:tcW w:w="3213" w:type="dxa"/>
            <w:shd w:val="clear" w:color="auto" w:fill="FFFFFF" w:themeFill="background1"/>
            <w:vAlign w:val="center"/>
          </w:tcPr>
          <w:p w14:paraId="10836CE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19,357,390.90</w:t>
            </w:r>
          </w:p>
        </w:tc>
        <w:tc>
          <w:tcPr>
            <w:tcW w:w="3213" w:type="dxa"/>
            <w:shd w:val="clear" w:color="auto" w:fill="FFFFFF" w:themeFill="background1"/>
            <w:vAlign w:val="center"/>
          </w:tcPr>
          <w:p w14:paraId="1CF68AC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23,642,824.39</w:t>
            </w:r>
          </w:p>
        </w:tc>
      </w:tr>
      <w:tr w:rsidR="00632E5B" w14:paraId="3723ED18" w14:textId="77777777" w:rsidTr="00F91968">
        <w:trPr>
          <w:trHeight w:val="240"/>
        </w:trPr>
        <w:tc>
          <w:tcPr>
            <w:tcW w:w="3213" w:type="dxa"/>
            <w:shd w:val="clear" w:color="auto" w:fill="FFFFFF" w:themeFill="background1"/>
            <w:vAlign w:val="center"/>
          </w:tcPr>
          <w:p w14:paraId="299A0C6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营业外收入</w:t>
            </w:r>
          </w:p>
        </w:tc>
        <w:tc>
          <w:tcPr>
            <w:tcW w:w="3213" w:type="dxa"/>
            <w:shd w:val="clear" w:color="auto" w:fill="FFFFFF" w:themeFill="background1"/>
            <w:vAlign w:val="center"/>
          </w:tcPr>
          <w:p w14:paraId="15DA745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2,534,550.00</w:t>
            </w:r>
          </w:p>
        </w:tc>
        <w:tc>
          <w:tcPr>
            <w:tcW w:w="3213" w:type="dxa"/>
            <w:shd w:val="clear" w:color="auto" w:fill="FFFFFF" w:themeFill="background1"/>
            <w:vAlign w:val="center"/>
          </w:tcPr>
          <w:p w14:paraId="78AD9B1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4,138,763.00</w:t>
            </w:r>
          </w:p>
        </w:tc>
      </w:tr>
      <w:tr w:rsidR="00632E5B" w14:paraId="73D46692" w14:textId="77777777" w:rsidTr="00F91968">
        <w:trPr>
          <w:trHeight w:val="240"/>
        </w:trPr>
        <w:tc>
          <w:tcPr>
            <w:tcW w:w="3213" w:type="dxa"/>
            <w:shd w:val="clear" w:color="auto" w:fill="FFFFFF" w:themeFill="background1"/>
            <w:vAlign w:val="center"/>
          </w:tcPr>
          <w:p w14:paraId="784B717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014D6BA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21,891,940.90</w:t>
            </w:r>
          </w:p>
        </w:tc>
        <w:tc>
          <w:tcPr>
            <w:tcW w:w="3213" w:type="dxa"/>
            <w:shd w:val="clear" w:color="auto" w:fill="FFFFFF" w:themeFill="background1"/>
            <w:vAlign w:val="center"/>
          </w:tcPr>
          <w:p w14:paraId="1226C15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27,781,587.39</w:t>
            </w:r>
          </w:p>
        </w:tc>
      </w:tr>
    </w:tbl>
    <w:p w14:paraId="1E2C2039" w14:textId="77777777" w:rsidR="00632E5B" w:rsidRDefault="00107901">
      <w:pPr>
        <w:pStyle w:val="2"/>
        <w:spacing w:before="300" w:after="300" w:line="320" w:lineRule="exact"/>
        <w:rPr>
          <w:rFonts w:ascii="宋体" w:eastAsia="宋体" w:hAnsi="宋体" w:cs="宋体" w:hint="eastAsia"/>
          <w:b/>
          <w:bCs/>
          <w:sz w:val="24"/>
          <w:szCs w:val="24"/>
        </w:rPr>
      </w:pPr>
      <w:bookmarkStart w:id="357" w:name="_Toc989247"/>
      <w:r>
        <w:rPr>
          <w:rFonts w:ascii="宋体" w:eastAsia="宋体" w:hAnsi="宋体" w:cs="宋体"/>
          <w:b/>
          <w:bCs/>
          <w:sz w:val="24"/>
          <w:szCs w:val="24"/>
        </w:rPr>
        <w:t>十一、与金融工具相关的风险</w:t>
      </w:r>
      <w:bookmarkEnd w:id="357"/>
    </w:p>
    <w:p w14:paraId="1DDCEBAC" w14:textId="77777777" w:rsidR="00632E5B" w:rsidRDefault="00107901">
      <w:pPr>
        <w:pStyle w:val="3"/>
        <w:spacing w:line="280" w:lineRule="exact"/>
        <w:jc w:val="left"/>
        <w:rPr>
          <w:rFonts w:ascii="宋体" w:hAnsi="宋体" w:cs="宋体" w:hint="eastAsia"/>
          <w:b/>
          <w:bCs/>
        </w:rPr>
      </w:pPr>
      <w:bookmarkStart w:id="358" w:name="_Toc989248"/>
      <w:r>
        <w:rPr>
          <w:rFonts w:ascii="宋体" w:hAnsi="宋体" w:cs="宋体"/>
          <w:b/>
          <w:bCs/>
        </w:rPr>
        <w:t>1、金融工具产生的各类风险</w:t>
      </w:r>
      <w:bookmarkEnd w:id="358"/>
    </w:p>
    <w:p w14:paraId="3F49EB78" w14:textId="77777777" w:rsidR="00E72F0C" w:rsidRDefault="00107901" w:rsidP="00695EAE">
      <w:pPr>
        <w:pStyle w:val="a3"/>
        <w:spacing w:before="0" w:beforeAutospacing="0" w:after="0" w:afterAutospacing="0"/>
        <w:divId w:val="636767848"/>
        <w:rPr>
          <w:rFonts w:hint="eastAsia"/>
          <w:sz w:val="18"/>
          <w:szCs w:val="18"/>
        </w:rPr>
      </w:pPr>
      <w:r>
        <w:rPr>
          <w:rFonts w:hint="eastAsia"/>
          <w:sz w:val="18"/>
          <w:szCs w:val="18"/>
        </w:rPr>
        <w:t>  本公司的主要金融工具包括权益投资、借款、应收账款及其他应收款、应付账款及其他应付款、银行存款等。这些金融工具在经营过程中面临各种金融风险：信用风险、流动性风险和市场风险（包括汇率风险、利率风险和其他价格风险）。本公司管理层负责管理及监控这些风险，以确保及时有效的采取适当措施。</w:t>
      </w:r>
      <w:r>
        <w:rPr>
          <w:rFonts w:hint="eastAsia"/>
          <w:sz w:val="18"/>
          <w:szCs w:val="18"/>
        </w:rPr>
        <w:br/>
        <w:t>  （1）信用风险</w:t>
      </w:r>
      <w:r>
        <w:rPr>
          <w:rFonts w:hint="eastAsia"/>
          <w:sz w:val="18"/>
          <w:szCs w:val="18"/>
        </w:rPr>
        <w:br/>
        <w:t>  信用风险是指金融工具的一方不履行义务，造成另一方发生财务损失的风险。</w:t>
      </w:r>
      <w:r>
        <w:rPr>
          <w:rFonts w:hint="eastAsia"/>
          <w:sz w:val="18"/>
          <w:szCs w:val="18"/>
        </w:rPr>
        <w:br/>
        <w:t>  可能引起本公司财务损失的最大信用风险敞口主要来自于合同另一方未能履行义务而导致本公司金融资产产生的损失，具体包括：合并资产负债表中已确认的金融资产的账面金额，对外提供财务担保金额。</w:t>
      </w:r>
      <w:r>
        <w:rPr>
          <w:rFonts w:hint="eastAsia"/>
          <w:sz w:val="18"/>
          <w:szCs w:val="18"/>
        </w:rPr>
        <w:br/>
        <w:t>  为降低信用风险，本公司制定信用管理制度，对客户进行信用评估，评估内容包括历史信用状况、实地调查、财务报表分析、法律诉讼情况等，针对不同信用等级给予相应的销售政策，控制信用额度，执行严格的信用审批，及时更新信用评估，管理层持续监控应收款项的信用风险。</w:t>
      </w:r>
      <w:r>
        <w:rPr>
          <w:rFonts w:hint="eastAsia"/>
          <w:sz w:val="18"/>
          <w:szCs w:val="18"/>
        </w:rPr>
        <w:br/>
        <w:t>  公司销售客户分为境内客户、境外客户，境内客户的销售政策包括：预收销售、现款现货及信用销售，在信用销售情况下合理安排信用额度、信用期，并有专人监控回款情况以确保采取必要的措施回收过期债权。境外客户有两种销售方式：①信用证销售，收到信用证后发货或提交提单；②信用销售，给予客户一定的账期，通过购买保险等方式，将客户信用风险降低至可接受范围，公司定期分析账龄，于每个资产负债表日计提充足的坏账准备。</w:t>
      </w:r>
      <w:r>
        <w:rPr>
          <w:rFonts w:hint="eastAsia"/>
          <w:sz w:val="18"/>
          <w:szCs w:val="18"/>
        </w:rPr>
        <w:br/>
        <w:t>  本公司的现金及现金等价物存放于信用评级较高的中国大陆银行、海外银行，风险集中度及信用风险较低。</w:t>
      </w:r>
      <w:r>
        <w:rPr>
          <w:rFonts w:hint="eastAsia"/>
          <w:sz w:val="18"/>
          <w:szCs w:val="18"/>
        </w:rPr>
        <w:br/>
        <w:t>本公司持续对被担保单位进行信用评估，及时获取被担保单位财务资料，对其财务状况及时、动态进行评估，建立预警标准，确保被担保单位财务状况符合公司对外担保条件。采取包括但不限于被担保单位提供反担保增信措施，降低公司对外担保风险。</w:t>
      </w:r>
      <w:r>
        <w:rPr>
          <w:rFonts w:hint="eastAsia"/>
          <w:sz w:val="18"/>
          <w:szCs w:val="18"/>
        </w:rPr>
        <w:br/>
        <w:t>  （2）流动性风险</w:t>
      </w:r>
      <w:r>
        <w:rPr>
          <w:rFonts w:hint="eastAsia"/>
          <w:sz w:val="18"/>
          <w:szCs w:val="18"/>
        </w:rPr>
        <w:br/>
        <w:t>  流动风险，是指企业在履行以交付现金或其他金融资产的方式结算的义务时发生资金短缺的风险。</w:t>
      </w:r>
      <w:r>
        <w:rPr>
          <w:rFonts w:hint="eastAsia"/>
          <w:sz w:val="18"/>
          <w:szCs w:val="18"/>
        </w:rPr>
        <w:br/>
        <w:t>  公司流动风险管理的目标是保持充分的流动资金满足公司的经营需要，平衡流动资产、流动负债，并降低现金流量波动的影响。</w:t>
      </w:r>
      <w:r>
        <w:rPr>
          <w:rFonts w:hint="eastAsia"/>
          <w:sz w:val="18"/>
          <w:szCs w:val="18"/>
        </w:rPr>
        <w:br/>
        <w:t>  公司制定了流动风险管理制度，于每年年初根据当年的经营计划、借款到期情况预测年度内的资金需求总量，本公司管理层根据年度资金需求妥善安排筹资规模、结构、方式、期限，按月编制现金流量预测表，监测现金流变化情况，主动调整资产负债结构，满足流动性需求。</w:t>
      </w:r>
      <w:r>
        <w:rPr>
          <w:rFonts w:hint="eastAsia"/>
          <w:sz w:val="18"/>
          <w:szCs w:val="18"/>
        </w:rPr>
        <w:br/>
        <w:t>  本公司将银行借款作为重要的资金来源，公司与外部银行已建立稳定的合作关系，公司外部融资渠道通畅，本公司管理层对银行借款的使用情况进行监控并确保遵守借款协议。</w:t>
      </w:r>
      <w:r>
        <w:rPr>
          <w:rFonts w:hint="eastAsia"/>
          <w:sz w:val="18"/>
          <w:szCs w:val="18"/>
        </w:rPr>
        <w:br/>
        <w:t>  （3）市场风险</w:t>
      </w:r>
      <w:r>
        <w:rPr>
          <w:rFonts w:hint="eastAsia"/>
          <w:sz w:val="18"/>
          <w:szCs w:val="18"/>
        </w:rPr>
        <w:br/>
        <w:t>  市场风险是指金融工具的公允价值或未来现金流量因市场价格变动而发生波动的风险，包括汇率风险、利率风险和其他价格风险。</w:t>
      </w:r>
      <w:r>
        <w:rPr>
          <w:rFonts w:hint="eastAsia"/>
          <w:sz w:val="18"/>
          <w:szCs w:val="18"/>
        </w:rPr>
        <w:br/>
        <w:t>  ①汇率风险</w:t>
      </w:r>
      <w:r>
        <w:rPr>
          <w:rFonts w:hint="eastAsia"/>
          <w:sz w:val="18"/>
          <w:szCs w:val="18"/>
        </w:rPr>
        <w:br/>
        <w:t>  汇率风险是指影响本公司财务成果和现金流量的外汇汇率变动而引起价值波动的风险。</w:t>
      </w:r>
      <w:r>
        <w:rPr>
          <w:rFonts w:hint="eastAsia"/>
          <w:sz w:val="18"/>
          <w:szCs w:val="18"/>
        </w:rPr>
        <w:br/>
      </w:r>
      <w:r>
        <w:rPr>
          <w:rFonts w:hint="eastAsia"/>
          <w:sz w:val="18"/>
          <w:szCs w:val="18"/>
        </w:rPr>
        <w:lastRenderedPageBreak/>
        <w:t>  本公司面临的外汇风险主要来自于外币销售、采购、借贷活动，体现在由此形成的应收账款、应付账款、银行借款、长期应付款及现金结余受外币与本公司的功能货币之间的汇率变动影响而产生的风险。本公司对外业务以美元、欧元、港币为主，汇率风险主要受美元、欧元、泰铢等汇率影响。本公司由指定成员密切关注汇率的变动，并在可能范围内调节持有外币资产与负债余额、运用对冲工具。</w:t>
      </w:r>
      <w:r>
        <w:rPr>
          <w:rFonts w:hint="eastAsia"/>
          <w:sz w:val="18"/>
          <w:szCs w:val="18"/>
        </w:rPr>
        <w:br/>
        <w:t>本公司期末外币货币性资产和负债情况见本财务报表附注合并财务报表项目注释之外币货币性项目说明。</w:t>
      </w:r>
      <w:r>
        <w:rPr>
          <w:rFonts w:hint="eastAsia"/>
          <w:sz w:val="18"/>
          <w:szCs w:val="18"/>
        </w:rPr>
        <w:br/>
        <w:t>  ②利率风险</w:t>
      </w:r>
      <w:r>
        <w:rPr>
          <w:rFonts w:hint="eastAsia"/>
          <w:sz w:val="18"/>
          <w:szCs w:val="18"/>
        </w:rPr>
        <w:br/>
        <w:t>  利率风险，是指金融工具的公允价值或未来现金流量因市场利率变动而发生波动的风险。</w:t>
      </w:r>
      <w:r>
        <w:rPr>
          <w:rFonts w:hint="eastAsia"/>
          <w:sz w:val="18"/>
          <w:szCs w:val="18"/>
        </w:rPr>
        <w:br/>
        <w:t>  公司借款以浮动利率为主，固定利率借款较少，且周期较短。管理层综合考虑认为公司面临的公允价值变动风险并不重大，本公司目前并无利率对冲的政策。</w:t>
      </w:r>
      <w:r>
        <w:rPr>
          <w:rFonts w:hint="eastAsia"/>
          <w:sz w:val="18"/>
          <w:szCs w:val="18"/>
        </w:rPr>
        <w:br/>
        <w:t>  ③其他价格风险</w:t>
      </w:r>
      <w:r>
        <w:rPr>
          <w:rFonts w:hint="eastAsia"/>
          <w:sz w:val="18"/>
          <w:szCs w:val="18"/>
        </w:rPr>
        <w:br/>
        <w:t>  其他价格风险，是指汇率风险和利率风险以外的市场价格变动而发生波动的风险，无论这些变动是由于与单项金融工具或其发行方有关的因素而引起的，还是由于与市场内交易的所有类似金融工具有关的因素而引起的。</w:t>
      </w:r>
      <w:r>
        <w:rPr>
          <w:rFonts w:hint="eastAsia"/>
          <w:sz w:val="18"/>
          <w:szCs w:val="18"/>
        </w:rPr>
        <w:br/>
        <w:t>  本公司持有的交易性金融资产、其他非流动金融资产、其他权益工具投资，在资产负债表日以其公允价值列示。因此，本公司承担证券市场变动的风险。本公司持有的其他权益工具投资为非交易性权益工具，包括上市公司股票、可转债及非公开市场定期发行的非上市公司股权，本公司由指定成员密切监控投资产品之价格变动。</w:t>
      </w:r>
    </w:p>
    <w:p w14:paraId="11DB2719" w14:textId="77777777" w:rsidR="00632E5B" w:rsidRDefault="00107901">
      <w:pPr>
        <w:pStyle w:val="2"/>
        <w:spacing w:before="300" w:after="300" w:line="320" w:lineRule="exact"/>
        <w:rPr>
          <w:rFonts w:ascii="宋体" w:eastAsia="宋体" w:hAnsi="宋体" w:cs="宋体" w:hint="eastAsia"/>
          <w:b/>
          <w:bCs/>
          <w:sz w:val="24"/>
          <w:szCs w:val="24"/>
        </w:rPr>
      </w:pPr>
      <w:bookmarkStart w:id="359" w:name="_Toc989249"/>
      <w:r>
        <w:rPr>
          <w:rFonts w:ascii="宋体" w:eastAsia="宋体" w:hAnsi="宋体" w:cs="宋体"/>
          <w:b/>
          <w:bCs/>
          <w:sz w:val="24"/>
          <w:szCs w:val="24"/>
        </w:rPr>
        <w:t>十二、公允价值的披露</w:t>
      </w:r>
      <w:bookmarkEnd w:id="359"/>
    </w:p>
    <w:p w14:paraId="1F77AF05" w14:textId="77777777" w:rsidR="00632E5B" w:rsidRDefault="00107901">
      <w:pPr>
        <w:pStyle w:val="3"/>
        <w:spacing w:line="280" w:lineRule="exact"/>
        <w:jc w:val="left"/>
        <w:rPr>
          <w:rFonts w:ascii="宋体" w:hAnsi="宋体" w:cs="宋体" w:hint="eastAsia"/>
          <w:b/>
          <w:bCs/>
        </w:rPr>
      </w:pPr>
      <w:bookmarkStart w:id="360" w:name="_Toc989250"/>
      <w:r>
        <w:rPr>
          <w:rFonts w:ascii="宋体" w:hAnsi="宋体" w:cs="宋体"/>
          <w:b/>
          <w:bCs/>
        </w:rPr>
        <w:t>1、以公允价值计量的资产和负债的期末公允价值</w:t>
      </w:r>
      <w:bookmarkEnd w:id="360"/>
    </w:p>
    <w:p w14:paraId="4D820A7D"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927"/>
        <w:gridCol w:w="1928"/>
        <w:gridCol w:w="1928"/>
        <w:gridCol w:w="1928"/>
        <w:gridCol w:w="1928"/>
      </w:tblGrid>
      <w:tr w:rsidR="00632E5B" w14:paraId="5B247E6B" w14:textId="77777777" w:rsidTr="00F91968">
        <w:trPr>
          <w:trHeight w:val="240"/>
        </w:trPr>
        <w:tc>
          <w:tcPr>
            <w:tcW w:w="1928" w:type="dxa"/>
            <w:vMerge w:val="restart"/>
            <w:shd w:val="clear" w:color="auto" w:fill="FFFFFF" w:themeFill="background1"/>
            <w:vAlign w:val="center"/>
          </w:tcPr>
          <w:p w14:paraId="10D935A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7711" w:type="dxa"/>
            <w:gridSpan w:val="4"/>
            <w:shd w:val="clear" w:color="auto" w:fill="FFFFFF" w:themeFill="background1"/>
            <w:vAlign w:val="center"/>
          </w:tcPr>
          <w:p w14:paraId="77ED06A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期末公允价值</w:t>
            </w:r>
          </w:p>
        </w:tc>
      </w:tr>
      <w:tr w:rsidR="00632E5B" w14:paraId="42E5A9EC" w14:textId="77777777" w:rsidTr="00F91968">
        <w:trPr>
          <w:trHeight w:val="240"/>
        </w:trPr>
        <w:tc>
          <w:tcPr>
            <w:tcW w:w="1928" w:type="dxa"/>
            <w:vMerge/>
            <w:shd w:val="clear" w:color="auto" w:fill="FFFFFF" w:themeFill="background1"/>
            <w:vAlign w:val="center"/>
          </w:tcPr>
          <w:p w14:paraId="2212BB98" w14:textId="77777777" w:rsidR="00632E5B" w:rsidRDefault="00632E5B"/>
        </w:tc>
        <w:tc>
          <w:tcPr>
            <w:tcW w:w="1928" w:type="dxa"/>
            <w:shd w:val="clear" w:color="auto" w:fill="FFFFFF" w:themeFill="background1"/>
            <w:vAlign w:val="center"/>
          </w:tcPr>
          <w:p w14:paraId="43B37F3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第一层次公允价值计量</w:t>
            </w:r>
          </w:p>
        </w:tc>
        <w:tc>
          <w:tcPr>
            <w:tcW w:w="1928" w:type="dxa"/>
            <w:shd w:val="clear" w:color="auto" w:fill="FFFFFF" w:themeFill="background1"/>
            <w:vAlign w:val="center"/>
          </w:tcPr>
          <w:p w14:paraId="58239E3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第二层次公允价值计量</w:t>
            </w:r>
          </w:p>
        </w:tc>
        <w:tc>
          <w:tcPr>
            <w:tcW w:w="1928" w:type="dxa"/>
            <w:shd w:val="clear" w:color="auto" w:fill="FFFFFF" w:themeFill="background1"/>
            <w:vAlign w:val="center"/>
          </w:tcPr>
          <w:p w14:paraId="6979AA4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第三层次公允价值计量</w:t>
            </w:r>
          </w:p>
        </w:tc>
        <w:tc>
          <w:tcPr>
            <w:tcW w:w="1928" w:type="dxa"/>
            <w:shd w:val="clear" w:color="auto" w:fill="FFFFFF" w:themeFill="background1"/>
            <w:vAlign w:val="center"/>
          </w:tcPr>
          <w:p w14:paraId="7B85464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合计</w:t>
            </w:r>
          </w:p>
        </w:tc>
      </w:tr>
      <w:tr w:rsidR="00632E5B" w14:paraId="783389D3" w14:textId="77777777" w:rsidTr="00F91968">
        <w:trPr>
          <w:trHeight w:val="240"/>
        </w:trPr>
        <w:tc>
          <w:tcPr>
            <w:tcW w:w="1928" w:type="dxa"/>
            <w:shd w:val="clear" w:color="auto" w:fill="FFFFFF" w:themeFill="background1"/>
            <w:vAlign w:val="center"/>
          </w:tcPr>
          <w:p w14:paraId="7FB48917"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一、持续的公允价值计量</w:t>
            </w:r>
          </w:p>
        </w:tc>
        <w:tc>
          <w:tcPr>
            <w:tcW w:w="1928" w:type="dxa"/>
            <w:shd w:val="clear" w:color="auto" w:fill="FFFFFF" w:themeFill="background1"/>
            <w:vAlign w:val="center"/>
          </w:tcPr>
          <w:p w14:paraId="4BFC26B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1928" w:type="dxa"/>
            <w:shd w:val="clear" w:color="auto" w:fill="FFFFFF" w:themeFill="background1"/>
            <w:vAlign w:val="center"/>
          </w:tcPr>
          <w:p w14:paraId="236577D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1928" w:type="dxa"/>
            <w:shd w:val="clear" w:color="auto" w:fill="FFFFFF" w:themeFill="background1"/>
            <w:vAlign w:val="center"/>
          </w:tcPr>
          <w:p w14:paraId="06B46D7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1928" w:type="dxa"/>
            <w:shd w:val="clear" w:color="auto" w:fill="FFFFFF" w:themeFill="background1"/>
            <w:vAlign w:val="center"/>
          </w:tcPr>
          <w:p w14:paraId="52D95F8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r>
      <w:tr w:rsidR="00632E5B" w14:paraId="033E57A2" w14:textId="77777777" w:rsidTr="00F91968">
        <w:trPr>
          <w:trHeight w:val="240"/>
        </w:trPr>
        <w:tc>
          <w:tcPr>
            <w:tcW w:w="1928" w:type="dxa"/>
            <w:shd w:val="clear" w:color="auto" w:fill="FFFFFF" w:themeFill="background1"/>
            <w:vAlign w:val="center"/>
          </w:tcPr>
          <w:p w14:paraId="6C3B492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（一）交易性金融资产</w:t>
            </w:r>
          </w:p>
        </w:tc>
        <w:tc>
          <w:tcPr>
            <w:tcW w:w="1928" w:type="dxa"/>
            <w:shd w:val="clear" w:color="auto" w:fill="FFFFFF" w:themeFill="background1"/>
            <w:vAlign w:val="center"/>
          </w:tcPr>
          <w:p w14:paraId="3973485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29,326,500.00</w:t>
            </w:r>
          </w:p>
        </w:tc>
        <w:tc>
          <w:tcPr>
            <w:tcW w:w="1928" w:type="dxa"/>
            <w:shd w:val="clear" w:color="auto" w:fill="FFFFFF" w:themeFill="background1"/>
            <w:vAlign w:val="center"/>
          </w:tcPr>
          <w:p w14:paraId="16AB41B2" w14:textId="77777777" w:rsidR="00632E5B" w:rsidRDefault="00632E5B">
            <w:pPr>
              <w:spacing w:line="240" w:lineRule="exact"/>
              <w:jc w:val="right"/>
              <w:rPr>
                <w:rFonts w:ascii="宋体" w:eastAsia="宋体" w:hAnsi="宋体" w:cs="宋体" w:hint="eastAsia"/>
                <w:sz w:val="18"/>
                <w:szCs w:val="18"/>
              </w:rPr>
            </w:pPr>
          </w:p>
        </w:tc>
        <w:tc>
          <w:tcPr>
            <w:tcW w:w="1928" w:type="dxa"/>
            <w:shd w:val="clear" w:color="auto" w:fill="FFFFFF" w:themeFill="background1"/>
            <w:vAlign w:val="center"/>
          </w:tcPr>
          <w:p w14:paraId="43040874" w14:textId="77777777" w:rsidR="00632E5B" w:rsidRDefault="00632E5B">
            <w:pPr>
              <w:spacing w:line="240" w:lineRule="exact"/>
              <w:jc w:val="right"/>
              <w:rPr>
                <w:rFonts w:ascii="宋体" w:eastAsia="宋体" w:hAnsi="宋体" w:cs="宋体" w:hint="eastAsia"/>
                <w:sz w:val="18"/>
                <w:szCs w:val="18"/>
              </w:rPr>
            </w:pPr>
          </w:p>
        </w:tc>
        <w:tc>
          <w:tcPr>
            <w:tcW w:w="1928" w:type="dxa"/>
            <w:shd w:val="clear" w:color="auto" w:fill="FFFFFF" w:themeFill="background1"/>
            <w:vAlign w:val="center"/>
          </w:tcPr>
          <w:p w14:paraId="0CC52C3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29,326,500.00</w:t>
            </w:r>
          </w:p>
        </w:tc>
      </w:tr>
      <w:tr w:rsidR="00632E5B" w14:paraId="04BFF3D6" w14:textId="77777777" w:rsidTr="00F91968">
        <w:trPr>
          <w:trHeight w:val="240"/>
        </w:trPr>
        <w:tc>
          <w:tcPr>
            <w:tcW w:w="1928" w:type="dxa"/>
            <w:shd w:val="clear" w:color="auto" w:fill="FFFFFF" w:themeFill="background1"/>
            <w:vAlign w:val="center"/>
          </w:tcPr>
          <w:p w14:paraId="09B49BED"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1.以公允价值计量且其变动计入当期损益的金融资产</w:t>
            </w:r>
          </w:p>
        </w:tc>
        <w:tc>
          <w:tcPr>
            <w:tcW w:w="1928" w:type="dxa"/>
            <w:shd w:val="clear" w:color="auto" w:fill="FFFFFF" w:themeFill="background1"/>
            <w:vAlign w:val="center"/>
          </w:tcPr>
          <w:p w14:paraId="70CE7DC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29,326,500.00</w:t>
            </w:r>
          </w:p>
        </w:tc>
        <w:tc>
          <w:tcPr>
            <w:tcW w:w="1928" w:type="dxa"/>
            <w:shd w:val="clear" w:color="auto" w:fill="FFFFFF" w:themeFill="background1"/>
            <w:vAlign w:val="center"/>
          </w:tcPr>
          <w:p w14:paraId="3CBD4D33" w14:textId="77777777" w:rsidR="00632E5B" w:rsidRDefault="00632E5B">
            <w:pPr>
              <w:spacing w:line="240" w:lineRule="exact"/>
              <w:jc w:val="right"/>
              <w:rPr>
                <w:rFonts w:ascii="宋体" w:eastAsia="宋体" w:hAnsi="宋体" w:cs="宋体" w:hint="eastAsia"/>
                <w:sz w:val="18"/>
                <w:szCs w:val="18"/>
              </w:rPr>
            </w:pPr>
          </w:p>
        </w:tc>
        <w:tc>
          <w:tcPr>
            <w:tcW w:w="1928" w:type="dxa"/>
            <w:shd w:val="clear" w:color="auto" w:fill="FFFFFF" w:themeFill="background1"/>
            <w:vAlign w:val="center"/>
          </w:tcPr>
          <w:p w14:paraId="45477485" w14:textId="77777777" w:rsidR="00632E5B" w:rsidRDefault="00632E5B">
            <w:pPr>
              <w:spacing w:line="240" w:lineRule="exact"/>
              <w:jc w:val="right"/>
              <w:rPr>
                <w:rFonts w:ascii="宋体" w:eastAsia="宋体" w:hAnsi="宋体" w:cs="宋体" w:hint="eastAsia"/>
                <w:sz w:val="18"/>
                <w:szCs w:val="18"/>
              </w:rPr>
            </w:pPr>
          </w:p>
        </w:tc>
        <w:tc>
          <w:tcPr>
            <w:tcW w:w="1928" w:type="dxa"/>
            <w:shd w:val="clear" w:color="auto" w:fill="FFFFFF" w:themeFill="background1"/>
            <w:vAlign w:val="center"/>
          </w:tcPr>
          <w:p w14:paraId="614DE7B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29,326,500.00</w:t>
            </w:r>
          </w:p>
        </w:tc>
      </w:tr>
      <w:tr w:rsidR="00632E5B" w14:paraId="10980A3A" w14:textId="77777777" w:rsidTr="00F91968">
        <w:trPr>
          <w:trHeight w:val="240"/>
        </w:trPr>
        <w:tc>
          <w:tcPr>
            <w:tcW w:w="1928" w:type="dxa"/>
            <w:shd w:val="clear" w:color="auto" w:fill="FFFFFF" w:themeFill="background1"/>
            <w:vAlign w:val="center"/>
          </w:tcPr>
          <w:p w14:paraId="52FA18BB"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（2）权益工具投资</w:t>
            </w:r>
          </w:p>
        </w:tc>
        <w:tc>
          <w:tcPr>
            <w:tcW w:w="1928" w:type="dxa"/>
            <w:shd w:val="clear" w:color="auto" w:fill="FFFFFF" w:themeFill="background1"/>
            <w:vAlign w:val="center"/>
          </w:tcPr>
          <w:p w14:paraId="5F939C6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29,326,500.00</w:t>
            </w:r>
          </w:p>
        </w:tc>
        <w:tc>
          <w:tcPr>
            <w:tcW w:w="1928" w:type="dxa"/>
            <w:shd w:val="clear" w:color="auto" w:fill="FFFFFF" w:themeFill="background1"/>
            <w:vAlign w:val="center"/>
          </w:tcPr>
          <w:p w14:paraId="3CE49095" w14:textId="77777777" w:rsidR="00632E5B" w:rsidRDefault="00632E5B">
            <w:pPr>
              <w:spacing w:line="240" w:lineRule="exact"/>
              <w:jc w:val="right"/>
              <w:rPr>
                <w:rFonts w:ascii="宋体" w:eastAsia="宋体" w:hAnsi="宋体" w:cs="宋体" w:hint="eastAsia"/>
                <w:sz w:val="18"/>
                <w:szCs w:val="18"/>
              </w:rPr>
            </w:pPr>
          </w:p>
        </w:tc>
        <w:tc>
          <w:tcPr>
            <w:tcW w:w="1928" w:type="dxa"/>
            <w:shd w:val="clear" w:color="auto" w:fill="FFFFFF" w:themeFill="background1"/>
            <w:vAlign w:val="center"/>
          </w:tcPr>
          <w:p w14:paraId="278B8A8F" w14:textId="77777777" w:rsidR="00632E5B" w:rsidRDefault="00632E5B">
            <w:pPr>
              <w:spacing w:line="240" w:lineRule="exact"/>
              <w:jc w:val="right"/>
              <w:rPr>
                <w:rFonts w:ascii="宋体" w:eastAsia="宋体" w:hAnsi="宋体" w:cs="宋体" w:hint="eastAsia"/>
                <w:sz w:val="18"/>
                <w:szCs w:val="18"/>
              </w:rPr>
            </w:pPr>
          </w:p>
        </w:tc>
        <w:tc>
          <w:tcPr>
            <w:tcW w:w="1928" w:type="dxa"/>
            <w:shd w:val="clear" w:color="auto" w:fill="FFFFFF" w:themeFill="background1"/>
            <w:vAlign w:val="center"/>
          </w:tcPr>
          <w:p w14:paraId="2F4F4F0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29,326,500.00</w:t>
            </w:r>
          </w:p>
        </w:tc>
      </w:tr>
      <w:tr w:rsidR="00632E5B" w14:paraId="4F3D0B6D" w14:textId="77777777" w:rsidTr="00F91968">
        <w:trPr>
          <w:trHeight w:val="240"/>
        </w:trPr>
        <w:tc>
          <w:tcPr>
            <w:tcW w:w="1928" w:type="dxa"/>
            <w:shd w:val="clear" w:color="auto" w:fill="FFFFFF" w:themeFill="background1"/>
            <w:vAlign w:val="center"/>
          </w:tcPr>
          <w:p w14:paraId="33CD138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（二）应收款项融资</w:t>
            </w:r>
          </w:p>
        </w:tc>
        <w:tc>
          <w:tcPr>
            <w:tcW w:w="1928" w:type="dxa"/>
            <w:shd w:val="clear" w:color="auto" w:fill="FFFFFF" w:themeFill="background1"/>
            <w:vAlign w:val="center"/>
          </w:tcPr>
          <w:p w14:paraId="5D724428" w14:textId="77777777" w:rsidR="00632E5B" w:rsidRDefault="00632E5B">
            <w:pPr>
              <w:spacing w:line="240" w:lineRule="exact"/>
              <w:jc w:val="right"/>
              <w:rPr>
                <w:rFonts w:ascii="宋体" w:eastAsia="宋体" w:hAnsi="宋体" w:cs="宋体" w:hint="eastAsia"/>
                <w:sz w:val="18"/>
                <w:szCs w:val="18"/>
              </w:rPr>
            </w:pPr>
          </w:p>
        </w:tc>
        <w:tc>
          <w:tcPr>
            <w:tcW w:w="1928" w:type="dxa"/>
            <w:shd w:val="clear" w:color="auto" w:fill="FFFFFF" w:themeFill="background1"/>
            <w:vAlign w:val="center"/>
          </w:tcPr>
          <w:p w14:paraId="03AD9BE2" w14:textId="77777777" w:rsidR="00632E5B" w:rsidRDefault="00632E5B">
            <w:pPr>
              <w:spacing w:line="240" w:lineRule="exact"/>
              <w:jc w:val="right"/>
              <w:rPr>
                <w:rFonts w:ascii="宋体" w:eastAsia="宋体" w:hAnsi="宋体" w:cs="宋体" w:hint="eastAsia"/>
                <w:sz w:val="18"/>
                <w:szCs w:val="18"/>
              </w:rPr>
            </w:pPr>
          </w:p>
        </w:tc>
        <w:tc>
          <w:tcPr>
            <w:tcW w:w="1928" w:type="dxa"/>
            <w:shd w:val="clear" w:color="auto" w:fill="FFFFFF" w:themeFill="background1"/>
            <w:vAlign w:val="center"/>
          </w:tcPr>
          <w:p w14:paraId="3641EF6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55,105,085.82</w:t>
            </w:r>
          </w:p>
        </w:tc>
        <w:tc>
          <w:tcPr>
            <w:tcW w:w="1928" w:type="dxa"/>
            <w:shd w:val="clear" w:color="auto" w:fill="FFFFFF" w:themeFill="background1"/>
            <w:vAlign w:val="center"/>
          </w:tcPr>
          <w:p w14:paraId="1A8A85D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55,105,085.82</w:t>
            </w:r>
          </w:p>
        </w:tc>
      </w:tr>
      <w:tr w:rsidR="00632E5B" w14:paraId="7D8FEDAC" w14:textId="77777777" w:rsidTr="00F91968">
        <w:trPr>
          <w:trHeight w:val="240"/>
        </w:trPr>
        <w:tc>
          <w:tcPr>
            <w:tcW w:w="1928" w:type="dxa"/>
            <w:shd w:val="clear" w:color="auto" w:fill="FFFFFF" w:themeFill="background1"/>
            <w:vAlign w:val="center"/>
          </w:tcPr>
          <w:p w14:paraId="73EC46A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（三）其他权益工具投资</w:t>
            </w:r>
          </w:p>
        </w:tc>
        <w:tc>
          <w:tcPr>
            <w:tcW w:w="1928" w:type="dxa"/>
            <w:shd w:val="clear" w:color="auto" w:fill="FFFFFF" w:themeFill="background1"/>
            <w:vAlign w:val="center"/>
          </w:tcPr>
          <w:p w14:paraId="4A5EC696" w14:textId="77777777" w:rsidR="00632E5B" w:rsidRDefault="00632E5B">
            <w:pPr>
              <w:spacing w:line="240" w:lineRule="exact"/>
              <w:jc w:val="right"/>
              <w:rPr>
                <w:rFonts w:ascii="宋体" w:eastAsia="宋体" w:hAnsi="宋体" w:cs="宋体" w:hint="eastAsia"/>
                <w:sz w:val="18"/>
                <w:szCs w:val="18"/>
              </w:rPr>
            </w:pPr>
          </w:p>
        </w:tc>
        <w:tc>
          <w:tcPr>
            <w:tcW w:w="1928" w:type="dxa"/>
            <w:shd w:val="clear" w:color="auto" w:fill="FFFFFF" w:themeFill="background1"/>
            <w:vAlign w:val="center"/>
          </w:tcPr>
          <w:p w14:paraId="30F54D92" w14:textId="77777777" w:rsidR="00632E5B" w:rsidRDefault="00632E5B">
            <w:pPr>
              <w:spacing w:line="240" w:lineRule="exact"/>
              <w:jc w:val="right"/>
              <w:rPr>
                <w:rFonts w:ascii="宋体" w:eastAsia="宋体" w:hAnsi="宋体" w:cs="宋体" w:hint="eastAsia"/>
                <w:sz w:val="18"/>
                <w:szCs w:val="18"/>
              </w:rPr>
            </w:pPr>
          </w:p>
        </w:tc>
        <w:tc>
          <w:tcPr>
            <w:tcW w:w="1928" w:type="dxa"/>
            <w:shd w:val="clear" w:color="auto" w:fill="FFFFFF" w:themeFill="background1"/>
            <w:vAlign w:val="center"/>
          </w:tcPr>
          <w:p w14:paraId="4DADB52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415,163,364.76</w:t>
            </w:r>
          </w:p>
        </w:tc>
        <w:tc>
          <w:tcPr>
            <w:tcW w:w="1928" w:type="dxa"/>
            <w:shd w:val="clear" w:color="auto" w:fill="FFFFFF" w:themeFill="background1"/>
            <w:vAlign w:val="center"/>
          </w:tcPr>
          <w:p w14:paraId="1C0B6E3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415,163,364.76</w:t>
            </w:r>
          </w:p>
        </w:tc>
      </w:tr>
      <w:tr w:rsidR="00632E5B" w14:paraId="4513D6DC" w14:textId="77777777" w:rsidTr="00F91968">
        <w:trPr>
          <w:trHeight w:val="240"/>
        </w:trPr>
        <w:tc>
          <w:tcPr>
            <w:tcW w:w="1928" w:type="dxa"/>
            <w:shd w:val="clear" w:color="auto" w:fill="FFFFFF" w:themeFill="background1"/>
            <w:vAlign w:val="center"/>
          </w:tcPr>
          <w:p w14:paraId="159DDA72"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持续以公允价值计量的资产总额</w:t>
            </w:r>
          </w:p>
        </w:tc>
        <w:tc>
          <w:tcPr>
            <w:tcW w:w="1928" w:type="dxa"/>
            <w:shd w:val="clear" w:color="auto" w:fill="FFFFFF" w:themeFill="background1"/>
            <w:vAlign w:val="center"/>
          </w:tcPr>
          <w:p w14:paraId="63D1FDB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29,326,500.00</w:t>
            </w:r>
          </w:p>
        </w:tc>
        <w:tc>
          <w:tcPr>
            <w:tcW w:w="1928" w:type="dxa"/>
            <w:shd w:val="clear" w:color="auto" w:fill="FFFFFF" w:themeFill="background1"/>
            <w:vAlign w:val="center"/>
          </w:tcPr>
          <w:p w14:paraId="0A000997" w14:textId="77777777" w:rsidR="00632E5B" w:rsidRDefault="00632E5B">
            <w:pPr>
              <w:spacing w:line="240" w:lineRule="exact"/>
              <w:jc w:val="right"/>
              <w:rPr>
                <w:rFonts w:ascii="宋体" w:eastAsia="宋体" w:hAnsi="宋体" w:cs="宋体" w:hint="eastAsia"/>
                <w:sz w:val="18"/>
                <w:szCs w:val="18"/>
              </w:rPr>
            </w:pPr>
          </w:p>
        </w:tc>
        <w:tc>
          <w:tcPr>
            <w:tcW w:w="1928" w:type="dxa"/>
            <w:shd w:val="clear" w:color="auto" w:fill="FFFFFF" w:themeFill="background1"/>
            <w:vAlign w:val="center"/>
          </w:tcPr>
          <w:p w14:paraId="3E7C95B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470,268,450.58</w:t>
            </w:r>
          </w:p>
        </w:tc>
        <w:tc>
          <w:tcPr>
            <w:tcW w:w="1928" w:type="dxa"/>
            <w:shd w:val="clear" w:color="auto" w:fill="FFFFFF" w:themeFill="background1"/>
            <w:vAlign w:val="center"/>
          </w:tcPr>
          <w:p w14:paraId="4C8929C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499,594,950.58</w:t>
            </w:r>
          </w:p>
        </w:tc>
      </w:tr>
      <w:tr w:rsidR="00632E5B" w14:paraId="63EBB474" w14:textId="77777777" w:rsidTr="00F91968">
        <w:trPr>
          <w:trHeight w:val="240"/>
        </w:trPr>
        <w:tc>
          <w:tcPr>
            <w:tcW w:w="1928" w:type="dxa"/>
            <w:shd w:val="clear" w:color="auto" w:fill="FFFFFF" w:themeFill="background1"/>
            <w:vAlign w:val="center"/>
          </w:tcPr>
          <w:p w14:paraId="2526988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二、非持续的公允价值计量</w:t>
            </w:r>
          </w:p>
        </w:tc>
        <w:tc>
          <w:tcPr>
            <w:tcW w:w="1928" w:type="dxa"/>
            <w:shd w:val="clear" w:color="auto" w:fill="FFFFFF" w:themeFill="background1"/>
            <w:vAlign w:val="center"/>
          </w:tcPr>
          <w:p w14:paraId="54B64E6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1928" w:type="dxa"/>
            <w:shd w:val="clear" w:color="auto" w:fill="FFFFFF" w:themeFill="background1"/>
            <w:vAlign w:val="center"/>
          </w:tcPr>
          <w:p w14:paraId="70E9C92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1928" w:type="dxa"/>
            <w:shd w:val="clear" w:color="auto" w:fill="FFFFFF" w:themeFill="background1"/>
            <w:vAlign w:val="center"/>
          </w:tcPr>
          <w:p w14:paraId="53D80A2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c>
          <w:tcPr>
            <w:tcW w:w="1928" w:type="dxa"/>
            <w:shd w:val="clear" w:color="auto" w:fill="FFFFFF" w:themeFill="background1"/>
            <w:vAlign w:val="center"/>
          </w:tcPr>
          <w:p w14:paraId="2209902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r>
    </w:tbl>
    <w:p w14:paraId="6476BE40" w14:textId="77777777" w:rsidR="00632E5B" w:rsidRDefault="00107901">
      <w:pPr>
        <w:pStyle w:val="3"/>
        <w:spacing w:line="280" w:lineRule="exact"/>
        <w:jc w:val="left"/>
        <w:rPr>
          <w:rFonts w:ascii="宋体" w:hAnsi="宋体" w:cs="宋体" w:hint="eastAsia"/>
          <w:b/>
          <w:bCs/>
        </w:rPr>
      </w:pPr>
      <w:bookmarkStart w:id="361" w:name="_Toc989251"/>
      <w:r>
        <w:rPr>
          <w:rFonts w:ascii="宋体" w:hAnsi="宋体" w:cs="宋体"/>
          <w:b/>
          <w:bCs/>
        </w:rPr>
        <w:lastRenderedPageBreak/>
        <w:t>2、持续和非持续第一层次公允价值计量项目市价的确定依据</w:t>
      </w:r>
      <w:bookmarkEnd w:id="361"/>
    </w:p>
    <w:tbl>
      <w:tblPr>
        <w:tblpPr w:leftFromText="45" w:rightFromText="180" w:vertAnchor="text"/>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30"/>
        <w:gridCol w:w="1561"/>
        <w:gridCol w:w="1337"/>
        <w:gridCol w:w="1499"/>
        <w:gridCol w:w="906"/>
        <w:gridCol w:w="1553"/>
      </w:tblGrid>
      <w:tr w:rsidR="00E72F0C" w:rsidRPr="004D5509" w14:paraId="5A3EC8B0" w14:textId="77777777" w:rsidTr="00F84867">
        <w:trPr>
          <w:divId w:val="1450927944"/>
          <w:trHeight w:val="235"/>
          <w:tblHeader/>
        </w:trPr>
        <w:tc>
          <w:tcPr>
            <w:tcW w:w="2930" w:type="dxa"/>
            <w:vMerge w:val="restart"/>
            <w:noWrap/>
            <w:tcMar>
              <w:top w:w="0" w:type="dxa"/>
              <w:left w:w="108" w:type="dxa"/>
              <w:bottom w:w="0" w:type="dxa"/>
              <w:right w:w="108" w:type="dxa"/>
            </w:tcMar>
            <w:vAlign w:val="center"/>
            <w:hideMark/>
          </w:tcPr>
          <w:p w14:paraId="3A6D7D9C" w14:textId="77777777" w:rsidR="00E72F0C" w:rsidRPr="004D5509" w:rsidRDefault="00107901">
            <w:pPr>
              <w:pStyle w:val="a3"/>
              <w:spacing w:before="0" w:beforeAutospacing="0" w:after="0" w:afterAutospacing="0" w:line="400" w:lineRule="atLeast"/>
              <w:jc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sz w:val="18"/>
                <w:szCs w:val="18"/>
              </w:rPr>
              <w:t>项目</w:t>
            </w:r>
          </w:p>
        </w:tc>
        <w:tc>
          <w:tcPr>
            <w:tcW w:w="1561" w:type="dxa"/>
            <w:vMerge w:val="restart"/>
            <w:noWrap/>
            <w:tcMar>
              <w:top w:w="0" w:type="dxa"/>
              <w:left w:w="108" w:type="dxa"/>
              <w:bottom w:w="0" w:type="dxa"/>
              <w:right w:w="108" w:type="dxa"/>
            </w:tcMar>
            <w:vAlign w:val="center"/>
            <w:hideMark/>
          </w:tcPr>
          <w:p w14:paraId="157893C7" w14:textId="77777777" w:rsidR="00E72F0C" w:rsidRPr="004D5509" w:rsidRDefault="00107901">
            <w:pPr>
              <w:pStyle w:val="a3"/>
              <w:spacing w:before="0" w:beforeAutospacing="0" w:after="0" w:afterAutospacing="0" w:line="400" w:lineRule="atLeast"/>
              <w:jc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sz w:val="18"/>
                <w:szCs w:val="18"/>
              </w:rPr>
              <w:t>公允价值</w:t>
            </w:r>
          </w:p>
        </w:tc>
        <w:tc>
          <w:tcPr>
            <w:tcW w:w="5294" w:type="dxa"/>
            <w:gridSpan w:val="4"/>
            <w:noWrap/>
            <w:tcMar>
              <w:top w:w="0" w:type="dxa"/>
              <w:left w:w="108" w:type="dxa"/>
              <w:bottom w:w="0" w:type="dxa"/>
              <w:right w:w="108" w:type="dxa"/>
            </w:tcMar>
            <w:vAlign w:val="center"/>
            <w:hideMark/>
          </w:tcPr>
          <w:p w14:paraId="4DCA056B" w14:textId="77777777" w:rsidR="00E72F0C" w:rsidRPr="004D5509" w:rsidRDefault="00107901">
            <w:pPr>
              <w:pStyle w:val="a3"/>
              <w:spacing w:before="0" w:beforeAutospacing="0" w:after="0" w:afterAutospacing="0" w:line="400" w:lineRule="atLeast"/>
              <w:jc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sz w:val="18"/>
                <w:szCs w:val="18"/>
              </w:rPr>
              <w:t>活跃市场报价</w:t>
            </w:r>
          </w:p>
        </w:tc>
      </w:tr>
      <w:tr w:rsidR="00E72F0C" w:rsidRPr="004D5509" w14:paraId="3AE475BE" w14:textId="77777777" w:rsidTr="00F84867">
        <w:trPr>
          <w:divId w:val="1450927944"/>
          <w:trHeight w:val="475"/>
          <w:tblHeader/>
        </w:trPr>
        <w:tc>
          <w:tcPr>
            <w:tcW w:w="0" w:type="auto"/>
            <w:vMerge/>
            <w:vAlign w:val="center"/>
            <w:hideMark/>
          </w:tcPr>
          <w:p w14:paraId="35A5FA94" w14:textId="77777777" w:rsidR="00E72F0C" w:rsidRPr="004D5509" w:rsidRDefault="00E72F0C">
            <w:pPr>
              <w:rPr>
                <w:rFonts w:asciiTheme="minorEastAsia" w:hAnsiTheme="minorEastAsia" w:cs="Times New Roman" w:hint="eastAsia"/>
                <w:sz w:val="18"/>
                <w:szCs w:val="18"/>
              </w:rPr>
            </w:pPr>
          </w:p>
        </w:tc>
        <w:tc>
          <w:tcPr>
            <w:tcW w:w="0" w:type="auto"/>
            <w:vMerge/>
            <w:vAlign w:val="center"/>
            <w:hideMark/>
          </w:tcPr>
          <w:p w14:paraId="3B8AD629" w14:textId="77777777" w:rsidR="00E72F0C" w:rsidRPr="004D5509" w:rsidRDefault="00E72F0C">
            <w:pPr>
              <w:rPr>
                <w:rFonts w:asciiTheme="minorEastAsia" w:hAnsiTheme="minorEastAsia" w:cs="Times New Roman" w:hint="eastAsia"/>
                <w:sz w:val="18"/>
                <w:szCs w:val="18"/>
              </w:rPr>
            </w:pPr>
          </w:p>
        </w:tc>
        <w:tc>
          <w:tcPr>
            <w:tcW w:w="1656" w:type="dxa"/>
            <w:tcMar>
              <w:top w:w="0" w:type="dxa"/>
              <w:left w:w="108" w:type="dxa"/>
              <w:bottom w:w="0" w:type="dxa"/>
              <w:right w:w="108" w:type="dxa"/>
            </w:tcMar>
            <w:vAlign w:val="center"/>
            <w:hideMark/>
          </w:tcPr>
          <w:p w14:paraId="5846A6EE" w14:textId="77777777" w:rsidR="00E72F0C" w:rsidRPr="004D5509" w:rsidRDefault="00107901">
            <w:pPr>
              <w:pStyle w:val="a3"/>
              <w:spacing w:before="0" w:beforeAutospacing="0" w:after="0" w:afterAutospacing="0" w:line="280" w:lineRule="atLeast"/>
              <w:jc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sz w:val="18"/>
                <w:szCs w:val="18"/>
              </w:rPr>
              <w:t>主要市场</w:t>
            </w:r>
            <w:r w:rsidRPr="004D5509">
              <w:rPr>
                <w:rFonts w:asciiTheme="minorEastAsia" w:eastAsiaTheme="minorEastAsia" w:hAnsiTheme="minorEastAsia" w:cs="Times New Roman"/>
                <w:sz w:val="18"/>
                <w:szCs w:val="18"/>
              </w:rPr>
              <w:br/>
            </w:r>
            <w:r w:rsidRPr="004D5509">
              <w:rPr>
                <w:rFonts w:asciiTheme="minorEastAsia" w:eastAsiaTheme="minorEastAsia" w:hAnsiTheme="minorEastAsia" w:cs="Times New Roman" w:hint="eastAsia"/>
                <w:sz w:val="18"/>
                <w:szCs w:val="18"/>
              </w:rPr>
              <w:t>（最有利市场）</w:t>
            </w:r>
          </w:p>
        </w:tc>
        <w:tc>
          <w:tcPr>
            <w:tcW w:w="0" w:type="auto"/>
            <w:noWrap/>
            <w:tcMar>
              <w:top w:w="0" w:type="dxa"/>
              <w:left w:w="108" w:type="dxa"/>
              <w:bottom w:w="0" w:type="dxa"/>
              <w:right w:w="108" w:type="dxa"/>
            </w:tcMar>
            <w:vAlign w:val="center"/>
            <w:hideMark/>
          </w:tcPr>
          <w:p w14:paraId="297ECF9B" w14:textId="77777777" w:rsidR="00E72F0C" w:rsidRPr="004D5509" w:rsidRDefault="00107901">
            <w:pPr>
              <w:pStyle w:val="a3"/>
              <w:spacing w:before="0" w:beforeAutospacing="0" w:after="0" w:afterAutospacing="0" w:line="280" w:lineRule="atLeast"/>
              <w:jc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sz w:val="18"/>
                <w:szCs w:val="18"/>
              </w:rPr>
              <w:t>交易价格</w:t>
            </w:r>
          </w:p>
        </w:tc>
        <w:tc>
          <w:tcPr>
            <w:tcW w:w="0" w:type="auto"/>
            <w:noWrap/>
            <w:tcMar>
              <w:top w:w="0" w:type="dxa"/>
              <w:left w:w="108" w:type="dxa"/>
              <w:bottom w:w="0" w:type="dxa"/>
              <w:right w:w="108" w:type="dxa"/>
            </w:tcMar>
            <w:vAlign w:val="center"/>
            <w:hideMark/>
          </w:tcPr>
          <w:p w14:paraId="00EF2A4E" w14:textId="77777777" w:rsidR="00E72F0C" w:rsidRPr="004D5509" w:rsidRDefault="00107901">
            <w:pPr>
              <w:pStyle w:val="a3"/>
              <w:spacing w:before="0" w:beforeAutospacing="0" w:after="0" w:afterAutospacing="0" w:line="280" w:lineRule="atLeast"/>
              <w:jc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sz w:val="18"/>
                <w:szCs w:val="18"/>
              </w:rPr>
              <w:t>历史</w:t>
            </w:r>
          </w:p>
          <w:p w14:paraId="7236A044" w14:textId="77777777" w:rsidR="00E72F0C" w:rsidRPr="004D5509" w:rsidRDefault="00107901">
            <w:pPr>
              <w:pStyle w:val="a3"/>
              <w:spacing w:before="0" w:beforeAutospacing="0" w:after="0" w:afterAutospacing="0" w:line="280" w:lineRule="atLeast"/>
              <w:jc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sz w:val="18"/>
                <w:szCs w:val="18"/>
              </w:rPr>
              <w:t>交易量</w:t>
            </w:r>
          </w:p>
        </w:tc>
        <w:tc>
          <w:tcPr>
            <w:tcW w:w="0" w:type="auto"/>
            <w:noWrap/>
            <w:tcMar>
              <w:top w:w="0" w:type="dxa"/>
              <w:left w:w="108" w:type="dxa"/>
              <w:bottom w:w="0" w:type="dxa"/>
              <w:right w:w="108" w:type="dxa"/>
            </w:tcMar>
            <w:vAlign w:val="center"/>
            <w:hideMark/>
          </w:tcPr>
          <w:p w14:paraId="34AF37CF" w14:textId="77777777" w:rsidR="00E72F0C" w:rsidRPr="004D5509" w:rsidRDefault="00107901">
            <w:pPr>
              <w:pStyle w:val="a3"/>
              <w:spacing w:before="0" w:beforeAutospacing="0" w:after="0" w:afterAutospacing="0" w:line="280" w:lineRule="atLeast"/>
              <w:jc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sz w:val="18"/>
                <w:szCs w:val="18"/>
              </w:rPr>
              <w:t>资料</w:t>
            </w:r>
          </w:p>
          <w:p w14:paraId="40FCBCD1" w14:textId="77777777" w:rsidR="00E72F0C" w:rsidRPr="004D5509" w:rsidRDefault="00107901">
            <w:pPr>
              <w:pStyle w:val="a3"/>
              <w:spacing w:before="0" w:beforeAutospacing="0" w:after="0" w:afterAutospacing="0" w:line="280" w:lineRule="atLeast"/>
              <w:jc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sz w:val="18"/>
                <w:szCs w:val="18"/>
              </w:rPr>
              <w:t>来源</w:t>
            </w:r>
          </w:p>
        </w:tc>
      </w:tr>
      <w:tr w:rsidR="00E72F0C" w:rsidRPr="004D5509" w14:paraId="0AFC3F90" w14:textId="77777777" w:rsidTr="00F84867">
        <w:trPr>
          <w:divId w:val="1450927944"/>
          <w:trHeight w:val="288"/>
        </w:trPr>
        <w:tc>
          <w:tcPr>
            <w:tcW w:w="2930" w:type="dxa"/>
            <w:tcMar>
              <w:top w:w="0" w:type="dxa"/>
              <w:left w:w="108" w:type="dxa"/>
              <w:bottom w:w="0" w:type="dxa"/>
              <w:right w:w="108" w:type="dxa"/>
            </w:tcMar>
            <w:vAlign w:val="center"/>
            <w:hideMark/>
          </w:tcPr>
          <w:p w14:paraId="6985CF5D" w14:textId="77777777" w:rsidR="00E72F0C" w:rsidRPr="004D5509" w:rsidRDefault="00107901">
            <w:pPr>
              <w:pStyle w:val="a3"/>
              <w:spacing w:before="0" w:beforeAutospacing="0" w:after="0" w:afterAutospacing="0" w:line="360" w:lineRule="atLeast"/>
              <w:rPr>
                <w:rFonts w:asciiTheme="minorEastAsia" w:eastAsiaTheme="minorEastAsia" w:hAnsiTheme="minorEastAsia" w:cs="Times New Roman" w:hint="eastAsia"/>
                <w:sz w:val="18"/>
                <w:szCs w:val="18"/>
              </w:rPr>
            </w:pPr>
            <w:r w:rsidRPr="004D5509">
              <w:rPr>
                <w:rStyle w:val="a4"/>
                <w:rFonts w:asciiTheme="minorEastAsia" w:eastAsiaTheme="minorEastAsia" w:hAnsiTheme="minorEastAsia" w:cs="Times New Roman" w:hint="eastAsia"/>
                <w:sz w:val="18"/>
                <w:szCs w:val="18"/>
              </w:rPr>
              <w:t>一、持续的公允价值计量</w:t>
            </w:r>
          </w:p>
        </w:tc>
        <w:tc>
          <w:tcPr>
            <w:tcW w:w="1561" w:type="dxa"/>
            <w:noWrap/>
            <w:tcMar>
              <w:top w:w="0" w:type="dxa"/>
              <w:left w:w="108" w:type="dxa"/>
              <w:bottom w:w="0" w:type="dxa"/>
              <w:right w:w="108" w:type="dxa"/>
            </w:tcMar>
            <w:vAlign w:val="center"/>
            <w:hideMark/>
          </w:tcPr>
          <w:p w14:paraId="4D711EB7" w14:textId="77777777" w:rsidR="00E72F0C" w:rsidRPr="004D5509" w:rsidRDefault="00107901">
            <w:pPr>
              <w:pStyle w:val="a3"/>
              <w:spacing w:before="0" w:beforeAutospacing="0" w:after="0" w:afterAutospacing="0" w:line="360" w:lineRule="atLeast"/>
              <w:jc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sz w:val="18"/>
                <w:szCs w:val="18"/>
              </w:rPr>
              <w:t xml:space="preserve">　</w:t>
            </w:r>
          </w:p>
        </w:tc>
        <w:tc>
          <w:tcPr>
            <w:tcW w:w="1656" w:type="dxa"/>
            <w:tcMar>
              <w:top w:w="0" w:type="dxa"/>
              <w:left w:w="108" w:type="dxa"/>
              <w:bottom w:w="0" w:type="dxa"/>
              <w:right w:w="108" w:type="dxa"/>
            </w:tcMar>
            <w:vAlign w:val="center"/>
            <w:hideMark/>
          </w:tcPr>
          <w:p w14:paraId="07B43CF5" w14:textId="77777777" w:rsidR="00E72F0C" w:rsidRPr="004D5509" w:rsidRDefault="00107901">
            <w:pPr>
              <w:pStyle w:val="a3"/>
              <w:spacing w:before="0" w:beforeAutospacing="0" w:after="0" w:afterAutospacing="0" w:line="360" w:lineRule="atLeast"/>
              <w:jc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sz w:val="18"/>
                <w:szCs w:val="18"/>
              </w:rPr>
              <w:t xml:space="preserve">　</w:t>
            </w:r>
          </w:p>
        </w:tc>
        <w:tc>
          <w:tcPr>
            <w:tcW w:w="0" w:type="auto"/>
            <w:noWrap/>
            <w:tcMar>
              <w:top w:w="0" w:type="dxa"/>
              <w:left w:w="108" w:type="dxa"/>
              <w:bottom w:w="0" w:type="dxa"/>
              <w:right w:w="108" w:type="dxa"/>
            </w:tcMar>
            <w:vAlign w:val="center"/>
            <w:hideMark/>
          </w:tcPr>
          <w:p w14:paraId="28933AC1" w14:textId="77777777" w:rsidR="00E72F0C" w:rsidRPr="004D5509" w:rsidRDefault="00107901">
            <w:pPr>
              <w:pStyle w:val="a3"/>
              <w:spacing w:before="0" w:beforeAutospacing="0" w:after="0" w:afterAutospacing="0" w:line="360" w:lineRule="atLeast"/>
              <w:jc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sz w:val="18"/>
                <w:szCs w:val="18"/>
              </w:rPr>
              <w:t xml:space="preserve">　</w:t>
            </w:r>
          </w:p>
        </w:tc>
        <w:tc>
          <w:tcPr>
            <w:tcW w:w="0" w:type="auto"/>
            <w:noWrap/>
            <w:tcMar>
              <w:top w:w="0" w:type="dxa"/>
              <w:left w:w="108" w:type="dxa"/>
              <w:bottom w:w="0" w:type="dxa"/>
              <w:right w:w="108" w:type="dxa"/>
            </w:tcMar>
            <w:vAlign w:val="center"/>
            <w:hideMark/>
          </w:tcPr>
          <w:p w14:paraId="3341B6FC" w14:textId="77777777" w:rsidR="00E72F0C" w:rsidRPr="004D5509" w:rsidRDefault="00107901">
            <w:pPr>
              <w:pStyle w:val="a3"/>
              <w:spacing w:before="0" w:beforeAutospacing="0" w:after="0" w:afterAutospacing="0" w:line="360" w:lineRule="atLeast"/>
              <w:jc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sz w:val="18"/>
                <w:szCs w:val="18"/>
              </w:rPr>
              <w:t xml:space="preserve">　</w:t>
            </w:r>
          </w:p>
        </w:tc>
        <w:tc>
          <w:tcPr>
            <w:tcW w:w="0" w:type="auto"/>
            <w:noWrap/>
            <w:tcMar>
              <w:top w:w="0" w:type="dxa"/>
              <w:left w:w="108" w:type="dxa"/>
              <w:bottom w:w="0" w:type="dxa"/>
              <w:right w:w="108" w:type="dxa"/>
            </w:tcMar>
            <w:vAlign w:val="center"/>
            <w:hideMark/>
          </w:tcPr>
          <w:p w14:paraId="7B15B636" w14:textId="77777777" w:rsidR="00E72F0C" w:rsidRPr="004D5509" w:rsidRDefault="00107901">
            <w:pPr>
              <w:pStyle w:val="a3"/>
              <w:spacing w:before="0" w:beforeAutospacing="0" w:after="0" w:afterAutospacing="0" w:line="360" w:lineRule="atLeast"/>
              <w:jc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sz w:val="18"/>
                <w:szCs w:val="18"/>
              </w:rPr>
              <w:t xml:space="preserve">　</w:t>
            </w:r>
          </w:p>
        </w:tc>
      </w:tr>
      <w:tr w:rsidR="00E72F0C" w:rsidRPr="004D5509" w14:paraId="3C934612" w14:textId="77777777" w:rsidTr="00F84867">
        <w:trPr>
          <w:divId w:val="1450927944"/>
          <w:trHeight w:val="518"/>
        </w:trPr>
        <w:tc>
          <w:tcPr>
            <w:tcW w:w="2930" w:type="dxa"/>
            <w:tcMar>
              <w:top w:w="0" w:type="dxa"/>
              <w:left w:w="108" w:type="dxa"/>
              <w:bottom w:w="0" w:type="dxa"/>
              <w:right w:w="108" w:type="dxa"/>
            </w:tcMar>
            <w:vAlign w:val="center"/>
            <w:hideMark/>
          </w:tcPr>
          <w:p w14:paraId="0A1F3A3A" w14:textId="77777777" w:rsidR="00E72F0C" w:rsidRPr="004D5509" w:rsidRDefault="00107901">
            <w:pPr>
              <w:pStyle w:val="a3"/>
              <w:spacing w:before="0" w:beforeAutospacing="0" w:after="0" w:afterAutospacing="0" w:line="360" w:lineRule="atLeast"/>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sz w:val="18"/>
                <w:szCs w:val="18"/>
              </w:rPr>
              <w:t>（一）交易性金融资产</w:t>
            </w:r>
          </w:p>
        </w:tc>
        <w:tc>
          <w:tcPr>
            <w:tcW w:w="1561" w:type="dxa"/>
            <w:noWrap/>
            <w:tcMar>
              <w:top w:w="0" w:type="dxa"/>
              <w:left w:w="108" w:type="dxa"/>
              <w:bottom w:w="0" w:type="dxa"/>
              <w:right w:w="108" w:type="dxa"/>
            </w:tcMar>
            <w:vAlign w:val="center"/>
            <w:hideMark/>
          </w:tcPr>
          <w:p w14:paraId="6B097E69" w14:textId="77777777" w:rsidR="00E72F0C" w:rsidRPr="004D5509" w:rsidRDefault="00107901">
            <w:pPr>
              <w:pStyle w:val="a3"/>
              <w:spacing w:before="0" w:beforeAutospacing="0" w:after="0" w:afterAutospacing="0" w:line="360" w:lineRule="atLeast"/>
              <w:jc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sz w:val="18"/>
                <w:szCs w:val="18"/>
              </w:rPr>
              <w:t xml:space="preserve">　</w:t>
            </w:r>
          </w:p>
        </w:tc>
        <w:tc>
          <w:tcPr>
            <w:tcW w:w="1656" w:type="dxa"/>
            <w:tcMar>
              <w:top w:w="0" w:type="dxa"/>
              <w:left w:w="108" w:type="dxa"/>
              <w:bottom w:w="0" w:type="dxa"/>
              <w:right w:w="108" w:type="dxa"/>
            </w:tcMar>
            <w:vAlign w:val="center"/>
            <w:hideMark/>
          </w:tcPr>
          <w:p w14:paraId="66437CF3" w14:textId="77777777" w:rsidR="00E72F0C" w:rsidRPr="004D5509" w:rsidRDefault="00107901">
            <w:pPr>
              <w:pStyle w:val="a3"/>
              <w:spacing w:before="0" w:beforeAutospacing="0" w:after="0" w:afterAutospacing="0" w:line="360" w:lineRule="atLeast"/>
              <w:jc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sz w:val="18"/>
                <w:szCs w:val="18"/>
              </w:rPr>
              <w:t xml:space="preserve">　</w:t>
            </w:r>
          </w:p>
        </w:tc>
        <w:tc>
          <w:tcPr>
            <w:tcW w:w="0" w:type="auto"/>
            <w:noWrap/>
            <w:tcMar>
              <w:top w:w="0" w:type="dxa"/>
              <w:left w:w="108" w:type="dxa"/>
              <w:bottom w:w="0" w:type="dxa"/>
              <w:right w:w="108" w:type="dxa"/>
            </w:tcMar>
            <w:vAlign w:val="center"/>
            <w:hideMark/>
          </w:tcPr>
          <w:p w14:paraId="461D6B64" w14:textId="77777777" w:rsidR="00E72F0C" w:rsidRPr="004D5509" w:rsidRDefault="00107901">
            <w:pPr>
              <w:pStyle w:val="a3"/>
              <w:spacing w:before="0" w:beforeAutospacing="0" w:after="0" w:afterAutospacing="0" w:line="360" w:lineRule="atLeast"/>
              <w:jc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sz w:val="18"/>
                <w:szCs w:val="18"/>
              </w:rPr>
              <w:t xml:space="preserve">　</w:t>
            </w:r>
          </w:p>
        </w:tc>
        <w:tc>
          <w:tcPr>
            <w:tcW w:w="0" w:type="auto"/>
            <w:noWrap/>
            <w:tcMar>
              <w:top w:w="0" w:type="dxa"/>
              <w:left w:w="108" w:type="dxa"/>
              <w:bottom w:w="0" w:type="dxa"/>
              <w:right w:w="108" w:type="dxa"/>
            </w:tcMar>
            <w:vAlign w:val="center"/>
            <w:hideMark/>
          </w:tcPr>
          <w:p w14:paraId="71ADB17E" w14:textId="77777777" w:rsidR="00E72F0C" w:rsidRPr="004D5509" w:rsidRDefault="00107901">
            <w:pPr>
              <w:pStyle w:val="a3"/>
              <w:spacing w:before="0" w:beforeAutospacing="0" w:after="0" w:afterAutospacing="0" w:line="360" w:lineRule="atLeast"/>
              <w:jc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sz w:val="18"/>
                <w:szCs w:val="18"/>
              </w:rPr>
              <w:t xml:space="preserve">　</w:t>
            </w:r>
          </w:p>
        </w:tc>
        <w:tc>
          <w:tcPr>
            <w:tcW w:w="0" w:type="auto"/>
            <w:noWrap/>
            <w:tcMar>
              <w:top w:w="0" w:type="dxa"/>
              <w:left w:w="108" w:type="dxa"/>
              <w:bottom w:w="0" w:type="dxa"/>
              <w:right w:w="108" w:type="dxa"/>
            </w:tcMar>
            <w:vAlign w:val="center"/>
            <w:hideMark/>
          </w:tcPr>
          <w:p w14:paraId="2F7F2AA2" w14:textId="77777777" w:rsidR="00E72F0C" w:rsidRPr="004D5509" w:rsidRDefault="00107901">
            <w:pPr>
              <w:pStyle w:val="a3"/>
              <w:spacing w:before="0" w:beforeAutospacing="0" w:after="0" w:afterAutospacing="0" w:line="360" w:lineRule="atLeast"/>
              <w:jc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sz w:val="18"/>
                <w:szCs w:val="18"/>
              </w:rPr>
              <w:t xml:space="preserve">　</w:t>
            </w:r>
          </w:p>
        </w:tc>
      </w:tr>
      <w:tr w:rsidR="00E72F0C" w:rsidRPr="004D5509" w14:paraId="0438B3AC" w14:textId="77777777" w:rsidTr="00F84867">
        <w:trPr>
          <w:divId w:val="1450927944"/>
          <w:trHeight w:val="288"/>
        </w:trPr>
        <w:tc>
          <w:tcPr>
            <w:tcW w:w="2930" w:type="dxa"/>
            <w:tcMar>
              <w:top w:w="0" w:type="dxa"/>
              <w:left w:w="108" w:type="dxa"/>
              <w:bottom w:w="0" w:type="dxa"/>
              <w:right w:w="108" w:type="dxa"/>
            </w:tcMar>
            <w:vAlign w:val="center"/>
            <w:hideMark/>
          </w:tcPr>
          <w:p w14:paraId="78F3E35F" w14:textId="77777777" w:rsidR="00E72F0C" w:rsidRPr="004D5509" w:rsidRDefault="00107901">
            <w:pPr>
              <w:pStyle w:val="a3"/>
              <w:spacing w:before="0" w:beforeAutospacing="0" w:after="0" w:afterAutospacing="0" w:line="280" w:lineRule="atLeast"/>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sz w:val="18"/>
                <w:szCs w:val="18"/>
              </w:rPr>
              <w:t>1.</w:t>
            </w:r>
            <w:r w:rsidRPr="004D5509">
              <w:rPr>
                <w:rFonts w:asciiTheme="minorEastAsia" w:eastAsiaTheme="minorEastAsia" w:hAnsiTheme="minorEastAsia" w:cs="Times New Roman" w:hint="eastAsia"/>
                <w:sz w:val="18"/>
                <w:szCs w:val="18"/>
              </w:rPr>
              <w:t>分类为以公允价值计量且其变动计入当期损益的金融资产</w:t>
            </w:r>
          </w:p>
        </w:tc>
        <w:tc>
          <w:tcPr>
            <w:tcW w:w="1561" w:type="dxa"/>
            <w:noWrap/>
            <w:tcMar>
              <w:top w:w="0" w:type="dxa"/>
              <w:left w:w="108" w:type="dxa"/>
              <w:bottom w:w="0" w:type="dxa"/>
              <w:right w:w="108" w:type="dxa"/>
            </w:tcMar>
            <w:vAlign w:val="center"/>
            <w:hideMark/>
          </w:tcPr>
          <w:p w14:paraId="3F66B49D" w14:textId="77777777" w:rsidR="00E72F0C" w:rsidRPr="004D5509" w:rsidRDefault="00107901">
            <w:pPr>
              <w:pStyle w:val="a3"/>
              <w:spacing w:before="0" w:beforeAutospacing="0" w:after="0" w:afterAutospacing="0" w:line="360" w:lineRule="atLeast"/>
              <w:jc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sz w:val="18"/>
                <w:szCs w:val="18"/>
              </w:rPr>
              <w:t xml:space="preserve">　</w:t>
            </w:r>
          </w:p>
        </w:tc>
        <w:tc>
          <w:tcPr>
            <w:tcW w:w="1656" w:type="dxa"/>
            <w:tcMar>
              <w:top w:w="0" w:type="dxa"/>
              <w:left w:w="108" w:type="dxa"/>
              <w:bottom w:w="0" w:type="dxa"/>
              <w:right w:w="108" w:type="dxa"/>
            </w:tcMar>
            <w:vAlign w:val="center"/>
            <w:hideMark/>
          </w:tcPr>
          <w:p w14:paraId="622BC3AC" w14:textId="77777777" w:rsidR="00E72F0C" w:rsidRPr="004D5509" w:rsidRDefault="00107901">
            <w:pPr>
              <w:pStyle w:val="a3"/>
              <w:spacing w:before="0" w:beforeAutospacing="0" w:after="0" w:afterAutospacing="0" w:line="360" w:lineRule="atLeast"/>
              <w:jc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sz w:val="18"/>
                <w:szCs w:val="18"/>
              </w:rPr>
              <w:t xml:space="preserve">　</w:t>
            </w:r>
          </w:p>
        </w:tc>
        <w:tc>
          <w:tcPr>
            <w:tcW w:w="0" w:type="auto"/>
            <w:noWrap/>
            <w:tcMar>
              <w:top w:w="0" w:type="dxa"/>
              <w:left w:w="108" w:type="dxa"/>
              <w:bottom w:w="0" w:type="dxa"/>
              <w:right w:w="108" w:type="dxa"/>
            </w:tcMar>
            <w:vAlign w:val="center"/>
            <w:hideMark/>
          </w:tcPr>
          <w:p w14:paraId="43FE991E" w14:textId="77777777" w:rsidR="00E72F0C" w:rsidRPr="004D5509" w:rsidRDefault="00107901">
            <w:pPr>
              <w:pStyle w:val="a3"/>
              <w:spacing w:before="0" w:beforeAutospacing="0" w:after="0" w:afterAutospacing="0" w:line="360" w:lineRule="atLeast"/>
              <w:jc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sz w:val="18"/>
                <w:szCs w:val="18"/>
              </w:rPr>
              <w:t xml:space="preserve">　</w:t>
            </w:r>
          </w:p>
        </w:tc>
        <w:tc>
          <w:tcPr>
            <w:tcW w:w="0" w:type="auto"/>
            <w:noWrap/>
            <w:tcMar>
              <w:top w:w="0" w:type="dxa"/>
              <w:left w:w="108" w:type="dxa"/>
              <w:bottom w:w="0" w:type="dxa"/>
              <w:right w:w="108" w:type="dxa"/>
            </w:tcMar>
            <w:vAlign w:val="center"/>
            <w:hideMark/>
          </w:tcPr>
          <w:p w14:paraId="1944E280" w14:textId="77777777" w:rsidR="00E72F0C" w:rsidRPr="004D5509" w:rsidRDefault="00107901">
            <w:pPr>
              <w:pStyle w:val="a3"/>
              <w:spacing w:before="0" w:beforeAutospacing="0" w:after="0" w:afterAutospacing="0" w:line="360" w:lineRule="atLeast"/>
              <w:jc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sz w:val="18"/>
                <w:szCs w:val="18"/>
              </w:rPr>
              <w:t xml:space="preserve">　</w:t>
            </w:r>
          </w:p>
        </w:tc>
        <w:tc>
          <w:tcPr>
            <w:tcW w:w="0" w:type="auto"/>
            <w:noWrap/>
            <w:tcMar>
              <w:top w:w="0" w:type="dxa"/>
              <w:left w:w="108" w:type="dxa"/>
              <w:bottom w:w="0" w:type="dxa"/>
              <w:right w:w="108" w:type="dxa"/>
            </w:tcMar>
            <w:vAlign w:val="center"/>
            <w:hideMark/>
          </w:tcPr>
          <w:p w14:paraId="02B210BC" w14:textId="77777777" w:rsidR="00E72F0C" w:rsidRPr="004D5509" w:rsidRDefault="00107901">
            <w:pPr>
              <w:pStyle w:val="a3"/>
              <w:spacing w:before="0" w:beforeAutospacing="0" w:after="0" w:afterAutospacing="0" w:line="360" w:lineRule="atLeast"/>
              <w:jc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sz w:val="18"/>
                <w:szCs w:val="18"/>
              </w:rPr>
              <w:t xml:space="preserve">　</w:t>
            </w:r>
          </w:p>
        </w:tc>
      </w:tr>
      <w:tr w:rsidR="00E72F0C" w:rsidRPr="004D5509" w14:paraId="51C73962" w14:textId="77777777" w:rsidTr="00F84867">
        <w:trPr>
          <w:divId w:val="1450927944"/>
          <w:trHeight w:val="288"/>
        </w:trPr>
        <w:tc>
          <w:tcPr>
            <w:tcW w:w="2930" w:type="dxa"/>
            <w:tcMar>
              <w:top w:w="0" w:type="dxa"/>
              <w:left w:w="108" w:type="dxa"/>
              <w:bottom w:w="0" w:type="dxa"/>
              <w:right w:w="108" w:type="dxa"/>
            </w:tcMar>
            <w:vAlign w:val="center"/>
            <w:hideMark/>
          </w:tcPr>
          <w:p w14:paraId="0E5189E2" w14:textId="77777777" w:rsidR="00E72F0C" w:rsidRPr="004D5509" w:rsidRDefault="00107901">
            <w:pPr>
              <w:pStyle w:val="a3"/>
              <w:spacing w:before="0" w:beforeAutospacing="0" w:after="0" w:afterAutospacing="0"/>
              <w:jc w:val="both"/>
              <w:textAlignment w:val="bottom"/>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color w:val="000000"/>
                <w:sz w:val="18"/>
                <w:szCs w:val="18"/>
              </w:rPr>
              <w:t>（1）债务工具投资</w:t>
            </w:r>
          </w:p>
        </w:tc>
        <w:tc>
          <w:tcPr>
            <w:tcW w:w="1561" w:type="dxa"/>
            <w:noWrap/>
            <w:tcMar>
              <w:top w:w="0" w:type="dxa"/>
              <w:left w:w="108" w:type="dxa"/>
              <w:bottom w:w="0" w:type="dxa"/>
              <w:right w:w="108" w:type="dxa"/>
            </w:tcMar>
            <w:vAlign w:val="center"/>
            <w:hideMark/>
          </w:tcPr>
          <w:p w14:paraId="692356A4" w14:textId="77777777" w:rsidR="00E72F0C" w:rsidRPr="004D5509" w:rsidRDefault="00107901">
            <w:pPr>
              <w:pStyle w:val="a3"/>
              <w:spacing w:before="0" w:beforeAutospacing="0" w:after="0" w:afterAutospacing="0"/>
              <w:jc w:val="right"/>
              <w:rPr>
                <w:rFonts w:asciiTheme="minorEastAsia" w:eastAsiaTheme="minorEastAsia" w:hAnsiTheme="minorEastAsia" w:cs="Times New Roman" w:hint="eastAsia"/>
                <w:sz w:val="18"/>
                <w:szCs w:val="18"/>
              </w:rPr>
            </w:pPr>
            <w:r w:rsidRPr="004D5509">
              <w:rPr>
                <w:rFonts w:asciiTheme="minorEastAsia" w:eastAsiaTheme="minorEastAsia" w:hAnsiTheme="minorEastAsia" w:cs="Arial"/>
                <w:color w:val="000000"/>
                <w:sz w:val="18"/>
                <w:szCs w:val="18"/>
              </w:rPr>
              <w:t> </w:t>
            </w:r>
          </w:p>
        </w:tc>
        <w:tc>
          <w:tcPr>
            <w:tcW w:w="1656" w:type="dxa"/>
            <w:tcMar>
              <w:top w:w="0" w:type="dxa"/>
              <w:left w:w="108" w:type="dxa"/>
              <w:bottom w:w="0" w:type="dxa"/>
              <w:right w:w="108" w:type="dxa"/>
            </w:tcMar>
            <w:vAlign w:val="center"/>
            <w:hideMark/>
          </w:tcPr>
          <w:p w14:paraId="0BBFC156" w14:textId="77777777" w:rsidR="00E72F0C" w:rsidRPr="004D5509" w:rsidRDefault="00107901">
            <w:pPr>
              <w:pStyle w:val="a3"/>
              <w:spacing w:before="0" w:beforeAutospacing="0" w:after="0" w:afterAutospacing="0" w:line="360" w:lineRule="atLeast"/>
              <w:jc w:val="both"/>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sz w:val="18"/>
                <w:szCs w:val="18"/>
              </w:rPr>
              <w:t> </w:t>
            </w:r>
          </w:p>
        </w:tc>
        <w:tc>
          <w:tcPr>
            <w:tcW w:w="0" w:type="auto"/>
            <w:noWrap/>
            <w:tcMar>
              <w:top w:w="0" w:type="dxa"/>
              <w:left w:w="108" w:type="dxa"/>
              <w:bottom w:w="0" w:type="dxa"/>
              <w:right w:w="108" w:type="dxa"/>
            </w:tcMar>
            <w:vAlign w:val="center"/>
            <w:hideMark/>
          </w:tcPr>
          <w:p w14:paraId="5668C3AD" w14:textId="77777777" w:rsidR="00E72F0C" w:rsidRPr="004D5509" w:rsidRDefault="00107901">
            <w:pPr>
              <w:pStyle w:val="a3"/>
              <w:spacing w:before="0" w:beforeAutospacing="0" w:after="0" w:afterAutospacing="0" w:line="360" w:lineRule="atLeast"/>
              <w:jc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Arial"/>
                <w:sz w:val="18"/>
                <w:szCs w:val="18"/>
              </w:rPr>
              <w:t> </w:t>
            </w:r>
          </w:p>
        </w:tc>
        <w:tc>
          <w:tcPr>
            <w:tcW w:w="0" w:type="auto"/>
            <w:noWrap/>
            <w:tcMar>
              <w:top w:w="0" w:type="dxa"/>
              <w:left w:w="108" w:type="dxa"/>
              <w:bottom w:w="0" w:type="dxa"/>
              <w:right w:w="108" w:type="dxa"/>
            </w:tcMar>
            <w:vAlign w:val="center"/>
            <w:hideMark/>
          </w:tcPr>
          <w:p w14:paraId="0C27AFF9" w14:textId="77777777" w:rsidR="00E72F0C" w:rsidRPr="004D5509" w:rsidRDefault="00107901">
            <w:pPr>
              <w:pStyle w:val="a3"/>
              <w:spacing w:before="0" w:beforeAutospacing="0" w:after="0" w:afterAutospacing="0" w:line="360" w:lineRule="atLeast"/>
              <w:jc w:val="right"/>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sz w:val="18"/>
                <w:szCs w:val="18"/>
              </w:rPr>
              <w:t> </w:t>
            </w:r>
          </w:p>
        </w:tc>
        <w:tc>
          <w:tcPr>
            <w:tcW w:w="0" w:type="auto"/>
            <w:noWrap/>
            <w:tcMar>
              <w:top w:w="0" w:type="dxa"/>
              <w:left w:w="108" w:type="dxa"/>
              <w:bottom w:w="0" w:type="dxa"/>
              <w:right w:w="108" w:type="dxa"/>
            </w:tcMar>
            <w:vAlign w:val="center"/>
            <w:hideMark/>
          </w:tcPr>
          <w:p w14:paraId="69969B0D" w14:textId="77777777" w:rsidR="00E72F0C" w:rsidRPr="004D5509" w:rsidRDefault="00107901">
            <w:pPr>
              <w:pStyle w:val="a3"/>
              <w:spacing w:before="0" w:beforeAutospacing="0" w:after="0" w:afterAutospacing="0" w:line="360" w:lineRule="atLeast"/>
              <w:jc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sz w:val="18"/>
                <w:szCs w:val="18"/>
              </w:rPr>
              <w:t> </w:t>
            </w:r>
          </w:p>
        </w:tc>
      </w:tr>
      <w:tr w:rsidR="00E72F0C" w:rsidRPr="004D5509" w14:paraId="0B25B79E" w14:textId="77777777" w:rsidTr="00F84867">
        <w:trPr>
          <w:divId w:val="1450927944"/>
          <w:trHeight w:val="288"/>
        </w:trPr>
        <w:tc>
          <w:tcPr>
            <w:tcW w:w="2930" w:type="dxa"/>
            <w:tcMar>
              <w:top w:w="0" w:type="dxa"/>
              <w:left w:w="108" w:type="dxa"/>
              <w:bottom w:w="0" w:type="dxa"/>
              <w:right w:w="108" w:type="dxa"/>
            </w:tcMar>
            <w:vAlign w:val="center"/>
            <w:hideMark/>
          </w:tcPr>
          <w:p w14:paraId="62F14183" w14:textId="77777777" w:rsidR="00E72F0C" w:rsidRPr="004D5509" w:rsidRDefault="00107901">
            <w:pPr>
              <w:pStyle w:val="a3"/>
              <w:spacing w:before="0" w:beforeAutospacing="0" w:after="0" w:afterAutospacing="0"/>
              <w:jc w:val="both"/>
              <w:textAlignment w:val="bottom"/>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color w:val="000000"/>
                <w:sz w:val="18"/>
                <w:szCs w:val="18"/>
              </w:rPr>
              <w:t>（2）权益工具投资</w:t>
            </w:r>
          </w:p>
        </w:tc>
        <w:tc>
          <w:tcPr>
            <w:tcW w:w="1561" w:type="dxa"/>
            <w:noWrap/>
            <w:tcMar>
              <w:top w:w="0" w:type="dxa"/>
              <w:left w:w="108" w:type="dxa"/>
              <w:bottom w:w="0" w:type="dxa"/>
              <w:right w:w="108" w:type="dxa"/>
            </w:tcMar>
            <w:vAlign w:val="center"/>
            <w:hideMark/>
          </w:tcPr>
          <w:p w14:paraId="5C6B216B" w14:textId="77777777" w:rsidR="00E72F0C" w:rsidRPr="004D5509" w:rsidRDefault="00107901">
            <w:pPr>
              <w:pStyle w:val="a3"/>
              <w:spacing w:before="0" w:beforeAutospacing="0" w:after="0" w:afterAutospacing="0"/>
              <w:jc w:val="right"/>
              <w:rPr>
                <w:rFonts w:asciiTheme="minorEastAsia" w:eastAsiaTheme="minorEastAsia" w:hAnsiTheme="minorEastAsia" w:cs="Times New Roman" w:hint="eastAsia"/>
                <w:sz w:val="18"/>
                <w:szCs w:val="18"/>
              </w:rPr>
            </w:pPr>
            <w:r w:rsidRPr="004D5509">
              <w:rPr>
                <w:rFonts w:asciiTheme="minorEastAsia" w:eastAsiaTheme="minorEastAsia" w:hAnsiTheme="minorEastAsia" w:cs="Arial"/>
                <w:color w:val="000000"/>
                <w:sz w:val="18"/>
                <w:szCs w:val="18"/>
              </w:rPr>
              <w:t>29,326,500.00</w:t>
            </w:r>
          </w:p>
        </w:tc>
        <w:tc>
          <w:tcPr>
            <w:tcW w:w="1656" w:type="dxa"/>
            <w:tcMar>
              <w:top w:w="0" w:type="dxa"/>
              <w:left w:w="108" w:type="dxa"/>
              <w:bottom w:w="0" w:type="dxa"/>
              <w:right w:w="108" w:type="dxa"/>
            </w:tcMar>
            <w:vAlign w:val="center"/>
            <w:hideMark/>
          </w:tcPr>
          <w:p w14:paraId="14EDF61E" w14:textId="77777777" w:rsidR="00E72F0C" w:rsidRPr="004D5509" w:rsidRDefault="00107901">
            <w:pPr>
              <w:pStyle w:val="a3"/>
              <w:spacing w:before="0" w:beforeAutospacing="0" w:after="0" w:afterAutospacing="0" w:line="360" w:lineRule="atLeast"/>
              <w:jc w:val="both"/>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sz w:val="18"/>
                <w:szCs w:val="18"/>
              </w:rPr>
              <w:t>全国中小企业股份转让系统</w:t>
            </w:r>
          </w:p>
        </w:tc>
        <w:tc>
          <w:tcPr>
            <w:tcW w:w="0" w:type="auto"/>
            <w:noWrap/>
            <w:tcMar>
              <w:top w:w="0" w:type="dxa"/>
              <w:left w:w="108" w:type="dxa"/>
              <w:bottom w:w="0" w:type="dxa"/>
              <w:right w:w="108" w:type="dxa"/>
            </w:tcMar>
            <w:vAlign w:val="center"/>
            <w:hideMark/>
          </w:tcPr>
          <w:p w14:paraId="08079420" w14:textId="77777777" w:rsidR="00E72F0C" w:rsidRPr="004D5509" w:rsidRDefault="00107901">
            <w:pPr>
              <w:pStyle w:val="a3"/>
              <w:spacing w:before="0" w:beforeAutospacing="0" w:after="0" w:afterAutospacing="0" w:line="360" w:lineRule="atLeast"/>
              <w:jc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sz w:val="18"/>
                <w:szCs w:val="18"/>
              </w:rPr>
              <w:t xml:space="preserve">　</w:t>
            </w:r>
            <w:r w:rsidRPr="004D5509">
              <w:rPr>
                <w:rFonts w:asciiTheme="minorEastAsia" w:eastAsiaTheme="minorEastAsia" w:hAnsiTheme="minorEastAsia" w:cs="Arial"/>
                <w:sz w:val="18"/>
                <w:szCs w:val="18"/>
              </w:rPr>
              <w:t>2.25</w:t>
            </w:r>
            <w:r w:rsidRPr="004D5509">
              <w:rPr>
                <w:rFonts w:asciiTheme="minorEastAsia" w:eastAsiaTheme="minorEastAsia" w:hAnsiTheme="minorEastAsia" w:cs="Times New Roman" w:hint="eastAsia"/>
                <w:sz w:val="18"/>
                <w:szCs w:val="18"/>
              </w:rPr>
              <w:t>元</w:t>
            </w:r>
            <w:r w:rsidRPr="004D5509">
              <w:rPr>
                <w:rFonts w:asciiTheme="minorEastAsia" w:eastAsiaTheme="minorEastAsia" w:hAnsiTheme="minorEastAsia" w:cs="Arial"/>
                <w:sz w:val="18"/>
                <w:szCs w:val="18"/>
              </w:rPr>
              <w:t>/</w:t>
            </w:r>
            <w:r w:rsidRPr="004D5509">
              <w:rPr>
                <w:rFonts w:asciiTheme="minorEastAsia" w:eastAsiaTheme="minorEastAsia" w:hAnsiTheme="minorEastAsia" w:cs="Times New Roman" w:hint="eastAsia"/>
                <w:sz w:val="18"/>
                <w:szCs w:val="18"/>
              </w:rPr>
              <w:t>股</w:t>
            </w:r>
          </w:p>
        </w:tc>
        <w:tc>
          <w:tcPr>
            <w:tcW w:w="0" w:type="auto"/>
            <w:noWrap/>
            <w:tcMar>
              <w:top w:w="0" w:type="dxa"/>
              <w:left w:w="108" w:type="dxa"/>
              <w:bottom w:w="0" w:type="dxa"/>
              <w:right w:w="108" w:type="dxa"/>
            </w:tcMar>
            <w:vAlign w:val="center"/>
            <w:hideMark/>
          </w:tcPr>
          <w:p w14:paraId="25CA3E15" w14:textId="77777777" w:rsidR="00E72F0C" w:rsidRPr="004D5509" w:rsidRDefault="00107901">
            <w:pPr>
              <w:pStyle w:val="a3"/>
              <w:spacing w:before="0" w:beforeAutospacing="0" w:after="0" w:afterAutospacing="0" w:line="360" w:lineRule="atLeast"/>
              <w:jc w:val="right"/>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sz w:val="18"/>
                <w:szCs w:val="18"/>
              </w:rPr>
              <w:t> </w:t>
            </w:r>
            <w:r w:rsidRPr="004D5509">
              <w:rPr>
                <w:rFonts w:asciiTheme="minorEastAsia" w:eastAsiaTheme="minorEastAsia" w:hAnsiTheme="minorEastAsia" w:cs="Arial"/>
                <w:sz w:val="18"/>
                <w:szCs w:val="18"/>
              </w:rPr>
              <w:t>/</w:t>
            </w:r>
            <w:r w:rsidRPr="004D5509">
              <w:rPr>
                <w:rFonts w:asciiTheme="minorEastAsia" w:eastAsiaTheme="minorEastAsia" w:hAnsiTheme="minorEastAsia" w:cs="Times New Roman" w:hint="eastAsia"/>
                <w:sz w:val="18"/>
                <w:szCs w:val="18"/>
              </w:rPr>
              <w:t xml:space="preserve">　</w:t>
            </w:r>
          </w:p>
        </w:tc>
        <w:tc>
          <w:tcPr>
            <w:tcW w:w="0" w:type="auto"/>
            <w:noWrap/>
            <w:tcMar>
              <w:top w:w="0" w:type="dxa"/>
              <w:left w:w="108" w:type="dxa"/>
              <w:bottom w:w="0" w:type="dxa"/>
              <w:right w:w="108" w:type="dxa"/>
            </w:tcMar>
            <w:vAlign w:val="center"/>
            <w:hideMark/>
          </w:tcPr>
          <w:p w14:paraId="5ABC76C8" w14:textId="77777777" w:rsidR="00E72F0C" w:rsidRPr="004D5509" w:rsidRDefault="00107901">
            <w:pPr>
              <w:pStyle w:val="a3"/>
              <w:spacing w:before="0" w:beforeAutospacing="0" w:after="0" w:afterAutospacing="0" w:line="360" w:lineRule="atLeast"/>
              <w:jc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sz w:val="18"/>
                <w:szCs w:val="18"/>
              </w:rPr>
              <w:t xml:space="preserve">　东方财富网</w:t>
            </w:r>
          </w:p>
        </w:tc>
      </w:tr>
    </w:tbl>
    <w:p w14:paraId="7F9C2F33" w14:textId="77777777" w:rsidR="00632E5B" w:rsidRDefault="00107901">
      <w:pPr>
        <w:pStyle w:val="3"/>
        <w:spacing w:line="280" w:lineRule="exact"/>
        <w:jc w:val="left"/>
        <w:rPr>
          <w:rFonts w:ascii="宋体" w:hAnsi="宋体" w:cs="宋体" w:hint="eastAsia"/>
          <w:b/>
          <w:bCs/>
        </w:rPr>
      </w:pPr>
      <w:bookmarkStart w:id="362" w:name="_Toc989252"/>
      <w:r>
        <w:rPr>
          <w:rFonts w:ascii="宋体" w:hAnsi="宋体" w:cs="宋体"/>
          <w:b/>
          <w:bCs/>
        </w:rPr>
        <w:t>3、持续和非持续第三层次公允价值计量项目，采用的估值技术和重要参数的定性及定量信息</w:t>
      </w:r>
      <w:bookmarkEnd w:id="362"/>
    </w:p>
    <w:p w14:paraId="25CBA958" w14:textId="77777777" w:rsidR="00E72F0C" w:rsidRDefault="00107901">
      <w:pPr>
        <w:pStyle w:val="a3"/>
        <w:divId w:val="2003967973"/>
        <w:rPr>
          <w:rFonts w:hint="eastAsia"/>
          <w:sz w:val="18"/>
          <w:szCs w:val="18"/>
        </w:rPr>
      </w:pPr>
      <w:r>
        <w:rPr>
          <w:rFonts w:hint="eastAsia"/>
          <w:sz w:val="18"/>
          <w:szCs w:val="18"/>
        </w:rPr>
        <w:t>重要的、可合理取得的不可观察输入值的量化信息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25"/>
        <w:gridCol w:w="2968"/>
        <w:gridCol w:w="4434"/>
      </w:tblGrid>
      <w:tr w:rsidR="00E72F0C" w:rsidRPr="00F84867" w14:paraId="5A1C54CC" w14:textId="77777777" w:rsidTr="00F84867">
        <w:trPr>
          <w:divId w:val="2003967973"/>
          <w:trHeight w:val="480"/>
          <w:tblHeader/>
        </w:trPr>
        <w:tc>
          <w:tcPr>
            <w:tcW w:w="1155" w:type="pct"/>
            <w:noWrap/>
            <w:tcMar>
              <w:top w:w="0" w:type="dxa"/>
              <w:left w:w="108" w:type="dxa"/>
              <w:bottom w:w="0" w:type="dxa"/>
              <w:right w:w="108" w:type="dxa"/>
            </w:tcMar>
            <w:vAlign w:val="center"/>
            <w:hideMark/>
          </w:tcPr>
          <w:p w14:paraId="112C6B84" w14:textId="77777777" w:rsidR="00E72F0C" w:rsidRPr="00F84867" w:rsidRDefault="00107901">
            <w:pPr>
              <w:pStyle w:val="a3"/>
              <w:spacing w:before="0" w:beforeAutospacing="0" w:after="0" w:afterAutospacing="0" w:line="360" w:lineRule="atLeast"/>
              <w:jc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项目</w:t>
            </w:r>
          </w:p>
        </w:tc>
        <w:tc>
          <w:tcPr>
            <w:tcW w:w="1541" w:type="pct"/>
            <w:tcMar>
              <w:top w:w="0" w:type="dxa"/>
              <w:left w:w="108" w:type="dxa"/>
              <w:bottom w:w="0" w:type="dxa"/>
              <w:right w:w="108" w:type="dxa"/>
            </w:tcMar>
            <w:vAlign w:val="center"/>
            <w:hideMark/>
          </w:tcPr>
          <w:p w14:paraId="7025528F" w14:textId="77777777" w:rsidR="00E72F0C" w:rsidRPr="00F84867" w:rsidRDefault="00107901">
            <w:pPr>
              <w:pStyle w:val="a3"/>
              <w:spacing w:before="0" w:beforeAutospacing="0" w:after="0" w:afterAutospacing="0" w:line="360" w:lineRule="atLeast"/>
              <w:jc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color w:val="000000"/>
                <w:sz w:val="18"/>
                <w:szCs w:val="18"/>
              </w:rPr>
              <w:t>2024</w:t>
            </w:r>
            <w:r w:rsidRPr="00F84867">
              <w:rPr>
                <w:rFonts w:asciiTheme="minorEastAsia" w:eastAsiaTheme="minorEastAsia" w:hAnsiTheme="minorEastAsia" w:cs="Times New Roman" w:hint="eastAsia"/>
                <w:color w:val="000000"/>
                <w:sz w:val="18"/>
                <w:szCs w:val="18"/>
              </w:rPr>
              <w:t>年</w:t>
            </w:r>
            <w:r w:rsidRPr="00F84867">
              <w:rPr>
                <w:rFonts w:asciiTheme="minorEastAsia" w:eastAsiaTheme="minorEastAsia" w:hAnsiTheme="minorEastAsia" w:cs="Times New Roman"/>
                <w:color w:val="000000"/>
                <w:sz w:val="18"/>
                <w:szCs w:val="18"/>
              </w:rPr>
              <w:t>12</w:t>
            </w:r>
            <w:r w:rsidRPr="00F84867">
              <w:rPr>
                <w:rFonts w:asciiTheme="minorEastAsia" w:eastAsiaTheme="minorEastAsia" w:hAnsiTheme="minorEastAsia" w:cs="Times New Roman" w:hint="eastAsia"/>
                <w:color w:val="000000"/>
                <w:sz w:val="18"/>
                <w:szCs w:val="18"/>
              </w:rPr>
              <w:t>月</w:t>
            </w:r>
            <w:r w:rsidRPr="00F84867">
              <w:rPr>
                <w:rFonts w:asciiTheme="minorEastAsia" w:eastAsiaTheme="minorEastAsia" w:hAnsiTheme="minorEastAsia" w:cs="Times New Roman"/>
                <w:color w:val="000000"/>
                <w:sz w:val="18"/>
                <w:szCs w:val="18"/>
              </w:rPr>
              <w:t>31</w:t>
            </w:r>
            <w:r w:rsidRPr="00F84867">
              <w:rPr>
                <w:rFonts w:asciiTheme="minorEastAsia" w:eastAsiaTheme="minorEastAsia" w:hAnsiTheme="minorEastAsia" w:cs="Times New Roman" w:hint="eastAsia"/>
                <w:color w:val="000000"/>
                <w:sz w:val="18"/>
                <w:szCs w:val="18"/>
              </w:rPr>
              <w:t>日的公允价值</w:t>
            </w:r>
          </w:p>
        </w:tc>
        <w:tc>
          <w:tcPr>
            <w:tcW w:w="2303" w:type="pct"/>
            <w:noWrap/>
            <w:tcMar>
              <w:top w:w="0" w:type="dxa"/>
              <w:left w:w="108" w:type="dxa"/>
              <w:bottom w:w="0" w:type="dxa"/>
              <w:right w:w="108" w:type="dxa"/>
            </w:tcMar>
            <w:vAlign w:val="center"/>
            <w:hideMark/>
          </w:tcPr>
          <w:p w14:paraId="62DD2D36" w14:textId="77777777" w:rsidR="00E72F0C" w:rsidRPr="00F84867" w:rsidRDefault="00107901">
            <w:pPr>
              <w:pStyle w:val="a3"/>
              <w:spacing w:before="0" w:beforeAutospacing="0" w:after="0" w:afterAutospacing="0" w:line="360" w:lineRule="atLeast"/>
              <w:jc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估值技术</w:t>
            </w:r>
          </w:p>
        </w:tc>
      </w:tr>
      <w:tr w:rsidR="00E72F0C" w:rsidRPr="00F84867" w14:paraId="27364424" w14:textId="77777777" w:rsidTr="00F84867">
        <w:trPr>
          <w:divId w:val="2003967973"/>
          <w:trHeight w:val="480"/>
          <w:tblHeader/>
        </w:trPr>
        <w:tc>
          <w:tcPr>
            <w:tcW w:w="1155" w:type="pct"/>
            <w:noWrap/>
            <w:tcMar>
              <w:top w:w="0" w:type="dxa"/>
              <w:left w:w="108" w:type="dxa"/>
              <w:bottom w:w="0" w:type="dxa"/>
              <w:right w:w="108" w:type="dxa"/>
            </w:tcMar>
            <w:vAlign w:val="center"/>
            <w:hideMark/>
          </w:tcPr>
          <w:p w14:paraId="0BEDEA55" w14:textId="77777777" w:rsidR="00E72F0C" w:rsidRPr="00F84867" w:rsidRDefault="00107901">
            <w:pPr>
              <w:pStyle w:val="a3"/>
              <w:spacing w:before="0" w:beforeAutospacing="0" w:after="0" w:afterAutospacing="0" w:line="360" w:lineRule="atLeast"/>
              <w:jc w:val="both"/>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sz w:val="18"/>
                <w:szCs w:val="18"/>
              </w:rPr>
              <w:t>应收款项融资</w:t>
            </w:r>
          </w:p>
        </w:tc>
        <w:tc>
          <w:tcPr>
            <w:tcW w:w="1541" w:type="pct"/>
            <w:tcMar>
              <w:top w:w="0" w:type="dxa"/>
              <w:left w:w="108" w:type="dxa"/>
              <w:bottom w:w="0" w:type="dxa"/>
              <w:right w:w="108" w:type="dxa"/>
            </w:tcMar>
            <w:vAlign w:val="center"/>
            <w:hideMark/>
          </w:tcPr>
          <w:p w14:paraId="414378A6"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55,105,085.82</w:t>
            </w:r>
          </w:p>
        </w:tc>
        <w:tc>
          <w:tcPr>
            <w:tcW w:w="2303" w:type="pct"/>
            <w:noWrap/>
            <w:tcMar>
              <w:top w:w="0" w:type="dxa"/>
              <w:left w:w="108" w:type="dxa"/>
              <w:bottom w:w="0" w:type="dxa"/>
              <w:right w:w="108" w:type="dxa"/>
            </w:tcMar>
            <w:vAlign w:val="center"/>
            <w:hideMark/>
          </w:tcPr>
          <w:p w14:paraId="547853DE" w14:textId="77777777" w:rsidR="00E72F0C" w:rsidRPr="00F84867" w:rsidRDefault="00107901">
            <w:pPr>
              <w:pStyle w:val="a3"/>
              <w:spacing w:before="0" w:beforeAutospacing="0" w:after="0" w:afterAutospacing="0" w:line="360" w:lineRule="atLeast"/>
              <w:jc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以投资成本作为评估其公允价值的重要参考依据</w:t>
            </w:r>
          </w:p>
        </w:tc>
      </w:tr>
      <w:tr w:rsidR="00E72F0C" w:rsidRPr="00F84867" w14:paraId="2869301C" w14:textId="77777777" w:rsidTr="00F84867">
        <w:trPr>
          <w:divId w:val="2003967973"/>
          <w:trHeight w:val="480"/>
          <w:tblHeader/>
        </w:trPr>
        <w:tc>
          <w:tcPr>
            <w:tcW w:w="1155" w:type="pct"/>
            <w:noWrap/>
            <w:tcMar>
              <w:top w:w="0" w:type="dxa"/>
              <w:left w:w="108" w:type="dxa"/>
              <w:bottom w:w="0" w:type="dxa"/>
              <w:right w:w="108" w:type="dxa"/>
            </w:tcMar>
            <w:vAlign w:val="center"/>
            <w:hideMark/>
          </w:tcPr>
          <w:p w14:paraId="67E0E068" w14:textId="77777777" w:rsidR="00E72F0C" w:rsidRPr="00F84867" w:rsidRDefault="00107901">
            <w:pPr>
              <w:pStyle w:val="a3"/>
              <w:spacing w:before="0" w:beforeAutospacing="0" w:after="0" w:afterAutospacing="0" w:line="360" w:lineRule="atLeast"/>
              <w:jc w:val="both"/>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其他权益工具投资</w:t>
            </w:r>
          </w:p>
        </w:tc>
        <w:tc>
          <w:tcPr>
            <w:tcW w:w="1541" w:type="pct"/>
            <w:tcMar>
              <w:top w:w="0" w:type="dxa"/>
              <w:left w:w="108" w:type="dxa"/>
              <w:bottom w:w="0" w:type="dxa"/>
              <w:right w:w="108" w:type="dxa"/>
            </w:tcMar>
            <w:vAlign w:val="center"/>
            <w:hideMark/>
          </w:tcPr>
          <w:p w14:paraId="390DF2FD"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415,163,364.76</w:t>
            </w:r>
          </w:p>
        </w:tc>
        <w:tc>
          <w:tcPr>
            <w:tcW w:w="2303" w:type="pct"/>
            <w:noWrap/>
            <w:tcMar>
              <w:top w:w="0" w:type="dxa"/>
              <w:left w:w="108" w:type="dxa"/>
              <w:bottom w:w="0" w:type="dxa"/>
              <w:right w:w="108" w:type="dxa"/>
            </w:tcMar>
            <w:vAlign w:val="center"/>
            <w:hideMark/>
          </w:tcPr>
          <w:p w14:paraId="672F9B64" w14:textId="77777777" w:rsidR="00E72F0C" w:rsidRPr="00F84867" w:rsidRDefault="00107901">
            <w:pPr>
              <w:pStyle w:val="a3"/>
              <w:spacing w:before="0" w:beforeAutospacing="0" w:after="0" w:afterAutospacing="0" w:line="360" w:lineRule="atLeast"/>
              <w:jc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现金流量折现法</w:t>
            </w:r>
          </w:p>
        </w:tc>
      </w:tr>
    </w:tbl>
    <w:p w14:paraId="2710DEAD" w14:textId="77777777" w:rsidR="00632E5B" w:rsidRDefault="00107901">
      <w:pPr>
        <w:pStyle w:val="3"/>
        <w:spacing w:line="280" w:lineRule="exact"/>
        <w:jc w:val="left"/>
        <w:rPr>
          <w:rFonts w:ascii="宋体" w:hAnsi="宋体" w:cs="宋体" w:hint="eastAsia"/>
          <w:b/>
          <w:bCs/>
        </w:rPr>
      </w:pPr>
      <w:bookmarkStart w:id="363" w:name="_Toc989253"/>
      <w:r>
        <w:rPr>
          <w:rFonts w:ascii="宋体" w:hAnsi="宋体" w:cs="宋体"/>
          <w:b/>
          <w:bCs/>
        </w:rPr>
        <w:t>4、不以公允价值计量的金融资产和金融负债的公允价值情况</w:t>
      </w:r>
      <w:bookmarkEnd w:id="363"/>
    </w:p>
    <w:p w14:paraId="4D3B4B0B" w14:textId="77777777" w:rsidR="00E72F0C" w:rsidRDefault="00107901">
      <w:pPr>
        <w:pStyle w:val="a3"/>
        <w:divId w:val="495583540"/>
        <w:rPr>
          <w:rFonts w:hint="eastAsia"/>
          <w:sz w:val="18"/>
          <w:szCs w:val="18"/>
        </w:rPr>
      </w:pPr>
      <w:r>
        <w:rPr>
          <w:rFonts w:hint="eastAsia"/>
          <w:sz w:val="18"/>
          <w:szCs w:val="18"/>
        </w:rPr>
        <w:t>本公司12月31日各项金融资产和金融负债的账面价值与公允价值之间无重大差异。</w:t>
      </w:r>
    </w:p>
    <w:p w14:paraId="76BAC7AC" w14:textId="77777777" w:rsidR="00632E5B" w:rsidRDefault="00107901">
      <w:pPr>
        <w:pStyle w:val="2"/>
        <w:spacing w:before="300" w:after="300" w:line="320" w:lineRule="exact"/>
        <w:rPr>
          <w:rFonts w:ascii="宋体" w:eastAsia="宋体" w:hAnsi="宋体" w:cs="宋体" w:hint="eastAsia"/>
          <w:b/>
          <w:bCs/>
          <w:sz w:val="24"/>
          <w:szCs w:val="24"/>
        </w:rPr>
      </w:pPr>
      <w:bookmarkStart w:id="364" w:name="_Toc989254"/>
      <w:r>
        <w:rPr>
          <w:rFonts w:ascii="宋体" w:eastAsia="宋体" w:hAnsi="宋体" w:cs="宋体"/>
          <w:b/>
          <w:bCs/>
          <w:sz w:val="24"/>
          <w:szCs w:val="24"/>
        </w:rPr>
        <w:t>十三、关联方及关联交易</w:t>
      </w:r>
      <w:bookmarkEnd w:id="364"/>
    </w:p>
    <w:p w14:paraId="768B1A27" w14:textId="77777777" w:rsidR="00632E5B" w:rsidRDefault="00107901">
      <w:pPr>
        <w:pStyle w:val="3"/>
        <w:spacing w:line="280" w:lineRule="exact"/>
        <w:jc w:val="left"/>
        <w:rPr>
          <w:rFonts w:ascii="宋体" w:hAnsi="宋体" w:cs="宋体" w:hint="eastAsia"/>
          <w:b/>
          <w:bCs/>
        </w:rPr>
      </w:pPr>
      <w:bookmarkStart w:id="365" w:name="_Toc989255"/>
      <w:r>
        <w:rPr>
          <w:rFonts w:ascii="宋体" w:hAnsi="宋体" w:cs="宋体"/>
          <w:b/>
          <w:bCs/>
        </w:rPr>
        <w:t>1、本企业的母公司情况</w:t>
      </w:r>
      <w:bookmarkEnd w:id="365"/>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606"/>
        <w:gridCol w:w="1606"/>
        <w:gridCol w:w="1606"/>
        <w:gridCol w:w="1607"/>
        <w:gridCol w:w="1607"/>
        <w:gridCol w:w="1607"/>
      </w:tblGrid>
      <w:tr w:rsidR="00632E5B" w14:paraId="701F8822" w14:textId="77777777" w:rsidTr="00F91968">
        <w:trPr>
          <w:trHeight w:val="240"/>
        </w:trPr>
        <w:tc>
          <w:tcPr>
            <w:tcW w:w="1606" w:type="dxa"/>
            <w:shd w:val="clear" w:color="auto" w:fill="FFFFFF" w:themeFill="background1"/>
            <w:vAlign w:val="center"/>
          </w:tcPr>
          <w:p w14:paraId="51772FF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母公司名称</w:t>
            </w:r>
          </w:p>
        </w:tc>
        <w:tc>
          <w:tcPr>
            <w:tcW w:w="1606" w:type="dxa"/>
            <w:shd w:val="clear" w:color="auto" w:fill="FFFFFF" w:themeFill="background1"/>
            <w:vAlign w:val="center"/>
          </w:tcPr>
          <w:p w14:paraId="64791DC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注册地</w:t>
            </w:r>
          </w:p>
        </w:tc>
        <w:tc>
          <w:tcPr>
            <w:tcW w:w="1606" w:type="dxa"/>
            <w:shd w:val="clear" w:color="auto" w:fill="FFFFFF" w:themeFill="background1"/>
            <w:vAlign w:val="center"/>
          </w:tcPr>
          <w:p w14:paraId="15785AD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业务性质</w:t>
            </w:r>
          </w:p>
        </w:tc>
        <w:tc>
          <w:tcPr>
            <w:tcW w:w="1606" w:type="dxa"/>
            <w:shd w:val="clear" w:color="auto" w:fill="FFFFFF" w:themeFill="background1"/>
            <w:vAlign w:val="center"/>
          </w:tcPr>
          <w:p w14:paraId="454109F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注册资本</w:t>
            </w:r>
          </w:p>
        </w:tc>
        <w:tc>
          <w:tcPr>
            <w:tcW w:w="1606" w:type="dxa"/>
            <w:shd w:val="clear" w:color="auto" w:fill="FFFFFF" w:themeFill="background1"/>
            <w:vAlign w:val="center"/>
          </w:tcPr>
          <w:p w14:paraId="6B286D9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母公司对本企业的持股比例</w:t>
            </w:r>
          </w:p>
        </w:tc>
        <w:tc>
          <w:tcPr>
            <w:tcW w:w="1606" w:type="dxa"/>
            <w:shd w:val="clear" w:color="auto" w:fill="FFFFFF" w:themeFill="background1"/>
            <w:vAlign w:val="center"/>
          </w:tcPr>
          <w:p w14:paraId="09006B4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母公司对本企业的表决权比例</w:t>
            </w:r>
          </w:p>
        </w:tc>
      </w:tr>
      <w:tr w:rsidR="00632E5B" w14:paraId="5352A096" w14:textId="77777777" w:rsidTr="00F91968">
        <w:trPr>
          <w:trHeight w:val="240"/>
        </w:trPr>
        <w:tc>
          <w:tcPr>
            <w:tcW w:w="1606" w:type="dxa"/>
            <w:shd w:val="clear" w:color="auto" w:fill="FFFFFF" w:themeFill="background1"/>
            <w:vAlign w:val="center"/>
          </w:tcPr>
          <w:p w14:paraId="04B6734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常熟光晟</w:t>
            </w:r>
          </w:p>
        </w:tc>
        <w:tc>
          <w:tcPr>
            <w:tcW w:w="1606" w:type="dxa"/>
            <w:shd w:val="clear" w:color="auto" w:fill="FFFFFF" w:themeFill="background1"/>
            <w:vAlign w:val="center"/>
          </w:tcPr>
          <w:p w14:paraId="6671D04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606" w:type="dxa"/>
            <w:shd w:val="clear" w:color="auto" w:fill="FFFFFF" w:themeFill="background1"/>
            <w:vAlign w:val="center"/>
          </w:tcPr>
          <w:p w14:paraId="3750DB7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电线、电缆制造；光伏设备及元器件制造等</w:t>
            </w:r>
          </w:p>
        </w:tc>
        <w:tc>
          <w:tcPr>
            <w:tcW w:w="1606" w:type="dxa"/>
            <w:shd w:val="clear" w:color="auto" w:fill="FFFFFF" w:themeFill="background1"/>
            <w:vAlign w:val="center"/>
          </w:tcPr>
          <w:p w14:paraId="34000E4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人民币5,000万元</w:t>
            </w:r>
          </w:p>
        </w:tc>
        <w:tc>
          <w:tcPr>
            <w:tcW w:w="1606" w:type="dxa"/>
            <w:shd w:val="clear" w:color="auto" w:fill="FFFFFF" w:themeFill="background1"/>
            <w:vAlign w:val="center"/>
          </w:tcPr>
          <w:p w14:paraId="01301CB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20.00%</w:t>
            </w:r>
          </w:p>
        </w:tc>
        <w:tc>
          <w:tcPr>
            <w:tcW w:w="1606" w:type="dxa"/>
            <w:shd w:val="clear" w:color="auto" w:fill="FFFFFF" w:themeFill="background1"/>
            <w:vAlign w:val="center"/>
          </w:tcPr>
          <w:p w14:paraId="2DCAACC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20.00%</w:t>
            </w:r>
          </w:p>
        </w:tc>
      </w:tr>
    </w:tbl>
    <w:p w14:paraId="23E7877A"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本企业的母公司情况的说明</w:t>
      </w:r>
    </w:p>
    <w:p w14:paraId="0445218D" w14:textId="77777777" w:rsidR="00E72F0C" w:rsidRDefault="00107901" w:rsidP="00695EAE">
      <w:pPr>
        <w:pStyle w:val="a3"/>
        <w:spacing w:before="0" w:beforeAutospacing="0" w:after="0" w:afterAutospacing="0"/>
        <w:divId w:val="935287126"/>
        <w:rPr>
          <w:rFonts w:hint="eastAsia"/>
          <w:sz w:val="18"/>
          <w:szCs w:val="18"/>
        </w:rPr>
      </w:pPr>
      <w:r>
        <w:rPr>
          <w:rFonts w:hint="eastAsia"/>
          <w:sz w:val="18"/>
          <w:szCs w:val="18"/>
        </w:rPr>
        <w:t>  从2024年12月30日起，本公司的第一大股东为常熟光晟。因此，本公司仅披露2024年12月31日与常熟光晟有关关联方的余额。</w:t>
      </w:r>
    </w:p>
    <w:p w14:paraId="6B24C39C"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本企业最终控制方是厦门国资委。</w:t>
      </w:r>
    </w:p>
    <w:p w14:paraId="003D05CC" w14:textId="77777777" w:rsidR="00632E5B" w:rsidRDefault="00107901">
      <w:pPr>
        <w:pStyle w:val="3"/>
        <w:spacing w:line="280" w:lineRule="exact"/>
        <w:jc w:val="left"/>
        <w:rPr>
          <w:rFonts w:ascii="宋体" w:hAnsi="宋体" w:cs="宋体" w:hint="eastAsia"/>
          <w:b/>
          <w:bCs/>
        </w:rPr>
      </w:pPr>
      <w:bookmarkStart w:id="366" w:name="_Toc989256"/>
      <w:r>
        <w:rPr>
          <w:rFonts w:ascii="宋体" w:hAnsi="宋体" w:cs="宋体"/>
          <w:b/>
          <w:bCs/>
        </w:rPr>
        <w:t>2、本企业的子公司情况</w:t>
      </w:r>
      <w:bookmarkEnd w:id="366"/>
    </w:p>
    <w:p w14:paraId="4014111E"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本企业子公司的情况详见附注九之1。</w:t>
      </w:r>
    </w:p>
    <w:p w14:paraId="5CE1739B" w14:textId="77777777" w:rsidR="00632E5B" w:rsidRDefault="00107901">
      <w:pPr>
        <w:pStyle w:val="3"/>
        <w:spacing w:line="280" w:lineRule="exact"/>
        <w:jc w:val="left"/>
        <w:rPr>
          <w:rFonts w:ascii="宋体" w:hAnsi="宋体" w:cs="宋体" w:hint="eastAsia"/>
          <w:b/>
          <w:bCs/>
        </w:rPr>
      </w:pPr>
      <w:bookmarkStart w:id="367" w:name="_Toc989257"/>
      <w:r>
        <w:rPr>
          <w:rFonts w:ascii="宋体" w:hAnsi="宋体" w:cs="宋体"/>
          <w:b/>
          <w:bCs/>
        </w:rPr>
        <w:lastRenderedPageBreak/>
        <w:t>3、本企业合营和联营企业情况</w:t>
      </w:r>
      <w:bookmarkEnd w:id="367"/>
    </w:p>
    <w:p w14:paraId="501CE304"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本企业重要的合营或联营企业详见附注九之2。</w:t>
      </w:r>
    </w:p>
    <w:p w14:paraId="7F3DE4E5"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本期与本公司发生关联方交易，或前期与本公司发生关联方交易形成余额的其他合营或联营企业情况如下：</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4820"/>
        <w:gridCol w:w="4819"/>
      </w:tblGrid>
      <w:tr w:rsidR="00632E5B" w14:paraId="63CD9835" w14:textId="77777777" w:rsidTr="00F91968">
        <w:trPr>
          <w:trHeight w:val="240"/>
        </w:trPr>
        <w:tc>
          <w:tcPr>
            <w:tcW w:w="4820" w:type="dxa"/>
            <w:shd w:val="clear" w:color="auto" w:fill="FFFFFF" w:themeFill="background1"/>
            <w:vAlign w:val="center"/>
          </w:tcPr>
          <w:p w14:paraId="04831A3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合营或联营企业名称</w:t>
            </w:r>
          </w:p>
        </w:tc>
        <w:tc>
          <w:tcPr>
            <w:tcW w:w="4820" w:type="dxa"/>
            <w:shd w:val="clear" w:color="auto" w:fill="FFFFFF" w:themeFill="background1"/>
            <w:vAlign w:val="center"/>
          </w:tcPr>
          <w:p w14:paraId="349218C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与本企业关系</w:t>
            </w:r>
          </w:p>
        </w:tc>
      </w:tr>
      <w:tr w:rsidR="00632E5B" w14:paraId="539E7D30" w14:textId="77777777" w:rsidTr="00F91968">
        <w:trPr>
          <w:trHeight w:val="240"/>
        </w:trPr>
        <w:tc>
          <w:tcPr>
            <w:tcW w:w="4820" w:type="dxa"/>
            <w:shd w:val="clear" w:color="auto" w:fill="FFFFFF" w:themeFill="background1"/>
            <w:vAlign w:val="center"/>
          </w:tcPr>
          <w:p w14:paraId="6155042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江苏中利电子信息科技有限公司</w:t>
            </w:r>
          </w:p>
        </w:tc>
        <w:tc>
          <w:tcPr>
            <w:tcW w:w="4820" w:type="dxa"/>
            <w:shd w:val="clear" w:color="auto" w:fill="FFFFFF" w:themeFill="background1"/>
            <w:vAlign w:val="center"/>
          </w:tcPr>
          <w:p w14:paraId="158CBF9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联营企业，中利集团股份有限公司持股19%</w:t>
            </w:r>
          </w:p>
        </w:tc>
      </w:tr>
    </w:tbl>
    <w:p w14:paraId="0F3D1AEB" w14:textId="77777777" w:rsidR="00632E5B" w:rsidRDefault="00107901">
      <w:pPr>
        <w:pStyle w:val="3"/>
        <w:spacing w:line="280" w:lineRule="exact"/>
        <w:jc w:val="left"/>
        <w:rPr>
          <w:rFonts w:ascii="宋体" w:hAnsi="宋体" w:cs="宋体" w:hint="eastAsia"/>
          <w:b/>
          <w:bCs/>
        </w:rPr>
      </w:pPr>
      <w:bookmarkStart w:id="368" w:name="_Toc989258"/>
      <w:r>
        <w:rPr>
          <w:rFonts w:ascii="宋体" w:hAnsi="宋体" w:cs="宋体"/>
          <w:b/>
          <w:bCs/>
        </w:rPr>
        <w:t>4、其他关联方情况</w:t>
      </w:r>
      <w:bookmarkEnd w:id="368"/>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4820"/>
        <w:gridCol w:w="4819"/>
      </w:tblGrid>
      <w:tr w:rsidR="00632E5B" w14:paraId="6DFB841E" w14:textId="77777777" w:rsidTr="00F91968">
        <w:trPr>
          <w:trHeight w:val="240"/>
        </w:trPr>
        <w:tc>
          <w:tcPr>
            <w:tcW w:w="4820" w:type="dxa"/>
            <w:shd w:val="clear" w:color="auto" w:fill="FFFFFF" w:themeFill="background1"/>
            <w:vAlign w:val="center"/>
          </w:tcPr>
          <w:p w14:paraId="363E6EC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其他关联方名称</w:t>
            </w:r>
          </w:p>
        </w:tc>
        <w:tc>
          <w:tcPr>
            <w:tcW w:w="4820" w:type="dxa"/>
            <w:shd w:val="clear" w:color="auto" w:fill="FFFFFF" w:themeFill="background1"/>
            <w:vAlign w:val="center"/>
          </w:tcPr>
          <w:p w14:paraId="142BC39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其他关联方与本企业关系</w:t>
            </w:r>
          </w:p>
        </w:tc>
      </w:tr>
      <w:tr w:rsidR="00632E5B" w14:paraId="2D409C69" w14:textId="77777777" w:rsidTr="00F91968">
        <w:trPr>
          <w:trHeight w:val="240"/>
        </w:trPr>
        <w:tc>
          <w:tcPr>
            <w:tcW w:w="4820" w:type="dxa"/>
            <w:shd w:val="clear" w:color="auto" w:fill="FFFFFF" w:themeFill="background1"/>
            <w:vAlign w:val="center"/>
          </w:tcPr>
          <w:p w14:paraId="6508744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王柏兴</w:t>
            </w:r>
          </w:p>
        </w:tc>
        <w:tc>
          <w:tcPr>
            <w:tcW w:w="4820" w:type="dxa"/>
            <w:shd w:val="clear" w:color="auto" w:fill="FFFFFF" w:themeFill="background1"/>
            <w:vAlign w:val="center"/>
          </w:tcPr>
          <w:p w14:paraId="10627C2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过去十二个月内持有上市公司5%以上的股东（2024年12月31日变更）</w:t>
            </w:r>
          </w:p>
        </w:tc>
      </w:tr>
      <w:tr w:rsidR="00632E5B" w14:paraId="7D66A1F2" w14:textId="77777777" w:rsidTr="00F91968">
        <w:trPr>
          <w:trHeight w:val="240"/>
        </w:trPr>
        <w:tc>
          <w:tcPr>
            <w:tcW w:w="4820" w:type="dxa"/>
            <w:shd w:val="clear" w:color="auto" w:fill="FFFFFF" w:themeFill="background1"/>
            <w:vAlign w:val="center"/>
          </w:tcPr>
          <w:p w14:paraId="22BD383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江苏中利控股集团有限公司</w:t>
            </w:r>
          </w:p>
        </w:tc>
        <w:tc>
          <w:tcPr>
            <w:tcW w:w="4820" w:type="dxa"/>
            <w:shd w:val="clear" w:color="auto" w:fill="FFFFFF" w:themeFill="background1"/>
            <w:vAlign w:val="center"/>
          </w:tcPr>
          <w:p w14:paraId="5023830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王柏兴持股94.7059%</w:t>
            </w:r>
          </w:p>
        </w:tc>
      </w:tr>
      <w:tr w:rsidR="00632E5B" w14:paraId="1466E135" w14:textId="77777777" w:rsidTr="00F91968">
        <w:trPr>
          <w:trHeight w:val="240"/>
        </w:trPr>
        <w:tc>
          <w:tcPr>
            <w:tcW w:w="4820" w:type="dxa"/>
            <w:shd w:val="clear" w:color="auto" w:fill="FFFFFF" w:themeFill="background1"/>
            <w:vAlign w:val="center"/>
          </w:tcPr>
          <w:p w14:paraId="655FAB2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江苏中利电子信息科技有限公司</w:t>
            </w:r>
          </w:p>
        </w:tc>
        <w:tc>
          <w:tcPr>
            <w:tcW w:w="4820" w:type="dxa"/>
            <w:shd w:val="clear" w:color="auto" w:fill="FFFFFF" w:themeFill="background1"/>
            <w:vAlign w:val="center"/>
          </w:tcPr>
          <w:p w14:paraId="2236339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联营企业，中利股份持股19%</w:t>
            </w:r>
          </w:p>
        </w:tc>
      </w:tr>
      <w:tr w:rsidR="00632E5B" w14:paraId="196EE0EE" w14:textId="77777777" w:rsidTr="00F91968">
        <w:trPr>
          <w:trHeight w:val="240"/>
        </w:trPr>
        <w:tc>
          <w:tcPr>
            <w:tcW w:w="4820" w:type="dxa"/>
            <w:shd w:val="clear" w:color="auto" w:fill="FFFFFF" w:themeFill="background1"/>
            <w:vAlign w:val="center"/>
          </w:tcPr>
          <w:p w14:paraId="49DA798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江苏新扬子造船有限公司</w:t>
            </w:r>
          </w:p>
        </w:tc>
        <w:tc>
          <w:tcPr>
            <w:tcW w:w="4820" w:type="dxa"/>
            <w:shd w:val="clear" w:color="auto" w:fill="FFFFFF" w:themeFill="background1"/>
            <w:vAlign w:val="center"/>
          </w:tcPr>
          <w:p w14:paraId="5D762B7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过去十二个月内持有上市公司5%以上的股东（2024年12月31日变更）</w:t>
            </w:r>
          </w:p>
        </w:tc>
      </w:tr>
      <w:tr w:rsidR="00632E5B" w14:paraId="736EDF5F" w14:textId="77777777" w:rsidTr="00F91968">
        <w:trPr>
          <w:trHeight w:val="240"/>
        </w:trPr>
        <w:tc>
          <w:tcPr>
            <w:tcW w:w="4820" w:type="dxa"/>
            <w:shd w:val="clear" w:color="auto" w:fill="FFFFFF" w:themeFill="background1"/>
            <w:vAlign w:val="center"/>
          </w:tcPr>
          <w:p w14:paraId="4DB7DCB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绿尔盛（重庆）环境科技有限公司</w:t>
            </w:r>
          </w:p>
        </w:tc>
        <w:tc>
          <w:tcPr>
            <w:tcW w:w="4820" w:type="dxa"/>
            <w:shd w:val="clear" w:color="auto" w:fill="FFFFFF" w:themeFill="background1"/>
            <w:vAlign w:val="center"/>
          </w:tcPr>
          <w:p w14:paraId="219BDCB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中利集团董事陈辉担任董事长的企业</w:t>
            </w:r>
          </w:p>
        </w:tc>
      </w:tr>
      <w:tr w:rsidR="00632E5B" w14:paraId="054356B0" w14:textId="77777777" w:rsidTr="00F91968">
        <w:trPr>
          <w:trHeight w:val="240"/>
        </w:trPr>
        <w:tc>
          <w:tcPr>
            <w:tcW w:w="4820" w:type="dxa"/>
            <w:shd w:val="clear" w:color="auto" w:fill="FFFFFF" w:themeFill="background1"/>
            <w:vAlign w:val="center"/>
          </w:tcPr>
          <w:p w14:paraId="7F7C349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山东中能技术有限公司</w:t>
            </w:r>
          </w:p>
        </w:tc>
        <w:tc>
          <w:tcPr>
            <w:tcW w:w="4820" w:type="dxa"/>
            <w:shd w:val="clear" w:color="auto" w:fill="FFFFFF" w:themeFill="background1"/>
            <w:vAlign w:val="center"/>
          </w:tcPr>
          <w:p w14:paraId="5AFBB45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王柏兴控制的其他企业</w:t>
            </w:r>
          </w:p>
        </w:tc>
      </w:tr>
      <w:tr w:rsidR="00632E5B" w14:paraId="165DCED8" w14:textId="77777777" w:rsidTr="00F91968">
        <w:trPr>
          <w:trHeight w:val="240"/>
        </w:trPr>
        <w:tc>
          <w:tcPr>
            <w:tcW w:w="4820" w:type="dxa"/>
            <w:shd w:val="clear" w:color="auto" w:fill="FFFFFF" w:themeFill="background1"/>
            <w:vAlign w:val="center"/>
          </w:tcPr>
          <w:p w14:paraId="03615DE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建发（上海）有限公司</w:t>
            </w:r>
          </w:p>
        </w:tc>
        <w:tc>
          <w:tcPr>
            <w:tcW w:w="4820" w:type="dxa"/>
            <w:shd w:val="clear" w:color="auto" w:fill="FFFFFF" w:themeFill="background1"/>
            <w:vAlign w:val="center"/>
          </w:tcPr>
          <w:p w14:paraId="495D2B9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实控人控制的其他企业</w:t>
            </w:r>
          </w:p>
        </w:tc>
      </w:tr>
    </w:tbl>
    <w:p w14:paraId="70FFD183" w14:textId="77777777" w:rsidR="00632E5B" w:rsidRDefault="00107901">
      <w:pPr>
        <w:pStyle w:val="3"/>
        <w:spacing w:line="280" w:lineRule="exact"/>
        <w:jc w:val="left"/>
        <w:rPr>
          <w:rFonts w:ascii="宋体" w:hAnsi="宋体" w:cs="宋体" w:hint="eastAsia"/>
          <w:b/>
          <w:bCs/>
        </w:rPr>
      </w:pPr>
      <w:bookmarkStart w:id="369" w:name="_Toc989259"/>
      <w:r>
        <w:rPr>
          <w:rFonts w:ascii="宋体" w:hAnsi="宋体" w:cs="宋体"/>
          <w:b/>
          <w:bCs/>
        </w:rPr>
        <w:t>5、关联交易情况</w:t>
      </w:r>
      <w:bookmarkEnd w:id="369"/>
    </w:p>
    <w:p w14:paraId="21157565"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370" w:name="_Toc989260"/>
      <w:r>
        <w:rPr>
          <w:rFonts w:ascii="宋体" w:eastAsia="宋体" w:hAnsi="宋体" w:cs="宋体"/>
          <w:b/>
          <w:bCs/>
          <w:szCs w:val="21"/>
        </w:rPr>
        <w:t>（1） 购销商品、提供和接受劳务的关联交易</w:t>
      </w:r>
      <w:bookmarkEnd w:id="370"/>
    </w:p>
    <w:p w14:paraId="4F455F42" w14:textId="77777777" w:rsidR="00FE6CED" w:rsidRDefault="00107901" w:rsidP="00FE6CED">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p w14:paraId="33645054" w14:textId="77777777" w:rsidR="00E72F0C" w:rsidRPr="004D5509" w:rsidRDefault="00107901" w:rsidP="00FE6CED">
      <w:pPr>
        <w:spacing w:before="120" w:after="120" w:line="240" w:lineRule="exact"/>
        <w:rPr>
          <w:rFonts w:asciiTheme="minorEastAsia" w:hAnsiTheme="minorEastAsia" w:cs="宋体" w:hint="eastAsia"/>
          <w:sz w:val="18"/>
          <w:szCs w:val="18"/>
        </w:rPr>
      </w:pPr>
      <w:r w:rsidRPr="004D5509">
        <w:rPr>
          <w:rFonts w:asciiTheme="minorEastAsia" w:hAnsiTheme="minorEastAsia" w:hint="eastAsia"/>
          <w:sz w:val="18"/>
          <w:szCs w:val="18"/>
        </w:rPr>
        <w:t>采购商品/接受劳务情况表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17"/>
        <w:gridCol w:w="2317"/>
        <w:gridCol w:w="1858"/>
        <w:gridCol w:w="1935"/>
      </w:tblGrid>
      <w:tr w:rsidR="00E72F0C" w:rsidRPr="004D5509" w14:paraId="3A838C20" w14:textId="77777777" w:rsidTr="00F84867">
        <w:trPr>
          <w:divId w:val="1769156160"/>
          <w:trHeight w:val="278"/>
          <w:jc w:val="center"/>
        </w:trPr>
        <w:tc>
          <w:tcPr>
            <w:tcW w:w="1825" w:type="pct"/>
            <w:tcMar>
              <w:top w:w="0" w:type="dxa"/>
              <w:left w:w="108" w:type="dxa"/>
              <w:bottom w:w="0" w:type="dxa"/>
              <w:right w:w="108" w:type="dxa"/>
            </w:tcMar>
            <w:vAlign w:val="center"/>
            <w:hideMark/>
          </w:tcPr>
          <w:p w14:paraId="2A6A68D4" w14:textId="77777777" w:rsidR="00E72F0C" w:rsidRPr="004D5509" w:rsidRDefault="00107901">
            <w:pPr>
              <w:pStyle w:val="a3"/>
              <w:spacing w:before="0" w:beforeAutospacing="0" w:after="0" w:afterAutospacing="0"/>
              <w:jc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color w:val="000000"/>
                <w:sz w:val="18"/>
                <w:szCs w:val="18"/>
              </w:rPr>
              <w:t>关联方</w:t>
            </w:r>
          </w:p>
        </w:tc>
        <w:tc>
          <w:tcPr>
            <w:tcW w:w="1203" w:type="pct"/>
            <w:tcMar>
              <w:top w:w="0" w:type="dxa"/>
              <w:left w:w="108" w:type="dxa"/>
              <w:bottom w:w="0" w:type="dxa"/>
              <w:right w:w="108" w:type="dxa"/>
            </w:tcMar>
            <w:vAlign w:val="center"/>
            <w:hideMark/>
          </w:tcPr>
          <w:p w14:paraId="4F445D57" w14:textId="77777777" w:rsidR="00E72F0C" w:rsidRPr="004D5509" w:rsidRDefault="00107901">
            <w:pPr>
              <w:pStyle w:val="a3"/>
              <w:spacing w:before="0" w:beforeAutospacing="0" w:after="0" w:afterAutospacing="0"/>
              <w:ind w:firstLine="180"/>
              <w:jc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color w:val="000000"/>
                <w:sz w:val="18"/>
                <w:szCs w:val="18"/>
              </w:rPr>
              <w:t>关联交易内容</w:t>
            </w:r>
          </w:p>
        </w:tc>
        <w:tc>
          <w:tcPr>
            <w:tcW w:w="965" w:type="pct"/>
            <w:tcMar>
              <w:top w:w="0" w:type="dxa"/>
              <w:left w:w="108" w:type="dxa"/>
              <w:bottom w:w="0" w:type="dxa"/>
              <w:right w:w="108" w:type="dxa"/>
            </w:tcMar>
            <w:vAlign w:val="center"/>
            <w:hideMark/>
          </w:tcPr>
          <w:p w14:paraId="0CBDA1A9" w14:textId="77777777" w:rsidR="00E72F0C" w:rsidRPr="004D5509" w:rsidRDefault="00107901">
            <w:pPr>
              <w:pStyle w:val="a3"/>
              <w:spacing w:before="0" w:beforeAutospacing="0" w:after="0" w:afterAutospacing="0"/>
              <w:ind w:firstLine="180"/>
              <w:jc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color w:val="000000"/>
                <w:sz w:val="18"/>
                <w:szCs w:val="18"/>
              </w:rPr>
              <w:t>本期发生额</w:t>
            </w:r>
          </w:p>
        </w:tc>
        <w:tc>
          <w:tcPr>
            <w:tcW w:w="1005" w:type="pct"/>
            <w:tcMar>
              <w:top w:w="0" w:type="dxa"/>
              <w:left w:w="108" w:type="dxa"/>
              <w:bottom w:w="0" w:type="dxa"/>
              <w:right w:w="108" w:type="dxa"/>
            </w:tcMar>
            <w:vAlign w:val="center"/>
            <w:hideMark/>
          </w:tcPr>
          <w:p w14:paraId="61EF75B5" w14:textId="77777777" w:rsidR="00E72F0C" w:rsidRPr="004D5509" w:rsidRDefault="00107901">
            <w:pPr>
              <w:pStyle w:val="a3"/>
              <w:spacing w:before="0" w:beforeAutospacing="0" w:after="0" w:afterAutospacing="0"/>
              <w:ind w:firstLine="180"/>
              <w:jc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color w:val="000000"/>
                <w:sz w:val="18"/>
                <w:szCs w:val="18"/>
              </w:rPr>
              <w:t>上期发生额</w:t>
            </w:r>
          </w:p>
        </w:tc>
      </w:tr>
      <w:tr w:rsidR="00E72F0C" w:rsidRPr="004D5509" w14:paraId="2FE53BD5" w14:textId="77777777" w:rsidTr="00F84867">
        <w:trPr>
          <w:divId w:val="1769156160"/>
          <w:trHeight w:val="278"/>
          <w:jc w:val="center"/>
        </w:trPr>
        <w:tc>
          <w:tcPr>
            <w:tcW w:w="1825" w:type="pct"/>
            <w:tcMar>
              <w:top w:w="0" w:type="dxa"/>
              <w:left w:w="108" w:type="dxa"/>
              <w:bottom w:w="0" w:type="dxa"/>
              <w:right w:w="108" w:type="dxa"/>
            </w:tcMar>
            <w:vAlign w:val="center"/>
            <w:hideMark/>
          </w:tcPr>
          <w:p w14:paraId="63A38CA0" w14:textId="77777777" w:rsidR="00E72F0C" w:rsidRPr="004D5509" w:rsidRDefault="00107901">
            <w:pPr>
              <w:pStyle w:val="a3"/>
              <w:spacing w:before="0" w:beforeAutospacing="0" w:after="0" w:afterAutospacing="0"/>
              <w:jc w:val="both"/>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sz w:val="18"/>
                <w:szCs w:val="18"/>
              </w:rPr>
              <w:t>山东中能技术有限公司</w:t>
            </w:r>
          </w:p>
        </w:tc>
        <w:tc>
          <w:tcPr>
            <w:tcW w:w="1203" w:type="pct"/>
            <w:tcMar>
              <w:top w:w="0" w:type="dxa"/>
              <w:left w:w="108" w:type="dxa"/>
              <w:bottom w:w="0" w:type="dxa"/>
              <w:right w:w="108" w:type="dxa"/>
            </w:tcMar>
            <w:vAlign w:val="center"/>
            <w:hideMark/>
          </w:tcPr>
          <w:p w14:paraId="1456D0A3" w14:textId="77777777" w:rsidR="00E72F0C" w:rsidRPr="004D5509" w:rsidRDefault="00107901">
            <w:pPr>
              <w:pStyle w:val="a3"/>
              <w:spacing w:before="0" w:beforeAutospacing="0" w:after="0" w:afterAutospacing="0"/>
              <w:jc w:val="both"/>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sz w:val="18"/>
                <w:szCs w:val="18"/>
              </w:rPr>
              <w:t>采购接线盒、连接器等</w:t>
            </w:r>
          </w:p>
        </w:tc>
        <w:tc>
          <w:tcPr>
            <w:tcW w:w="965" w:type="pct"/>
            <w:noWrap/>
            <w:tcMar>
              <w:top w:w="0" w:type="dxa"/>
              <w:left w:w="108" w:type="dxa"/>
              <w:bottom w:w="0" w:type="dxa"/>
              <w:right w:w="108" w:type="dxa"/>
            </w:tcMar>
            <w:vAlign w:val="center"/>
            <w:hideMark/>
          </w:tcPr>
          <w:p w14:paraId="618EB004" w14:textId="77777777" w:rsidR="00E72F0C" w:rsidRPr="004D5509" w:rsidRDefault="00107901">
            <w:pPr>
              <w:pStyle w:val="a3"/>
              <w:spacing w:before="0" w:beforeAutospacing="0" w:after="0" w:afterAutospacing="0"/>
              <w:jc w:val="right"/>
              <w:rPr>
                <w:rFonts w:asciiTheme="minorEastAsia" w:eastAsiaTheme="minorEastAsia" w:hAnsiTheme="minorEastAsia" w:cs="Times New Roman" w:hint="eastAsia"/>
                <w:sz w:val="18"/>
                <w:szCs w:val="18"/>
              </w:rPr>
            </w:pPr>
            <w:r w:rsidRPr="004D5509">
              <w:rPr>
                <w:rFonts w:asciiTheme="minorEastAsia" w:eastAsiaTheme="minorEastAsia" w:hAnsiTheme="minorEastAsia" w:cs="Arial"/>
                <w:sz w:val="18"/>
                <w:szCs w:val="18"/>
              </w:rPr>
              <w:t>5,323.89</w:t>
            </w:r>
          </w:p>
        </w:tc>
        <w:tc>
          <w:tcPr>
            <w:tcW w:w="1005" w:type="pct"/>
            <w:noWrap/>
            <w:tcMar>
              <w:top w:w="0" w:type="dxa"/>
              <w:left w:w="108" w:type="dxa"/>
              <w:bottom w:w="0" w:type="dxa"/>
              <w:right w:w="108" w:type="dxa"/>
            </w:tcMar>
            <w:vAlign w:val="center"/>
            <w:hideMark/>
          </w:tcPr>
          <w:p w14:paraId="3A036923" w14:textId="77777777" w:rsidR="00E72F0C" w:rsidRPr="004D5509" w:rsidRDefault="00107901">
            <w:pPr>
              <w:pStyle w:val="a3"/>
              <w:spacing w:before="0" w:beforeAutospacing="0" w:after="0" w:afterAutospacing="0"/>
              <w:jc w:val="right"/>
              <w:rPr>
                <w:rFonts w:asciiTheme="minorEastAsia" w:eastAsiaTheme="minorEastAsia" w:hAnsiTheme="minorEastAsia" w:cs="Times New Roman" w:hint="eastAsia"/>
                <w:sz w:val="18"/>
                <w:szCs w:val="18"/>
              </w:rPr>
            </w:pPr>
            <w:r w:rsidRPr="004D5509">
              <w:rPr>
                <w:rFonts w:asciiTheme="minorEastAsia" w:eastAsiaTheme="minorEastAsia" w:hAnsiTheme="minorEastAsia" w:cs="Arial"/>
                <w:sz w:val="18"/>
                <w:szCs w:val="18"/>
              </w:rPr>
              <w:t>6,338.05</w:t>
            </w:r>
          </w:p>
        </w:tc>
      </w:tr>
      <w:tr w:rsidR="00E72F0C" w:rsidRPr="004D5509" w14:paraId="7121168F" w14:textId="77777777" w:rsidTr="00F84867">
        <w:trPr>
          <w:divId w:val="1769156160"/>
          <w:trHeight w:val="278"/>
          <w:jc w:val="center"/>
        </w:trPr>
        <w:tc>
          <w:tcPr>
            <w:tcW w:w="1825" w:type="pct"/>
            <w:tcMar>
              <w:top w:w="0" w:type="dxa"/>
              <w:left w:w="108" w:type="dxa"/>
              <w:bottom w:w="0" w:type="dxa"/>
              <w:right w:w="108" w:type="dxa"/>
            </w:tcMar>
            <w:vAlign w:val="center"/>
            <w:hideMark/>
          </w:tcPr>
          <w:p w14:paraId="0835253C" w14:textId="77777777" w:rsidR="00E72F0C" w:rsidRPr="004D5509" w:rsidRDefault="00107901">
            <w:pPr>
              <w:pStyle w:val="a3"/>
              <w:spacing w:before="0" w:beforeAutospacing="0" w:after="0" w:afterAutospacing="0"/>
              <w:jc w:val="both"/>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sz w:val="18"/>
                <w:szCs w:val="18"/>
              </w:rPr>
              <w:t>江苏中利控股集团有限公司</w:t>
            </w:r>
          </w:p>
        </w:tc>
        <w:tc>
          <w:tcPr>
            <w:tcW w:w="1203" w:type="pct"/>
            <w:tcMar>
              <w:top w:w="0" w:type="dxa"/>
              <w:left w:w="108" w:type="dxa"/>
              <w:bottom w:w="0" w:type="dxa"/>
              <w:right w:w="108" w:type="dxa"/>
            </w:tcMar>
            <w:vAlign w:val="center"/>
            <w:hideMark/>
          </w:tcPr>
          <w:p w14:paraId="79E233E1" w14:textId="77777777" w:rsidR="00E72F0C" w:rsidRPr="004D5509" w:rsidRDefault="00107901">
            <w:pPr>
              <w:pStyle w:val="a3"/>
              <w:spacing w:before="0" w:beforeAutospacing="0" w:after="0" w:afterAutospacing="0"/>
              <w:jc w:val="both"/>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sz w:val="18"/>
                <w:szCs w:val="18"/>
              </w:rPr>
              <w:t>采购托板、箱子等</w:t>
            </w:r>
          </w:p>
        </w:tc>
        <w:tc>
          <w:tcPr>
            <w:tcW w:w="965" w:type="pct"/>
            <w:noWrap/>
            <w:tcMar>
              <w:top w:w="0" w:type="dxa"/>
              <w:left w:w="108" w:type="dxa"/>
              <w:bottom w:w="0" w:type="dxa"/>
              <w:right w:w="108" w:type="dxa"/>
            </w:tcMar>
            <w:vAlign w:val="center"/>
            <w:hideMark/>
          </w:tcPr>
          <w:p w14:paraId="75ED2AB5" w14:textId="77777777" w:rsidR="00E72F0C" w:rsidRPr="004D5509" w:rsidRDefault="00107901">
            <w:pPr>
              <w:pStyle w:val="a3"/>
              <w:spacing w:before="0" w:beforeAutospacing="0" w:after="0" w:afterAutospacing="0"/>
              <w:jc w:val="right"/>
              <w:rPr>
                <w:rFonts w:asciiTheme="minorEastAsia" w:eastAsiaTheme="minorEastAsia" w:hAnsiTheme="minorEastAsia" w:cs="Times New Roman" w:hint="eastAsia"/>
                <w:sz w:val="18"/>
                <w:szCs w:val="18"/>
              </w:rPr>
            </w:pPr>
            <w:r w:rsidRPr="004D5509">
              <w:rPr>
                <w:rFonts w:asciiTheme="minorEastAsia" w:eastAsiaTheme="minorEastAsia" w:hAnsiTheme="minorEastAsia" w:cs="Arial"/>
                <w:sz w:val="18"/>
                <w:szCs w:val="18"/>
              </w:rPr>
              <w:t>1,852,327.75</w:t>
            </w:r>
          </w:p>
        </w:tc>
        <w:tc>
          <w:tcPr>
            <w:tcW w:w="1005" w:type="pct"/>
            <w:noWrap/>
            <w:tcMar>
              <w:top w:w="0" w:type="dxa"/>
              <w:left w:w="108" w:type="dxa"/>
              <w:bottom w:w="0" w:type="dxa"/>
              <w:right w:w="108" w:type="dxa"/>
            </w:tcMar>
            <w:vAlign w:val="center"/>
            <w:hideMark/>
          </w:tcPr>
          <w:p w14:paraId="268C5838" w14:textId="77777777" w:rsidR="00E72F0C" w:rsidRPr="004D5509" w:rsidRDefault="00107901">
            <w:pPr>
              <w:pStyle w:val="a3"/>
              <w:spacing w:before="0" w:beforeAutospacing="0" w:after="0" w:afterAutospacing="0"/>
              <w:jc w:val="right"/>
              <w:rPr>
                <w:rFonts w:asciiTheme="minorEastAsia" w:eastAsiaTheme="minorEastAsia" w:hAnsiTheme="minorEastAsia" w:cs="Times New Roman" w:hint="eastAsia"/>
                <w:sz w:val="18"/>
                <w:szCs w:val="18"/>
              </w:rPr>
            </w:pPr>
            <w:r w:rsidRPr="004D5509">
              <w:rPr>
                <w:rFonts w:asciiTheme="minorEastAsia" w:eastAsiaTheme="minorEastAsia" w:hAnsiTheme="minorEastAsia" w:cs="Arial"/>
                <w:sz w:val="18"/>
                <w:szCs w:val="18"/>
              </w:rPr>
              <w:t>6,228,629.99</w:t>
            </w:r>
          </w:p>
        </w:tc>
      </w:tr>
      <w:tr w:rsidR="00E72F0C" w:rsidRPr="004D5509" w14:paraId="67455812" w14:textId="77777777" w:rsidTr="00F84867">
        <w:trPr>
          <w:divId w:val="1769156160"/>
          <w:trHeight w:val="278"/>
          <w:jc w:val="center"/>
        </w:trPr>
        <w:tc>
          <w:tcPr>
            <w:tcW w:w="1825" w:type="pct"/>
            <w:tcMar>
              <w:top w:w="0" w:type="dxa"/>
              <w:left w:w="108" w:type="dxa"/>
              <w:bottom w:w="0" w:type="dxa"/>
              <w:right w:w="108" w:type="dxa"/>
            </w:tcMar>
            <w:vAlign w:val="center"/>
            <w:hideMark/>
          </w:tcPr>
          <w:p w14:paraId="1D6B7153" w14:textId="77777777" w:rsidR="00E72F0C" w:rsidRPr="004D5509" w:rsidRDefault="00107901">
            <w:pPr>
              <w:pStyle w:val="a3"/>
              <w:spacing w:before="0" w:beforeAutospacing="0" w:after="0" w:afterAutospacing="0" w:line="360" w:lineRule="auto"/>
              <w:jc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color w:val="000000"/>
                <w:sz w:val="18"/>
                <w:szCs w:val="18"/>
              </w:rPr>
              <w:t>合 计</w:t>
            </w:r>
          </w:p>
        </w:tc>
        <w:tc>
          <w:tcPr>
            <w:tcW w:w="1203" w:type="pct"/>
            <w:tcMar>
              <w:top w:w="0" w:type="dxa"/>
              <w:left w:w="108" w:type="dxa"/>
              <w:bottom w:w="0" w:type="dxa"/>
              <w:right w:w="108" w:type="dxa"/>
            </w:tcMar>
            <w:vAlign w:val="center"/>
            <w:hideMark/>
          </w:tcPr>
          <w:p w14:paraId="3DE73CEB" w14:textId="77777777" w:rsidR="00E72F0C" w:rsidRPr="004D5509" w:rsidRDefault="00107901">
            <w:pPr>
              <w:pStyle w:val="a3"/>
              <w:spacing w:before="0" w:beforeAutospacing="0" w:after="0" w:afterAutospacing="0" w:line="360" w:lineRule="auto"/>
              <w:jc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color w:val="000000"/>
                <w:sz w:val="18"/>
                <w:szCs w:val="18"/>
              </w:rPr>
              <w:t> </w:t>
            </w:r>
          </w:p>
        </w:tc>
        <w:tc>
          <w:tcPr>
            <w:tcW w:w="965" w:type="pct"/>
            <w:noWrap/>
            <w:tcMar>
              <w:top w:w="0" w:type="dxa"/>
              <w:left w:w="108" w:type="dxa"/>
              <w:bottom w:w="0" w:type="dxa"/>
              <w:right w:w="108" w:type="dxa"/>
            </w:tcMar>
            <w:vAlign w:val="center"/>
            <w:hideMark/>
          </w:tcPr>
          <w:p w14:paraId="6B18CCF3" w14:textId="77777777" w:rsidR="00E72F0C" w:rsidRPr="004D5509" w:rsidRDefault="00107901">
            <w:pPr>
              <w:pStyle w:val="a3"/>
              <w:spacing w:before="0" w:beforeAutospacing="0" w:after="0" w:afterAutospacing="0"/>
              <w:jc w:val="right"/>
              <w:rPr>
                <w:rFonts w:asciiTheme="minorEastAsia" w:eastAsiaTheme="minorEastAsia" w:hAnsiTheme="minorEastAsia" w:cs="Times New Roman" w:hint="eastAsia"/>
                <w:sz w:val="18"/>
                <w:szCs w:val="18"/>
              </w:rPr>
            </w:pPr>
            <w:r w:rsidRPr="004D5509">
              <w:rPr>
                <w:rFonts w:asciiTheme="minorEastAsia" w:eastAsiaTheme="minorEastAsia" w:hAnsiTheme="minorEastAsia" w:cs="Arial"/>
                <w:sz w:val="18"/>
                <w:szCs w:val="18"/>
              </w:rPr>
              <w:t>1,857,651.64</w:t>
            </w:r>
          </w:p>
        </w:tc>
        <w:tc>
          <w:tcPr>
            <w:tcW w:w="1005" w:type="pct"/>
            <w:noWrap/>
            <w:tcMar>
              <w:top w:w="0" w:type="dxa"/>
              <w:left w:w="108" w:type="dxa"/>
              <w:bottom w:w="0" w:type="dxa"/>
              <w:right w:w="108" w:type="dxa"/>
            </w:tcMar>
            <w:vAlign w:val="center"/>
            <w:hideMark/>
          </w:tcPr>
          <w:p w14:paraId="317B6E5B" w14:textId="77777777" w:rsidR="00E72F0C" w:rsidRPr="004D5509" w:rsidRDefault="00107901">
            <w:pPr>
              <w:pStyle w:val="a3"/>
              <w:spacing w:before="0" w:beforeAutospacing="0" w:after="0" w:afterAutospacing="0"/>
              <w:jc w:val="right"/>
              <w:textAlignment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Arial"/>
                <w:sz w:val="18"/>
                <w:szCs w:val="18"/>
              </w:rPr>
              <w:t>6,234,968.04</w:t>
            </w:r>
          </w:p>
        </w:tc>
      </w:tr>
    </w:tbl>
    <w:p w14:paraId="6A50A186" w14:textId="77777777" w:rsidR="00E72F0C" w:rsidRPr="004D5509" w:rsidRDefault="00107901">
      <w:pPr>
        <w:pStyle w:val="a3"/>
        <w:divId w:val="1769156160"/>
        <w:rPr>
          <w:rFonts w:asciiTheme="minorEastAsia" w:eastAsiaTheme="minorEastAsia" w:hAnsiTheme="minorEastAsia" w:hint="eastAsia"/>
          <w:sz w:val="18"/>
          <w:szCs w:val="18"/>
        </w:rPr>
      </w:pPr>
      <w:r w:rsidRPr="004D5509">
        <w:rPr>
          <w:rFonts w:asciiTheme="minorEastAsia" w:eastAsiaTheme="minorEastAsia" w:hAnsiTheme="minorEastAsia" w:hint="eastAsia"/>
          <w:sz w:val="18"/>
          <w:szCs w:val="18"/>
        </w:rPr>
        <w:t>销售商品/提供劳务情况表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17"/>
        <w:gridCol w:w="2317"/>
        <w:gridCol w:w="1854"/>
        <w:gridCol w:w="1939"/>
      </w:tblGrid>
      <w:tr w:rsidR="00E72F0C" w:rsidRPr="004D5509" w14:paraId="0972495C" w14:textId="77777777" w:rsidTr="00F84867">
        <w:trPr>
          <w:divId w:val="1769156160"/>
          <w:trHeight w:val="288"/>
          <w:tblHeader/>
        </w:trPr>
        <w:tc>
          <w:tcPr>
            <w:tcW w:w="1826" w:type="pct"/>
            <w:tcMar>
              <w:top w:w="0" w:type="dxa"/>
              <w:left w:w="108" w:type="dxa"/>
              <w:bottom w:w="0" w:type="dxa"/>
              <w:right w:w="108" w:type="dxa"/>
            </w:tcMar>
            <w:vAlign w:val="center"/>
            <w:hideMark/>
          </w:tcPr>
          <w:p w14:paraId="32517C9B" w14:textId="77777777" w:rsidR="00E72F0C" w:rsidRPr="004D5509" w:rsidRDefault="00107901">
            <w:pPr>
              <w:pStyle w:val="a3"/>
              <w:spacing w:before="0" w:beforeAutospacing="0" w:after="0" w:afterAutospacing="0"/>
              <w:jc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color w:val="000000"/>
                <w:sz w:val="18"/>
                <w:szCs w:val="18"/>
              </w:rPr>
              <w:t>关联方</w:t>
            </w:r>
          </w:p>
        </w:tc>
        <w:tc>
          <w:tcPr>
            <w:tcW w:w="1203" w:type="pct"/>
            <w:tcMar>
              <w:top w:w="0" w:type="dxa"/>
              <w:left w:w="108" w:type="dxa"/>
              <w:bottom w:w="0" w:type="dxa"/>
              <w:right w:w="108" w:type="dxa"/>
            </w:tcMar>
            <w:vAlign w:val="center"/>
            <w:hideMark/>
          </w:tcPr>
          <w:p w14:paraId="7B260180" w14:textId="77777777" w:rsidR="00E72F0C" w:rsidRPr="004D5509" w:rsidRDefault="00107901">
            <w:pPr>
              <w:pStyle w:val="a3"/>
              <w:spacing w:before="0" w:beforeAutospacing="0" w:after="0" w:afterAutospacing="0"/>
              <w:ind w:firstLine="180"/>
              <w:jc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color w:val="000000"/>
                <w:sz w:val="18"/>
                <w:szCs w:val="18"/>
              </w:rPr>
              <w:t>关联交易内容</w:t>
            </w:r>
          </w:p>
        </w:tc>
        <w:tc>
          <w:tcPr>
            <w:tcW w:w="962" w:type="pct"/>
            <w:tcMar>
              <w:top w:w="0" w:type="dxa"/>
              <w:left w:w="108" w:type="dxa"/>
              <w:bottom w:w="0" w:type="dxa"/>
              <w:right w:w="108" w:type="dxa"/>
            </w:tcMar>
            <w:vAlign w:val="center"/>
            <w:hideMark/>
          </w:tcPr>
          <w:p w14:paraId="7C14785E" w14:textId="77777777" w:rsidR="00E72F0C" w:rsidRPr="004D5509" w:rsidRDefault="00107901">
            <w:pPr>
              <w:pStyle w:val="a3"/>
              <w:spacing w:before="0" w:beforeAutospacing="0" w:after="0" w:afterAutospacing="0"/>
              <w:ind w:firstLine="180"/>
              <w:jc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color w:val="000000"/>
                <w:sz w:val="18"/>
                <w:szCs w:val="18"/>
              </w:rPr>
              <w:t>本期发生额</w:t>
            </w:r>
          </w:p>
        </w:tc>
        <w:tc>
          <w:tcPr>
            <w:tcW w:w="1006" w:type="pct"/>
            <w:tcMar>
              <w:top w:w="0" w:type="dxa"/>
              <w:left w:w="108" w:type="dxa"/>
              <w:bottom w:w="0" w:type="dxa"/>
              <w:right w:w="108" w:type="dxa"/>
            </w:tcMar>
            <w:vAlign w:val="center"/>
            <w:hideMark/>
          </w:tcPr>
          <w:p w14:paraId="385AAB81" w14:textId="77777777" w:rsidR="00E72F0C" w:rsidRPr="004D5509" w:rsidRDefault="00107901">
            <w:pPr>
              <w:pStyle w:val="a3"/>
              <w:spacing w:before="0" w:beforeAutospacing="0" w:after="0" w:afterAutospacing="0"/>
              <w:ind w:firstLine="180"/>
              <w:jc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color w:val="000000"/>
                <w:sz w:val="18"/>
                <w:szCs w:val="18"/>
              </w:rPr>
              <w:t>上期发生额</w:t>
            </w:r>
          </w:p>
        </w:tc>
      </w:tr>
      <w:tr w:rsidR="00E72F0C" w:rsidRPr="004D5509" w14:paraId="2C242839" w14:textId="77777777" w:rsidTr="00F84867">
        <w:trPr>
          <w:divId w:val="1769156160"/>
          <w:trHeight w:val="288"/>
        </w:trPr>
        <w:tc>
          <w:tcPr>
            <w:tcW w:w="1826" w:type="pct"/>
            <w:tcMar>
              <w:top w:w="0" w:type="dxa"/>
              <w:left w:w="108" w:type="dxa"/>
              <w:bottom w:w="0" w:type="dxa"/>
              <w:right w:w="108" w:type="dxa"/>
            </w:tcMar>
            <w:vAlign w:val="center"/>
            <w:hideMark/>
          </w:tcPr>
          <w:p w14:paraId="00750B91" w14:textId="77777777" w:rsidR="00E72F0C" w:rsidRPr="004D5509" w:rsidRDefault="00107901">
            <w:pPr>
              <w:pStyle w:val="a3"/>
              <w:spacing w:before="0" w:beforeAutospacing="0" w:after="0" w:afterAutospacing="0"/>
              <w:jc w:val="both"/>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color w:val="000000"/>
                <w:sz w:val="18"/>
                <w:szCs w:val="18"/>
              </w:rPr>
              <w:t>江苏中利控股集团有限公司</w:t>
            </w:r>
          </w:p>
        </w:tc>
        <w:tc>
          <w:tcPr>
            <w:tcW w:w="1203" w:type="pct"/>
            <w:tcMar>
              <w:top w:w="0" w:type="dxa"/>
              <w:left w:w="108" w:type="dxa"/>
              <w:bottom w:w="0" w:type="dxa"/>
              <w:right w:w="108" w:type="dxa"/>
            </w:tcMar>
            <w:vAlign w:val="center"/>
            <w:hideMark/>
          </w:tcPr>
          <w:p w14:paraId="2549758C" w14:textId="77777777" w:rsidR="00E72F0C" w:rsidRPr="004D5509" w:rsidRDefault="00107901">
            <w:pPr>
              <w:pStyle w:val="a3"/>
              <w:spacing w:before="0" w:beforeAutospacing="0" w:after="0" w:afterAutospacing="0"/>
              <w:jc w:val="both"/>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color w:val="000000"/>
                <w:sz w:val="18"/>
                <w:szCs w:val="18"/>
              </w:rPr>
              <w:t>水电费</w:t>
            </w:r>
          </w:p>
        </w:tc>
        <w:tc>
          <w:tcPr>
            <w:tcW w:w="962" w:type="pct"/>
            <w:noWrap/>
            <w:tcMar>
              <w:top w:w="0" w:type="dxa"/>
              <w:left w:w="108" w:type="dxa"/>
              <w:bottom w:w="0" w:type="dxa"/>
              <w:right w:w="108" w:type="dxa"/>
            </w:tcMar>
            <w:vAlign w:val="center"/>
            <w:hideMark/>
          </w:tcPr>
          <w:p w14:paraId="0E2F345C" w14:textId="77777777" w:rsidR="00E72F0C" w:rsidRPr="004D5509" w:rsidRDefault="00107901">
            <w:pPr>
              <w:pStyle w:val="a3"/>
              <w:spacing w:before="0" w:beforeAutospacing="0" w:after="0" w:afterAutospacing="0"/>
              <w:jc w:val="right"/>
              <w:rPr>
                <w:rFonts w:asciiTheme="minorEastAsia" w:eastAsiaTheme="minorEastAsia" w:hAnsiTheme="minorEastAsia" w:cs="Times New Roman" w:hint="eastAsia"/>
                <w:sz w:val="18"/>
                <w:szCs w:val="18"/>
              </w:rPr>
            </w:pPr>
            <w:r w:rsidRPr="004D5509">
              <w:rPr>
                <w:rFonts w:asciiTheme="minorEastAsia" w:eastAsiaTheme="minorEastAsia" w:hAnsiTheme="minorEastAsia" w:cs="Arial"/>
                <w:sz w:val="18"/>
                <w:szCs w:val="18"/>
              </w:rPr>
              <w:t>2,833.29</w:t>
            </w:r>
          </w:p>
        </w:tc>
        <w:tc>
          <w:tcPr>
            <w:tcW w:w="1006" w:type="pct"/>
            <w:noWrap/>
            <w:tcMar>
              <w:top w:w="0" w:type="dxa"/>
              <w:left w:w="108" w:type="dxa"/>
              <w:bottom w:w="0" w:type="dxa"/>
              <w:right w:w="108" w:type="dxa"/>
            </w:tcMar>
            <w:vAlign w:val="center"/>
            <w:hideMark/>
          </w:tcPr>
          <w:p w14:paraId="43F86AC0" w14:textId="77777777" w:rsidR="00E72F0C" w:rsidRPr="004D5509" w:rsidRDefault="00107901">
            <w:pPr>
              <w:pStyle w:val="a3"/>
              <w:spacing w:before="0" w:beforeAutospacing="0" w:after="0" w:afterAutospacing="0"/>
              <w:jc w:val="right"/>
              <w:rPr>
                <w:rFonts w:asciiTheme="minorEastAsia" w:eastAsiaTheme="minorEastAsia" w:hAnsiTheme="minorEastAsia" w:cs="Times New Roman" w:hint="eastAsia"/>
                <w:sz w:val="18"/>
                <w:szCs w:val="18"/>
              </w:rPr>
            </w:pPr>
            <w:r w:rsidRPr="004D5509">
              <w:rPr>
                <w:rFonts w:asciiTheme="minorEastAsia" w:eastAsiaTheme="minorEastAsia" w:hAnsiTheme="minorEastAsia" w:cs="Arial"/>
                <w:sz w:val="18"/>
                <w:szCs w:val="18"/>
              </w:rPr>
              <w:t>26,073.96</w:t>
            </w:r>
          </w:p>
        </w:tc>
      </w:tr>
      <w:tr w:rsidR="00E72F0C" w:rsidRPr="004D5509" w14:paraId="76981FA1" w14:textId="77777777" w:rsidTr="00F84867">
        <w:trPr>
          <w:divId w:val="1769156160"/>
          <w:trHeight w:val="288"/>
        </w:trPr>
        <w:tc>
          <w:tcPr>
            <w:tcW w:w="1826" w:type="pct"/>
            <w:tcMar>
              <w:top w:w="0" w:type="dxa"/>
              <w:left w:w="108" w:type="dxa"/>
              <w:bottom w:w="0" w:type="dxa"/>
              <w:right w:w="108" w:type="dxa"/>
            </w:tcMar>
            <w:vAlign w:val="center"/>
            <w:hideMark/>
          </w:tcPr>
          <w:p w14:paraId="0227D40C" w14:textId="77777777" w:rsidR="00E72F0C" w:rsidRPr="004D5509" w:rsidRDefault="00107901">
            <w:pPr>
              <w:pStyle w:val="a3"/>
              <w:spacing w:before="0" w:beforeAutospacing="0" w:after="0" w:afterAutospacing="0"/>
              <w:jc w:val="both"/>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color w:val="000000"/>
                <w:sz w:val="18"/>
                <w:szCs w:val="18"/>
              </w:rPr>
              <w:t>江苏中利控股集团有限公司</w:t>
            </w:r>
          </w:p>
        </w:tc>
        <w:tc>
          <w:tcPr>
            <w:tcW w:w="1203" w:type="pct"/>
            <w:tcMar>
              <w:top w:w="0" w:type="dxa"/>
              <w:left w:w="108" w:type="dxa"/>
              <w:bottom w:w="0" w:type="dxa"/>
              <w:right w:w="108" w:type="dxa"/>
            </w:tcMar>
            <w:vAlign w:val="center"/>
            <w:hideMark/>
          </w:tcPr>
          <w:p w14:paraId="4CFE92D2" w14:textId="77777777" w:rsidR="00E72F0C" w:rsidRPr="004D5509" w:rsidRDefault="00107901">
            <w:pPr>
              <w:pStyle w:val="a3"/>
              <w:spacing w:before="0" w:beforeAutospacing="0" w:after="0" w:afterAutospacing="0"/>
              <w:jc w:val="both"/>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color w:val="000000"/>
                <w:sz w:val="18"/>
                <w:szCs w:val="18"/>
              </w:rPr>
              <w:t>提供劳务</w:t>
            </w:r>
          </w:p>
        </w:tc>
        <w:tc>
          <w:tcPr>
            <w:tcW w:w="962" w:type="pct"/>
            <w:noWrap/>
            <w:tcMar>
              <w:top w:w="0" w:type="dxa"/>
              <w:left w:w="108" w:type="dxa"/>
              <w:bottom w:w="0" w:type="dxa"/>
              <w:right w:w="108" w:type="dxa"/>
            </w:tcMar>
            <w:vAlign w:val="center"/>
            <w:hideMark/>
          </w:tcPr>
          <w:p w14:paraId="5D53608D" w14:textId="77777777" w:rsidR="00E72F0C" w:rsidRPr="004D5509" w:rsidRDefault="00107901">
            <w:pPr>
              <w:pStyle w:val="a3"/>
              <w:spacing w:before="0" w:beforeAutospacing="0" w:after="0" w:afterAutospacing="0"/>
              <w:jc w:val="right"/>
              <w:rPr>
                <w:rFonts w:asciiTheme="minorEastAsia" w:eastAsiaTheme="minorEastAsia" w:hAnsiTheme="minorEastAsia" w:cs="Times New Roman" w:hint="eastAsia"/>
                <w:sz w:val="18"/>
                <w:szCs w:val="18"/>
              </w:rPr>
            </w:pPr>
            <w:r w:rsidRPr="004D5509">
              <w:rPr>
                <w:rFonts w:asciiTheme="minorEastAsia" w:eastAsiaTheme="minorEastAsia" w:hAnsiTheme="minorEastAsia" w:cs="Arial"/>
                <w:color w:val="000000"/>
                <w:sz w:val="18"/>
                <w:szCs w:val="18"/>
              </w:rPr>
              <w:t> </w:t>
            </w:r>
          </w:p>
        </w:tc>
        <w:tc>
          <w:tcPr>
            <w:tcW w:w="1006" w:type="pct"/>
            <w:noWrap/>
            <w:tcMar>
              <w:top w:w="0" w:type="dxa"/>
              <w:left w:w="108" w:type="dxa"/>
              <w:bottom w:w="0" w:type="dxa"/>
              <w:right w:w="108" w:type="dxa"/>
            </w:tcMar>
            <w:vAlign w:val="center"/>
            <w:hideMark/>
          </w:tcPr>
          <w:p w14:paraId="62ABDF08" w14:textId="77777777" w:rsidR="00E72F0C" w:rsidRPr="004D5509" w:rsidRDefault="00107901">
            <w:pPr>
              <w:pStyle w:val="a3"/>
              <w:spacing w:before="0" w:beforeAutospacing="0" w:after="0" w:afterAutospacing="0"/>
              <w:jc w:val="right"/>
              <w:rPr>
                <w:rFonts w:asciiTheme="minorEastAsia" w:eastAsiaTheme="minorEastAsia" w:hAnsiTheme="minorEastAsia" w:cs="Times New Roman" w:hint="eastAsia"/>
                <w:sz w:val="18"/>
                <w:szCs w:val="18"/>
              </w:rPr>
            </w:pPr>
            <w:r w:rsidRPr="004D5509">
              <w:rPr>
                <w:rFonts w:asciiTheme="minorEastAsia" w:eastAsiaTheme="minorEastAsia" w:hAnsiTheme="minorEastAsia" w:cs="Arial"/>
                <w:sz w:val="18"/>
                <w:szCs w:val="18"/>
              </w:rPr>
              <w:t>56,804.59</w:t>
            </w:r>
          </w:p>
        </w:tc>
      </w:tr>
      <w:tr w:rsidR="00E72F0C" w:rsidRPr="004D5509" w14:paraId="01CCD567" w14:textId="77777777" w:rsidTr="00F84867">
        <w:trPr>
          <w:divId w:val="1769156160"/>
          <w:trHeight w:val="288"/>
        </w:trPr>
        <w:tc>
          <w:tcPr>
            <w:tcW w:w="1826" w:type="pct"/>
            <w:tcMar>
              <w:top w:w="0" w:type="dxa"/>
              <w:left w:w="108" w:type="dxa"/>
              <w:bottom w:w="0" w:type="dxa"/>
              <w:right w:w="108" w:type="dxa"/>
            </w:tcMar>
            <w:vAlign w:val="center"/>
            <w:hideMark/>
          </w:tcPr>
          <w:p w14:paraId="450248A4" w14:textId="77777777" w:rsidR="00E72F0C" w:rsidRPr="004D5509" w:rsidRDefault="00107901">
            <w:pPr>
              <w:pStyle w:val="a3"/>
              <w:spacing w:before="0" w:beforeAutospacing="0" w:after="0" w:afterAutospacing="0"/>
              <w:jc w:val="both"/>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color w:val="000000"/>
                <w:sz w:val="18"/>
                <w:szCs w:val="18"/>
              </w:rPr>
              <w:t>江苏中利控股集团有限公司</w:t>
            </w:r>
          </w:p>
        </w:tc>
        <w:tc>
          <w:tcPr>
            <w:tcW w:w="1203" w:type="pct"/>
            <w:tcMar>
              <w:top w:w="0" w:type="dxa"/>
              <w:left w:w="108" w:type="dxa"/>
              <w:bottom w:w="0" w:type="dxa"/>
              <w:right w:w="108" w:type="dxa"/>
            </w:tcMar>
            <w:vAlign w:val="center"/>
            <w:hideMark/>
          </w:tcPr>
          <w:p w14:paraId="03A99DD0" w14:textId="77777777" w:rsidR="00E72F0C" w:rsidRPr="004D5509" w:rsidRDefault="00107901">
            <w:pPr>
              <w:pStyle w:val="a3"/>
              <w:spacing w:before="0" w:beforeAutospacing="0" w:after="0" w:afterAutospacing="0"/>
              <w:jc w:val="both"/>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color w:val="000000"/>
                <w:sz w:val="18"/>
                <w:szCs w:val="18"/>
              </w:rPr>
              <w:t>房租</w:t>
            </w:r>
          </w:p>
        </w:tc>
        <w:tc>
          <w:tcPr>
            <w:tcW w:w="962" w:type="pct"/>
            <w:noWrap/>
            <w:tcMar>
              <w:top w:w="0" w:type="dxa"/>
              <w:left w:w="108" w:type="dxa"/>
              <w:bottom w:w="0" w:type="dxa"/>
              <w:right w:w="108" w:type="dxa"/>
            </w:tcMar>
            <w:vAlign w:val="center"/>
            <w:hideMark/>
          </w:tcPr>
          <w:p w14:paraId="1D17ED10" w14:textId="77777777" w:rsidR="00E72F0C" w:rsidRPr="004D5509" w:rsidRDefault="00107901">
            <w:pPr>
              <w:pStyle w:val="a3"/>
              <w:spacing w:before="0" w:beforeAutospacing="0" w:after="0" w:afterAutospacing="0"/>
              <w:jc w:val="right"/>
              <w:rPr>
                <w:rFonts w:asciiTheme="minorEastAsia" w:eastAsiaTheme="minorEastAsia" w:hAnsiTheme="minorEastAsia" w:cs="Times New Roman" w:hint="eastAsia"/>
                <w:sz w:val="18"/>
                <w:szCs w:val="18"/>
              </w:rPr>
            </w:pPr>
            <w:r w:rsidRPr="004D5509">
              <w:rPr>
                <w:rFonts w:asciiTheme="minorEastAsia" w:eastAsiaTheme="minorEastAsia" w:hAnsiTheme="minorEastAsia" w:cs="Arial"/>
                <w:sz w:val="18"/>
                <w:szCs w:val="18"/>
              </w:rPr>
              <w:t> </w:t>
            </w:r>
          </w:p>
        </w:tc>
        <w:tc>
          <w:tcPr>
            <w:tcW w:w="1006" w:type="pct"/>
            <w:noWrap/>
            <w:tcMar>
              <w:top w:w="0" w:type="dxa"/>
              <w:left w:w="108" w:type="dxa"/>
              <w:bottom w:w="0" w:type="dxa"/>
              <w:right w:w="108" w:type="dxa"/>
            </w:tcMar>
            <w:vAlign w:val="center"/>
            <w:hideMark/>
          </w:tcPr>
          <w:p w14:paraId="39EE30A4" w14:textId="77777777" w:rsidR="00E72F0C" w:rsidRPr="004D5509" w:rsidRDefault="00107901">
            <w:pPr>
              <w:pStyle w:val="a3"/>
              <w:spacing w:before="0" w:beforeAutospacing="0" w:after="0" w:afterAutospacing="0"/>
              <w:jc w:val="right"/>
              <w:rPr>
                <w:rFonts w:asciiTheme="minorEastAsia" w:eastAsiaTheme="minorEastAsia" w:hAnsiTheme="minorEastAsia" w:cs="Times New Roman" w:hint="eastAsia"/>
                <w:sz w:val="18"/>
                <w:szCs w:val="18"/>
              </w:rPr>
            </w:pPr>
            <w:r w:rsidRPr="004D5509">
              <w:rPr>
                <w:rFonts w:asciiTheme="minorEastAsia" w:eastAsiaTheme="minorEastAsia" w:hAnsiTheme="minorEastAsia" w:cs="Arial"/>
                <w:sz w:val="18"/>
                <w:szCs w:val="18"/>
              </w:rPr>
              <w:t>437,800.00</w:t>
            </w:r>
          </w:p>
        </w:tc>
      </w:tr>
      <w:tr w:rsidR="00E72F0C" w:rsidRPr="004D5509" w14:paraId="200C8A83" w14:textId="77777777" w:rsidTr="00F84867">
        <w:trPr>
          <w:divId w:val="1769156160"/>
          <w:trHeight w:val="288"/>
        </w:trPr>
        <w:tc>
          <w:tcPr>
            <w:tcW w:w="1826" w:type="pct"/>
            <w:tcMar>
              <w:top w:w="0" w:type="dxa"/>
              <w:left w:w="108" w:type="dxa"/>
              <w:bottom w:w="0" w:type="dxa"/>
              <w:right w:w="108" w:type="dxa"/>
            </w:tcMar>
            <w:vAlign w:val="center"/>
            <w:hideMark/>
          </w:tcPr>
          <w:p w14:paraId="2A239162" w14:textId="77777777" w:rsidR="00E72F0C" w:rsidRPr="004D5509" w:rsidRDefault="00107901">
            <w:pPr>
              <w:pStyle w:val="a3"/>
              <w:spacing w:before="0" w:beforeAutospacing="0" w:after="0" w:afterAutospacing="0"/>
              <w:jc w:val="both"/>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color w:val="000000"/>
                <w:sz w:val="18"/>
                <w:szCs w:val="18"/>
              </w:rPr>
              <w:t>江苏新扬子造船有限公司</w:t>
            </w:r>
          </w:p>
        </w:tc>
        <w:tc>
          <w:tcPr>
            <w:tcW w:w="1203" w:type="pct"/>
            <w:tcMar>
              <w:top w:w="0" w:type="dxa"/>
              <w:left w:w="108" w:type="dxa"/>
              <w:bottom w:w="0" w:type="dxa"/>
              <w:right w:w="108" w:type="dxa"/>
            </w:tcMar>
            <w:vAlign w:val="center"/>
            <w:hideMark/>
          </w:tcPr>
          <w:p w14:paraId="318D2297" w14:textId="77777777" w:rsidR="00E72F0C" w:rsidRPr="004D5509" w:rsidRDefault="00107901">
            <w:pPr>
              <w:pStyle w:val="a3"/>
              <w:spacing w:before="0" w:beforeAutospacing="0" w:after="0" w:afterAutospacing="0"/>
              <w:jc w:val="both"/>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color w:val="000000"/>
                <w:sz w:val="18"/>
                <w:szCs w:val="18"/>
              </w:rPr>
              <w:t>销售电缆、材料等</w:t>
            </w:r>
          </w:p>
        </w:tc>
        <w:tc>
          <w:tcPr>
            <w:tcW w:w="962" w:type="pct"/>
            <w:noWrap/>
            <w:tcMar>
              <w:top w:w="0" w:type="dxa"/>
              <w:left w:w="108" w:type="dxa"/>
              <w:bottom w:w="0" w:type="dxa"/>
              <w:right w:w="108" w:type="dxa"/>
            </w:tcMar>
            <w:vAlign w:val="center"/>
            <w:hideMark/>
          </w:tcPr>
          <w:p w14:paraId="0E74B800" w14:textId="77777777" w:rsidR="00E72F0C" w:rsidRPr="004D5509" w:rsidRDefault="00107901">
            <w:pPr>
              <w:pStyle w:val="a3"/>
              <w:spacing w:before="0" w:beforeAutospacing="0" w:after="0" w:afterAutospacing="0"/>
              <w:jc w:val="right"/>
              <w:rPr>
                <w:rFonts w:asciiTheme="minorEastAsia" w:eastAsiaTheme="minorEastAsia" w:hAnsiTheme="minorEastAsia" w:cs="Times New Roman" w:hint="eastAsia"/>
                <w:sz w:val="18"/>
                <w:szCs w:val="18"/>
              </w:rPr>
            </w:pPr>
            <w:r w:rsidRPr="004D5509">
              <w:rPr>
                <w:rFonts w:asciiTheme="minorEastAsia" w:eastAsiaTheme="minorEastAsia" w:hAnsiTheme="minorEastAsia" w:cs="Arial"/>
                <w:sz w:val="18"/>
                <w:szCs w:val="18"/>
              </w:rPr>
              <w:t>1,918.24</w:t>
            </w:r>
          </w:p>
        </w:tc>
        <w:tc>
          <w:tcPr>
            <w:tcW w:w="1006" w:type="pct"/>
            <w:noWrap/>
            <w:tcMar>
              <w:top w:w="0" w:type="dxa"/>
              <w:left w:w="108" w:type="dxa"/>
              <w:bottom w:w="0" w:type="dxa"/>
              <w:right w:w="108" w:type="dxa"/>
            </w:tcMar>
            <w:vAlign w:val="center"/>
            <w:hideMark/>
          </w:tcPr>
          <w:p w14:paraId="2EC393DE" w14:textId="77777777" w:rsidR="00E72F0C" w:rsidRPr="004D5509" w:rsidRDefault="00107901">
            <w:pPr>
              <w:pStyle w:val="a3"/>
              <w:spacing w:before="0" w:beforeAutospacing="0" w:after="0" w:afterAutospacing="0"/>
              <w:jc w:val="right"/>
              <w:rPr>
                <w:rFonts w:asciiTheme="minorEastAsia" w:eastAsiaTheme="minorEastAsia" w:hAnsiTheme="minorEastAsia" w:cs="Times New Roman" w:hint="eastAsia"/>
                <w:sz w:val="18"/>
                <w:szCs w:val="18"/>
              </w:rPr>
            </w:pPr>
            <w:r w:rsidRPr="004D5509">
              <w:rPr>
                <w:rFonts w:asciiTheme="minorEastAsia" w:eastAsiaTheme="minorEastAsia" w:hAnsiTheme="minorEastAsia" w:cs="Arial"/>
                <w:sz w:val="18"/>
                <w:szCs w:val="18"/>
              </w:rPr>
              <w:t>14,717,393.13</w:t>
            </w:r>
          </w:p>
        </w:tc>
      </w:tr>
      <w:tr w:rsidR="00E72F0C" w:rsidRPr="004D5509" w14:paraId="25B4D89C" w14:textId="77777777" w:rsidTr="00F84867">
        <w:trPr>
          <w:divId w:val="1769156160"/>
          <w:trHeight w:val="276"/>
        </w:trPr>
        <w:tc>
          <w:tcPr>
            <w:tcW w:w="1826" w:type="pct"/>
            <w:tcMar>
              <w:top w:w="0" w:type="dxa"/>
              <w:left w:w="108" w:type="dxa"/>
              <w:bottom w:w="0" w:type="dxa"/>
              <w:right w:w="108" w:type="dxa"/>
            </w:tcMar>
            <w:vAlign w:val="center"/>
            <w:hideMark/>
          </w:tcPr>
          <w:p w14:paraId="1C2A756B" w14:textId="77777777" w:rsidR="00E72F0C" w:rsidRPr="004D5509" w:rsidRDefault="00107901">
            <w:pPr>
              <w:pStyle w:val="a3"/>
              <w:spacing w:before="0" w:beforeAutospacing="0" w:after="0" w:afterAutospacing="0"/>
              <w:jc w:val="both"/>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color w:val="000000"/>
                <w:sz w:val="18"/>
                <w:szCs w:val="18"/>
              </w:rPr>
              <w:t>绿尔盛（重庆）环境科技有限公司</w:t>
            </w:r>
          </w:p>
        </w:tc>
        <w:tc>
          <w:tcPr>
            <w:tcW w:w="1203" w:type="pct"/>
            <w:tcMar>
              <w:top w:w="0" w:type="dxa"/>
              <w:left w:w="108" w:type="dxa"/>
              <w:bottom w:w="0" w:type="dxa"/>
              <w:right w:w="108" w:type="dxa"/>
            </w:tcMar>
            <w:vAlign w:val="center"/>
            <w:hideMark/>
          </w:tcPr>
          <w:p w14:paraId="23E75BB2" w14:textId="77777777" w:rsidR="00E72F0C" w:rsidRPr="004D5509" w:rsidRDefault="00107901">
            <w:pPr>
              <w:pStyle w:val="a3"/>
              <w:spacing w:before="0" w:beforeAutospacing="0" w:after="0" w:afterAutospacing="0"/>
              <w:jc w:val="both"/>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color w:val="000000"/>
                <w:sz w:val="18"/>
                <w:szCs w:val="18"/>
              </w:rPr>
              <w:t>出售固定资产</w:t>
            </w:r>
          </w:p>
        </w:tc>
        <w:tc>
          <w:tcPr>
            <w:tcW w:w="962" w:type="pct"/>
            <w:noWrap/>
            <w:tcMar>
              <w:top w:w="0" w:type="dxa"/>
              <w:left w:w="108" w:type="dxa"/>
              <w:bottom w:w="0" w:type="dxa"/>
              <w:right w:w="108" w:type="dxa"/>
            </w:tcMar>
            <w:vAlign w:val="center"/>
            <w:hideMark/>
          </w:tcPr>
          <w:p w14:paraId="7DB57CA0" w14:textId="77777777" w:rsidR="00E72F0C" w:rsidRPr="004D5509" w:rsidRDefault="00107901">
            <w:pPr>
              <w:pStyle w:val="a3"/>
              <w:spacing w:before="0" w:beforeAutospacing="0" w:after="0" w:afterAutospacing="0"/>
              <w:jc w:val="right"/>
              <w:rPr>
                <w:rFonts w:asciiTheme="minorEastAsia" w:eastAsiaTheme="minorEastAsia" w:hAnsiTheme="minorEastAsia" w:cs="Times New Roman" w:hint="eastAsia"/>
                <w:sz w:val="18"/>
                <w:szCs w:val="18"/>
              </w:rPr>
            </w:pPr>
            <w:r w:rsidRPr="004D5509">
              <w:rPr>
                <w:rFonts w:asciiTheme="minorEastAsia" w:eastAsiaTheme="minorEastAsia" w:hAnsiTheme="minorEastAsia" w:cs="Arial"/>
                <w:sz w:val="18"/>
                <w:szCs w:val="18"/>
              </w:rPr>
              <w:t> </w:t>
            </w:r>
          </w:p>
        </w:tc>
        <w:tc>
          <w:tcPr>
            <w:tcW w:w="1006" w:type="pct"/>
            <w:noWrap/>
            <w:tcMar>
              <w:top w:w="0" w:type="dxa"/>
              <w:left w:w="108" w:type="dxa"/>
              <w:bottom w:w="0" w:type="dxa"/>
              <w:right w:w="108" w:type="dxa"/>
            </w:tcMar>
            <w:vAlign w:val="center"/>
            <w:hideMark/>
          </w:tcPr>
          <w:p w14:paraId="367AF279" w14:textId="77777777" w:rsidR="00E72F0C" w:rsidRPr="004D5509" w:rsidRDefault="00107901">
            <w:pPr>
              <w:pStyle w:val="a3"/>
              <w:spacing w:before="0" w:beforeAutospacing="0" w:after="0" w:afterAutospacing="0"/>
              <w:jc w:val="right"/>
              <w:rPr>
                <w:rFonts w:asciiTheme="minorEastAsia" w:eastAsiaTheme="minorEastAsia" w:hAnsiTheme="minorEastAsia" w:cs="Times New Roman" w:hint="eastAsia"/>
                <w:sz w:val="18"/>
                <w:szCs w:val="18"/>
              </w:rPr>
            </w:pPr>
            <w:r w:rsidRPr="004D5509">
              <w:rPr>
                <w:rFonts w:asciiTheme="minorEastAsia" w:eastAsiaTheme="minorEastAsia" w:hAnsiTheme="minorEastAsia" w:cs="Arial"/>
                <w:sz w:val="18"/>
                <w:szCs w:val="18"/>
              </w:rPr>
              <w:t>34,513.27</w:t>
            </w:r>
          </w:p>
        </w:tc>
      </w:tr>
      <w:tr w:rsidR="00E72F0C" w:rsidRPr="004D5509" w14:paraId="54F08354" w14:textId="77777777" w:rsidTr="00F84867">
        <w:trPr>
          <w:divId w:val="1769156160"/>
          <w:trHeight w:val="276"/>
        </w:trPr>
        <w:tc>
          <w:tcPr>
            <w:tcW w:w="1826" w:type="pct"/>
            <w:tcMar>
              <w:top w:w="0" w:type="dxa"/>
              <w:left w:w="108" w:type="dxa"/>
              <w:bottom w:w="0" w:type="dxa"/>
              <w:right w:w="108" w:type="dxa"/>
            </w:tcMar>
            <w:vAlign w:val="center"/>
            <w:hideMark/>
          </w:tcPr>
          <w:p w14:paraId="25E6AB8B" w14:textId="77777777" w:rsidR="00E72F0C" w:rsidRPr="004D5509" w:rsidRDefault="00107901">
            <w:pPr>
              <w:pStyle w:val="a3"/>
              <w:spacing w:before="0" w:beforeAutospacing="0" w:after="0" w:afterAutospacing="0"/>
              <w:jc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color w:val="000000"/>
                <w:sz w:val="18"/>
                <w:szCs w:val="18"/>
              </w:rPr>
              <w:t>合 计</w:t>
            </w:r>
          </w:p>
        </w:tc>
        <w:tc>
          <w:tcPr>
            <w:tcW w:w="1203" w:type="pct"/>
            <w:tcMar>
              <w:top w:w="0" w:type="dxa"/>
              <w:left w:w="108" w:type="dxa"/>
              <w:bottom w:w="0" w:type="dxa"/>
              <w:right w:w="108" w:type="dxa"/>
            </w:tcMar>
            <w:vAlign w:val="center"/>
            <w:hideMark/>
          </w:tcPr>
          <w:p w14:paraId="1D4FC94B" w14:textId="77777777" w:rsidR="00E72F0C" w:rsidRPr="004D5509" w:rsidRDefault="00107901">
            <w:pPr>
              <w:pStyle w:val="a3"/>
              <w:spacing w:before="0" w:beforeAutospacing="0" w:after="0" w:afterAutospacing="0"/>
              <w:jc w:val="right"/>
              <w:rPr>
                <w:rFonts w:asciiTheme="minorEastAsia" w:eastAsiaTheme="minorEastAsia" w:hAnsiTheme="minorEastAsia" w:cs="Times New Roman" w:hint="eastAsia"/>
                <w:sz w:val="18"/>
                <w:szCs w:val="18"/>
              </w:rPr>
            </w:pPr>
            <w:r w:rsidRPr="004D5509">
              <w:rPr>
                <w:rFonts w:asciiTheme="minorEastAsia" w:eastAsiaTheme="minorEastAsia" w:hAnsiTheme="minorEastAsia" w:cs="Times New Roman" w:hint="eastAsia"/>
                <w:color w:val="000000"/>
                <w:sz w:val="18"/>
                <w:szCs w:val="18"/>
              </w:rPr>
              <w:t> </w:t>
            </w:r>
          </w:p>
        </w:tc>
        <w:tc>
          <w:tcPr>
            <w:tcW w:w="962" w:type="pct"/>
            <w:noWrap/>
            <w:tcMar>
              <w:top w:w="0" w:type="dxa"/>
              <w:left w:w="108" w:type="dxa"/>
              <w:bottom w:w="0" w:type="dxa"/>
              <w:right w:w="108" w:type="dxa"/>
            </w:tcMar>
            <w:vAlign w:val="center"/>
            <w:hideMark/>
          </w:tcPr>
          <w:p w14:paraId="18E9F4E6" w14:textId="77777777" w:rsidR="00E72F0C" w:rsidRPr="004D5509" w:rsidRDefault="00107901">
            <w:pPr>
              <w:pStyle w:val="a3"/>
              <w:spacing w:before="0" w:beforeAutospacing="0" w:after="0" w:afterAutospacing="0"/>
              <w:jc w:val="right"/>
              <w:textAlignment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Arial"/>
                <w:sz w:val="18"/>
                <w:szCs w:val="18"/>
              </w:rPr>
              <w:t xml:space="preserve">4,751.53 </w:t>
            </w:r>
          </w:p>
        </w:tc>
        <w:tc>
          <w:tcPr>
            <w:tcW w:w="1006" w:type="pct"/>
            <w:noWrap/>
            <w:tcMar>
              <w:top w:w="0" w:type="dxa"/>
              <w:left w:w="108" w:type="dxa"/>
              <w:bottom w:w="0" w:type="dxa"/>
              <w:right w:w="108" w:type="dxa"/>
            </w:tcMar>
            <w:vAlign w:val="center"/>
            <w:hideMark/>
          </w:tcPr>
          <w:p w14:paraId="6264ED4D" w14:textId="77777777" w:rsidR="00E72F0C" w:rsidRPr="004D5509" w:rsidRDefault="00107901">
            <w:pPr>
              <w:pStyle w:val="a3"/>
              <w:spacing w:before="0" w:beforeAutospacing="0" w:after="0" w:afterAutospacing="0"/>
              <w:jc w:val="right"/>
              <w:textAlignment w:val="center"/>
              <w:rPr>
                <w:rFonts w:asciiTheme="minorEastAsia" w:eastAsiaTheme="minorEastAsia" w:hAnsiTheme="minorEastAsia" w:cs="Times New Roman" w:hint="eastAsia"/>
                <w:sz w:val="18"/>
                <w:szCs w:val="18"/>
              </w:rPr>
            </w:pPr>
            <w:r w:rsidRPr="004D5509">
              <w:rPr>
                <w:rFonts w:asciiTheme="minorEastAsia" w:eastAsiaTheme="minorEastAsia" w:hAnsiTheme="minorEastAsia" w:cs="Arial"/>
                <w:sz w:val="18"/>
                <w:szCs w:val="18"/>
              </w:rPr>
              <w:t>15,272,584.95</w:t>
            </w:r>
          </w:p>
        </w:tc>
      </w:tr>
    </w:tbl>
    <w:p w14:paraId="3BEA18AD"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371" w:name="_Toc989261"/>
      <w:r>
        <w:rPr>
          <w:rFonts w:ascii="宋体" w:eastAsia="宋体" w:hAnsi="宋体" w:cs="宋体"/>
          <w:b/>
          <w:bCs/>
          <w:szCs w:val="21"/>
        </w:rPr>
        <w:t>（2） 关联租赁情况</w:t>
      </w:r>
      <w:bookmarkEnd w:id="371"/>
    </w:p>
    <w:p w14:paraId="1EC16D4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本公司作为出租方：</w:t>
      </w:r>
    </w:p>
    <w:p w14:paraId="7D8B159C" w14:textId="77777777" w:rsidR="00632E5B" w:rsidRDefault="00107901">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2409"/>
        <w:gridCol w:w="2410"/>
        <w:gridCol w:w="2410"/>
        <w:gridCol w:w="2410"/>
      </w:tblGrid>
      <w:tr w:rsidR="00632E5B" w14:paraId="6D9593CD" w14:textId="77777777" w:rsidTr="00F91968">
        <w:trPr>
          <w:trHeight w:val="240"/>
        </w:trPr>
        <w:tc>
          <w:tcPr>
            <w:tcW w:w="2410" w:type="dxa"/>
            <w:shd w:val="clear" w:color="auto" w:fill="FFFFFF" w:themeFill="background1"/>
            <w:vAlign w:val="center"/>
          </w:tcPr>
          <w:p w14:paraId="5BC8FE6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承租方名称</w:t>
            </w:r>
          </w:p>
        </w:tc>
        <w:tc>
          <w:tcPr>
            <w:tcW w:w="2410" w:type="dxa"/>
            <w:shd w:val="clear" w:color="auto" w:fill="FFFFFF" w:themeFill="background1"/>
            <w:vAlign w:val="center"/>
          </w:tcPr>
          <w:p w14:paraId="48D5861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租赁资产种类</w:t>
            </w:r>
          </w:p>
        </w:tc>
        <w:tc>
          <w:tcPr>
            <w:tcW w:w="2410" w:type="dxa"/>
            <w:shd w:val="clear" w:color="auto" w:fill="FFFFFF" w:themeFill="background1"/>
            <w:vAlign w:val="center"/>
          </w:tcPr>
          <w:p w14:paraId="42853EA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本期确认的租赁收入</w:t>
            </w:r>
          </w:p>
        </w:tc>
        <w:tc>
          <w:tcPr>
            <w:tcW w:w="2410" w:type="dxa"/>
            <w:shd w:val="clear" w:color="auto" w:fill="FFFFFF" w:themeFill="background1"/>
            <w:vAlign w:val="center"/>
          </w:tcPr>
          <w:p w14:paraId="0CC1458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上期确认的租赁收入</w:t>
            </w:r>
          </w:p>
        </w:tc>
      </w:tr>
      <w:tr w:rsidR="00632E5B" w14:paraId="5F2BB72E" w14:textId="77777777" w:rsidTr="00F91968">
        <w:trPr>
          <w:trHeight w:val="240"/>
        </w:trPr>
        <w:tc>
          <w:tcPr>
            <w:tcW w:w="2410" w:type="dxa"/>
            <w:shd w:val="clear" w:color="auto" w:fill="FFFFFF" w:themeFill="background1"/>
            <w:vAlign w:val="center"/>
          </w:tcPr>
          <w:p w14:paraId="1E54030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江苏中利控股集团有限公司</w:t>
            </w:r>
          </w:p>
        </w:tc>
        <w:tc>
          <w:tcPr>
            <w:tcW w:w="2410" w:type="dxa"/>
            <w:shd w:val="clear" w:color="auto" w:fill="FFFFFF" w:themeFill="background1"/>
            <w:vAlign w:val="center"/>
          </w:tcPr>
          <w:p w14:paraId="1805F30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房屋建筑</w:t>
            </w:r>
          </w:p>
        </w:tc>
        <w:tc>
          <w:tcPr>
            <w:tcW w:w="2410" w:type="dxa"/>
            <w:shd w:val="clear" w:color="auto" w:fill="FFFFFF" w:themeFill="background1"/>
            <w:vAlign w:val="center"/>
          </w:tcPr>
          <w:p w14:paraId="37480258"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608EBE6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437,800.00</w:t>
            </w:r>
          </w:p>
        </w:tc>
      </w:tr>
    </w:tbl>
    <w:p w14:paraId="2183D554"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372" w:name="_Toc989262"/>
      <w:r>
        <w:rPr>
          <w:rFonts w:ascii="宋体" w:eastAsia="宋体" w:hAnsi="宋体" w:cs="宋体"/>
          <w:b/>
          <w:bCs/>
          <w:szCs w:val="21"/>
        </w:rPr>
        <w:lastRenderedPageBreak/>
        <w:t>（3） 关联担保情况</w:t>
      </w:r>
      <w:bookmarkEnd w:id="372"/>
    </w:p>
    <w:p w14:paraId="599BBBC6" w14:textId="77777777" w:rsidR="00CA261D" w:rsidRDefault="00107901" w:rsidP="00CA261D">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p w14:paraId="467F86FA" w14:textId="77777777" w:rsidR="00E72F0C" w:rsidRPr="00CA261D" w:rsidRDefault="00107901" w:rsidP="00CA261D">
      <w:pPr>
        <w:spacing w:before="120" w:after="120" w:line="240" w:lineRule="exact"/>
        <w:ind w:firstLineChars="200" w:firstLine="360"/>
        <w:rPr>
          <w:rFonts w:ascii="宋体" w:eastAsia="宋体" w:hAnsi="宋体" w:cs="宋体" w:hint="eastAsia"/>
          <w:sz w:val="18"/>
          <w:szCs w:val="18"/>
        </w:rPr>
      </w:pPr>
      <w:r>
        <w:rPr>
          <w:rFonts w:cs="Times New Roman" w:hint="eastAsia"/>
          <w:sz w:val="18"/>
          <w:szCs w:val="18"/>
        </w:rPr>
        <w:t>本公司作为担保方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3"/>
        <w:gridCol w:w="1804"/>
        <w:gridCol w:w="1977"/>
        <w:gridCol w:w="1608"/>
        <w:gridCol w:w="1265"/>
      </w:tblGrid>
      <w:tr w:rsidR="00E72F0C" w:rsidRPr="00F84867" w14:paraId="06774EE9" w14:textId="77777777" w:rsidTr="00F84867">
        <w:trPr>
          <w:divId w:val="873661116"/>
          <w:trHeight w:val="792"/>
          <w:tblHeader/>
        </w:trPr>
        <w:tc>
          <w:tcPr>
            <w:tcW w:w="1544" w:type="pct"/>
            <w:tcMar>
              <w:top w:w="0" w:type="dxa"/>
              <w:left w:w="108" w:type="dxa"/>
              <w:bottom w:w="0" w:type="dxa"/>
              <w:right w:w="108" w:type="dxa"/>
            </w:tcMar>
            <w:vAlign w:val="center"/>
            <w:hideMark/>
          </w:tcPr>
          <w:p w14:paraId="2569FBD0" w14:textId="77777777" w:rsidR="00E72F0C" w:rsidRPr="00F84867" w:rsidRDefault="00107901">
            <w:pPr>
              <w:pStyle w:val="a3"/>
              <w:spacing w:before="0" w:beforeAutospacing="0" w:after="0" w:afterAutospacing="0"/>
              <w:jc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sz w:val="18"/>
                <w:szCs w:val="18"/>
              </w:rPr>
              <w:t>被担保方名称</w:t>
            </w:r>
          </w:p>
        </w:tc>
        <w:tc>
          <w:tcPr>
            <w:tcW w:w="937" w:type="pct"/>
            <w:tcMar>
              <w:top w:w="0" w:type="dxa"/>
              <w:left w:w="108" w:type="dxa"/>
              <w:bottom w:w="0" w:type="dxa"/>
              <w:right w:w="108" w:type="dxa"/>
            </w:tcMar>
            <w:vAlign w:val="center"/>
            <w:hideMark/>
          </w:tcPr>
          <w:p w14:paraId="6DEE2FFA" w14:textId="77777777" w:rsidR="00E72F0C" w:rsidRPr="00F84867" w:rsidRDefault="00107901">
            <w:pPr>
              <w:pStyle w:val="a3"/>
              <w:spacing w:before="0" w:beforeAutospacing="0" w:after="0" w:afterAutospacing="0"/>
              <w:jc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sz w:val="18"/>
                <w:szCs w:val="18"/>
              </w:rPr>
              <w:t>担保金额</w:t>
            </w:r>
          </w:p>
        </w:tc>
        <w:tc>
          <w:tcPr>
            <w:tcW w:w="1027" w:type="pct"/>
            <w:tcMar>
              <w:top w:w="0" w:type="dxa"/>
              <w:left w:w="108" w:type="dxa"/>
              <w:bottom w:w="0" w:type="dxa"/>
              <w:right w:w="108" w:type="dxa"/>
            </w:tcMar>
            <w:vAlign w:val="center"/>
            <w:hideMark/>
          </w:tcPr>
          <w:p w14:paraId="65B38CB8" w14:textId="77777777" w:rsidR="00E72F0C" w:rsidRPr="00F84867" w:rsidRDefault="00107901">
            <w:pPr>
              <w:pStyle w:val="a3"/>
              <w:spacing w:before="0" w:beforeAutospacing="0" w:after="0" w:afterAutospacing="0"/>
              <w:jc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sz w:val="18"/>
                <w:szCs w:val="18"/>
              </w:rPr>
              <w:t>担保起始日</w:t>
            </w:r>
          </w:p>
        </w:tc>
        <w:tc>
          <w:tcPr>
            <w:tcW w:w="835" w:type="pct"/>
            <w:tcMar>
              <w:top w:w="0" w:type="dxa"/>
              <w:left w:w="108" w:type="dxa"/>
              <w:bottom w:w="0" w:type="dxa"/>
              <w:right w:w="108" w:type="dxa"/>
            </w:tcMar>
            <w:vAlign w:val="center"/>
            <w:hideMark/>
          </w:tcPr>
          <w:p w14:paraId="342A5546" w14:textId="77777777" w:rsidR="00E72F0C" w:rsidRPr="00F84867" w:rsidRDefault="00107901">
            <w:pPr>
              <w:pStyle w:val="a3"/>
              <w:spacing w:before="0" w:beforeAutospacing="0" w:after="0" w:afterAutospacing="0"/>
              <w:jc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sz w:val="18"/>
                <w:szCs w:val="18"/>
              </w:rPr>
              <w:t>担保到期日</w:t>
            </w:r>
          </w:p>
        </w:tc>
        <w:tc>
          <w:tcPr>
            <w:tcW w:w="657" w:type="pct"/>
            <w:tcMar>
              <w:top w:w="0" w:type="dxa"/>
              <w:left w:w="108" w:type="dxa"/>
              <w:bottom w:w="0" w:type="dxa"/>
              <w:right w:w="108" w:type="dxa"/>
            </w:tcMar>
            <w:vAlign w:val="center"/>
            <w:hideMark/>
          </w:tcPr>
          <w:p w14:paraId="57161D85" w14:textId="77777777" w:rsidR="00E72F0C" w:rsidRPr="00F84867" w:rsidRDefault="00107901">
            <w:pPr>
              <w:pStyle w:val="a3"/>
              <w:spacing w:before="0" w:beforeAutospacing="0" w:after="0" w:afterAutospacing="0"/>
              <w:jc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sz w:val="18"/>
                <w:szCs w:val="18"/>
              </w:rPr>
              <w:t>担保是否已经履行完毕</w:t>
            </w:r>
          </w:p>
        </w:tc>
      </w:tr>
      <w:tr w:rsidR="00E72F0C" w:rsidRPr="00F84867" w14:paraId="5CC3F084" w14:textId="77777777" w:rsidTr="00F84867">
        <w:trPr>
          <w:divId w:val="873661116"/>
          <w:trHeight w:val="264"/>
        </w:trPr>
        <w:tc>
          <w:tcPr>
            <w:tcW w:w="1544" w:type="pct"/>
            <w:tcMar>
              <w:top w:w="0" w:type="dxa"/>
              <w:left w:w="108" w:type="dxa"/>
              <w:bottom w:w="0" w:type="dxa"/>
              <w:right w:w="108" w:type="dxa"/>
            </w:tcMar>
            <w:vAlign w:val="center"/>
            <w:hideMark/>
          </w:tcPr>
          <w:p w14:paraId="2A1B0116" w14:textId="77777777" w:rsidR="00E72F0C" w:rsidRPr="00F84867" w:rsidRDefault="00107901">
            <w:pPr>
              <w:pStyle w:val="a3"/>
              <w:spacing w:before="0" w:beforeAutospacing="0" w:after="0" w:afterAutospacing="0"/>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常熟盛晖光伏技术有限公司</w:t>
            </w:r>
          </w:p>
        </w:tc>
        <w:tc>
          <w:tcPr>
            <w:tcW w:w="937" w:type="pct"/>
            <w:tcMar>
              <w:top w:w="0" w:type="dxa"/>
              <w:left w:w="108" w:type="dxa"/>
              <w:bottom w:w="0" w:type="dxa"/>
              <w:right w:w="108" w:type="dxa"/>
            </w:tcMar>
            <w:vAlign w:val="center"/>
            <w:hideMark/>
          </w:tcPr>
          <w:p w14:paraId="6905648F"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9,865,941.48 </w:t>
            </w:r>
          </w:p>
        </w:tc>
        <w:tc>
          <w:tcPr>
            <w:tcW w:w="1027" w:type="pct"/>
            <w:tcMar>
              <w:top w:w="0" w:type="dxa"/>
              <w:left w:w="108" w:type="dxa"/>
              <w:bottom w:w="0" w:type="dxa"/>
              <w:right w:w="108" w:type="dxa"/>
            </w:tcMar>
            <w:vAlign w:val="center"/>
            <w:hideMark/>
          </w:tcPr>
          <w:p w14:paraId="0EEFAB4D"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2024-12-12</w:t>
            </w:r>
          </w:p>
        </w:tc>
        <w:tc>
          <w:tcPr>
            <w:tcW w:w="835" w:type="pct"/>
            <w:tcMar>
              <w:top w:w="0" w:type="dxa"/>
              <w:left w:w="108" w:type="dxa"/>
              <w:bottom w:w="0" w:type="dxa"/>
              <w:right w:w="108" w:type="dxa"/>
            </w:tcMar>
            <w:vAlign w:val="center"/>
            <w:hideMark/>
          </w:tcPr>
          <w:p w14:paraId="1B8B6B49"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三年</w:t>
            </w:r>
          </w:p>
        </w:tc>
        <w:tc>
          <w:tcPr>
            <w:tcW w:w="657" w:type="pct"/>
            <w:tcMar>
              <w:top w:w="0" w:type="dxa"/>
              <w:left w:w="108" w:type="dxa"/>
              <w:bottom w:w="0" w:type="dxa"/>
              <w:right w:w="108" w:type="dxa"/>
            </w:tcMar>
            <w:vAlign w:val="center"/>
            <w:hideMark/>
          </w:tcPr>
          <w:p w14:paraId="4E9F9FD8"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r w:rsidR="00E72F0C" w:rsidRPr="00F84867" w14:paraId="3F85ACDE" w14:textId="77777777" w:rsidTr="00F84867">
        <w:trPr>
          <w:divId w:val="873661116"/>
          <w:trHeight w:val="264"/>
        </w:trPr>
        <w:tc>
          <w:tcPr>
            <w:tcW w:w="1544" w:type="pct"/>
            <w:tcMar>
              <w:top w:w="0" w:type="dxa"/>
              <w:left w:w="108" w:type="dxa"/>
              <w:bottom w:w="0" w:type="dxa"/>
              <w:right w:w="108" w:type="dxa"/>
            </w:tcMar>
            <w:vAlign w:val="center"/>
            <w:hideMark/>
          </w:tcPr>
          <w:p w14:paraId="63EEE9FE" w14:textId="77777777" w:rsidR="00E72F0C" w:rsidRPr="00F84867" w:rsidRDefault="00107901">
            <w:pPr>
              <w:pStyle w:val="a3"/>
              <w:spacing w:before="0" w:beforeAutospacing="0" w:after="0" w:afterAutospacing="0"/>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常州船用电缆有限责任公司</w:t>
            </w:r>
          </w:p>
        </w:tc>
        <w:tc>
          <w:tcPr>
            <w:tcW w:w="937" w:type="pct"/>
            <w:tcMar>
              <w:top w:w="0" w:type="dxa"/>
              <w:left w:w="108" w:type="dxa"/>
              <w:bottom w:w="0" w:type="dxa"/>
              <w:right w:w="108" w:type="dxa"/>
            </w:tcMar>
            <w:vAlign w:val="center"/>
            <w:hideMark/>
          </w:tcPr>
          <w:p w14:paraId="5F93A0A5"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7,933,206.97 </w:t>
            </w:r>
          </w:p>
        </w:tc>
        <w:tc>
          <w:tcPr>
            <w:tcW w:w="1027" w:type="pct"/>
            <w:tcMar>
              <w:top w:w="0" w:type="dxa"/>
              <w:left w:w="108" w:type="dxa"/>
              <w:bottom w:w="0" w:type="dxa"/>
              <w:right w:w="108" w:type="dxa"/>
            </w:tcMar>
            <w:vAlign w:val="center"/>
            <w:hideMark/>
          </w:tcPr>
          <w:p w14:paraId="3D86BEF2"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2024-12-12</w:t>
            </w:r>
          </w:p>
        </w:tc>
        <w:tc>
          <w:tcPr>
            <w:tcW w:w="835" w:type="pct"/>
            <w:tcMar>
              <w:top w:w="0" w:type="dxa"/>
              <w:left w:w="108" w:type="dxa"/>
              <w:bottom w:w="0" w:type="dxa"/>
              <w:right w:w="108" w:type="dxa"/>
            </w:tcMar>
            <w:vAlign w:val="center"/>
            <w:hideMark/>
          </w:tcPr>
          <w:p w14:paraId="75581E0E"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八年</w:t>
            </w:r>
          </w:p>
        </w:tc>
        <w:tc>
          <w:tcPr>
            <w:tcW w:w="657" w:type="pct"/>
            <w:tcMar>
              <w:top w:w="0" w:type="dxa"/>
              <w:left w:w="108" w:type="dxa"/>
              <w:bottom w:w="0" w:type="dxa"/>
              <w:right w:w="108" w:type="dxa"/>
            </w:tcMar>
            <w:vAlign w:val="center"/>
            <w:hideMark/>
          </w:tcPr>
          <w:p w14:paraId="5085FE9D"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r w:rsidR="00E72F0C" w:rsidRPr="00F84867" w14:paraId="2052607B" w14:textId="77777777" w:rsidTr="00F84867">
        <w:trPr>
          <w:divId w:val="873661116"/>
          <w:trHeight w:val="264"/>
        </w:trPr>
        <w:tc>
          <w:tcPr>
            <w:tcW w:w="1544" w:type="pct"/>
            <w:tcMar>
              <w:top w:w="0" w:type="dxa"/>
              <w:left w:w="108" w:type="dxa"/>
              <w:bottom w:w="0" w:type="dxa"/>
              <w:right w:w="108" w:type="dxa"/>
            </w:tcMar>
            <w:vAlign w:val="center"/>
            <w:hideMark/>
          </w:tcPr>
          <w:p w14:paraId="0645A6B4" w14:textId="77777777" w:rsidR="00E72F0C" w:rsidRPr="00F84867" w:rsidRDefault="00107901">
            <w:pPr>
              <w:pStyle w:val="a3"/>
              <w:spacing w:before="0" w:beforeAutospacing="0" w:after="0" w:afterAutospacing="0"/>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辽宁中德电缆有限公司</w:t>
            </w:r>
          </w:p>
        </w:tc>
        <w:tc>
          <w:tcPr>
            <w:tcW w:w="937" w:type="pct"/>
            <w:tcMar>
              <w:top w:w="0" w:type="dxa"/>
              <w:left w:w="108" w:type="dxa"/>
              <w:bottom w:w="0" w:type="dxa"/>
              <w:right w:w="108" w:type="dxa"/>
            </w:tcMar>
            <w:vAlign w:val="center"/>
            <w:hideMark/>
          </w:tcPr>
          <w:p w14:paraId="39190A01"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6,208,800.65 </w:t>
            </w:r>
          </w:p>
        </w:tc>
        <w:tc>
          <w:tcPr>
            <w:tcW w:w="1027" w:type="pct"/>
            <w:tcMar>
              <w:top w:w="0" w:type="dxa"/>
              <w:left w:w="108" w:type="dxa"/>
              <w:bottom w:w="0" w:type="dxa"/>
              <w:right w:w="108" w:type="dxa"/>
            </w:tcMar>
            <w:vAlign w:val="center"/>
            <w:hideMark/>
          </w:tcPr>
          <w:p w14:paraId="10A18E33"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2024-9-2</w:t>
            </w:r>
          </w:p>
        </w:tc>
        <w:tc>
          <w:tcPr>
            <w:tcW w:w="835" w:type="pct"/>
            <w:tcMar>
              <w:top w:w="0" w:type="dxa"/>
              <w:left w:w="108" w:type="dxa"/>
              <w:bottom w:w="0" w:type="dxa"/>
              <w:right w:w="108" w:type="dxa"/>
            </w:tcMar>
            <w:vAlign w:val="center"/>
            <w:hideMark/>
          </w:tcPr>
          <w:p w14:paraId="20D8F918"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债务履行期届满之日起三年</w:t>
            </w:r>
          </w:p>
        </w:tc>
        <w:tc>
          <w:tcPr>
            <w:tcW w:w="657" w:type="pct"/>
            <w:tcMar>
              <w:top w:w="0" w:type="dxa"/>
              <w:left w:w="108" w:type="dxa"/>
              <w:bottom w:w="0" w:type="dxa"/>
              <w:right w:w="108" w:type="dxa"/>
            </w:tcMar>
            <w:vAlign w:val="center"/>
            <w:hideMark/>
          </w:tcPr>
          <w:p w14:paraId="3ED8DAE5"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r w:rsidR="00E72F0C" w:rsidRPr="00F84867" w14:paraId="125A0501" w14:textId="77777777" w:rsidTr="00F84867">
        <w:trPr>
          <w:divId w:val="873661116"/>
          <w:trHeight w:val="264"/>
        </w:trPr>
        <w:tc>
          <w:tcPr>
            <w:tcW w:w="1544" w:type="pct"/>
            <w:tcMar>
              <w:top w:w="0" w:type="dxa"/>
              <w:left w:w="108" w:type="dxa"/>
              <w:bottom w:w="0" w:type="dxa"/>
              <w:right w:w="108" w:type="dxa"/>
            </w:tcMar>
            <w:vAlign w:val="center"/>
            <w:hideMark/>
          </w:tcPr>
          <w:p w14:paraId="134C07A2" w14:textId="77777777" w:rsidR="00E72F0C" w:rsidRPr="00F84867" w:rsidRDefault="00107901">
            <w:pPr>
              <w:pStyle w:val="a3"/>
              <w:spacing w:before="0" w:beforeAutospacing="0" w:after="0" w:afterAutospacing="0"/>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辽宁中德电缆有限公司</w:t>
            </w:r>
          </w:p>
        </w:tc>
        <w:tc>
          <w:tcPr>
            <w:tcW w:w="937" w:type="pct"/>
            <w:tcMar>
              <w:top w:w="0" w:type="dxa"/>
              <w:left w:w="108" w:type="dxa"/>
              <w:bottom w:w="0" w:type="dxa"/>
              <w:right w:w="108" w:type="dxa"/>
            </w:tcMar>
            <w:vAlign w:val="center"/>
            <w:hideMark/>
          </w:tcPr>
          <w:p w14:paraId="66CD8720"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13,000,000.00 </w:t>
            </w:r>
          </w:p>
        </w:tc>
        <w:tc>
          <w:tcPr>
            <w:tcW w:w="1027" w:type="pct"/>
            <w:tcMar>
              <w:top w:w="0" w:type="dxa"/>
              <w:left w:w="108" w:type="dxa"/>
              <w:bottom w:w="0" w:type="dxa"/>
              <w:right w:w="108" w:type="dxa"/>
            </w:tcMar>
            <w:vAlign w:val="center"/>
            <w:hideMark/>
          </w:tcPr>
          <w:p w14:paraId="75C5B615"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2024-12-12</w:t>
            </w:r>
          </w:p>
        </w:tc>
        <w:tc>
          <w:tcPr>
            <w:tcW w:w="835" w:type="pct"/>
            <w:tcMar>
              <w:top w:w="0" w:type="dxa"/>
              <w:left w:w="108" w:type="dxa"/>
              <w:bottom w:w="0" w:type="dxa"/>
              <w:right w:w="108" w:type="dxa"/>
            </w:tcMar>
            <w:vAlign w:val="center"/>
            <w:hideMark/>
          </w:tcPr>
          <w:p w14:paraId="3CE72D34"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三年</w:t>
            </w:r>
          </w:p>
        </w:tc>
        <w:tc>
          <w:tcPr>
            <w:tcW w:w="657" w:type="pct"/>
            <w:tcMar>
              <w:top w:w="0" w:type="dxa"/>
              <w:left w:w="108" w:type="dxa"/>
              <w:bottom w:w="0" w:type="dxa"/>
              <w:right w:w="108" w:type="dxa"/>
            </w:tcMar>
            <w:vAlign w:val="center"/>
            <w:hideMark/>
          </w:tcPr>
          <w:p w14:paraId="0BBDFB30"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r w:rsidR="00E72F0C" w:rsidRPr="00F84867" w14:paraId="38842540" w14:textId="77777777" w:rsidTr="00F84867">
        <w:trPr>
          <w:divId w:val="873661116"/>
          <w:trHeight w:val="264"/>
        </w:trPr>
        <w:tc>
          <w:tcPr>
            <w:tcW w:w="1544" w:type="pct"/>
            <w:tcMar>
              <w:top w:w="0" w:type="dxa"/>
              <w:left w:w="108" w:type="dxa"/>
              <w:bottom w:w="0" w:type="dxa"/>
              <w:right w:w="108" w:type="dxa"/>
            </w:tcMar>
            <w:vAlign w:val="center"/>
            <w:hideMark/>
          </w:tcPr>
          <w:p w14:paraId="227EC36B" w14:textId="77777777" w:rsidR="00E72F0C" w:rsidRPr="00F84867" w:rsidRDefault="00107901">
            <w:pPr>
              <w:pStyle w:val="a3"/>
              <w:spacing w:before="0" w:beforeAutospacing="0" w:after="0" w:afterAutospacing="0"/>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南昌讯晖光伏技术有限公司</w:t>
            </w:r>
          </w:p>
        </w:tc>
        <w:tc>
          <w:tcPr>
            <w:tcW w:w="937" w:type="pct"/>
            <w:tcMar>
              <w:top w:w="0" w:type="dxa"/>
              <w:left w:w="108" w:type="dxa"/>
              <w:bottom w:w="0" w:type="dxa"/>
              <w:right w:w="108" w:type="dxa"/>
            </w:tcMar>
            <w:vAlign w:val="center"/>
            <w:hideMark/>
          </w:tcPr>
          <w:p w14:paraId="741BA15B"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5,905,669.80 </w:t>
            </w:r>
          </w:p>
        </w:tc>
        <w:tc>
          <w:tcPr>
            <w:tcW w:w="1027" w:type="pct"/>
            <w:tcMar>
              <w:top w:w="0" w:type="dxa"/>
              <w:left w:w="108" w:type="dxa"/>
              <w:bottom w:w="0" w:type="dxa"/>
              <w:right w:w="108" w:type="dxa"/>
            </w:tcMar>
            <w:vAlign w:val="center"/>
            <w:hideMark/>
          </w:tcPr>
          <w:p w14:paraId="630A16D1"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2024-12-12</w:t>
            </w:r>
          </w:p>
        </w:tc>
        <w:tc>
          <w:tcPr>
            <w:tcW w:w="835" w:type="pct"/>
            <w:tcMar>
              <w:top w:w="0" w:type="dxa"/>
              <w:left w:w="108" w:type="dxa"/>
              <w:bottom w:w="0" w:type="dxa"/>
              <w:right w:w="108" w:type="dxa"/>
            </w:tcMar>
            <w:vAlign w:val="center"/>
            <w:hideMark/>
          </w:tcPr>
          <w:p w14:paraId="151A4C62"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三年</w:t>
            </w:r>
          </w:p>
        </w:tc>
        <w:tc>
          <w:tcPr>
            <w:tcW w:w="657" w:type="pct"/>
            <w:tcMar>
              <w:top w:w="0" w:type="dxa"/>
              <w:left w:w="108" w:type="dxa"/>
              <w:bottom w:w="0" w:type="dxa"/>
              <w:right w:w="108" w:type="dxa"/>
            </w:tcMar>
            <w:vAlign w:val="center"/>
            <w:hideMark/>
          </w:tcPr>
          <w:p w14:paraId="2CF11A21"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r w:rsidR="00E72F0C" w:rsidRPr="00F84867" w14:paraId="7F89FF3B" w14:textId="77777777" w:rsidTr="00F84867">
        <w:trPr>
          <w:divId w:val="873661116"/>
          <w:trHeight w:val="264"/>
        </w:trPr>
        <w:tc>
          <w:tcPr>
            <w:tcW w:w="1544" w:type="pct"/>
            <w:tcMar>
              <w:top w:w="0" w:type="dxa"/>
              <w:left w:w="108" w:type="dxa"/>
              <w:bottom w:w="0" w:type="dxa"/>
              <w:right w:w="108" w:type="dxa"/>
            </w:tcMar>
            <w:vAlign w:val="center"/>
            <w:hideMark/>
          </w:tcPr>
          <w:p w14:paraId="4095EA1B" w14:textId="77777777" w:rsidR="00E72F0C" w:rsidRPr="00F84867" w:rsidRDefault="00107901">
            <w:pPr>
              <w:pStyle w:val="a3"/>
              <w:spacing w:before="0" w:beforeAutospacing="0" w:after="0" w:afterAutospacing="0"/>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宁夏中盛电缆技术有限公司</w:t>
            </w:r>
          </w:p>
        </w:tc>
        <w:tc>
          <w:tcPr>
            <w:tcW w:w="937" w:type="pct"/>
            <w:tcMar>
              <w:top w:w="0" w:type="dxa"/>
              <w:left w:w="108" w:type="dxa"/>
              <w:bottom w:w="0" w:type="dxa"/>
              <w:right w:w="108" w:type="dxa"/>
            </w:tcMar>
            <w:vAlign w:val="center"/>
            <w:hideMark/>
          </w:tcPr>
          <w:p w14:paraId="5242F030"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10,000,000.00 </w:t>
            </w:r>
          </w:p>
        </w:tc>
        <w:tc>
          <w:tcPr>
            <w:tcW w:w="1027" w:type="pct"/>
            <w:tcMar>
              <w:top w:w="0" w:type="dxa"/>
              <w:left w:w="108" w:type="dxa"/>
              <w:bottom w:w="0" w:type="dxa"/>
              <w:right w:w="108" w:type="dxa"/>
            </w:tcMar>
            <w:vAlign w:val="center"/>
            <w:hideMark/>
          </w:tcPr>
          <w:p w14:paraId="6D054E3B"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2024-12-12</w:t>
            </w:r>
          </w:p>
        </w:tc>
        <w:tc>
          <w:tcPr>
            <w:tcW w:w="835" w:type="pct"/>
            <w:tcMar>
              <w:top w:w="0" w:type="dxa"/>
              <w:left w:w="108" w:type="dxa"/>
              <w:bottom w:w="0" w:type="dxa"/>
              <w:right w:w="108" w:type="dxa"/>
            </w:tcMar>
            <w:vAlign w:val="center"/>
            <w:hideMark/>
          </w:tcPr>
          <w:p w14:paraId="7F9723BE"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三年</w:t>
            </w:r>
          </w:p>
        </w:tc>
        <w:tc>
          <w:tcPr>
            <w:tcW w:w="657" w:type="pct"/>
            <w:tcMar>
              <w:top w:w="0" w:type="dxa"/>
              <w:left w:w="108" w:type="dxa"/>
              <w:bottom w:w="0" w:type="dxa"/>
              <w:right w:w="108" w:type="dxa"/>
            </w:tcMar>
            <w:vAlign w:val="center"/>
            <w:hideMark/>
          </w:tcPr>
          <w:p w14:paraId="64432908"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r w:rsidR="00E72F0C" w:rsidRPr="00F84867" w14:paraId="0A5D5889" w14:textId="77777777" w:rsidTr="00F84867">
        <w:trPr>
          <w:divId w:val="873661116"/>
          <w:trHeight w:val="264"/>
        </w:trPr>
        <w:tc>
          <w:tcPr>
            <w:tcW w:w="1544" w:type="pct"/>
            <w:tcMar>
              <w:top w:w="0" w:type="dxa"/>
              <w:left w:w="108" w:type="dxa"/>
              <w:bottom w:w="0" w:type="dxa"/>
              <w:right w:w="108" w:type="dxa"/>
            </w:tcMar>
            <w:vAlign w:val="center"/>
            <w:hideMark/>
          </w:tcPr>
          <w:p w14:paraId="6C1166C7" w14:textId="77777777" w:rsidR="00E72F0C" w:rsidRPr="00F84867" w:rsidRDefault="00107901">
            <w:pPr>
              <w:pStyle w:val="a3"/>
              <w:spacing w:before="0" w:beforeAutospacing="0" w:after="0" w:afterAutospacing="0"/>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青海中利光纤技术有限公司</w:t>
            </w:r>
          </w:p>
        </w:tc>
        <w:tc>
          <w:tcPr>
            <w:tcW w:w="937" w:type="pct"/>
            <w:tcMar>
              <w:top w:w="0" w:type="dxa"/>
              <w:left w:w="108" w:type="dxa"/>
              <w:bottom w:w="0" w:type="dxa"/>
              <w:right w:w="108" w:type="dxa"/>
            </w:tcMar>
            <w:vAlign w:val="center"/>
            <w:hideMark/>
          </w:tcPr>
          <w:p w14:paraId="72A0D34E"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286,317,476.47 </w:t>
            </w:r>
          </w:p>
        </w:tc>
        <w:tc>
          <w:tcPr>
            <w:tcW w:w="1027" w:type="pct"/>
            <w:tcMar>
              <w:top w:w="0" w:type="dxa"/>
              <w:left w:w="108" w:type="dxa"/>
              <w:bottom w:w="0" w:type="dxa"/>
              <w:right w:w="108" w:type="dxa"/>
            </w:tcMar>
            <w:vAlign w:val="center"/>
            <w:hideMark/>
          </w:tcPr>
          <w:p w14:paraId="1ED750A6"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2024-12-12</w:t>
            </w:r>
          </w:p>
        </w:tc>
        <w:tc>
          <w:tcPr>
            <w:tcW w:w="835" w:type="pct"/>
            <w:tcMar>
              <w:top w:w="0" w:type="dxa"/>
              <w:left w:w="108" w:type="dxa"/>
              <w:bottom w:w="0" w:type="dxa"/>
              <w:right w:w="108" w:type="dxa"/>
            </w:tcMar>
            <w:vAlign w:val="center"/>
            <w:hideMark/>
          </w:tcPr>
          <w:p w14:paraId="453DA6C7"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三年</w:t>
            </w:r>
          </w:p>
        </w:tc>
        <w:tc>
          <w:tcPr>
            <w:tcW w:w="657" w:type="pct"/>
            <w:tcMar>
              <w:top w:w="0" w:type="dxa"/>
              <w:left w:w="108" w:type="dxa"/>
              <w:bottom w:w="0" w:type="dxa"/>
              <w:right w:w="108" w:type="dxa"/>
            </w:tcMar>
            <w:vAlign w:val="center"/>
            <w:hideMark/>
          </w:tcPr>
          <w:p w14:paraId="6933FC27"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r w:rsidR="00E72F0C" w:rsidRPr="00F84867" w14:paraId="730B6D1E" w14:textId="77777777" w:rsidTr="00F84867">
        <w:trPr>
          <w:divId w:val="873661116"/>
          <w:trHeight w:val="361"/>
        </w:trPr>
        <w:tc>
          <w:tcPr>
            <w:tcW w:w="1544" w:type="pct"/>
            <w:tcMar>
              <w:top w:w="0" w:type="dxa"/>
              <w:left w:w="108" w:type="dxa"/>
              <w:bottom w:w="0" w:type="dxa"/>
              <w:right w:w="108" w:type="dxa"/>
            </w:tcMar>
            <w:vAlign w:val="center"/>
            <w:hideMark/>
          </w:tcPr>
          <w:p w14:paraId="3A1A369E" w14:textId="77777777" w:rsidR="00E72F0C" w:rsidRPr="00F84867" w:rsidRDefault="00107901">
            <w:pPr>
              <w:pStyle w:val="a3"/>
              <w:spacing w:before="0" w:beforeAutospacing="0" w:after="0" w:afterAutospacing="0"/>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苏州腾晖光伏技术有限公司</w:t>
            </w:r>
          </w:p>
        </w:tc>
        <w:tc>
          <w:tcPr>
            <w:tcW w:w="937" w:type="pct"/>
            <w:tcMar>
              <w:top w:w="0" w:type="dxa"/>
              <w:left w:w="108" w:type="dxa"/>
              <w:bottom w:w="0" w:type="dxa"/>
              <w:right w:w="108" w:type="dxa"/>
            </w:tcMar>
            <w:vAlign w:val="center"/>
            <w:hideMark/>
          </w:tcPr>
          <w:p w14:paraId="1AAE23BE"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210,439,666.74 </w:t>
            </w:r>
          </w:p>
        </w:tc>
        <w:tc>
          <w:tcPr>
            <w:tcW w:w="1027" w:type="pct"/>
            <w:tcMar>
              <w:top w:w="0" w:type="dxa"/>
              <w:left w:w="108" w:type="dxa"/>
              <w:bottom w:w="0" w:type="dxa"/>
              <w:right w:w="108" w:type="dxa"/>
            </w:tcMar>
            <w:vAlign w:val="center"/>
            <w:hideMark/>
          </w:tcPr>
          <w:p w14:paraId="259DE96C"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2024-12-12</w:t>
            </w:r>
          </w:p>
        </w:tc>
        <w:tc>
          <w:tcPr>
            <w:tcW w:w="835" w:type="pct"/>
            <w:tcMar>
              <w:top w:w="0" w:type="dxa"/>
              <w:left w:w="108" w:type="dxa"/>
              <w:bottom w:w="0" w:type="dxa"/>
              <w:right w:w="108" w:type="dxa"/>
            </w:tcMar>
            <w:vAlign w:val="center"/>
            <w:hideMark/>
          </w:tcPr>
          <w:p w14:paraId="36108CF5"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八年</w:t>
            </w:r>
          </w:p>
        </w:tc>
        <w:tc>
          <w:tcPr>
            <w:tcW w:w="657" w:type="pct"/>
            <w:tcMar>
              <w:top w:w="0" w:type="dxa"/>
              <w:left w:w="108" w:type="dxa"/>
              <w:bottom w:w="0" w:type="dxa"/>
              <w:right w:w="108" w:type="dxa"/>
            </w:tcMar>
            <w:vAlign w:val="center"/>
            <w:hideMark/>
          </w:tcPr>
          <w:p w14:paraId="33FC59BD"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r w:rsidR="00E72F0C" w:rsidRPr="00F84867" w14:paraId="4FE03278" w14:textId="77777777" w:rsidTr="00F84867">
        <w:trPr>
          <w:divId w:val="873661116"/>
          <w:trHeight w:val="264"/>
        </w:trPr>
        <w:tc>
          <w:tcPr>
            <w:tcW w:w="1544" w:type="pct"/>
            <w:tcMar>
              <w:top w:w="0" w:type="dxa"/>
              <w:left w:w="108" w:type="dxa"/>
              <w:bottom w:w="0" w:type="dxa"/>
              <w:right w:w="108" w:type="dxa"/>
            </w:tcMar>
            <w:vAlign w:val="center"/>
            <w:hideMark/>
          </w:tcPr>
          <w:p w14:paraId="1866005A" w14:textId="77777777" w:rsidR="00E72F0C" w:rsidRPr="00F84867" w:rsidRDefault="00107901">
            <w:pPr>
              <w:pStyle w:val="a3"/>
              <w:spacing w:before="0" w:beforeAutospacing="0" w:after="0" w:afterAutospacing="0"/>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宿迁腾晖新能源技术有限公司</w:t>
            </w:r>
          </w:p>
        </w:tc>
        <w:tc>
          <w:tcPr>
            <w:tcW w:w="937" w:type="pct"/>
            <w:tcMar>
              <w:top w:w="0" w:type="dxa"/>
              <w:left w:w="108" w:type="dxa"/>
              <w:bottom w:w="0" w:type="dxa"/>
              <w:right w:w="108" w:type="dxa"/>
            </w:tcMar>
            <w:vAlign w:val="center"/>
            <w:hideMark/>
          </w:tcPr>
          <w:p w14:paraId="1C283844"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78,337,166.67 </w:t>
            </w:r>
          </w:p>
        </w:tc>
        <w:tc>
          <w:tcPr>
            <w:tcW w:w="1027" w:type="pct"/>
            <w:tcMar>
              <w:top w:w="0" w:type="dxa"/>
              <w:left w:w="108" w:type="dxa"/>
              <w:bottom w:w="0" w:type="dxa"/>
              <w:right w:w="108" w:type="dxa"/>
            </w:tcMar>
            <w:vAlign w:val="center"/>
            <w:hideMark/>
          </w:tcPr>
          <w:p w14:paraId="4E034BB0"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2024-12-12</w:t>
            </w:r>
          </w:p>
        </w:tc>
        <w:tc>
          <w:tcPr>
            <w:tcW w:w="835" w:type="pct"/>
            <w:tcMar>
              <w:top w:w="0" w:type="dxa"/>
              <w:left w:w="108" w:type="dxa"/>
              <w:bottom w:w="0" w:type="dxa"/>
              <w:right w:w="108" w:type="dxa"/>
            </w:tcMar>
            <w:vAlign w:val="center"/>
            <w:hideMark/>
          </w:tcPr>
          <w:p w14:paraId="6F7B879C"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三年</w:t>
            </w:r>
          </w:p>
        </w:tc>
        <w:tc>
          <w:tcPr>
            <w:tcW w:w="657" w:type="pct"/>
            <w:tcMar>
              <w:top w:w="0" w:type="dxa"/>
              <w:left w:w="108" w:type="dxa"/>
              <w:bottom w:w="0" w:type="dxa"/>
              <w:right w:w="108" w:type="dxa"/>
            </w:tcMar>
            <w:vAlign w:val="center"/>
            <w:hideMark/>
          </w:tcPr>
          <w:p w14:paraId="710E625B"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r w:rsidR="00E72F0C" w:rsidRPr="00F84867" w14:paraId="6F08A073" w14:textId="77777777" w:rsidTr="00F84867">
        <w:trPr>
          <w:divId w:val="873661116"/>
          <w:trHeight w:val="264"/>
        </w:trPr>
        <w:tc>
          <w:tcPr>
            <w:tcW w:w="1544" w:type="pct"/>
            <w:tcMar>
              <w:top w:w="0" w:type="dxa"/>
              <w:left w:w="108" w:type="dxa"/>
              <w:bottom w:w="0" w:type="dxa"/>
              <w:right w:w="108" w:type="dxa"/>
            </w:tcMar>
            <w:vAlign w:val="center"/>
            <w:hideMark/>
          </w:tcPr>
          <w:p w14:paraId="66FD17B5" w14:textId="77777777" w:rsidR="00E72F0C" w:rsidRPr="00F84867" w:rsidRDefault="00107901">
            <w:pPr>
              <w:pStyle w:val="a3"/>
              <w:spacing w:before="0" w:beforeAutospacing="0" w:after="0" w:afterAutospacing="0"/>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腾晖技术（泰国）有限公司</w:t>
            </w:r>
          </w:p>
        </w:tc>
        <w:tc>
          <w:tcPr>
            <w:tcW w:w="937" w:type="pct"/>
            <w:tcMar>
              <w:top w:w="0" w:type="dxa"/>
              <w:left w:w="108" w:type="dxa"/>
              <w:bottom w:w="0" w:type="dxa"/>
              <w:right w:w="108" w:type="dxa"/>
            </w:tcMar>
            <w:vAlign w:val="center"/>
            <w:hideMark/>
          </w:tcPr>
          <w:p w14:paraId="16836D19"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73,014,696.66 </w:t>
            </w:r>
          </w:p>
        </w:tc>
        <w:tc>
          <w:tcPr>
            <w:tcW w:w="1027" w:type="pct"/>
            <w:tcMar>
              <w:top w:w="0" w:type="dxa"/>
              <w:left w:w="108" w:type="dxa"/>
              <w:bottom w:w="0" w:type="dxa"/>
              <w:right w:w="108" w:type="dxa"/>
            </w:tcMar>
            <w:vAlign w:val="center"/>
            <w:hideMark/>
          </w:tcPr>
          <w:p w14:paraId="4AFD129A"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2024-12-12</w:t>
            </w:r>
          </w:p>
        </w:tc>
        <w:tc>
          <w:tcPr>
            <w:tcW w:w="835" w:type="pct"/>
            <w:tcMar>
              <w:top w:w="0" w:type="dxa"/>
              <w:left w:w="108" w:type="dxa"/>
              <w:bottom w:w="0" w:type="dxa"/>
              <w:right w:w="108" w:type="dxa"/>
            </w:tcMar>
            <w:vAlign w:val="center"/>
            <w:hideMark/>
          </w:tcPr>
          <w:p w14:paraId="69BF7276"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三年</w:t>
            </w:r>
          </w:p>
        </w:tc>
        <w:tc>
          <w:tcPr>
            <w:tcW w:w="657" w:type="pct"/>
            <w:tcMar>
              <w:top w:w="0" w:type="dxa"/>
              <w:left w:w="108" w:type="dxa"/>
              <w:bottom w:w="0" w:type="dxa"/>
              <w:right w:w="108" w:type="dxa"/>
            </w:tcMar>
            <w:vAlign w:val="center"/>
            <w:hideMark/>
          </w:tcPr>
          <w:p w14:paraId="709714DF"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r w:rsidR="00E72F0C" w:rsidRPr="00F84867" w14:paraId="4E11535F" w14:textId="77777777" w:rsidTr="00F84867">
        <w:trPr>
          <w:divId w:val="873661116"/>
          <w:trHeight w:val="264"/>
        </w:trPr>
        <w:tc>
          <w:tcPr>
            <w:tcW w:w="1544" w:type="pct"/>
            <w:tcMar>
              <w:top w:w="0" w:type="dxa"/>
              <w:left w:w="108" w:type="dxa"/>
              <w:bottom w:w="0" w:type="dxa"/>
              <w:right w:w="108" w:type="dxa"/>
            </w:tcMar>
            <w:vAlign w:val="center"/>
            <w:hideMark/>
          </w:tcPr>
          <w:p w14:paraId="39005C48" w14:textId="77777777" w:rsidR="00E72F0C" w:rsidRPr="00F84867" w:rsidRDefault="00107901">
            <w:pPr>
              <w:pStyle w:val="a3"/>
              <w:spacing w:before="0" w:beforeAutospacing="0" w:after="0" w:afterAutospacing="0"/>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兴化市戴南辉腾光伏发电有限公司</w:t>
            </w:r>
          </w:p>
        </w:tc>
        <w:tc>
          <w:tcPr>
            <w:tcW w:w="937" w:type="pct"/>
            <w:tcMar>
              <w:top w:w="0" w:type="dxa"/>
              <w:left w:w="108" w:type="dxa"/>
              <w:bottom w:w="0" w:type="dxa"/>
              <w:right w:w="108" w:type="dxa"/>
            </w:tcMar>
            <w:vAlign w:val="center"/>
            <w:hideMark/>
          </w:tcPr>
          <w:p w14:paraId="5DE0FD69"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9,159,309.50 </w:t>
            </w:r>
          </w:p>
        </w:tc>
        <w:tc>
          <w:tcPr>
            <w:tcW w:w="1027" w:type="pct"/>
            <w:tcMar>
              <w:top w:w="0" w:type="dxa"/>
              <w:left w:w="108" w:type="dxa"/>
              <w:bottom w:w="0" w:type="dxa"/>
              <w:right w:w="108" w:type="dxa"/>
            </w:tcMar>
            <w:vAlign w:val="center"/>
            <w:hideMark/>
          </w:tcPr>
          <w:p w14:paraId="1B669B62"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2024-12-12</w:t>
            </w:r>
          </w:p>
        </w:tc>
        <w:tc>
          <w:tcPr>
            <w:tcW w:w="835" w:type="pct"/>
            <w:tcMar>
              <w:top w:w="0" w:type="dxa"/>
              <w:left w:w="108" w:type="dxa"/>
              <w:bottom w:w="0" w:type="dxa"/>
              <w:right w:w="108" w:type="dxa"/>
            </w:tcMar>
            <w:vAlign w:val="center"/>
            <w:hideMark/>
          </w:tcPr>
          <w:p w14:paraId="4A63CA34"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三年</w:t>
            </w:r>
          </w:p>
        </w:tc>
        <w:tc>
          <w:tcPr>
            <w:tcW w:w="657" w:type="pct"/>
            <w:tcMar>
              <w:top w:w="0" w:type="dxa"/>
              <w:left w:w="108" w:type="dxa"/>
              <w:bottom w:w="0" w:type="dxa"/>
              <w:right w:w="108" w:type="dxa"/>
            </w:tcMar>
            <w:vAlign w:val="center"/>
            <w:hideMark/>
          </w:tcPr>
          <w:p w14:paraId="7151114B"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r w:rsidR="00E72F0C" w:rsidRPr="00F84867" w14:paraId="05785AB4" w14:textId="77777777" w:rsidTr="00F84867">
        <w:trPr>
          <w:divId w:val="873661116"/>
          <w:trHeight w:val="264"/>
        </w:trPr>
        <w:tc>
          <w:tcPr>
            <w:tcW w:w="1544" w:type="pct"/>
            <w:tcMar>
              <w:top w:w="0" w:type="dxa"/>
              <w:left w:w="108" w:type="dxa"/>
              <w:bottom w:w="0" w:type="dxa"/>
              <w:right w:w="108" w:type="dxa"/>
            </w:tcMar>
            <w:vAlign w:val="center"/>
            <w:hideMark/>
          </w:tcPr>
          <w:p w14:paraId="09B8375C" w14:textId="77777777" w:rsidR="00E72F0C" w:rsidRPr="00F84867" w:rsidRDefault="00107901">
            <w:pPr>
              <w:pStyle w:val="a3"/>
              <w:spacing w:before="0" w:beforeAutospacing="0" w:after="0" w:afterAutospacing="0"/>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中旭光伏发电（兴化）有限公司</w:t>
            </w:r>
          </w:p>
        </w:tc>
        <w:tc>
          <w:tcPr>
            <w:tcW w:w="937" w:type="pct"/>
            <w:tcMar>
              <w:top w:w="0" w:type="dxa"/>
              <w:left w:w="108" w:type="dxa"/>
              <w:bottom w:w="0" w:type="dxa"/>
              <w:right w:w="108" w:type="dxa"/>
            </w:tcMar>
            <w:vAlign w:val="center"/>
            <w:hideMark/>
          </w:tcPr>
          <w:p w14:paraId="7B3081B6"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30,980,720.68 </w:t>
            </w:r>
          </w:p>
        </w:tc>
        <w:tc>
          <w:tcPr>
            <w:tcW w:w="1027" w:type="pct"/>
            <w:tcMar>
              <w:top w:w="0" w:type="dxa"/>
              <w:left w:w="108" w:type="dxa"/>
              <w:bottom w:w="0" w:type="dxa"/>
              <w:right w:w="108" w:type="dxa"/>
            </w:tcMar>
            <w:vAlign w:val="center"/>
            <w:hideMark/>
          </w:tcPr>
          <w:p w14:paraId="0EED134A"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2024-12-12</w:t>
            </w:r>
          </w:p>
        </w:tc>
        <w:tc>
          <w:tcPr>
            <w:tcW w:w="835" w:type="pct"/>
            <w:tcMar>
              <w:top w:w="0" w:type="dxa"/>
              <w:left w:w="108" w:type="dxa"/>
              <w:bottom w:w="0" w:type="dxa"/>
              <w:right w:w="108" w:type="dxa"/>
            </w:tcMar>
            <w:vAlign w:val="center"/>
            <w:hideMark/>
          </w:tcPr>
          <w:p w14:paraId="3809AE36"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三年</w:t>
            </w:r>
          </w:p>
        </w:tc>
        <w:tc>
          <w:tcPr>
            <w:tcW w:w="657" w:type="pct"/>
            <w:tcMar>
              <w:top w:w="0" w:type="dxa"/>
              <w:left w:w="108" w:type="dxa"/>
              <w:bottom w:w="0" w:type="dxa"/>
              <w:right w:w="108" w:type="dxa"/>
            </w:tcMar>
            <w:vAlign w:val="center"/>
            <w:hideMark/>
          </w:tcPr>
          <w:p w14:paraId="666D2D86"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r w:rsidR="00E72F0C" w:rsidRPr="00F84867" w14:paraId="2AD38BFB" w14:textId="77777777" w:rsidTr="00F84867">
        <w:trPr>
          <w:divId w:val="873661116"/>
          <w:trHeight w:val="264"/>
        </w:trPr>
        <w:tc>
          <w:tcPr>
            <w:tcW w:w="1544" w:type="pct"/>
            <w:tcMar>
              <w:top w:w="0" w:type="dxa"/>
              <w:left w:w="108" w:type="dxa"/>
              <w:bottom w:w="0" w:type="dxa"/>
              <w:right w:w="108" w:type="dxa"/>
            </w:tcMar>
            <w:vAlign w:val="center"/>
            <w:hideMark/>
          </w:tcPr>
          <w:p w14:paraId="753C69E1" w14:textId="77777777" w:rsidR="00E72F0C" w:rsidRPr="00F84867" w:rsidRDefault="00107901">
            <w:pPr>
              <w:pStyle w:val="a3"/>
              <w:spacing w:before="0" w:beforeAutospacing="0" w:after="0" w:afterAutospacing="0"/>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江苏中利电子信息科技有限公司</w:t>
            </w:r>
          </w:p>
        </w:tc>
        <w:tc>
          <w:tcPr>
            <w:tcW w:w="937" w:type="pct"/>
            <w:tcMar>
              <w:top w:w="0" w:type="dxa"/>
              <w:left w:w="108" w:type="dxa"/>
              <w:bottom w:w="0" w:type="dxa"/>
              <w:right w:w="108" w:type="dxa"/>
            </w:tcMar>
            <w:vAlign w:val="center"/>
            <w:hideMark/>
          </w:tcPr>
          <w:p w14:paraId="29B6C950"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42,943,124.53 </w:t>
            </w:r>
          </w:p>
        </w:tc>
        <w:tc>
          <w:tcPr>
            <w:tcW w:w="1027" w:type="pct"/>
            <w:tcMar>
              <w:top w:w="0" w:type="dxa"/>
              <w:left w:w="108" w:type="dxa"/>
              <w:bottom w:w="0" w:type="dxa"/>
              <w:right w:w="108" w:type="dxa"/>
            </w:tcMar>
            <w:vAlign w:val="center"/>
            <w:hideMark/>
          </w:tcPr>
          <w:p w14:paraId="6455BD2E"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2024-12-12</w:t>
            </w:r>
          </w:p>
        </w:tc>
        <w:tc>
          <w:tcPr>
            <w:tcW w:w="835" w:type="pct"/>
            <w:tcMar>
              <w:top w:w="0" w:type="dxa"/>
              <w:left w:w="108" w:type="dxa"/>
              <w:bottom w:w="0" w:type="dxa"/>
              <w:right w:w="108" w:type="dxa"/>
            </w:tcMar>
            <w:vAlign w:val="center"/>
            <w:hideMark/>
          </w:tcPr>
          <w:p w14:paraId="4847739D"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八年</w:t>
            </w:r>
          </w:p>
        </w:tc>
        <w:tc>
          <w:tcPr>
            <w:tcW w:w="657" w:type="pct"/>
            <w:tcMar>
              <w:top w:w="0" w:type="dxa"/>
              <w:left w:w="108" w:type="dxa"/>
              <w:bottom w:w="0" w:type="dxa"/>
              <w:right w:w="108" w:type="dxa"/>
            </w:tcMar>
            <w:vAlign w:val="center"/>
            <w:hideMark/>
          </w:tcPr>
          <w:p w14:paraId="782B2912"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r w:rsidR="00E72F0C" w:rsidRPr="00F84867" w14:paraId="06D65142" w14:textId="77777777" w:rsidTr="00F84867">
        <w:trPr>
          <w:divId w:val="873661116"/>
          <w:trHeight w:val="264"/>
        </w:trPr>
        <w:tc>
          <w:tcPr>
            <w:tcW w:w="1544" w:type="pct"/>
            <w:tcMar>
              <w:top w:w="0" w:type="dxa"/>
              <w:left w:w="108" w:type="dxa"/>
              <w:bottom w:w="0" w:type="dxa"/>
              <w:right w:w="108" w:type="dxa"/>
            </w:tcMar>
            <w:vAlign w:val="center"/>
            <w:hideMark/>
          </w:tcPr>
          <w:p w14:paraId="10ADDA27" w14:textId="77777777" w:rsidR="00E72F0C" w:rsidRPr="00F84867" w:rsidRDefault="00107901">
            <w:pPr>
              <w:pStyle w:val="a3"/>
              <w:spacing w:before="0" w:beforeAutospacing="0" w:after="0" w:afterAutospacing="0"/>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山东腾晖新能源技术有限公司</w:t>
            </w:r>
          </w:p>
        </w:tc>
        <w:tc>
          <w:tcPr>
            <w:tcW w:w="937" w:type="pct"/>
            <w:tcMar>
              <w:top w:w="0" w:type="dxa"/>
              <w:left w:w="108" w:type="dxa"/>
              <w:bottom w:w="0" w:type="dxa"/>
              <w:right w:w="108" w:type="dxa"/>
            </w:tcMar>
            <w:vAlign w:val="center"/>
            <w:hideMark/>
          </w:tcPr>
          <w:p w14:paraId="7896C5F5"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8,880,000.00 </w:t>
            </w:r>
          </w:p>
        </w:tc>
        <w:tc>
          <w:tcPr>
            <w:tcW w:w="1027" w:type="pct"/>
            <w:tcMar>
              <w:top w:w="0" w:type="dxa"/>
              <w:left w:w="108" w:type="dxa"/>
              <w:bottom w:w="0" w:type="dxa"/>
              <w:right w:w="108" w:type="dxa"/>
            </w:tcMar>
            <w:vAlign w:val="center"/>
            <w:hideMark/>
          </w:tcPr>
          <w:p w14:paraId="4B354642"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2024-12-12</w:t>
            </w:r>
          </w:p>
        </w:tc>
        <w:tc>
          <w:tcPr>
            <w:tcW w:w="835" w:type="pct"/>
            <w:tcMar>
              <w:top w:w="0" w:type="dxa"/>
              <w:left w:w="108" w:type="dxa"/>
              <w:bottom w:w="0" w:type="dxa"/>
              <w:right w:w="108" w:type="dxa"/>
            </w:tcMar>
            <w:vAlign w:val="center"/>
            <w:hideMark/>
          </w:tcPr>
          <w:p w14:paraId="55D52E5D"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三年</w:t>
            </w:r>
          </w:p>
        </w:tc>
        <w:tc>
          <w:tcPr>
            <w:tcW w:w="657" w:type="pct"/>
            <w:tcMar>
              <w:top w:w="0" w:type="dxa"/>
              <w:left w:w="108" w:type="dxa"/>
              <w:bottom w:w="0" w:type="dxa"/>
              <w:right w:w="108" w:type="dxa"/>
            </w:tcMar>
            <w:vAlign w:val="center"/>
            <w:hideMark/>
          </w:tcPr>
          <w:p w14:paraId="6E607E33"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r w:rsidR="00E72F0C" w:rsidRPr="00F84867" w14:paraId="557972F9" w14:textId="77777777" w:rsidTr="00F84867">
        <w:trPr>
          <w:divId w:val="873661116"/>
          <w:trHeight w:val="264"/>
        </w:trPr>
        <w:tc>
          <w:tcPr>
            <w:tcW w:w="1544" w:type="pct"/>
            <w:tcMar>
              <w:top w:w="0" w:type="dxa"/>
              <w:left w:w="108" w:type="dxa"/>
              <w:bottom w:w="0" w:type="dxa"/>
              <w:right w:w="108" w:type="dxa"/>
            </w:tcMar>
            <w:vAlign w:val="center"/>
            <w:hideMark/>
          </w:tcPr>
          <w:p w14:paraId="66F805A6" w14:textId="77777777" w:rsidR="00E72F0C" w:rsidRPr="00F84867" w:rsidRDefault="00107901">
            <w:pPr>
              <w:pStyle w:val="a3"/>
              <w:spacing w:before="0" w:beforeAutospacing="0" w:after="0" w:afterAutospacing="0"/>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腾晖技术（泰国）有限公司</w:t>
            </w:r>
          </w:p>
        </w:tc>
        <w:tc>
          <w:tcPr>
            <w:tcW w:w="937" w:type="pct"/>
            <w:tcMar>
              <w:top w:w="0" w:type="dxa"/>
              <w:left w:w="108" w:type="dxa"/>
              <w:bottom w:w="0" w:type="dxa"/>
              <w:right w:w="108" w:type="dxa"/>
            </w:tcMar>
            <w:vAlign w:val="center"/>
            <w:hideMark/>
          </w:tcPr>
          <w:p w14:paraId="53FDA5BE"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132,863,243.45 </w:t>
            </w:r>
          </w:p>
        </w:tc>
        <w:tc>
          <w:tcPr>
            <w:tcW w:w="1027" w:type="pct"/>
            <w:tcMar>
              <w:top w:w="0" w:type="dxa"/>
              <w:left w:w="108" w:type="dxa"/>
              <w:bottom w:w="0" w:type="dxa"/>
              <w:right w:w="108" w:type="dxa"/>
            </w:tcMar>
            <w:vAlign w:val="center"/>
            <w:hideMark/>
          </w:tcPr>
          <w:p w14:paraId="44CC4E34"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2021-7-15</w:t>
            </w:r>
          </w:p>
        </w:tc>
        <w:tc>
          <w:tcPr>
            <w:tcW w:w="835" w:type="pct"/>
            <w:tcMar>
              <w:top w:w="0" w:type="dxa"/>
              <w:left w:w="108" w:type="dxa"/>
              <w:bottom w:w="0" w:type="dxa"/>
              <w:right w:w="108" w:type="dxa"/>
            </w:tcMar>
            <w:vAlign w:val="center"/>
            <w:hideMark/>
          </w:tcPr>
          <w:p w14:paraId="6CE0F51C"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一年</w:t>
            </w:r>
          </w:p>
        </w:tc>
        <w:tc>
          <w:tcPr>
            <w:tcW w:w="657" w:type="pct"/>
            <w:tcMar>
              <w:top w:w="0" w:type="dxa"/>
              <w:left w:w="108" w:type="dxa"/>
              <w:bottom w:w="0" w:type="dxa"/>
              <w:right w:w="108" w:type="dxa"/>
            </w:tcMar>
            <w:vAlign w:val="center"/>
            <w:hideMark/>
          </w:tcPr>
          <w:p w14:paraId="0D28134F"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r w:rsidR="00E72F0C" w:rsidRPr="00F84867" w14:paraId="62F6A958" w14:textId="77777777" w:rsidTr="00F84867">
        <w:trPr>
          <w:divId w:val="873661116"/>
          <w:trHeight w:val="264"/>
        </w:trPr>
        <w:tc>
          <w:tcPr>
            <w:tcW w:w="1544" w:type="pct"/>
            <w:tcMar>
              <w:top w:w="0" w:type="dxa"/>
              <w:left w:w="108" w:type="dxa"/>
              <w:bottom w:w="0" w:type="dxa"/>
              <w:right w:w="108" w:type="dxa"/>
            </w:tcMar>
            <w:vAlign w:val="center"/>
            <w:hideMark/>
          </w:tcPr>
          <w:p w14:paraId="2F3C99EB" w14:textId="77777777" w:rsidR="00E72F0C" w:rsidRPr="00F84867" w:rsidRDefault="00107901">
            <w:pPr>
              <w:pStyle w:val="a3"/>
              <w:spacing w:before="0" w:beforeAutospacing="0" w:after="0" w:afterAutospacing="0"/>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苏州腾晖光伏技术有限公司</w:t>
            </w:r>
          </w:p>
        </w:tc>
        <w:tc>
          <w:tcPr>
            <w:tcW w:w="937" w:type="pct"/>
            <w:tcMar>
              <w:top w:w="0" w:type="dxa"/>
              <w:left w:w="108" w:type="dxa"/>
              <w:bottom w:w="0" w:type="dxa"/>
              <w:right w:w="108" w:type="dxa"/>
            </w:tcMar>
            <w:vAlign w:val="center"/>
            <w:hideMark/>
          </w:tcPr>
          <w:p w14:paraId="42E98F95"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26,678,117.90 </w:t>
            </w:r>
          </w:p>
        </w:tc>
        <w:tc>
          <w:tcPr>
            <w:tcW w:w="1027" w:type="pct"/>
            <w:tcMar>
              <w:top w:w="0" w:type="dxa"/>
              <w:left w:w="108" w:type="dxa"/>
              <w:bottom w:w="0" w:type="dxa"/>
              <w:right w:w="108" w:type="dxa"/>
            </w:tcMar>
            <w:vAlign w:val="center"/>
            <w:hideMark/>
          </w:tcPr>
          <w:p w14:paraId="15361E59"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2023-7-22</w:t>
            </w:r>
          </w:p>
        </w:tc>
        <w:tc>
          <w:tcPr>
            <w:tcW w:w="835" w:type="pct"/>
            <w:tcMar>
              <w:top w:w="0" w:type="dxa"/>
              <w:left w:w="108" w:type="dxa"/>
              <w:bottom w:w="0" w:type="dxa"/>
              <w:right w:w="108" w:type="dxa"/>
            </w:tcMar>
            <w:vAlign w:val="center"/>
            <w:hideMark/>
          </w:tcPr>
          <w:p w14:paraId="5837004A"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一年</w:t>
            </w:r>
          </w:p>
        </w:tc>
        <w:tc>
          <w:tcPr>
            <w:tcW w:w="657" w:type="pct"/>
            <w:tcMar>
              <w:top w:w="0" w:type="dxa"/>
              <w:left w:w="108" w:type="dxa"/>
              <w:bottom w:w="0" w:type="dxa"/>
              <w:right w:w="108" w:type="dxa"/>
            </w:tcMar>
            <w:vAlign w:val="center"/>
            <w:hideMark/>
          </w:tcPr>
          <w:p w14:paraId="51130D6B"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r w:rsidR="00E72F0C" w:rsidRPr="00F84867" w14:paraId="22BAB922" w14:textId="77777777" w:rsidTr="00F84867">
        <w:trPr>
          <w:divId w:val="873661116"/>
          <w:trHeight w:val="264"/>
        </w:trPr>
        <w:tc>
          <w:tcPr>
            <w:tcW w:w="1544" w:type="pct"/>
            <w:tcMar>
              <w:top w:w="0" w:type="dxa"/>
              <w:left w:w="108" w:type="dxa"/>
              <w:bottom w:w="0" w:type="dxa"/>
              <w:right w:w="108" w:type="dxa"/>
            </w:tcMar>
            <w:vAlign w:val="center"/>
            <w:hideMark/>
          </w:tcPr>
          <w:p w14:paraId="2BCB8F41" w14:textId="77777777" w:rsidR="00E72F0C" w:rsidRPr="00F84867" w:rsidRDefault="00107901">
            <w:pPr>
              <w:pStyle w:val="a3"/>
              <w:spacing w:before="0" w:beforeAutospacing="0" w:after="0" w:afterAutospacing="0"/>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苏州腾晖光伏技术有限公司</w:t>
            </w:r>
          </w:p>
        </w:tc>
        <w:tc>
          <w:tcPr>
            <w:tcW w:w="937" w:type="pct"/>
            <w:tcMar>
              <w:top w:w="0" w:type="dxa"/>
              <w:left w:w="108" w:type="dxa"/>
              <w:bottom w:w="0" w:type="dxa"/>
              <w:right w:w="108" w:type="dxa"/>
            </w:tcMar>
            <w:vAlign w:val="center"/>
            <w:hideMark/>
          </w:tcPr>
          <w:p w14:paraId="3B4374E0"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8,451,835.68 </w:t>
            </w:r>
          </w:p>
        </w:tc>
        <w:tc>
          <w:tcPr>
            <w:tcW w:w="1027" w:type="pct"/>
            <w:tcMar>
              <w:top w:w="0" w:type="dxa"/>
              <w:left w:w="108" w:type="dxa"/>
              <w:bottom w:w="0" w:type="dxa"/>
              <w:right w:w="108" w:type="dxa"/>
            </w:tcMar>
            <w:vAlign w:val="center"/>
            <w:hideMark/>
          </w:tcPr>
          <w:p w14:paraId="25E77B0F"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2022-5-1</w:t>
            </w:r>
          </w:p>
        </w:tc>
        <w:tc>
          <w:tcPr>
            <w:tcW w:w="835" w:type="pct"/>
            <w:tcMar>
              <w:top w:w="0" w:type="dxa"/>
              <w:left w:w="108" w:type="dxa"/>
              <w:bottom w:w="0" w:type="dxa"/>
              <w:right w:w="108" w:type="dxa"/>
            </w:tcMar>
            <w:vAlign w:val="center"/>
            <w:hideMark/>
          </w:tcPr>
          <w:p w14:paraId="3C68C571"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一年</w:t>
            </w:r>
          </w:p>
        </w:tc>
        <w:tc>
          <w:tcPr>
            <w:tcW w:w="657" w:type="pct"/>
            <w:tcMar>
              <w:top w:w="0" w:type="dxa"/>
              <w:left w:w="108" w:type="dxa"/>
              <w:bottom w:w="0" w:type="dxa"/>
              <w:right w:w="108" w:type="dxa"/>
            </w:tcMar>
            <w:vAlign w:val="center"/>
            <w:hideMark/>
          </w:tcPr>
          <w:p w14:paraId="1A6B5579"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bl>
    <w:p w14:paraId="705D0D56" w14:textId="77777777" w:rsidR="00E72F0C" w:rsidRDefault="00107901">
      <w:pPr>
        <w:pStyle w:val="a3"/>
        <w:spacing w:before="156" w:beforeAutospacing="0" w:after="0" w:afterAutospacing="0" w:line="360" w:lineRule="atLeast"/>
        <w:ind w:left="420"/>
        <w:textAlignment w:val="bottom"/>
        <w:divId w:val="873661116"/>
        <w:rPr>
          <w:rFonts w:ascii="Times New Roman" w:hAnsi="Times New Roman" w:cs="Times New Roman"/>
          <w:sz w:val="21"/>
          <w:szCs w:val="21"/>
        </w:rPr>
      </w:pPr>
      <w:r>
        <w:rPr>
          <w:rFonts w:cs="Times New Roman" w:hint="eastAsia"/>
          <w:sz w:val="18"/>
          <w:szCs w:val="18"/>
        </w:rPr>
        <w:t>本公司作为被担保方</w:t>
      </w:r>
    </w:p>
    <w:tbl>
      <w:tblPr>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8"/>
        <w:gridCol w:w="1675"/>
        <w:gridCol w:w="1973"/>
        <w:gridCol w:w="1615"/>
        <w:gridCol w:w="1282"/>
      </w:tblGrid>
      <w:tr w:rsidR="00E72F0C" w:rsidRPr="00F84867" w14:paraId="64E56E0E" w14:textId="77777777" w:rsidTr="00F84867">
        <w:trPr>
          <w:divId w:val="873661116"/>
          <w:trHeight w:val="779"/>
          <w:tblHeader/>
        </w:trPr>
        <w:tc>
          <w:tcPr>
            <w:tcW w:w="3248" w:type="dxa"/>
            <w:tcMar>
              <w:top w:w="0" w:type="dxa"/>
              <w:left w:w="108" w:type="dxa"/>
              <w:bottom w:w="0" w:type="dxa"/>
              <w:right w:w="108" w:type="dxa"/>
            </w:tcMar>
            <w:vAlign w:val="center"/>
            <w:hideMark/>
          </w:tcPr>
          <w:p w14:paraId="3CD5A117" w14:textId="77777777" w:rsidR="00E72F0C" w:rsidRPr="00F84867" w:rsidRDefault="00107901">
            <w:pPr>
              <w:pStyle w:val="a3"/>
              <w:spacing w:before="0" w:beforeAutospacing="0" w:after="0" w:afterAutospacing="0"/>
              <w:jc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sz w:val="18"/>
                <w:szCs w:val="18"/>
              </w:rPr>
              <w:t>担保方名称</w:t>
            </w:r>
          </w:p>
        </w:tc>
        <w:tc>
          <w:tcPr>
            <w:tcW w:w="1675" w:type="dxa"/>
            <w:tcMar>
              <w:top w:w="0" w:type="dxa"/>
              <w:left w:w="108" w:type="dxa"/>
              <w:bottom w:w="0" w:type="dxa"/>
              <w:right w:w="108" w:type="dxa"/>
            </w:tcMar>
            <w:vAlign w:val="center"/>
            <w:hideMark/>
          </w:tcPr>
          <w:p w14:paraId="6A91CB24" w14:textId="77777777" w:rsidR="00E72F0C" w:rsidRPr="00F84867" w:rsidRDefault="00107901">
            <w:pPr>
              <w:pStyle w:val="a3"/>
              <w:spacing w:before="0" w:beforeAutospacing="0" w:after="0" w:afterAutospacing="0"/>
              <w:jc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sz w:val="18"/>
                <w:szCs w:val="18"/>
              </w:rPr>
              <w:t>担保金额</w:t>
            </w:r>
          </w:p>
        </w:tc>
        <w:tc>
          <w:tcPr>
            <w:tcW w:w="1973" w:type="dxa"/>
            <w:tcMar>
              <w:top w:w="0" w:type="dxa"/>
              <w:left w:w="108" w:type="dxa"/>
              <w:bottom w:w="0" w:type="dxa"/>
              <w:right w:w="108" w:type="dxa"/>
            </w:tcMar>
            <w:vAlign w:val="center"/>
            <w:hideMark/>
          </w:tcPr>
          <w:p w14:paraId="762B1178" w14:textId="77777777" w:rsidR="00E72F0C" w:rsidRPr="00F84867" w:rsidRDefault="00107901">
            <w:pPr>
              <w:pStyle w:val="a3"/>
              <w:spacing w:before="0" w:beforeAutospacing="0" w:after="0" w:afterAutospacing="0"/>
              <w:jc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sz w:val="18"/>
                <w:szCs w:val="18"/>
              </w:rPr>
              <w:t>担保起始日</w:t>
            </w:r>
          </w:p>
        </w:tc>
        <w:tc>
          <w:tcPr>
            <w:tcW w:w="1615" w:type="dxa"/>
            <w:tcMar>
              <w:top w:w="0" w:type="dxa"/>
              <w:left w:w="108" w:type="dxa"/>
              <w:bottom w:w="0" w:type="dxa"/>
              <w:right w:w="108" w:type="dxa"/>
            </w:tcMar>
            <w:vAlign w:val="center"/>
            <w:hideMark/>
          </w:tcPr>
          <w:p w14:paraId="6D4A3049" w14:textId="77777777" w:rsidR="00E72F0C" w:rsidRPr="00F84867" w:rsidRDefault="00107901">
            <w:pPr>
              <w:pStyle w:val="a3"/>
              <w:spacing w:before="0" w:beforeAutospacing="0" w:after="0" w:afterAutospacing="0"/>
              <w:jc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sz w:val="18"/>
                <w:szCs w:val="18"/>
              </w:rPr>
              <w:t>担保到期日</w:t>
            </w:r>
          </w:p>
        </w:tc>
        <w:tc>
          <w:tcPr>
            <w:tcW w:w="1282" w:type="dxa"/>
            <w:tcMar>
              <w:top w:w="0" w:type="dxa"/>
              <w:left w:w="108" w:type="dxa"/>
              <w:bottom w:w="0" w:type="dxa"/>
              <w:right w:w="108" w:type="dxa"/>
            </w:tcMar>
            <w:vAlign w:val="center"/>
            <w:hideMark/>
          </w:tcPr>
          <w:p w14:paraId="522B5EEC" w14:textId="77777777" w:rsidR="00E72F0C" w:rsidRPr="00F84867" w:rsidRDefault="00107901">
            <w:pPr>
              <w:pStyle w:val="a3"/>
              <w:spacing w:before="0" w:beforeAutospacing="0" w:after="0" w:afterAutospacing="0"/>
              <w:jc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sz w:val="18"/>
                <w:szCs w:val="18"/>
              </w:rPr>
              <w:t>担保是否已经履行完毕</w:t>
            </w:r>
          </w:p>
        </w:tc>
      </w:tr>
      <w:tr w:rsidR="00E72F0C" w:rsidRPr="00F84867" w14:paraId="6974BD94" w14:textId="77777777" w:rsidTr="00F84867">
        <w:trPr>
          <w:divId w:val="873661116"/>
          <w:trHeight w:val="811"/>
        </w:trPr>
        <w:tc>
          <w:tcPr>
            <w:tcW w:w="3248" w:type="dxa"/>
            <w:noWrap/>
            <w:tcMar>
              <w:top w:w="0" w:type="dxa"/>
              <w:left w:w="108" w:type="dxa"/>
              <w:bottom w:w="0" w:type="dxa"/>
              <w:right w:w="108" w:type="dxa"/>
            </w:tcMar>
            <w:vAlign w:val="center"/>
            <w:hideMark/>
          </w:tcPr>
          <w:p w14:paraId="50BC059F" w14:textId="77777777" w:rsidR="00E72F0C" w:rsidRPr="00F84867" w:rsidRDefault="00107901">
            <w:pPr>
              <w:pStyle w:val="a3"/>
              <w:spacing w:before="0" w:beforeAutospacing="0" w:after="0" w:afterAutospacing="0"/>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常熟市中联光电新材料有限责任公司、常州船用电缆有限责任公司、苏州腾晖光伏技术有限公司</w:t>
            </w:r>
          </w:p>
        </w:tc>
        <w:tc>
          <w:tcPr>
            <w:tcW w:w="1675" w:type="dxa"/>
            <w:noWrap/>
            <w:tcMar>
              <w:top w:w="0" w:type="dxa"/>
              <w:left w:w="108" w:type="dxa"/>
              <w:bottom w:w="0" w:type="dxa"/>
              <w:right w:w="108" w:type="dxa"/>
            </w:tcMar>
            <w:vAlign w:val="center"/>
            <w:hideMark/>
          </w:tcPr>
          <w:p w14:paraId="58308C3D"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17,470,823.31 </w:t>
            </w:r>
          </w:p>
        </w:tc>
        <w:tc>
          <w:tcPr>
            <w:tcW w:w="1973" w:type="dxa"/>
            <w:tcMar>
              <w:top w:w="0" w:type="dxa"/>
              <w:left w:w="108" w:type="dxa"/>
              <w:bottom w:w="0" w:type="dxa"/>
              <w:right w:w="108" w:type="dxa"/>
            </w:tcMar>
            <w:vAlign w:val="center"/>
            <w:hideMark/>
          </w:tcPr>
          <w:p w14:paraId="5980D414"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2024-12-12</w:t>
            </w:r>
          </w:p>
        </w:tc>
        <w:tc>
          <w:tcPr>
            <w:tcW w:w="1615" w:type="dxa"/>
            <w:noWrap/>
            <w:tcMar>
              <w:top w:w="0" w:type="dxa"/>
              <w:left w:w="108" w:type="dxa"/>
              <w:bottom w:w="0" w:type="dxa"/>
              <w:right w:w="108" w:type="dxa"/>
            </w:tcMar>
            <w:vAlign w:val="center"/>
            <w:hideMark/>
          </w:tcPr>
          <w:p w14:paraId="3E54EDE4" w14:textId="77777777" w:rsidR="00E72F0C" w:rsidRPr="00F84867" w:rsidRDefault="00107901">
            <w:pPr>
              <w:pStyle w:val="a3"/>
              <w:spacing w:before="0" w:beforeAutospacing="0" w:after="0" w:afterAutospacing="0"/>
              <w:jc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2025-12-31</w:t>
            </w:r>
          </w:p>
        </w:tc>
        <w:tc>
          <w:tcPr>
            <w:tcW w:w="1282" w:type="dxa"/>
            <w:tcMar>
              <w:top w:w="0" w:type="dxa"/>
              <w:left w:w="108" w:type="dxa"/>
              <w:bottom w:w="0" w:type="dxa"/>
              <w:right w:w="108" w:type="dxa"/>
            </w:tcMar>
            <w:vAlign w:val="center"/>
            <w:hideMark/>
          </w:tcPr>
          <w:p w14:paraId="5B370983"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r w:rsidR="00E72F0C" w:rsidRPr="00F84867" w14:paraId="30A4AD1F" w14:textId="77777777" w:rsidTr="00F84867">
        <w:trPr>
          <w:divId w:val="873661116"/>
          <w:trHeight w:val="260"/>
        </w:trPr>
        <w:tc>
          <w:tcPr>
            <w:tcW w:w="3248" w:type="dxa"/>
            <w:noWrap/>
            <w:tcMar>
              <w:top w:w="0" w:type="dxa"/>
              <w:left w:w="108" w:type="dxa"/>
              <w:bottom w:w="0" w:type="dxa"/>
              <w:right w:w="108" w:type="dxa"/>
            </w:tcMar>
            <w:vAlign w:val="center"/>
            <w:hideMark/>
          </w:tcPr>
          <w:p w14:paraId="3E99D28C" w14:textId="77777777" w:rsidR="00E72F0C" w:rsidRPr="00F84867" w:rsidRDefault="00107901">
            <w:pPr>
              <w:pStyle w:val="a3"/>
              <w:spacing w:before="0" w:beforeAutospacing="0" w:after="0" w:afterAutospacing="0"/>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常熟市中联光电新材料有限责任公司、常州船用电缆有限责任公司、苏州腾晖光伏技术有限公司</w:t>
            </w:r>
          </w:p>
        </w:tc>
        <w:tc>
          <w:tcPr>
            <w:tcW w:w="1675" w:type="dxa"/>
            <w:noWrap/>
            <w:tcMar>
              <w:top w:w="0" w:type="dxa"/>
              <w:left w:w="108" w:type="dxa"/>
              <w:bottom w:w="0" w:type="dxa"/>
              <w:right w:w="108" w:type="dxa"/>
            </w:tcMar>
            <w:vAlign w:val="center"/>
            <w:hideMark/>
          </w:tcPr>
          <w:p w14:paraId="2E2F2166"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17,470,823.31 </w:t>
            </w:r>
          </w:p>
        </w:tc>
        <w:tc>
          <w:tcPr>
            <w:tcW w:w="1973" w:type="dxa"/>
            <w:tcMar>
              <w:top w:w="0" w:type="dxa"/>
              <w:left w:w="108" w:type="dxa"/>
              <w:bottom w:w="0" w:type="dxa"/>
              <w:right w:w="108" w:type="dxa"/>
            </w:tcMar>
            <w:vAlign w:val="center"/>
            <w:hideMark/>
          </w:tcPr>
          <w:p w14:paraId="6121060B"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2024-12-12</w:t>
            </w:r>
          </w:p>
        </w:tc>
        <w:tc>
          <w:tcPr>
            <w:tcW w:w="1615" w:type="dxa"/>
            <w:noWrap/>
            <w:tcMar>
              <w:top w:w="0" w:type="dxa"/>
              <w:left w:w="108" w:type="dxa"/>
              <w:bottom w:w="0" w:type="dxa"/>
              <w:right w:w="108" w:type="dxa"/>
            </w:tcMar>
            <w:vAlign w:val="center"/>
            <w:hideMark/>
          </w:tcPr>
          <w:p w14:paraId="4AF1B27B" w14:textId="77777777" w:rsidR="00E72F0C" w:rsidRPr="00F84867" w:rsidRDefault="00107901">
            <w:pPr>
              <w:pStyle w:val="a3"/>
              <w:spacing w:before="0" w:beforeAutospacing="0" w:after="0" w:afterAutospacing="0"/>
              <w:jc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2026-12-31</w:t>
            </w:r>
          </w:p>
        </w:tc>
        <w:tc>
          <w:tcPr>
            <w:tcW w:w="1282" w:type="dxa"/>
            <w:tcMar>
              <w:top w:w="0" w:type="dxa"/>
              <w:left w:w="108" w:type="dxa"/>
              <w:bottom w:w="0" w:type="dxa"/>
              <w:right w:w="108" w:type="dxa"/>
            </w:tcMar>
            <w:vAlign w:val="center"/>
            <w:hideMark/>
          </w:tcPr>
          <w:p w14:paraId="3558F466"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r w:rsidR="00E72F0C" w:rsidRPr="00F84867" w14:paraId="3A9B4F7B" w14:textId="77777777" w:rsidTr="00F84867">
        <w:trPr>
          <w:divId w:val="873661116"/>
          <w:trHeight w:val="260"/>
        </w:trPr>
        <w:tc>
          <w:tcPr>
            <w:tcW w:w="3248" w:type="dxa"/>
            <w:noWrap/>
            <w:tcMar>
              <w:top w:w="0" w:type="dxa"/>
              <w:left w:w="108" w:type="dxa"/>
              <w:bottom w:w="0" w:type="dxa"/>
              <w:right w:w="108" w:type="dxa"/>
            </w:tcMar>
            <w:vAlign w:val="center"/>
            <w:hideMark/>
          </w:tcPr>
          <w:p w14:paraId="38923D5A" w14:textId="77777777" w:rsidR="00E72F0C" w:rsidRPr="00F84867" w:rsidRDefault="00107901">
            <w:pPr>
              <w:pStyle w:val="a3"/>
              <w:spacing w:before="0" w:beforeAutospacing="0" w:after="0" w:afterAutospacing="0"/>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常熟市中联光电新材料有限责任公司、常州船用电缆有限责任公司、苏州腾晖光伏技术有限公司</w:t>
            </w:r>
          </w:p>
        </w:tc>
        <w:tc>
          <w:tcPr>
            <w:tcW w:w="1675" w:type="dxa"/>
            <w:noWrap/>
            <w:tcMar>
              <w:top w:w="0" w:type="dxa"/>
              <w:left w:w="108" w:type="dxa"/>
              <w:bottom w:w="0" w:type="dxa"/>
              <w:right w:w="108" w:type="dxa"/>
            </w:tcMar>
            <w:vAlign w:val="center"/>
            <w:hideMark/>
          </w:tcPr>
          <w:p w14:paraId="5D487D49"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17,082,582.80 </w:t>
            </w:r>
          </w:p>
        </w:tc>
        <w:tc>
          <w:tcPr>
            <w:tcW w:w="1973" w:type="dxa"/>
            <w:tcMar>
              <w:top w:w="0" w:type="dxa"/>
              <w:left w:w="108" w:type="dxa"/>
              <w:bottom w:w="0" w:type="dxa"/>
              <w:right w:w="108" w:type="dxa"/>
            </w:tcMar>
            <w:vAlign w:val="center"/>
            <w:hideMark/>
          </w:tcPr>
          <w:p w14:paraId="40FB4052"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2024-12-12</w:t>
            </w:r>
          </w:p>
        </w:tc>
        <w:tc>
          <w:tcPr>
            <w:tcW w:w="1615" w:type="dxa"/>
            <w:noWrap/>
            <w:tcMar>
              <w:top w:w="0" w:type="dxa"/>
              <w:left w:w="108" w:type="dxa"/>
              <w:bottom w:w="0" w:type="dxa"/>
              <w:right w:w="108" w:type="dxa"/>
            </w:tcMar>
            <w:vAlign w:val="center"/>
            <w:hideMark/>
          </w:tcPr>
          <w:p w14:paraId="01DF6BB9" w14:textId="77777777" w:rsidR="00E72F0C" w:rsidRPr="00F84867" w:rsidRDefault="00107901">
            <w:pPr>
              <w:pStyle w:val="a3"/>
              <w:spacing w:before="0" w:beforeAutospacing="0" w:after="0" w:afterAutospacing="0"/>
              <w:jc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2027-12-31</w:t>
            </w:r>
          </w:p>
        </w:tc>
        <w:tc>
          <w:tcPr>
            <w:tcW w:w="1282" w:type="dxa"/>
            <w:tcMar>
              <w:top w:w="0" w:type="dxa"/>
              <w:left w:w="108" w:type="dxa"/>
              <w:bottom w:w="0" w:type="dxa"/>
              <w:right w:w="108" w:type="dxa"/>
            </w:tcMar>
            <w:vAlign w:val="center"/>
            <w:hideMark/>
          </w:tcPr>
          <w:p w14:paraId="73345B31"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r w:rsidR="00E72F0C" w:rsidRPr="00F84867" w14:paraId="59FD1386" w14:textId="77777777" w:rsidTr="00F84867">
        <w:trPr>
          <w:divId w:val="873661116"/>
          <w:trHeight w:val="671"/>
        </w:trPr>
        <w:tc>
          <w:tcPr>
            <w:tcW w:w="3248" w:type="dxa"/>
            <w:noWrap/>
            <w:tcMar>
              <w:top w:w="0" w:type="dxa"/>
              <w:left w:w="108" w:type="dxa"/>
              <w:bottom w:w="0" w:type="dxa"/>
              <w:right w:w="108" w:type="dxa"/>
            </w:tcMar>
            <w:vAlign w:val="center"/>
            <w:hideMark/>
          </w:tcPr>
          <w:p w14:paraId="7344E2A5" w14:textId="77777777" w:rsidR="00E72F0C" w:rsidRPr="00F84867" w:rsidRDefault="00107901">
            <w:pPr>
              <w:pStyle w:val="a3"/>
              <w:spacing w:before="0" w:beforeAutospacing="0" w:after="0" w:afterAutospacing="0"/>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常熟市中联光电新材料有限责任公司、常州船用电缆有限责任公司、苏州腾晖光伏技术有限公司</w:t>
            </w:r>
          </w:p>
        </w:tc>
        <w:tc>
          <w:tcPr>
            <w:tcW w:w="1675" w:type="dxa"/>
            <w:noWrap/>
            <w:tcMar>
              <w:top w:w="0" w:type="dxa"/>
              <w:left w:w="108" w:type="dxa"/>
              <w:bottom w:w="0" w:type="dxa"/>
              <w:right w:w="108" w:type="dxa"/>
            </w:tcMar>
            <w:vAlign w:val="center"/>
            <w:hideMark/>
          </w:tcPr>
          <w:p w14:paraId="34B7C04A"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586,653,068.94 </w:t>
            </w:r>
          </w:p>
        </w:tc>
        <w:tc>
          <w:tcPr>
            <w:tcW w:w="1973" w:type="dxa"/>
            <w:tcMar>
              <w:top w:w="0" w:type="dxa"/>
              <w:left w:w="108" w:type="dxa"/>
              <w:bottom w:w="0" w:type="dxa"/>
              <w:right w:w="108" w:type="dxa"/>
            </w:tcMar>
            <w:vAlign w:val="center"/>
            <w:hideMark/>
          </w:tcPr>
          <w:p w14:paraId="0858A38A"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2024-12-12</w:t>
            </w:r>
          </w:p>
        </w:tc>
        <w:tc>
          <w:tcPr>
            <w:tcW w:w="1615" w:type="dxa"/>
            <w:noWrap/>
            <w:tcMar>
              <w:top w:w="0" w:type="dxa"/>
              <w:left w:w="108" w:type="dxa"/>
              <w:bottom w:w="0" w:type="dxa"/>
              <w:right w:w="108" w:type="dxa"/>
            </w:tcMar>
            <w:vAlign w:val="center"/>
            <w:hideMark/>
          </w:tcPr>
          <w:p w14:paraId="4B8691A4"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八年</w:t>
            </w:r>
          </w:p>
        </w:tc>
        <w:tc>
          <w:tcPr>
            <w:tcW w:w="1282" w:type="dxa"/>
            <w:tcMar>
              <w:top w:w="0" w:type="dxa"/>
              <w:left w:w="108" w:type="dxa"/>
              <w:bottom w:w="0" w:type="dxa"/>
              <w:right w:w="108" w:type="dxa"/>
            </w:tcMar>
            <w:vAlign w:val="center"/>
            <w:hideMark/>
          </w:tcPr>
          <w:p w14:paraId="048E1660"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r w:rsidR="00E72F0C" w:rsidRPr="00F84867" w14:paraId="16F0E357" w14:textId="77777777" w:rsidTr="00F84867">
        <w:trPr>
          <w:divId w:val="873661116"/>
          <w:trHeight w:val="260"/>
        </w:trPr>
        <w:tc>
          <w:tcPr>
            <w:tcW w:w="3248" w:type="dxa"/>
            <w:noWrap/>
            <w:tcMar>
              <w:top w:w="0" w:type="dxa"/>
              <w:left w:w="108" w:type="dxa"/>
              <w:bottom w:w="0" w:type="dxa"/>
              <w:right w:w="108" w:type="dxa"/>
            </w:tcMar>
            <w:vAlign w:val="center"/>
            <w:hideMark/>
          </w:tcPr>
          <w:p w14:paraId="5CE2F3CA" w14:textId="77777777" w:rsidR="00E72F0C" w:rsidRPr="00F84867" w:rsidRDefault="00107901">
            <w:pPr>
              <w:pStyle w:val="a3"/>
              <w:spacing w:before="0" w:beforeAutospacing="0" w:after="0" w:afterAutospacing="0"/>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常熟市中联光电新材料有限责任公司、常州船用电缆有限责任公司、苏州腾晖光伏技术有限公司、宁夏中盛电缆技术有限公司、辽宁中德电缆有限公司</w:t>
            </w:r>
          </w:p>
        </w:tc>
        <w:tc>
          <w:tcPr>
            <w:tcW w:w="1675" w:type="dxa"/>
            <w:noWrap/>
            <w:tcMar>
              <w:top w:w="0" w:type="dxa"/>
              <w:left w:w="108" w:type="dxa"/>
              <w:bottom w:w="0" w:type="dxa"/>
              <w:right w:w="108" w:type="dxa"/>
            </w:tcMar>
            <w:vAlign w:val="center"/>
            <w:hideMark/>
          </w:tcPr>
          <w:p w14:paraId="09AF6CBF"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160,592,641.39 </w:t>
            </w:r>
          </w:p>
        </w:tc>
        <w:tc>
          <w:tcPr>
            <w:tcW w:w="1973" w:type="dxa"/>
            <w:tcMar>
              <w:top w:w="0" w:type="dxa"/>
              <w:left w:w="108" w:type="dxa"/>
              <w:bottom w:w="0" w:type="dxa"/>
              <w:right w:w="108" w:type="dxa"/>
            </w:tcMar>
            <w:vAlign w:val="center"/>
            <w:hideMark/>
          </w:tcPr>
          <w:p w14:paraId="29EB7F21"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2024-12-12</w:t>
            </w:r>
          </w:p>
        </w:tc>
        <w:tc>
          <w:tcPr>
            <w:tcW w:w="1615" w:type="dxa"/>
            <w:noWrap/>
            <w:tcMar>
              <w:top w:w="0" w:type="dxa"/>
              <w:left w:w="108" w:type="dxa"/>
              <w:bottom w:w="0" w:type="dxa"/>
              <w:right w:w="108" w:type="dxa"/>
            </w:tcMar>
            <w:vAlign w:val="center"/>
            <w:hideMark/>
          </w:tcPr>
          <w:p w14:paraId="4A78E11D"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八年</w:t>
            </w:r>
          </w:p>
        </w:tc>
        <w:tc>
          <w:tcPr>
            <w:tcW w:w="1282" w:type="dxa"/>
            <w:tcMar>
              <w:top w:w="0" w:type="dxa"/>
              <w:left w:w="108" w:type="dxa"/>
              <w:bottom w:w="0" w:type="dxa"/>
              <w:right w:w="108" w:type="dxa"/>
            </w:tcMar>
            <w:vAlign w:val="center"/>
            <w:hideMark/>
          </w:tcPr>
          <w:p w14:paraId="1A61045B"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r w:rsidR="00E72F0C" w:rsidRPr="00F84867" w14:paraId="052DFCA5" w14:textId="77777777" w:rsidTr="00F84867">
        <w:trPr>
          <w:divId w:val="873661116"/>
          <w:trHeight w:val="260"/>
        </w:trPr>
        <w:tc>
          <w:tcPr>
            <w:tcW w:w="3248" w:type="dxa"/>
            <w:noWrap/>
            <w:tcMar>
              <w:top w:w="0" w:type="dxa"/>
              <w:left w:w="108" w:type="dxa"/>
              <w:bottom w:w="0" w:type="dxa"/>
              <w:right w:w="108" w:type="dxa"/>
            </w:tcMar>
            <w:vAlign w:val="center"/>
            <w:hideMark/>
          </w:tcPr>
          <w:p w14:paraId="324E30A3" w14:textId="77777777" w:rsidR="00E72F0C" w:rsidRPr="00F84867" w:rsidRDefault="00107901">
            <w:pPr>
              <w:pStyle w:val="a3"/>
              <w:spacing w:before="0" w:beforeAutospacing="0" w:after="0" w:afterAutospacing="0"/>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泗阳腾晖新能源技术有限公司、苏州腾晖光伏技术有限公司、泗阳腾晖光电有限公司</w:t>
            </w:r>
          </w:p>
        </w:tc>
        <w:tc>
          <w:tcPr>
            <w:tcW w:w="1675" w:type="dxa"/>
            <w:noWrap/>
            <w:tcMar>
              <w:top w:w="0" w:type="dxa"/>
              <w:left w:w="108" w:type="dxa"/>
              <w:bottom w:w="0" w:type="dxa"/>
              <w:right w:w="108" w:type="dxa"/>
            </w:tcMar>
            <w:vAlign w:val="center"/>
            <w:hideMark/>
          </w:tcPr>
          <w:p w14:paraId="7CACA13F"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13,259,139.62 </w:t>
            </w:r>
          </w:p>
        </w:tc>
        <w:tc>
          <w:tcPr>
            <w:tcW w:w="1973" w:type="dxa"/>
            <w:tcMar>
              <w:top w:w="0" w:type="dxa"/>
              <w:left w:w="108" w:type="dxa"/>
              <w:bottom w:w="0" w:type="dxa"/>
              <w:right w:w="108" w:type="dxa"/>
            </w:tcMar>
            <w:vAlign w:val="center"/>
            <w:hideMark/>
          </w:tcPr>
          <w:p w14:paraId="05B2EB65"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2024-12-12</w:t>
            </w:r>
          </w:p>
        </w:tc>
        <w:tc>
          <w:tcPr>
            <w:tcW w:w="1615" w:type="dxa"/>
            <w:noWrap/>
            <w:tcMar>
              <w:top w:w="0" w:type="dxa"/>
              <w:left w:w="108" w:type="dxa"/>
              <w:bottom w:w="0" w:type="dxa"/>
              <w:right w:w="108" w:type="dxa"/>
            </w:tcMar>
            <w:vAlign w:val="center"/>
            <w:hideMark/>
          </w:tcPr>
          <w:p w14:paraId="3BFD3EC2"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八年</w:t>
            </w:r>
          </w:p>
        </w:tc>
        <w:tc>
          <w:tcPr>
            <w:tcW w:w="1282" w:type="dxa"/>
            <w:tcMar>
              <w:top w:w="0" w:type="dxa"/>
              <w:left w:w="108" w:type="dxa"/>
              <w:bottom w:w="0" w:type="dxa"/>
              <w:right w:w="108" w:type="dxa"/>
            </w:tcMar>
            <w:vAlign w:val="center"/>
            <w:hideMark/>
          </w:tcPr>
          <w:p w14:paraId="7D5D73BC"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r w:rsidR="00E72F0C" w:rsidRPr="00F84867" w14:paraId="74F1A57E" w14:textId="77777777" w:rsidTr="00F84867">
        <w:trPr>
          <w:divId w:val="873661116"/>
          <w:trHeight w:val="260"/>
        </w:trPr>
        <w:tc>
          <w:tcPr>
            <w:tcW w:w="3248" w:type="dxa"/>
            <w:noWrap/>
            <w:tcMar>
              <w:top w:w="0" w:type="dxa"/>
              <w:left w:w="108" w:type="dxa"/>
              <w:bottom w:w="0" w:type="dxa"/>
              <w:right w:w="108" w:type="dxa"/>
            </w:tcMar>
            <w:vAlign w:val="center"/>
            <w:hideMark/>
          </w:tcPr>
          <w:p w14:paraId="5041F778" w14:textId="77777777" w:rsidR="00E72F0C" w:rsidRPr="00F84867" w:rsidRDefault="00107901">
            <w:pPr>
              <w:pStyle w:val="a3"/>
              <w:spacing w:before="0" w:beforeAutospacing="0" w:after="0" w:afterAutospacing="0"/>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王柏兴</w:t>
            </w:r>
          </w:p>
        </w:tc>
        <w:tc>
          <w:tcPr>
            <w:tcW w:w="1675" w:type="dxa"/>
            <w:noWrap/>
            <w:tcMar>
              <w:top w:w="0" w:type="dxa"/>
              <w:left w:w="108" w:type="dxa"/>
              <w:bottom w:w="0" w:type="dxa"/>
              <w:right w:w="108" w:type="dxa"/>
            </w:tcMar>
            <w:vAlign w:val="center"/>
            <w:hideMark/>
          </w:tcPr>
          <w:p w14:paraId="0DBF92E9"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217,904,227.46 </w:t>
            </w:r>
          </w:p>
        </w:tc>
        <w:tc>
          <w:tcPr>
            <w:tcW w:w="1973" w:type="dxa"/>
            <w:tcMar>
              <w:top w:w="0" w:type="dxa"/>
              <w:left w:w="108" w:type="dxa"/>
              <w:bottom w:w="0" w:type="dxa"/>
              <w:right w:w="108" w:type="dxa"/>
            </w:tcMar>
            <w:vAlign w:val="center"/>
            <w:hideMark/>
          </w:tcPr>
          <w:p w14:paraId="09739FBB"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2022-10-31</w:t>
            </w:r>
          </w:p>
        </w:tc>
        <w:tc>
          <w:tcPr>
            <w:tcW w:w="1615" w:type="dxa"/>
            <w:noWrap/>
            <w:tcMar>
              <w:top w:w="0" w:type="dxa"/>
              <w:left w:w="108" w:type="dxa"/>
              <w:bottom w:w="0" w:type="dxa"/>
              <w:right w:w="108" w:type="dxa"/>
            </w:tcMar>
            <w:vAlign w:val="center"/>
            <w:hideMark/>
          </w:tcPr>
          <w:p w14:paraId="33C38D6B"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偿还期限届满日后三年止</w:t>
            </w:r>
          </w:p>
        </w:tc>
        <w:tc>
          <w:tcPr>
            <w:tcW w:w="1282" w:type="dxa"/>
            <w:tcMar>
              <w:top w:w="0" w:type="dxa"/>
              <w:left w:w="108" w:type="dxa"/>
              <w:bottom w:w="0" w:type="dxa"/>
              <w:right w:w="108" w:type="dxa"/>
            </w:tcMar>
            <w:vAlign w:val="center"/>
            <w:hideMark/>
          </w:tcPr>
          <w:p w14:paraId="70151C75"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r w:rsidR="00E72F0C" w:rsidRPr="00F84867" w14:paraId="08C28638" w14:textId="77777777" w:rsidTr="00F84867">
        <w:trPr>
          <w:divId w:val="873661116"/>
          <w:trHeight w:val="260"/>
        </w:trPr>
        <w:tc>
          <w:tcPr>
            <w:tcW w:w="3248" w:type="dxa"/>
            <w:noWrap/>
            <w:tcMar>
              <w:top w:w="0" w:type="dxa"/>
              <w:left w:w="108" w:type="dxa"/>
              <w:bottom w:w="0" w:type="dxa"/>
              <w:right w:w="108" w:type="dxa"/>
            </w:tcMar>
            <w:vAlign w:val="center"/>
            <w:hideMark/>
          </w:tcPr>
          <w:p w14:paraId="7566CFAD" w14:textId="77777777" w:rsidR="00E72F0C" w:rsidRPr="00F84867" w:rsidRDefault="00107901">
            <w:pPr>
              <w:pStyle w:val="a3"/>
              <w:spacing w:before="0" w:beforeAutospacing="0" w:after="0" w:afterAutospacing="0"/>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lastRenderedPageBreak/>
              <w:t>王柏兴、江苏中利控股集团有限公司、常熟市中联光电新材料有限责任公司、常州船用电缆有限责任公司、苏州腾晖光伏技术有限公司</w:t>
            </w:r>
          </w:p>
        </w:tc>
        <w:tc>
          <w:tcPr>
            <w:tcW w:w="1675" w:type="dxa"/>
            <w:noWrap/>
            <w:tcMar>
              <w:top w:w="0" w:type="dxa"/>
              <w:left w:w="108" w:type="dxa"/>
              <w:bottom w:w="0" w:type="dxa"/>
              <w:right w:w="108" w:type="dxa"/>
            </w:tcMar>
            <w:vAlign w:val="center"/>
            <w:hideMark/>
          </w:tcPr>
          <w:p w14:paraId="043A1843"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47,923,750.08 </w:t>
            </w:r>
          </w:p>
        </w:tc>
        <w:tc>
          <w:tcPr>
            <w:tcW w:w="1973" w:type="dxa"/>
            <w:tcMar>
              <w:top w:w="0" w:type="dxa"/>
              <w:left w:w="108" w:type="dxa"/>
              <w:bottom w:w="0" w:type="dxa"/>
              <w:right w:w="108" w:type="dxa"/>
            </w:tcMar>
            <w:vAlign w:val="center"/>
            <w:hideMark/>
          </w:tcPr>
          <w:p w14:paraId="43C171EB"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2024-12-12</w:t>
            </w:r>
          </w:p>
        </w:tc>
        <w:tc>
          <w:tcPr>
            <w:tcW w:w="1615" w:type="dxa"/>
            <w:noWrap/>
            <w:tcMar>
              <w:top w:w="0" w:type="dxa"/>
              <w:left w:w="108" w:type="dxa"/>
              <w:bottom w:w="0" w:type="dxa"/>
              <w:right w:w="108" w:type="dxa"/>
            </w:tcMar>
            <w:vAlign w:val="center"/>
            <w:hideMark/>
          </w:tcPr>
          <w:p w14:paraId="6F3C2B52"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八年</w:t>
            </w:r>
          </w:p>
        </w:tc>
        <w:tc>
          <w:tcPr>
            <w:tcW w:w="1282" w:type="dxa"/>
            <w:tcMar>
              <w:top w:w="0" w:type="dxa"/>
              <w:left w:w="108" w:type="dxa"/>
              <w:bottom w:w="0" w:type="dxa"/>
              <w:right w:w="108" w:type="dxa"/>
            </w:tcMar>
            <w:vAlign w:val="center"/>
            <w:hideMark/>
          </w:tcPr>
          <w:p w14:paraId="7256D8A7" w14:textId="77777777" w:rsidR="00E72F0C" w:rsidRPr="00F84867" w:rsidRDefault="00107901">
            <w:pPr>
              <w:pStyle w:val="a3"/>
              <w:spacing w:before="0" w:beforeAutospacing="0" w:after="0" w:afterAutospacing="0"/>
              <w:jc w:val="center"/>
              <w:textAlignment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bl>
    <w:p w14:paraId="29A3B616" w14:textId="77777777" w:rsidR="00E72F0C" w:rsidRDefault="00107901">
      <w:pPr>
        <w:pStyle w:val="a3"/>
        <w:spacing w:before="156" w:beforeAutospacing="0" w:after="0" w:afterAutospacing="0" w:line="360" w:lineRule="atLeast"/>
        <w:ind w:left="420"/>
        <w:textAlignment w:val="bottom"/>
        <w:divId w:val="873661116"/>
        <w:rPr>
          <w:rFonts w:ascii="Times New Roman" w:hAnsi="Times New Roman" w:cs="Times New Roman"/>
          <w:sz w:val="21"/>
          <w:szCs w:val="21"/>
        </w:rPr>
      </w:pPr>
      <w:r>
        <w:rPr>
          <w:rFonts w:cs="Times New Roman" w:hint="eastAsia"/>
          <w:sz w:val="18"/>
          <w:szCs w:val="18"/>
        </w:rPr>
        <w:t>其他关联担保</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54"/>
        <w:gridCol w:w="1844"/>
        <w:gridCol w:w="1746"/>
        <w:gridCol w:w="1380"/>
        <w:gridCol w:w="1845"/>
        <w:gridCol w:w="1158"/>
      </w:tblGrid>
      <w:tr w:rsidR="00E72F0C" w:rsidRPr="00F84867" w14:paraId="468F5BC8" w14:textId="77777777" w:rsidTr="00F84867">
        <w:trPr>
          <w:divId w:val="873661116"/>
          <w:trHeight w:val="432"/>
          <w:tblHeader/>
        </w:trPr>
        <w:tc>
          <w:tcPr>
            <w:tcW w:w="864" w:type="pct"/>
            <w:tcMar>
              <w:top w:w="0" w:type="dxa"/>
              <w:left w:w="108" w:type="dxa"/>
              <w:bottom w:w="0" w:type="dxa"/>
              <w:right w:w="108" w:type="dxa"/>
            </w:tcMar>
            <w:vAlign w:val="center"/>
            <w:hideMark/>
          </w:tcPr>
          <w:p w14:paraId="088D361F" w14:textId="77777777" w:rsidR="00E72F0C" w:rsidRPr="00F84867" w:rsidRDefault="00107901">
            <w:pPr>
              <w:pStyle w:val="a3"/>
              <w:spacing w:before="0" w:beforeAutospacing="0" w:after="0" w:afterAutospacing="0"/>
              <w:jc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sz w:val="18"/>
                <w:szCs w:val="18"/>
              </w:rPr>
              <w:t>担保方</w:t>
            </w:r>
          </w:p>
        </w:tc>
        <w:tc>
          <w:tcPr>
            <w:tcW w:w="963" w:type="pct"/>
            <w:tcMar>
              <w:top w:w="0" w:type="dxa"/>
              <w:left w:w="108" w:type="dxa"/>
              <w:bottom w:w="0" w:type="dxa"/>
              <w:right w:w="108" w:type="dxa"/>
            </w:tcMar>
            <w:vAlign w:val="center"/>
            <w:hideMark/>
          </w:tcPr>
          <w:p w14:paraId="2C620BB8" w14:textId="77777777" w:rsidR="00E72F0C" w:rsidRPr="00F84867" w:rsidRDefault="00107901">
            <w:pPr>
              <w:pStyle w:val="a3"/>
              <w:spacing w:before="0" w:beforeAutospacing="0" w:after="0" w:afterAutospacing="0"/>
              <w:jc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sz w:val="18"/>
                <w:szCs w:val="18"/>
              </w:rPr>
              <w:t>被担保方名称</w:t>
            </w:r>
          </w:p>
        </w:tc>
        <w:tc>
          <w:tcPr>
            <w:tcW w:w="882" w:type="pct"/>
            <w:noWrap/>
            <w:tcMar>
              <w:top w:w="0" w:type="dxa"/>
              <w:left w:w="108" w:type="dxa"/>
              <w:bottom w:w="0" w:type="dxa"/>
              <w:right w:w="108" w:type="dxa"/>
            </w:tcMar>
            <w:vAlign w:val="center"/>
            <w:hideMark/>
          </w:tcPr>
          <w:p w14:paraId="48685E1F" w14:textId="77777777" w:rsidR="00E72F0C" w:rsidRPr="00F84867" w:rsidRDefault="00107901">
            <w:pPr>
              <w:pStyle w:val="a3"/>
              <w:spacing w:before="0" w:beforeAutospacing="0" w:after="0" w:afterAutospacing="0"/>
              <w:jc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担保金额</w:t>
            </w:r>
          </w:p>
        </w:tc>
        <w:tc>
          <w:tcPr>
            <w:tcW w:w="722" w:type="pct"/>
            <w:noWrap/>
            <w:tcMar>
              <w:top w:w="0" w:type="dxa"/>
              <w:left w:w="108" w:type="dxa"/>
              <w:bottom w:w="0" w:type="dxa"/>
              <w:right w:w="108" w:type="dxa"/>
            </w:tcMar>
            <w:vAlign w:val="center"/>
            <w:hideMark/>
          </w:tcPr>
          <w:p w14:paraId="66EFA1A7" w14:textId="77777777" w:rsidR="00E72F0C" w:rsidRPr="00F84867" w:rsidRDefault="00107901">
            <w:pPr>
              <w:pStyle w:val="a3"/>
              <w:spacing w:before="0" w:beforeAutospacing="0" w:after="0" w:afterAutospacing="0"/>
              <w:jc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担保起始日</w:t>
            </w:r>
          </w:p>
        </w:tc>
        <w:tc>
          <w:tcPr>
            <w:tcW w:w="963" w:type="pct"/>
            <w:noWrap/>
            <w:tcMar>
              <w:top w:w="0" w:type="dxa"/>
              <w:left w:w="108" w:type="dxa"/>
              <w:bottom w:w="0" w:type="dxa"/>
              <w:right w:w="108" w:type="dxa"/>
            </w:tcMar>
            <w:vAlign w:val="center"/>
            <w:hideMark/>
          </w:tcPr>
          <w:p w14:paraId="12196E12" w14:textId="77777777" w:rsidR="00E72F0C" w:rsidRPr="00F84867" w:rsidRDefault="00107901">
            <w:pPr>
              <w:pStyle w:val="a3"/>
              <w:spacing w:before="0" w:beforeAutospacing="0" w:after="0" w:afterAutospacing="0"/>
              <w:jc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担保到期日</w:t>
            </w:r>
          </w:p>
        </w:tc>
        <w:tc>
          <w:tcPr>
            <w:tcW w:w="606" w:type="pct"/>
            <w:tcMar>
              <w:top w:w="0" w:type="dxa"/>
              <w:left w:w="108" w:type="dxa"/>
              <w:bottom w:w="0" w:type="dxa"/>
              <w:right w:w="108" w:type="dxa"/>
            </w:tcMar>
            <w:vAlign w:val="center"/>
            <w:hideMark/>
          </w:tcPr>
          <w:p w14:paraId="74A05951" w14:textId="77777777" w:rsidR="00E72F0C" w:rsidRPr="00F84867" w:rsidRDefault="00107901">
            <w:pPr>
              <w:pStyle w:val="a3"/>
              <w:spacing w:before="0" w:beforeAutospacing="0" w:after="0" w:afterAutospacing="0"/>
              <w:jc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担保是否已经履行完毕</w:t>
            </w:r>
          </w:p>
        </w:tc>
      </w:tr>
      <w:tr w:rsidR="00E72F0C" w:rsidRPr="00F84867" w14:paraId="1A51911A" w14:textId="77777777" w:rsidTr="00F84867">
        <w:trPr>
          <w:divId w:val="873661116"/>
          <w:trHeight w:val="216"/>
        </w:trPr>
        <w:tc>
          <w:tcPr>
            <w:tcW w:w="1527" w:type="dxa"/>
            <w:tcMar>
              <w:top w:w="0" w:type="dxa"/>
              <w:left w:w="108" w:type="dxa"/>
              <w:bottom w:w="0" w:type="dxa"/>
              <w:right w:w="108" w:type="dxa"/>
            </w:tcMar>
            <w:vAlign w:val="center"/>
            <w:hideMark/>
          </w:tcPr>
          <w:p w14:paraId="04C0DC1B" w14:textId="77777777" w:rsidR="00E72F0C" w:rsidRPr="00F84867" w:rsidRDefault="00107901">
            <w:pPr>
              <w:pStyle w:val="a3"/>
              <w:spacing w:before="0" w:beforeAutospacing="0" w:after="0" w:afterAutospacing="0"/>
              <w:jc w:val="both"/>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王柏兴</w:t>
            </w:r>
          </w:p>
        </w:tc>
        <w:tc>
          <w:tcPr>
            <w:tcW w:w="1701" w:type="dxa"/>
            <w:noWrap/>
            <w:tcMar>
              <w:top w:w="0" w:type="dxa"/>
              <w:left w:w="108" w:type="dxa"/>
              <w:bottom w:w="0" w:type="dxa"/>
              <w:right w:w="108" w:type="dxa"/>
            </w:tcMar>
            <w:vAlign w:val="center"/>
            <w:hideMark/>
          </w:tcPr>
          <w:p w14:paraId="75C8A01E" w14:textId="77777777" w:rsidR="00E72F0C" w:rsidRPr="00F84867" w:rsidRDefault="00107901">
            <w:pPr>
              <w:pStyle w:val="a3"/>
              <w:spacing w:before="0" w:beforeAutospacing="0" w:after="0" w:afterAutospacing="0"/>
              <w:jc w:val="both"/>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青海中利光纤技术有限公司</w:t>
            </w:r>
          </w:p>
        </w:tc>
        <w:tc>
          <w:tcPr>
            <w:tcW w:w="1558" w:type="dxa"/>
            <w:noWrap/>
            <w:tcMar>
              <w:top w:w="0" w:type="dxa"/>
              <w:left w:w="108" w:type="dxa"/>
              <w:bottom w:w="0" w:type="dxa"/>
              <w:right w:w="108" w:type="dxa"/>
            </w:tcMar>
            <w:vAlign w:val="center"/>
            <w:hideMark/>
          </w:tcPr>
          <w:p w14:paraId="2CB39476"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208,993,914.45 </w:t>
            </w:r>
          </w:p>
        </w:tc>
        <w:tc>
          <w:tcPr>
            <w:tcW w:w="1276" w:type="dxa"/>
            <w:noWrap/>
            <w:tcMar>
              <w:top w:w="0" w:type="dxa"/>
              <w:left w:w="108" w:type="dxa"/>
              <w:bottom w:w="0" w:type="dxa"/>
              <w:right w:w="108" w:type="dxa"/>
            </w:tcMar>
            <w:vAlign w:val="center"/>
            <w:hideMark/>
          </w:tcPr>
          <w:p w14:paraId="00534C90"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2024-12-12</w:t>
            </w:r>
          </w:p>
        </w:tc>
        <w:tc>
          <w:tcPr>
            <w:tcW w:w="1701" w:type="dxa"/>
            <w:noWrap/>
            <w:tcMar>
              <w:top w:w="0" w:type="dxa"/>
              <w:left w:w="108" w:type="dxa"/>
              <w:bottom w:w="0" w:type="dxa"/>
              <w:right w:w="108" w:type="dxa"/>
            </w:tcMar>
            <w:vAlign w:val="center"/>
            <w:hideMark/>
          </w:tcPr>
          <w:p w14:paraId="16ACCDB0"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三年</w:t>
            </w:r>
          </w:p>
        </w:tc>
        <w:tc>
          <w:tcPr>
            <w:tcW w:w="1071" w:type="dxa"/>
            <w:noWrap/>
            <w:tcMar>
              <w:top w:w="0" w:type="dxa"/>
              <w:left w:w="108" w:type="dxa"/>
              <w:bottom w:w="0" w:type="dxa"/>
              <w:right w:w="108" w:type="dxa"/>
            </w:tcMar>
            <w:vAlign w:val="center"/>
            <w:hideMark/>
          </w:tcPr>
          <w:p w14:paraId="7E5B9434"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r w:rsidR="00E72F0C" w:rsidRPr="00F84867" w14:paraId="26D2E477" w14:textId="77777777" w:rsidTr="00F84867">
        <w:trPr>
          <w:divId w:val="873661116"/>
          <w:trHeight w:val="216"/>
        </w:trPr>
        <w:tc>
          <w:tcPr>
            <w:tcW w:w="1527" w:type="dxa"/>
            <w:tcMar>
              <w:top w:w="0" w:type="dxa"/>
              <w:left w:w="108" w:type="dxa"/>
              <w:bottom w:w="0" w:type="dxa"/>
              <w:right w:w="108" w:type="dxa"/>
            </w:tcMar>
            <w:vAlign w:val="center"/>
            <w:hideMark/>
          </w:tcPr>
          <w:p w14:paraId="46384206" w14:textId="77777777" w:rsidR="00E72F0C" w:rsidRPr="00F84867" w:rsidRDefault="00107901">
            <w:pPr>
              <w:pStyle w:val="a3"/>
              <w:spacing w:before="0" w:beforeAutospacing="0" w:after="0" w:afterAutospacing="0"/>
              <w:jc w:val="both"/>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王柏兴、山东腾晖电力技术有限公司</w:t>
            </w:r>
          </w:p>
        </w:tc>
        <w:tc>
          <w:tcPr>
            <w:tcW w:w="1701" w:type="dxa"/>
            <w:noWrap/>
            <w:tcMar>
              <w:top w:w="0" w:type="dxa"/>
              <w:left w:w="108" w:type="dxa"/>
              <w:bottom w:w="0" w:type="dxa"/>
              <w:right w:w="108" w:type="dxa"/>
            </w:tcMar>
            <w:vAlign w:val="center"/>
            <w:hideMark/>
          </w:tcPr>
          <w:p w14:paraId="7749C721" w14:textId="77777777" w:rsidR="00E72F0C" w:rsidRPr="00F84867" w:rsidRDefault="00107901">
            <w:pPr>
              <w:pStyle w:val="a3"/>
              <w:spacing w:before="0" w:beforeAutospacing="0" w:after="0" w:afterAutospacing="0"/>
              <w:jc w:val="both"/>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苏州腾晖光伏技术有限公司</w:t>
            </w:r>
          </w:p>
        </w:tc>
        <w:tc>
          <w:tcPr>
            <w:tcW w:w="1558" w:type="dxa"/>
            <w:tcMar>
              <w:top w:w="0" w:type="dxa"/>
              <w:left w:w="108" w:type="dxa"/>
              <w:bottom w:w="0" w:type="dxa"/>
              <w:right w:w="108" w:type="dxa"/>
            </w:tcMar>
            <w:vAlign w:val="center"/>
            <w:hideMark/>
          </w:tcPr>
          <w:p w14:paraId="64692CDB"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18,740,767.34 </w:t>
            </w:r>
          </w:p>
        </w:tc>
        <w:tc>
          <w:tcPr>
            <w:tcW w:w="1276" w:type="dxa"/>
            <w:noWrap/>
            <w:tcMar>
              <w:top w:w="0" w:type="dxa"/>
              <w:left w:w="108" w:type="dxa"/>
              <w:bottom w:w="0" w:type="dxa"/>
              <w:right w:w="108" w:type="dxa"/>
            </w:tcMar>
            <w:vAlign w:val="center"/>
            <w:hideMark/>
          </w:tcPr>
          <w:p w14:paraId="31EAAEBE"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2024-12-12</w:t>
            </w:r>
          </w:p>
        </w:tc>
        <w:tc>
          <w:tcPr>
            <w:tcW w:w="1701" w:type="dxa"/>
            <w:noWrap/>
            <w:tcMar>
              <w:top w:w="0" w:type="dxa"/>
              <w:left w:w="108" w:type="dxa"/>
              <w:bottom w:w="0" w:type="dxa"/>
              <w:right w:w="108" w:type="dxa"/>
            </w:tcMar>
            <w:vAlign w:val="center"/>
            <w:hideMark/>
          </w:tcPr>
          <w:p w14:paraId="133E790E"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八年</w:t>
            </w:r>
          </w:p>
        </w:tc>
        <w:tc>
          <w:tcPr>
            <w:tcW w:w="1071" w:type="dxa"/>
            <w:noWrap/>
            <w:tcMar>
              <w:top w:w="0" w:type="dxa"/>
              <w:left w:w="108" w:type="dxa"/>
              <w:bottom w:w="0" w:type="dxa"/>
              <w:right w:w="108" w:type="dxa"/>
            </w:tcMar>
            <w:vAlign w:val="center"/>
            <w:hideMark/>
          </w:tcPr>
          <w:p w14:paraId="5EB6D33E"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r w:rsidR="00E72F0C" w:rsidRPr="00F84867" w14:paraId="62FFD846" w14:textId="77777777" w:rsidTr="00F84867">
        <w:trPr>
          <w:divId w:val="873661116"/>
          <w:trHeight w:val="216"/>
        </w:trPr>
        <w:tc>
          <w:tcPr>
            <w:tcW w:w="1527" w:type="dxa"/>
            <w:tcMar>
              <w:top w:w="0" w:type="dxa"/>
              <w:left w:w="108" w:type="dxa"/>
              <w:bottom w:w="0" w:type="dxa"/>
              <w:right w:w="108" w:type="dxa"/>
            </w:tcMar>
            <w:vAlign w:val="center"/>
            <w:hideMark/>
          </w:tcPr>
          <w:p w14:paraId="03937523" w14:textId="77777777" w:rsidR="00E72F0C" w:rsidRPr="00F84867" w:rsidRDefault="00107901">
            <w:pPr>
              <w:pStyle w:val="a3"/>
              <w:spacing w:before="0" w:beforeAutospacing="0" w:after="0" w:afterAutospacing="0"/>
              <w:jc w:val="both"/>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王柏兴</w:t>
            </w:r>
          </w:p>
        </w:tc>
        <w:tc>
          <w:tcPr>
            <w:tcW w:w="1701" w:type="dxa"/>
            <w:noWrap/>
            <w:tcMar>
              <w:top w:w="0" w:type="dxa"/>
              <w:left w:w="108" w:type="dxa"/>
              <w:bottom w:w="0" w:type="dxa"/>
              <w:right w:w="108" w:type="dxa"/>
            </w:tcMar>
            <w:vAlign w:val="center"/>
            <w:hideMark/>
          </w:tcPr>
          <w:p w14:paraId="4B017344" w14:textId="77777777" w:rsidR="00E72F0C" w:rsidRPr="00F84867" w:rsidRDefault="00107901">
            <w:pPr>
              <w:pStyle w:val="a3"/>
              <w:spacing w:before="0" w:beforeAutospacing="0" w:after="0" w:afterAutospacing="0"/>
              <w:jc w:val="both"/>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苏州腾晖光伏技术有限公司</w:t>
            </w:r>
          </w:p>
        </w:tc>
        <w:tc>
          <w:tcPr>
            <w:tcW w:w="1558" w:type="dxa"/>
            <w:noWrap/>
            <w:tcMar>
              <w:top w:w="0" w:type="dxa"/>
              <w:left w:w="108" w:type="dxa"/>
              <w:bottom w:w="0" w:type="dxa"/>
              <w:right w:w="108" w:type="dxa"/>
            </w:tcMar>
            <w:vAlign w:val="center"/>
            <w:hideMark/>
          </w:tcPr>
          <w:p w14:paraId="11AFD059"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191,698,899.40 </w:t>
            </w:r>
          </w:p>
        </w:tc>
        <w:tc>
          <w:tcPr>
            <w:tcW w:w="1276" w:type="dxa"/>
            <w:noWrap/>
            <w:tcMar>
              <w:top w:w="0" w:type="dxa"/>
              <w:left w:w="108" w:type="dxa"/>
              <w:bottom w:w="0" w:type="dxa"/>
              <w:right w:w="108" w:type="dxa"/>
            </w:tcMar>
            <w:vAlign w:val="center"/>
            <w:hideMark/>
          </w:tcPr>
          <w:p w14:paraId="20D8953D"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2024-12-12</w:t>
            </w:r>
          </w:p>
        </w:tc>
        <w:tc>
          <w:tcPr>
            <w:tcW w:w="1701" w:type="dxa"/>
            <w:noWrap/>
            <w:tcMar>
              <w:top w:w="0" w:type="dxa"/>
              <w:left w:w="108" w:type="dxa"/>
              <w:bottom w:w="0" w:type="dxa"/>
              <w:right w:w="108" w:type="dxa"/>
            </w:tcMar>
            <w:vAlign w:val="center"/>
            <w:hideMark/>
          </w:tcPr>
          <w:p w14:paraId="2FE213C3"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八年</w:t>
            </w:r>
          </w:p>
        </w:tc>
        <w:tc>
          <w:tcPr>
            <w:tcW w:w="1071" w:type="dxa"/>
            <w:noWrap/>
            <w:tcMar>
              <w:top w:w="0" w:type="dxa"/>
              <w:left w:w="108" w:type="dxa"/>
              <w:bottom w:w="0" w:type="dxa"/>
              <w:right w:w="108" w:type="dxa"/>
            </w:tcMar>
            <w:vAlign w:val="center"/>
            <w:hideMark/>
          </w:tcPr>
          <w:p w14:paraId="0F1CE813"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r w:rsidR="00E72F0C" w:rsidRPr="00F84867" w14:paraId="6425A85D" w14:textId="77777777" w:rsidTr="00F84867">
        <w:trPr>
          <w:divId w:val="873661116"/>
          <w:trHeight w:val="648"/>
        </w:trPr>
        <w:tc>
          <w:tcPr>
            <w:tcW w:w="1527" w:type="dxa"/>
            <w:tcMar>
              <w:top w:w="0" w:type="dxa"/>
              <w:left w:w="108" w:type="dxa"/>
              <w:bottom w:w="0" w:type="dxa"/>
              <w:right w:w="108" w:type="dxa"/>
            </w:tcMar>
            <w:vAlign w:val="center"/>
            <w:hideMark/>
          </w:tcPr>
          <w:p w14:paraId="0C18D830" w14:textId="77777777" w:rsidR="00E72F0C" w:rsidRPr="00F84867" w:rsidRDefault="00107901">
            <w:pPr>
              <w:pStyle w:val="a3"/>
              <w:spacing w:before="0" w:beforeAutospacing="0" w:after="0" w:afterAutospacing="0"/>
              <w:jc w:val="both"/>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王柏兴、苏州腾晖光伏技术有限公司</w:t>
            </w:r>
          </w:p>
        </w:tc>
        <w:tc>
          <w:tcPr>
            <w:tcW w:w="1701" w:type="dxa"/>
            <w:noWrap/>
            <w:tcMar>
              <w:top w:w="0" w:type="dxa"/>
              <w:left w:w="108" w:type="dxa"/>
              <w:bottom w:w="0" w:type="dxa"/>
              <w:right w:w="108" w:type="dxa"/>
            </w:tcMar>
            <w:vAlign w:val="center"/>
            <w:hideMark/>
          </w:tcPr>
          <w:p w14:paraId="302A6C5A" w14:textId="77777777" w:rsidR="00E72F0C" w:rsidRPr="00F84867" w:rsidRDefault="00107901">
            <w:pPr>
              <w:pStyle w:val="a3"/>
              <w:spacing w:before="0" w:beforeAutospacing="0" w:after="0" w:afterAutospacing="0"/>
              <w:jc w:val="both"/>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宿迁腾晖新能源技术有限公司</w:t>
            </w:r>
          </w:p>
        </w:tc>
        <w:tc>
          <w:tcPr>
            <w:tcW w:w="1558" w:type="dxa"/>
            <w:noWrap/>
            <w:tcMar>
              <w:top w:w="0" w:type="dxa"/>
              <w:left w:w="108" w:type="dxa"/>
              <w:bottom w:w="0" w:type="dxa"/>
              <w:right w:w="108" w:type="dxa"/>
            </w:tcMar>
            <w:vAlign w:val="center"/>
            <w:hideMark/>
          </w:tcPr>
          <w:p w14:paraId="668B7409"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78,337,166.67 </w:t>
            </w:r>
          </w:p>
        </w:tc>
        <w:tc>
          <w:tcPr>
            <w:tcW w:w="1276" w:type="dxa"/>
            <w:noWrap/>
            <w:tcMar>
              <w:top w:w="0" w:type="dxa"/>
              <w:left w:w="108" w:type="dxa"/>
              <w:bottom w:w="0" w:type="dxa"/>
              <w:right w:w="108" w:type="dxa"/>
            </w:tcMar>
            <w:vAlign w:val="center"/>
            <w:hideMark/>
          </w:tcPr>
          <w:p w14:paraId="0EEF7815"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2024-12-12</w:t>
            </w:r>
          </w:p>
        </w:tc>
        <w:tc>
          <w:tcPr>
            <w:tcW w:w="1701" w:type="dxa"/>
            <w:noWrap/>
            <w:tcMar>
              <w:top w:w="0" w:type="dxa"/>
              <w:left w:w="108" w:type="dxa"/>
              <w:bottom w:w="0" w:type="dxa"/>
              <w:right w:w="108" w:type="dxa"/>
            </w:tcMar>
            <w:vAlign w:val="center"/>
            <w:hideMark/>
          </w:tcPr>
          <w:p w14:paraId="13DE65F1"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三年</w:t>
            </w:r>
          </w:p>
        </w:tc>
        <w:tc>
          <w:tcPr>
            <w:tcW w:w="1071" w:type="dxa"/>
            <w:noWrap/>
            <w:tcMar>
              <w:top w:w="0" w:type="dxa"/>
              <w:left w:w="108" w:type="dxa"/>
              <w:bottom w:w="0" w:type="dxa"/>
              <w:right w:w="108" w:type="dxa"/>
            </w:tcMar>
            <w:vAlign w:val="center"/>
            <w:hideMark/>
          </w:tcPr>
          <w:p w14:paraId="55F99DC0"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r w:rsidR="00E72F0C" w:rsidRPr="00F84867" w14:paraId="496173E5" w14:textId="77777777" w:rsidTr="00F84867">
        <w:trPr>
          <w:divId w:val="873661116"/>
          <w:trHeight w:val="648"/>
        </w:trPr>
        <w:tc>
          <w:tcPr>
            <w:tcW w:w="1527" w:type="dxa"/>
            <w:tcMar>
              <w:top w:w="0" w:type="dxa"/>
              <w:left w:w="108" w:type="dxa"/>
              <w:bottom w:w="0" w:type="dxa"/>
              <w:right w:w="108" w:type="dxa"/>
            </w:tcMar>
            <w:vAlign w:val="center"/>
            <w:hideMark/>
          </w:tcPr>
          <w:p w14:paraId="13B8DAEB" w14:textId="77777777" w:rsidR="00E72F0C" w:rsidRPr="00F84867" w:rsidRDefault="00107901">
            <w:pPr>
              <w:pStyle w:val="a3"/>
              <w:spacing w:before="0" w:beforeAutospacing="0" w:after="0" w:afterAutospacing="0"/>
              <w:jc w:val="both"/>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常州中旭光伏有限公司</w:t>
            </w:r>
          </w:p>
        </w:tc>
        <w:tc>
          <w:tcPr>
            <w:tcW w:w="1701" w:type="dxa"/>
            <w:noWrap/>
            <w:tcMar>
              <w:top w:w="0" w:type="dxa"/>
              <w:left w:w="108" w:type="dxa"/>
              <w:bottom w:w="0" w:type="dxa"/>
              <w:right w:w="108" w:type="dxa"/>
            </w:tcMar>
            <w:vAlign w:val="center"/>
            <w:hideMark/>
          </w:tcPr>
          <w:p w14:paraId="35B328C3" w14:textId="77777777" w:rsidR="00E72F0C" w:rsidRPr="00F84867" w:rsidRDefault="00107901">
            <w:pPr>
              <w:pStyle w:val="a3"/>
              <w:spacing w:before="0" w:beforeAutospacing="0" w:after="0" w:afterAutospacing="0"/>
              <w:jc w:val="both"/>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兴化市戴南辉腾光伏发电有限公司</w:t>
            </w:r>
          </w:p>
        </w:tc>
        <w:tc>
          <w:tcPr>
            <w:tcW w:w="1558" w:type="dxa"/>
            <w:noWrap/>
            <w:tcMar>
              <w:top w:w="0" w:type="dxa"/>
              <w:left w:w="108" w:type="dxa"/>
              <w:bottom w:w="0" w:type="dxa"/>
              <w:right w:w="108" w:type="dxa"/>
            </w:tcMar>
            <w:vAlign w:val="center"/>
            <w:hideMark/>
          </w:tcPr>
          <w:p w14:paraId="352F8DF1"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9,159,309.50 </w:t>
            </w:r>
          </w:p>
        </w:tc>
        <w:tc>
          <w:tcPr>
            <w:tcW w:w="1276" w:type="dxa"/>
            <w:noWrap/>
            <w:tcMar>
              <w:top w:w="0" w:type="dxa"/>
              <w:left w:w="108" w:type="dxa"/>
              <w:bottom w:w="0" w:type="dxa"/>
              <w:right w:w="108" w:type="dxa"/>
            </w:tcMar>
            <w:vAlign w:val="center"/>
            <w:hideMark/>
          </w:tcPr>
          <w:p w14:paraId="7C652CDD"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2021-4-29</w:t>
            </w:r>
          </w:p>
        </w:tc>
        <w:tc>
          <w:tcPr>
            <w:tcW w:w="1701" w:type="dxa"/>
            <w:noWrap/>
            <w:tcMar>
              <w:top w:w="0" w:type="dxa"/>
              <w:left w:w="108" w:type="dxa"/>
              <w:bottom w:w="0" w:type="dxa"/>
              <w:right w:w="108" w:type="dxa"/>
            </w:tcMar>
            <w:vAlign w:val="center"/>
            <w:hideMark/>
          </w:tcPr>
          <w:p w14:paraId="50772414"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六年</w:t>
            </w:r>
          </w:p>
        </w:tc>
        <w:tc>
          <w:tcPr>
            <w:tcW w:w="1071" w:type="dxa"/>
            <w:noWrap/>
            <w:tcMar>
              <w:top w:w="0" w:type="dxa"/>
              <w:left w:w="108" w:type="dxa"/>
              <w:bottom w:w="0" w:type="dxa"/>
              <w:right w:w="108" w:type="dxa"/>
            </w:tcMar>
            <w:vAlign w:val="center"/>
            <w:hideMark/>
          </w:tcPr>
          <w:p w14:paraId="05AFEE9B"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r w:rsidR="00E72F0C" w:rsidRPr="00F84867" w14:paraId="0C657E4F" w14:textId="77777777" w:rsidTr="00F84867">
        <w:trPr>
          <w:divId w:val="873661116"/>
          <w:trHeight w:val="648"/>
        </w:trPr>
        <w:tc>
          <w:tcPr>
            <w:tcW w:w="1527" w:type="dxa"/>
            <w:tcMar>
              <w:top w:w="0" w:type="dxa"/>
              <w:left w:w="108" w:type="dxa"/>
              <w:bottom w:w="0" w:type="dxa"/>
              <w:right w:w="108" w:type="dxa"/>
            </w:tcMar>
            <w:vAlign w:val="center"/>
            <w:hideMark/>
          </w:tcPr>
          <w:p w14:paraId="3AA7EBE3" w14:textId="77777777" w:rsidR="00E72F0C" w:rsidRPr="00F84867" w:rsidRDefault="00107901">
            <w:pPr>
              <w:pStyle w:val="a3"/>
              <w:spacing w:before="0" w:beforeAutospacing="0" w:after="0" w:afterAutospacing="0"/>
              <w:jc w:val="both"/>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山东腾晖电力技术有限公司</w:t>
            </w:r>
          </w:p>
        </w:tc>
        <w:tc>
          <w:tcPr>
            <w:tcW w:w="1701" w:type="dxa"/>
            <w:noWrap/>
            <w:tcMar>
              <w:top w:w="0" w:type="dxa"/>
              <w:left w:w="108" w:type="dxa"/>
              <w:bottom w:w="0" w:type="dxa"/>
              <w:right w:w="108" w:type="dxa"/>
            </w:tcMar>
            <w:vAlign w:val="center"/>
            <w:hideMark/>
          </w:tcPr>
          <w:p w14:paraId="5711392F" w14:textId="77777777" w:rsidR="00E72F0C" w:rsidRPr="00F84867" w:rsidRDefault="00107901">
            <w:pPr>
              <w:pStyle w:val="a3"/>
              <w:spacing w:before="0" w:beforeAutospacing="0" w:after="0" w:afterAutospacing="0"/>
              <w:jc w:val="both"/>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南昌讯晖光伏技术有限公司</w:t>
            </w:r>
          </w:p>
        </w:tc>
        <w:tc>
          <w:tcPr>
            <w:tcW w:w="1558" w:type="dxa"/>
            <w:noWrap/>
            <w:tcMar>
              <w:top w:w="0" w:type="dxa"/>
              <w:left w:w="108" w:type="dxa"/>
              <w:bottom w:w="0" w:type="dxa"/>
              <w:right w:w="108" w:type="dxa"/>
            </w:tcMar>
            <w:vAlign w:val="center"/>
            <w:hideMark/>
          </w:tcPr>
          <w:p w14:paraId="4ACB921F"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5,905,669.80 </w:t>
            </w:r>
          </w:p>
        </w:tc>
        <w:tc>
          <w:tcPr>
            <w:tcW w:w="1276" w:type="dxa"/>
            <w:noWrap/>
            <w:tcMar>
              <w:top w:w="0" w:type="dxa"/>
              <w:left w:w="108" w:type="dxa"/>
              <w:bottom w:w="0" w:type="dxa"/>
              <w:right w:w="108" w:type="dxa"/>
            </w:tcMar>
            <w:vAlign w:val="center"/>
            <w:hideMark/>
          </w:tcPr>
          <w:p w14:paraId="7EB18520"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2022-10-11</w:t>
            </w:r>
          </w:p>
        </w:tc>
        <w:tc>
          <w:tcPr>
            <w:tcW w:w="1701" w:type="dxa"/>
            <w:noWrap/>
            <w:tcMar>
              <w:top w:w="0" w:type="dxa"/>
              <w:left w:w="108" w:type="dxa"/>
              <w:bottom w:w="0" w:type="dxa"/>
              <w:right w:w="108" w:type="dxa"/>
            </w:tcMar>
            <w:vAlign w:val="center"/>
            <w:hideMark/>
          </w:tcPr>
          <w:p w14:paraId="7B4D22F8"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十年</w:t>
            </w:r>
          </w:p>
        </w:tc>
        <w:tc>
          <w:tcPr>
            <w:tcW w:w="1071" w:type="dxa"/>
            <w:noWrap/>
            <w:tcMar>
              <w:top w:w="0" w:type="dxa"/>
              <w:left w:w="108" w:type="dxa"/>
              <w:bottom w:w="0" w:type="dxa"/>
              <w:right w:w="108" w:type="dxa"/>
            </w:tcMar>
            <w:vAlign w:val="center"/>
            <w:hideMark/>
          </w:tcPr>
          <w:p w14:paraId="59437828"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r w:rsidR="00E72F0C" w:rsidRPr="00F84867" w14:paraId="1BD359F9" w14:textId="77777777" w:rsidTr="00F84867">
        <w:trPr>
          <w:divId w:val="873661116"/>
          <w:trHeight w:val="648"/>
        </w:trPr>
        <w:tc>
          <w:tcPr>
            <w:tcW w:w="1527" w:type="dxa"/>
            <w:tcMar>
              <w:top w:w="0" w:type="dxa"/>
              <w:left w:w="108" w:type="dxa"/>
              <w:bottom w:w="0" w:type="dxa"/>
              <w:right w:w="108" w:type="dxa"/>
            </w:tcMar>
            <w:vAlign w:val="center"/>
            <w:hideMark/>
          </w:tcPr>
          <w:p w14:paraId="2CAB6621" w14:textId="77777777" w:rsidR="00E72F0C" w:rsidRPr="00F84867" w:rsidRDefault="00107901">
            <w:pPr>
              <w:pStyle w:val="a3"/>
              <w:spacing w:before="0" w:beforeAutospacing="0" w:after="0" w:afterAutospacing="0"/>
              <w:jc w:val="both"/>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山东腾晖电力技术有限公司</w:t>
            </w:r>
          </w:p>
        </w:tc>
        <w:tc>
          <w:tcPr>
            <w:tcW w:w="1701" w:type="dxa"/>
            <w:noWrap/>
            <w:tcMar>
              <w:top w:w="0" w:type="dxa"/>
              <w:left w:w="108" w:type="dxa"/>
              <w:bottom w:w="0" w:type="dxa"/>
              <w:right w:w="108" w:type="dxa"/>
            </w:tcMar>
            <w:vAlign w:val="center"/>
            <w:hideMark/>
          </w:tcPr>
          <w:p w14:paraId="4679DA20" w14:textId="77777777" w:rsidR="00E72F0C" w:rsidRPr="00F84867" w:rsidRDefault="00107901">
            <w:pPr>
              <w:pStyle w:val="a3"/>
              <w:spacing w:before="0" w:beforeAutospacing="0" w:after="0" w:afterAutospacing="0"/>
              <w:jc w:val="both"/>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常熟盛晖光伏技术有限公司</w:t>
            </w:r>
          </w:p>
        </w:tc>
        <w:tc>
          <w:tcPr>
            <w:tcW w:w="1558" w:type="dxa"/>
            <w:noWrap/>
            <w:tcMar>
              <w:top w:w="0" w:type="dxa"/>
              <w:left w:w="108" w:type="dxa"/>
              <w:bottom w:w="0" w:type="dxa"/>
              <w:right w:w="108" w:type="dxa"/>
            </w:tcMar>
            <w:vAlign w:val="center"/>
            <w:hideMark/>
          </w:tcPr>
          <w:p w14:paraId="4BB1EB2B"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9,865,941.48 </w:t>
            </w:r>
          </w:p>
        </w:tc>
        <w:tc>
          <w:tcPr>
            <w:tcW w:w="1276" w:type="dxa"/>
            <w:noWrap/>
            <w:tcMar>
              <w:top w:w="0" w:type="dxa"/>
              <w:left w:w="108" w:type="dxa"/>
              <w:bottom w:w="0" w:type="dxa"/>
              <w:right w:w="108" w:type="dxa"/>
            </w:tcMar>
            <w:vAlign w:val="center"/>
            <w:hideMark/>
          </w:tcPr>
          <w:p w14:paraId="0397BFE5"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2022-10-11</w:t>
            </w:r>
          </w:p>
        </w:tc>
        <w:tc>
          <w:tcPr>
            <w:tcW w:w="1701" w:type="dxa"/>
            <w:noWrap/>
            <w:tcMar>
              <w:top w:w="0" w:type="dxa"/>
              <w:left w:w="108" w:type="dxa"/>
              <w:bottom w:w="0" w:type="dxa"/>
              <w:right w:w="108" w:type="dxa"/>
            </w:tcMar>
            <w:vAlign w:val="center"/>
            <w:hideMark/>
          </w:tcPr>
          <w:p w14:paraId="6FA95D8D"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十年</w:t>
            </w:r>
          </w:p>
        </w:tc>
        <w:tc>
          <w:tcPr>
            <w:tcW w:w="1071" w:type="dxa"/>
            <w:noWrap/>
            <w:tcMar>
              <w:top w:w="0" w:type="dxa"/>
              <w:left w:w="108" w:type="dxa"/>
              <w:bottom w:w="0" w:type="dxa"/>
              <w:right w:w="108" w:type="dxa"/>
            </w:tcMar>
            <w:vAlign w:val="center"/>
            <w:hideMark/>
          </w:tcPr>
          <w:p w14:paraId="4F76CE40"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r w:rsidR="00E72F0C" w:rsidRPr="00F84867" w14:paraId="732913A7" w14:textId="77777777" w:rsidTr="00F84867">
        <w:trPr>
          <w:divId w:val="873661116"/>
          <w:trHeight w:val="648"/>
        </w:trPr>
        <w:tc>
          <w:tcPr>
            <w:tcW w:w="1527" w:type="dxa"/>
            <w:tcMar>
              <w:top w:w="0" w:type="dxa"/>
              <w:left w:w="108" w:type="dxa"/>
              <w:bottom w:w="0" w:type="dxa"/>
              <w:right w:w="108" w:type="dxa"/>
            </w:tcMar>
            <w:vAlign w:val="center"/>
            <w:hideMark/>
          </w:tcPr>
          <w:p w14:paraId="162F6E71" w14:textId="77777777" w:rsidR="00E72F0C" w:rsidRPr="00F84867" w:rsidRDefault="00107901">
            <w:pPr>
              <w:pStyle w:val="a3"/>
              <w:spacing w:before="0" w:beforeAutospacing="0" w:after="0" w:afterAutospacing="0"/>
              <w:jc w:val="both"/>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常州中旭光伏有限公司</w:t>
            </w:r>
          </w:p>
        </w:tc>
        <w:tc>
          <w:tcPr>
            <w:tcW w:w="1701" w:type="dxa"/>
            <w:noWrap/>
            <w:tcMar>
              <w:top w:w="0" w:type="dxa"/>
              <w:left w:w="108" w:type="dxa"/>
              <w:bottom w:w="0" w:type="dxa"/>
              <w:right w:w="108" w:type="dxa"/>
            </w:tcMar>
            <w:vAlign w:val="center"/>
            <w:hideMark/>
          </w:tcPr>
          <w:p w14:paraId="34AC9561" w14:textId="77777777" w:rsidR="00E72F0C" w:rsidRPr="00F84867" w:rsidRDefault="00107901">
            <w:pPr>
              <w:pStyle w:val="a3"/>
              <w:spacing w:before="0" w:beforeAutospacing="0" w:after="0" w:afterAutospacing="0"/>
              <w:jc w:val="both"/>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中旭光伏发电（兴化）有限公司</w:t>
            </w:r>
          </w:p>
        </w:tc>
        <w:tc>
          <w:tcPr>
            <w:tcW w:w="1558" w:type="dxa"/>
            <w:noWrap/>
            <w:tcMar>
              <w:top w:w="0" w:type="dxa"/>
              <w:left w:w="108" w:type="dxa"/>
              <w:bottom w:w="0" w:type="dxa"/>
              <w:right w:w="108" w:type="dxa"/>
            </w:tcMar>
            <w:vAlign w:val="center"/>
            <w:hideMark/>
          </w:tcPr>
          <w:p w14:paraId="5BEB8A25"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30,980,720.68 </w:t>
            </w:r>
          </w:p>
        </w:tc>
        <w:tc>
          <w:tcPr>
            <w:tcW w:w="1276" w:type="dxa"/>
            <w:noWrap/>
            <w:tcMar>
              <w:top w:w="0" w:type="dxa"/>
              <w:left w:w="108" w:type="dxa"/>
              <w:bottom w:w="0" w:type="dxa"/>
              <w:right w:w="108" w:type="dxa"/>
            </w:tcMar>
            <w:vAlign w:val="center"/>
            <w:hideMark/>
          </w:tcPr>
          <w:p w14:paraId="761F9A76"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2022-10-11</w:t>
            </w:r>
          </w:p>
        </w:tc>
        <w:tc>
          <w:tcPr>
            <w:tcW w:w="1701" w:type="dxa"/>
            <w:noWrap/>
            <w:tcMar>
              <w:top w:w="0" w:type="dxa"/>
              <w:left w:w="108" w:type="dxa"/>
              <w:bottom w:w="0" w:type="dxa"/>
              <w:right w:w="108" w:type="dxa"/>
            </w:tcMar>
            <w:vAlign w:val="center"/>
            <w:hideMark/>
          </w:tcPr>
          <w:p w14:paraId="357585B9"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十年</w:t>
            </w:r>
          </w:p>
        </w:tc>
        <w:tc>
          <w:tcPr>
            <w:tcW w:w="1071" w:type="dxa"/>
            <w:noWrap/>
            <w:tcMar>
              <w:top w:w="0" w:type="dxa"/>
              <w:left w:w="108" w:type="dxa"/>
              <w:bottom w:w="0" w:type="dxa"/>
              <w:right w:w="108" w:type="dxa"/>
            </w:tcMar>
            <w:vAlign w:val="center"/>
            <w:hideMark/>
          </w:tcPr>
          <w:p w14:paraId="7897D090"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r w:rsidR="00E72F0C" w:rsidRPr="00F84867" w14:paraId="18A419A5" w14:textId="77777777" w:rsidTr="00F84867">
        <w:trPr>
          <w:divId w:val="873661116"/>
          <w:trHeight w:val="648"/>
        </w:trPr>
        <w:tc>
          <w:tcPr>
            <w:tcW w:w="1527" w:type="dxa"/>
            <w:tcMar>
              <w:top w:w="0" w:type="dxa"/>
              <w:left w:w="108" w:type="dxa"/>
              <w:bottom w:w="0" w:type="dxa"/>
              <w:right w:w="108" w:type="dxa"/>
            </w:tcMar>
            <w:vAlign w:val="center"/>
            <w:hideMark/>
          </w:tcPr>
          <w:p w14:paraId="09E3EAE0" w14:textId="77777777" w:rsidR="00E72F0C" w:rsidRPr="00F84867" w:rsidRDefault="00107901">
            <w:pPr>
              <w:pStyle w:val="a3"/>
              <w:spacing w:before="0" w:beforeAutospacing="0" w:after="0" w:afterAutospacing="0"/>
              <w:jc w:val="both"/>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苏州腾晖光伏技术有限公司</w:t>
            </w:r>
          </w:p>
        </w:tc>
        <w:tc>
          <w:tcPr>
            <w:tcW w:w="1701" w:type="dxa"/>
            <w:noWrap/>
            <w:tcMar>
              <w:top w:w="0" w:type="dxa"/>
              <w:left w:w="108" w:type="dxa"/>
              <w:bottom w:w="0" w:type="dxa"/>
              <w:right w:w="108" w:type="dxa"/>
            </w:tcMar>
            <w:vAlign w:val="center"/>
            <w:hideMark/>
          </w:tcPr>
          <w:p w14:paraId="07B65AEF" w14:textId="77777777" w:rsidR="00E72F0C" w:rsidRPr="00F84867" w:rsidRDefault="00107901">
            <w:pPr>
              <w:pStyle w:val="a3"/>
              <w:spacing w:before="0" w:beforeAutospacing="0" w:after="0" w:afterAutospacing="0"/>
              <w:jc w:val="both"/>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腾晖技术（泰国）有限公司</w:t>
            </w:r>
          </w:p>
        </w:tc>
        <w:tc>
          <w:tcPr>
            <w:tcW w:w="1558" w:type="dxa"/>
            <w:noWrap/>
            <w:tcMar>
              <w:top w:w="0" w:type="dxa"/>
              <w:left w:w="108" w:type="dxa"/>
              <w:bottom w:w="0" w:type="dxa"/>
              <w:right w:w="108" w:type="dxa"/>
            </w:tcMar>
            <w:vAlign w:val="center"/>
            <w:hideMark/>
          </w:tcPr>
          <w:p w14:paraId="79CB4834"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5,179,692.47 </w:t>
            </w:r>
          </w:p>
        </w:tc>
        <w:tc>
          <w:tcPr>
            <w:tcW w:w="1276" w:type="dxa"/>
            <w:noWrap/>
            <w:tcMar>
              <w:top w:w="0" w:type="dxa"/>
              <w:left w:w="108" w:type="dxa"/>
              <w:bottom w:w="0" w:type="dxa"/>
              <w:right w:w="108" w:type="dxa"/>
            </w:tcMar>
            <w:vAlign w:val="center"/>
            <w:hideMark/>
          </w:tcPr>
          <w:p w14:paraId="069DFABD"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2021-11-17</w:t>
            </w:r>
          </w:p>
        </w:tc>
        <w:tc>
          <w:tcPr>
            <w:tcW w:w="1701" w:type="dxa"/>
            <w:noWrap/>
            <w:tcMar>
              <w:top w:w="0" w:type="dxa"/>
              <w:left w:w="108" w:type="dxa"/>
              <w:bottom w:w="0" w:type="dxa"/>
              <w:right w:w="108" w:type="dxa"/>
            </w:tcMar>
            <w:vAlign w:val="center"/>
            <w:hideMark/>
          </w:tcPr>
          <w:p w14:paraId="75A8E445" w14:textId="77777777" w:rsidR="00E72F0C" w:rsidRPr="00F84867" w:rsidRDefault="00107901">
            <w:pPr>
              <w:pStyle w:val="a3"/>
              <w:spacing w:before="0" w:beforeAutospacing="0" w:after="0" w:afterAutospacing="0"/>
              <w:jc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2025-12-25</w:t>
            </w:r>
          </w:p>
        </w:tc>
        <w:tc>
          <w:tcPr>
            <w:tcW w:w="1071" w:type="dxa"/>
            <w:noWrap/>
            <w:tcMar>
              <w:top w:w="0" w:type="dxa"/>
              <w:left w:w="108" w:type="dxa"/>
              <w:bottom w:w="0" w:type="dxa"/>
              <w:right w:w="108" w:type="dxa"/>
            </w:tcMar>
            <w:vAlign w:val="center"/>
            <w:hideMark/>
          </w:tcPr>
          <w:p w14:paraId="6B4A336F"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r w:rsidR="00E72F0C" w:rsidRPr="00F84867" w14:paraId="3CD4AACF" w14:textId="77777777" w:rsidTr="00F84867">
        <w:trPr>
          <w:divId w:val="873661116"/>
          <w:trHeight w:val="648"/>
        </w:trPr>
        <w:tc>
          <w:tcPr>
            <w:tcW w:w="1527" w:type="dxa"/>
            <w:tcMar>
              <w:top w:w="0" w:type="dxa"/>
              <w:left w:w="108" w:type="dxa"/>
              <w:bottom w:w="0" w:type="dxa"/>
              <w:right w:w="108" w:type="dxa"/>
            </w:tcMar>
            <w:vAlign w:val="center"/>
            <w:hideMark/>
          </w:tcPr>
          <w:p w14:paraId="6A788D34" w14:textId="77777777" w:rsidR="00E72F0C" w:rsidRPr="00F84867" w:rsidRDefault="00107901">
            <w:pPr>
              <w:pStyle w:val="a3"/>
              <w:spacing w:before="0" w:beforeAutospacing="0" w:after="0" w:afterAutospacing="0"/>
              <w:jc w:val="both"/>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辽宁中利光电新材料有限公司</w:t>
            </w:r>
          </w:p>
        </w:tc>
        <w:tc>
          <w:tcPr>
            <w:tcW w:w="1701" w:type="dxa"/>
            <w:noWrap/>
            <w:tcMar>
              <w:top w:w="0" w:type="dxa"/>
              <w:left w:w="108" w:type="dxa"/>
              <w:bottom w:w="0" w:type="dxa"/>
              <w:right w:w="108" w:type="dxa"/>
            </w:tcMar>
            <w:vAlign w:val="center"/>
            <w:hideMark/>
          </w:tcPr>
          <w:p w14:paraId="2DCE01EC" w14:textId="77777777" w:rsidR="00E72F0C" w:rsidRPr="00F84867" w:rsidRDefault="00107901">
            <w:pPr>
              <w:pStyle w:val="a3"/>
              <w:spacing w:before="0" w:beforeAutospacing="0" w:after="0" w:afterAutospacing="0"/>
              <w:jc w:val="both"/>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辽宁中德电缆有限公司</w:t>
            </w:r>
          </w:p>
        </w:tc>
        <w:tc>
          <w:tcPr>
            <w:tcW w:w="1558" w:type="dxa"/>
            <w:noWrap/>
            <w:tcMar>
              <w:top w:w="0" w:type="dxa"/>
              <w:left w:w="108" w:type="dxa"/>
              <w:bottom w:w="0" w:type="dxa"/>
              <w:right w:w="108" w:type="dxa"/>
            </w:tcMar>
            <w:vAlign w:val="center"/>
            <w:hideMark/>
          </w:tcPr>
          <w:p w14:paraId="532C8224"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11,046,716.50 </w:t>
            </w:r>
          </w:p>
        </w:tc>
        <w:tc>
          <w:tcPr>
            <w:tcW w:w="1276" w:type="dxa"/>
            <w:noWrap/>
            <w:tcMar>
              <w:top w:w="0" w:type="dxa"/>
              <w:left w:w="108" w:type="dxa"/>
              <w:bottom w:w="0" w:type="dxa"/>
              <w:right w:w="108" w:type="dxa"/>
            </w:tcMar>
            <w:vAlign w:val="center"/>
            <w:hideMark/>
          </w:tcPr>
          <w:p w14:paraId="6D897CE3"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2022-11-9</w:t>
            </w:r>
          </w:p>
        </w:tc>
        <w:tc>
          <w:tcPr>
            <w:tcW w:w="1701" w:type="dxa"/>
            <w:noWrap/>
            <w:tcMar>
              <w:top w:w="0" w:type="dxa"/>
              <w:left w:w="108" w:type="dxa"/>
              <w:bottom w:w="0" w:type="dxa"/>
              <w:right w:w="108" w:type="dxa"/>
            </w:tcMar>
            <w:vAlign w:val="center"/>
            <w:hideMark/>
          </w:tcPr>
          <w:p w14:paraId="4E88FA30" w14:textId="77777777" w:rsidR="00E72F0C" w:rsidRPr="00F84867" w:rsidRDefault="00107901">
            <w:pPr>
              <w:pStyle w:val="a3"/>
              <w:spacing w:before="0" w:beforeAutospacing="0" w:after="0" w:afterAutospacing="0"/>
              <w:jc w:val="center"/>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2025-11-9</w:t>
            </w:r>
          </w:p>
        </w:tc>
        <w:tc>
          <w:tcPr>
            <w:tcW w:w="1071" w:type="dxa"/>
            <w:noWrap/>
            <w:tcMar>
              <w:top w:w="0" w:type="dxa"/>
              <w:left w:w="108" w:type="dxa"/>
              <w:bottom w:w="0" w:type="dxa"/>
              <w:right w:w="108" w:type="dxa"/>
            </w:tcMar>
            <w:vAlign w:val="center"/>
            <w:hideMark/>
          </w:tcPr>
          <w:p w14:paraId="77F2E8AA"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r w:rsidR="00E72F0C" w:rsidRPr="00F84867" w14:paraId="3C7CC7A8" w14:textId="77777777" w:rsidTr="00F84867">
        <w:trPr>
          <w:divId w:val="873661116"/>
          <w:trHeight w:val="648"/>
        </w:trPr>
        <w:tc>
          <w:tcPr>
            <w:tcW w:w="1527" w:type="dxa"/>
            <w:tcMar>
              <w:top w:w="0" w:type="dxa"/>
              <w:left w:w="108" w:type="dxa"/>
              <w:bottom w:w="0" w:type="dxa"/>
              <w:right w:w="108" w:type="dxa"/>
            </w:tcMar>
            <w:vAlign w:val="center"/>
            <w:hideMark/>
          </w:tcPr>
          <w:p w14:paraId="45A99427" w14:textId="77777777" w:rsidR="00E72F0C" w:rsidRPr="00F84867" w:rsidRDefault="00107901">
            <w:pPr>
              <w:pStyle w:val="a3"/>
              <w:spacing w:before="0" w:beforeAutospacing="0" w:after="0" w:afterAutospacing="0"/>
              <w:jc w:val="both"/>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苏州腾晖光伏技术有限公司</w:t>
            </w:r>
          </w:p>
        </w:tc>
        <w:tc>
          <w:tcPr>
            <w:tcW w:w="1701" w:type="dxa"/>
            <w:noWrap/>
            <w:tcMar>
              <w:top w:w="0" w:type="dxa"/>
              <w:left w:w="108" w:type="dxa"/>
              <w:bottom w:w="0" w:type="dxa"/>
              <w:right w:w="108" w:type="dxa"/>
            </w:tcMar>
            <w:vAlign w:val="center"/>
            <w:hideMark/>
          </w:tcPr>
          <w:p w14:paraId="15A5648D" w14:textId="77777777" w:rsidR="00E72F0C" w:rsidRPr="00F84867" w:rsidRDefault="00107901">
            <w:pPr>
              <w:pStyle w:val="a3"/>
              <w:spacing w:before="0" w:beforeAutospacing="0" w:after="0" w:afterAutospacing="0"/>
              <w:jc w:val="both"/>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宿迁腾晖新能源技术有限公司</w:t>
            </w:r>
          </w:p>
        </w:tc>
        <w:tc>
          <w:tcPr>
            <w:tcW w:w="1558" w:type="dxa"/>
            <w:noWrap/>
            <w:tcMar>
              <w:top w:w="0" w:type="dxa"/>
              <w:left w:w="108" w:type="dxa"/>
              <w:bottom w:w="0" w:type="dxa"/>
              <w:right w:w="108" w:type="dxa"/>
            </w:tcMar>
            <w:vAlign w:val="center"/>
            <w:hideMark/>
          </w:tcPr>
          <w:p w14:paraId="050F3A89"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25,794,272.00 </w:t>
            </w:r>
          </w:p>
        </w:tc>
        <w:tc>
          <w:tcPr>
            <w:tcW w:w="1276" w:type="dxa"/>
            <w:noWrap/>
            <w:tcMar>
              <w:top w:w="0" w:type="dxa"/>
              <w:left w:w="108" w:type="dxa"/>
              <w:bottom w:w="0" w:type="dxa"/>
              <w:right w:w="108" w:type="dxa"/>
            </w:tcMar>
            <w:vAlign w:val="center"/>
            <w:hideMark/>
          </w:tcPr>
          <w:p w14:paraId="34454DEC"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2021-5-21</w:t>
            </w:r>
          </w:p>
        </w:tc>
        <w:tc>
          <w:tcPr>
            <w:tcW w:w="1701" w:type="dxa"/>
            <w:noWrap/>
            <w:tcMar>
              <w:top w:w="0" w:type="dxa"/>
              <w:left w:w="108" w:type="dxa"/>
              <w:bottom w:w="0" w:type="dxa"/>
              <w:right w:w="108" w:type="dxa"/>
            </w:tcMar>
            <w:vAlign w:val="center"/>
            <w:hideMark/>
          </w:tcPr>
          <w:p w14:paraId="61CB1A65"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债务履行完毕之日止</w:t>
            </w:r>
          </w:p>
        </w:tc>
        <w:tc>
          <w:tcPr>
            <w:tcW w:w="1071" w:type="dxa"/>
            <w:noWrap/>
            <w:tcMar>
              <w:top w:w="0" w:type="dxa"/>
              <w:left w:w="108" w:type="dxa"/>
              <w:bottom w:w="0" w:type="dxa"/>
              <w:right w:w="108" w:type="dxa"/>
            </w:tcMar>
            <w:vAlign w:val="center"/>
            <w:hideMark/>
          </w:tcPr>
          <w:p w14:paraId="47C06F5B"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r w:rsidR="00E72F0C" w:rsidRPr="00F84867" w14:paraId="5C98E7BB" w14:textId="77777777" w:rsidTr="00F84867">
        <w:trPr>
          <w:divId w:val="873661116"/>
          <w:trHeight w:val="648"/>
        </w:trPr>
        <w:tc>
          <w:tcPr>
            <w:tcW w:w="1527" w:type="dxa"/>
            <w:tcMar>
              <w:top w:w="0" w:type="dxa"/>
              <w:left w:w="108" w:type="dxa"/>
              <w:bottom w:w="0" w:type="dxa"/>
              <w:right w:w="108" w:type="dxa"/>
            </w:tcMar>
            <w:vAlign w:val="center"/>
            <w:hideMark/>
          </w:tcPr>
          <w:p w14:paraId="1A044A74" w14:textId="77777777" w:rsidR="00E72F0C" w:rsidRPr="00F84867" w:rsidRDefault="00107901">
            <w:pPr>
              <w:pStyle w:val="a3"/>
              <w:spacing w:before="0" w:beforeAutospacing="0" w:after="0" w:afterAutospacing="0"/>
              <w:jc w:val="both"/>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苏州腾晖光伏技术有限公司</w:t>
            </w:r>
          </w:p>
        </w:tc>
        <w:tc>
          <w:tcPr>
            <w:tcW w:w="1701" w:type="dxa"/>
            <w:noWrap/>
            <w:tcMar>
              <w:top w:w="0" w:type="dxa"/>
              <w:left w:w="108" w:type="dxa"/>
              <w:bottom w:w="0" w:type="dxa"/>
              <w:right w:w="108" w:type="dxa"/>
            </w:tcMar>
            <w:vAlign w:val="center"/>
            <w:hideMark/>
          </w:tcPr>
          <w:p w14:paraId="31A9167D" w14:textId="77777777" w:rsidR="00E72F0C" w:rsidRPr="00F84867" w:rsidRDefault="00107901">
            <w:pPr>
              <w:pStyle w:val="a3"/>
              <w:spacing w:before="0" w:beforeAutospacing="0" w:after="0" w:afterAutospacing="0"/>
              <w:jc w:val="both"/>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泗阳腾晖光电有限公司</w:t>
            </w:r>
          </w:p>
        </w:tc>
        <w:tc>
          <w:tcPr>
            <w:tcW w:w="1558" w:type="dxa"/>
            <w:noWrap/>
            <w:tcMar>
              <w:top w:w="0" w:type="dxa"/>
              <w:left w:w="108" w:type="dxa"/>
              <w:bottom w:w="0" w:type="dxa"/>
              <w:right w:w="108" w:type="dxa"/>
            </w:tcMar>
            <w:vAlign w:val="center"/>
            <w:hideMark/>
          </w:tcPr>
          <w:p w14:paraId="3ED084CA"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11,169,164.73 </w:t>
            </w:r>
          </w:p>
        </w:tc>
        <w:tc>
          <w:tcPr>
            <w:tcW w:w="1276" w:type="dxa"/>
            <w:noWrap/>
            <w:tcMar>
              <w:top w:w="0" w:type="dxa"/>
              <w:left w:w="108" w:type="dxa"/>
              <w:bottom w:w="0" w:type="dxa"/>
              <w:right w:w="108" w:type="dxa"/>
            </w:tcMar>
            <w:vAlign w:val="center"/>
            <w:hideMark/>
          </w:tcPr>
          <w:p w14:paraId="608308E1"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2022-10-31</w:t>
            </w:r>
          </w:p>
        </w:tc>
        <w:tc>
          <w:tcPr>
            <w:tcW w:w="1701" w:type="dxa"/>
            <w:noWrap/>
            <w:tcMar>
              <w:top w:w="0" w:type="dxa"/>
              <w:left w:w="108" w:type="dxa"/>
              <w:bottom w:w="0" w:type="dxa"/>
              <w:right w:w="108" w:type="dxa"/>
            </w:tcMar>
            <w:vAlign w:val="center"/>
            <w:hideMark/>
          </w:tcPr>
          <w:p w14:paraId="1DF8953A"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债务履行完毕之日止</w:t>
            </w:r>
          </w:p>
        </w:tc>
        <w:tc>
          <w:tcPr>
            <w:tcW w:w="1071" w:type="dxa"/>
            <w:noWrap/>
            <w:tcMar>
              <w:top w:w="0" w:type="dxa"/>
              <w:left w:w="108" w:type="dxa"/>
              <w:bottom w:w="0" w:type="dxa"/>
              <w:right w:w="108" w:type="dxa"/>
            </w:tcMar>
            <w:vAlign w:val="center"/>
            <w:hideMark/>
          </w:tcPr>
          <w:p w14:paraId="6481A4B7"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r w:rsidR="00E72F0C" w:rsidRPr="00F84867" w14:paraId="68215D4F" w14:textId="77777777" w:rsidTr="00F84867">
        <w:trPr>
          <w:divId w:val="873661116"/>
          <w:trHeight w:val="648"/>
        </w:trPr>
        <w:tc>
          <w:tcPr>
            <w:tcW w:w="1527" w:type="dxa"/>
            <w:tcMar>
              <w:top w:w="0" w:type="dxa"/>
              <w:left w:w="108" w:type="dxa"/>
              <w:bottom w:w="0" w:type="dxa"/>
              <w:right w:w="108" w:type="dxa"/>
            </w:tcMar>
            <w:vAlign w:val="center"/>
            <w:hideMark/>
          </w:tcPr>
          <w:p w14:paraId="70FED64F" w14:textId="77777777" w:rsidR="00E72F0C" w:rsidRPr="00F84867" w:rsidRDefault="00107901">
            <w:pPr>
              <w:pStyle w:val="a3"/>
              <w:spacing w:before="0" w:beforeAutospacing="0" w:after="0" w:afterAutospacing="0"/>
              <w:jc w:val="both"/>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苏州腾晖光伏技术有限公司、</w:t>
            </w:r>
            <w:proofErr w:type="spellStart"/>
            <w:r w:rsidRPr="00F84867">
              <w:rPr>
                <w:rFonts w:asciiTheme="minorEastAsia" w:eastAsiaTheme="minorEastAsia" w:hAnsiTheme="minorEastAsia" w:cs="Times New Roman" w:hint="eastAsia"/>
                <w:color w:val="000000"/>
                <w:sz w:val="18"/>
                <w:szCs w:val="18"/>
              </w:rPr>
              <w:t>Talesun</w:t>
            </w:r>
            <w:proofErr w:type="spellEnd"/>
            <w:r w:rsidRPr="00F84867">
              <w:rPr>
                <w:rFonts w:asciiTheme="minorEastAsia" w:eastAsiaTheme="minorEastAsia" w:hAnsiTheme="minorEastAsia" w:cs="Times New Roman" w:hint="eastAsia"/>
                <w:color w:val="000000"/>
                <w:sz w:val="18"/>
                <w:szCs w:val="18"/>
              </w:rPr>
              <w:t xml:space="preserve"> Solar Switzerland AG </w:t>
            </w:r>
          </w:p>
        </w:tc>
        <w:tc>
          <w:tcPr>
            <w:tcW w:w="1701" w:type="dxa"/>
            <w:noWrap/>
            <w:tcMar>
              <w:top w:w="0" w:type="dxa"/>
              <w:left w:w="108" w:type="dxa"/>
              <w:bottom w:w="0" w:type="dxa"/>
              <w:right w:w="108" w:type="dxa"/>
            </w:tcMar>
            <w:vAlign w:val="center"/>
            <w:hideMark/>
          </w:tcPr>
          <w:p w14:paraId="7B708BAF" w14:textId="77777777" w:rsidR="00E72F0C" w:rsidRPr="00F84867" w:rsidRDefault="00107901">
            <w:pPr>
              <w:pStyle w:val="a3"/>
              <w:spacing w:before="0" w:beforeAutospacing="0" w:after="0" w:afterAutospacing="0"/>
              <w:jc w:val="both"/>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TS ENERGY ROOFTOPS S.R.L.</w:t>
            </w:r>
          </w:p>
        </w:tc>
        <w:tc>
          <w:tcPr>
            <w:tcW w:w="1558" w:type="dxa"/>
            <w:noWrap/>
            <w:tcMar>
              <w:top w:w="0" w:type="dxa"/>
              <w:left w:w="108" w:type="dxa"/>
              <w:bottom w:w="0" w:type="dxa"/>
              <w:right w:w="108" w:type="dxa"/>
            </w:tcMar>
            <w:vAlign w:val="center"/>
            <w:hideMark/>
          </w:tcPr>
          <w:p w14:paraId="27ABA380"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2,257,710.00 </w:t>
            </w:r>
          </w:p>
        </w:tc>
        <w:tc>
          <w:tcPr>
            <w:tcW w:w="1276" w:type="dxa"/>
            <w:noWrap/>
            <w:tcMar>
              <w:top w:w="0" w:type="dxa"/>
              <w:left w:w="108" w:type="dxa"/>
              <w:bottom w:w="0" w:type="dxa"/>
              <w:right w:w="108" w:type="dxa"/>
            </w:tcMar>
            <w:vAlign w:val="center"/>
            <w:hideMark/>
          </w:tcPr>
          <w:p w14:paraId="7EAC20C4"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2020-12-23</w:t>
            </w:r>
          </w:p>
        </w:tc>
        <w:tc>
          <w:tcPr>
            <w:tcW w:w="1701" w:type="dxa"/>
            <w:noWrap/>
            <w:tcMar>
              <w:top w:w="0" w:type="dxa"/>
              <w:left w:w="108" w:type="dxa"/>
              <w:bottom w:w="0" w:type="dxa"/>
              <w:right w:w="108" w:type="dxa"/>
            </w:tcMar>
            <w:vAlign w:val="center"/>
            <w:hideMark/>
          </w:tcPr>
          <w:p w14:paraId="2C71F30B"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十二年</w:t>
            </w:r>
          </w:p>
        </w:tc>
        <w:tc>
          <w:tcPr>
            <w:tcW w:w="1071" w:type="dxa"/>
            <w:noWrap/>
            <w:tcMar>
              <w:top w:w="0" w:type="dxa"/>
              <w:left w:w="108" w:type="dxa"/>
              <w:bottom w:w="0" w:type="dxa"/>
              <w:right w:w="108" w:type="dxa"/>
            </w:tcMar>
            <w:vAlign w:val="center"/>
            <w:hideMark/>
          </w:tcPr>
          <w:p w14:paraId="2A85BFF1"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r w:rsidR="00E72F0C" w:rsidRPr="00F84867" w14:paraId="54F7AB7B" w14:textId="77777777" w:rsidTr="00F84867">
        <w:trPr>
          <w:divId w:val="873661116"/>
          <w:trHeight w:val="648"/>
        </w:trPr>
        <w:tc>
          <w:tcPr>
            <w:tcW w:w="1527" w:type="dxa"/>
            <w:tcMar>
              <w:top w:w="0" w:type="dxa"/>
              <w:left w:w="108" w:type="dxa"/>
              <w:bottom w:w="0" w:type="dxa"/>
              <w:right w:w="108" w:type="dxa"/>
            </w:tcMar>
            <w:vAlign w:val="center"/>
            <w:hideMark/>
          </w:tcPr>
          <w:p w14:paraId="63059AF4" w14:textId="77777777" w:rsidR="00E72F0C" w:rsidRPr="00F84867" w:rsidRDefault="00107901">
            <w:pPr>
              <w:pStyle w:val="a3"/>
              <w:spacing w:before="0" w:beforeAutospacing="0" w:after="0" w:afterAutospacing="0"/>
              <w:jc w:val="both"/>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苏州腾晖光伏技术有限公司、</w:t>
            </w:r>
            <w:proofErr w:type="spellStart"/>
            <w:r w:rsidRPr="00F84867">
              <w:rPr>
                <w:rFonts w:asciiTheme="minorEastAsia" w:eastAsiaTheme="minorEastAsia" w:hAnsiTheme="minorEastAsia" w:cs="Times New Roman" w:hint="eastAsia"/>
                <w:color w:val="000000"/>
                <w:sz w:val="18"/>
                <w:szCs w:val="18"/>
              </w:rPr>
              <w:t>Talesun</w:t>
            </w:r>
            <w:proofErr w:type="spellEnd"/>
            <w:r w:rsidRPr="00F84867">
              <w:rPr>
                <w:rFonts w:asciiTheme="minorEastAsia" w:eastAsiaTheme="minorEastAsia" w:hAnsiTheme="minorEastAsia" w:cs="Times New Roman" w:hint="eastAsia"/>
                <w:color w:val="000000"/>
                <w:sz w:val="18"/>
                <w:szCs w:val="18"/>
              </w:rPr>
              <w:t xml:space="preserve"> Solar Switzerland AG </w:t>
            </w:r>
          </w:p>
        </w:tc>
        <w:tc>
          <w:tcPr>
            <w:tcW w:w="1701" w:type="dxa"/>
            <w:noWrap/>
            <w:tcMar>
              <w:top w:w="0" w:type="dxa"/>
              <w:left w:w="108" w:type="dxa"/>
              <w:bottom w:w="0" w:type="dxa"/>
              <w:right w:w="108" w:type="dxa"/>
            </w:tcMar>
            <w:vAlign w:val="center"/>
            <w:hideMark/>
          </w:tcPr>
          <w:p w14:paraId="69167B20" w14:textId="77777777" w:rsidR="00E72F0C" w:rsidRPr="00F84867" w:rsidRDefault="00107901">
            <w:pPr>
              <w:pStyle w:val="a3"/>
              <w:spacing w:before="0" w:beforeAutospacing="0" w:after="0" w:afterAutospacing="0"/>
              <w:jc w:val="both"/>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TS ENERGY EUROPE S.A.</w:t>
            </w:r>
          </w:p>
        </w:tc>
        <w:tc>
          <w:tcPr>
            <w:tcW w:w="1558" w:type="dxa"/>
            <w:noWrap/>
            <w:tcMar>
              <w:top w:w="0" w:type="dxa"/>
              <w:left w:w="108" w:type="dxa"/>
              <w:bottom w:w="0" w:type="dxa"/>
              <w:right w:w="108" w:type="dxa"/>
            </w:tcMar>
            <w:vAlign w:val="center"/>
            <w:hideMark/>
          </w:tcPr>
          <w:p w14:paraId="1E7E5777"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293,751,444.85 </w:t>
            </w:r>
          </w:p>
        </w:tc>
        <w:tc>
          <w:tcPr>
            <w:tcW w:w="1276" w:type="dxa"/>
            <w:noWrap/>
            <w:tcMar>
              <w:top w:w="0" w:type="dxa"/>
              <w:left w:w="108" w:type="dxa"/>
              <w:bottom w:w="0" w:type="dxa"/>
              <w:right w:w="108" w:type="dxa"/>
            </w:tcMar>
            <w:vAlign w:val="center"/>
            <w:hideMark/>
          </w:tcPr>
          <w:p w14:paraId="6FEE25BA"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2018-12-1</w:t>
            </w:r>
          </w:p>
        </w:tc>
        <w:tc>
          <w:tcPr>
            <w:tcW w:w="1701" w:type="dxa"/>
            <w:noWrap/>
            <w:tcMar>
              <w:top w:w="0" w:type="dxa"/>
              <w:left w:w="108" w:type="dxa"/>
              <w:bottom w:w="0" w:type="dxa"/>
              <w:right w:w="108" w:type="dxa"/>
            </w:tcMar>
            <w:vAlign w:val="center"/>
            <w:hideMark/>
          </w:tcPr>
          <w:p w14:paraId="1E2A44F0"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十年</w:t>
            </w:r>
          </w:p>
        </w:tc>
        <w:tc>
          <w:tcPr>
            <w:tcW w:w="1071" w:type="dxa"/>
            <w:noWrap/>
            <w:tcMar>
              <w:top w:w="0" w:type="dxa"/>
              <w:left w:w="108" w:type="dxa"/>
              <w:bottom w:w="0" w:type="dxa"/>
              <w:right w:w="108" w:type="dxa"/>
            </w:tcMar>
            <w:vAlign w:val="center"/>
            <w:hideMark/>
          </w:tcPr>
          <w:p w14:paraId="56A3621C"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r w:rsidR="00E72F0C" w:rsidRPr="00F84867" w14:paraId="2274080A" w14:textId="77777777" w:rsidTr="00F84867">
        <w:trPr>
          <w:divId w:val="873661116"/>
          <w:trHeight w:val="648"/>
        </w:trPr>
        <w:tc>
          <w:tcPr>
            <w:tcW w:w="1527" w:type="dxa"/>
            <w:tcMar>
              <w:top w:w="0" w:type="dxa"/>
              <w:left w:w="108" w:type="dxa"/>
              <w:bottom w:w="0" w:type="dxa"/>
              <w:right w:w="108" w:type="dxa"/>
            </w:tcMar>
            <w:vAlign w:val="center"/>
            <w:hideMark/>
          </w:tcPr>
          <w:p w14:paraId="3C7A6952" w14:textId="77777777" w:rsidR="00E72F0C" w:rsidRPr="00F84867" w:rsidRDefault="00107901">
            <w:pPr>
              <w:pStyle w:val="a3"/>
              <w:spacing w:before="0" w:beforeAutospacing="0" w:after="0" w:afterAutospacing="0"/>
              <w:jc w:val="both"/>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苏州腾晖光伏技术有限公司</w:t>
            </w:r>
          </w:p>
        </w:tc>
        <w:tc>
          <w:tcPr>
            <w:tcW w:w="1701" w:type="dxa"/>
            <w:noWrap/>
            <w:tcMar>
              <w:top w:w="0" w:type="dxa"/>
              <w:left w:w="108" w:type="dxa"/>
              <w:bottom w:w="0" w:type="dxa"/>
              <w:right w:w="108" w:type="dxa"/>
            </w:tcMar>
            <w:vAlign w:val="center"/>
            <w:hideMark/>
          </w:tcPr>
          <w:p w14:paraId="3F274E40" w14:textId="77777777" w:rsidR="00E72F0C" w:rsidRPr="00F84867" w:rsidRDefault="00107901">
            <w:pPr>
              <w:pStyle w:val="a3"/>
              <w:spacing w:before="0" w:beforeAutospacing="0" w:after="0" w:afterAutospacing="0"/>
              <w:jc w:val="both"/>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沛县腾晖新能源技术有限公司</w:t>
            </w:r>
          </w:p>
        </w:tc>
        <w:tc>
          <w:tcPr>
            <w:tcW w:w="1558" w:type="dxa"/>
            <w:noWrap/>
            <w:tcMar>
              <w:top w:w="0" w:type="dxa"/>
              <w:left w:w="108" w:type="dxa"/>
              <w:bottom w:w="0" w:type="dxa"/>
              <w:right w:w="108" w:type="dxa"/>
            </w:tcMar>
            <w:vAlign w:val="center"/>
            <w:hideMark/>
          </w:tcPr>
          <w:p w14:paraId="61F1B075"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7,426,742.26 </w:t>
            </w:r>
          </w:p>
        </w:tc>
        <w:tc>
          <w:tcPr>
            <w:tcW w:w="1276" w:type="dxa"/>
            <w:noWrap/>
            <w:tcMar>
              <w:top w:w="0" w:type="dxa"/>
              <w:left w:w="108" w:type="dxa"/>
              <w:bottom w:w="0" w:type="dxa"/>
              <w:right w:w="108" w:type="dxa"/>
            </w:tcMar>
            <w:vAlign w:val="center"/>
            <w:hideMark/>
          </w:tcPr>
          <w:p w14:paraId="100B7616"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2021-7-20</w:t>
            </w:r>
          </w:p>
        </w:tc>
        <w:tc>
          <w:tcPr>
            <w:tcW w:w="1701" w:type="dxa"/>
            <w:noWrap/>
            <w:tcMar>
              <w:top w:w="0" w:type="dxa"/>
              <w:left w:w="108" w:type="dxa"/>
              <w:bottom w:w="0" w:type="dxa"/>
              <w:right w:w="108" w:type="dxa"/>
            </w:tcMar>
            <w:vAlign w:val="center"/>
            <w:hideMark/>
          </w:tcPr>
          <w:p w14:paraId="22BDEDF4"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债务履行完毕之日止</w:t>
            </w:r>
          </w:p>
        </w:tc>
        <w:tc>
          <w:tcPr>
            <w:tcW w:w="1071" w:type="dxa"/>
            <w:noWrap/>
            <w:tcMar>
              <w:top w:w="0" w:type="dxa"/>
              <w:left w:w="108" w:type="dxa"/>
              <w:bottom w:w="0" w:type="dxa"/>
              <w:right w:w="108" w:type="dxa"/>
            </w:tcMar>
            <w:vAlign w:val="center"/>
            <w:hideMark/>
          </w:tcPr>
          <w:p w14:paraId="6B5E79D0"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r w:rsidR="00E72F0C" w:rsidRPr="00F84867" w14:paraId="02733105" w14:textId="77777777" w:rsidTr="00F84867">
        <w:trPr>
          <w:divId w:val="873661116"/>
          <w:trHeight w:val="648"/>
        </w:trPr>
        <w:tc>
          <w:tcPr>
            <w:tcW w:w="1527" w:type="dxa"/>
            <w:tcMar>
              <w:top w:w="0" w:type="dxa"/>
              <w:left w:w="108" w:type="dxa"/>
              <w:bottom w:w="0" w:type="dxa"/>
              <w:right w:w="108" w:type="dxa"/>
            </w:tcMar>
            <w:vAlign w:val="center"/>
            <w:hideMark/>
          </w:tcPr>
          <w:p w14:paraId="58653BA0" w14:textId="77777777" w:rsidR="00E72F0C" w:rsidRPr="00F84867" w:rsidRDefault="00107901">
            <w:pPr>
              <w:pStyle w:val="a3"/>
              <w:spacing w:before="0" w:beforeAutospacing="0" w:after="0" w:afterAutospacing="0"/>
              <w:jc w:val="both"/>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苏州腾晖光伏技术有限公司</w:t>
            </w:r>
          </w:p>
        </w:tc>
        <w:tc>
          <w:tcPr>
            <w:tcW w:w="1701" w:type="dxa"/>
            <w:noWrap/>
            <w:tcMar>
              <w:top w:w="0" w:type="dxa"/>
              <w:left w:w="108" w:type="dxa"/>
              <w:bottom w:w="0" w:type="dxa"/>
              <w:right w:w="108" w:type="dxa"/>
            </w:tcMar>
            <w:vAlign w:val="center"/>
            <w:hideMark/>
          </w:tcPr>
          <w:p w14:paraId="3EAD5AB7" w14:textId="77777777" w:rsidR="00E72F0C" w:rsidRPr="00F84867" w:rsidRDefault="00107901">
            <w:pPr>
              <w:pStyle w:val="a3"/>
              <w:spacing w:before="0" w:beforeAutospacing="0" w:after="0" w:afterAutospacing="0"/>
              <w:jc w:val="both"/>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山东腾晖新能源技术有限公司</w:t>
            </w:r>
          </w:p>
        </w:tc>
        <w:tc>
          <w:tcPr>
            <w:tcW w:w="1558" w:type="dxa"/>
            <w:noWrap/>
            <w:tcMar>
              <w:top w:w="0" w:type="dxa"/>
              <w:left w:w="108" w:type="dxa"/>
              <w:bottom w:w="0" w:type="dxa"/>
              <w:right w:w="108" w:type="dxa"/>
            </w:tcMar>
            <w:vAlign w:val="center"/>
            <w:hideMark/>
          </w:tcPr>
          <w:p w14:paraId="1B7E0669"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23,841,031.68 </w:t>
            </w:r>
          </w:p>
        </w:tc>
        <w:tc>
          <w:tcPr>
            <w:tcW w:w="1276" w:type="dxa"/>
            <w:noWrap/>
            <w:tcMar>
              <w:top w:w="0" w:type="dxa"/>
              <w:left w:w="108" w:type="dxa"/>
              <w:bottom w:w="0" w:type="dxa"/>
              <w:right w:w="108" w:type="dxa"/>
            </w:tcMar>
            <w:vAlign w:val="center"/>
            <w:hideMark/>
          </w:tcPr>
          <w:p w14:paraId="4CC89B26"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2021-3-25</w:t>
            </w:r>
          </w:p>
        </w:tc>
        <w:tc>
          <w:tcPr>
            <w:tcW w:w="1701" w:type="dxa"/>
            <w:noWrap/>
            <w:tcMar>
              <w:top w:w="0" w:type="dxa"/>
              <w:left w:w="108" w:type="dxa"/>
              <w:bottom w:w="0" w:type="dxa"/>
              <w:right w:w="108" w:type="dxa"/>
            </w:tcMar>
            <w:vAlign w:val="center"/>
            <w:hideMark/>
          </w:tcPr>
          <w:p w14:paraId="46F4D2B4"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债务履行完毕之日止</w:t>
            </w:r>
          </w:p>
        </w:tc>
        <w:tc>
          <w:tcPr>
            <w:tcW w:w="1071" w:type="dxa"/>
            <w:noWrap/>
            <w:tcMar>
              <w:top w:w="0" w:type="dxa"/>
              <w:left w:w="108" w:type="dxa"/>
              <w:bottom w:w="0" w:type="dxa"/>
              <w:right w:w="108" w:type="dxa"/>
            </w:tcMar>
            <w:vAlign w:val="center"/>
            <w:hideMark/>
          </w:tcPr>
          <w:p w14:paraId="39440B53"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r w:rsidR="00E72F0C" w:rsidRPr="00F84867" w14:paraId="7081FB55" w14:textId="77777777" w:rsidTr="00F84867">
        <w:trPr>
          <w:divId w:val="873661116"/>
          <w:trHeight w:val="648"/>
        </w:trPr>
        <w:tc>
          <w:tcPr>
            <w:tcW w:w="1527" w:type="dxa"/>
            <w:tcMar>
              <w:top w:w="0" w:type="dxa"/>
              <w:left w:w="108" w:type="dxa"/>
              <w:bottom w:w="0" w:type="dxa"/>
              <w:right w:w="108" w:type="dxa"/>
            </w:tcMar>
            <w:vAlign w:val="center"/>
            <w:hideMark/>
          </w:tcPr>
          <w:p w14:paraId="182C3355" w14:textId="77777777" w:rsidR="00E72F0C" w:rsidRPr="00F84867" w:rsidRDefault="00107901">
            <w:pPr>
              <w:pStyle w:val="a3"/>
              <w:spacing w:before="0" w:beforeAutospacing="0" w:after="0" w:afterAutospacing="0"/>
              <w:jc w:val="both"/>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lastRenderedPageBreak/>
              <w:t>苏州腾晖光伏技术有限公司</w:t>
            </w:r>
          </w:p>
        </w:tc>
        <w:tc>
          <w:tcPr>
            <w:tcW w:w="1701" w:type="dxa"/>
            <w:noWrap/>
            <w:tcMar>
              <w:top w:w="0" w:type="dxa"/>
              <w:left w:w="108" w:type="dxa"/>
              <w:bottom w:w="0" w:type="dxa"/>
              <w:right w:w="108" w:type="dxa"/>
            </w:tcMar>
            <w:vAlign w:val="center"/>
            <w:hideMark/>
          </w:tcPr>
          <w:p w14:paraId="72BA054A" w14:textId="77777777" w:rsidR="00E72F0C" w:rsidRPr="00F84867" w:rsidRDefault="00107901">
            <w:pPr>
              <w:pStyle w:val="a3"/>
              <w:spacing w:before="0" w:beforeAutospacing="0" w:after="0" w:afterAutospacing="0"/>
              <w:jc w:val="both"/>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山东腾晖光电有限公司</w:t>
            </w:r>
          </w:p>
        </w:tc>
        <w:tc>
          <w:tcPr>
            <w:tcW w:w="1558" w:type="dxa"/>
            <w:noWrap/>
            <w:tcMar>
              <w:top w:w="0" w:type="dxa"/>
              <w:left w:w="108" w:type="dxa"/>
              <w:bottom w:w="0" w:type="dxa"/>
              <w:right w:w="108" w:type="dxa"/>
            </w:tcMar>
            <w:vAlign w:val="center"/>
            <w:hideMark/>
          </w:tcPr>
          <w:p w14:paraId="6569EEAD"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62,332,713.48 </w:t>
            </w:r>
          </w:p>
        </w:tc>
        <w:tc>
          <w:tcPr>
            <w:tcW w:w="1276" w:type="dxa"/>
            <w:noWrap/>
            <w:tcMar>
              <w:top w:w="0" w:type="dxa"/>
              <w:left w:w="108" w:type="dxa"/>
              <w:bottom w:w="0" w:type="dxa"/>
              <w:right w:w="108" w:type="dxa"/>
            </w:tcMar>
            <w:vAlign w:val="center"/>
            <w:hideMark/>
          </w:tcPr>
          <w:p w14:paraId="2BF65A5C"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2021-3-25</w:t>
            </w:r>
          </w:p>
        </w:tc>
        <w:tc>
          <w:tcPr>
            <w:tcW w:w="1701" w:type="dxa"/>
            <w:noWrap/>
            <w:tcMar>
              <w:top w:w="0" w:type="dxa"/>
              <w:left w:w="108" w:type="dxa"/>
              <w:bottom w:w="0" w:type="dxa"/>
              <w:right w:w="108" w:type="dxa"/>
            </w:tcMar>
            <w:vAlign w:val="center"/>
            <w:hideMark/>
          </w:tcPr>
          <w:p w14:paraId="24F54A66"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债务履行完毕之日止</w:t>
            </w:r>
          </w:p>
        </w:tc>
        <w:tc>
          <w:tcPr>
            <w:tcW w:w="1071" w:type="dxa"/>
            <w:noWrap/>
            <w:tcMar>
              <w:top w:w="0" w:type="dxa"/>
              <w:left w:w="108" w:type="dxa"/>
              <w:bottom w:w="0" w:type="dxa"/>
              <w:right w:w="108" w:type="dxa"/>
            </w:tcMar>
            <w:vAlign w:val="center"/>
            <w:hideMark/>
          </w:tcPr>
          <w:p w14:paraId="7133EFC3"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r w:rsidR="00E72F0C" w:rsidRPr="00F84867" w14:paraId="64913070" w14:textId="77777777" w:rsidTr="00F84867">
        <w:trPr>
          <w:divId w:val="873661116"/>
          <w:trHeight w:val="648"/>
        </w:trPr>
        <w:tc>
          <w:tcPr>
            <w:tcW w:w="1527" w:type="dxa"/>
            <w:tcMar>
              <w:top w:w="0" w:type="dxa"/>
              <w:left w:w="108" w:type="dxa"/>
              <w:bottom w:w="0" w:type="dxa"/>
              <w:right w:w="108" w:type="dxa"/>
            </w:tcMar>
            <w:vAlign w:val="center"/>
            <w:hideMark/>
          </w:tcPr>
          <w:p w14:paraId="4593D082" w14:textId="77777777" w:rsidR="00E72F0C" w:rsidRPr="00F84867" w:rsidRDefault="00107901">
            <w:pPr>
              <w:pStyle w:val="a3"/>
              <w:spacing w:before="0" w:beforeAutospacing="0" w:after="0" w:afterAutospacing="0"/>
              <w:jc w:val="both"/>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苏州腾晖光伏技术有限公司</w:t>
            </w:r>
          </w:p>
        </w:tc>
        <w:tc>
          <w:tcPr>
            <w:tcW w:w="1701" w:type="dxa"/>
            <w:noWrap/>
            <w:tcMar>
              <w:top w:w="0" w:type="dxa"/>
              <w:left w:w="108" w:type="dxa"/>
              <w:bottom w:w="0" w:type="dxa"/>
              <w:right w:w="108" w:type="dxa"/>
            </w:tcMar>
            <w:vAlign w:val="center"/>
            <w:hideMark/>
          </w:tcPr>
          <w:p w14:paraId="52B2E2F7" w14:textId="77777777" w:rsidR="00E72F0C" w:rsidRPr="00F84867" w:rsidRDefault="00107901">
            <w:pPr>
              <w:pStyle w:val="a3"/>
              <w:spacing w:before="0" w:beforeAutospacing="0" w:after="0" w:afterAutospacing="0"/>
              <w:jc w:val="both"/>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泗阳腾晖光电有限公司</w:t>
            </w:r>
          </w:p>
        </w:tc>
        <w:tc>
          <w:tcPr>
            <w:tcW w:w="1558" w:type="dxa"/>
            <w:noWrap/>
            <w:tcMar>
              <w:top w:w="0" w:type="dxa"/>
              <w:left w:w="108" w:type="dxa"/>
              <w:bottom w:w="0" w:type="dxa"/>
              <w:right w:w="108" w:type="dxa"/>
            </w:tcMar>
            <w:vAlign w:val="center"/>
            <w:hideMark/>
          </w:tcPr>
          <w:p w14:paraId="33BA1278"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68,061,781.46 </w:t>
            </w:r>
          </w:p>
        </w:tc>
        <w:tc>
          <w:tcPr>
            <w:tcW w:w="1276" w:type="dxa"/>
            <w:noWrap/>
            <w:tcMar>
              <w:top w:w="0" w:type="dxa"/>
              <w:left w:w="108" w:type="dxa"/>
              <w:bottom w:w="0" w:type="dxa"/>
              <w:right w:w="108" w:type="dxa"/>
            </w:tcMar>
            <w:vAlign w:val="center"/>
            <w:hideMark/>
          </w:tcPr>
          <w:p w14:paraId="04635F49"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2021-3-3</w:t>
            </w:r>
          </w:p>
        </w:tc>
        <w:tc>
          <w:tcPr>
            <w:tcW w:w="1701" w:type="dxa"/>
            <w:noWrap/>
            <w:tcMar>
              <w:top w:w="0" w:type="dxa"/>
              <w:left w:w="108" w:type="dxa"/>
              <w:bottom w:w="0" w:type="dxa"/>
              <w:right w:w="108" w:type="dxa"/>
            </w:tcMar>
            <w:vAlign w:val="center"/>
            <w:hideMark/>
          </w:tcPr>
          <w:p w14:paraId="734B3740"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债务履行完毕之日止</w:t>
            </w:r>
          </w:p>
        </w:tc>
        <w:tc>
          <w:tcPr>
            <w:tcW w:w="1071" w:type="dxa"/>
            <w:noWrap/>
            <w:tcMar>
              <w:top w:w="0" w:type="dxa"/>
              <w:left w:w="108" w:type="dxa"/>
              <w:bottom w:w="0" w:type="dxa"/>
              <w:right w:w="108" w:type="dxa"/>
            </w:tcMar>
            <w:vAlign w:val="center"/>
            <w:hideMark/>
          </w:tcPr>
          <w:p w14:paraId="27939A3F"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r w:rsidR="00E72F0C" w:rsidRPr="00F84867" w14:paraId="6AD3312A" w14:textId="77777777" w:rsidTr="00F84867">
        <w:trPr>
          <w:divId w:val="873661116"/>
          <w:trHeight w:val="648"/>
        </w:trPr>
        <w:tc>
          <w:tcPr>
            <w:tcW w:w="1527" w:type="dxa"/>
            <w:tcMar>
              <w:top w:w="0" w:type="dxa"/>
              <w:left w:w="108" w:type="dxa"/>
              <w:bottom w:w="0" w:type="dxa"/>
              <w:right w:w="108" w:type="dxa"/>
            </w:tcMar>
            <w:vAlign w:val="center"/>
            <w:hideMark/>
          </w:tcPr>
          <w:p w14:paraId="30FC1274" w14:textId="77777777" w:rsidR="00E72F0C" w:rsidRPr="00F84867" w:rsidRDefault="00107901">
            <w:pPr>
              <w:pStyle w:val="a3"/>
              <w:spacing w:before="0" w:beforeAutospacing="0" w:after="0" w:afterAutospacing="0"/>
              <w:jc w:val="both"/>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苏州腾晖光伏技术有限公司</w:t>
            </w:r>
          </w:p>
        </w:tc>
        <w:tc>
          <w:tcPr>
            <w:tcW w:w="1701" w:type="dxa"/>
            <w:noWrap/>
            <w:tcMar>
              <w:top w:w="0" w:type="dxa"/>
              <w:left w:w="108" w:type="dxa"/>
              <w:bottom w:w="0" w:type="dxa"/>
              <w:right w:w="108" w:type="dxa"/>
            </w:tcMar>
            <w:vAlign w:val="center"/>
            <w:hideMark/>
          </w:tcPr>
          <w:p w14:paraId="515CB6D8" w14:textId="77777777" w:rsidR="00E72F0C" w:rsidRPr="00F84867" w:rsidRDefault="00107901">
            <w:pPr>
              <w:pStyle w:val="a3"/>
              <w:spacing w:before="0" w:beforeAutospacing="0" w:after="0" w:afterAutospacing="0"/>
              <w:jc w:val="both"/>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泗阳腾晖新能源技术有限公司</w:t>
            </w:r>
          </w:p>
        </w:tc>
        <w:tc>
          <w:tcPr>
            <w:tcW w:w="1558" w:type="dxa"/>
            <w:noWrap/>
            <w:tcMar>
              <w:top w:w="0" w:type="dxa"/>
              <w:left w:w="108" w:type="dxa"/>
              <w:bottom w:w="0" w:type="dxa"/>
              <w:right w:w="108" w:type="dxa"/>
            </w:tcMar>
            <w:vAlign w:val="center"/>
            <w:hideMark/>
          </w:tcPr>
          <w:p w14:paraId="6CDF59FA"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11,215,540.40 </w:t>
            </w:r>
          </w:p>
        </w:tc>
        <w:tc>
          <w:tcPr>
            <w:tcW w:w="1276" w:type="dxa"/>
            <w:noWrap/>
            <w:tcMar>
              <w:top w:w="0" w:type="dxa"/>
              <w:left w:w="108" w:type="dxa"/>
              <w:bottom w:w="0" w:type="dxa"/>
              <w:right w:w="108" w:type="dxa"/>
            </w:tcMar>
            <w:vAlign w:val="center"/>
            <w:hideMark/>
          </w:tcPr>
          <w:p w14:paraId="4F8BC009"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2021-3-3</w:t>
            </w:r>
          </w:p>
        </w:tc>
        <w:tc>
          <w:tcPr>
            <w:tcW w:w="1701" w:type="dxa"/>
            <w:noWrap/>
            <w:tcMar>
              <w:top w:w="0" w:type="dxa"/>
              <w:left w:w="108" w:type="dxa"/>
              <w:bottom w:w="0" w:type="dxa"/>
              <w:right w:w="108" w:type="dxa"/>
            </w:tcMar>
            <w:vAlign w:val="center"/>
            <w:hideMark/>
          </w:tcPr>
          <w:p w14:paraId="3F52E89E"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债务履行完毕之日止</w:t>
            </w:r>
          </w:p>
        </w:tc>
        <w:tc>
          <w:tcPr>
            <w:tcW w:w="1071" w:type="dxa"/>
            <w:noWrap/>
            <w:tcMar>
              <w:top w:w="0" w:type="dxa"/>
              <w:left w:w="108" w:type="dxa"/>
              <w:bottom w:w="0" w:type="dxa"/>
              <w:right w:w="108" w:type="dxa"/>
            </w:tcMar>
            <w:vAlign w:val="center"/>
            <w:hideMark/>
          </w:tcPr>
          <w:p w14:paraId="6AB2DCF2"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否</w:t>
            </w:r>
          </w:p>
        </w:tc>
      </w:tr>
    </w:tbl>
    <w:p w14:paraId="246744E6"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373" w:name="_Toc989263"/>
      <w:r>
        <w:rPr>
          <w:rFonts w:ascii="宋体" w:eastAsia="宋体" w:hAnsi="宋体" w:cs="宋体"/>
          <w:b/>
          <w:bCs/>
          <w:szCs w:val="21"/>
        </w:rPr>
        <w:t>（4） 关键管理人员报酬</w:t>
      </w:r>
      <w:bookmarkEnd w:id="373"/>
    </w:p>
    <w:p w14:paraId="28CAFF07"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40F7D6CA" w14:textId="77777777" w:rsidTr="008B6556">
        <w:trPr>
          <w:trHeight w:val="240"/>
        </w:trPr>
        <w:tc>
          <w:tcPr>
            <w:tcW w:w="3213" w:type="dxa"/>
            <w:shd w:val="clear" w:color="auto" w:fill="FFFFFF" w:themeFill="background1"/>
            <w:vAlign w:val="center"/>
          </w:tcPr>
          <w:p w14:paraId="0EA6705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2231317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auto" w:fill="FFFFFF" w:themeFill="background1"/>
            <w:vAlign w:val="center"/>
          </w:tcPr>
          <w:p w14:paraId="54439D5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632E5B" w14:paraId="668B1420" w14:textId="77777777" w:rsidTr="008B6556">
        <w:trPr>
          <w:trHeight w:val="240"/>
        </w:trPr>
        <w:tc>
          <w:tcPr>
            <w:tcW w:w="3213" w:type="dxa"/>
            <w:shd w:val="clear" w:color="auto" w:fill="FFFFFF" w:themeFill="background1"/>
            <w:vAlign w:val="center"/>
          </w:tcPr>
          <w:p w14:paraId="7EF7E87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关键管理人员报酬</w:t>
            </w:r>
          </w:p>
        </w:tc>
        <w:tc>
          <w:tcPr>
            <w:tcW w:w="3213" w:type="dxa"/>
            <w:shd w:val="clear" w:color="auto" w:fill="FFFFFF" w:themeFill="background1"/>
            <w:vAlign w:val="center"/>
          </w:tcPr>
          <w:p w14:paraId="079DD1F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10,093,157.71</w:t>
            </w:r>
          </w:p>
        </w:tc>
        <w:tc>
          <w:tcPr>
            <w:tcW w:w="3213" w:type="dxa"/>
            <w:shd w:val="clear" w:color="auto" w:fill="FFFFFF" w:themeFill="background1"/>
            <w:vAlign w:val="center"/>
          </w:tcPr>
          <w:p w14:paraId="4C8D5F3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9,067,878.80</w:t>
            </w:r>
          </w:p>
        </w:tc>
      </w:tr>
    </w:tbl>
    <w:p w14:paraId="00900A96"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374" w:name="_Toc989264"/>
      <w:r>
        <w:rPr>
          <w:rFonts w:ascii="宋体" w:eastAsia="宋体" w:hAnsi="宋体" w:cs="宋体"/>
          <w:b/>
          <w:bCs/>
          <w:szCs w:val="21"/>
        </w:rPr>
        <w:t>（5） 其他关联交易</w:t>
      </w:r>
      <w:bookmarkEnd w:id="374"/>
    </w:p>
    <w:p w14:paraId="30F2D2BE" w14:textId="77777777" w:rsidR="00E72F0C" w:rsidRDefault="00107901">
      <w:pPr>
        <w:pStyle w:val="a3"/>
        <w:divId w:val="22443726"/>
        <w:rPr>
          <w:rFonts w:hint="eastAsia"/>
          <w:sz w:val="18"/>
          <w:szCs w:val="18"/>
        </w:rPr>
      </w:pPr>
      <w:r>
        <w:rPr>
          <w:rFonts w:hint="eastAsia"/>
          <w:sz w:val="18"/>
          <w:szCs w:val="18"/>
        </w:rPr>
        <w:t>关联方资金拆借</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1537"/>
        <w:gridCol w:w="1124"/>
        <w:gridCol w:w="1538"/>
        <w:gridCol w:w="1055"/>
        <w:gridCol w:w="1055"/>
        <w:gridCol w:w="1055"/>
        <w:gridCol w:w="1055"/>
      </w:tblGrid>
      <w:tr w:rsidR="00E72F0C" w:rsidRPr="00F84867" w14:paraId="4CF0AF4A" w14:textId="77777777" w:rsidTr="00F84867">
        <w:trPr>
          <w:divId w:val="22443726"/>
          <w:trHeight w:val="285"/>
        </w:trPr>
        <w:tc>
          <w:tcPr>
            <w:tcW w:w="2420" w:type="dxa"/>
            <w:vMerge w:val="restart"/>
            <w:tcMar>
              <w:top w:w="15" w:type="dxa"/>
              <w:left w:w="15" w:type="dxa"/>
              <w:bottom w:w="0" w:type="dxa"/>
              <w:right w:w="15" w:type="dxa"/>
            </w:tcMar>
            <w:vAlign w:val="center"/>
            <w:hideMark/>
          </w:tcPr>
          <w:p w14:paraId="6E8B89FB" w14:textId="77777777" w:rsidR="00E72F0C" w:rsidRPr="00F84867" w:rsidRDefault="00107901">
            <w:pPr>
              <w:jc w:val="center"/>
              <w:rPr>
                <w:rFonts w:asciiTheme="minorEastAsia" w:hAnsiTheme="minorEastAsia" w:cs="宋体" w:hint="eastAsia"/>
                <w:color w:val="000000"/>
                <w:sz w:val="18"/>
                <w:szCs w:val="18"/>
              </w:rPr>
            </w:pPr>
            <w:r w:rsidRPr="00F84867">
              <w:rPr>
                <w:rFonts w:asciiTheme="minorEastAsia" w:hAnsiTheme="minorEastAsia" w:hint="eastAsia"/>
                <w:color w:val="000000"/>
                <w:sz w:val="18"/>
                <w:szCs w:val="18"/>
              </w:rPr>
              <w:t>关联方名称</w:t>
            </w:r>
          </w:p>
        </w:tc>
        <w:tc>
          <w:tcPr>
            <w:tcW w:w="1580" w:type="dxa"/>
            <w:vMerge w:val="restart"/>
            <w:tcMar>
              <w:top w:w="15" w:type="dxa"/>
              <w:left w:w="15" w:type="dxa"/>
              <w:bottom w:w="0" w:type="dxa"/>
              <w:right w:w="15" w:type="dxa"/>
            </w:tcMar>
            <w:vAlign w:val="center"/>
            <w:hideMark/>
          </w:tcPr>
          <w:p w14:paraId="7A39480C" w14:textId="77777777" w:rsidR="00E72F0C" w:rsidRPr="00F84867" w:rsidRDefault="00107901">
            <w:pPr>
              <w:jc w:val="center"/>
              <w:rPr>
                <w:rFonts w:asciiTheme="minorEastAsia" w:hAnsiTheme="minorEastAsia" w:cs="宋体" w:hint="eastAsia"/>
                <w:color w:val="000000"/>
                <w:sz w:val="18"/>
                <w:szCs w:val="18"/>
              </w:rPr>
            </w:pPr>
            <w:r w:rsidRPr="00F84867">
              <w:rPr>
                <w:rFonts w:asciiTheme="minorEastAsia" w:hAnsiTheme="minorEastAsia" w:hint="eastAsia"/>
                <w:color w:val="000000"/>
                <w:sz w:val="18"/>
                <w:szCs w:val="18"/>
              </w:rPr>
              <w:t>期初余额</w:t>
            </w:r>
          </w:p>
        </w:tc>
        <w:tc>
          <w:tcPr>
            <w:tcW w:w="1580" w:type="dxa"/>
            <w:vMerge w:val="restart"/>
            <w:tcMar>
              <w:top w:w="15" w:type="dxa"/>
              <w:left w:w="15" w:type="dxa"/>
              <w:bottom w:w="0" w:type="dxa"/>
              <w:right w:w="15" w:type="dxa"/>
            </w:tcMar>
            <w:vAlign w:val="center"/>
            <w:hideMark/>
          </w:tcPr>
          <w:p w14:paraId="028DDF23" w14:textId="77777777" w:rsidR="00E72F0C" w:rsidRPr="00F84867" w:rsidRDefault="00107901">
            <w:pPr>
              <w:jc w:val="center"/>
              <w:rPr>
                <w:rFonts w:asciiTheme="minorEastAsia" w:hAnsiTheme="minorEastAsia" w:cs="宋体" w:hint="eastAsia"/>
                <w:color w:val="000000"/>
                <w:sz w:val="18"/>
                <w:szCs w:val="18"/>
              </w:rPr>
            </w:pPr>
            <w:r w:rsidRPr="00F84867">
              <w:rPr>
                <w:rFonts w:asciiTheme="minorEastAsia" w:hAnsiTheme="minorEastAsia" w:hint="eastAsia"/>
                <w:color w:val="000000"/>
                <w:sz w:val="18"/>
                <w:szCs w:val="18"/>
              </w:rPr>
              <w:t>本期拆入（拆出）</w:t>
            </w:r>
          </w:p>
        </w:tc>
        <w:tc>
          <w:tcPr>
            <w:tcW w:w="1580" w:type="dxa"/>
            <w:vMerge w:val="restart"/>
            <w:tcMar>
              <w:top w:w="15" w:type="dxa"/>
              <w:left w:w="15" w:type="dxa"/>
              <w:bottom w:w="0" w:type="dxa"/>
              <w:right w:w="15" w:type="dxa"/>
            </w:tcMar>
            <w:vAlign w:val="center"/>
            <w:hideMark/>
          </w:tcPr>
          <w:p w14:paraId="17B5EF0D" w14:textId="77777777" w:rsidR="00E72F0C" w:rsidRPr="00F84867" w:rsidRDefault="00107901">
            <w:pPr>
              <w:jc w:val="center"/>
              <w:rPr>
                <w:rFonts w:asciiTheme="minorEastAsia" w:hAnsiTheme="minorEastAsia" w:cs="宋体" w:hint="eastAsia"/>
                <w:color w:val="000000"/>
                <w:sz w:val="18"/>
                <w:szCs w:val="18"/>
              </w:rPr>
            </w:pPr>
            <w:r w:rsidRPr="00F84867">
              <w:rPr>
                <w:rFonts w:asciiTheme="minorEastAsia" w:hAnsiTheme="minorEastAsia" w:hint="eastAsia"/>
                <w:color w:val="000000"/>
                <w:sz w:val="18"/>
                <w:szCs w:val="18"/>
              </w:rPr>
              <w:t>本期偿还（收回）</w:t>
            </w:r>
          </w:p>
        </w:tc>
        <w:tc>
          <w:tcPr>
            <w:tcW w:w="1580" w:type="dxa"/>
            <w:vMerge w:val="restart"/>
            <w:tcMar>
              <w:top w:w="15" w:type="dxa"/>
              <w:left w:w="15" w:type="dxa"/>
              <w:bottom w:w="0" w:type="dxa"/>
              <w:right w:w="15" w:type="dxa"/>
            </w:tcMar>
            <w:vAlign w:val="center"/>
            <w:hideMark/>
          </w:tcPr>
          <w:p w14:paraId="39A07515" w14:textId="77777777" w:rsidR="00E72F0C" w:rsidRPr="00F84867" w:rsidRDefault="00107901">
            <w:pPr>
              <w:jc w:val="center"/>
              <w:rPr>
                <w:rFonts w:asciiTheme="minorEastAsia" w:hAnsiTheme="minorEastAsia" w:cs="宋体" w:hint="eastAsia"/>
                <w:color w:val="000000"/>
                <w:sz w:val="18"/>
                <w:szCs w:val="18"/>
              </w:rPr>
            </w:pPr>
            <w:r w:rsidRPr="00F84867">
              <w:rPr>
                <w:rFonts w:asciiTheme="minorEastAsia" w:hAnsiTheme="minorEastAsia" w:hint="eastAsia"/>
                <w:color w:val="000000"/>
                <w:sz w:val="18"/>
                <w:szCs w:val="18"/>
              </w:rPr>
              <w:t>期末余额</w:t>
            </w:r>
          </w:p>
        </w:tc>
        <w:tc>
          <w:tcPr>
            <w:tcW w:w="1580" w:type="dxa"/>
            <w:vMerge w:val="restart"/>
            <w:tcMar>
              <w:top w:w="15" w:type="dxa"/>
              <w:left w:w="15" w:type="dxa"/>
              <w:bottom w:w="0" w:type="dxa"/>
              <w:right w:w="15" w:type="dxa"/>
            </w:tcMar>
            <w:vAlign w:val="center"/>
            <w:hideMark/>
          </w:tcPr>
          <w:p w14:paraId="5BB86950" w14:textId="77777777" w:rsidR="00E72F0C" w:rsidRPr="00F84867" w:rsidRDefault="00107901">
            <w:pPr>
              <w:jc w:val="center"/>
              <w:rPr>
                <w:rFonts w:asciiTheme="minorEastAsia" w:hAnsiTheme="minorEastAsia" w:cs="宋体" w:hint="eastAsia"/>
                <w:color w:val="000000"/>
                <w:sz w:val="18"/>
                <w:szCs w:val="18"/>
              </w:rPr>
            </w:pPr>
            <w:r w:rsidRPr="00F84867">
              <w:rPr>
                <w:rFonts w:asciiTheme="minorEastAsia" w:hAnsiTheme="minorEastAsia" w:hint="eastAsia"/>
                <w:color w:val="000000"/>
                <w:sz w:val="18"/>
                <w:szCs w:val="18"/>
              </w:rPr>
              <w:t>起始日</w:t>
            </w:r>
          </w:p>
        </w:tc>
        <w:tc>
          <w:tcPr>
            <w:tcW w:w="1580" w:type="dxa"/>
            <w:vMerge w:val="restart"/>
            <w:tcMar>
              <w:top w:w="15" w:type="dxa"/>
              <w:left w:w="15" w:type="dxa"/>
              <w:bottom w:w="0" w:type="dxa"/>
              <w:right w:w="15" w:type="dxa"/>
            </w:tcMar>
            <w:vAlign w:val="center"/>
            <w:hideMark/>
          </w:tcPr>
          <w:p w14:paraId="4CAD153A" w14:textId="77777777" w:rsidR="00E72F0C" w:rsidRPr="00F84867" w:rsidRDefault="00107901">
            <w:pPr>
              <w:jc w:val="center"/>
              <w:rPr>
                <w:rFonts w:asciiTheme="minorEastAsia" w:hAnsiTheme="minorEastAsia" w:cs="宋体" w:hint="eastAsia"/>
                <w:color w:val="000000"/>
                <w:sz w:val="18"/>
                <w:szCs w:val="18"/>
              </w:rPr>
            </w:pPr>
            <w:r w:rsidRPr="00F84867">
              <w:rPr>
                <w:rFonts w:asciiTheme="minorEastAsia" w:hAnsiTheme="minorEastAsia" w:hint="eastAsia"/>
                <w:color w:val="000000"/>
                <w:sz w:val="18"/>
                <w:szCs w:val="18"/>
              </w:rPr>
              <w:t>到期日</w:t>
            </w:r>
          </w:p>
        </w:tc>
        <w:tc>
          <w:tcPr>
            <w:tcW w:w="1580" w:type="dxa"/>
            <w:vMerge w:val="restart"/>
            <w:tcMar>
              <w:top w:w="15" w:type="dxa"/>
              <w:left w:w="15" w:type="dxa"/>
              <w:bottom w:w="0" w:type="dxa"/>
              <w:right w:w="15" w:type="dxa"/>
            </w:tcMar>
            <w:vAlign w:val="center"/>
            <w:hideMark/>
          </w:tcPr>
          <w:p w14:paraId="271432E1" w14:textId="77777777" w:rsidR="00E72F0C" w:rsidRPr="00F84867" w:rsidRDefault="00107901">
            <w:pPr>
              <w:jc w:val="center"/>
              <w:rPr>
                <w:rFonts w:asciiTheme="minorEastAsia" w:hAnsiTheme="minorEastAsia" w:cs="宋体" w:hint="eastAsia"/>
                <w:color w:val="000000"/>
                <w:sz w:val="18"/>
                <w:szCs w:val="18"/>
              </w:rPr>
            </w:pPr>
            <w:r w:rsidRPr="00F84867">
              <w:rPr>
                <w:rFonts w:asciiTheme="minorEastAsia" w:hAnsiTheme="minorEastAsia" w:hint="eastAsia"/>
                <w:color w:val="000000"/>
                <w:sz w:val="18"/>
                <w:szCs w:val="18"/>
              </w:rPr>
              <w:t>说明</w:t>
            </w:r>
          </w:p>
        </w:tc>
      </w:tr>
      <w:tr w:rsidR="00E72F0C" w:rsidRPr="00F84867" w14:paraId="6896CDF9" w14:textId="77777777" w:rsidTr="00F84867">
        <w:trPr>
          <w:divId w:val="22443726"/>
          <w:trHeight w:val="285"/>
        </w:trPr>
        <w:tc>
          <w:tcPr>
            <w:tcW w:w="0" w:type="auto"/>
            <w:vMerge/>
            <w:vAlign w:val="center"/>
            <w:hideMark/>
          </w:tcPr>
          <w:p w14:paraId="488183A6" w14:textId="77777777" w:rsidR="00E72F0C" w:rsidRPr="00F84867" w:rsidRDefault="00E72F0C">
            <w:pPr>
              <w:rPr>
                <w:rFonts w:asciiTheme="minorEastAsia" w:hAnsiTheme="minorEastAsia" w:cs="宋体" w:hint="eastAsia"/>
                <w:color w:val="000000"/>
                <w:sz w:val="18"/>
                <w:szCs w:val="18"/>
              </w:rPr>
            </w:pPr>
          </w:p>
        </w:tc>
        <w:tc>
          <w:tcPr>
            <w:tcW w:w="0" w:type="auto"/>
            <w:vMerge/>
            <w:vAlign w:val="center"/>
            <w:hideMark/>
          </w:tcPr>
          <w:p w14:paraId="2BA44202" w14:textId="77777777" w:rsidR="00E72F0C" w:rsidRPr="00F84867" w:rsidRDefault="00E72F0C">
            <w:pPr>
              <w:rPr>
                <w:rFonts w:asciiTheme="minorEastAsia" w:hAnsiTheme="minorEastAsia" w:cs="宋体" w:hint="eastAsia"/>
                <w:color w:val="000000"/>
                <w:sz w:val="18"/>
                <w:szCs w:val="18"/>
              </w:rPr>
            </w:pPr>
          </w:p>
        </w:tc>
        <w:tc>
          <w:tcPr>
            <w:tcW w:w="0" w:type="auto"/>
            <w:vMerge/>
            <w:vAlign w:val="center"/>
            <w:hideMark/>
          </w:tcPr>
          <w:p w14:paraId="5785243C" w14:textId="77777777" w:rsidR="00E72F0C" w:rsidRPr="00F84867" w:rsidRDefault="00E72F0C">
            <w:pPr>
              <w:rPr>
                <w:rFonts w:asciiTheme="minorEastAsia" w:hAnsiTheme="minorEastAsia" w:cs="宋体" w:hint="eastAsia"/>
                <w:color w:val="000000"/>
                <w:sz w:val="18"/>
                <w:szCs w:val="18"/>
              </w:rPr>
            </w:pPr>
          </w:p>
        </w:tc>
        <w:tc>
          <w:tcPr>
            <w:tcW w:w="0" w:type="auto"/>
            <w:vMerge/>
            <w:vAlign w:val="center"/>
            <w:hideMark/>
          </w:tcPr>
          <w:p w14:paraId="29CC0603" w14:textId="77777777" w:rsidR="00E72F0C" w:rsidRPr="00F84867" w:rsidRDefault="00E72F0C">
            <w:pPr>
              <w:rPr>
                <w:rFonts w:asciiTheme="minorEastAsia" w:hAnsiTheme="minorEastAsia" w:cs="宋体" w:hint="eastAsia"/>
                <w:color w:val="000000"/>
                <w:sz w:val="18"/>
                <w:szCs w:val="18"/>
              </w:rPr>
            </w:pPr>
          </w:p>
        </w:tc>
        <w:tc>
          <w:tcPr>
            <w:tcW w:w="0" w:type="auto"/>
            <w:vMerge/>
            <w:vAlign w:val="center"/>
            <w:hideMark/>
          </w:tcPr>
          <w:p w14:paraId="130F705E" w14:textId="77777777" w:rsidR="00E72F0C" w:rsidRPr="00F84867" w:rsidRDefault="00E72F0C">
            <w:pPr>
              <w:rPr>
                <w:rFonts w:asciiTheme="minorEastAsia" w:hAnsiTheme="minorEastAsia" w:cs="宋体" w:hint="eastAsia"/>
                <w:color w:val="000000"/>
                <w:sz w:val="18"/>
                <w:szCs w:val="18"/>
              </w:rPr>
            </w:pPr>
          </w:p>
        </w:tc>
        <w:tc>
          <w:tcPr>
            <w:tcW w:w="0" w:type="auto"/>
            <w:vMerge/>
            <w:vAlign w:val="center"/>
            <w:hideMark/>
          </w:tcPr>
          <w:p w14:paraId="5256805E" w14:textId="77777777" w:rsidR="00E72F0C" w:rsidRPr="00F84867" w:rsidRDefault="00E72F0C">
            <w:pPr>
              <w:rPr>
                <w:rFonts w:asciiTheme="minorEastAsia" w:hAnsiTheme="minorEastAsia" w:cs="宋体" w:hint="eastAsia"/>
                <w:color w:val="000000"/>
                <w:sz w:val="18"/>
                <w:szCs w:val="18"/>
              </w:rPr>
            </w:pPr>
          </w:p>
        </w:tc>
        <w:tc>
          <w:tcPr>
            <w:tcW w:w="0" w:type="auto"/>
            <w:vMerge/>
            <w:vAlign w:val="center"/>
            <w:hideMark/>
          </w:tcPr>
          <w:p w14:paraId="5B877528" w14:textId="77777777" w:rsidR="00E72F0C" w:rsidRPr="00F84867" w:rsidRDefault="00E72F0C">
            <w:pPr>
              <w:rPr>
                <w:rFonts w:asciiTheme="minorEastAsia" w:hAnsiTheme="minorEastAsia" w:cs="宋体" w:hint="eastAsia"/>
                <w:color w:val="000000"/>
                <w:sz w:val="18"/>
                <w:szCs w:val="18"/>
              </w:rPr>
            </w:pPr>
          </w:p>
        </w:tc>
        <w:tc>
          <w:tcPr>
            <w:tcW w:w="0" w:type="auto"/>
            <w:vMerge/>
            <w:vAlign w:val="center"/>
            <w:hideMark/>
          </w:tcPr>
          <w:p w14:paraId="76A665A8" w14:textId="77777777" w:rsidR="00E72F0C" w:rsidRPr="00F84867" w:rsidRDefault="00E72F0C">
            <w:pPr>
              <w:rPr>
                <w:rFonts w:asciiTheme="minorEastAsia" w:hAnsiTheme="minorEastAsia" w:cs="宋体" w:hint="eastAsia"/>
                <w:color w:val="000000"/>
                <w:sz w:val="18"/>
                <w:szCs w:val="18"/>
              </w:rPr>
            </w:pPr>
          </w:p>
        </w:tc>
      </w:tr>
      <w:tr w:rsidR="00E72F0C" w:rsidRPr="00F84867" w14:paraId="50238E5F" w14:textId="77777777" w:rsidTr="00F84867">
        <w:trPr>
          <w:divId w:val="22443726"/>
          <w:trHeight w:val="585"/>
        </w:trPr>
        <w:tc>
          <w:tcPr>
            <w:tcW w:w="8740" w:type="dxa"/>
            <w:gridSpan w:val="5"/>
            <w:tcMar>
              <w:top w:w="15" w:type="dxa"/>
              <w:left w:w="15" w:type="dxa"/>
              <w:bottom w:w="0" w:type="dxa"/>
              <w:right w:w="15" w:type="dxa"/>
            </w:tcMar>
            <w:vAlign w:val="center"/>
            <w:hideMark/>
          </w:tcPr>
          <w:p w14:paraId="7C68B1AE" w14:textId="77777777" w:rsidR="00E72F0C" w:rsidRPr="00F84867" w:rsidRDefault="00107901">
            <w:pPr>
              <w:jc w:val="both"/>
              <w:rPr>
                <w:rFonts w:asciiTheme="minorEastAsia" w:hAnsiTheme="minorEastAsia" w:cs="宋体" w:hint="eastAsia"/>
                <w:color w:val="000000"/>
                <w:sz w:val="18"/>
                <w:szCs w:val="18"/>
              </w:rPr>
            </w:pPr>
            <w:r w:rsidRPr="00F84867">
              <w:rPr>
                <w:rFonts w:asciiTheme="minorEastAsia" w:hAnsiTheme="minorEastAsia" w:hint="eastAsia"/>
                <w:color w:val="000000"/>
                <w:sz w:val="18"/>
                <w:szCs w:val="18"/>
              </w:rPr>
              <w:t>拆出资金</w:t>
            </w:r>
          </w:p>
        </w:tc>
        <w:tc>
          <w:tcPr>
            <w:tcW w:w="1580" w:type="dxa"/>
            <w:tcMar>
              <w:top w:w="15" w:type="dxa"/>
              <w:left w:w="15" w:type="dxa"/>
              <w:bottom w:w="0" w:type="dxa"/>
              <w:right w:w="15" w:type="dxa"/>
            </w:tcMar>
            <w:vAlign w:val="center"/>
            <w:hideMark/>
          </w:tcPr>
          <w:p w14:paraId="57755373" w14:textId="77777777" w:rsidR="00E72F0C" w:rsidRPr="00F84867" w:rsidRDefault="00107901">
            <w:pPr>
              <w:jc w:val="both"/>
              <w:rPr>
                <w:rFonts w:asciiTheme="minorEastAsia" w:hAnsiTheme="minorEastAsia" w:cs="宋体" w:hint="eastAsia"/>
                <w:color w:val="000000"/>
                <w:sz w:val="18"/>
                <w:szCs w:val="18"/>
              </w:rPr>
            </w:pPr>
            <w:r w:rsidRPr="00F84867">
              <w:rPr>
                <w:rFonts w:asciiTheme="minorEastAsia" w:hAnsiTheme="minorEastAsia"/>
                <w:color w:val="000000"/>
                <w:sz w:val="18"/>
                <w:szCs w:val="18"/>
              </w:rPr>
              <w:t xml:space="preserve">　</w:t>
            </w:r>
          </w:p>
        </w:tc>
        <w:tc>
          <w:tcPr>
            <w:tcW w:w="1580" w:type="dxa"/>
            <w:tcMar>
              <w:top w:w="15" w:type="dxa"/>
              <w:left w:w="15" w:type="dxa"/>
              <w:bottom w:w="0" w:type="dxa"/>
              <w:right w:w="15" w:type="dxa"/>
            </w:tcMar>
            <w:vAlign w:val="center"/>
            <w:hideMark/>
          </w:tcPr>
          <w:p w14:paraId="4B0F4AB4" w14:textId="77777777" w:rsidR="00E72F0C" w:rsidRPr="00F84867" w:rsidRDefault="00107901">
            <w:pPr>
              <w:jc w:val="both"/>
              <w:rPr>
                <w:rFonts w:asciiTheme="minorEastAsia" w:hAnsiTheme="minorEastAsia" w:cs="宋体" w:hint="eastAsia"/>
                <w:color w:val="000000"/>
                <w:sz w:val="18"/>
                <w:szCs w:val="18"/>
              </w:rPr>
            </w:pPr>
            <w:r w:rsidRPr="00F84867">
              <w:rPr>
                <w:rFonts w:asciiTheme="minorEastAsia" w:hAnsiTheme="minorEastAsia"/>
                <w:color w:val="000000"/>
                <w:sz w:val="18"/>
                <w:szCs w:val="18"/>
              </w:rPr>
              <w:t xml:space="preserve">　</w:t>
            </w:r>
          </w:p>
        </w:tc>
        <w:tc>
          <w:tcPr>
            <w:tcW w:w="1580" w:type="dxa"/>
            <w:tcMar>
              <w:top w:w="15" w:type="dxa"/>
              <w:left w:w="15" w:type="dxa"/>
              <w:bottom w:w="0" w:type="dxa"/>
              <w:right w:w="15" w:type="dxa"/>
            </w:tcMar>
            <w:vAlign w:val="center"/>
            <w:hideMark/>
          </w:tcPr>
          <w:p w14:paraId="24B1B2C2" w14:textId="77777777" w:rsidR="00E72F0C" w:rsidRPr="00F84867" w:rsidRDefault="00107901">
            <w:pPr>
              <w:jc w:val="both"/>
              <w:rPr>
                <w:rFonts w:asciiTheme="minorEastAsia" w:hAnsiTheme="minorEastAsia" w:cs="宋体" w:hint="eastAsia"/>
                <w:color w:val="000000"/>
                <w:sz w:val="18"/>
                <w:szCs w:val="18"/>
              </w:rPr>
            </w:pPr>
            <w:r w:rsidRPr="00F84867">
              <w:rPr>
                <w:rFonts w:asciiTheme="minorEastAsia" w:hAnsiTheme="minorEastAsia"/>
                <w:color w:val="000000"/>
                <w:sz w:val="18"/>
                <w:szCs w:val="18"/>
              </w:rPr>
              <w:t xml:space="preserve">　</w:t>
            </w:r>
          </w:p>
        </w:tc>
      </w:tr>
      <w:tr w:rsidR="00E72F0C" w:rsidRPr="00F84867" w14:paraId="4E0BE823" w14:textId="77777777" w:rsidTr="00F84867">
        <w:trPr>
          <w:divId w:val="22443726"/>
          <w:trHeight w:val="585"/>
        </w:trPr>
        <w:tc>
          <w:tcPr>
            <w:tcW w:w="2420" w:type="dxa"/>
            <w:tcMar>
              <w:top w:w="15" w:type="dxa"/>
              <w:left w:w="15" w:type="dxa"/>
              <w:bottom w:w="0" w:type="dxa"/>
              <w:right w:w="15" w:type="dxa"/>
            </w:tcMar>
            <w:vAlign w:val="center"/>
            <w:hideMark/>
          </w:tcPr>
          <w:p w14:paraId="7F19C0CD" w14:textId="77777777" w:rsidR="00E72F0C" w:rsidRPr="00F84867" w:rsidRDefault="00107901">
            <w:pPr>
              <w:rPr>
                <w:rFonts w:asciiTheme="minorEastAsia" w:hAnsiTheme="minorEastAsia" w:cs="宋体" w:hint="eastAsia"/>
                <w:color w:val="000000"/>
                <w:sz w:val="18"/>
                <w:szCs w:val="18"/>
              </w:rPr>
            </w:pPr>
            <w:r w:rsidRPr="00F84867">
              <w:rPr>
                <w:rFonts w:asciiTheme="minorEastAsia" w:hAnsiTheme="minorEastAsia" w:hint="eastAsia"/>
                <w:color w:val="000000"/>
                <w:sz w:val="18"/>
                <w:szCs w:val="18"/>
              </w:rPr>
              <w:t>江苏中利控股集团有限公司及王柏兴</w:t>
            </w:r>
          </w:p>
        </w:tc>
        <w:tc>
          <w:tcPr>
            <w:tcW w:w="1580" w:type="dxa"/>
            <w:tcMar>
              <w:top w:w="15" w:type="dxa"/>
              <w:left w:w="15" w:type="dxa"/>
              <w:bottom w:w="0" w:type="dxa"/>
              <w:right w:w="15" w:type="dxa"/>
            </w:tcMar>
            <w:vAlign w:val="center"/>
            <w:hideMark/>
          </w:tcPr>
          <w:p w14:paraId="1A068710" w14:textId="77777777" w:rsidR="00E72F0C" w:rsidRPr="00F84867" w:rsidRDefault="00107901">
            <w:pPr>
              <w:jc w:val="right"/>
              <w:rPr>
                <w:rFonts w:asciiTheme="minorEastAsia" w:hAnsiTheme="minorEastAsia" w:cs="Arial" w:hint="eastAsia"/>
                <w:color w:val="000000"/>
                <w:sz w:val="18"/>
                <w:szCs w:val="18"/>
              </w:rPr>
            </w:pPr>
            <w:r w:rsidRPr="00F84867">
              <w:rPr>
                <w:rFonts w:asciiTheme="minorEastAsia" w:hAnsiTheme="minorEastAsia" w:cs="Arial"/>
                <w:color w:val="000000"/>
                <w:sz w:val="18"/>
                <w:szCs w:val="18"/>
              </w:rPr>
              <w:t>1,805,191,913.44</w:t>
            </w:r>
          </w:p>
        </w:tc>
        <w:tc>
          <w:tcPr>
            <w:tcW w:w="1580" w:type="dxa"/>
            <w:tcMar>
              <w:top w:w="15" w:type="dxa"/>
              <w:left w:w="15" w:type="dxa"/>
              <w:bottom w:w="0" w:type="dxa"/>
              <w:right w:w="15" w:type="dxa"/>
            </w:tcMar>
            <w:vAlign w:val="center"/>
            <w:hideMark/>
          </w:tcPr>
          <w:p w14:paraId="07783DC5" w14:textId="77777777" w:rsidR="00E72F0C" w:rsidRPr="00F84867" w:rsidRDefault="00107901">
            <w:pPr>
              <w:jc w:val="right"/>
              <w:rPr>
                <w:rFonts w:asciiTheme="minorEastAsia" w:hAnsiTheme="minorEastAsia" w:cs="Arial" w:hint="eastAsia"/>
                <w:color w:val="000000"/>
                <w:sz w:val="18"/>
                <w:szCs w:val="18"/>
              </w:rPr>
            </w:pPr>
            <w:r w:rsidRPr="00F84867">
              <w:rPr>
                <w:rFonts w:asciiTheme="minorEastAsia" w:hAnsiTheme="minorEastAsia" w:cs="Arial"/>
                <w:color w:val="000000"/>
                <w:sz w:val="18"/>
                <w:szCs w:val="18"/>
              </w:rPr>
              <w:t xml:space="preserve">　</w:t>
            </w:r>
          </w:p>
        </w:tc>
        <w:tc>
          <w:tcPr>
            <w:tcW w:w="1580" w:type="dxa"/>
            <w:tcMar>
              <w:top w:w="15" w:type="dxa"/>
              <w:left w:w="15" w:type="dxa"/>
              <w:bottom w:w="0" w:type="dxa"/>
              <w:right w:w="15" w:type="dxa"/>
            </w:tcMar>
            <w:vAlign w:val="center"/>
            <w:hideMark/>
          </w:tcPr>
          <w:p w14:paraId="2AE65096" w14:textId="77777777" w:rsidR="00E72F0C" w:rsidRPr="00F84867" w:rsidRDefault="00107901">
            <w:pPr>
              <w:jc w:val="right"/>
              <w:rPr>
                <w:rFonts w:asciiTheme="minorEastAsia" w:hAnsiTheme="minorEastAsia" w:cs="Arial" w:hint="eastAsia"/>
                <w:color w:val="000000"/>
                <w:sz w:val="18"/>
                <w:szCs w:val="18"/>
              </w:rPr>
            </w:pPr>
            <w:r w:rsidRPr="00F84867">
              <w:rPr>
                <w:rFonts w:asciiTheme="minorEastAsia" w:hAnsiTheme="minorEastAsia" w:cs="Arial"/>
                <w:color w:val="000000"/>
                <w:sz w:val="18"/>
                <w:szCs w:val="18"/>
              </w:rPr>
              <w:t>1,805,191,913.44</w:t>
            </w:r>
          </w:p>
        </w:tc>
        <w:tc>
          <w:tcPr>
            <w:tcW w:w="1580" w:type="dxa"/>
            <w:tcMar>
              <w:top w:w="15" w:type="dxa"/>
              <w:left w:w="15" w:type="dxa"/>
              <w:bottom w:w="0" w:type="dxa"/>
              <w:right w:w="15" w:type="dxa"/>
            </w:tcMar>
            <w:vAlign w:val="center"/>
            <w:hideMark/>
          </w:tcPr>
          <w:p w14:paraId="60AE4FCD" w14:textId="77777777" w:rsidR="00E72F0C" w:rsidRPr="00F84867" w:rsidRDefault="00107901">
            <w:pPr>
              <w:jc w:val="right"/>
              <w:rPr>
                <w:rFonts w:asciiTheme="minorEastAsia" w:hAnsiTheme="minorEastAsia" w:cs="Arial" w:hint="eastAsia"/>
                <w:color w:val="000000"/>
                <w:sz w:val="18"/>
                <w:szCs w:val="18"/>
              </w:rPr>
            </w:pPr>
            <w:r w:rsidRPr="00F84867">
              <w:rPr>
                <w:rFonts w:asciiTheme="minorEastAsia" w:hAnsiTheme="minorEastAsia" w:cs="Arial"/>
                <w:color w:val="000000"/>
                <w:sz w:val="18"/>
                <w:szCs w:val="18"/>
              </w:rPr>
              <w:t xml:space="preserve">　</w:t>
            </w:r>
          </w:p>
        </w:tc>
        <w:tc>
          <w:tcPr>
            <w:tcW w:w="1580" w:type="dxa"/>
            <w:tcMar>
              <w:top w:w="15" w:type="dxa"/>
              <w:left w:w="15" w:type="dxa"/>
              <w:bottom w:w="0" w:type="dxa"/>
              <w:right w:w="15" w:type="dxa"/>
            </w:tcMar>
            <w:vAlign w:val="center"/>
            <w:hideMark/>
          </w:tcPr>
          <w:p w14:paraId="1A3845FD" w14:textId="77777777" w:rsidR="00E72F0C" w:rsidRPr="00F84867" w:rsidRDefault="00107901">
            <w:pPr>
              <w:jc w:val="right"/>
              <w:rPr>
                <w:rFonts w:asciiTheme="minorEastAsia" w:hAnsiTheme="minorEastAsia" w:cs="Arial" w:hint="eastAsia"/>
                <w:color w:val="000000"/>
                <w:sz w:val="18"/>
                <w:szCs w:val="18"/>
              </w:rPr>
            </w:pPr>
            <w:r w:rsidRPr="00F84867">
              <w:rPr>
                <w:rFonts w:asciiTheme="minorEastAsia" w:hAnsiTheme="minorEastAsia" w:cs="Arial"/>
                <w:color w:val="000000"/>
                <w:sz w:val="18"/>
                <w:szCs w:val="18"/>
              </w:rPr>
              <w:t xml:space="preserve">　</w:t>
            </w:r>
          </w:p>
        </w:tc>
        <w:tc>
          <w:tcPr>
            <w:tcW w:w="1580" w:type="dxa"/>
            <w:tcMar>
              <w:top w:w="15" w:type="dxa"/>
              <w:left w:w="15" w:type="dxa"/>
              <w:bottom w:w="0" w:type="dxa"/>
              <w:right w:w="15" w:type="dxa"/>
            </w:tcMar>
            <w:vAlign w:val="center"/>
            <w:hideMark/>
          </w:tcPr>
          <w:p w14:paraId="7BE1BE91" w14:textId="77777777" w:rsidR="00E72F0C" w:rsidRPr="00F84867" w:rsidRDefault="00107901">
            <w:pPr>
              <w:jc w:val="right"/>
              <w:rPr>
                <w:rFonts w:asciiTheme="minorEastAsia" w:hAnsiTheme="minorEastAsia" w:cs="Arial" w:hint="eastAsia"/>
                <w:color w:val="000000"/>
                <w:sz w:val="18"/>
                <w:szCs w:val="18"/>
              </w:rPr>
            </w:pPr>
            <w:r w:rsidRPr="00F84867">
              <w:rPr>
                <w:rFonts w:asciiTheme="minorEastAsia" w:hAnsiTheme="minorEastAsia" w:cs="Arial"/>
                <w:color w:val="000000"/>
                <w:sz w:val="18"/>
                <w:szCs w:val="18"/>
              </w:rPr>
              <w:t xml:space="preserve">　</w:t>
            </w:r>
          </w:p>
        </w:tc>
        <w:tc>
          <w:tcPr>
            <w:tcW w:w="1580" w:type="dxa"/>
            <w:tcMar>
              <w:top w:w="15" w:type="dxa"/>
              <w:left w:w="15" w:type="dxa"/>
              <w:bottom w:w="0" w:type="dxa"/>
              <w:right w:w="15" w:type="dxa"/>
            </w:tcMar>
            <w:vAlign w:val="center"/>
            <w:hideMark/>
          </w:tcPr>
          <w:p w14:paraId="1E58C1B4" w14:textId="77777777" w:rsidR="00E72F0C" w:rsidRPr="00F84867" w:rsidRDefault="00107901">
            <w:pPr>
              <w:jc w:val="center"/>
              <w:rPr>
                <w:rFonts w:asciiTheme="minorEastAsia" w:hAnsiTheme="minorEastAsia" w:cs="宋体" w:hint="eastAsia"/>
                <w:color w:val="000000"/>
                <w:sz w:val="18"/>
                <w:szCs w:val="18"/>
              </w:rPr>
            </w:pPr>
            <w:r w:rsidRPr="00F84867">
              <w:rPr>
                <w:rFonts w:asciiTheme="minorEastAsia" w:hAnsiTheme="minorEastAsia" w:hint="eastAsia"/>
                <w:color w:val="000000"/>
                <w:sz w:val="18"/>
                <w:szCs w:val="18"/>
              </w:rPr>
              <w:t>注</w:t>
            </w:r>
            <w:r w:rsidRPr="00F84867">
              <w:rPr>
                <w:rFonts w:asciiTheme="minorEastAsia" w:hAnsiTheme="minorEastAsia" w:cs="Arial"/>
                <w:color w:val="000000"/>
                <w:sz w:val="18"/>
                <w:szCs w:val="18"/>
              </w:rPr>
              <w:t>1</w:t>
            </w:r>
          </w:p>
        </w:tc>
      </w:tr>
      <w:tr w:rsidR="00E72F0C" w:rsidRPr="00F84867" w14:paraId="61A46623" w14:textId="77777777" w:rsidTr="00F84867">
        <w:trPr>
          <w:divId w:val="22443726"/>
          <w:trHeight w:val="585"/>
        </w:trPr>
        <w:tc>
          <w:tcPr>
            <w:tcW w:w="2420" w:type="dxa"/>
            <w:tcMar>
              <w:top w:w="15" w:type="dxa"/>
              <w:left w:w="15" w:type="dxa"/>
              <w:bottom w:w="0" w:type="dxa"/>
              <w:right w:w="15" w:type="dxa"/>
            </w:tcMar>
            <w:vAlign w:val="center"/>
            <w:hideMark/>
          </w:tcPr>
          <w:p w14:paraId="39D56713" w14:textId="77777777" w:rsidR="00E72F0C" w:rsidRPr="00F84867" w:rsidRDefault="00107901">
            <w:pPr>
              <w:rPr>
                <w:rFonts w:asciiTheme="minorEastAsia" w:hAnsiTheme="minorEastAsia" w:cs="宋体" w:hint="eastAsia"/>
                <w:color w:val="000000"/>
                <w:sz w:val="18"/>
                <w:szCs w:val="18"/>
              </w:rPr>
            </w:pPr>
            <w:r w:rsidRPr="00F84867">
              <w:rPr>
                <w:rFonts w:asciiTheme="minorEastAsia" w:hAnsiTheme="minorEastAsia" w:hint="eastAsia"/>
                <w:color w:val="000000"/>
                <w:sz w:val="18"/>
                <w:szCs w:val="18"/>
              </w:rPr>
              <w:t>江苏中利电子信息科技有限公司</w:t>
            </w:r>
          </w:p>
        </w:tc>
        <w:tc>
          <w:tcPr>
            <w:tcW w:w="1580" w:type="dxa"/>
            <w:tcMar>
              <w:top w:w="15" w:type="dxa"/>
              <w:left w:w="15" w:type="dxa"/>
              <w:bottom w:w="0" w:type="dxa"/>
              <w:right w:w="15" w:type="dxa"/>
            </w:tcMar>
            <w:vAlign w:val="center"/>
            <w:hideMark/>
          </w:tcPr>
          <w:p w14:paraId="4AE00E02" w14:textId="77777777" w:rsidR="00E72F0C" w:rsidRPr="00F84867" w:rsidRDefault="00107901">
            <w:pPr>
              <w:jc w:val="right"/>
              <w:rPr>
                <w:rFonts w:asciiTheme="minorEastAsia" w:hAnsiTheme="minorEastAsia" w:cs="Arial" w:hint="eastAsia"/>
                <w:color w:val="000000"/>
                <w:sz w:val="18"/>
                <w:szCs w:val="18"/>
              </w:rPr>
            </w:pPr>
            <w:r w:rsidRPr="00F84867">
              <w:rPr>
                <w:rFonts w:asciiTheme="minorEastAsia" w:hAnsiTheme="minorEastAsia" w:cs="Arial"/>
                <w:color w:val="000000"/>
                <w:sz w:val="18"/>
                <w:szCs w:val="18"/>
              </w:rPr>
              <w:t>95,876,352.00</w:t>
            </w:r>
          </w:p>
        </w:tc>
        <w:tc>
          <w:tcPr>
            <w:tcW w:w="1580" w:type="dxa"/>
            <w:tcMar>
              <w:top w:w="15" w:type="dxa"/>
              <w:left w:w="15" w:type="dxa"/>
              <w:bottom w:w="0" w:type="dxa"/>
              <w:right w:w="15" w:type="dxa"/>
            </w:tcMar>
            <w:vAlign w:val="center"/>
            <w:hideMark/>
          </w:tcPr>
          <w:p w14:paraId="10862EDB" w14:textId="77777777" w:rsidR="00E72F0C" w:rsidRPr="00F84867" w:rsidRDefault="00107901">
            <w:pPr>
              <w:jc w:val="right"/>
              <w:rPr>
                <w:rFonts w:asciiTheme="minorEastAsia" w:hAnsiTheme="minorEastAsia" w:cs="Arial" w:hint="eastAsia"/>
                <w:color w:val="000000"/>
                <w:sz w:val="18"/>
                <w:szCs w:val="18"/>
              </w:rPr>
            </w:pPr>
            <w:r w:rsidRPr="00F84867">
              <w:rPr>
                <w:rFonts w:asciiTheme="minorEastAsia" w:hAnsiTheme="minorEastAsia" w:cs="Arial"/>
                <w:color w:val="000000"/>
                <w:sz w:val="18"/>
                <w:szCs w:val="18"/>
              </w:rPr>
              <w:t xml:space="preserve">　</w:t>
            </w:r>
          </w:p>
        </w:tc>
        <w:tc>
          <w:tcPr>
            <w:tcW w:w="1580" w:type="dxa"/>
            <w:tcMar>
              <w:top w:w="15" w:type="dxa"/>
              <w:left w:w="15" w:type="dxa"/>
              <w:bottom w:w="0" w:type="dxa"/>
              <w:right w:w="15" w:type="dxa"/>
            </w:tcMar>
            <w:vAlign w:val="center"/>
            <w:hideMark/>
          </w:tcPr>
          <w:p w14:paraId="06C05005" w14:textId="77777777" w:rsidR="00E72F0C" w:rsidRPr="00F84867" w:rsidRDefault="00107901">
            <w:pPr>
              <w:jc w:val="right"/>
              <w:rPr>
                <w:rFonts w:asciiTheme="minorEastAsia" w:hAnsiTheme="minorEastAsia" w:cs="Arial" w:hint="eastAsia"/>
                <w:color w:val="000000"/>
                <w:sz w:val="18"/>
                <w:szCs w:val="18"/>
              </w:rPr>
            </w:pPr>
            <w:r w:rsidRPr="00F84867">
              <w:rPr>
                <w:rFonts w:asciiTheme="minorEastAsia" w:hAnsiTheme="minorEastAsia" w:cs="Arial"/>
                <w:color w:val="000000"/>
                <w:sz w:val="18"/>
                <w:szCs w:val="18"/>
              </w:rPr>
              <w:t>95,876,352.00</w:t>
            </w:r>
          </w:p>
        </w:tc>
        <w:tc>
          <w:tcPr>
            <w:tcW w:w="1580" w:type="dxa"/>
            <w:tcMar>
              <w:top w:w="15" w:type="dxa"/>
              <w:left w:w="15" w:type="dxa"/>
              <w:bottom w:w="0" w:type="dxa"/>
              <w:right w:w="15" w:type="dxa"/>
            </w:tcMar>
            <w:vAlign w:val="center"/>
            <w:hideMark/>
          </w:tcPr>
          <w:p w14:paraId="1ACA75BC" w14:textId="77777777" w:rsidR="00E72F0C" w:rsidRPr="00F84867" w:rsidRDefault="00107901">
            <w:pPr>
              <w:jc w:val="right"/>
              <w:rPr>
                <w:rFonts w:asciiTheme="minorEastAsia" w:hAnsiTheme="minorEastAsia" w:cs="Arial" w:hint="eastAsia"/>
                <w:color w:val="000000"/>
                <w:sz w:val="18"/>
                <w:szCs w:val="18"/>
              </w:rPr>
            </w:pPr>
            <w:r w:rsidRPr="00F84867">
              <w:rPr>
                <w:rFonts w:asciiTheme="minorEastAsia" w:hAnsiTheme="minorEastAsia" w:cs="Arial"/>
                <w:color w:val="000000"/>
                <w:sz w:val="18"/>
                <w:szCs w:val="18"/>
              </w:rPr>
              <w:t xml:space="preserve">　</w:t>
            </w:r>
          </w:p>
        </w:tc>
        <w:tc>
          <w:tcPr>
            <w:tcW w:w="1580" w:type="dxa"/>
            <w:tcMar>
              <w:top w:w="15" w:type="dxa"/>
              <w:left w:w="15" w:type="dxa"/>
              <w:bottom w:w="0" w:type="dxa"/>
              <w:right w:w="15" w:type="dxa"/>
            </w:tcMar>
            <w:vAlign w:val="center"/>
            <w:hideMark/>
          </w:tcPr>
          <w:p w14:paraId="64135D53" w14:textId="77777777" w:rsidR="00E72F0C" w:rsidRPr="00F84867" w:rsidRDefault="00107901">
            <w:pPr>
              <w:jc w:val="right"/>
              <w:rPr>
                <w:rFonts w:asciiTheme="minorEastAsia" w:hAnsiTheme="minorEastAsia" w:cs="Arial" w:hint="eastAsia"/>
                <w:color w:val="000000"/>
                <w:sz w:val="18"/>
                <w:szCs w:val="18"/>
              </w:rPr>
            </w:pPr>
            <w:r w:rsidRPr="00F84867">
              <w:rPr>
                <w:rFonts w:asciiTheme="minorEastAsia" w:hAnsiTheme="minorEastAsia" w:cs="Arial"/>
                <w:color w:val="000000"/>
                <w:sz w:val="18"/>
                <w:szCs w:val="18"/>
              </w:rPr>
              <w:t xml:space="preserve">　</w:t>
            </w:r>
          </w:p>
        </w:tc>
        <w:tc>
          <w:tcPr>
            <w:tcW w:w="1580" w:type="dxa"/>
            <w:tcMar>
              <w:top w:w="15" w:type="dxa"/>
              <w:left w:w="15" w:type="dxa"/>
              <w:bottom w:w="0" w:type="dxa"/>
              <w:right w:w="15" w:type="dxa"/>
            </w:tcMar>
            <w:vAlign w:val="center"/>
            <w:hideMark/>
          </w:tcPr>
          <w:p w14:paraId="55F0238D" w14:textId="77777777" w:rsidR="00E72F0C" w:rsidRPr="00F84867" w:rsidRDefault="00107901">
            <w:pPr>
              <w:jc w:val="right"/>
              <w:rPr>
                <w:rFonts w:asciiTheme="minorEastAsia" w:hAnsiTheme="minorEastAsia" w:cs="Arial" w:hint="eastAsia"/>
                <w:color w:val="000000"/>
                <w:sz w:val="18"/>
                <w:szCs w:val="18"/>
              </w:rPr>
            </w:pPr>
            <w:r w:rsidRPr="00F84867">
              <w:rPr>
                <w:rFonts w:asciiTheme="minorEastAsia" w:hAnsiTheme="minorEastAsia" w:cs="Arial"/>
                <w:color w:val="000000"/>
                <w:sz w:val="18"/>
                <w:szCs w:val="18"/>
              </w:rPr>
              <w:t xml:space="preserve">　</w:t>
            </w:r>
          </w:p>
        </w:tc>
        <w:tc>
          <w:tcPr>
            <w:tcW w:w="1580" w:type="dxa"/>
            <w:tcMar>
              <w:top w:w="15" w:type="dxa"/>
              <w:left w:w="15" w:type="dxa"/>
              <w:bottom w:w="0" w:type="dxa"/>
              <w:right w:w="15" w:type="dxa"/>
            </w:tcMar>
            <w:vAlign w:val="center"/>
            <w:hideMark/>
          </w:tcPr>
          <w:p w14:paraId="7890AF5C" w14:textId="77777777" w:rsidR="00E72F0C" w:rsidRPr="00F84867" w:rsidRDefault="00107901">
            <w:pPr>
              <w:jc w:val="center"/>
              <w:rPr>
                <w:rFonts w:asciiTheme="minorEastAsia" w:hAnsiTheme="minorEastAsia" w:cs="宋体" w:hint="eastAsia"/>
                <w:color w:val="000000"/>
                <w:sz w:val="18"/>
                <w:szCs w:val="18"/>
              </w:rPr>
            </w:pPr>
            <w:r w:rsidRPr="00F84867">
              <w:rPr>
                <w:rFonts w:asciiTheme="minorEastAsia" w:hAnsiTheme="minorEastAsia" w:hint="eastAsia"/>
                <w:color w:val="000000"/>
                <w:sz w:val="18"/>
                <w:szCs w:val="18"/>
              </w:rPr>
              <w:t>注</w:t>
            </w:r>
            <w:r w:rsidRPr="00F84867">
              <w:rPr>
                <w:rFonts w:asciiTheme="minorEastAsia" w:hAnsiTheme="minorEastAsia" w:cs="Arial"/>
                <w:color w:val="000000"/>
                <w:sz w:val="18"/>
                <w:szCs w:val="18"/>
              </w:rPr>
              <w:t>2</w:t>
            </w:r>
          </w:p>
        </w:tc>
      </w:tr>
      <w:tr w:rsidR="00E72F0C" w:rsidRPr="00F84867" w14:paraId="036DF9D3" w14:textId="77777777" w:rsidTr="00F84867">
        <w:trPr>
          <w:divId w:val="22443726"/>
          <w:trHeight w:val="585"/>
        </w:trPr>
        <w:tc>
          <w:tcPr>
            <w:tcW w:w="2420" w:type="dxa"/>
            <w:tcMar>
              <w:top w:w="15" w:type="dxa"/>
              <w:left w:w="15" w:type="dxa"/>
              <w:bottom w:w="0" w:type="dxa"/>
              <w:right w:w="15" w:type="dxa"/>
            </w:tcMar>
            <w:vAlign w:val="center"/>
            <w:hideMark/>
          </w:tcPr>
          <w:p w14:paraId="7AEF4785" w14:textId="77777777" w:rsidR="00E72F0C" w:rsidRPr="00F84867" w:rsidRDefault="00107901">
            <w:pPr>
              <w:jc w:val="center"/>
              <w:rPr>
                <w:rFonts w:asciiTheme="minorEastAsia" w:hAnsiTheme="minorEastAsia" w:cs="宋体" w:hint="eastAsia"/>
                <w:color w:val="000000"/>
                <w:sz w:val="18"/>
                <w:szCs w:val="18"/>
              </w:rPr>
            </w:pPr>
            <w:r w:rsidRPr="00F84867">
              <w:rPr>
                <w:rFonts w:asciiTheme="minorEastAsia" w:hAnsiTheme="minorEastAsia" w:hint="eastAsia"/>
                <w:color w:val="000000"/>
                <w:sz w:val="18"/>
                <w:szCs w:val="18"/>
              </w:rPr>
              <w:t>合计</w:t>
            </w:r>
          </w:p>
        </w:tc>
        <w:tc>
          <w:tcPr>
            <w:tcW w:w="1580" w:type="dxa"/>
            <w:tcMar>
              <w:top w:w="15" w:type="dxa"/>
              <w:left w:w="15" w:type="dxa"/>
              <w:bottom w:w="0" w:type="dxa"/>
              <w:right w:w="15" w:type="dxa"/>
            </w:tcMar>
            <w:vAlign w:val="center"/>
            <w:hideMark/>
          </w:tcPr>
          <w:p w14:paraId="4897AE5B" w14:textId="77777777" w:rsidR="00E72F0C" w:rsidRPr="00F84867" w:rsidRDefault="00107901">
            <w:pPr>
              <w:jc w:val="right"/>
              <w:rPr>
                <w:rFonts w:asciiTheme="minorEastAsia" w:hAnsiTheme="minorEastAsia" w:cs="Arial" w:hint="eastAsia"/>
                <w:color w:val="000000"/>
                <w:sz w:val="18"/>
                <w:szCs w:val="18"/>
              </w:rPr>
            </w:pPr>
            <w:r w:rsidRPr="00F84867">
              <w:rPr>
                <w:rFonts w:asciiTheme="minorEastAsia" w:hAnsiTheme="minorEastAsia" w:cs="Arial"/>
                <w:color w:val="000000"/>
                <w:sz w:val="18"/>
                <w:szCs w:val="18"/>
              </w:rPr>
              <w:t>1,901,068,265.44</w:t>
            </w:r>
          </w:p>
        </w:tc>
        <w:tc>
          <w:tcPr>
            <w:tcW w:w="1580" w:type="dxa"/>
            <w:tcMar>
              <w:top w:w="15" w:type="dxa"/>
              <w:left w:w="15" w:type="dxa"/>
              <w:bottom w:w="0" w:type="dxa"/>
              <w:right w:w="15" w:type="dxa"/>
            </w:tcMar>
            <w:vAlign w:val="center"/>
            <w:hideMark/>
          </w:tcPr>
          <w:p w14:paraId="7E08A867" w14:textId="77777777" w:rsidR="00E72F0C" w:rsidRPr="00F84867" w:rsidRDefault="00107901">
            <w:pPr>
              <w:jc w:val="right"/>
              <w:rPr>
                <w:rFonts w:asciiTheme="minorEastAsia" w:hAnsiTheme="minorEastAsia" w:cs="Arial" w:hint="eastAsia"/>
                <w:color w:val="000000"/>
                <w:sz w:val="18"/>
                <w:szCs w:val="18"/>
              </w:rPr>
            </w:pPr>
            <w:r w:rsidRPr="00F84867">
              <w:rPr>
                <w:rFonts w:asciiTheme="minorEastAsia" w:hAnsiTheme="minorEastAsia" w:cs="Arial"/>
                <w:color w:val="000000"/>
                <w:sz w:val="18"/>
                <w:szCs w:val="18"/>
              </w:rPr>
              <w:t xml:space="preserve">　</w:t>
            </w:r>
          </w:p>
        </w:tc>
        <w:tc>
          <w:tcPr>
            <w:tcW w:w="1580" w:type="dxa"/>
            <w:tcMar>
              <w:top w:w="15" w:type="dxa"/>
              <w:left w:w="15" w:type="dxa"/>
              <w:bottom w:w="0" w:type="dxa"/>
              <w:right w:w="15" w:type="dxa"/>
            </w:tcMar>
            <w:vAlign w:val="center"/>
            <w:hideMark/>
          </w:tcPr>
          <w:p w14:paraId="2D318555" w14:textId="77777777" w:rsidR="00E72F0C" w:rsidRPr="00F84867" w:rsidRDefault="00107901">
            <w:pPr>
              <w:jc w:val="right"/>
              <w:rPr>
                <w:rFonts w:asciiTheme="minorEastAsia" w:hAnsiTheme="minorEastAsia" w:cs="Arial" w:hint="eastAsia"/>
                <w:color w:val="000000"/>
                <w:sz w:val="18"/>
                <w:szCs w:val="18"/>
              </w:rPr>
            </w:pPr>
            <w:r w:rsidRPr="00F84867">
              <w:rPr>
                <w:rFonts w:asciiTheme="minorEastAsia" w:hAnsiTheme="minorEastAsia" w:cs="Arial"/>
                <w:color w:val="000000"/>
                <w:sz w:val="18"/>
                <w:szCs w:val="18"/>
              </w:rPr>
              <w:t>1,901,068,265.44</w:t>
            </w:r>
          </w:p>
        </w:tc>
        <w:tc>
          <w:tcPr>
            <w:tcW w:w="1580" w:type="dxa"/>
            <w:tcMar>
              <w:top w:w="15" w:type="dxa"/>
              <w:left w:w="15" w:type="dxa"/>
              <w:bottom w:w="0" w:type="dxa"/>
              <w:right w:w="15" w:type="dxa"/>
            </w:tcMar>
            <w:vAlign w:val="center"/>
            <w:hideMark/>
          </w:tcPr>
          <w:p w14:paraId="5FD4E8EA" w14:textId="77777777" w:rsidR="00E72F0C" w:rsidRPr="00F84867" w:rsidRDefault="00107901">
            <w:pPr>
              <w:jc w:val="right"/>
              <w:rPr>
                <w:rFonts w:asciiTheme="minorEastAsia" w:hAnsiTheme="minorEastAsia" w:cs="Arial" w:hint="eastAsia"/>
                <w:color w:val="000000"/>
                <w:sz w:val="18"/>
                <w:szCs w:val="18"/>
              </w:rPr>
            </w:pPr>
            <w:r w:rsidRPr="00F84867">
              <w:rPr>
                <w:rFonts w:asciiTheme="minorEastAsia" w:hAnsiTheme="minorEastAsia" w:cs="Arial"/>
                <w:color w:val="000000"/>
                <w:sz w:val="18"/>
                <w:szCs w:val="18"/>
              </w:rPr>
              <w:t xml:space="preserve">　</w:t>
            </w:r>
          </w:p>
        </w:tc>
        <w:tc>
          <w:tcPr>
            <w:tcW w:w="1580" w:type="dxa"/>
            <w:tcMar>
              <w:top w:w="15" w:type="dxa"/>
              <w:left w:w="15" w:type="dxa"/>
              <w:bottom w:w="0" w:type="dxa"/>
              <w:right w:w="15" w:type="dxa"/>
            </w:tcMar>
            <w:vAlign w:val="center"/>
            <w:hideMark/>
          </w:tcPr>
          <w:p w14:paraId="05F84D73" w14:textId="77777777" w:rsidR="00E72F0C" w:rsidRPr="00F84867" w:rsidRDefault="00107901">
            <w:pPr>
              <w:jc w:val="right"/>
              <w:rPr>
                <w:rFonts w:asciiTheme="minorEastAsia" w:hAnsiTheme="minorEastAsia" w:cs="Arial" w:hint="eastAsia"/>
                <w:color w:val="000000"/>
                <w:sz w:val="18"/>
                <w:szCs w:val="18"/>
              </w:rPr>
            </w:pPr>
            <w:r w:rsidRPr="00F84867">
              <w:rPr>
                <w:rFonts w:asciiTheme="minorEastAsia" w:hAnsiTheme="minorEastAsia" w:cs="Arial"/>
                <w:color w:val="000000"/>
                <w:sz w:val="18"/>
                <w:szCs w:val="18"/>
              </w:rPr>
              <w:t xml:space="preserve">　</w:t>
            </w:r>
          </w:p>
        </w:tc>
        <w:tc>
          <w:tcPr>
            <w:tcW w:w="1580" w:type="dxa"/>
            <w:tcMar>
              <w:top w:w="15" w:type="dxa"/>
              <w:left w:w="15" w:type="dxa"/>
              <w:bottom w:w="0" w:type="dxa"/>
              <w:right w:w="15" w:type="dxa"/>
            </w:tcMar>
            <w:vAlign w:val="center"/>
            <w:hideMark/>
          </w:tcPr>
          <w:p w14:paraId="21BFF298" w14:textId="77777777" w:rsidR="00E72F0C" w:rsidRPr="00F84867" w:rsidRDefault="00107901">
            <w:pPr>
              <w:jc w:val="right"/>
              <w:rPr>
                <w:rFonts w:asciiTheme="minorEastAsia" w:hAnsiTheme="minorEastAsia" w:cs="Arial" w:hint="eastAsia"/>
                <w:color w:val="000000"/>
                <w:sz w:val="18"/>
                <w:szCs w:val="18"/>
              </w:rPr>
            </w:pPr>
            <w:r w:rsidRPr="00F84867">
              <w:rPr>
                <w:rFonts w:asciiTheme="minorEastAsia" w:hAnsiTheme="minorEastAsia" w:cs="Arial"/>
                <w:color w:val="000000"/>
                <w:sz w:val="18"/>
                <w:szCs w:val="18"/>
              </w:rPr>
              <w:t xml:space="preserve">　</w:t>
            </w:r>
          </w:p>
        </w:tc>
        <w:tc>
          <w:tcPr>
            <w:tcW w:w="1580" w:type="dxa"/>
            <w:tcMar>
              <w:top w:w="15" w:type="dxa"/>
              <w:left w:w="15" w:type="dxa"/>
              <w:bottom w:w="0" w:type="dxa"/>
              <w:right w:w="15" w:type="dxa"/>
            </w:tcMar>
            <w:vAlign w:val="center"/>
            <w:hideMark/>
          </w:tcPr>
          <w:p w14:paraId="5BCA8570" w14:textId="77777777" w:rsidR="00E72F0C" w:rsidRPr="00F84867" w:rsidRDefault="00107901">
            <w:pPr>
              <w:jc w:val="right"/>
              <w:rPr>
                <w:rFonts w:asciiTheme="minorEastAsia" w:hAnsiTheme="minorEastAsia" w:cs="Arial" w:hint="eastAsia"/>
                <w:color w:val="000000"/>
                <w:sz w:val="18"/>
                <w:szCs w:val="18"/>
              </w:rPr>
            </w:pPr>
            <w:r w:rsidRPr="00F84867">
              <w:rPr>
                <w:rFonts w:asciiTheme="minorEastAsia" w:hAnsiTheme="minorEastAsia" w:cs="Arial"/>
                <w:color w:val="000000"/>
                <w:sz w:val="18"/>
                <w:szCs w:val="18"/>
              </w:rPr>
              <w:t xml:space="preserve">　</w:t>
            </w:r>
          </w:p>
        </w:tc>
      </w:tr>
    </w:tbl>
    <w:p w14:paraId="3D9ED3E6" w14:textId="77777777" w:rsidR="00E4121F" w:rsidRPr="00E4121F" w:rsidRDefault="00107901" w:rsidP="00E4121F">
      <w:pPr>
        <w:ind w:firstLineChars="200" w:firstLine="360"/>
        <w:jc w:val="both"/>
        <w:divId w:val="22443726"/>
        <w:rPr>
          <w:rFonts w:asciiTheme="minorEastAsia" w:hAnsiTheme="minorEastAsia" w:cs="宋体" w:hint="eastAsia"/>
          <w:sz w:val="18"/>
          <w:szCs w:val="18"/>
        </w:rPr>
      </w:pPr>
      <w:r>
        <w:rPr>
          <w:rFonts w:hint="eastAsia"/>
          <w:sz w:val="18"/>
          <w:szCs w:val="18"/>
        </w:rPr>
        <w:t> </w:t>
      </w:r>
      <w:r w:rsidR="00E4121F" w:rsidRPr="00E4121F">
        <w:rPr>
          <w:rFonts w:asciiTheme="minorEastAsia" w:hAnsiTheme="minorEastAsia" w:cs="宋体" w:hint="eastAsia"/>
          <w:sz w:val="18"/>
          <w:szCs w:val="18"/>
        </w:rPr>
        <w:t>注</w:t>
      </w:r>
      <w:r w:rsidR="00E4121F" w:rsidRPr="00E4121F">
        <w:rPr>
          <w:rFonts w:asciiTheme="minorEastAsia" w:hAnsiTheme="minorEastAsia" w:cs="宋体"/>
          <w:sz w:val="18"/>
          <w:szCs w:val="18"/>
        </w:rPr>
        <w:t>1：根据表决通过的《江苏中利集团股份有限公司预重整案重大财产管理及处置议案》及《江苏中利集团股份有限公司破产重整案重整计划(草案)》，公司存在180,519.18万元非经营性资金占用（含因对中利控股违规担保计提的预计负债期末余额为11,221.28万元），该非经营性资金占用实质为公司对前控股股东、实际控制人及其附属企业所享有的债权，</w:t>
      </w:r>
      <w:r w:rsidR="00E4121F" w:rsidRPr="00E4121F">
        <w:rPr>
          <w:rFonts w:asciiTheme="minorEastAsia" w:hAnsiTheme="minorEastAsia" w:cs="宋体" w:hint="eastAsia"/>
          <w:sz w:val="18"/>
          <w:szCs w:val="18"/>
        </w:rPr>
        <w:t>因金额巨大属于重大财产，公司将通过催告、诉讼等方式对非经营性资金占用问题涉及的债务人前控股股东、实际控制人及其附属企业进行追偿，并将追偿所得款项向公司及协调审理下级公司债权人补充分配。为保障上市公司、中小投资者以及全体债权人的合法权益，通过债权人豁免</w:t>
      </w:r>
      <w:r w:rsidR="00E4121F" w:rsidRPr="00E4121F">
        <w:rPr>
          <w:rFonts w:asciiTheme="minorEastAsia" w:hAnsiTheme="minorEastAsia" w:cs="宋体"/>
          <w:sz w:val="18"/>
          <w:szCs w:val="18"/>
        </w:rPr>
        <w:t>11.25亿元的债权，全体财务投资人以现金6.80亿元向公司捐赠弥补非经营性资金占用形成的损失，具体如下:</w:t>
      </w:r>
    </w:p>
    <w:p w14:paraId="1133F9BF" w14:textId="77777777" w:rsidR="00E4121F" w:rsidRPr="00E4121F" w:rsidRDefault="00E4121F" w:rsidP="00E4121F">
      <w:pPr>
        <w:ind w:firstLineChars="200" w:firstLine="360"/>
        <w:jc w:val="both"/>
        <w:divId w:val="22443726"/>
        <w:rPr>
          <w:rFonts w:asciiTheme="minorEastAsia" w:hAnsiTheme="minorEastAsia" w:cs="宋体" w:hint="eastAsia"/>
          <w:sz w:val="18"/>
          <w:szCs w:val="18"/>
        </w:rPr>
      </w:pPr>
      <w:r w:rsidRPr="00E4121F">
        <w:rPr>
          <w:rFonts w:asciiTheme="minorEastAsia" w:hAnsiTheme="minorEastAsia" w:cs="宋体" w:hint="eastAsia"/>
          <w:sz w:val="18"/>
          <w:szCs w:val="18"/>
        </w:rPr>
        <w:t>（</w:t>
      </w:r>
      <w:r w:rsidRPr="00E4121F">
        <w:rPr>
          <w:rFonts w:asciiTheme="minorEastAsia" w:hAnsiTheme="minorEastAsia" w:cs="宋体"/>
          <w:sz w:val="18"/>
          <w:szCs w:val="18"/>
        </w:rPr>
        <w:t>1）公司、公司子公司分别与相关债权人签署了代为履行协议，同时签署了确认函，确认单方豁免标的债权，该协议</w:t>
      </w:r>
      <w:r w:rsidRPr="00E4121F">
        <w:rPr>
          <w:rFonts w:asciiTheme="minorEastAsia" w:hAnsiTheme="minorEastAsia" w:cs="宋体" w:hint="eastAsia"/>
          <w:sz w:val="18"/>
          <w:szCs w:val="18"/>
        </w:rPr>
        <w:t>自法院裁定受理公司重整日起生效。豁免目的旨在增厚公司权益、填补公司因非经营性资金占用而产生的损失，豁免涉及的金额及相关利息共计</w:t>
      </w:r>
      <w:r w:rsidRPr="00E4121F">
        <w:rPr>
          <w:rFonts w:asciiTheme="minorEastAsia" w:hAnsiTheme="minorEastAsia" w:cs="宋体"/>
          <w:sz w:val="18"/>
          <w:szCs w:val="18"/>
        </w:rPr>
        <w:t xml:space="preserve">112,483.48万元; </w:t>
      </w:r>
    </w:p>
    <w:p w14:paraId="1200CA0A" w14:textId="77777777" w:rsidR="00E4121F" w:rsidRPr="00E4121F" w:rsidRDefault="00E4121F" w:rsidP="00E4121F">
      <w:pPr>
        <w:ind w:firstLineChars="200" w:firstLine="360"/>
        <w:divId w:val="22443726"/>
        <w:rPr>
          <w:rFonts w:asciiTheme="minorEastAsia" w:hAnsiTheme="minorEastAsia" w:cs="宋体" w:hint="eastAsia"/>
          <w:sz w:val="18"/>
          <w:szCs w:val="18"/>
        </w:rPr>
      </w:pPr>
      <w:r w:rsidRPr="00E4121F">
        <w:rPr>
          <w:rFonts w:asciiTheme="minorEastAsia" w:hAnsiTheme="minorEastAsia" w:cs="宋体" w:hint="eastAsia"/>
          <w:sz w:val="18"/>
          <w:szCs w:val="18"/>
        </w:rPr>
        <w:t>（</w:t>
      </w:r>
      <w:r w:rsidRPr="00E4121F">
        <w:rPr>
          <w:rFonts w:asciiTheme="minorEastAsia" w:hAnsiTheme="minorEastAsia" w:cs="宋体"/>
          <w:sz w:val="18"/>
          <w:szCs w:val="18"/>
        </w:rPr>
        <w:t>2）全体财务投资人对公司捐赠款项68,035.71万元，全额以现金形式汇入管理人银行账户。如新发现除已公告并解决的180,519.19万元非经营性资金占用问题，且在重整受理日前已发生的，则由全体财务投资人在各自投资份额内负责解决；</w:t>
      </w:r>
    </w:p>
    <w:p w14:paraId="43539735" w14:textId="77777777" w:rsidR="00E4121F" w:rsidRPr="00E4121F" w:rsidRDefault="00E4121F" w:rsidP="00E4121F">
      <w:pPr>
        <w:ind w:firstLineChars="200" w:firstLine="360"/>
        <w:jc w:val="both"/>
        <w:divId w:val="22443726"/>
        <w:rPr>
          <w:rFonts w:asciiTheme="minorEastAsia" w:hAnsiTheme="minorEastAsia" w:cs="宋体" w:hint="eastAsia"/>
          <w:sz w:val="18"/>
          <w:szCs w:val="18"/>
        </w:rPr>
      </w:pPr>
      <w:r w:rsidRPr="00E4121F">
        <w:rPr>
          <w:rFonts w:asciiTheme="minorEastAsia" w:hAnsiTheme="minorEastAsia" w:cs="宋体" w:hint="eastAsia"/>
          <w:sz w:val="18"/>
          <w:szCs w:val="18"/>
        </w:rPr>
        <w:t>（</w:t>
      </w:r>
      <w:r w:rsidRPr="00E4121F">
        <w:rPr>
          <w:rFonts w:asciiTheme="minorEastAsia" w:hAnsiTheme="minorEastAsia" w:cs="宋体"/>
          <w:sz w:val="18"/>
          <w:szCs w:val="18"/>
        </w:rPr>
        <w:t>3）前大股东非经营性资金占用18.05亿元应收款项经第七届董事会第一次会议批准已核销。</w:t>
      </w:r>
    </w:p>
    <w:p w14:paraId="2D15C8DA" w14:textId="78DCA138" w:rsidR="00E72F0C" w:rsidRDefault="00E4121F" w:rsidP="00E4121F">
      <w:pPr>
        <w:pStyle w:val="a3"/>
        <w:spacing w:before="0" w:beforeAutospacing="0" w:after="0" w:afterAutospacing="0"/>
        <w:ind w:firstLineChars="200" w:firstLine="360"/>
        <w:jc w:val="both"/>
        <w:divId w:val="22443726"/>
        <w:rPr>
          <w:rFonts w:hint="eastAsia"/>
          <w:sz w:val="18"/>
          <w:szCs w:val="18"/>
        </w:rPr>
      </w:pPr>
      <w:r w:rsidRPr="00E4121F">
        <w:rPr>
          <w:rFonts w:asciiTheme="minorEastAsia" w:eastAsiaTheme="minorEastAsia" w:hAnsiTheme="minorEastAsia" w:hint="eastAsia"/>
          <w:kern w:val="2"/>
          <w:sz w:val="18"/>
          <w:szCs w:val="18"/>
        </w:rPr>
        <w:t>注</w:t>
      </w:r>
      <w:r w:rsidRPr="00E4121F">
        <w:rPr>
          <w:rFonts w:asciiTheme="minorEastAsia" w:eastAsiaTheme="minorEastAsia" w:hAnsiTheme="minorEastAsia"/>
          <w:kern w:val="2"/>
          <w:sz w:val="18"/>
          <w:szCs w:val="18"/>
        </w:rPr>
        <w:t>2：公司对江苏中利电子信息科技有限公司的债权为专网通信业务预付货款形成，由于预计无法追回，经第七届董事会第一次会议审议，公司将该笔其他应收款予以核销。</w:t>
      </w:r>
    </w:p>
    <w:p w14:paraId="37C72BB0" w14:textId="77777777" w:rsidR="00632E5B" w:rsidRDefault="00107901">
      <w:pPr>
        <w:pStyle w:val="3"/>
        <w:spacing w:line="280" w:lineRule="exact"/>
        <w:jc w:val="left"/>
        <w:rPr>
          <w:rFonts w:ascii="宋体" w:hAnsi="宋体" w:cs="宋体" w:hint="eastAsia"/>
          <w:b/>
          <w:bCs/>
        </w:rPr>
      </w:pPr>
      <w:bookmarkStart w:id="375" w:name="_Toc989265"/>
      <w:r>
        <w:rPr>
          <w:rFonts w:ascii="宋体" w:hAnsi="宋体" w:cs="宋体"/>
          <w:b/>
          <w:bCs/>
        </w:rPr>
        <w:lastRenderedPageBreak/>
        <w:t>6、关联方应收应付款项</w:t>
      </w:r>
      <w:bookmarkEnd w:id="375"/>
    </w:p>
    <w:p w14:paraId="6EE3C644"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376" w:name="_Toc989266"/>
      <w:r>
        <w:rPr>
          <w:rFonts w:ascii="宋体" w:eastAsia="宋体" w:hAnsi="宋体" w:cs="宋体"/>
          <w:b/>
          <w:bCs/>
          <w:szCs w:val="21"/>
        </w:rPr>
        <w:t>（1） 应收项目</w:t>
      </w:r>
      <w:bookmarkEnd w:id="376"/>
    </w:p>
    <w:p w14:paraId="333A1BE9"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95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607"/>
        <w:gridCol w:w="1606"/>
        <w:gridCol w:w="1606"/>
        <w:gridCol w:w="1607"/>
        <w:gridCol w:w="1827"/>
        <w:gridCol w:w="1701"/>
      </w:tblGrid>
      <w:tr w:rsidR="00632E5B" w14:paraId="193354E7" w14:textId="77777777" w:rsidTr="008B6556">
        <w:trPr>
          <w:trHeight w:val="240"/>
          <w:jc w:val="center"/>
        </w:trPr>
        <w:tc>
          <w:tcPr>
            <w:tcW w:w="1607" w:type="dxa"/>
            <w:vMerge w:val="restart"/>
            <w:shd w:val="clear" w:color="auto" w:fill="FFFFFF" w:themeFill="background1"/>
            <w:vAlign w:val="center"/>
          </w:tcPr>
          <w:p w14:paraId="574D813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项目名称</w:t>
            </w:r>
          </w:p>
        </w:tc>
        <w:tc>
          <w:tcPr>
            <w:tcW w:w="1606" w:type="dxa"/>
            <w:vMerge w:val="restart"/>
            <w:shd w:val="clear" w:color="auto" w:fill="FFFFFF" w:themeFill="background1"/>
            <w:vAlign w:val="center"/>
          </w:tcPr>
          <w:p w14:paraId="53626D4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关联方</w:t>
            </w:r>
          </w:p>
        </w:tc>
        <w:tc>
          <w:tcPr>
            <w:tcW w:w="3213" w:type="dxa"/>
            <w:gridSpan w:val="2"/>
            <w:shd w:val="clear" w:color="auto" w:fill="FFFFFF" w:themeFill="background1"/>
            <w:vAlign w:val="center"/>
          </w:tcPr>
          <w:p w14:paraId="0206F7E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528" w:type="dxa"/>
            <w:gridSpan w:val="2"/>
            <w:shd w:val="clear" w:color="auto" w:fill="FFFFFF" w:themeFill="background1"/>
            <w:vAlign w:val="center"/>
          </w:tcPr>
          <w:p w14:paraId="60618B8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632E5B" w14:paraId="11578648" w14:textId="77777777" w:rsidTr="008B6556">
        <w:trPr>
          <w:trHeight w:val="240"/>
          <w:jc w:val="center"/>
        </w:trPr>
        <w:tc>
          <w:tcPr>
            <w:tcW w:w="1607" w:type="dxa"/>
            <w:vMerge/>
            <w:shd w:val="clear" w:color="auto" w:fill="FFFFFF" w:themeFill="background1"/>
            <w:vAlign w:val="center"/>
          </w:tcPr>
          <w:p w14:paraId="614CE0A2" w14:textId="77777777" w:rsidR="00632E5B" w:rsidRDefault="00632E5B"/>
        </w:tc>
        <w:tc>
          <w:tcPr>
            <w:tcW w:w="1606" w:type="dxa"/>
            <w:vMerge/>
            <w:shd w:val="clear" w:color="auto" w:fill="FFFFFF" w:themeFill="background1"/>
            <w:vAlign w:val="center"/>
          </w:tcPr>
          <w:p w14:paraId="5D5281F7" w14:textId="77777777" w:rsidR="00632E5B" w:rsidRDefault="00632E5B"/>
        </w:tc>
        <w:tc>
          <w:tcPr>
            <w:tcW w:w="1606" w:type="dxa"/>
            <w:shd w:val="clear" w:color="auto" w:fill="FFFFFF" w:themeFill="background1"/>
            <w:vAlign w:val="center"/>
          </w:tcPr>
          <w:p w14:paraId="4150B5C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607" w:type="dxa"/>
            <w:shd w:val="clear" w:color="auto" w:fill="FFFFFF" w:themeFill="background1"/>
            <w:vAlign w:val="center"/>
          </w:tcPr>
          <w:p w14:paraId="505A4CF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1827" w:type="dxa"/>
            <w:shd w:val="clear" w:color="auto" w:fill="FFFFFF" w:themeFill="background1"/>
            <w:vAlign w:val="center"/>
          </w:tcPr>
          <w:p w14:paraId="33485A8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701" w:type="dxa"/>
            <w:shd w:val="clear" w:color="auto" w:fill="FFFFFF" w:themeFill="background1"/>
            <w:vAlign w:val="center"/>
          </w:tcPr>
          <w:p w14:paraId="79C4E37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r>
      <w:tr w:rsidR="00632E5B" w14:paraId="0B89EC4E" w14:textId="77777777" w:rsidTr="008B6556">
        <w:trPr>
          <w:trHeight w:val="240"/>
          <w:jc w:val="center"/>
        </w:trPr>
        <w:tc>
          <w:tcPr>
            <w:tcW w:w="1607" w:type="dxa"/>
            <w:shd w:val="clear" w:color="auto" w:fill="FFFFFF" w:themeFill="background1"/>
            <w:vAlign w:val="center"/>
          </w:tcPr>
          <w:p w14:paraId="65C72C3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其他应收款</w:t>
            </w:r>
          </w:p>
        </w:tc>
        <w:tc>
          <w:tcPr>
            <w:tcW w:w="1606" w:type="dxa"/>
            <w:shd w:val="clear" w:color="auto" w:fill="FFFFFF" w:themeFill="background1"/>
            <w:vAlign w:val="center"/>
          </w:tcPr>
          <w:p w14:paraId="24F8B67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江苏中利电子信息科技有限公司</w:t>
            </w:r>
          </w:p>
        </w:tc>
        <w:tc>
          <w:tcPr>
            <w:tcW w:w="1606" w:type="dxa"/>
            <w:shd w:val="clear" w:color="auto" w:fill="FFFFFF" w:themeFill="background1"/>
            <w:vAlign w:val="center"/>
          </w:tcPr>
          <w:p w14:paraId="747DB831" w14:textId="77777777" w:rsidR="00632E5B" w:rsidRDefault="00632E5B">
            <w:pPr>
              <w:spacing w:line="240" w:lineRule="exact"/>
              <w:jc w:val="right"/>
              <w:rPr>
                <w:rFonts w:ascii="宋体" w:eastAsia="宋体" w:hAnsi="宋体" w:cs="宋体" w:hint="eastAsia"/>
                <w:sz w:val="18"/>
                <w:szCs w:val="18"/>
              </w:rPr>
            </w:pPr>
          </w:p>
        </w:tc>
        <w:tc>
          <w:tcPr>
            <w:tcW w:w="1607" w:type="dxa"/>
            <w:shd w:val="clear" w:color="auto" w:fill="FFFFFF" w:themeFill="background1"/>
            <w:vAlign w:val="center"/>
          </w:tcPr>
          <w:p w14:paraId="16102764" w14:textId="77777777" w:rsidR="00632E5B" w:rsidRDefault="00632E5B">
            <w:pPr>
              <w:spacing w:line="240" w:lineRule="exact"/>
              <w:jc w:val="right"/>
              <w:rPr>
                <w:rFonts w:ascii="宋体" w:eastAsia="宋体" w:hAnsi="宋体" w:cs="宋体" w:hint="eastAsia"/>
                <w:sz w:val="18"/>
                <w:szCs w:val="18"/>
              </w:rPr>
            </w:pPr>
          </w:p>
        </w:tc>
        <w:tc>
          <w:tcPr>
            <w:tcW w:w="1827" w:type="dxa"/>
            <w:shd w:val="clear" w:color="auto" w:fill="FFFFFF" w:themeFill="background1"/>
            <w:vAlign w:val="center"/>
          </w:tcPr>
          <w:p w14:paraId="04C3D6E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95,876,352.00</w:t>
            </w:r>
          </w:p>
        </w:tc>
        <w:tc>
          <w:tcPr>
            <w:tcW w:w="1701" w:type="dxa"/>
            <w:shd w:val="clear" w:color="auto" w:fill="FFFFFF" w:themeFill="background1"/>
            <w:vAlign w:val="center"/>
          </w:tcPr>
          <w:p w14:paraId="6818693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95,876,352.00</w:t>
            </w:r>
          </w:p>
        </w:tc>
      </w:tr>
      <w:tr w:rsidR="00632E5B" w14:paraId="50A55C6E" w14:textId="77777777" w:rsidTr="008B6556">
        <w:trPr>
          <w:trHeight w:val="240"/>
          <w:jc w:val="center"/>
        </w:trPr>
        <w:tc>
          <w:tcPr>
            <w:tcW w:w="1607" w:type="dxa"/>
            <w:shd w:val="clear" w:color="auto" w:fill="FFFFFF" w:themeFill="background1"/>
            <w:vAlign w:val="center"/>
          </w:tcPr>
          <w:p w14:paraId="453B271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其他应收款</w:t>
            </w:r>
          </w:p>
        </w:tc>
        <w:tc>
          <w:tcPr>
            <w:tcW w:w="1606" w:type="dxa"/>
            <w:shd w:val="clear" w:color="auto" w:fill="FFFFFF" w:themeFill="background1"/>
            <w:vAlign w:val="center"/>
          </w:tcPr>
          <w:p w14:paraId="095713B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江苏中利控股集团有限公司</w:t>
            </w:r>
          </w:p>
        </w:tc>
        <w:tc>
          <w:tcPr>
            <w:tcW w:w="1606" w:type="dxa"/>
            <w:shd w:val="clear" w:color="auto" w:fill="FFFFFF" w:themeFill="background1"/>
            <w:vAlign w:val="center"/>
          </w:tcPr>
          <w:p w14:paraId="6C9B3694" w14:textId="77777777" w:rsidR="00632E5B" w:rsidRDefault="00632E5B">
            <w:pPr>
              <w:spacing w:line="240" w:lineRule="exact"/>
              <w:jc w:val="right"/>
              <w:rPr>
                <w:rFonts w:ascii="宋体" w:eastAsia="宋体" w:hAnsi="宋体" w:cs="宋体" w:hint="eastAsia"/>
                <w:sz w:val="18"/>
                <w:szCs w:val="18"/>
              </w:rPr>
            </w:pPr>
          </w:p>
        </w:tc>
        <w:tc>
          <w:tcPr>
            <w:tcW w:w="1607" w:type="dxa"/>
            <w:shd w:val="clear" w:color="auto" w:fill="FFFFFF" w:themeFill="background1"/>
            <w:vAlign w:val="center"/>
          </w:tcPr>
          <w:p w14:paraId="1989BE55" w14:textId="77777777" w:rsidR="00632E5B" w:rsidRDefault="00632E5B">
            <w:pPr>
              <w:spacing w:line="240" w:lineRule="exact"/>
              <w:jc w:val="right"/>
              <w:rPr>
                <w:rFonts w:ascii="宋体" w:eastAsia="宋体" w:hAnsi="宋体" w:cs="宋体" w:hint="eastAsia"/>
                <w:sz w:val="18"/>
                <w:szCs w:val="18"/>
              </w:rPr>
            </w:pPr>
          </w:p>
        </w:tc>
        <w:tc>
          <w:tcPr>
            <w:tcW w:w="1827" w:type="dxa"/>
            <w:shd w:val="clear" w:color="auto" w:fill="FFFFFF" w:themeFill="background1"/>
            <w:vAlign w:val="center"/>
          </w:tcPr>
          <w:p w14:paraId="5457926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1,805,191,913.44</w:t>
            </w:r>
          </w:p>
        </w:tc>
        <w:tc>
          <w:tcPr>
            <w:tcW w:w="1701" w:type="dxa"/>
            <w:shd w:val="clear" w:color="auto" w:fill="FFFFFF" w:themeFill="background1"/>
            <w:vAlign w:val="center"/>
          </w:tcPr>
          <w:p w14:paraId="3E97625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1,609,874,613.45</w:t>
            </w:r>
          </w:p>
        </w:tc>
      </w:tr>
      <w:tr w:rsidR="00632E5B" w14:paraId="51FFB848" w14:textId="77777777" w:rsidTr="008B6556">
        <w:trPr>
          <w:trHeight w:val="240"/>
          <w:jc w:val="center"/>
        </w:trPr>
        <w:tc>
          <w:tcPr>
            <w:tcW w:w="1607" w:type="dxa"/>
            <w:shd w:val="clear" w:color="auto" w:fill="FFFFFF" w:themeFill="background1"/>
            <w:vAlign w:val="center"/>
          </w:tcPr>
          <w:p w14:paraId="72D7CF3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应收账款</w:t>
            </w:r>
          </w:p>
        </w:tc>
        <w:tc>
          <w:tcPr>
            <w:tcW w:w="1606" w:type="dxa"/>
            <w:shd w:val="clear" w:color="auto" w:fill="FFFFFF" w:themeFill="background1"/>
            <w:vAlign w:val="center"/>
          </w:tcPr>
          <w:p w14:paraId="5C352FF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建发（上海）有限公司</w:t>
            </w:r>
          </w:p>
        </w:tc>
        <w:tc>
          <w:tcPr>
            <w:tcW w:w="1606" w:type="dxa"/>
            <w:shd w:val="clear" w:color="auto" w:fill="FFFFFF" w:themeFill="background1"/>
            <w:vAlign w:val="center"/>
          </w:tcPr>
          <w:p w14:paraId="7F7F1A5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27,295.20</w:t>
            </w:r>
          </w:p>
        </w:tc>
        <w:tc>
          <w:tcPr>
            <w:tcW w:w="1607" w:type="dxa"/>
            <w:shd w:val="clear" w:color="auto" w:fill="FFFFFF" w:themeFill="background1"/>
            <w:vAlign w:val="center"/>
          </w:tcPr>
          <w:p w14:paraId="4A2220C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1,637.71</w:t>
            </w:r>
          </w:p>
        </w:tc>
        <w:tc>
          <w:tcPr>
            <w:tcW w:w="1827" w:type="dxa"/>
            <w:shd w:val="clear" w:color="auto" w:fill="FFFFFF" w:themeFill="background1"/>
            <w:vAlign w:val="center"/>
          </w:tcPr>
          <w:p w14:paraId="1A500301" w14:textId="77777777" w:rsidR="00632E5B" w:rsidRDefault="00632E5B">
            <w:pPr>
              <w:spacing w:line="240" w:lineRule="exact"/>
              <w:jc w:val="right"/>
              <w:rPr>
                <w:rFonts w:ascii="宋体" w:eastAsia="宋体" w:hAnsi="宋体" w:cs="宋体" w:hint="eastAsia"/>
                <w:sz w:val="18"/>
                <w:szCs w:val="18"/>
              </w:rPr>
            </w:pPr>
          </w:p>
        </w:tc>
        <w:tc>
          <w:tcPr>
            <w:tcW w:w="1701" w:type="dxa"/>
            <w:shd w:val="clear" w:color="auto" w:fill="FFFFFF" w:themeFill="background1"/>
            <w:vAlign w:val="center"/>
          </w:tcPr>
          <w:p w14:paraId="0A900440" w14:textId="77777777" w:rsidR="00632E5B" w:rsidRDefault="00632E5B">
            <w:pPr>
              <w:spacing w:line="240" w:lineRule="exact"/>
              <w:jc w:val="right"/>
              <w:rPr>
                <w:rFonts w:ascii="宋体" w:eastAsia="宋体" w:hAnsi="宋体" w:cs="宋体" w:hint="eastAsia"/>
                <w:sz w:val="18"/>
                <w:szCs w:val="18"/>
              </w:rPr>
            </w:pPr>
          </w:p>
        </w:tc>
      </w:tr>
    </w:tbl>
    <w:p w14:paraId="5A4D825D"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377" w:name="_Toc989267"/>
      <w:r>
        <w:rPr>
          <w:rFonts w:ascii="宋体" w:eastAsia="宋体" w:hAnsi="宋体" w:cs="宋体"/>
          <w:b/>
          <w:bCs/>
          <w:szCs w:val="21"/>
        </w:rPr>
        <w:t>（2） 应付项目</w:t>
      </w:r>
      <w:bookmarkEnd w:id="377"/>
    </w:p>
    <w:p w14:paraId="6A8F0C50"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2409"/>
        <w:gridCol w:w="2410"/>
        <w:gridCol w:w="2410"/>
        <w:gridCol w:w="2410"/>
      </w:tblGrid>
      <w:tr w:rsidR="00632E5B" w14:paraId="6F822146" w14:textId="77777777" w:rsidTr="008B6556">
        <w:trPr>
          <w:trHeight w:val="240"/>
        </w:trPr>
        <w:tc>
          <w:tcPr>
            <w:tcW w:w="2410" w:type="dxa"/>
            <w:shd w:val="clear" w:color="auto" w:fill="FFFFFF" w:themeFill="background1"/>
            <w:vAlign w:val="center"/>
          </w:tcPr>
          <w:p w14:paraId="0CD853C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项目名称</w:t>
            </w:r>
          </w:p>
        </w:tc>
        <w:tc>
          <w:tcPr>
            <w:tcW w:w="2410" w:type="dxa"/>
            <w:shd w:val="clear" w:color="auto" w:fill="FFFFFF" w:themeFill="background1"/>
            <w:vAlign w:val="center"/>
          </w:tcPr>
          <w:p w14:paraId="621380D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关联方</w:t>
            </w:r>
          </w:p>
        </w:tc>
        <w:tc>
          <w:tcPr>
            <w:tcW w:w="2410" w:type="dxa"/>
            <w:shd w:val="clear" w:color="auto" w:fill="FFFFFF" w:themeFill="background1"/>
            <w:vAlign w:val="center"/>
          </w:tcPr>
          <w:p w14:paraId="2141A54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期末账面余额</w:t>
            </w:r>
          </w:p>
        </w:tc>
        <w:tc>
          <w:tcPr>
            <w:tcW w:w="2410" w:type="dxa"/>
            <w:shd w:val="clear" w:color="auto" w:fill="FFFFFF" w:themeFill="background1"/>
            <w:vAlign w:val="center"/>
          </w:tcPr>
          <w:p w14:paraId="6E6D3B2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期初账面余额</w:t>
            </w:r>
          </w:p>
        </w:tc>
      </w:tr>
      <w:tr w:rsidR="00632E5B" w14:paraId="1AD56502" w14:textId="77777777" w:rsidTr="008B6556">
        <w:trPr>
          <w:trHeight w:val="240"/>
        </w:trPr>
        <w:tc>
          <w:tcPr>
            <w:tcW w:w="2410" w:type="dxa"/>
            <w:shd w:val="clear" w:color="auto" w:fill="FFFFFF" w:themeFill="background1"/>
            <w:vAlign w:val="center"/>
          </w:tcPr>
          <w:p w14:paraId="6E4374E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应付账款</w:t>
            </w:r>
          </w:p>
        </w:tc>
        <w:tc>
          <w:tcPr>
            <w:tcW w:w="2410" w:type="dxa"/>
            <w:shd w:val="clear" w:color="auto" w:fill="FFFFFF" w:themeFill="background1"/>
            <w:vAlign w:val="center"/>
          </w:tcPr>
          <w:p w14:paraId="2CE9F46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江苏中利控股集团有限公司</w:t>
            </w:r>
          </w:p>
        </w:tc>
        <w:tc>
          <w:tcPr>
            <w:tcW w:w="2410" w:type="dxa"/>
            <w:shd w:val="clear" w:color="auto" w:fill="FFFFFF" w:themeFill="background1"/>
            <w:vAlign w:val="center"/>
          </w:tcPr>
          <w:p w14:paraId="2652E054"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5474AB1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11,456,243.29</w:t>
            </w:r>
          </w:p>
        </w:tc>
      </w:tr>
      <w:tr w:rsidR="00632E5B" w14:paraId="24834472" w14:textId="77777777" w:rsidTr="008B6556">
        <w:trPr>
          <w:trHeight w:val="240"/>
        </w:trPr>
        <w:tc>
          <w:tcPr>
            <w:tcW w:w="2410" w:type="dxa"/>
            <w:shd w:val="clear" w:color="auto" w:fill="FFFFFF" w:themeFill="background1"/>
            <w:vAlign w:val="center"/>
          </w:tcPr>
          <w:p w14:paraId="0790BFA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应付账款</w:t>
            </w:r>
          </w:p>
        </w:tc>
        <w:tc>
          <w:tcPr>
            <w:tcW w:w="2410" w:type="dxa"/>
            <w:shd w:val="clear" w:color="auto" w:fill="FFFFFF" w:themeFill="background1"/>
            <w:vAlign w:val="center"/>
          </w:tcPr>
          <w:p w14:paraId="5715B09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山东中能技术有限公司</w:t>
            </w:r>
          </w:p>
        </w:tc>
        <w:tc>
          <w:tcPr>
            <w:tcW w:w="2410" w:type="dxa"/>
            <w:shd w:val="clear" w:color="auto" w:fill="FFFFFF" w:themeFill="background1"/>
            <w:vAlign w:val="center"/>
          </w:tcPr>
          <w:p w14:paraId="7624E79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46,082.02</w:t>
            </w:r>
          </w:p>
        </w:tc>
        <w:tc>
          <w:tcPr>
            <w:tcW w:w="2410" w:type="dxa"/>
            <w:shd w:val="clear" w:color="auto" w:fill="FFFFFF" w:themeFill="background1"/>
            <w:vAlign w:val="center"/>
          </w:tcPr>
          <w:p w14:paraId="00D5C8C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1,487,259.50</w:t>
            </w:r>
          </w:p>
        </w:tc>
      </w:tr>
    </w:tbl>
    <w:p w14:paraId="5AE582F5" w14:textId="77777777" w:rsidR="00632E5B" w:rsidRDefault="00107901">
      <w:pPr>
        <w:pStyle w:val="2"/>
        <w:spacing w:before="300" w:after="300" w:line="320" w:lineRule="exact"/>
        <w:rPr>
          <w:rFonts w:ascii="宋体" w:eastAsia="宋体" w:hAnsi="宋体" w:cs="宋体" w:hint="eastAsia"/>
          <w:b/>
          <w:bCs/>
          <w:sz w:val="24"/>
          <w:szCs w:val="24"/>
        </w:rPr>
      </w:pPr>
      <w:bookmarkStart w:id="378" w:name="_Toc989268"/>
      <w:r>
        <w:rPr>
          <w:rFonts w:ascii="宋体" w:eastAsia="宋体" w:hAnsi="宋体" w:cs="宋体"/>
          <w:b/>
          <w:bCs/>
          <w:sz w:val="24"/>
          <w:szCs w:val="24"/>
        </w:rPr>
        <w:t>十四、承诺及或有事项</w:t>
      </w:r>
      <w:bookmarkEnd w:id="378"/>
    </w:p>
    <w:p w14:paraId="31DDE987" w14:textId="77777777" w:rsidR="00632E5B" w:rsidRDefault="00107901">
      <w:pPr>
        <w:pStyle w:val="3"/>
        <w:spacing w:line="280" w:lineRule="exact"/>
        <w:jc w:val="left"/>
        <w:rPr>
          <w:rFonts w:ascii="宋体" w:hAnsi="宋体" w:cs="宋体" w:hint="eastAsia"/>
          <w:b/>
          <w:bCs/>
        </w:rPr>
      </w:pPr>
      <w:bookmarkStart w:id="379" w:name="_Toc989269"/>
      <w:r>
        <w:rPr>
          <w:rFonts w:ascii="宋体" w:hAnsi="宋体" w:cs="宋体"/>
          <w:b/>
          <w:bCs/>
        </w:rPr>
        <w:t>1、或有事项</w:t>
      </w:r>
      <w:bookmarkEnd w:id="379"/>
    </w:p>
    <w:p w14:paraId="2954AD39"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380" w:name="_Toc989270"/>
      <w:r>
        <w:rPr>
          <w:rFonts w:ascii="宋体" w:eastAsia="宋体" w:hAnsi="宋体" w:cs="宋体"/>
          <w:b/>
          <w:bCs/>
          <w:szCs w:val="21"/>
        </w:rPr>
        <w:t>（1） 资产负债表日存在的重要或有事项</w:t>
      </w:r>
      <w:bookmarkEnd w:id="380"/>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11"/>
        <w:gridCol w:w="1929"/>
        <w:gridCol w:w="1934"/>
        <w:gridCol w:w="1432"/>
        <w:gridCol w:w="1432"/>
        <w:gridCol w:w="1432"/>
      </w:tblGrid>
      <w:tr w:rsidR="00E72F0C" w14:paraId="5576B697" w14:textId="77777777" w:rsidTr="00F84867">
        <w:trPr>
          <w:divId w:val="802581141"/>
          <w:trHeight w:val="438"/>
        </w:trPr>
        <w:tc>
          <w:tcPr>
            <w:tcW w:w="1945" w:type="dxa"/>
            <w:tcMar>
              <w:top w:w="15" w:type="dxa"/>
              <w:left w:w="15" w:type="dxa"/>
              <w:bottom w:w="0" w:type="dxa"/>
              <w:right w:w="15" w:type="dxa"/>
            </w:tcMar>
            <w:vAlign w:val="center"/>
            <w:hideMark/>
          </w:tcPr>
          <w:p w14:paraId="30861AA1" w14:textId="77777777" w:rsidR="00E72F0C" w:rsidRDefault="00107901" w:rsidP="00695EAE">
            <w:pPr>
              <w:pStyle w:val="a3"/>
              <w:spacing w:before="0" w:beforeAutospacing="0" w:after="0" w:afterAutospacing="0"/>
              <w:jc w:val="center"/>
              <w:rPr>
                <w:rFonts w:ascii="Calibri" w:hAnsi="Calibri" w:cs="Calibri"/>
                <w:sz w:val="21"/>
                <w:szCs w:val="21"/>
              </w:rPr>
            </w:pPr>
            <w:r>
              <w:rPr>
                <w:rFonts w:cs="Calibri" w:hint="eastAsia"/>
                <w:color w:val="000000"/>
                <w:sz w:val="18"/>
                <w:szCs w:val="18"/>
              </w:rPr>
              <w:t>原告</w:t>
            </w:r>
          </w:p>
        </w:tc>
        <w:tc>
          <w:tcPr>
            <w:tcW w:w="1945" w:type="dxa"/>
            <w:tcMar>
              <w:top w:w="15" w:type="dxa"/>
              <w:left w:w="15" w:type="dxa"/>
              <w:bottom w:w="0" w:type="dxa"/>
              <w:right w:w="15" w:type="dxa"/>
            </w:tcMar>
            <w:vAlign w:val="center"/>
            <w:hideMark/>
          </w:tcPr>
          <w:p w14:paraId="23B871CD" w14:textId="77777777" w:rsidR="00E72F0C" w:rsidRDefault="00107901" w:rsidP="00695EAE">
            <w:pPr>
              <w:pStyle w:val="a3"/>
              <w:spacing w:before="0" w:beforeAutospacing="0" w:after="0" w:afterAutospacing="0"/>
              <w:jc w:val="center"/>
              <w:rPr>
                <w:rFonts w:ascii="Calibri" w:hAnsi="Calibri" w:cs="Calibri"/>
                <w:sz w:val="21"/>
                <w:szCs w:val="21"/>
              </w:rPr>
            </w:pPr>
            <w:r>
              <w:rPr>
                <w:rFonts w:cs="Calibri" w:hint="eastAsia"/>
                <w:color w:val="000000"/>
                <w:sz w:val="18"/>
                <w:szCs w:val="18"/>
              </w:rPr>
              <w:t>被告</w:t>
            </w:r>
          </w:p>
        </w:tc>
        <w:tc>
          <w:tcPr>
            <w:tcW w:w="1945" w:type="dxa"/>
            <w:tcMar>
              <w:top w:w="15" w:type="dxa"/>
              <w:left w:w="15" w:type="dxa"/>
              <w:bottom w:w="0" w:type="dxa"/>
              <w:right w:w="15" w:type="dxa"/>
            </w:tcMar>
            <w:vAlign w:val="center"/>
            <w:hideMark/>
          </w:tcPr>
          <w:p w14:paraId="75F27ABE" w14:textId="77777777" w:rsidR="00E72F0C" w:rsidRDefault="00107901" w:rsidP="00695EAE">
            <w:pPr>
              <w:pStyle w:val="a3"/>
              <w:spacing w:before="0" w:beforeAutospacing="0" w:after="0" w:afterAutospacing="0"/>
              <w:jc w:val="center"/>
              <w:rPr>
                <w:rFonts w:ascii="Calibri" w:hAnsi="Calibri" w:cs="Calibri"/>
                <w:sz w:val="21"/>
                <w:szCs w:val="21"/>
              </w:rPr>
            </w:pPr>
            <w:r>
              <w:rPr>
                <w:rFonts w:cs="Calibri" w:hint="eastAsia"/>
                <w:color w:val="000000"/>
                <w:sz w:val="18"/>
                <w:szCs w:val="18"/>
              </w:rPr>
              <w:t>标的额（万元）</w:t>
            </w:r>
          </w:p>
        </w:tc>
        <w:tc>
          <w:tcPr>
            <w:tcW w:w="1445" w:type="dxa"/>
            <w:tcMar>
              <w:top w:w="15" w:type="dxa"/>
              <w:left w:w="15" w:type="dxa"/>
              <w:bottom w:w="0" w:type="dxa"/>
              <w:right w:w="15" w:type="dxa"/>
            </w:tcMar>
            <w:vAlign w:val="center"/>
            <w:hideMark/>
          </w:tcPr>
          <w:p w14:paraId="725BD0D8" w14:textId="77777777" w:rsidR="00E72F0C" w:rsidRDefault="00107901" w:rsidP="00695EAE">
            <w:pPr>
              <w:pStyle w:val="a3"/>
              <w:spacing w:before="0" w:beforeAutospacing="0" w:after="0" w:afterAutospacing="0"/>
              <w:jc w:val="center"/>
              <w:rPr>
                <w:rFonts w:ascii="Calibri" w:hAnsi="Calibri" w:cs="Calibri"/>
                <w:sz w:val="21"/>
                <w:szCs w:val="21"/>
              </w:rPr>
            </w:pPr>
            <w:r>
              <w:rPr>
                <w:rFonts w:cs="Calibri" w:hint="eastAsia"/>
                <w:color w:val="000000"/>
                <w:sz w:val="18"/>
                <w:szCs w:val="18"/>
              </w:rPr>
              <w:t>是否形成预计负债</w:t>
            </w:r>
          </w:p>
        </w:tc>
        <w:tc>
          <w:tcPr>
            <w:tcW w:w="1445" w:type="dxa"/>
            <w:tcMar>
              <w:top w:w="15" w:type="dxa"/>
              <w:left w:w="15" w:type="dxa"/>
              <w:bottom w:w="0" w:type="dxa"/>
              <w:right w:w="15" w:type="dxa"/>
            </w:tcMar>
            <w:vAlign w:val="center"/>
            <w:hideMark/>
          </w:tcPr>
          <w:p w14:paraId="4767D831" w14:textId="77777777" w:rsidR="00E72F0C" w:rsidRDefault="00107901" w:rsidP="00695EAE">
            <w:pPr>
              <w:pStyle w:val="a3"/>
              <w:spacing w:before="0" w:beforeAutospacing="0" w:after="0" w:afterAutospacing="0"/>
              <w:jc w:val="center"/>
              <w:rPr>
                <w:rFonts w:ascii="Calibri" w:hAnsi="Calibri" w:cs="Calibri"/>
                <w:sz w:val="21"/>
                <w:szCs w:val="21"/>
              </w:rPr>
            </w:pPr>
            <w:r>
              <w:rPr>
                <w:rFonts w:cs="Calibri" w:hint="eastAsia"/>
                <w:color w:val="000000"/>
                <w:sz w:val="18"/>
                <w:szCs w:val="18"/>
              </w:rPr>
              <w:t>纠纷原因</w:t>
            </w:r>
          </w:p>
        </w:tc>
        <w:tc>
          <w:tcPr>
            <w:tcW w:w="1445" w:type="dxa"/>
            <w:tcMar>
              <w:top w:w="15" w:type="dxa"/>
              <w:left w:w="15" w:type="dxa"/>
              <w:bottom w:w="0" w:type="dxa"/>
              <w:right w:w="15" w:type="dxa"/>
            </w:tcMar>
            <w:vAlign w:val="center"/>
            <w:hideMark/>
          </w:tcPr>
          <w:p w14:paraId="75DDB507" w14:textId="77777777" w:rsidR="00E72F0C" w:rsidRDefault="00107901" w:rsidP="00695EAE">
            <w:pPr>
              <w:pStyle w:val="a3"/>
              <w:spacing w:before="0" w:beforeAutospacing="0" w:after="0" w:afterAutospacing="0"/>
              <w:jc w:val="center"/>
              <w:rPr>
                <w:rFonts w:ascii="Calibri" w:hAnsi="Calibri" w:cs="Calibri"/>
                <w:sz w:val="21"/>
                <w:szCs w:val="21"/>
              </w:rPr>
            </w:pPr>
            <w:r>
              <w:rPr>
                <w:rFonts w:cs="Calibri" w:hint="eastAsia"/>
                <w:color w:val="000000"/>
                <w:sz w:val="18"/>
                <w:szCs w:val="18"/>
              </w:rPr>
              <w:t>案件状态</w:t>
            </w:r>
          </w:p>
        </w:tc>
      </w:tr>
      <w:tr w:rsidR="00E72F0C" w14:paraId="58EAC625" w14:textId="77777777" w:rsidTr="00F84867">
        <w:trPr>
          <w:divId w:val="802581141"/>
          <w:trHeight w:val="679"/>
        </w:trPr>
        <w:tc>
          <w:tcPr>
            <w:tcW w:w="1945" w:type="dxa"/>
            <w:tcMar>
              <w:top w:w="15" w:type="dxa"/>
              <w:left w:w="15" w:type="dxa"/>
              <w:bottom w:w="0" w:type="dxa"/>
              <w:right w:w="15" w:type="dxa"/>
            </w:tcMar>
            <w:vAlign w:val="center"/>
            <w:hideMark/>
          </w:tcPr>
          <w:p w14:paraId="4647B22C" w14:textId="77777777" w:rsidR="00E72F0C" w:rsidRDefault="00107901">
            <w:pPr>
              <w:pStyle w:val="a3"/>
              <w:spacing w:before="0" w:beforeAutospacing="0" w:after="0" w:afterAutospacing="0"/>
              <w:rPr>
                <w:rFonts w:ascii="Calibri" w:hAnsi="Calibri" w:cs="Calibri"/>
                <w:sz w:val="21"/>
                <w:szCs w:val="21"/>
              </w:rPr>
            </w:pPr>
            <w:r>
              <w:rPr>
                <w:rFonts w:cs="Calibri" w:hint="eastAsia"/>
                <w:color w:val="000000"/>
                <w:sz w:val="18"/>
                <w:szCs w:val="18"/>
              </w:rPr>
              <w:t>MARTIFER-SILVERADO FUND I,LLC</w:t>
            </w:r>
          </w:p>
        </w:tc>
        <w:tc>
          <w:tcPr>
            <w:tcW w:w="1945" w:type="dxa"/>
            <w:tcMar>
              <w:top w:w="15" w:type="dxa"/>
              <w:left w:w="15" w:type="dxa"/>
              <w:bottom w:w="0" w:type="dxa"/>
              <w:right w:w="15" w:type="dxa"/>
            </w:tcMar>
            <w:vAlign w:val="center"/>
            <w:hideMark/>
          </w:tcPr>
          <w:p w14:paraId="478B0A5D" w14:textId="77777777" w:rsidR="00E72F0C" w:rsidRDefault="00107901">
            <w:pPr>
              <w:pStyle w:val="a3"/>
              <w:spacing w:before="0" w:beforeAutospacing="0" w:after="0" w:afterAutospacing="0"/>
              <w:rPr>
                <w:rFonts w:ascii="Calibri" w:hAnsi="Calibri" w:cs="Calibri"/>
                <w:sz w:val="21"/>
                <w:szCs w:val="21"/>
              </w:rPr>
            </w:pPr>
            <w:r>
              <w:rPr>
                <w:rFonts w:cs="Calibri" w:hint="eastAsia"/>
                <w:color w:val="000000"/>
                <w:sz w:val="18"/>
                <w:szCs w:val="18"/>
              </w:rPr>
              <w:t>江苏中利集团股份有限公司、苏州腾晖光伏技术有限公司</w:t>
            </w:r>
          </w:p>
        </w:tc>
        <w:tc>
          <w:tcPr>
            <w:tcW w:w="1945" w:type="dxa"/>
            <w:tcMar>
              <w:top w:w="15" w:type="dxa"/>
              <w:left w:w="15" w:type="dxa"/>
              <w:bottom w:w="0" w:type="dxa"/>
              <w:right w:w="15" w:type="dxa"/>
            </w:tcMar>
            <w:vAlign w:val="center"/>
            <w:hideMark/>
          </w:tcPr>
          <w:p w14:paraId="3C197D75"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7,582.47万美元</w:t>
            </w:r>
          </w:p>
        </w:tc>
        <w:tc>
          <w:tcPr>
            <w:tcW w:w="1445" w:type="dxa"/>
            <w:tcMar>
              <w:top w:w="15" w:type="dxa"/>
              <w:left w:w="15" w:type="dxa"/>
              <w:bottom w:w="0" w:type="dxa"/>
              <w:right w:w="15" w:type="dxa"/>
            </w:tcMar>
            <w:vAlign w:val="center"/>
            <w:hideMark/>
          </w:tcPr>
          <w:p w14:paraId="38EECC05"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是</w:t>
            </w:r>
          </w:p>
        </w:tc>
        <w:tc>
          <w:tcPr>
            <w:tcW w:w="1445" w:type="dxa"/>
            <w:tcMar>
              <w:top w:w="15" w:type="dxa"/>
              <w:left w:w="15" w:type="dxa"/>
              <w:bottom w:w="0" w:type="dxa"/>
              <w:right w:w="15" w:type="dxa"/>
            </w:tcMar>
            <w:vAlign w:val="center"/>
            <w:hideMark/>
          </w:tcPr>
          <w:p w14:paraId="3C159F7A" w14:textId="77777777" w:rsidR="00E72F0C" w:rsidRDefault="00107901">
            <w:pPr>
              <w:pStyle w:val="a3"/>
              <w:spacing w:before="0" w:beforeAutospacing="0" w:after="0" w:afterAutospacing="0"/>
              <w:rPr>
                <w:rFonts w:ascii="Calibri" w:hAnsi="Calibri" w:cs="Calibri"/>
                <w:sz w:val="21"/>
                <w:szCs w:val="21"/>
              </w:rPr>
            </w:pPr>
            <w:r>
              <w:rPr>
                <w:rFonts w:cs="Calibri" w:hint="eastAsia"/>
                <w:color w:val="000000"/>
                <w:sz w:val="18"/>
                <w:szCs w:val="18"/>
              </w:rPr>
              <w:t>追偿权纠纷</w:t>
            </w:r>
          </w:p>
        </w:tc>
        <w:tc>
          <w:tcPr>
            <w:tcW w:w="1445" w:type="dxa"/>
            <w:tcMar>
              <w:top w:w="15" w:type="dxa"/>
              <w:left w:w="15" w:type="dxa"/>
              <w:bottom w:w="0" w:type="dxa"/>
              <w:right w:w="15" w:type="dxa"/>
            </w:tcMar>
            <w:vAlign w:val="center"/>
            <w:hideMark/>
          </w:tcPr>
          <w:p w14:paraId="2493E5FC" w14:textId="77777777" w:rsidR="00E72F0C" w:rsidRDefault="00107901">
            <w:pPr>
              <w:pStyle w:val="a3"/>
              <w:spacing w:before="0" w:beforeAutospacing="0" w:after="0" w:afterAutospacing="0"/>
              <w:rPr>
                <w:rFonts w:ascii="Calibri" w:hAnsi="Calibri" w:cs="Calibri"/>
                <w:sz w:val="21"/>
                <w:szCs w:val="21"/>
              </w:rPr>
            </w:pPr>
            <w:r>
              <w:rPr>
                <w:rFonts w:cs="Calibri" w:hint="eastAsia"/>
                <w:color w:val="000000"/>
                <w:sz w:val="18"/>
                <w:szCs w:val="18"/>
              </w:rPr>
              <w:t>审理中</w:t>
            </w:r>
          </w:p>
        </w:tc>
      </w:tr>
      <w:tr w:rsidR="00E72F0C" w14:paraId="66A75B0F" w14:textId="77777777" w:rsidTr="00F84867">
        <w:trPr>
          <w:divId w:val="802581141"/>
          <w:trHeight w:val="453"/>
        </w:trPr>
        <w:tc>
          <w:tcPr>
            <w:tcW w:w="1945" w:type="dxa"/>
            <w:tcMar>
              <w:top w:w="15" w:type="dxa"/>
              <w:left w:w="15" w:type="dxa"/>
              <w:bottom w:w="0" w:type="dxa"/>
              <w:right w:w="15" w:type="dxa"/>
            </w:tcMar>
            <w:vAlign w:val="center"/>
            <w:hideMark/>
          </w:tcPr>
          <w:p w14:paraId="41C04BDD" w14:textId="77777777" w:rsidR="00E72F0C" w:rsidRDefault="00107901">
            <w:pPr>
              <w:pStyle w:val="a3"/>
              <w:spacing w:before="0" w:beforeAutospacing="0" w:after="0" w:afterAutospacing="0"/>
              <w:rPr>
                <w:rFonts w:ascii="Calibri" w:hAnsi="Calibri" w:cs="Calibri"/>
                <w:sz w:val="21"/>
                <w:szCs w:val="21"/>
              </w:rPr>
            </w:pPr>
            <w:r>
              <w:rPr>
                <w:rFonts w:cs="Calibri" w:hint="eastAsia"/>
                <w:color w:val="000000"/>
                <w:sz w:val="18"/>
                <w:szCs w:val="18"/>
              </w:rPr>
              <w:t>中国长城资产管理股份有限公司江苏省分公司</w:t>
            </w:r>
          </w:p>
        </w:tc>
        <w:tc>
          <w:tcPr>
            <w:tcW w:w="1945" w:type="dxa"/>
            <w:tcMar>
              <w:top w:w="15" w:type="dxa"/>
              <w:left w:w="15" w:type="dxa"/>
              <w:bottom w:w="0" w:type="dxa"/>
              <w:right w:w="15" w:type="dxa"/>
            </w:tcMar>
            <w:vAlign w:val="center"/>
            <w:hideMark/>
          </w:tcPr>
          <w:p w14:paraId="092B2FA3" w14:textId="77777777" w:rsidR="00E72F0C" w:rsidRDefault="00107901">
            <w:pPr>
              <w:pStyle w:val="a3"/>
              <w:spacing w:before="0" w:beforeAutospacing="0" w:after="0" w:afterAutospacing="0"/>
              <w:rPr>
                <w:rFonts w:ascii="Calibri" w:hAnsi="Calibri" w:cs="Calibri"/>
                <w:sz w:val="21"/>
                <w:szCs w:val="21"/>
              </w:rPr>
            </w:pPr>
            <w:r>
              <w:rPr>
                <w:rFonts w:cs="Calibri" w:hint="eastAsia"/>
                <w:color w:val="000000"/>
                <w:sz w:val="18"/>
                <w:szCs w:val="18"/>
              </w:rPr>
              <w:t>苏州腾晖光伏技术有限公司</w:t>
            </w:r>
          </w:p>
        </w:tc>
        <w:tc>
          <w:tcPr>
            <w:tcW w:w="1945" w:type="dxa"/>
            <w:tcMar>
              <w:top w:w="15" w:type="dxa"/>
              <w:left w:w="15" w:type="dxa"/>
              <w:bottom w:w="0" w:type="dxa"/>
              <w:right w:w="15" w:type="dxa"/>
            </w:tcMar>
            <w:vAlign w:val="center"/>
            <w:hideMark/>
          </w:tcPr>
          <w:p w14:paraId="58CF253A"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18,822.06</w:t>
            </w:r>
          </w:p>
        </w:tc>
        <w:tc>
          <w:tcPr>
            <w:tcW w:w="1445" w:type="dxa"/>
            <w:tcMar>
              <w:top w:w="15" w:type="dxa"/>
              <w:left w:w="15" w:type="dxa"/>
              <w:bottom w:w="0" w:type="dxa"/>
              <w:right w:w="15" w:type="dxa"/>
            </w:tcMar>
            <w:vAlign w:val="center"/>
            <w:hideMark/>
          </w:tcPr>
          <w:p w14:paraId="1DD417EF"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否</w:t>
            </w:r>
          </w:p>
        </w:tc>
        <w:tc>
          <w:tcPr>
            <w:tcW w:w="1445" w:type="dxa"/>
            <w:tcMar>
              <w:top w:w="15" w:type="dxa"/>
              <w:left w:w="15" w:type="dxa"/>
              <w:bottom w:w="0" w:type="dxa"/>
              <w:right w:w="15" w:type="dxa"/>
            </w:tcMar>
            <w:vAlign w:val="center"/>
            <w:hideMark/>
          </w:tcPr>
          <w:p w14:paraId="6CA6FAF2" w14:textId="77777777" w:rsidR="00E72F0C" w:rsidRDefault="00107901">
            <w:pPr>
              <w:pStyle w:val="a3"/>
              <w:spacing w:before="0" w:beforeAutospacing="0" w:after="0" w:afterAutospacing="0"/>
              <w:rPr>
                <w:rFonts w:ascii="Calibri" w:hAnsi="Calibri" w:cs="Calibri"/>
                <w:sz w:val="21"/>
                <w:szCs w:val="21"/>
              </w:rPr>
            </w:pPr>
            <w:r>
              <w:rPr>
                <w:rFonts w:cs="Calibri" w:hint="eastAsia"/>
                <w:color w:val="000000"/>
                <w:sz w:val="18"/>
                <w:szCs w:val="18"/>
              </w:rPr>
              <w:t>借款纠纷</w:t>
            </w:r>
          </w:p>
        </w:tc>
        <w:tc>
          <w:tcPr>
            <w:tcW w:w="1445" w:type="dxa"/>
            <w:tcMar>
              <w:top w:w="15" w:type="dxa"/>
              <w:left w:w="15" w:type="dxa"/>
              <w:bottom w:w="0" w:type="dxa"/>
              <w:right w:w="15" w:type="dxa"/>
            </w:tcMar>
            <w:vAlign w:val="center"/>
            <w:hideMark/>
          </w:tcPr>
          <w:p w14:paraId="5CF60EEC" w14:textId="77777777" w:rsidR="00E72F0C" w:rsidRDefault="00107901">
            <w:pPr>
              <w:pStyle w:val="a3"/>
              <w:spacing w:before="0" w:beforeAutospacing="0" w:after="0" w:afterAutospacing="0"/>
              <w:rPr>
                <w:rFonts w:ascii="Calibri" w:hAnsi="Calibri" w:cs="Calibri"/>
                <w:sz w:val="21"/>
                <w:szCs w:val="21"/>
              </w:rPr>
            </w:pPr>
            <w:r>
              <w:rPr>
                <w:rFonts w:cs="Calibri" w:hint="eastAsia"/>
                <w:color w:val="000000"/>
                <w:sz w:val="18"/>
                <w:szCs w:val="18"/>
              </w:rPr>
              <w:t>执行中</w:t>
            </w:r>
          </w:p>
        </w:tc>
      </w:tr>
      <w:tr w:rsidR="00E72F0C" w14:paraId="021F7DA1" w14:textId="77777777" w:rsidTr="00F84867">
        <w:trPr>
          <w:divId w:val="802581141"/>
          <w:trHeight w:val="453"/>
        </w:trPr>
        <w:tc>
          <w:tcPr>
            <w:tcW w:w="1945" w:type="dxa"/>
            <w:tcMar>
              <w:top w:w="15" w:type="dxa"/>
              <w:left w:w="15" w:type="dxa"/>
              <w:bottom w:w="0" w:type="dxa"/>
              <w:right w:w="15" w:type="dxa"/>
            </w:tcMar>
            <w:vAlign w:val="center"/>
            <w:hideMark/>
          </w:tcPr>
          <w:p w14:paraId="3D5D3ACC" w14:textId="77777777" w:rsidR="00E72F0C" w:rsidRDefault="00107901">
            <w:pPr>
              <w:pStyle w:val="a3"/>
              <w:spacing w:before="0" w:beforeAutospacing="0" w:after="0" w:afterAutospacing="0"/>
              <w:rPr>
                <w:rFonts w:ascii="Calibri" w:hAnsi="Calibri" w:cs="Calibri"/>
                <w:sz w:val="21"/>
                <w:szCs w:val="21"/>
              </w:rPr>
            </w:pPr>
            <w:r>
              <w:rPr>
                <w:rFonts w:cs="Calibri" w:hint="eastAsia"/>
                <w:color w:val="000000"/>
                <w:sz w:val="18"/>
                <w:szCs w:val="18"/>
              </w:rPr>
              <w:t>江苏汇鸿国际集团中锦控股有限公司</w:t>
            </w:r>
          </w:p>
        </w:tc>
        <w:tc>
          <w:tcPr>
            <w:tcW w:w="1945" w:type="dxa"/>
            <w:tcMar>
              <w:top w:w="15" w:type="dxa"/>
              <w:left w:w="15" w:type="dxa"/>
              <w:bottom w:w="0" w:type="dxa"/>
              <w:right w:w="15" w:type="dxa"/>
            </w:tcMar>
            <w:vAlign w:val="center"/>
            <w:hideMark/>
          </w:tcPr>
          <w:p w14:paraId="3CA5709D" w14:textId="77777777" w:rsidR="00E72F0C" w:rsidRDefault="00107901">
            <w:pPr>
              <w:pStyle w:val="a3"/>
              <w:spacing w:before="0" w:beforeAutospacing="0" w:after="0" w:afterAutospacing="0"/>
              <w:rPr>
                <w:rFonts w:ascii="Calibri" w:hAnsi="Calibri" w:cs="Calibri"/>
                <w:sz w:val="21"/>
                <w:szCs w:val="21"/>
              </w:rPr>
            </w:pPr>
            <w:r>
              <w:rPr>
                <w:rFonts w:cs="Calibri" w:hint="eastAsia"/>
                <w:color w:val="000000"/>
                <w:sz w:val="18"/>
                <w:szCs w:val="18"/>
              </w:rPr>
              <w:t>江苏中利集团股份有限公司</w:t>
            </w:r>
          </w:p>
        </w:tc>
        <w:tc>
          <w:tcPr>
            <w:tcW w:w="1945" w:type="dxa"/>
            <w:tcMar>
              <w:top w:w="15" w:type="dxa"/>
              <w:left w:w="15" w:type="dxa"/>
              <w:bottom w:w="0" w:type="dxa"/>
              <w:right w:w="15" w:type="dxa"/>
            </w:tcMar>
            <w:vAlign w:val="center"/>
            <w:hideMark/>
          </w:tcPr>
          <w:p w14:paraId="31DDFBF8"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9,987.12</w:t>
            </w:r>
          </w:p>
        </w:tc>
        <w:tc>
          <w:tcPr>
            <w:tcW w:w="1445" w:type="dxa"/>
            <w:tcMar>
              <w:top w:w="15" w:type="dxa"/>
              <w:left w:w="15" w:type="dxa"/>
              <w:bottom w:w="0" w:type="dxa"/>
              <w:right w:w="15" w:type="dxa"/>
            </w:tcMar>
            <w:vAlign w:val="center"/>
            <w:hideMark/>
          </w:tcPr>
          <w:p w14:paraId="2C183721"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否</w:t>
            </w:r>
          </w:p>
        </w:tc>
        <w:tc>
          <w:tcPr>
            <w:tcW w:w="1445" w:type="dxa"/>
            <w:tcMar>
              <w:top w:w="15" w:type="dxa"/>
              <w:left w:w="15" w:type="dxa"/>
              <w:bottom w:w="0" w:type="dxa"/>
              <w:right w:w="15" w:type="dxa"/>
            </w:tcMar>
            <w:vAlign w:val="center"/>
            <w:hideMark/>
          </w:tcPr>
          <w:p w14:paraId="3807C541" w14:textId="77777777" w:rsidR="00E72F0C" w:rsidRDefault="00107901">
            <w:pPr>
              <w:pStyle w:val="a3"/>
              <w:spacing w:before="0" w:beforeAutospacing="0" w:after="0" w:afterAutospacing="0"/>
              <w:rPr>
                <w:rFonts w:ascii="Calibri" w:hAnsi="Calibri" w:cs="Calibri"/>
                <w:sz w:val="21"/>
                <w:szCs w:val="21"/>
              </w:rPr>
            </w:pPr>
            <w:r>
              <w:rPr>
                <w:rFonts w:cs="Calibri" w:hint="eastAsia"/>
                <w:color w:val="000000"/>
                <w:sz w:val="18"/>
                <w:szCs w:val="18"/>
              </w:rPr>
              <w:t>设备定制合同纠纷</w:t>
            </w:r>
          </w:p>
        </w:tc>
        <w:tc>
          <w:tcPr>
            <w:tcW w:w="1445" w:type="dxa"/>
            <w:tcMar>
              <w:top w:w="15" w:type="dxa"/>
              <w:left w:w="15" w:type="dxa"/>
              <w:bottom w:w="0" w:type="dxa"/>
              <w:right w:w="15" w:type="dxa"/>
            </w:tcMar>
            <w:vAlign w:val="center"/>
            <w:hideMark/>
          </w:tcPr>
          <w:p w14:paraId="1D272768" w14:textId="77777777" w:rsidR="00E72F0C" w:rsidRDefault="00107901">
            <w:pPr>
              <w:pStyle w:val="a3"/>
              <w:spacing w:before="0" w:beforeAutospacing="0" w:after="0" w:afterAutospacing="0"/>
              <w:rPr>
                <w:rFonts w:ascii="Calibri" w:hAnsi="Calibri" w:cs="Calibri"/>
                <w:sz w:val="21"/>
                <w:szCs w:val="21"/>
              </w:rPr>
            </w:pPr>
            <w:r>
              <w:rPr>
                <w:rFonts w:cs="Calibri" w:hint="eastAsia"/>
                <w:color w:val="000000"/>
                <w:sz w:val="18"/>
                <w:szCs w:val="18"/>
              </w:rPr>
              <w:t>二审中止</w:t>
            </w:r>
          </w:p>
        </w:tc>
      </w:tr>
      <w:tr w:rsidR="00E72F0C" w14:paraId="2EA76E8A" w14:textId="77777777" w:rsidTr="00F84867">
        <w:trPr>
          <w:divId w:val="802581141"/>
          <w:trHeight w:val="453"/>
        </w:trPr>
        <w:tc>
          <w:tcPr>
            <w:tcW w:w="1945" w:type="dxa"/>
            <w:tcMar>
              <w:top w:w="15" w:type="dxa"/>
              <w:left w:w="15" w:type="dxa"/>
              <w:bottom w:w="0" w:type="dxa"/>
              <w:right w:w="15" w:type="dxa"/>
            </w:tcMar>
            <w:vAlign w:val="center"/>
            <w:hideMark/>
          </w:tcPr>
          <w:p w14:paraId="0D23297C" w14:textId="77777777" w:rsidR="00E72F0C" w:rsidRDefault="00107901">
            <w:pPr>
              <w:pStyle w:val="a3"/>
              <w:spacing w:before="0" w:beforeAutospacing="0" w:after="0" w:afterAutospacing="0"/>
              <w:rPr>
                <w:rFonts w:ascii="Calibri" w:hAnsi="Calibri" w:cs="Calibri"/>
                <w:sz w:val="21"/>
                <w:szCs w:val="21"/>
              </w:rPr>
            </w:pPr>
            <w:r>
              <w:rPr>
                <w:rFonts w:cs="Calibri" w:hint="eastAsia"/>
                <w:color w:val="000000"/>
                <w:sz w:val="18"/>
                <w:szCs w:val="18"/>
              </w:rPr>
              <w:t>CESE2(Thailand)C0.,LTD</w:t>
            </w:r>
          </w:p>
        </w:tc>
        <w:tc>
          <w:tcPr>
            <w:tcW w:w="1945" w:type="dxa"/>
            <w:tcMar>
              <w:top w:w="15" w:type="dxa"/>
              <w:left w:w="15" w:type="dxa"/>
              <w:bottom w:w="0" w:type="dxa"/>
              <w:right w:w="15" w:type="dxa"/>
            </w:tcMar>
            <w:vAlign w:val="center"/>
            <w:hideMark/>
          </w:tcPr>
          <w:p w14:paraId="18FB4308" w14:textId="77777777" w:rsidR="00E72F0C" w:rsidRDefault="00107901">
            <w:pPr>
              <w:pStyle w:val="a3"/>
              <w:spacing w:before="0" w:beforeAutospacing="0" w:after="0" w:afterAutospacing="0"/>
              <w:rPr>
                <w:rFonts w:ascii="Calibri" w:hAnsi="Calibri" w:cs="Calibri"/>
                <w:sz w:val="21"/>
                <w:szCs w:val="21"/>
              </w:rPr>
            </w:pPr>
            <w:r>
              <w:rPr>
                <w:rFonts w:cs="Calibri" w:hint="eastAsia"/>
                <w:color w:val="000000"/>
                <w:sz w:val="18"/>
                <w:szCs w:val="18"/>
              </w:rPr>
              <w:t>腾晖技术（泰国）有限责任公司</w:t>
            </w:r>
          </w:p>
        </w:tc>
        <w:tc>
          <w:tcPr>
            <w:tcW w:w="1945" w:type="dxa"/>
            <w:tcMar>
              <w:top w:w="15" w:type="dxa"/>
              <w:left w:w="15" w:type="dxa"/>
              <w:bottom w:w="0" w:type="dxa"/>
              <w:right w:w="15" w:type="dxa"/>
            </w:tcMar>
            <w:vAlign w:val="center"/>
            <w:hideMark/>
          </w:tcPr>
          <w:p w14:paraId="7A47513A"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1,857.09</w:t>
            </w:r>
          </w:p>
        </w:tc>
        <w:tc>
          <w:tcPr>
            <w:tcW w:w="1445" w:type="dxa"/>
            <w:tcMar>
              <w:top w:w="15" w:type="dxa"/>
              <w:left w:w="15" w:type="dxa"/>
              <w:bottom w:w="0" w:type="dxa"/>
              <w:right w:w="15" w:type="dxa"/>
            </w:tcMar>
            <w:vAlign w:val="center"/>
            <w:hideMark/>
          </w:tcPr>
          <w:p w14:paraId="1D040C08"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否</w:t>
            </w:r>
          </w:p>
        </w:tc>
        <w:tc>
          <w:tcPr>
            <w:tcW w:w="1445" w:type="dxa"/>
            <w:tcMar>
              <w:top w:w="15" w:type="dxa"/>
              <w:left w:w="15" w:type="dxa"/>
              <w:bottom w:w="0" w:type="dxa"/>
              <w:right w:w="15" w:type="dxa"/>
            </w:tcMar>
            <w:vAlign w:val="center"/>
            <w:hideMark/>
          </w:tcPr>
          <w:p w14:paraId="3F4E44A1" w14:textId="77777777" w:rsidR="00E72F0C" w:rsidRDefault="00107901">
            <w:pPr>
              <w:pStyle w:val="a3"/>
              <w:spacing w:before="0" w:beforeAutospacing="0" w:after="0" w:afterAutospacing="0"/>
              <w:rPr>
                <w:rFonts w:ascii="Calibri" w:hAnsi="Calibri" w:cs="Calibri"/>
                <w:sz w:val="21"/>
                <w:szCs w:val="21"/>
              </w:rPr>
            </w:pPr>
            <w:r>
              <w:rPr>
                <w:rFonts w:cs="Calibri" w:hint="eastAsia"/>
                <w:color w:val="000000"/>
                <w:sz w:val="18"/>
                <w:szCs w:val="18"/>
              </w:rPr>
              <w:t>工程项目纠纷</w:t>
            </w:r>
          </w:p>
        </w:tc>
        <w:tc>
          <w:tcPr>
            <w:tcW w:w="1445" w:type="dxa"/>
            <w:tcMar>
              <w:top w:w="15" w:type="dxa"/>
              <w:left w:w="15" w:type="dxa"/>
              <w:bottom w:w="0" w:type="dxa"/>
              <w:right w:w="15" w:type="dxa"/>
            </w:tcMar>
            <w:vAlign w:val="center"/>
            <w:hideMark/>
          </w:tcPr>
          <w:p w14:paraId="38ABB765" w14:textId="77777777" w:rsidR="00E72F0C" w:rsidRDefault="00107901">
            <w:pPr>
              <w:pStyle w:val="a3"/>
              <w:spacing w:before="0" w:beforeAutospacing="0" w:after="0" w:afterAutospacing="0"/>
              <w:rPr>
                <w:rFonts w:ascii="Calibri" w:hAnsi="Calibri" w:cs="Calibri"/>
                <w:sz w:val="21"/>
                <w:szCs w:val="21"/>
              </w:rPr>
            </w:pPr>
            <w:r>
              <w:rPr>
                <w:rFonts w:cs="Calibri" w:hint="eastAsia"/>
                <w:color w:val="000000"/>
                <w:sz w:val="18"/>
                <w:szCs w:val="18"/>
              </w:rPr>
              <w:t>待开庭</w:t>
            </w:r>
          </w:p>
        </w:tc>
      </w:tr>
      <w:tr w:rsidR="00E72F0C" w14:paraId="26802E8E" w14:textId="77777777" w:rsidTr="00F84867">
        <w:trPr>
          <w:divId w:val="802581141"/>
          <w:trHeight w:val="679"/>
        </w:trPr>
        <w:tc>
          <w:tcPr>
            <w:tcW w:w="1945" w:type="dxa"/>
            <w:tcMar>
              <w:top w:w="15" w:type="dxa"/>
              <w:left w:w="15" w:type="dxa"/>
              <w:bottom w:w="0" w:type="dxa"/>
              <w:right w:w="15" w:type="dxa"/>
            </w:tcMar>
            <w:vAlign w:val="center"/>
            <w:hideMark/>
          </w:tcPr>
          <w:p w14:paraId="68487D98" w14:textId="77777777" w:rsidR="00E72F0C" w:rsidRDefault="00107901">
            <w:pPr>
              <w:pStyle w:val="a3"/>
              <w:spacing w:before="0" w:beforeAutospacing="0" w:after="0" w:afterAutospacing="0"/>
              <w:rPr>
                <w:rFonts w:ascii="Calibri" w:hAnsi="Calibri" w:cs="Calibri"/>
                <w:sz w:val="21"/>
                <w:szCs w:val="21"/>
              </w:rPr>
            </w:pPr>
            <w:r>
              <w:rPr>
                <w:rFonts w:cs="Calibri" w:hint="eastAsia"/>
                <w:color w:val="000000"/>
                <w:sz w:val="18"/>
                <w:szCs w:val="18"/>
              </w:rPr>
              <w:t>常州市招联绿睿新能源有限公司、汉寿中晖太阳能发电有限公司</w:t>
            </w:r>
          </w:p>
        </w:tc>
        <w:tc>
          <w:tcPr>
            <w:tcW w:w="1945" w:type="dxa"/>
            <w:tcMar>
              <w:top w:w="15" w:type="dxa"/>
              <w:left w:w="15" w:type="dxa"/>
              <w:bottom w:w="0" w:type="dxa"/>
              <w:right w:w="15" w:type="dxa"/>
            </w:tcMar>
            <w:vAlign w:val="center"/>
            <w:hideMark/>
          </w:tcPr>
          <w:p w14:paraId="40072BC7" w14:textId="77777777" w:rsidR="00E72F0C" w:rsidRDefault="00107901">
            <w:pPr>
              <w:pStyle w:val="a3"/>
              <w:spacing w:before="0" w:beforeAutospacing="0" w:after="0" w:afterAutospacing="0"/>
              <w:rPr>
                <w:rFonts w:ascii="Calibri" w:hAnsi="Calibri" w:cs="Calibri"/>
                <w:sz w:val="21"/>
                <w:szCs w:val="21"/>
              </w:rPr>
            </w:pPr>
            <w:r>
              <w:rPr>
                <w:rFonts w:cs="Calibri" w:hint="eastAsia"/>
                <w:color w:val="000000"/>
                <w:sz w:val="18"/>
                <w:szCs w:val="18"/>
              </w:rPr>
              <w:t>苏州腾晖光伏技术有限公司</w:t>
            </w:r>
          </w:p>
        </w:tc>
        <w:tc>
          <w:tcPr>
            <w:tcW w:w="1945" w:type="dxa"/>
            <w:tcMar>
              <w:top w:w="15" w:type="dxa"/>
              <w:left w:w="15" w:type="dxa"/>
              <w:bottom w:w="0" w:type="dxa"/>
              <w:right w:w="15" w:type="dxa"/>
            </w:tcMar>
            <w:vAlign w:val="center"/>
            <w:hideMark/>
          </w:tcPr>
          <w:p w14:paraId="6E2738EC"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1,602.46</w:t>
            </w:r>
          </w:p>
        </w:tc>
        <w:tc>
          <w:tcPr>
            <w:tcW w:w="1445" w:type="dxa"/>
            <w:tcMar>
              <w:top w:w="15" w:type="dxa"/>
              <w:left w:w="15" w:type="dxa"/>
              <w:bottom w:w="0" w:type="dxa"/>
              <w:right w:w="15" w:type="dxa"/>
            </w:tcMar>
            <w:vAlign w:val="center"/>
            <w:hideMark/>
          </w:tcPr>
          <w:p w14:paraId="71BFA872"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否</w:t>
            </w:r>
          </w:p>
        </w:tc>
        <w:tc>
          <w:tcPr>
            <w:tcW w:w="1445" w:type="dxa"/>
            <w:tcMar>
              <w:top w:w="15" w:type="dxa"/>
              <w:left w:w="15" w:type="dxa"/>
              <w:bottom w:w="0" w:type="dxa"/>
              <w:right w:w="15" w:type="dxa"/>
            </w:tcMar>
            <w:vAlign w:val="center"/>
            <w:hideMark/>
          </w:tcPr>
          <w:p w14:paraId="60AE2136" w14:textId="77777777" w:rsidR="00E72F0C" w:rsidRDefault="00107901">
            <w:pPr>
              <w:pStyle w:val="a3"/>
              <w:spacing w:before="0" w:beforeAutospacing="0" w:after="0" w:afterAutospacing="0"/>
              <w:rPr>
                <w:rFonts w:ascii="Calibri" w:hAnsi="Calibri" w:cs="Calibri"/>
                <w:sz w:val="21"/>
                <w:szCs w:val="21"/>
              </w:rPr>
            </w:pPr>
            <w:r>
              <w:rPr>
                <w:rFonts w:cs="Calibri" w:hint="eastAsia"/>
                <w:color w:val="000000"/>
                <w:sz w:val="18"/>
                <w:szCs w:val="18"/>
              </w:rPr>
              <w:t>耕地占用税纠纷</w:t>
            </w:r>
          </w:p>
        </w:tc>
        <w:tc>
          <w:tcPr>
            <w:tcW w:w="1445" w:type="dxa"/>
            <w:tcMar>
              <w:top w:w="15" w:type="dxa"/>
              <w:left w:w="15" w:type="dxa"/>
              <w:bottom w:w="0" w:type="dxa"/>
              <w:right w:w="15" w:type="dxa"/>
            </w:tcMar>
            <w:vAlign w:val="center"/>
            <w:hideMark/>
          </w:tcPr>
          <w:p w14:paraId="133D01F1" w14:textId="77777777" w:rsidR="00E72F0C" w:rsidRDefault="00107901">
            <w:pPr>
              <w:pStyle w:val="a3"/>
              <w:spacing w:before="0" w:beforeAutospacing="0" w:after="0" w:afterAutospacing="0"/>
              <w:rPr>
                <w:rFonts w:ascii="Calibri" w:hAnsi="Calibri" w:cs="Calibri"/>
                <w:sz w:val="21"/>
                <w:szCs w:val="21"/>
              </w:rPr>
            </w:pPr>
            <w:r>
              <w:rPr>
                <w:rFonts w:cs="Calibri" w:hint="eastAsia"/>
                <w:color w:val="000000"/>
                <w:sz w:val="18"/>
                <w:szCs w:val="18"/>
              </w:rPr>
              <w:t>二审中止</w:t>
            </w:r>
          </w:p>
        </w:tc>
      </w:tr>
      <w:tr w:rsidR="00E72F0C" w14:paraId="4095D771" w14:textId="77777777" w:rsidTr="00F84867">
        <w:trPr>
          <w:divId w:val="802581141"/>
          <w:trHeight w:val="453"/>
        </w:trPr>
        <w:tc>
          <w:tcPr>
            <w:tcW w:w="1945" w:type="dxa"/>
            <w:tcMar>
              <w:top w:w="15" w:type="dxa"/>
              <w:left w:w="15" w:type="dxa"/>
              <w:bottom w:w="0" w:type="dxa"/>
              <w:right w:w="15" w:type="dxa"/>
            </w:tcMar>
            <w:vAlign w:val="center"/>
            <w:hideMark/>
          </w:tcPr>
          <w:p w14:paraId="1E86B350" w14:textId="77777777" w:rsidR="00E72F0C" w:rsidRDefault="00107901">
            <w:pPr>
              <w:pStyle w:val="a3"/>
              <w:spacing w:before="0" w:beforeAutospacing="0" w:after="0" w:afterAutospacing="0"/>
              <w:rPr>
                <w:rFonts w:ascii="Calibri" w:hAnsi="Calibri" w:cs="Calibri"/>
                <w:sz w:val="21"/>
                <w:szCs w:val="21"/>
              </w:rPr>
            </w:pPr>
            <w:r>
              <w:rPr>
                <w:rFonts w:cs="Calibri" w:hint="eastAsia"/>
                <w:color w:val="000000"/>
                <w:sz w:val="18"/>
                <w:szCs w:val="18"/>
              </w:rPr>
              <w:t>宁夏佳洋能源有限公司</w:t>
            </w:r>
          </w:p>
        </w:tc>
        <w:tc>
          <w:tcPr>
            <w:tcW w:w="1945" w:type="dxa"/>
            <w:tcMar>
              <w:top w:w="15" w:type="dxa"/>
              <w:left w:w="15" w:type="dxa"/>
              <w:bottom w:w="0" w:type="dxa"/>
              <w:right w:w="15" w:type="dxa"/>
            </w:tcMar>
            <w:vAlign w:val="center"/>
            <w:hideMark/>
          </w:tcPr>
          <w:p w14:paraId="3099C09B" w14:textId="77777777" w:rsidR="00E72F0C" w:rsidRDefault="00107901">
            <w:pPr>
              <w:pStyle w:val="a3"/>
              <w:spacing w:before="0" w:beforeAutospacing="0" w:after="0" w:afterAutospacing="0"/>
              <w:rPr>
                <w:rFonts w:ascii="Calibri" w:hAnsi="Calibri" w:cs="Calibri"/>
                <w:sz w:val="21"/>
                <w:szCs w:val="21"/>
              </w:rPr>
            </w:pPr>
            <w:r>
              <w:rPr>
                <w:rFonts w:cs="Calibri" w:hint="eastAsia"/>
                <w:color w:val="000000"/>
                <w:sz w:val="18"/>
                <w:szCs w:val="18"/>
              </w:rPr>
              <w:t>宁夏中盛电缆技术有限公司</w:t>
            </w:r>
          </w:p>
        </w:tc>
        <w:tc>
          <w:tcPr>
            <w:tcW w:w="1945" w:type="dxa"/>
            <w:tcMar>
              <w:top w:w="15" w:type="dxa"/>
              <w:left w:w="15" w:type="dxa"/>
              <w:bottom w:w="0" w:type="dxa"/>
              <w:right w:w="15" w:type="dxa"/>
            </w:tcMar>
            <w:vAlign w:val="center"/>
            <w:hideMark/>
          </w:tcPr>
          <w:p w14:paraId="157ECB29"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1,398.91</w:t>
            </w:r>
          </w:p>
        </w:tc>
        <w:tc>
          <w:tcPr>
            <w:tcW w:w="1445" w:type="dxa"/>
            <w:tcMar>
              <w:top w:w="15" w:type="dxa"/>
              <w:left w:w="15" w:type="dxa"/>
              <w:bottom w:w="0" w:type="dxa"/>
              <w:right w:w="15" w:type="dxa"/>
            </w:tcMar>
            <w:vAlign w:val="center"/>
            <w:hideMark/>
          </w:tcPr>
          <w:p w14:paraId="3C4496FF" w14:textId="77777777" w:rsidR="00E72F0C" w:rsidRDefault="00107901">
            <w:pPr>
              <w:pStyle w:val="a3"/>
              <w:spacing w:before="0" w:beforeAutospacing="0" w:after="0" w:afterAutospacing="0"/>
              <w:jc w:val="center"/>
              <w:rPr>
                <w:rFonts w:ascii="Calibri" w:hAnsi="Calibri" w:cs="Calibri"/>
                <w:sz w:val="21"/>
                <w:szCs w:val="21"/>
              </w:rPr>
            </w:pPr>
            <w:r>
              <w:rPr>
                <w:rFonts w:cs="Calibri" w:hint="eastAsia"/>
                <w:color w:val="000000"/>
                <w:sz w:val="18"/>
                <w:szCs w:val="18"/>
              </w:rPr>
              <w:t>是</w:t>
            </w:r>
          </w:p>
        </w:tc>
        <w:tc>
          <w:tcPr>
            <w:tcW w:w="1445" w:type="dxa"/>
            <w:tcMar>
              <w:top w:w="15" w:type="dxa"/>
              <w:left w:w="15" w:type="dxa"/>
              <w:bottom w:w="0" w:type="dxa"/>
              <w:right w:w="15" w:type="dxa"/>
            </w:tcMar>
            <w:vAlign w:val="center"/>
            <w:hideMark/>
          </w:tcPr>
          <w:p w14:paraId="2E6189D5" w14:textId="77777777" w:rsidR="00E72F0C" w:rsidRDefault="00107901">
            <w:pPr>
              <w:pStyle w:val="a3"/>
              <w:spacing w:before="0" w:beforeAutospacing="0" w:after="0" w:afterAutospacing="0"/>
              <w:rPr>
                <w:rFonts w:ascii="Calibri" w:hAnsi="Calibri" w:cs="Calibri"/>
                <w:sz w:val="21"/>
                <w:szCs w:val="21"/>
              </w:rPr>
            </w:pPr>
            <w:r>
              <w:rPr>
                <w:rFonts w:cs="Calibri" w:hint="eastAsia"/>
                <w:color w:val="000000"/>
                <w:sz w:val="18"/>
                <w:szCs w:val="18"/>
              </w:rPr>
              <w:t>采购合同纠纷</w:t>
            </w:r>
          </w:p>
        </w:tc>
        <w:tc>
          <w:tcPr>
            <w:tcW w:w="1445" w:type="dxa"/>
            <w:tcMar>
              <w:top w:w="15" w:type="dxa"/>
              <w:left w:w="15" w:type="dxa"/>
              <w:bottom w:w="0" w:type="dxa"/>
              <w:right w:w="15" w:type="dxa"/>
            </w:tcMar>
            <w:vAlign w:val="center"/>
            <w:hideMark/>
          </w:tcPr>
          <w:p w14:paraId="6EF17802" w14:textId="77777777" w:rsidR="00E72F0C" w:rsidRDefault="00107901">
            <w:pPr>
              <w:pStyle w:val="a3"/>
              <w:spacing w:before="0" w:beforeAutospacing="0" w:after="0" w:afterAutospacing="0"/>
              <w:rPr>
                <w:rFonts w:ascii="Calibri" w:hAnsi="Calibri" w:cs="Calibri"/>
                <w:sz w:val="21"/>
                <w:szCs w:val="21"/>
              </w:rPr>
            </w:pPr>
            <w:r>
              <w:rPr>
                <w:rFonts w:cs="Calibri" w:hint="eastAsia"/>
                <w:color w:val="000000"/>
                <w:sz w:val="18"/>
                <w:szCs w:val="18"/>
              </w:rPr>
              <w:t>审理中</w:t>
            </w:r>
          </w:p>
        </w:tc>
      </w:tr>
    </w:tbl>
    <w:p w14:paraId="1F9B6D4B"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381" w:name="_Toc989271"/>
      <w:r>
        <w:rPr>
          <w:rFonts w:ascii="宋体" w:eastAsia="宋体" w:hAnsi="宋体" w:cs="宋体"/>
          <w:b/>
          <w:bCs/>
          <w:szCs w:val="21"/>
        </w:rPr>
        <w:t>（2） 公司没有需要披露的重要或有事项，也应予以说明</w:t>
      </w:r>
      <w:bookmarkEnd w:id="381"/>
    </w:p>
    <w:p w14:paraId="28BCA9A5"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公司不存在需要披露的重要或有事项。</w:t>
      </w:r>
    </w:p>
    <w:p w14:paraId="68C4D8C9" w14:textId="77777777" w:rsidR="00632E5B" w:rsidRDefault="00107901">
      <w:pPr>
        <w:pStyle w:val="3"/>
        <w:spacing w:line="280" w:lineRule="exact"/>
        <w:jc w:val="left"/>
        <w:rPr>
          <w:rFonts w:ascii="宋体" w:hAnsi="宋体" w:cs="宋体" w:hint="eastAsia"/>
          <w:b/>
          <w:bCs/>
        </w:rPr>
      </w:pPr>
      <w:bookmarkStart w:id="382" w:name="_Toc989272"/>
      <w:r>
        <w:rPr>
          <w:rFonts w:ascii="宋体" w:hAnsi="宋体" w:cs="宋体"/>
          <w:b/>
          <w:bCs/>
        </w:rPr>
        <w:lastRenderedPageBreak/>
        <w:t>2、其他</w:t>
      </w:r>
      <w:bookmarkEnd w:id="382"/>
    </w:p>
    <w:p w14:paraId="62BD798C" w14:textId="77777777" w:rsidR="00E72F0C" w:rsidRDefault="00107901">
      <w:pPr>
        <w:pStyle w:val="a3"/>
        <w:divId w:val="264770186"/>
        <w:rPr>
          <w:rFonts w:hint="eastAsia"/>
          <w:sz w:val="18"/>
          <w:szCs w:val="18"/>
        </w:rPr>
      </w:pPr>
      <w:r>
        <w:rPr>
          <w:rFonts w:hint="eastAsia"/>
          <w:sz w:val="18"/>
          <w:szCs w:val="18"/>
        </w:rPr>
        <w:t xml:space="preserve">  2017年8月30日，江苏P公司与芜湖Q（有限合伙）签订《股权收购协议》，约定江苏P公司对芜湖Q（有限合伙）负有股权回购义务，股权回购价本金为19,999万元。同日，公司出具《承诺函》为江苏P公司对芜湖Q（有限合伙）所负的股权回购义务提供担保；公司原实际控制人与芜湖Q（有限合伙）签订《连带保证合同》。2021年12月20日，苏州腾晖签订《抵押合同》，将其名下持有的位于常熟市沙家浜镇常昆工业园区腾晖路1号的房地产，对江苏P公司股权回购义务提供抵押担保，并办理第二顺位抵押登记，并已取得常熟市自然资源和规划局出具的《不动产登记证明》。抵押担保范围包括但不限于相关权益的收购价款、违约金、赔偿金、实现债权与担保权利而发生的费用（包括诉讼费、财产保全费等）。 </w:t>
      </w:r>
      <w:r>
        <w:rPr>
          <w:rFonts w:hint="eastAsia"/>
          <w:sz w:val="18"/>
          <w:szCs w:val="18"/>
        </w:rPr>
        <w:br/>
        <w:t>  2023年11月，中国长城资产管理股份有限公司江苏省分公司（芜湖Q（有限合伙）最终控制方，以下简称“长城资产”）起诉江苏P公司、本公司、苏州腾晖、王柏兴并判决，判决被告江苏P公司于判决发生法律效力之日起十日内，向原告长城资产支付19,999万元及违约金。</w:t>
      </w:r>
      <w:r>
        <w:rPr>
          <w:rFonts w:hint="eastAsia"/>
          <w:sz w:val="18"/>
          <w:szCs w:val="18"/>
        </w:rPr>
        <w:br/>
        <w:t>  原告长城资产对被告苏州腾晖名下位于常熟市沙家浜镇常昆工业园区腾晖路1号不动产，在其抵押担保范围内按照抵押顺位优先受偿。</w:t>
      </w:r>
      <w:r>
        <w:rPr>
          <w:rFonts w:hint="eastAsia"/>
          <w:sz w:val="18"/>
          <w:szCs w:val="18"/>
        </w:rPr>
        <w:br/>
        <w:t>  本公司在被告江苏P公司上述债务不能清偿部分的二分之一范围内承担赔偿责任，截止2024年12月31日，本公司及苏州腾晖对该事项已计提预计负债。</w:t>
      </w:r>
    </w:p>
    <w:p w14:paraId="19ECEA98" w14:textId="77777777" w:rsidR="00632E5B" w:rsidRDefault="00107901">
      <w:pPr>
        <w:pStyle w:val="2"/>
        <w:spacing w:before="300" w:after="300" w:line="320" w:lineRule="exact"/>
        <w:rPr>
          <w:rFonts w:ascii="宋体" w:eastAsia="宋体" w:hAnsi="宋体" w:cs="宋体" w:hint="eastAsia"/>
          <w:b/>
          <w:bCs/>
          <w:sz w:val="24"/>
          <w:szCs w:val="24"/>
        </w:rPr>
      </w:pPr>
      <w:bookmarkStart w:id="383" w:name="_Toc989273"/>
      <w:r>
        <w:rPr>
          <w:rFonts w:ascii="宋体" w:eastAsia="宋体" w:hAnsi="宋体" w:cs="宋体"/>
          <w:b/>
          <w:bCs/>
          <w:sz w:val="24"/>
          <w:szCs w:val="24"/>
        </w:rPr>
        <w:t>十五、资产负债表日后事项</w:t>
      </w:r>
      <w:bookmarkEnd w:id="383"/>
    </w:p>
    <w:p w14:paraId="30F090ED" w14:textId="77777777" w:rsidR="00632E5B" w:rsidRDefault="00107901">
      <w:pPr>
        <w:pStyle w:val="3"/>
        <w:spacing w:line="280" w:lineRule="exact"/>
        <w:jc w:val="left"/>
        <w:rPr>
          <w:rFonts w:ascii="宋体" w:hAnsi="宋体" w:cs="宋体" w:hint="eastAsia"/>
          <w:b/>
          <w:bCs/>
        </w:rPr>
      </w:pPr>
      <w:bookmarkStart w:id="384" w:name="_Toc989274"/>
      <w:r>
        <w:rPr>
          <w:rFonts w:ascii="宋体" w:hAnsi="宋体" w:cs="宋体"/>
          <w:b/>
          <w:bCs/>
        </w:rPr>
        <w:t>1、其他资产负债表日后事项说明</w:t>
      </w:r>
      <w:bookmarkEnd w:id="384"/>
    </w:p>
    <w:p w14:paraId="1658899C" w14:textId="77777777" w:rsidR="00842CBE" w:rsidRDefault="00107901" w:rsidP="00842CBE">
      <w:pPr>
        <w:pStyle w:val="a3"/>
        <w:spacing w:before="0" w:beforeAutospacing="0" w:after="0" w:afterAutospacing="0"/>
        <w:jc w:val="both"/>
        <w:divId w:val="998655378"/>
        <w:rPr>
          <w:rFonts w:hint="eastAsia"/>
          <w:sz w:val="18"/>
          <w:szCs w:val="18"/>
        </w:rPr>
      </w:pPr>
      <w:r>
        <w:rPr>
          <w:rFonts w:hint="eastAsia"/>
          <w:sz w:val="18"/>
          <w:szCs w:val="18"/>
        </w:rPr>
        <w:t> </w:t>
      </w:r>
      <w:r w:rsidR="00842CBE">
        <w:rPr>
          <w:rFonts w:hint="eastAsia"/>
          <w:sz w:val="18"/>
          <w:szCs w:val="18"/>
        </w:rPr>
        <w:t>1. 2025年2月6日，公司召开2025年第一次临时股东大会审议通过选举产生了第七届董事会成员。根据《上市公司收购管理办法》的相关规定，公司第一大股东常熟光晟已实际控制公司董事会并足以对股东大会的决议产生重大影响，常熟光晟的实际控制方厦门市人民政府国有资产监督管理委员会成为公司实际控制人。</w:t>
      </w:r>
    </w:p>
    <w:p w14:paraId="5DA3E596" w14:textId="77777777" w:rsidR="00842CBE" w:rsidRDefault="00842CBE" w:rsidP="00842CBE">
      <w:pPr>
        <w:pStyle w:val="a3"/>
        <w:spacing w:before="0" w:beforeAutospacing="0" w:after="0" w:afterAutospacing="0"/>
        <w:jc w:val="both"/>
        <w:divId w:val="998655378"/>
        <w:rPr>
          <w:rFonts w:hint="eastAsia"/>
          <w:sz w:val="18"/>
          <w:szCs w:val="18"/>
        </w:rPr>
      </w:pPr>
      <w:r>
        <w:rPr>
          <w:rFonts w:hint="eastAsia"/>
          <w:sz w:val="18"/>
          <w:szCs w:val="18"/>
        </w:rPr>
        <w:t> 2.2025年3月19日，青岛绿和新能源管理有限公司（原告）向武汉市武昌区人民法院提起诉讼，要求常熟耀创光伏电站开发有限公司（被告一）、苏州腾晖光伏技术有限公司（被告二）按《股权转让协议》的约定承担焦作中晖光伏发电有限公司（第三人）因迁移光伏电站外送线路负担的工程款9,051,309.00元、律师费50,000.00元、诉讼费100.00元以及第三人补税和滞纳金13,327,592.07元，合计22,429,001.07元。</w:t>
      </w:r>
    </w:p>
    <w:p w14:paraId="17F4A76C" w14:textId="73AB8301" w:rsidR="00842CBE" w:rsidRDefault="00842CBE" w:rsidP="00842CBE">
      <w:pPr>
        <w:pStyle w:val="a3"/>
        <w:spacing w:before="0" w:beforeAutospacing="0" w:after="0" w:afterAutospacing="0"/>
        <w:jc w:val="both"/>
        <w:divId w:val="998655378"/>
        <w:rPr>
          <w:rFonts w:hint="eastAsia"/>
          <w:sz w:val="18"/>
          <w:szCs w:val="18"/>
        </w:rPr>
      </w:pPr>
      <w:r>
        <w:rPr>
          <w:sz w:val="18"/>
          <w:szCs w:val="18"/>
        </w:rPr>
        <w:t xml:space="preserve">  3.</w:t>
      </w:r>
      <w:r w:rsidRPr="008F3D7D">
        <w:rPr>
          <w:rFonts w:hint="eastAsia"/>
          <w:sz w:val="18"/>
          <w:szCs w:val="18"/>
        </w:rPr>
        <w:t>公司依据2025年1月6日苏州中院函，执行《江苏中利集团股份有限公司重整计划》的相关规定，将青海中利光纤技术有限公司长期股权投资纳入需予以剥离的低效资产，将持有青海中利光纤技术有限公司的股权交由破产重整管理人拍卖处理。截至本报告披露日，拍卖事项尚在进行中。</w:t>
      </w:r>
    </w:p>
    <w:p w14:paraId="457D51D3" w14:textId="77777777" w:rsidR="00632E5B" w:rsidRDefault="00107901">
      <w:pPr>
        <w:pStyle w:val="2"/>
        <w:spacing w:before="300" w:after="300" w:line="320" w:lineRule="exact"/>
        <w:rPr>
          <w:rFonts w:ascii="宋体" w:eastAsia="宋体" w:hAnsi="宋体" w:cs="宋体" w:hint="eastAsia"/>
          <w:b/>
          <w:bCs/>
          <w:sz w:val="24"/>
          <w:szCs w:val="24"/>
        </w:rPr>
      </w:pPr>
      <w:bookmarkStart w:id="385" w:name="_Toc989275"/>
      <w:r>
        <w:rPr>
          <w:rFonts w:ascii="宋体" w:eastAsia="宋体" w:hAnsi="宋体" w:cs="宋体"/>
          <w:b/>
          <w:bCs/>
          <w:sz w:val="24"/>
          <w:szCs w:val="24"/>
        </w:rPr>
        <w:t>十六、其他重要事项</w:t>
      </w:r>
      <w:bookmarkEnd w:id="385"/>
    </w:p>
    <w:p w14:paraId="73B8DFA5" w14:textId="77777777" w:rsidR="00632E5B" w:rsidRDefault="00107901">
      <w:pPr>
        <w:pStyle w:val="3"/>
        <w:spacing w:line="280" w:lineRule="exact"/>
        <w:jc w:val="left"/>
        <w:rPr>
          <w:rFonts w:ascii="宋体" w:hAnsi="宋体" w:cs="宋体" w:hint="eastAsia"/>
          <w:b/>
          <w:bCs/>
        </w:rPr>
      </w:pPr>
      <w:bookmarkStart w:id="386" w:name="_Toc989276"/>
      <w:r>
        <w:rPr>
          <w:rFonts w:ascii="宋体" w:hAnsi="宋体" w:cs="宋体"/>
          <w:b/>
          <w:bCs/>
        </w:rPr>
        <w:t>1、分部信息</w:t>
      </w:r>
      <w:bookmarkEnd w:id="386"/>
    </w:p>
    <w:p w14:paraId="1668AE89"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387" w:name="_Toc989277"/>
      <w:r>
        <w:rPr>
          <w:rFonts w:ascii="宋体" w:eastAsia="宋体" w:hAnsi="宋体" w:cs="宋体"/>
          <w:b/>
          <w:bCs/>
          <w:szCs w:val="21"/>
        </w:rPr>
        <w:t>（1） 报告分部的确定依据与会计政策</w:t>
      </w:r>
      <w:bookmarkEnd w:id="387"/>
    </w:p>
    <w:p w14:paraId="48FC7F55" w14:textId="77777777" w:rsidR="00E72F0C" w:rsidRDefault="00107901">
      <w:pPr>
        <w:pStyle w:val="a3"/>
        <w:divId w:val="38824728"/>
        <w:rPr>
          <w:rFonts w:hint="eastAsia"/>
          <w:sz w:val="18"/>
          <w:szCs w:val="18"/>
        </w:rPr>
      </w:pPr>
      <w:r>
        <w:rPr>
          <w:rFonts w:hint="eastAsia"/>
          <w:sz w:val="18"/>
          <w:szCs w:val="18"/>
        </w:rPr>
        <w:t>  公司以内部组织结构、管理要求、内部报告制度为依据确定经营分部，以经营分部为基础确定报告分部。公司的经营分部是指同时满足下列条件的组成部分：①该组成部分能够在日常活动中产生收入、发生费用；②公司管理层能够定期评价该组成部分的经营成果，以决定向其配置资源、评价其业绩；③公司能够取得该组成部分的财务状况、经营成果和现金流量等有关会计信息。</w:t>
      </w:r>
      <w:r>
        <w:rPr>
          <w:rFonts w:hint="eastAsia"/>
          <w:sz w:val="18"/>
          <w:szCs w:val="18"/>
        </w:rPr>
        <w:br/>
        <w:t>  公司提供分部信息所采用的会计政策，与编制财务报表时所采用的会计政策一致。</w:t>
      </w:r>
      <w:r>
        <w:rPr>
          <w:rFonts w:hint="eastAsia"/>
          <w:sz w:val="18"/>
          <w:szCs w:val="18"/>
        </w:rPr>
        <w:br/>
        <w:t>  本公司的报告分部包括电缆分部和光伏分部。</w:t>
      </w:r>
    </w:p>
    <w:p w14:paraId="19ADB73F"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388" w:name="_Toc989278"/>
      <w:r>
        <w:rPr>
          <w:rFonts w:ascii="宋体" w:eastAsia="宋体" w:hAnsi="宋体" w:cs="宋体"/>
          <w:b/>
          <w:bCs/>
          <w:szCs w:val="21"/>
        </w:rPr>
        <w:lastRenderedPageBreak/>
        <w:t>（2） 报告分部的财务信息</w:t>
      </w:r>
      <w:bookmarkEnd w:id="388"/>
    </w:p>
    <w:p w14:paraId="385BBDC9"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927"/>
        <w:gridCol w:w="1928"/>
        <w:gridCol w:w="1928"/>
        <w:gridCol w:w="1928"/>
        <w:gridCol w:w="1928"/>
      </w:tblGrid>
      <w:tr w:rsidR="00632E5B" w14:paraId="387DC6E9" w14:textId="77777777" w:rsidTr="008B6556">
        <w:trPr>
          <w:trHeight w:val="240"/>
        </w:trPr>
        <w:tc>
          <w:tcPr>
            <w:tcW w:w="1928" w:type="dxa"/>
            <w:shd w:val="clear" w:color="auto" w:fill="FFFFFF" w:themeFill="background1"/>
            <w:vAlign w:val="center"/>
          </w:tcPr>
          <w:p w14:paraId="328C8FF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928" w:type="dxa"/>
            <w:shd w:val="clear" w:color="auto" w:fill="FFFFFF" w:themeFill="background1"/>
            <w:vAlign w:val="center"/>
          </w:tcPr>
          <w:p w14:paraId="557B4580" w14:textId="77777777" w:rsidR="00632E5B" w:rsidRDefault="00107901">
            <w:pPr>
              <w:spacing w:line="240" w:lineRule="exact"/>
              <w:jc w:val="center"/>
              <w:rPr>
                <w:rFonts w:ascii="宋体" w:eastAsia="宋体" w:hAnsi="宋体" w:cs="宋体" w:hint="eastAsia"/>
                <w:sz w:val="18"/>
                <w:szCs w:val="18"/>
              </w:rPr>
            </w:pPr>
            <w:r>
              <w:rPr>
                <w:rFonts w:ascii="宋体" w:eastAsia="宋体" w:hAnsi="宋体" w:cs="宋体"/>
                <w:sz w:val="18"/>
                <w:szCs w:val="18"/>
              </w:rPr>
              <w:t>电缆业务</w:t>
            </w:r>
          </w:p>
        </w:tc>
        <w:tc>
          <w:tcPr>
            <w:tcW w:w="1928" w:type="dxa"/>
            <w:shd w:val="clear" w:color="auto" w:fill="FFFFFF" w:themeFill="background1"/>
            <w:vAlign w:val="center"/>
          </w:tcPr>
          <w:p w14:paraId="752632BD" w14:textId="77777777" w:rsidR="00632E5B" w:rsidRDefault="00107901">
            <w:pPr>
              <w:spacing w:line="240" w:lineRule="exact"/>
              <w:jc w:val="center"/>
              <w:rPr>
                <w:rFonts w:ascii="宋体" w:eastAsia="宋体" w:hAnsi="宋体" w:cs="宋体" w:hint="eastAsia"/>
                <w:sz w:val="18"/>
                <w:szCs w:val="18"/>
              </w:rPr>
            </w:pPr>
            <w:r>
              <w:rPr>
                <w:rFonts w:ascii="宋体" w:eastAsia="宋体" w:hAnsi="宋体" w:cs="宋体"/>
                <w:sz w:val="18"/>
                <w:szCs w:val="18"/>
              </w:rPr>
              <w:t>光伏业务</w:t>
            </w:r>
          </w:p>
        </w:tc>
        <w:tc>
          <w:tcPr>
            <w:tcW w:w="1928" w:type="dxa"/>
            <w:shd w:val="clear" w:color="auto" w:fill="FFFFFF" w:themeFill="background1"/>
            <w:vAlign w:val="center"/>
          </w:tcPr>
          <w:p w14:paraId="5575646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分部间抵销</w:t>
            </w:r>
          </w:p>
        </w:tc>
        <w:tc>
          <w:tcPr>
            <w:tcW w:w="1928" w:type="dxa"/>
            <w:shd w:val="clear" w:color="auto" w:fill="FFFFFF" w:themeFill="background1"/>
            <w:vAlign w:val="center"/>
          </w:tcPr>
          <w:p w14:paraId="139AE63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合计</w:t>
            </w:r>
          </w:p>
        </w:tc>
      </w:tr>
      <w:tr w:rsidR="00632E5B" w14:paraId="2D273823" w14:textId="77777777" w:rsidTr="008B6556">
        <w:trPr>
          <w:trHeight w:val="240"/>
        </w:trPr>
        <w:tc>
          <w:tcPr>
            <w:tcW w:w="1928" w:type="dxa"/>
            <w:shd w:val="clear" w:color="auto" w:fill="FFFFFF" w:themeFill="background1"/>
            <w:vAlign w:val="center"/>
          </w:tcPr>
          <w:p w14:paraId="4C449BB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营业收入</w:t>
            </w:r>
          </w:p>
        </w:tc>
        <w:tc>
          <w:tcPr>
            <w:tcW w:w="1928" w:type="dxa"/>
            <w:shd w:val="clear" w:color="auto" w:fill="FFFFFF" w:themeFill="background1"/>
            <w:vAlign w:val="center"/>
          </w:tcPr>
          <w:p w14:paraId="7F16380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1,555,318,931.25</w:t>
            </w:r>
          </w:p>
        </w:tc>
        <w:tc>
          <w:tcPr>
            <w:tcW w:w="1928" w:type="dxa"/>
            <w:shd w:val="clear" w:color="auto" w:fill="FFFFFF" w:themeFill="background1"/>
            <w:vAlign w:val="center"/>
          </w:tcPr>
          <w:p w14:paraId="12707D7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804,265,776.12</w:t>
            </w:r>
          </w:p>
        </w:tc>
        <w:tc>
          <w:tcPr>
            <w:tcW w:w="1928" w:type="dxa"/>
            <w:shd w:val="clear" w:color="auto" w:fill="FFFFFF" w:themeFill="background1"/>
            <w:vAlign w:val="center"/>
          </w:tcPr>
          <w:p w14:paraId="008A5A7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1,604,959.81</w:t>
            </w:r>
          </w:p>
        </w:tc>
        <w:tc>
          <w:tcPr>
            <w:tcW w:w="1928" w:type="dxa"/>
            <w:shd w:val="clear" w:color="auto" w:fill="FFFFFF" w:themeFill="background1"/>
            <w:vAlign w:val="center"/>
          </w:tcPr>
          <w:p w14:paraId="56BD09A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2,357,979,747.56</w:t>
            </w:r>
          </w:p>
        </w:tc>
      </w:tr>
      <w:tr w:rsidR="00632E5B" w14:paraId="6C16654E" w14:textId="77777777" w:rsidTr="008B6556">
        <w:trPr>
          <w:trHeight w:val="240"/>
        </w:trPr>
        <w:tc>
          <w:tcPr>
            <w:tcW w:w="1928" w:type="dxa"/>
            <w:shd w:val="clear" w:color="auto" w:fill="FFFFFF" w:themeFill="background1"/>
            <w:vAlign w:val="center"/>
          </w:tcPr>
          <w:p w14:paraId="54A1631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营业成本</w:t>
            </w:r>
          </w:p>
        </w:tc>
        <w:tc>
          <w:tcPr>
            <w:tcW w:w="1928" w:type="dxa"/>
            <w:shd w:val="clear" w:color="auto" w:fill="FFFFFF" w:themeFill="background1"/>
            <w:vAlign w:val="center"/>
          </w:tcPr>
          <w:p w14:paraId="4E62608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1,406,654,858.73</w:t>
            </w:r>
          </w:p>
        </w:tc>
        <w:tc>
          <w:tcPr>
            <w:tcW w:w="1928" w:type="dxa"/>
            <w:shd w:val="clear" w:color="auto" w:fill="FFFFFF" w:themeFill="background1"/>
            <w:vAlign w:val="center"/>
          </w:tcPr>
          <w:p w14:paraId="2F1E4E0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570,029,721.49</w:t>
            </w:r>
          </w:p>
        </w:tc>
        <w:tc>
          <w:tcPr>
            <w:tcW w:w="1928" w:type="dxa"/>
            <w:shd w:val="clear" w:color="auto" w:fill="FFFFFF" w:themeFill="background1"/>
            <w:vAlign w:val="center"/>
          </w:tcPr>
          <w:p w14:paraId="38A4F9E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3,668,587.57</w:t>
            </w:r>
          </w:p>
        </w:tc>
        <w:tc>
          <w:tcPr>
            <w:tcW w:w="1928" w:type="dxa"/>
            <w:shd w:val="clear" w:color="auto" w:fill="FFFFFF" w:themeFill="background1"/>
            <w:vAlign w:val="center"/>
          </w:tcPr>
          <w:p w14:paraId="2C12E63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1,973,015,992.65</w:t>
            </w:r>
          </w:p>
        </w:tc>
      </w:tr>
      <w:tr w:rsidR="00632E5B" w14:paraId="30B46C49" w14:textId="77777777" w:rsidTr="008B6556">
        <w:trPr>
          <w:trHeight w:val="240"/>
        </w:trPr>
        <w:tc>
          <w:tcPr>
            <w:tcW w:w="1928" w:type="dxa"/>
            <w:shd w:val="clear" w:color="auto" w:fill="FFFFFF" w:themeFill="background1"/>
            <w:vAlign w:val="center"/>
          </w:tcPr>
          <w:p w14:paraId="32394A5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净利润</w:t>
            </w:r>
          </w:p>
        </w:tc>
        <w:tc>
          <w:tcPr>
            <w:tcW w:w="1928" w:type="dxa"/>
            <w:shd w:val="clear" w:color="auto" w:fill="FFFFFF" w:themeFill="background1"/>
            <w:vAlign w:val="center"/>
          </w:tcPr>
          <w:p w14:paraId="5AE4A4F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-247,425,920.30</w:t>
            </w:r>
          </w:p>
        </w:tc>
        <w:tc>
          <w:tcPr>
            <w:tcW w:w="1928" w:type="dxa"/>
            <w:shd w:val="clear" w:color="auto" w:fill="FFFFFF" w:themeFill="background1"/>
            <w:vAlign w:val="center"/>
          </w:tcPr>
          <w:p w14:paraId="1099A9F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-931,962,724.30</w:t>
            </w:r>
          </w:p>
        </w:tc>
        <w:tc>
          <w:tcPr>
            <w:tcW w:w="1928" w:type="dxa"/>
            <w:shd w:val="clear" w:color="auto" w:fill="FFFFFF" w:themeFill="background1"/>
            <w:vAlign w:val="center"/>
          </w:tcPr>
          <w:p w14:paraId="721B3E5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-3,267,575.96</w:t>
            </w:r>
          </w:p>
        </w:tc>
        <w:tc>
          <w:tcPr>
            <w:tcW w:w="1928" w:type="dxa"/>
            <w:shd w:val="clear" w:color="auto" w:fill="FFFFFF" w:themeFill="background1"/>
            <w:vAlign w:val="center"/>
          </w:tcPr>
          <w:p w14:paraId="1A32FA2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-1,176,121,068.64</w:t>
            </w:r>
          </w:p>
        </w:tc>
      </w:tr>
      <w:tr w:rsidR="00632E5B" w14:paraId="64ED6B42" w14:textId="77777777" w:rsidTr="008B6556">
        <w:trPr>
          <w:trHeight w:val="240"/>
        </w:trPr>
        <w:tc>
          <w:tcPr>
            <w:tcW w:w="1928" w:type="dxa"/>
            <w:shd w:val="clear" w:color="auto" w:fill="FFFFFF" w:themeFill="background1"/>
            <w:vAlign w:val="center"/>
          </w:tcPr>
          <w:p w14:paraId="14AB017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资产总额</w:t>
            </w:r>
          </w:p>
        </w:tc>
        <w:tc>
          <w:tcPr>
            <w:tcW w:w="1928" w:type="dxa"/>
            <w:shd w:val="clear" w:color="auto" w:fill="FFFFFF" w:themeFill="background1"/>
            <w:vAlign w:val="center"/>
          </w:tcPr>
          <w:p w14:paraId="7F64F17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10,986,012,189.15</w:t>
            </w:r>
          </w:p>
        </w:tc>
        <w:tc>
          <w:tcPr>
            <w:tcW w:w="1928" w:type="dxa"/>
            <w:shd w:val="clear" w:color="auto" w:fill="FFFFFF" w:themeFill="background1"/>
            <w:vAlign w:val="center"/>
          </w:tcPr>
          <w:p w14:paraId="5E91943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985,710,636.77</w:t>
            </w:r>
          </w:p>
        </w:tc>
        <w:tc>
          <w:tcPr>
            <w:tcW w:w="1928" w:type="dxa"/>
            <w:shd w:val="clear" w:color="auto" w:fill="FFFFFF" w:themeFill="background1"/>
            <w:vAlign w:val="center"/>
          </w:tcPr>
          <w:p w14:paraId="11EFDE3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6,447,558,188.44</w:t>
            </w:r>
          </w:p>
        </w:tc>
        <w:tc>
          <w:tcPr>
            <w:tcW w:w="1928" w:type="dxa"/>
            <w:shd w:val="clear" w:color="auto" w:fill="FFFFFF" w:themeFill="background1"/>
            <w:vAlign w:val="center"/>
          </w:tcPr>
          <w:p w14:paraId="3A2CD4D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5,524,164,637.48</w:t>
            </w:r>
          </w:p>
        </w:tc>
      </w:tr>
      <w:tr w:rsidR="00632E5B" w14:paraId="3B6CE976" w14:textId="77777777" w:rsidTr="008B6556">
        <w:trPr>
          <w:trHeight w:val="240"/>
        </w:trPr>
        <w:tc>
          <w:tcPr>
            <w:tcW w:w="1928" w:type="dxa"/>
            <w:shd w:val="clear" w:color="auto" w:fill="FFFFFF" w:themeFill="background1"/>
            <w:vAlign w:val="center"/>
          </w:tcPr>
          <w:p w14:paraId="03389D3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负债总额</w:t>
            </w:r>
          </w:p>
        </w:tc>
        <w:tc>
          <w:tcPr>
            <w:tcW w:w="1928" w:type="dxa"/>
            <w:shd w:val="clear" w:color="auto" w:fill="FFFFFF" w:themeFill="background1"/>
            <w:vAlign w:val="center"/>
          </w:tcPr>
          <w:p w14:paraId="2DF32EF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2,642,357,039.50</w:t>
            </w:r>
          </w:p>
        </w:tc>
        <w:tc>
          <w:tcPr>
            <w:tcW w:w="1928" w:type="dxa"/>
            <w:shd w:val="clear" w:color="auto" w:fill="FFFFFF" w:themeFill="background1"/>
            <w:vAlign w:val="center"/>
          </w:tcPr>
          <w:p w14:paraId="655D0B6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2,648,091,693.06</w:t>
            </w:r>
          </w:p>
        </w:tc>
        <w:tc>
          <w:tcPr>
            <w:tcW w:w="1928" w:type="dxa"/>
            <w:shd w:val="clear" w:color="auto" w:fill="FFFFFF" w:themeFill="background1"/>
            <w:vAlign w:val="center"/>
          </w:tcPr>
          <w:p w14:paraId="3D8C3BB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1,178,472,776.77</w:t>
            </w:r>
          </w:p>
        </w:tc>
        <w:tc>
          <w:tcPr>
            <w:tcW w:w="1928" w:type="dxa"/>
            <w:shd w:val="clear" w:color="auto" w:fill="FFFFFF" w:themeFill="background1"/>
            <w:vAlign w:val="center"/>
          </w:tcPr>
          <w:p w14:paraId="47DB197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4,111,975,955.79</w:t>
            </w:r>
          </w:p>
        </w:tc>
      </w:tr>
    </w:tbl>
    <w:p w14:paraId="5C4517AD" w14:textId="77777777" w:rsidR="00632E5B" w:rsidRDefault="00107901">
      <w:pPr>
        <w:pStyle w:val="3"/>
        <w:spacing w:line="280" w:lineRule="exact"/>
        <w:jc w:val="left"/>
        <w:rPr>
          <w:rFonts w:ascii="宋体" w:hAnsi="宋体" w:cs="宋体" w:hint="eastAsia"/>
          <w:b/>
          <w:bCs/>
        </w:rPr>
      </w:pPr>
      <w:bookmarkStart w:id="389" w:name="_Toc989279"/>
      <w:r>
        <w:rPr>
          <w:rFonts w:ascii="宋体" w:hAnsi="宋体" w:cs="宋体"/>
          <w:b/>
          <w:bCs/>
        </w:rPr>
        <w:t>2、其他对投资者决策有影响的重要交易和事项</w:t>
      </w:r>
      <w:bookmarkEnd w:id="389"/>
    </w:p>
    <w:p w14:paraId="61AA3072" w14:textId="77777777" w:rsidR="00E72F0C" w:rsidRDefault="00107901" w:rsidP="00585914">
      <w:pPr>
        <w:pStyle w:val="a3"/>
        <w:spacing w:before="0" w:beforeAutospacing="0" w:after="0" w:afterAutospacing="0"/>
        <w:divId w:val="804002949"/>
        <w:rPr>
          <w:rFonts w:hint="eastAsia"/>
          <w:sz w:val="18"/>
          <w:szCs w:val="18"/>
        </w:rPr>
      </w:pPr>
      <w:r>
        <w:rPr>
          <w:rFonts w:hint="eastAsia"/>
          <w:sz w:val="18"/>
          <w:szCs w:val="18"/>
        </w:rPr>
        <w:t>破产重整事项</w:t>
      </w:r>
    </w:p>
    <w:p w14:paraId="59117522" w14:textId="77777777" w:rsidR="00E72F0C" w:rsidRDefault="00107901" w:rsidP="00585914">
      <w:pPr>
        <w:pStyle w:val="a3"/>
        <w:spacing w:before="0" w:beforeAutospacing="0" w:after="0" w:afterAutospacing="0"/>
        <w:divId w:val="804002949"/>
        <w:rPr>
          <w:rFonts w:hint="eastAsia"/>
          <w:sz w:val="18"/>
          <w:szCs w:val="18"/>
        </w:rPr>
      </w:pPr>
      <w:r>
        <w:rPr>
          <w:rFonts w:hint="eastAsia"/>
          <w:sz w:val="18"/>
          <w:szCs w:val="18"/>
        </w:rPr>
        <w:t>  2024年11月8日，公司收到苏州中院送达（2024）苏05破50号《民事裁定书》和《决定书》，苏州中院裁定受理对公司的重整申请。同时，公司分别与产业投资人、牵头财务投资人签署了《预重整投资协议》。</w:t>
      </w:r>
      <w:r>
        <w:rPr>
          <w:rFonts w:hint="eastAsia"/>
          <w:sz w:val="18"/>
          <w:szCs w:val="18"/>
        </w:rPr>
        <w:br/>
        <w:t>  2024年12月4日，公司第一次债权人会议表决通过了《江苏中利集团股份有限公司重整计划（草案）》；公司出资人组表决通过了《江苏中利集团股份有限公司重整计划（草案）之出资人权益调整方案》。</w:t>
      </w:r>
      <w:r>
        <w:rPr>
          <w:rFonts w:hint="eastAsia"/>
          <w:sz w:val="18"/>
          <w:szCs w:val="18"/>
        </w:rPr>
        <w:br/>
        <w:t>  2024年12月6日，公司及管理人分别与产业投资人、17家财务投资人签署了《重整投资协议》。</w:t>
      </w:r>
      <w:r>
        <w:rPr>
          <w:rFonts w:hint="eastAsia"/>
          <w:sz w:val="18"/>
          <w:szCs w:val="18"/>
        </w:rPr>
        <w:br/>
        <w:t xml:space="preserve">  2024年12月19日，公司收到公司管理人出具的告知函，公司管理人账户已收到全体重整投资人按协议约定支付的款项（含重整投资款及解决非经营性资金占用的款项）。 </w:t>
      </w:r>
      <w:r>
        <w:rPr>
          <w:rFonts w:hint="eastAsia"/>
          <w:sz w:val="18"/>
          <w:szCs w:val="18"/>
        </w:rPr>
        <w:br/>
        <w:t xml:space="preserve">  2024年12月11日，公司收到苏州中院送达的（2024）苏05破50号之二《民事裁定书》，苏州中院裁定批准《江苏中利集团股份有限公司重整计划》，并终止公司重整程序。 </w:t>
      </w:r>
      <w:r>
        <w:rPr>
          <w:rFonts w:hint="eastAsia"/>
          <w:sz w:val="18"/>
          <w:szCs w:val="18"/>
        </w:rPr>
        <w:br/>
        <w:t>  2024年12月27日，公司收到苏州中院送达的（2024）苏 05破50号之四《民事裁定书》，裁定确认公司重整计划执行完毕，终结公司重整程序。</w:t>
      </w:r>
    </w:p>
    <w:p w14:paraId="0DC76C86" w14:textId="77777777" w:rsidR="00632E5B" w:rsidRDefault="00107901">
      <w:pPr>
        <w:pStyle w:val="3"/>
        <w:spacing w:line="280" w:lineRule="exact"/>
        <w:jc w:val="left"/>
        <w:rPr>
          <w:rFonts w:ascii="宋体" w:hAnsi="宋体" w:cs="宋体" w:hint="eastAsia"/>
          <w:b/>
          <w:bCs/>
        </w:rPr>
      </w:pPr>
      <w:bookmarkStart w:id="390" w:name="_Toc989280"/>
      <w:r>
        <w:rPr>
          <w:rFonts w:ascii="宋体" w:hAnsi="宋体" w:cs="宋体"/>
          <w:b/>
          <w:bCs/>
        </w:rPr>
        <w:t>3、其他</w:t>
      </w:r>
      <w:bookmarkEnd w:id="390"/>
    </w:p>
    <w:p w14:paraId="369B1BFC" w14:textId="77777777" w:rsidR="00E72F0C" w:rsidRDefault="00107901">
      <w:pPr>
        <w:pStyle w:val="a3"/>
        <w:divId w:val="796724843"/>
        <w:rPr>
          <w:rFonts w:hint="eastAsia"/>
          <w:sz w:val="18"/>
          <w:szCs w:val="18"/>
        </w:rPr>
      </w:pPr>
      <w:r>
        <w:rPr>
          <w:rFonts w:hint="eastAsia"/>
          <w:sz w:val="18"/>
          <w:szCs w:val="18"/>
        </w:rPr>
        <w:t>前期差错更正</w:t>
      </w:r>
      <w:r>
        <w:rPr>
          <w:rFonts w:hint="eastAsia"/>
          <w:sz w:val="18"/>
          <w:szCs w:val="18"/>
        </w:rPr>
        <w:br/>
        <w:t>  （1）前期会计差错更正事项的原因</w:t>
      </w:r>
      <w:r>
        <w:rPr>
          <w:rFonts w:hint="eastAsia"/>
          <w:sz w:val="18"/>
          <w:szCs w:val="18"/>
        </w:rPr>
        <w:br/>
        <w:t>  2024年7月5日，公司收到中国证券监督管理局出具的《行政处罚决定书》（﹝2024﹞64号）。公司根据《行政处罚决定书》中涉及到的虚增营业收入、成本与利润情况及2023年度前期差错更正情况，对前期财务报表涉及的相关科目予以二次差错更正。</w:t>
      </w:r>
      <w:r>
        <w:rPr>
          <w:rFonts w:hint="eastAsia"/>
          <w:sz w:val="18"/>
          <w:szCs w:val="18"/>
        </w:rPr>
        <w:br/>
        <w:t>  （2）追溯调整的说明</w:t>
      </w:r>
      <w:r>
        <w:rPr>
          <w:rFonts w:hint="eastAsia"/>
          <w:sz w:val="18"/>
          <w:szCs w:val="18"/>
        </w:rPr>
        <w:br/>
        <w:t>  行政处罚决定书所述:“经查，中利集团及其子公司中利电子开展的专网通信业务，或上下游公司由隋某力直接或间接控制，或上下游公司的专网通信业务由隋某力直接控制。专网通信业务合同制定、签订、履行等全过程均由隋某力主导，且中利集团主要与隋某力沟通协调。中利集团、中利电子从事的生产型专网通信业务，既不能自主选择供应商和客户，也不能控制采购进度和销售流向，组装加工过程无核心技术，销售回款没有控制能力。中利集团从事的贸易型专网通信业务无贸易实质，无法控制商品的到货与发货，基本不参与货物流转。中利集团及中利电子专网通信业务的合同流、实物流形成闭环，业务资金流形成闭环。中利集团、中利电子是隋某力专网通信虚假自循环业务中的一环，承担的是有账期的垫资方角色。在2019 年初，中利电子专网通信业务应收账款回款困难时，王柏兴与隋某力商定，由隋某力先支付部分尾款让中利电子偿还到期融资贷款，再通过签订新的采购合同获得融资，以维持业务运转和资金循环。”</w:t>
      </w:r>
      <w:r>
        <w:rPr>
          <w:rFonts w:hint="eastAsia"/>
          <w:sz w:val="18"/>
          <w:szCs w:val="18"/>
        </w:rPr>
        <w:br/>
        <w:t>  通过行政处罚决定书对专网通信业务自循环模式的认定，并结合对公司账簿、会计凭证、合同等相关资料的核查。从整体上看公司为专网通信业务资金循环的一个环节。主要通过大比例预付原材料款造成经营现金流的大量流出，再通过应收账款的部分收回作现金流的补充。2021年专网通信事件暴雷后，公司被套取资金的损失主要体现在应收账款和预付材料款难以追回、基站产品及其主材因无终端市场而无法变现，导致公司计提了大额的信用减值准备和资产减值准备。</w:t>
      </w:r>
      <w:r>
        <w:rPr>
          <w:rFonts w:hint="eastAsia"/>
          <w:sz w:val="18"/>
          <w:szCs w:val="18"/>
        </w:rPr>
        <w:br/>
        <w:t>  公司认为该业务涉及的专网设备核心部件采购、专网设备销售、应收账款减值、存货减值应作为一揽子事项进行会计处</w:t>
      </w:r>
      <w:r>
        <w:rPr>
          <w:rFonts w:hint="eastAsia"/>
          <w:sz w:val="18"/>
          <w:szCs w:val="18"/>
        </w:rPr>
        <w:lastRenderedPageBreak/>
        <w:t>理，前期形成的账面利润及其现金可以视同对公司后期存货和应收账款减值的对冲项。</w:t>
      </w:r>
      <w:r>
        <w:rPr>
          <w:rFonts w:hint="eastAsia"/>
          <w:sz w:val="18"/>
          <w:szCs w:val="18"/>
        </w:rPr>
        <w:br/>
        <w:t>  公司在追溯调整中使用“其他流动负债”科目作为专网通信虚增利润过渡科目，并在2021年累计冲减相关信用减值、资产减值。</w:t>
      </w:r>
      <w:r>
        <w:rPr>
          <w:rFonts w:hint="eastAsia"/>
          <w:sz w:val="18"/>
          <w:szCs w:val="18"/>
        </w:rPr>
        <w:br/>
        <w:t>  本次差错更正对2024年及比较期间的报表未产生影响。</w:t>
      </w:r>
    </w:p>
    <w:p w14:paraId="778D5B13" w14:textId="77777777" w:rsidR="00632E5B" w:rsidRDefault="00107901">
      <w:pPr>
        <w:pStyle w:val="2"/>
        <w:spacing w:before="300" w:after="300" w:line="320" w:lineRule="exact"/>
        <w:rPr>
          <w:rFonts w:ascii="宋体" w:eastAsia="宋体" w:hAnsi="宋体" w:cs="宋体" w:hint="eastAsia"/>
          <w:b/>
          <w:bCs/>
          <w:sz w:val="24"/>
          <w:szCs w:val="24"/>
        </w:rPr>
      </w:pPr>
      <w:bookmarkStart w:id="391" w:name="_Toc989281"/>
      <w:r>
        <w:rPr>
          <w:rFonts w:ascii="宋体" w:eastAsia="宋体" w:hAnsi="宋体" w:cs="宋体"/>
          <w:b/>
          <w:bCs/>
          <w:sz w:val="24"/>
          <w:szCs w:val="24"/>
        </w:rPr>
        <w:t>十七、母公司财务报表主要项目注释</w:t>
      </w:r>
      <w:bookmarkEnd w:id="391"/>
    </w:p>
    <w:p w14:paraId="04EBE184" w14:textId="77777777" w:rsidR="00632E5B" w:rsidRDefault="00107901">
      <w:pPr>
        <w:pStyle w:val="3"/>
        <w:spacing w:line="280" w:lineRule="exact"/>
        <w:jc w:val="left"/>
        <w:rPr>
          <w:rFonts w:ascii="宋体" w:hAnsi="宋体" w:cs="宋体" w:hint="eastAsia"/>
          <w:b/>
          <w:bCs/>
        </w:rPr>
      </w:pPr>
      <w:bookmarkStart w:id="392" w:name="_Toc989282"/>
      <w:r>
        <w:rPr>
          <w:rFonts w:ascii="宋体" w:hAnsi="宋体" w:cs="宋体"/>
          <w:b/>
          <w:bCs/>
        </w:rPr>
        <w:t>1、应收账款</w:t>
      </w:r>
      <w:bookmarkEnd w:id="392"/>
    </w:p>
    <w:p w14:paraId="683730EF"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393" w:name="_Toc989283"/>
      <w:r>
        <w:rPr>
          <w:rFonts w:ascii="宋体" w:eastAsia="宋体" w:hAnsi="宋体" w:cs="宋体"/>
          <w:b/>
          <w:bCs/>
          <w:szCs w:val="21"/>
        </w:rPr>
        <w:t>（1） 按账龄披露</w:t>
      </w:r>
      <w:bookmarkEnd w:id="393"/>
    </w:p>
    <w:p w14:paraId="285D3291"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Style w:val="20"/>
        <w:tblW w:w="499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000" w:firstRow="0" w:lastRow="0" w:firstColumn="0" w:lastColumn="0" w:noHBand="0" w:noVBand="0"/>
      </w:tblPr>
      <w:tblGrid>
        <w:gridCol w:w="3209"/>
        <w:gridCol w:w="3208"/>
        <w:gridCol w:w="3210"/>
      </w:tblGrid>
      <w:tr w:rsidR="0024544F" w:rsidRPr="0044671F" w14:paraId="66BDD832" w14:textId="77777777" w:rsidTr="008B6556">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shd w:val="clear" w:color="auto" w:fill="FFFFFF" w:themeFill="background1"/>
            <w:noWrap/>
          </w:tcPr>
          <w:p w14:paraId="1A69B42D" w14:textId="77777777" w:rsidR="0024544F" w:rsidRPr="0044671F" w:rsidRDefault="0024544F" w:rsidP="0014662C">
            <w:pPr>
              <w:widowControl/>
              <w:jc w:val="center"/>
              <w:textAlignment w:val="bottom"/>
              <w:rPr>
                <w:rFonts w:asciiTheme="minorEastAsia" w:hAnsiTheme="minorEastAsia" w:cs="宋体" w:hint="eastAsia"/>
                <w:color w:val="000000"/>
                <w:sz w:val="18"/>
                <w:szCs w:val="18"/>
              </w:rPr>
            </w:pPr>
            <w:r w:rsidRPr="0044671F">
              <w:rPr>
                <w:rFonts w:asciiTheme="minorEastAsia" w:hAnsiTheme="minorEastAsia" w:cs="宋体" w:hint="eastAsia"/>
                <w:color w:val="000000"/>
                <w:kern w:val="0"/>
                <w:sz w:val="18"/>
                <w:szCs w:val="18"/>
                <w:lang w:bidi="ar"/>
              </w:rPr>
              <w:t>账龄</w:t>
            </w:r>
          </w:p>
        </w:tc>
        <w:tc>
          <w:tcPr>
            <w:cnfStyle w:val="000001000000" w:firstRow="0" w:lastRow="0" w:firstColumn="0" w:lastColumn="0" w:oddVBand="0" w:evenVBand="1" w:oddHBand="0" w:evenHBand="0" w:firstRowFirstColumn="0" w:firstRowLastColumn="0" w:lastRowFirstColumn="0" w:lastRowLastColumn="0"/>
            <w:tcW w:w="1666" w:type="pct"/>
            <w:tcBorders>
              <w:top w:val="none" w:sz="0" w:space="0" w:color="auto"/>
              <w:left w:val="none" w:sz="0" w:space="0" w:color="auto"/>
              <w:bottom w:val="none" w:sz="0" w:space="0" w:color="auto"/>
              <w:right w:val="none" w:sz="0" w:space="0" w:color="auto"/>
            </w:tcBorders>
            <w:shd w:val="clear" w:color="auto" w:fill="FFFFFF" w:themeFill="background1"/>
          </w:tcPr>
          <w:p w14:paraId="6431F178" w14:textId="77777777" w:rsidR="0024544F" w:rsidRPr="0044671F" w:rsidRDefault="0024544F" w:rsidP="0014662C">
            <w:pPr>
              <w:widowControl/>
              <w:jc w:val="center"/>
              <w:textAlignment w:val="bottom"/>
              <w:rPr>
                <w:rFonts w:asciiTheme="minorEastAsia" w:hAnsiTheme="minorEastAsia" w:cs="宋体" w:hint="eastAsia"/>
                <w:color w:val="000000"/>
                <w:sz w:val="18"/>
                <w:szCs w:val="18"/>
              </w:rPr>
            </w:pPr>
            <w:r w:rsidRPr="0044671F">
              <w:rPr>
                <w:rFonts w:asciiTheme="minorEastAsia" w:hAnsiTheme="minorEastAsia" w:cs="宋体" w:hint="eastAsia"/>
                <w:color w:val="000000"/>
                <w:kern w:val="0"/>
                <w:sz w:val="18"/>
                <w:szCs w:val="18"/>
                <w:lang w:bidi="ar"/>
              </w:rPr>
              <w:t>期末账面余额</w:t>
            </w:r>
          </w:p>
        </w:tc>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shd w:val="clear" w:color="auto" w:fill="FFFFFF" w:themeFill="background1"/>
          </w:tcPr>
          <w:p w14:paraId="6B09819A" w14:textId="77777777" w:rsidR="0024544F" w:rsidRPr="0044671F" w:rsidRDefault="0024544F" w:rsidP="0014662C">
            <w:pPr>
              <w:widowControl/>
              <w:jc w:val="center"/>
              <w:textAlignment w:val="top"/>
              <w:rPr>
                <w:rFonts w:asciiTheme="minorEastAsia" w:hAnsiTheme="minorEastAsia" w:cs="宋体" w:hint="eastAsia"/>
                <w:color w:val="000000"/>
                <w:sz w:val="18"/>
                <w:szCs w:val="18"/>
              </w:rPr>
            </w:pPr>
            <w:r w:rsidRPr="0044671F">
              <w:rPr>
                <w:rFonts w:asciiTheme="minorEastAsia" w:hAnsiTheme="minorEastAsia" w:cs="宋体" w:hint="eastAsia"/>
                <w:color w:val="000000"/>
                <w:kern w:val="0"/>
                <w:sz w:val="18"/>
                <w:szCs w:val="18"/>
                <w:lang w:bidi="ar"/>
              </w:rPr>
              <w:t>期初账面余额</w:t>
            </w:r>
          </w:p>
        </w:tc>
      </w:tr>
      <w:tr w:rsidR="0024544F" w:rsidRPr="0044671F" w14:paraId="1C8CF354" w14:textId="77777777" w:rsidTr="008B6556">
        <w:trPr>
          <w:trHeight w:val="312"/>
        </w:trPr>
        <w:tc>
          <w:tcPr>
            <w:cnfStyle w:val="000010000000" w:firstRow="0" w:lastRow="0" w:firstColumn="0" w:lastColumn="0" w:oddVBand="1" w:evenVBand="0" w:oddHBand="0" w:evenHBand="0" w:firstRowFirstColumn="0" w:firstRowLastColumn="0" w:lastRowFirstColumn="0" w:lastRowLastColumn="0"/>
            <w:tcW w:w="1667" w:type="pct"/>
            <w:tcBorders>
              <w:left w:val="none" w:sz="0" w:space="0" w:color="auto"/>
              <w:right w:val="none" w:sz="0" w:space="0" w:color="auto"/>
            </w:tcBorders>
            <w:shd w:val="clear" w:color="auto" w:fill="FFFFFF" w:themeFill="background1"/>
            <w:noWrap/>
          </w:tcPr>
          <w:p w14:paraId="1C1BDBB2" w14:textId="77777777" w:rsidR="0024544F" w:rsidRPr="0044671F" w:rsidRDefault="0024544F" w:rsidP="0014662C">
            <w:pPr>
              <w:widowControl/>
              <w:textAlignment w:val="bottom"/>
              <w:rPr>
                <w:rFonts w:asciiTheme="minorEastAsia" w:hAnsiTheme="minorEastAsia" w:cs="宋体" w:hint="eastAsia"/>
                <w:color w:val="000000"/>
                <w:sz w:val="18"/>
                <w:szCs w:val="18"/>
              </w:rPr>
            </w:pPr>
            <w:r w:rsidRPr="0044671F">
              <w:rPr>
                <w:rFonts w:asciiTheme="minorEastAsia" w:hAnsiTheme="minorEastAsia" w:cs="宋体" w:hint="eastAsia"/>
                <w:color w:val="000000"/>
                <w:kern w:val="0"/>
                <w:sz w:val="18"/>
                <w:szCs w:val="18"/>
                <w:lang w:bidi="ar"/>
              </w:rPr>
              <w:t>6个月以内</w:t>
            </w:r>
          </w:p>
        </w:tc>
        <w:tc>
          <w:tcPr>
            <w:cnfStyle w:val="000001000000" w:firstRow="0" w:lastRow="0" w:firstColumn="0" w:lastColumn="0" w:oddVBand="0" w:evenVBand="1" w:oddHBand="0" w:evenHBand="0" w:firstRowFirstColumn="0" w:firstRowLastColumn="0" w:lastRowFirstColumn="0" w:lastRowLastColumn="0"/>
            <w:tcW w:w="2879" w:type="dxa"/>
            <w:tcBorders>
              <w:left w:val="none" w:sz="0" w:space="0" w:color="auto"/>
              <w:right w:val="none" w:sz="0" w:space="0" w:color="auto"/>
            </w:tcBorders>
            <w:shd w:val="clear" w:color="auto" w:fill="FFFFFF" w:themeFill="background1"/>
          </w:tcPr>
          <w:p w14:paraId="73C7F3DC" w14:textId="77777777" w:rsidR="0024544F" w:rsidRPr="0044671F" w:rsidRDefault="0024544F" w:rsidP="0014662C">
            <w:pPr>
              <w:widowControl/>
              <w:jc w:val="right"/>
              <w:textAlignment w:val="top"/>
              <w:rPr>
                <w:rFonts w:asciiTheme="minorEastAsia" w:hAnsiTheme="minorEastAsia" w:cs="Arial" w:hint="eastAsia"/>
                <w:color w:val="000000"/>
                <w:kern w:val="0"/>
                <w:sz w:val="18"/>
                <w:szCs w:val="18"/>
                <w:lang w:bidi="ar"/>
              </w:rPr>
            </w:pPr>
            <w:r w:rsidRPr="0044671F">
              <w:rPr>
                <w:rFonts w:asciiTheme="minorEastAsia" w:hAnsiTheme="minorEastAsia" w:cs="Arial" w:hint="eastAsia"/>
                <w:color w:val="000000"/>
                <w:kern w:val="0"/>
                <w:sz w:val="18"/>
                <w:szCs w:val="18"/>
                <w:lang w:bidi="ar"/>
              </w:rPr>
              <w:t xml:space="preserve">204,151,541.01 </w:t>
            </w:r>
          </w:p>
        </w:tc>
        <w:tc>
          <w:tcPr>
            <w:cnfStyle w:val="000010000000" w:firstRow="0" w:lastRow="0" w:firstColumn="0" w:lastColumn="0" w:oddVBand="1" w:evenVBand="0" w:oddHBand="0" w:evenHBand="0" w:firstRowFirstColumn="0" w:firstRowLastColumn="0" w:lastRowFirstColumn="0" w:lastRowLastColumn="0"/>
            <w:tcW w:w="1667" w:type="pct"/>
            <w:tcBorders>
              <w:left w:val="none" w:sz="0" w:space="0" w:color="auto"/>
              <w:right w:val="none" w:sz="0" w:space="0" w:color="auto"/>
            </w:tcBorders>
            <w:shd w:val="clear" w:color="auto" w:fill="FFFFFF" w:themeFill="background1"/>
          </w:tcPr>
          <w:p w14:paraId="58E3219A" w14:textId="77777777" w:rsidR="0024544F" w:rsidRPr="0044671F" w:rsidRDefault="0024544F" w:rsidP="0014662C">
            <w:pPr>
              <w:widowControl/>
              <w:jc w:val="right"/>
              <w:textAlignment w:val="top"/>
              <w:rPr>
                <w:rFonts w:asciiTheme="minorEastAsia" w:hAnsiTheme="minorEastAsia" w:cs="Arial" w:hint="eastAsia"/>
                <w:color w:val="000000"/>
                <w:sz w:val="18"/>
                <w:szCs w:val="18"/>
              </w:rPr>
            </w:pPr>
            <w:r w:rsidRPr="0044671F">
              <w:rPr>
                <w:rFonts w:asciiTheme="minorEastAsia" w:hAnsiTheme="minorEastAsia" w:cs="Arial"/>
                <w:color w:val="000000"/>
                <w:kern w:val="0"/>
                <w:sz w:val="18"/>
                <w:szCs w:val="18"/>
                <w:lang w:bidi="ar"/>
              </w:rPr>
              <w:t xml:space="preserve">130,288,428.52 </w:t>
            </w:r>
          </w:p>
        </w:tc>
      </w:tr>
      <w:tr w:rsidR="0024544F" w:rsidRPr="0044671F" w14:paraId="2B16C403" w14:textId="77777777" w:rsidTr="008B6556">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shd w:val="clear" w:color="auto" w:fill="FFFFFF" w:themeFill="background1"/>
            <w:noWrap/>
          </w:tcPr>
          <w:p w14:paraId="665FA3F2" w14:textId="77777777" w:rsidR="0024544F" w:rsidRPr="0044671F" w:rsidRDefault="0024544F" w:rsidP="0014662C">
            <w:pPr>
              <w:widowControl/>
              <w:textAlignment w:val="bottom"/>
              <w:rPr>
                <w:rFonts w:asciiTheme="minorEastAsia" w:hAnsiTheme="minorEastAsia" w:cs="宋体" w:hint="eastAsia"/>
                <w:color w:val="000000"/>
                <w:sz w:val="18"/>
                <w:szCs w:val="18"/>
              </w:rPr>
            </w:pPr>
            <w:r w:rsidRPr="0044671F">
              <w:rPr>
                <w:rFonts w:asciiTheme="minorEastAsia" w:hAnsiTheme="minorEastAsia" w:cs="宋体" w:hint="eastAsia"/>
                <w:color w:val="000000"/>
                <w:kern w:val="0"/>
                <w:sz w:val="18"/>
                <w:szCs w:val="18"/>
                <w:lang w:bidi="ar"/>
              </w:rPr>
              <w:t>6个月~1年</w:t>
            </w:r>
          </w:p>
        </w:tc>
        <w:tc>
          <w:tcPr>
            <w:cnfStyle w:val="000001000000" w:firstRow="0" w:lastRow="0" w:firstColumn="0" w:lastColumn="0" w:oddVBand="0" w:evenVBand="1" w:oddHBand="0" w:evenHBand="0" w:firstRowFirstColumn="0" w:firstRowLastColumn="0" w:lastRowFirstColumn="0" w:lastRowLastColumn="0"/>
            <w:tcW w:w="2879" w:type="dxa"/>
            <w:tcBorders>
              <w:top w:val="none" w:sz="0" w:space="0" w:color="auto"/>
              <w:left w:val="none" w:sz="0" w:space="0" w:color="auto"/>
              <w:bottom w:val="none" w:sz="0" w:space="0" w:color="auto"/>
              <w:right w:val="none" w:sz="0" w:space="0" w:color="auto"/>
            </w:tcBorders>
            <w:shd w:val="clear" w:color="auto" w:fill="FFFFFF" w:themeFill="background1"/>
          </w:tcPr>
          <w:p w14:paraId="7E217139" w14:textId="77777777" w:rsidR="0024544F" w:rsidRPr="0044671F" w:rsidRDefault="0024544F" w:rsidP="0014662C">
            <w:pPr>
              <w:widowControl/>
              <w:jc w:val="right"/>
              <w:textAlignment w:val="top"/>
              <w:rPr>
                <w:rFonts w:asciiTheme="minorEastAsia" w:hAnsiTheme="minorEastAsia" w:cs="Arial" w:hint="eastAsia"/>
                <w:color w:val="000000"/>
                <w:kern w:val="0"/>
                <w:sz w:val="18"/>
                <w:szCs w:val="18"/>
                <w:lang w:bidi="ar"/>
              </w:rPr>
            </w:pPr>
            <w:r w:rsidRPr="0044671F">
              <w:rPr>
                <w:rFonts w:asciiTheme="minorEastAsia" w:hAnsiTheme="minorEastAsia" w:cs="Arial" w:hint="eastAsia"/>
                <w:color w:val="000000"/>
                <w:kern w:val="0"/>
                <w:sz w:val="18"/>
                <w:szCs w:val="18"/>
                <w:lang w:bidi="ar"/>
              </w:rPr>
              <w:t xml:space="preserve">9,598,487.03 </w:t>
            </w:r>
          </w:p>
        </w:tc>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shd w:val="clear" w:color="auto" w:fill="FFFFFF" w:themeFill="background1"/>
          </w:tcPr>
          <w:p w14:paraId="640190A4" w14:textId="77777777" w:rsidR="0024544F" w:rsidRPr="0044671F" w:rsidRDefault="0024544F" w:rsidP="0014662C">
            <w:pPr>
              <w:widowControl/>
              <w:jc w:val="right"/>
              <w:textAlignment w:val="top"/>
              <w:rPr>
                <w:rFonts w:asciiTheme="minorEastAsia" w:hAnsiTheme="minorEastAsia" w:cs="Arial" w:hint="eastAsia"/>
                <w:color w:val="000000"/>
                <w:sz w:val="18"/>
                <w:szCs w:val="18"/>
              </w:rPr>
            </w:pPr>
            <w:r w:rsidRPr="0044671F">
              <w:rPr>
                <w:rFonts w:asciiTheme="minorEastAsia" w:hAnsiTheme="minorEastAsia" w:cs="Arial"/>
                <w:color w:val="000000"/>
                <w:kern w:val="0"/>
                <w:sz w:val="18"/>
                <w:szCs w:val="18"/>
                <w:lang w:bidi="ar"/>
              </w:rPr>
              <w:t xml:space="preserve">12,662,409.65 </w:t>
            </w:r>
          </w:p>
        </w:tc>
      </w:tr>
      <w:tr w:rsidR="0024544F" w:rsidRPr="0044671F" w14:paraId="26450887" w14:textId="77777777" w:rsidTr="008B6556">
        <w:trPr>
          <w:trHeight w:val="312"/>
        </w:trPr>
        <w:tc>
          <w:tcPr>
            <w:cnfStyle w:val="000010000000" w:firstRow="0" w:lastRow="0" w:firstColumn="0" w:lastColumn="0" w:oddVBand="1" w:evenVBand="0" w:oddHBand="0" w:evenHBand="0" w:firstRowFirstColumn="0" w:firstRowLastColumn="0" w:lastRowFirstColumn="0" w:lastRowLastColumn="0"/>
            <w:tcW w:w="1667" w:type="pct"/>
            <w:tcBorders>
              <w:left w:val="none" w:sz="0" w:space="0" w:color="auto"/>
              <w:right w:val="none" w:sz="0" w:space="0" w:color="auto"/>
            </w:tcBorders>
            <w:shd w:val="clear" w:color="auto" w:fill="FFFFFF" w:themeFill="background1"/>
            <w:noWrap/>
          </w:tcPr>
          <w:p w14:paraId="236A782A" w14:textId="77777777" w:rsidR="0024544F" w:rsidRPr="0044671F" w:rsidRDefault="0024544F" w:rsidP="0014662C">
            <w:pPr>
              <w:widowControl/>
              <w:textAlignment w:val="bottom"/>
              <w:rPr>
                <w:rFonts w:asciiTheme="minorEastAsia" w:hAnsiTheme="minorEastAsia" w:cs="宋体" w:hint="eastAsia"/>
                <w:color w:val="000000"/>
                <w:sz w:val="18"/>
                <w:szCs w:val="18"/>
              </w:rPr>
            </w:pPr>
            <w:r w:rsidRPr="0044671F">
              <w:rPr>
                <w:rFonts w:asciiTheme="minorEastAsia" w:hAnsiTheme="minorEastAsia" w:cs="宋体" w:hint="eastAsia"/>
                <w:color w:val="000000"/>
                <w:kern w:val="0"/>
                <w:sz w:val="18"/>
                <w:szCs w:val="18"/>
                <w:lang w:bidi="ar"/>
              </w:rPr>
              <w:t>1～2年</w:t>
            </w:r>
          </w:p>
        </w:tc>
        <w:tc>
          <w:tcPr>
            <w:cnfStyle w:val="000001000000" w:firstRow="0" w:lastRow="0" w:firstColumn="0" w:lastColumn="0" w:oddVBand="0" w:evenVBand="1" w:oddHBand="0" w:evenHBand="0" w:firstRowFirstColumn="0" w:firstRowLastColumn="0" w:lastRowFirstColumn="0" w:lastRowLastColumn="0"/>
            <w:tcW w:w="2879" w:type="dxa"/>
            <w:tcBorders>
              <w:left w:val="none" w:sz="0" w:space="0" w:color="auto"/>
              <w:right w:val="none" w:sz="0" w:space="0" w:color="auto"/>
            </w:tcBorders>
            <w:shd w:val="clear" w:color="auto" w:fill="FFFFFF" w:themeFill="background1"/>
          </w:tcPr>
          <w:p w14:paraId="4690AB44" w14:textId="77777777" w:rsidR="0024544F" w:rsidRPr="0044671F" w:rsidRDefault="0024544F" w:rsidP="0014662C">
            <w:pPr>
              <w:widowControl/>
              <w:jc w:val="right"/>
              <w:textAlignment w:val="top"/>
              <w:rPr>
                <w:rFonts w:asciiTheme="minorEastAsia" w:hAnsiTheme="minorEastAsia" w:cs="Arial" w:hint="eastAsia"/>
                <w:color w:val="000000"/>
                <w:kern w:val="0"/>
                <w:sz w:val="18"/>
                <w:szCs w:val="18"/>
                <w:lang w:bidi="ar"/>
              </w:rPr>
            </w:pPr>
            <w:r w:rsidRPr="0044671F">
              <w:rPr>
                <w:rFonts w:asciiTheme="minorEastAsia" w:hAnsiTheme="minorEastAsia" w:cs="Arial" w:hint="eastAsia"/>
                <w:color w:val="000000"/>
                <w:kern w:val="0"/>
                <w:sz w:val="18"/>
                <w:szCs w:val="18"/>
                <w:lang w:bidi="ar"/>
              </w:rPr>
              <w:t xml:space="preserve">18,075,000.96 </w:t>
            </w:r>
          </w:p>
        </w:tc>
        <w:tc>
          <w:tcPr>
            <w:cnfStyle w:val="000010000000" w:firstRow="0" w:lastRow="0" w:firstColumn="0" w:lastColumn="0" w:oddVBand="1" w:evenVBand="0" w:oddHBand="0" w:evenHBand="0" w:firstRowFirstColumn="0" w:firstRowLastColumn="0" w:lastRowFirstColumn="0" w:lastRowLastColumn="0"/>
            <w:tcW w:w="1667" w:type="pct"/>
            <w:tcBorders>
              <w:left w:val="none" w:sz="0" w:space="0" w:color="auto"/>
              <w:right w:val="none" w:sz="0" w:space="0" w:color="auto"/>
            </w:tcBorders>
            <w:shd w:val="clear" w:color="auto" w:fill="FFFFFF" w:themeFill="background1"/>
          </w:tcPr>
          <w:p w14:paraId="37071889" w14:textId="77777777" w:rsidR="0024544F" w:rsidRPr="0044671F" w:rsidRDefault="0024544F" w:rsidP="0014662C">
            <w:pPr>
              <w:widowControl/>
              <w:jc w:val="right"/>
              <w:textAlignment w:val="top"/>
              <w:rPr>
                <w:rFonts w:asciiTheme="minorEastAsia" w:hAnsiTheme="minorEastAsia" w:cs="Arial" w:hint="eastAsia"/>
                <w:color w:val="000000"/>
                <w:sz w:val="18"/>
                <w:szCs w:val="18"/>
              </w:rPr>
            </w:pPr>
            <w:r w:rsidRPr="0044671F">
              <w:rPr>
                <w:rFonts w:asciiTheme="minorEastAsia" w:hAnsiTheme="minorEastAsia" w:cs="Arial"/>
                <w:color w:val="000000"/>
                <w:kern w:val="0"/>
                <w:sz w:val="18"/>
                <w:szCs w:val="18"/>
                <w:lang w:bidi="ar"/>
              </w:rPr>
              <w:t xml:space="preserve">21,093,413.27 </w:t>
            </w:r>
          </w:p>
        </w:tc>
      </w:tr>
      <w:tr w:rsidR="0024544F" w:rsidRPr="0044671F" w14:paraId="664C2AED" w14:textId="77777777" w:rsidTr="008B6556">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shd w:val="clear" w:color="auto" w:fill="FFFFFF" w:themeFill="background1"/>
            <w:noWrap/>
          </w:tcPr>
          <w:p w14:paraId="4164E4D5" w14:textId="77777777" w:rsidR="0024544F" w:rsidRPr="0044671F" w:rsidRDefault="0024544F" w:rsidP="0014662C">
            <w:pPr>
              <w:widowControl/>
              <w:textAlignment w:val="bottom"/>
              <w:rPr>
                <w:rFonts w:asciiTheme="minorEastAsia" w:hAnsiTheme="minorEastAsia" w:cs="宋体" w:hint="eastAsia"/>
                <w:color w:val="000000"/>
                <w:sz w:val="18"/>
                <w:szCs w:val="18"/>
              </w:rPr>
            </w:pPr>
            <w:r w:rsidRPr="0044671F">
              <w:rPr>
                <w:rFonts w:asciiTheme="minorEastAsia" w:hAnsiTheme="minorEastAsia" w:cs="宋体" w:hint="eastAsia"/>
                <w:color w:val="000000"/>
                <w:kern w:val="0"/>
                <w:sz w:val="18"/>
                <w:szCs w:val="18"/>
                <w:lang w:bidi="ar"/>
              </w:rPr>
              <w:t>2～3年</w:t>
            </w:r>
          </w:p>
        </w:tc>
        <w:tc>
          <w:tcPr>
            <w:cnfStyle w:val="000001000000" w:firstRow="0" w:lastRow="0" w:firstColumn="0" w:lastColumn="0" w:oddVBand="0" w:evenVBand="1" w:oddHBand="0" w:evenHBand="0" w:firstRowFirstColumn="0" w:firstRowLastColumn="0" w:lastRowFirstColumn="0" w:lastRowLastColumn="0"/>
            <w:tcW w:w="2879" w:type="dxa"/>
            <w:tcBorders>
              <w:top w:val="none" w:sz="0" w:space="0" w:color="auto"/>
              <w:left w:val="none" w:sz="0" w:space="0" w:color="auto"/>
              <w:bottom w:val="none" w:sz="0" w:space="0" w:color="auto"/>
              <w:right w:val="none" w:sz="0" w:space="0" w:color="auto"/>
            </w:tcBorders>
            <w:shd w:val="clear" w:color="auto" w:fill="FFFFFF" w:themeFill="background1"/>
          </w:tcPr>
          <w:p w14:paraId="56AB8549" w14:textId="77777777" w:rsidR="0024544F" w:rsidRPr="0044671F" w:rsidRDefault="0024544F" w:rsidP="0014662C">
            <w:pPr>
              <w:widowControl/>
              <w:jc w:val="right"/>
              <w:textAlignment w:val="top"/>
              <w:rPr>
                <w:rFonts w:asciiTheme="minorEastAsia" w:hAnsiTheme="minorEastAsia" w:cs="Arial" w:hint="eastAsia"/>
                <w:color w:val="000000"/>
                <w:kern w:val="0"/>
                <w:sz w:val="18"/>
                <w:szCs w:val="18"/>
                <w:lang w:bidi="ar"/>
              </w:rPr>
            </w:pPr>
            <w:r w:rsidRPr="0044671F">
              <w:rPr>
                <w:rFonts w:asciiTheme="minorEastAsia" w:hAnsiTheme="minorEastAsia" w:cs="Arial" w:hint="eastAsia"/>
                <w:color w:val="000000"/>
                <w:kern w:val="0"/>
                <w:sz w:val="18"/>
                <w:szCs w:val="18"/>
                <w:lang w:bidi="ar"/>
              </w:rPr>
              <w:t xml:space="preserve">12,105,740.01 </w:t>
            </w:r>
          </w:p>
        </w:tc>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shd w:val="clear" w:color="auto" w:fill="FFFFFF" w:themeFill="background1"/>
          </w:tcPr>
          <w:p w14:paraId="0D252D6B" w14:textId="77777777" w:rsidR="0024544F" w:rsidRPr="0044671F" w:rsidRDefault="0024544F" w:rsidP="0014662C">
            <w:pPr>
              <w:widowControl/>
              <w:jc w:val="right"/>
              <w:textAlignment w:val="top"/>
              <w:rPr>
                <w:rFonts w:asciiTheme="minorEastAsia" w:hAnsiTheme="minorEastAsia" w:cs="Arial" w:hint="eastAsia"/>
                <w:color w:val="000000"/>
                <w:sz w:val="18"/>
                <w:szCs w:val="18"/>
              </w:rPr>
            </w:pPr>
            <w:r w:rsidRPr="0044671F">
              <w:rPr>
                <w:rFonts w:asciiTheme="minorEastAsia" w:hAnsiTheme="minorEastAsia" w:cs="Arial"/>
                <w:color w:val="000000"/>
                <w:kern w:val="0"/>
                <w:sz w:val="18"/>
                <w:szCs w:val="18"/>
                <w:lang w:bidi="ar"/>
              </w:rPr>
              <w:t xml:space="preserve">64,595,998.97 </w:t>
            </w:r>
          </w:p>
        </w:tc>
      </w:tr>
      <w:tr w:rsidR="0024544F" w:rsidRPr="0044671F" w14:paraId="659AD5A0" w14:textId="77777777" w:rsidTr="008B6556">
        <w:trPr>
          <w:trHeight w:val="312"/>
        </w:trPr>
        <w:tc>
          <w:tcPr>
            <w:cnfStyle w:val="000010000000" w:firstRow="0" w:lastRow="0" w:firstColumn="0" w:lastColumn="0" w:oddVBand="1" w:evenVBand="0" w:oddHBand="0" w:evenHBand="0" w:firstRowFirstColumn="0" w:firstRowLastColumn="0" w:lastRowFirstColumn="0" w:lastRowLastColumn="0"/>
            <w:tcW w:w="1667" w:type="pct"/>
            <w:tcBorders>
              <w:left w:val="none" w:sz="0" w:space="0" w:color="auto"/>
              <w:right w:val="none" w:sz="0" w:space="0" w:color="auto"/>
            </w:tcBorders>
            <w:shd w:val="clear" w:color="auto" w:fill="FFFFFF" w:themeFill="background1"/>
            <w:noWrap/>
          </w:tcPr>
          <w:p w14:paraId="1317A3C3" w14:textId="77777777" w:rsidR="0024544F" w:rsidRPr="0044671F" w:rsidRDefault="0024544F" w:rsidP="0014662C">
            <w:pPr>
              <w:widowControl/>
              <w:textAlignment w:val="bottom"/>
              <w:rPr>
                <w:rFonts w:asciiTheme="minorEastAsia" w:hAnsiTheme="minorEastAsia" w:cs="宋体" w:hint="eastAsia"/>
                <w:color w:val="000000"/>
                <w:sz w:val="18"/>
                <w:szCs w:val="18"/>
              </w:rPr>
            </w:pPr>
            <w:r w:rsidRPr="0044671F">
              <w:rPr>
                <w:rFonts w:asciiTheme="minorEastAsia" w:hAnsiTheme="minorEastAsia" w:cs="宋体" w:hint="eastAsia"/>
                <w:color w:val="000000"/>
                <w:kern w:val="0"/>
                <w:sz w:val="18"/>
                <w:szCs w:val="18"/>
                <w:lang w:bidi="ar"/>
              </w:rPr>
              <w:t>3～4年</w:t>
            </w:r>
          </w:p>
        </w:tc>
        <w:tc>
          <w:tcPr>
            <w:cnfStyle w:val="000001000000" w:firstRow="0" w:lastRow="0" w:firstColumn="0" w:lastColumn="0" w:oddVBand="0" w:evenVBand="1" w:oddHBand="0" w:evenHBand="0" w:firstRowFirstColumn="0" w:firstRowLastColumn="0" w:lastRowFirstColumn="0" w:lastRowLastColumn="0"/>
            <w:tcW w:w="2879" w:type="dxa"/>
            <w:tcBorders>
              <w:left w:val="none" w:sz="0" w:space="0" w:color="auto"/>
              <w:right w:val="none" w:sz="0" w:space="0" w:color="auto"/>
            </w:tcBorders>
            <w:shd w:val="clear" w:color="auto" w:fill="FFFFFF" w:themeFill="background1"/>
          </w:tcPr>
          <w:p w14:paraId="0CF22544" w14:textId="77777777" w:rsidR="0024544F" w:rsidRPr="0044671F" w:rsidRDefault="0024544F" w:rsidP="0014662C">
            <w:pPr>
              <w:widowControl/>
              <w:jc w:val="right"/>
              <w:textAlignment w:val="top"/>
              <w:rPr>
                <w:rFonts w:asciiTheme="minorEastAsia" w:hAnsiTheme="minorEastAsia" w:cs="Arial" w:hint="eastAsia"/>
                <w:color w:val="000000"/>
                <w:kern w:val="0"/>
                <w:sz w:val="18"/>
                <w:szCs w:val="18"/>
                <w:lang w:bidi="ar"/>
              </w:rPr>
            </w:pPr>
            <w:r w:rsidRPr="0044671F">
              <w:rPr>
                <w:rFonts w:asciiTheme="minorEastAsia" w:hAnsiTheme="minorEastAsia" w:cs="Arial" w:hint="eastAsia"/>
                <w:color w:val="000000"/>
                <w:kern w:val="0"/>
                <w:sz w:val="18"/>
                <w:szCs w:val="18"/>
                <w:lang w:bidi="ar"/>
              </w:rPr>
              <w:t xml:space="preserve">57,469,334.56 </w:t>
            </w:r>
          </w:p>
        </w:tc>
        <w:tc>
          <w:tcPr>
            <w:cnfStyle w:val="000010000000" w:firstRow="0" w:lastRow="0" w:firstColumn="0" w:lastColumn="0" w:oddVBand="1" w:evenVBand="0" w:oddHBand="0" w:evenHBand="0" w:firstRowFirstColumn="0" w:firstRowLastColumn="0" w:lastRowFirstColumn="0" w:lastRowLastColumn="0"/>
            <w:tcW w:w="1667" w:type="pct"/>
            <w:tcBorders>
              <w:left w:val="none" w:sz="0" w:space="0" w:color="auto"/>
              <w:right w:val="none" w:sz="0" w:space="0" w:color="auto"/>
            </w:tcBorders>
            <w:shd w:val="clear" w:color="auto" w:fill="FFFFFF" w:themeFill="background1"/>
          </w:tcPr>
          <w:p w14:paraId="408C68BC" w14:textId="77777777" w:rsidR="0024544F" w:rsidRPr="0044671F" w:rsidRDefault="0024544F" w:rsidP="0014662C">
            <w:pPr>
              <w:widowControl/>
              <w:jc w:val="right"/>
              <w:textAlignment w:val="top"/>
              <w:rPr>
                <w:rFonts w:asciiTheme="minorEastAsia" w:hAnsiTheme="minorEastAsia" w:cs="Arial" w:hint="eastAsia"/>
                <w:color w:val="000000"/>
                <w:sz w:val="18"/>
                <w:szCs w:val="18"/>
              </w:rPr>
            </w:pPr>
            <w:r w:rsidRPr="0044671F">
              <w:rPr>
                <w:rFonts w:asciiTheme="minorEastAsia" w:hAnsiTheme="minorEastAsia" w:cs="Arial"/>
                <w:color w:val="000000"/>
                <w:kern w:val="0"/>
                <w:sz w:val="18"/>
                <w:szCs w:val="18"/>
                <w:lang w:bidi="ar"/>
              </w:rPr>
              <w:t xml:space="preserve">108,459,787.49 </w:t>
            </w:r>
          </w:p>
        </w:tc>
      </w:tr>
      <w:tr w:rsidR="0024544F" w:rsidRPr="0044671F" w14:paraId="115ADD1D" w14:textId="77777777" w:rsidTr="008B6556">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shd w:val="clear" w:color="auto" w:fill="FFFFFF" w:themeFill="background1"/>
            <w:noWrap/>
          </w:tcPr>
          <w:p w14:paraId="00025975" w14:textId="77777777" w:rsidR="0024544F" w:rsidRPr="0044671F" w:rsidRDefault="0024544F" w:rsidP="0014662C">
            <w:pPr>
              <w:widowControl/>
              <w:textAlignment w:val="bottom"/>
              <w:rPr>
                <w:rFonts w:asciiTheme="minorEastAsia" w:hAnsiTheme="minorEastAsia" w:cs="宋体" w:hint="eastAsia"/>
                <w:color w:val="000000"/>
                <w:sz w:val="18"/>
                <w:szCs w:val="18"/>
              </w:rPr>
            </w:pPr>
            <w:r w:rsidRPr="0044671F">
              <w:rPr>
                <w:rFonts w:asciiTheme="minorEastAsia" w:hAnsiTheme="minorEastAsia" w:cs="宋体" w:hint="eastAsia"/>
                <w:color w:val="000000"/>
                <w:kern w:val="0"/>
                <w:sz w:val="18"/>
                <w:szCs w:val="18"/>
                <w:lang w:bidi="ar"/>
              </w:rPr>
              <w:t>4年以上</w:t>
            </w:r>
          </w:p>
        </w:tc>
        <w:tc>
          <w:tcPr>
            <w:cnfStyle w:val="000001000000" w:firstRow="0" w:lastRow="0" w:firstColumn="0" w:lastColumn="0" w:oddVBand="0" w:evenVBand="1" w:oddHBand="0" w:evenHBand="0" w:firstRowFirstColumn="0" w:firstRowLastColumn="0" w:lastRowFirstColumn="0" w:lastRowLastColumn="0"/>
            <w:tcW w:w="2879" w:type="dxa"/>
            <w:tcBorders>
              <w:top w:val="none" w:sz="0" w:space="0" w:color="auto"/>
              <w:left w:val="none" w:sz="0" w:space="0" w:color="auto"/>
              <w:bottom w:val="none" w:sz="0" w:space="0" w:color="auto"/>
              <w:right w:val="none" w:sz="0" w:space="0" w:color="auto"/>
            </w:tcBorders>
            <w:shd w:val="clear" w:color="auto" w:fill="FFFFFF" w:themeFill="background1"/>
          </w:tcPr>
          <w:p w14:paraId="752E9A6B" w14:textId="77777777" w:rsidR="0024544F" w:rsidRPr="0044671F" w:rsidRDefault="0024544F" w:rsidP="0014662C">
            <w:pPr>
              <w:widowControl/>
              <w:jc w:val="right"/>
              <w:textAlignment w:val="top"/>
              <w:rPr>
                <w:rFonts w:asciiTheme="minorEastAsia" w:hAnsiTheme="minorEastAsia" w:cs="Arial" w:hint="eastAsia"/>
                <w:color w:val="000000"/>
                <w:kern w:val="0"/>
                <w:sz w:val="18"/>
                <w:szCs w:val="18"/>
                <w:lang w:bidi="ar"/>
              </w:rPr>
            </w:pPr>
            <w:r w:rsidRPr="0044671F">
              <w:rPr>
                <w:rFonts w:asciiTheme="minorEastAsia" w:hAnsiTheme="minorEastAsia" w:cs="Arial" w:hint="eastAsia"/>
                <w:color w:val="000000"/>
                <w:kern w:val="0"/>
                <w:sz w:val="18"/>
                <w:szCs w:val="18"/>
                <w:lang w:bidi="ar"/>
              </w:rPr>
              <w:t xml:space="preserve">3,920,694.28 </w:t>
            </w:r>
          </w:p>
        </w:tc>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shd w:val="clear" w:color="auto" w:fill="FFFFFF" w:themeFill="background1"/>
          </w:tcPr>
          <w:p w14:paraId="17E6EE91" w14:textId="77777777" w:rsidR="0024544F" w:rsidRPr="0044671F" w:rsidRDefault="0024544F" w:rsidP="0014662C">
            <w:pPr>
              <w:widowControl/>
              <w:jc w:val="right"/>
              <w:textAlignment w:val="top"/>
              <w:rPr>
                <w:rFonts w:asciiTheme="minorEastAsia" w:hAnsiTheme="minorEastAsia" w:cs="Arial" w:hint="eastAsia"/>
                <w:color w:val="000000"/>
                <w:sz w:val="18"/>
                <w:szCs w:val="18"/>
              </w:rPr>
            </w:pPr>
            <w:r w:rsidRPr="0044671F">
              <w:rPr>
                <w:rFonts w:asciiTheme="minorEastAsia" w:hAnsiTheme="minorEastAsia" w:cs="Arial"/>
                <w:color w:val="000000"/>
                <w:kern w:val="0"/>
                <w:sz w:val="18"/>
                <w:szCs w:val="18"/>
                <w:lang w:bidi="ar"/>
              </w:rPr>
              <w:t xml:space="preserve">405,072,972.15 </w:t>
            </w:r>
          </w:p>
        </w:tc>
      </w:tr>
      <w:tr w:rsidR="0024544F" w:rsidRPr="0044671F" w14:paraId="2EA52EDA" w14:textId="77777777" w:rsidTr="008B6556">
        <w:trPr>
          <w:trHeight w:val="327"/>
        </w:trPr>
        <w:tc>
          <w:tcPr>
            <w:cnfStyle w:val="000010000000" w:firstRow="0" w:lastRow="0" w:firstColumn="0" w:lastColumn="0" w:oddVBand="1" w:evenVBand="0" w:oddHBand="0" w:evenHBand="0" w:firstRowFirstColumn="0" w:firstRowLastColumn="0" w:lastRowFirstColumn="0" w:lastRowLastColumn="0"/>
            <w:tcW w:w="1667" w:type="pct"/>
            <w:tcBorders>
              <w:left w:val="none" w:sz="0" w:space="0" w:color="auto"/>
              <w:right w:val="none" w:sz="0" w:space="0" w:color="auto"/>
            </w:tcBorders>
            <w:shd w:val="clear" w:color="auto" w:fill="FFFFFF" w:themeFill="background1"/>
            <w:noWrap/>
          </w:tcPr>
          <w:p w14:paraId="65E149FF" w14:textId="77777777" w:rsidR="0024544F" w:rsidRPr="0044671F" w:rsidRDefault="0024544F" w:rsidP="0014662C">
            <w:pPr>
              <w:widowControl/>
              <w:jc w:val="center"/>
              <w:textAlignment w:val="bottom"/>
              <w:rPr>
                <w:rFonts w:asciiTheme="minorEastAsia" w:hAnsiTheme="minorEastAsia" w:cs="宋体" w:hint="eastAsia"/>
                <w:color w:val="000000"/>
                <w:sz w:val="18"/>
                <w:szCs w:val="18"/>
              </w:rPr>
            </w:pPr>
            <w:r w:rsidRPr="0044671F">
              <w:rPr>
                <w:rFonts w:asciiTheme="minorEastAsia" w:hAnsiTheme="minorEastAsia" w:cs="宋体" w:hint="eastAsia"/>
                <w:color w:val="000000"/>
                <w:kern w:val="0"/>
                <w:sz w:val="18"/>
                <w:szCs w:val="18"/>
                <w:lang w:bidi="ar"/>
              </w:rPr>
              <w:t>合计</w:t>
            </w:r>
          </w:p>
        </w:tc>
        <w:tc>
          <w:tcPr>
            <w:cnfStyle w:val="000001000000" w:firstRow="0" w:lastRow="0" w:firstColumn="0" w:lastColumn="0" w:oddVBand="0" w:evenVBand="1" w:oddHBand="0" w:evenHBand="0" w:firstRowFirstColumn="0" w:firstRowLastColumn="0" w:lastRowFirstColumn="0" w:lastRowLastColumn="0"/>
            <w:tcW w:w="2879" w:type="dxa"/>
            <w:tcBorders>
              <w:left w:val="none" w:sz="0" w:space="0" w:color="auto"/>
              <w:right w:val="none" w:sz="0" w:space="0" w:color="auto"/>
            </w:tcBorders>
            <w:shd w:val="clear" w:color="auto" w:fill="FFFFFF" w:themeFill="background1"/>
          </w:tcPr>
          <w:p w14:paraId="0EE098C7" w14:textId="77777777" w:rsidR="0024544F" w:rsidRPr="0044671F" w:rsidRDefault="0024544F" w:rsidP="0014662C">
            <w:pPr>
              <w:widowControl/>
              <w:jc w:val="right"/>
              <w:textAlignment w:val="top"/>
              <w:rPr>
                <w:rFonts w:asciiTheme="minorEastAsia" w:hAnsiTheme="minorEastAsia" w:cs="Arial" w:hint="eastAsia"/>
                <w:color w:val="000000"/>
                <w:kern w:val="0"/>
                <w:sz w:val="18"/>
                <w:szCs w:val="18"/>
                <w:lang w:bidi="ar"/>
              </w:rPr>
            </w:pPr>
            <w:r w:rsidRPr="0044671F">
              <w:rPr>
                <w:rFonts w:asciiTheme="minorEastAsia" w:hAnsiTheme="minorEastAsia" w:cs="Arial" w:hint="eastAsia"/>
                <w:color w:val="000000"/>
                <w:kern w:val="0"/>
                <w:sz w:val="18"/>
                <w:szCs w:val="18"/>
                <w:lang w:bidi="ar"/>
              </w:rPr>
              <w:t xml:space="preserve">305,320,797.85 </w:t>
            </w:r>
          </w:p>
        </w:tc>
        <w:tc>
          <w:tcPr>
            <w:cnfStyle w:val="000010000000" w:firstRow="0" w:lastRow="0" w:firstColumn="0" w:lastColumn="0" w:oddVBand="1" w:evenVBand="0" w:oddHBand="0" w:evenHBand="0" w:firstRowFirstColumn="0" w:firstRowLastColumn="0" w:lastRowFirstColumn="0" w:lastRowLastColumn="0"/>
            <w:tcW w:w="1667" w:type="pct"/>
            <w:tcBorders>
              <w:left w:val="none" w:sz="0" w:space="0" w:color="auto"/>
              <w:right w:val="none" w:sz="0" w:space="0" w:color="auto"/>
            </w:tcBorders>
            <w:shd w:val="clear" w:color="auto" w:fill="FFFFFF" w:themeFill="background1"/>
          </w:tcPr>
          <w:p w14:paraId="5951B54D" w14:textId="77777777" w:rsidR="0024544F" w:rsidRPr="0044671F" w:rsidRDefault="0024544F" w:rsidP="0014662C">
            <w:pPr>
              <w:widowControl/>
              <w:jc w:val="right"/>
              <w:textAlignment w:val="top"/>
              <w:rPr>
                <w:rFonts w:asciiTheme="minorEastAsia" w:hAnsiTheme="minorEastAsia" w:cs="Arial" w:hint="eastAsia"/>
                <w:color w:val="000000"/>
                <w:sz w:val="18"/>
                <w:szCs w:val="18"/>
              </w:rPr>
            </w:pPr>
            <w:r w:rsidRPr="0044671F">
              <w:rPr>
                <w:rFonts w:asciiTheme="minorEastAsia" w:hAnsiTheme="minorEastAsia" w:cs="Arial"/>
                <w:color w:val="000000"/>
                <w:kern w:val="0"/>
                <w:sz w:val="18"/>
                <w:szCs w:val="18"/>
                <w:lang w:bidi="ar"/>
              </w:rPr>
              <w:t xml:space="preserve">742,173,010.05 </w:t>
            </w:r>
          </w:p>
        </w:tc>
      </w:tr>
    </w:tbl>
    <w:p w14:paraId="21B7718A"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394" w:name="_Toc989284"/>
      <w:r>
        <w:rPr>
          <w:rFonts w:ascii="宋体" w:eastAsia="宋体" w:hAnsi="宋体" w:cs="宋体"/>
          <w:b/>
          <w:bCs/>
          <w:szCs w:val="21"/>
        </w:rPr>
        <w:t>（2） 按坏账计提方法分类披露</w:t>
      </w:r>
      <w:bookmarkEnd w:id="394"/>
    </w:p>
    <w:p w14:paraId="158B6ED6"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147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739"/>
        <w:gridCol w:w="1241"/>
        <w:gridCol w:w="820"/>
        <w:gridCol w:w="1134"/>
        <w:gridCol w:w="851"/>
        <w:gridCol w:w="6"/>
        <w:gridCol w:w="1273"/>
        <w:gridCol w:w="6"/>
        <w:gridCol w:w="1377"/>
        <w:gridCol w:w="850"/>
        <w:gridCol w:w="6"/>
        <w:gridCol w:w="1192"/>
        <w:gridCol w:w="851"/>
        <w:gridCol w:w="15"/>
        <w:gridCol w:w="1118"/>
      </w:tblGrid>
      <w:tr w:rsidR="00632E5B" w:rsidRPr="00751384" w14:paraId="260CE62B" w14:textId="77777777" w:rsidTr="008B6556">
        <w:trPr>
          <w:trHeight w:val="240"/>
          <w:jc w:val="center"/>
        </w:trPr>
        <w:tc>
          <w:tcPr>
            <w:tcW w:w="739" w:type="dxa"/>
            <w:vMerge w:val="restart"/>
            <w:shd w:val="clear" w:color="auto" w:fill="FFFFFF" w:themeFill="background1"/>
            <w:vAlign w:val="center"/>
          </w:tcPr>
          <w:p w14:paraId="2127C7F5" w14:textId="77777777" w:rsidR="00632E5B" w:rsidRPr="00751384" w:rsidRDefault="00107901">
            <w:pPr>
              <w:spacing w:before="40" w:after="40" w:line="240" w:lineRule="exact"/>
              <w:jc w:val="center"/>
              <w:rPr>
                <w:rFonts w:ascii="宋体" w:eastAsia="宋体" w:hAnsi="宋体" w:cs="宋体" w:hint="eastAsia"/>
                <w:sz w:val="13"/>
                <w:szCs w:val="15"/>
              </w:rPr>
            </w:pPr>
            <w:r w:rsidRPr="00751384">
              <w:rPr>
                <w:rFonts w:ascii="宋体" w:eastAsia="宋体" w:hAnsi="宋体" w:cs="宋体"/>
                <w:sz w:val="13"/>
                <w:szCs w:val="15"/>
              </w:rPr>
              <w:t>类别</w:t>
            </w:r>
          </w:p>
        </w:tc>
        <w:tc>
          <w:tcPr>
            <w:tcW w:w="5331" w:type="dxa"/>
            <w:gridSpan w:val="7"/>
            <w:shd w:val="clear" w:color="auto" w:fill="FFFFFF" w:themeFill="background1"/>
            <w:vAlign w:val="center"/>
          </w:tcPr>
          <w:p w14:paraId="0E2ECF09" w14:textId="77777777" w:rsidR="00632E5B" w:rsidRPr="00751384" w:rsidRDefault="00107901">
            <w:pPr>
              <w:spacing w:before="40" w:after="40" w:line="240" w:lineRule="exact"/>
              <w:jc w:val="center"/>
              <w:rPr>
                <w:rFonts w:ascii="宋体" w:eastAsia="宋体" w:hAnsi="宋体" w:cs="宋体" w:hint="eastAsia"/>
                <w:sz w:val="13"/>
                <w:szCs w:val="15"/>
              </w:rPr>
            </w:pPr>
            <w:r w:rsidRPr="00751384">
              <w:rPr>
                <w:rFonts w:ascii="宋体" w:eastAsia="宋体" w:hAnsi="宋体" w:cs="宋体"/>
                <w:sz w:val="13"/>
                <w:szCs w:val="15"/>
              </w:rPr>
              <w:t>期末余额</w:t>
            </w:r>
          </w:p>
        </w:tc>
        <w:tc>
          <w:tcPr>
            <w:tcW w:w="5409" w:type="dxa"/>
            <w:gridSpan w:val="7"/>
            <w:shd w:val="clear" w:color="auto" w:fill="FFFFFF" w:themeFill="background1"/>
            <w:vAlign w:val="center"/>
          </w:tcPr>
          <w:p w14:paraId="34C93542" w14:textId="77777777" w:rsidR="00632E5B" w:rsidRPr="00751384" w:rsidRDefault="00107901">
            <w:pPr>
              <w:spacing w:before="40" w:after="40" w:line="240" w:lineRule="exact"/>
              <w:jc w:val="center"/>
              <w:rPr>
                <w:rFonts w:ascii="宋体" w:eastAsia="宋体" w:hAnsi="宋体" w:cs="宋体" w:hint="eastAsia"/>
                <w:sz w:val="13"/>
                <w:szCs w:val="15"/>
              </w:rPr>
            </w:pPr>
            <w:r w:rsidRPr="00751384">
              <w:rPr>
                <w:rFonts w:ascii="宋体" w:eastAsia="宋体" w:hAnsi="宋体" w:cs="宋体"/>
                <w:sz w:val="13"/>
                <w:szCs w:val="15"/>
              </w:rPr>
              <w:t>期初余额</w:t>
            </w:r>
          </w:p>
        </w:tc>
      </w:tr>
      <w:tr w:rsidR="00632E5B" w:rsidRPr="00751384" w14:paraId="697D0A61" w14:textId="77777777" w:rsidTr="008B6556">
        <w:trPr>
          <w:trHeight w:val="240"/>
          <w:jc w:val="center"/>
        </w:trPr>
        <w:tc>
          <w:tcPr>
            <w:tcW w:w="739" w:type="dxa"/>
            <w:vMerge/>
            <w:shd w:val="clear" w:color="auto" w:fill="FFFFFF" w:themeFill="background1"/>
            <w:vAlign w:val="center"/>
          </w:tcPr>
          <w:p w14:paraId="57E6B425" w14:textId="77777777" w:rsidR="00632E5B" w:rsidRPr="00751384" w:rsidRDefault="00632E5B">
            <w:pPr>
              <w:rPr>
                <w:sz w:val="13"/>
                <w:szCs w:val="15"/>
              </w:rPr>
            </w:pPr>
          </w:p>
        </w:tc>
        <w:tc>
          <w:tcPr>
            <w:tcW w:w="2061" w:type="dxa"/>
            <w:gridSpan w:val="2"/>
            <w:shd w:val="clear" w:color="auto" w:fill="FFFFFF" w:themeFill="background1"/>
            <w:vAlign w:val="center"/>
          </w:tcPr>
          <w:p w14:paraId="4899D5F1" w14:textId="77777777" w:rsidR="00632E5B" w:rsidRPr="00751384" w:rsidRDefault="00107901">
            <w:pPr>
              <w:spacing w:before="40" w:after="40" w:line="240" w:lineRule="exact"/>
              <w:jc w:val="center"/>
              <w:rPr>
                <w:rFonts w:ascii="宋体" w:eastAsia="宋体" w:hAnsi="宋体" w:cs="宋体" w:hint="eastAsia"/>
                <w:sz w:val="13"/>
                <w:szCs w:val="15"/>
              </w:rPr>
            </w:pPr>
            <w:r w:rsidRPr="00751384">
              <w:rPr>
                <w:rFonts w:ascii="宋体" w:eastAsia="宋体" w:hAnsi="宋体" w:cs="宋体"/>
                <w:sz w:val="13"/>
                <w:szCs w:val="15"/>
              </w:rPr>
              <w:t>账面余额</w:t>
            </w:r>
          </w:p>
        </w:tc>
        <w:tc>
          <w:tcPr>
            <w:tcW w:w="1991" w:type="dxa"/>
            <w:gridSpan w:val="3"/>
            <w:shd w:val="clear" w:color="auto" w:fill="FFFFFF" w:themeFill="background1"/>
            <w:vAlign w:val="center"/>
          </w:tcPr>
          <w:p w14:paraId="50B16AF9" w14:textId="77777777" w:rsidR="00632E5B" w:rsidRPr="00751384" w:rsidRDefault="00107901">
            <w:pPr>
              <w:spacing w:before="40" w:after="40" w:line="240" w:lineRule="exact"/>
              <w:jc w:val="center"/>
              <w:rPr>
                <w:rFonts w:ascii="宋体" w:eastAsia="宋体" w:hAnsi="宋体" w:cs="宋体" w:hint="eastAsia"/>
                <w:sz w:val="13"/>
                <w:szCs w:val="15"/>
              </w:rPr>
            </w:pPr>
            <w:r w:rsidRPr="00751384">
              <w:rPr>
                <w:rFonts w:ascii="宋体" w:eastAsia="宋体" w:hAnsi="宋体" w:cs="宋体"/>
                <w:sz w:val="13"/>
                <w:szCs w:val="15"/>
              </w:rPr>
              <w:t>坏账准备</w:t>
            </w:r>
          </w:p>
        </w:tc>
        <w:tc>
          <w:tcPr>
            <w:tcW w:w="1279" w:type="dxa"/>
            <w:gridSpan w:val="2"/>
            <w:shd w:val="clear" w:color="auto" w:fill="FFFFFF" w:themeFill="background1"/>
            <w:vAlign w:val="center"/>
          </w:tcPr>
          <w:p w14:paraId="4161A5ED" w14:textId="77777777" w:rsidR="00632E5B" w:rsidRPr="00751384" w:rsidRDefault="00107901">
            <w:pPr>
              <w:spacing w:before="40" w:after="40" w:line="240" w:lineRule="exact"/>
              <w:jc w:val="center"/>
              <w:rPr>
                <w:rFonts w:ascii="宋体" w:eastAsia="宋体" w:hAnsi="宋体" w:cs="宋体" w:hint="eastAsia"/>
                <w:sz w:val="13"/>
                <w:szCs w:val="15"/>
              </w:rPr>
            </w:pPr>
            <w:r w:rsidRPr="00751384">
              <w:rPr>
                <w:rFonts w:ascii="宋体" w:eastAsia="宋体" w:hAnsi="宋体" w:cs="宋体"/>
                <w:sz w:val="13"/>
                <w:szCs w:val="15"/>
              </w:rPr>
              <w:t>账面价值</w:t>
            </w:r>
          </w:p>
        </w:tc>
        <w:tc>
          <w:tcPr>
            <w:tcW w:w="2233" w:type="dxa"/>
            <w:gridSpan w:val="3"/>
            <w:shd w:val="clear" w:color="auto" w:fill="FFFFFF" w:themeFill="background1"/>
            <w:vAlign w:val="center"/>
          </w:tcPr>
          <w:p w14:paraId="5A275C46" w14:textId="77777777" w:rsidR="00632E5B" w:rsidRPr="00751384" w:rsidRDefault="00107901">
            <w:pPr>
              <w:spacing w:before="40" w:after="40" w:line="240" w:lineRule="exact"/>
              <w:jc w:val="center"/>
              <w:rPr>
                <w:rFonts w:ascii="宋体" w:eastAsia="宋体" w:hAnsi="宋体" w:cs="宋体" w:hint="eastAsia"/>
                <w:sz w:val="13"/>
                <w:szCs w:val="15"/>
              </w:rPr>
            </w:pPr>
            <w:r w:rsidRPr="00751384">
              <w:rPr>
                <w:rFonts w:ascii="宋体" w:eastAsia="宋体" w:hAnsi="宋体" w:cs="宋体"/>
                <w:sz w:val="13"/>
                <w:szCs w:val="15"/>
              </w:rPr>
              <w:t>账面余额</w:t>
            </w:r>
          </w:p>
        </w:tc>
        <w:tc>
          <w:tcPr>
            <w:tcW w:w="2058" w:type="dxa"/>
            <w:gridSpan w:val="3"/>
            <w:shd w:val="clear" w:color="auto" w:fill="FFFFFF" w:themeFill="background1"/>
            <w:vAlign w:val="center"/>
          </w:tcPr>
          <w:p w14:paraId="330BC7D7" w14:textId="77777777" w:rsidR="00632E5B" w:rsidRPr="00751384" w:rsidRDefault="00107901">
            <w:pPr>
              <w:spacing w:before="40" w:after="40" w:line="240" w:lineRule="exact"/>
              <w:jc w:val="center"/>
              <w:rPr>
                <w:rFonts w:ascii="宋体" w:eastAsia="宋体" w:hAnsi="宋体" w:cs="宋体" w:hint="eastAsia"/>
                <w:sz w:val="13"/>
                <w:szCs w:val="15"/>
              </w:rPr>
            </w:pPr>
            <w:r w:rsidRPr="00751384">
              <w:rPr>
                <w:rFonts w:ascii="宋体" w:eastAsia="宋体" w:hAnsi="宋体" w:cs="宋体"/>
                <w:sz w:val="13"/>
                <w:szCs w:val="15"/>
              </w:rPr>
              <w:t>坏账准备</w:t>
            </w:r>
          </w:p>
        </w:tc>
        <w:tc>
          <w:tcPr>
            <w:tcW w:w="1118" w:type="dxa"/>
            <w:shd w:val="clear" w:color="auto" w:fill="FFFFFF" w:themeFill="background1"/>
            <w:vAlign w:val="center"/>
          </w:tcPr>
          <w:p w14:paraId="65FE57D9" w14:textId="77777777" w:rsidR="00632E5B" w:rsidRPr="00751384" w:rsidRDefault="00107901">
            <w:pPr>
              <w:spacing w:before="40" w:after="40" w:line="240" w:lineRule="exact"/>
              <w:jc w:val="center"/>
              <w:rPr>
                <w:rFonts w:ascii="宋体" w:eastAsia="宋体" w:hAnsi="宋体" w:cs="宋体" w:hint="eastAsia"/>
                <w:sz w:val="13"/>
                <w:szCs w:val="15"/>
              </w:rPr>
            </w:pPr>
            <w:r w:rsidRPr="00751384">
              <w:rPr>
                <w:rFonts w:ascii="宋体" w:eastAsia="宋体" w:hAnsi="宋体" w:cs="宋体"/>
                <w:sz w:val="13"/>
                <w:szCs w:val="15"/>
              </w:rPr>
              <w:t>账面价值</w:t>
            </w:r>
          </w:p>
        </w:tc>
      </w:tr>
      <w:tr w:rsidR="00751384" w:rsidRPr="00751384" w14:paraId="7CB2872D" w14:textId="77777777" w:rsidTr="008B6556">
        <w:trPr>
          <w:trHeight w:val="240"/>
          <w:jc w:val="center"/>
        </w:trPr>
        <w:tc>
          <w:tcPr>
            <w:tcW w:w="739" w:type="dxa"/>
            <w:vMerge/>
            <w:shd w:val="clear" w:color="auto" w:fill="FFFFFF" w:themeFill="background1"/>
            <w:vAlign w:val="center"/>
          </w:tcPr>
          <w:p w14:paraId="7D041050" w14:textId="77777777" w:rsidR="00632E5B" w:rsidRPr="00751384" w:rsidRDefault="00632E5B">
            <w:pPr>
              <w:rPr>
                <w:sz w:val="13"/>
                <w:szCs w:val="15"/>
              </w:rPr>
            </w:pPr>
          </w:p>
        </w:tc>
        <w:tc>
          <w:tcPr>
            <w:tcW w:w="1241" w:type="dxa"/>
            <w:shd w:val="clear" w:color="auto" w:fill="FFFFFF" w:themeFill="background1"/>
            <w:vAlign w:val="center"/>
          </w:tcPr>
          <w:p w14:paraId="1FF2CE8A" w14:textId="77777777" w:rsidR="00632E5B" w:rsidRPr="00751384" w:rsidRDefault="00107901">
            <w:pPr>
              <w:spacing w:before="40" w:after="40" w:line="240" w:lineRule="exact"/>
              <w:jc w:val="center"/>
              <w:rPr>
                <w:rFonts w:ascii="宋体" w:eastAsia="宋体" w:hAnsi="宋体" w:cs="宋体" w:hint="eastAsia"/>
                <w:sz w:val="13"/>
                <w:szCs w:val="15"/>
              </w:rPr>
            </w:pPr>
            <w:r w:rsidRPr="00751384">
              <w:rPr>
                <w:rFonts w:ascii="宋体" w:eastAsia="宋体" w:hAnsi="宋体" w:cs="宋体"/>
                <w:sz w:val="13"/>
                <w:szCs w:val="15"/>
              </w:rPr>
              <w:t>金额</w:t>
            </w:r>
          </w:p>
        </w:tc>
        <w:tc>
          <w:tcPr>
            <w:tcW w:w="820" w:type="dxa"/>
            <w:shd w:val="clear" w:color="auto" w:fill="FFFFFF" w:themeFill="background1"/>
            <w:vAlign w:val="center"/>
          </w:tcPr>
          <w:p w14:paraId="40EA592D" w14:textId="77777777" w:rsidR="00632E5B" w:rsidRPr="00751384" w:rsidRDefault="00107901">
            <w:pPr>
              <w:spacing w:before="40" w:after="40" w:line="240" w:lineRule="exact"/>
              <w:jc w:val="center"/>
              <w:rPr>
                <w:rFonts w:ascii="宋体" w:eastAsia="宋体" w:hAnsi="宋体" w:cs="宋体" w:hint="eastAsia"/>
                <w:sz w:val="13"/>
                <w:szCs w:val="15"/>
              </w:rPr>
            </w:pPr>
            <w:r w:rsidRPr="00751384">
              <w:rPr>
                <w:rFonts w:ascii="宋体" w:eastAsia="宋体" w:hAnsi="宋体" w:cs="宋体"/>
                <w:sz w:val="13"/>
                <w:szCs w:val="15"/>
              </w:rPr>
              <w:t>比例</w:t>
            </w:r>
          </w:p>
        </w:tc>
        <w:tc>
          <w:tcPr>
            <w:tcW w:w="1134" w:type="dxa"/>
            <w:shd w:val="clear" w:color="auto" w:fill="FFFFFF" w:themeFill="background1"/>
            <w:vAlign w:val="center"/>
          </w:tcPr>
          <w:p w14:paraId="796BF367" w14:textId="77777777" w:rsidR="00632E5B" w:rsidRPr="00751384" w:rsidRDefault="00107901">
            <w:pPr>
              <w:spacing w:before="40" w:after="40" w:line="240" w:lineRule="exact"/>
              <w:jc w:val="center"/>
              <w:rPr>
                <w:rFonts w:ascii="宋体" w:eastAsia="宋体" w:hAnsi="宋体" w:cs="宋体" w:hint="eastAsia"/>
                <w:sz w:val="13"/>
                <w:szCs w:val="15"/>
              </w:rPr>
            </w:pPr>
            <w:r w:rsidRPr="00751384">
              <w:rPr>
                <w:rFonts w:ascii="宋体" w:eastAsia="宋体" w:hAnsi="宋体" w:cs="宋体"/>
                <w:sz w:val="13"/>
                <w:szCs w:val="15"/>
              </w:rPr>
              <w:t>金额</w:t>
            </w:r>
          </w:p>
        </w:tc>
        <w:tc>
          <w:tcPr>
            <w:tcW w:w="851" w:type="dxa"/>
            <w:shd w:val="clear" w:color="auto" w:fill="FFFFFF" w:themeFill="background1"/>
            <w:vAlign w:val="center"/>
          </w:tcPr>
          <w:p w14:paraId="3D65B160" w14:textId="77777777" w:rsidR="00632E5B" w:rsidRPr="00751384" w:rsidRDefault="00107901">
            <w:pPr>
              <w:spacing w:before="40" w:after="40" w:line="240" w:lineRule="exact"/>
              <w:jc w:val="center"/>
              <w:rPr>
                <w:rFonts w:ascii="宋体" w:eastAsia="宋体" w:hAnsi="宋体" w:cs="宋体" w:hint="eastAsia"/>
                <w:sz w:val="13"/>
                <w:szCs w:val="15"/>
              </w:rPr>
            </w:pPr>
            <w:r w:rsidRPr="00751384">
              <w:rPr>
                <w:rFonts w:ascii="宋体" w:eastAsia="宋体" w:hAnsi="宋体" w:cs="宋体"/>
                <w:sz w:val="13"/>
                <w:szCs w:val="15"/>
              </w:rPr>
              <w:t>计提比例</w:t>
            </w:r>
          </w:p>
        </w:tc>
        <w:tc>
          <w:tcPr>
            <w:tcW w:w="1279" w:type="dxa"/>
            <w:gridSpan w:val="2"/>
            <w:shd w:val="clear" w:color="auto" w:fill="FFFFFF" w:themeFill="background1"/>
            <w:vAlign w:val="center"/>
          </w:tcPr>
          <w:p w14:paraId="01528C91" w14:textId="77777777" w:rsidR="00632E5B" w:rsidRPr="00751384" w:rsidRDefault="00632E5B">
            <w:pPr>
              <w:rPr>
                <w:sz w:val="13"/>
                <w:szCs w:val="15"/>
              </w:rPr>
            </w:pPr>
          </w:p>
        </w:tc>
        <w:tc>
          <w:tcPr>
            <w:tcW w:w="1383" w:type="dxa"/>
            <w:gridSpan w:val="2"/>
            <w:shd w:val="clear" w:color="auto" w:fill="FFFFFF" w:themeFill="background1"/>
            <w:vAlign w:val="center"/>
          </w:tcPr>
          <w:p w14:paraId="56E73E3D" w14:textId="77777777" w:rsidR="00632E5B" w:rsidRPr="00751384" w:rsidRDefault="00107901">
            <w:pPr>
              <w:spacing w:before="40" w:after="40" w:line="240" w:lineRule="exact"/>
              <w:jc w:val="center"/>
              <w:rPr>
                <w:rFonts w:ascii="宋体" w:eastAsia="宋体" w:hAnsi="宋体" w:cs="宋体" w:hint="eastAsia"/>
                <w:sz w:val="13"/>
                <w:szCs w:val="15"/>
              </w:rPr>
            </w:pPr>
            <w:r w:rsidRPr="00751384">
              <w:rPr>
                <w:rFonts w:ascii="宋体" w:eastAsia="宋体" w:hAnsi="宋体" w:cs="宋体"/>
                <w:sz w:val="13"/>
                <w:szCs w:val="15"/>
              </w:rPr>
              <w:t>金额</w:t>
            </w:r>
          </w:p>
        </w:tc>
        <w:tc>
          <w:tcPr>
            <w:tcW w:w="850" w:type="dxa"/>
            <w:shd w:val="clear" w:color="auto" w:fill="FFFFFF" w:themeFill="background1"/>
            <w:vAlign w:val="center"/>
          </w:tcPr>
          <w:p w14:paraId="004B8068" w14:textId="77777777" w:rsidR="00632E5B" w:rsidRPr="00751384" w:rsidRDefault="00107901">
            <w:pPr>
              <w:spacing w:before="40" w:after="40" w:line="240" w:lineRule="exact"/>
              <w:jc w:val="center"/>
              <w:rPr>
                <w:rFonts w:ascii="宋体" w:eastAsia="宋体" w:hAnsi="宋体" w:cs="宋体" w:hint="eastAsia"/>
                <w:sz w:val="13"/>
                <w:szCs w:val="15"/>
              </w:rPr>
            </w:pPr>
            <w:r w:rsidRPr="00751384">
              <w:rPr>
                <w:rFonts w:ascii="宋体" w:eastAsia="宋体" w:hAnsi="宋体" w:cs="宋体"/>
                <w:sz w:val="13"/>
                <w:szCs w:val="15"/>
              </w:rPr>
              <w:t>比例</w:t>
            </w:r>
          </w:p>
        </w:tc>
        <w:tc>
          <w:tcPr>
            <w:tcW w:w="1198" w:type="dxa"/>
            <w:gridSpan w:val="2"/>
            <w:shd w:val="clear" w:color="auto" w:fill="FFFFFF" w:themeFill="background1"/>
            <w:vAlign w:val="center"/>
          </w:tcPr>
          <w:p w14:paraId="6B89D757" w14:textId="77777777" w:rsidR="00632E5B" w:rsidRPr="00751384" w:rsidRDefault="00107901">
            <w:pPr>
              <w:spacing w:before="40" w:after="40" w:line="240" w:lineRule="exact"/>
              <w:jc w:val="center"/>
              <w:rPr>
                <w:rFonts w:ascii="宋体" w:eastAsia="宋体" w:hAnsi="宋体" w:cs="宋体" w:hint="eastAsia"/>
                <w:sz w:val="13"/>
                <w:szCs w:val="15"/>
              </w:rPr>
            </w:pPr>
            <w:r w:rsidRPr="00751384">
              <w:rPr>
                <w:rFonts w:ascii="宋体" w:eastAsia="宋体" w:hAnsi="宋体" w:cs="宋体"/>
                <w:sz w:val="13"/>
                <w:szCs w:val="15"/>
              </w:rPr>
              <w:t>金额</w:t>
            </w:r>
          </w:p>
        </w:tc>
        <w:tc>
          <w:tcPr>
            <w:tcW w:w="851" w:type="dxa"/>
            <w:shd w:val="clear" w:color="auto" w:fill="FFFFFF" w:themeFill="background1"/>
            <w:vAlign w:val="center"/>
          </w:tcPr>
          <w:p w14:paraId="22172257" w14:textId="77777777" w:rsidR="00632E5B" w:rsidRPr="00751384" w:rsidRDefault="00107901">
            <w:pPr>
              <w:spacing w:before="40" w:after="40" w:line="240" w:lineRule="exact"/>
              <w:jc w:val="center"/>
              <w:rPr>
                <w:rFonts w:ascii="宋体" w:eastAsia="宋体" w:hAnsi="宋体" w:cs="宋体" w:hint="eastAsia"/>
                <w:sz w:val="13"/>
                <w:szCs w:val="15"/>
              </w:rPr>
            </w:pPr>
            <w:r w:rsidRPr="00751384">
              <w:rPr>
                <w:rFonts w:ascii="宋体" w:eastAsia="宋体" w:hAnsi="宋体" w:cs="宋体"/>
                <w:sz w:val="13"/>
                <w:szCs w:val="15"/>
              </w:rPr>
              <w:t>计提比例</w:t>
            </w:r>
          </w:p>
        </w:tc>
        <w:tc>
          <w:tcPr>
            <w:tcW w:w="1133" w:type="dxa"/>
            <w:gridSpan w:val="2"/>
            <w:shd w:val="clear" w:color="auto" w:fill="FFFFFF" w:themeFill="background1"/>
            <w:vAlign w:val="center"/>
          </w:tcPr>
          <w:p w14:paraId="6C8D1D86" w14:textId="77777777" w:rsidR="00632E5B" w:rsidRPr="00751384" w:rsidRDefault="00632E5B">
            <w:pPr>
              <w:rPr>
                <w:sz w:val="13"/>
                <w:szCs w:val="15"/>
              </w:rPr>
            </w:pPr>
          </w:p>
        </w:tc>
      </w:tr>
      <w:tr w:rsidR="00632E5B" w:rsidRPr="00751384" w14:paraId="26D81A21" w14:textId="77777777" w:rsidTr="008B6556">
        <w:trPr>
          <w:trHeight w:val="240"/>
          <w:jc w:val="center"/>
        </w:trPr>
        <w:tc>
          <w:tcPr>
            <w:tcW w:w="739" w:type="dxa"/>
            <w:shd w:val="clear" w:color="auto" w:fill="FFFFFF" w:themeFill="background1"/>
            <w:vAlign w:val="center"/>
          </w:tcPr>
          <w:p w14:paraId="67F8BFF5" w14:textId="77777777" w:rsidR="00632E5B" w:rsidRPr="00751384" w:rsidRDefault="00107901">
            <w:pPr>
              <w:spacing w:before="40" w:after="40" w:line="240" w:lineRule="exact"/>
              <w:rPr>
                <w:rFonts w:ascii="宋体" w:eastAsia="宋体" w:hAnsi="宋体" w:cs="宋体" w:hint="eastAsia"/>
                <w:sz w:val="13"/>
                <w:szCs w:val="15"/>
              </w:rPr>
            </w:pPr>
            <w:r w:rsidRPr="00751384">
              <w:rPr>
                <w:rFonts w:ascii="宋体" w:eastAsia="宋体" w:hAnsi="宋体" w:cs="宋体"/>
                <w:sz w:val="13"/>
                <w:szCs w:val="15"/>
              </w:rPr>
              <w:t>按单项计提坏账准备的应收账款</w:t>
            </w:r>
          </w:p>
        </w:tc>
        <w:tc>
          <w:tcPr>
            <w:tcW w:w="1241" w:type="dxa"/>
            <w:shd w:val="clear" w:color="auto" w:fill="FFFFFF" w:themeFill="background1"/>
            <w:vAlign w:val="center"/>
          </w:tcPr>
          <w:p w14:paraId="4CE90886"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60,855,883.17</w:t>
            </w:r>
          </w:p>
        </w:tc>
        <w:tc>
          <w:tcPr>
            <w:tcW w:w="820" w:type="dxa"/>
            <w:shd w:val="clear" w:color="auto" w:fill="FFFFFF" w:themeFill="background1"/>
            <w:vAlign w:val="center"/>
          </w:tcPr>
          <w:p w14:paraId="22F8D373"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19.93%</w:t>
            </w:r>
          </w:p>
        </w:tc>
        <w:tc>
          <w:tcPr>
            <w:tcW w:w="1134" w:type="dxa"/>
            <w:shd w:val="clear" w:color="auto" w:fill="FFFFFF" w:themeFill="background1"/>
            <w:vAlign w:val="center"/>
          </w:tcPr>
          <w:p w14:paraId="3ED4A34A"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60,855,883.17</w:t>
            </w:r>
          </w:p>
        </w:tc>
        <w:tc>
          <w:tcPr>
            <w:tcW w:w="851" w:type="dxa"/>
            <w:shd w:val="clear" w:color="auto" w:fill="FFFFFF" w:themeFill="background1"/>
            <w:vAlign w:val="center"/>
          </w:tcPr>
          <w:p w14:paraId="7E8936C7"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100.00%</w:t>
            </w:r>
          </w:p>
        </w:tc>
        <w:tc>
          <w:tcPr>
            <w:tcW w:w="1279" w:type="dxa"/>
            <w:gridSpan w:val="2"/>
            <w:shd w:val="clear" w:color="auto" w:fill="FFFFFF" w:themeFill="background1"/>
            <w:vAlign w:val="center"/>
          </w:tcPr>
          <w:p w14:paraId="71077BE2"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0.00</w:t>
            </w:r>
          </w:p>
        </w:tc>
        <w:tc>
          <w:tcPr>
            <w:tcW w:w="1383" w:type="dxa"/>
            <w:gridSpan w:val="2"/>
            <w:shd w:val="clear" w:color="auto" w:fill="FFFFFF" w:themeFill="background1"/>
            <w:vAlign w:val="center"/>
          </w:tcPr>
          <w:p w14:paraId="4728763A"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506,709,000.00</w:t>
            </w:r>
          </w:p>
        </w:tc>
        <w:tc>
          <w:tcPr>
            <w:tcW w:w="850" w:type="dxa"/>
            <w:shd w:val="clear" w:color="auto" w:fill="FFFFFF" w:themeFill="background1"/>
            <w:vAlign w:val="center"/>
          </w:tcPr>
          <w:p w14:paraId="764C62E9" w14:textId="77777777" w:rsidR="00632E5B" w:rsidRPr="00751384" w:rsidRDefault="00107901" w:rsidP="00751384">
            <w:pPr>
              <w:spacing w:line="240" w:lineRule="exact"/>
              <w:jc w:val="center"/>
              <w:rPr>
                <w:rFonts w:ascii="宋体" w:eastAsia="宋体" w:hAnsi="宋体" w:cs="宋体" w:hint="eastAsia"/>
                <w:sz w:val="13"/>
                <w:szCs w:val="15"/>
              </w:rPr>
            </w:pPr>
            <w:r w:rsidRPr="00751384">
              <w:rPr>
                <w:rFonts w:ascii="宋体" w:eastAsia="宋体" w:hAnsi="宋体" w:cs="宋体"/>
                <w:sz w:val="13"/>
                <w:szCs w:val="15"/>
              </w:rPr>
              <w:t>68.27%</w:t>
            </w:r>
          </w:p>
        </w:tc>
        <w:tc>
          <w:tcPr>
            <w:tcW w:w="1198" w:type="dxa"/>
            <w:gridSpan w:val="2"/>
            <w:shd w:val="clear" w:color="auto" w:fill="FFFFFF" w:themeFill="background1"/>
            <w:vAlign w:val="center"/>
          </w:tcPr>
          <w:p w14:paraId="6B7B8EA9"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506,709,000.00</w:t>
            </w:r>
          </w:p>
        </w:tc>
        <w:tc>
          <w:tcPr>
            <w:tcW w:w="851" w:type="dxa"/>
            <w:shd w:val="clear" w:color="auto" w:fill="FFFFFF" w:themeFill="background1"/>
            <w:vAlign w:val="center"/>
          </w:tcPr>
          <w:p w14:paraId="7E1CD9B5"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100.00%</w:t>
            </w:r>
          </w:p>
        </w:tc>
        <w:tc>
          <w:tcPr>
            <w:tcW w:w="1133" w:type="dxa"/>
            <w:gridSpan w:val="2"/>
            <w:shd w:val="clear" w:color="auto" w:fill="FFFFFF" w:themeFill="background1"/>
            <w:vAlign w:val="center"/>
          </w:tcPr>
          <w:p w14:paraId="33D8FFBF"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0.00</w:t>
            </w:r>
          </w:p>
        </w:tc>
      </w:tr>
      <w:tr w:rsidR="00751384" w:rsidRPr="00751384" w14:paraId="2C90B5A7" w14:textId="77777777" w:rsidTr="008B6556">
        <w:trPr>
          <w:trHeight w:val="240"/>
          <w:jc w:val="center"/>
        </w:trPr>
        <w:tc>
          <w:tcPr>
            <w:tcW w:w="739" w:type="dxa"/>
            <w:shd w:val="clear" w:color="auto" w:fill="FFFFFF" w:themeFill="background1"/>
            <w:vAlign w:val="center"/>
          </w:tcPr>
          <w:p w14:paraId="4B6F325D" w14:textId="77777777" w:rsidR="00632E5B" w:rsidRPr="00751384" w:rsidRDefault="00107901">
            <w:pPr>
              <w:spacing w:before="40" w:after="40" w:line="240" w:lineRule="exact"/>
              <w:ind w:firstLineChars="100" w:firstLine="130"/>
              <w:rPr>
                <w:rFonts w:ascii="宋体" w:eastAsia="宋体" w:hAnsi="宋体" w:cs="宋体" w:hint="eastAsia"/>
                <w:sz w:val="13"/>
                <w:szCs w:val="15"/>
              </w:rPr>
            </w:pPr>
            <w:r w:rsidRPr="00751384">
              <w:rPr>
                <w:rFonts w:ascii="宋体" w:eastAsia="宋体" w:hAnsi="宋体" w:cs="宋体"/>
                <w:sz w:val="13"/>
                <w:szCs w:val="15"/>
              </w:rPr>
              <w:t>其中：</w:t>
            </w:r>
          </w:p>
        </w:tc>
        <w:tc>
          <w:tcPr>
            <w:tcW w:w="1241" w:type="dxa"/>
            <w:shd w:val="clear" w:color="auto" w:fill="FFFFFF" w:themeFill="background1"/>
            <w:vAlign w:val="center"/>
          </w:tcPr>
          <w:p w14:paraId="03EBF37A" w14:textId="77777777" w:rsidR="00632E5B" w:rsidRPr="00751384" w:rsidRDefault="00632E5B">
            <w:pPr>
              <w:rPr>
                <w:sz w:val="13"/>
                <w:szCs w:val="15"/>
              </w:rPr>
            </w:pPr>
          </w:p>
        </w:tc>
        <w:tc>
          <w:tcPr>
            <w:tcW w:w="820" w:type="dxa"/>
            <w:shd w:val="clear" w:color="auto" w:fill="FFFFFF" w:themeFill="background1"/>
            <w:vAlign w:val="center"/>
          </w:tcPr>
          <w:p w14:paraId="0DE8530F" w14:textId="77777777" w:rsidR="00632E5B" w:rsidRPr="00751384" w:rsidRDefault="00632E5B">
            <w:pPr>
              <w:rPr>
                <w:sz w:val="13"/>
                <w:szCs w:val="15"/>
              </w:rPr>
            </w:pPr>
          </w:p>
        </w:tc>
        <w:tc>
          <w:tcPr>
            <w:tcW w:w="1134" w:type="dxa"/>
            <w:shd w:val="clear" w:color="auto" w:fill="FFFFFF" w:themeFill="background1"/>
            <w:vAlign w:val="center"/>
          </w:tcPr>
          <w:p w14:paraId="24C721B8" w14:textId="77777777" w:rsidR="00632E5B" w:rsidRPr="00751384" w:rsidRDefault="00632E5B">
            <w:pPr>
              <w:rPr>
                <w:sz w:val="13"/>
                <w:szCs w:val="15"/>
              </w:rPr>
            </w:pPr>
          </w:p>
        </w:tc>
        <w:tc>
          <w:tcPr>
            <w:tcW w:w="851" w:type="dxa"/>
            <w:shd w:val="clear" w:color="auto" w:fill="FFFFFF" w:themeFill="background1"/>
            <w:vAlign w:val="center"/>
          </w:tcPr>
          <w:p w14:paraId="06655D53" w14:textId="77777777" w:rsidR="00632E5B" w:rsidRPr="00751384" w:rsidRDefault="00632E5B">
            <w:pPr>
              <w:rPr>
                <w:sz w:val="13"/>
                <w:szCs w:val="15"/>
              </w:rPr>
            </w:pPr>
          </w:p>
        </w:tc>
        <w:tc>
          <w:tcPr>
            <w:tcW w:w="1279" w:type="dxa"/>
            <w:gridSpan w:val="2"/>
            <w:shd w:val="clear" w:color="auto" w:fill="FFFFFF" w:themeFill="background1"/>
            <w:vAlign w:val="center"/>
          </w:tcPr>
          <w:p w14:paraId="79B9E595" w14:textId="77777777" w:rsidR="00632E5B" w:rsidRPr="00751384" w:rsidRDefault="00632E5B">
            <w:pPr>
              <w:rPr>
                <w:sz w:val="13"/>
                <w:szCs w:val="15"/>
              </w:rPr>
            </w:pPr>
          </w:p>
        </w:tc>
        <w:tc>
          <w:tcPr>
            <w:tcW w:w="1383" w:type="dxa"/>
            <w:gridSpan w:val="2"/>
            <w:shd w:val="clear" w:color="auto" w:fill="FFFFFF" w:themeFill="background1"/>
            <w:vAlign w:val="center"/>
          </w:tcPr>
          <w:p w14:paraId="6BA97A50" w14:textId="77777777" w:rsidR="00632E5B" w:rsidRPr="00751384" w:rsidRDefault="00632E5B">
            <w:pPr>
              <w:rPr>
                <w:sz w:val="13"/>
                <w:szCs w:val="15"/>
              </w:rPr>
            </w:pPr>
          </w:p>
        </w:tc>
        <w:tc>
          <w:tcPr>
            <w:tcW w:w="850" w:type="dxa"/>
            <w:shd w:val="clear" w:color="auto" w:fill="FFFFFF" w:themeFill="background1"/>
            <w:vAlign w:val="center"/>
          </w:tcPr>
          <w:p w14:paraId="5FC6528F" w14:textId="77777777" w:rsidR="00632E5B" w:rsidRPr="00751384" w:rsidRDefault="00632E5B" w:rsidP="00751384">
            <w:pPr>
              <w:jc w:val="center"/>
              <w:rPr>
                <w:sz w:val="13"/>
                <w:szCs w:val="15"/>
              </w:rPr>
            </w:pPr>
          </w:p>
        </w:tc>
        <w:tc>
          <w:tcPr>
            <w:tcW w:w="1198" w:type="dxa"/>
            <w:gridSpan w:val="2"/>
            <w:shd w:val="clear" w:color="auto" w:fill="FFFFFF" w:themeFill="background1"/>
            <w:vAlign w:val="center"/>
          </w:tcPr>
          <w:p w14:paraId="565A2FC2" w14:textId="77777777" w:rsidR="00632E5B" w:rsidRPr="00751384" w:rsidRDefault="00632E5B">
            <w:pPr>
              <w:rPr>
                <w:sz w:val="13"/>
                <w:szCs w:val="15"/>
              </w:rPr>
            </w:pPr>
          </w:p>
        </w:tc>
        <w:tc>
          <w:tcPr>
            <w:tcW w:w="851" w:type="dxa"/>
            <w:shd w:val="clear" w:color="auto" w:fill="FFFFFF" w:themeFill="background1"/>
            <w:vAlign w:val="center"/>
          </w:tcPr>
          <w:p w14:paraId="5CE71053" w14:textId="77777777" w:rsidR="00632E5B" w:rsidRPr="00751384" w:rsidRDefault="00632E5B">
            <w:pPr>
              <w:rPr>
                <w:sz w:val="13"/>
                <w:szCs w:val="15"/>
              </w:rPr>
            </w:pPr>
          </w:p>
        </w:tc>
        <w:tc>
          <w:tcPr>
            <w:tcW w:w="1133" w:type="dxa"/>
            <w:gridSpan w:val="2"/>
            <w:shd w:val="clear" w:color="auto" w:fill="FFFFFF" w:themeFill="background1"/>
            <w:vAlign w:val="center"/>
          </w:tcPr>
          <w:p w14:paraId="276A1ABE" w14:textId="77777777" w:rsidR="00632E5B" w:rsidRPr="00751384" w:rsidRDefault="00632E5B">
            <w:pPr>
              <w:rPr>
                <w:sz w:val="13"/>
                <w:szCs w:val="15"/>
              </w:rPr>
            </w:pPr>
          </w:p>
        </w:tc>
      </w:tr>
      <w:tr w:rsidR="00632E5B" w:rsidRPr="00751384" w14:paraId="7DB04007" w14:textId="77777777" w:rsidTr="008B6556">
        <w:trPr>
          <w:trHeight w:val="240"/>
          <w:jc w:val="center"/>
        </w:trPr>
        <w:tc>
          <w:tcPr>
            <w:tcW w:w="739" w:type="dxa"/>
            <w:shd w:val="clear" w:color="auto" w:fill="FFFFFF" w:themeFill="background1"/>
            <w:vAlign w:val="center"/>
          </w:tcPr>
          <w:p w14:paraId="46959E36" w14:textId="77777777" w:rsidR="00632E5B" w:rsidRPr="00751384" w:rsidRDefault="00107901">
            <w:pPr>
              <w:spacing w:before="40" w:after="40" w:line="240" w:lineRule="exact"/>
              <w:rPr>
                <w:rFonts w:ascii="宋体" w:eastAsia="宋体" w:hAnsi="宋体" w:cs="宋体" w:hint="eastAsia"/>
                <w:sz w:val="13"/>
                <w:szCs w:val="15"/>
              </w:rPr>
            </w:pPr>
            <w:r w:rsidRPr="00751384">
              <w:rPr>
                <w:rFonts w:ascii="宋体" w:eastAsia="宋体" w:hAnsi="宋体" w:cs="宋体"/>
                <w:sz w:val="13"/>
                <w:szCs w:val="15"/>
              </w:rPr>
              <w:t>按组合计提坏账准备的应收账款</w:t>
            </w:r>
          </w:p>
        </w:tc>
        <w:tc>
          <w:tcPr>
            <w:tcW w:w="1241" w:type="dxa"/>
            <w:shd w:val="clear" w:color="auto" w:fill="FFFFFF" w:themeFill="background1"/>
            <w:vAlign w:val="center"/>
          </w:tcPr>
          <w:p w14:paraId="74E34F96"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244,464,914.68</w:t>
            </w:r>
          </w:p>
        </w:tc>
        <w:tc>
          <w:tcPr>
            <w:tcW w:w="820" w:type="dxa"/>
            <w:shd w:val="clear" w:color="auto" w:fill="FFFFFF" w:themeFill="background1"/>
            <w:vAlign w:val="center"/>
          </w:tcPr>
          <w:p w14:paraId="4F7122C1"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80.07%</w:t>
            </w:r>
          </w:p>
        </w:tc>
        <w:tc>
          <w:tcPr>
            <w:tcW w:w="1134" w:type="dxa"/>
            <w:shd w:val="clear" w:color="auto" w:fill="FFFFFF" w:themeFill="background1"/>
            <w:vAlign w:val="center"/>
          </w:tcPr>
          <w:p w14:paraId="424F2A4B"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5,005,804.53</w:t>
            </w:r>
          </w:p>
        </w:tc>
        <w:tc>
          <w:tcPr>
            <w:tcW w:w="851" w:type="dxa"/>
            <w:shd w:val="clear" w:color="auto" w:fill="FFFFFF" w:themeFill="background1"/>
            <w:vAlign w:val="center"/>
          </w:tcPr>
          <w:p w14:paraId="72165376"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2.05%</w:t>
            </w:r>
          </w:p>
        </w:tc>
        <w:tc>
          <w:tcPr>
            <w:tcW w:w="1279" w:type="dxa"/>
            <w:gridSpan w:val="2"/>
            <w:shd w:val="clear" w:color="auto" w:fill="FFFFFF" w:themeFill="background1"/>
            <w:vAlign w:val="center"/>
          </w:tcPr>
          <w:p w14:paraId="5D8CDC5D"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239,459,110.15</w:t>
            </w:r>
          </w:p>
        </w:tc>
        <w:tc>
          <w:tcPr>
            <w:tcW w:w="1383" w:type="dxa"/>
            <w:gridSpan w:val="2"/>
            <w:shd w:val="clear" w:color="auto" w:fill="FFFFFF" w:themeFill="background1"/>
            <w:vAlign w:val="center"/>
          </w:tcPr>
          <w:p w14:paraId="7FEEB76B"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235,464,010.05</w:t>
            </w:r>
          </w:p>
        </w:tc>
        <w:tc>
          <w:tcPr>
            <w:tcW w:w="850" w:type="dxa"/>
            <w:shd w:val="clear" w:color="auto" w:fill="FFFFFF" w:themeFill="background1"/>
            <w:vAlign w:val="center"/>
          </w:tcPr>
          <w:p w14:paraId="03FF89B2" w14:textId="77777777" w:rsidR="00632E5B" w:rsidRPr="00751384" w:rsidRDefault="00107901" w:rsidP="00751384">
            <w:pPr>
              <w:spacing w:line="240" w:lineRule="exact"/>
              <w:jc w:val="center"/>
              <w:rPr>
                <w:rFonts w:ascii="宋体" w:eastAsia="宋体" w:hAnsi="宋体" w:cs="宋体" w:hint="eastAsia"/>
                <w:sz w:val="13"/>
                <w:szCs w:val="15"/>
              </w:rPr>
            </w:pPr>
            <w:r w:rsidRPr="00751384">
              <w:rPr>
                <w:rFonts w:ascii="宋体" w:eastAsia="宋体" w:hAnsi="宋体" w:cs="宋体"/>
                <w:sz w:val="13"/>
                <w:szCs w:val="15"/>
              </w:rPr>
              <w:t>31.73%</w:t>
            </w:r>
          </w:p>
        </w:tc>
        <w:tc>
          <w:tcPr>
            <w:tcW w:w="1198" w:type="dxa"/>
            <w:gridSpan w:val="2"/>
            <w:shd w:val="clear" w:color="auto" w:fill="FFFFFF" w:themeFill="background1"/>
            <w:vAlign w:val="center"/>
          </w:tcPr>
          <w:p w14:paraId="7D523505"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17,757,022.58</w:t>
            </w:r>
          </w:p>
        </w:tc>
        <w:tc>
          <w:tcPr>
            <w:tcW w:w="851" w:type="dxa"/>
            <w:shd w:val="clear" w:color="auto" w:fill="FFFFFF" w:themeFill="background1"/>
            <w:vAlign w:val="center"/>
          </w:tcPr>
          <w:p w14:paraId="55C90C55"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7.54%</w:t>
            </w:r>
          </w:p>
        </w:tc>
        <w:tc>
          <w:tcPr>
            <w:tcW w:w="1133" w:type="dxa"/>
            <w:gridSpan w:val="2"/>
            <w:shd w:val="clear" w:color="auto" w:fill="FFFFFF" w:themeFill="background1"/>
            <w:vAlign w:val="center"/>
          </w:tcPr>
          <w:p w14:paraId="1CEAFB1D"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217,706,987.47</w:t>
            </w:r>
          </w:p>
        </w:tc>
      </w:tr>
      <w:tr w:rsidR="00751384" w:rsidRPr="00751384" w14:paraId="686A8F8D" w14:textId="77777777" w:rsidTr="008B6556">
        <w:trPr>
          <w:trHeight w:val="240"/>
          <w:jc w:val="center"/>
        </w:trPr>
        <w:tc>
          <w:tcPr>
            <w:tcW w:w="739" w:type="dxa"/>
            <w:shd w:val="clear" w:color="auto" w:fill="FFFFFF" w:themeFill="background1"/>
            <w:vAlign w:val="center"/>
          </w:tcPr>
          <w:p w14:paraId="6D954B18" w14:textId="77777777" w:rsidR="00632E5B" w:rsidRPr="00751384" w:rsidRDefault="00107901">
            <w:pPr>
              <w:spacing w:before="40" w:after="40" w:line="240" w:lineRule="exact"/>
              <w:ind w:firstLineChars="100" w:firstLine="130"/>
              <w:rPr>
                <w:rFonts w:ascii="宋体" w:eastAsia="宋体" w:hAnsi="宋体" w:cs="宋体" w:hint="eastAsia"/>
                <w:sz w:val="13"/>
                <w:szCs w:val="15"/>
              </w:rPr>
            </w:pPr>
            <w:r w:rsidRPr="00751384">
              <w:rPr>
                <w:rFonts w:ascii="宋体" w:eastAsia="宋体" w:hAnsi="宋体" w:cs="宋体"/>
                <w:sz w:val="13"/>
                <w:szCs w:val="15"/>
              </w:rPr>
              <w:t>其中：</w:t>
            </w:r>
          </w:p>
        </w:tc>
        <w:tc>
          <w:tcPr>
            <w:tcW w:w="1241" w:type="dxa"/>
            <w:shd w:val="clear" w:color="auto" w:fill="FFFFFF" w:themeFill="background1"/>
            <w:vAlign w:val="center"/>
          </w:tcPr>
          <w:p w14:paraId="136ECFFB" w14:textId="77777777" w:rsidR="00632E5B" w:rsidRPr="00751384" w:rsidRDefault="00632E5B">
            <w:pPr>
              <w:rPr>
                <w:sz w:val="13"/>
                <w:szCs w:val="15"/>
              </w:rPr>
            </w:pPr>
          </w:p>
        </w:tc>
        <w:tc>
          <w:tcPr>
            <w:tcW w:w="820" w:type="dxa"/>
            <w:shd w:val="clear" w:color="auto" w:fill="FFFFFF" w:themeFill="background1"/>
            <w:vAlign w:val="center"/>
          </w:tcPr>
          <w:p w14:paraId="1D2D9831" w14:textId="77777777" w:rsidR="00632E5B" w:rsidRPr="00751384" w:rsidRDefault="00632E5B">
            <w:pPr>
              <w:rPr>
                <w:sz w:val="13"/>
                <w:szCs w:val="15"/>
              </w:rPr>
            </w:pPr>
          </w:p>
        </w:tc>
        <w:tc>
          <w:tcPr>
            <w:tcW w:w="1134" w:type="dxa"/>
            <w:shd w:val="clear" w:color="auto" w:fill="FFFFFF" w:themeFill="background1"/>
            <w:vAlign w:val="center"/>
          </w:tcPr>
          <w:p w14:paraId="793458A1" w14:textId="77777777" w:rsidR="00632E5B" w:rsidRPr="00751384" w:rsidRDefault="00632E5B">
            <w:pPr>
              <w:rPr>
                <w:sz w:val="13"/>
                <w:szCs w:val="15"/>
              </w:rPr>
            </w:pPr>
          </w:p>
        </w:tc>
        <w:tc>
          <w:tcPr>
            <w:tcW w:w="851" w:type="dxa"/>
            <w:shd w:val="clear" w:color="auto" w:fill="FFFFFF" w:themeFill="background1"/>
            <w:vAlign w:val="center"/>
          </w:tcPr>
          <w:p w14:paraId="6839079B" w14:textId="77777777" w:rsidR="00632E5B" w:rsidRPr="00751384" w:rsidRDefault="00632E5B">
            <w:pPr>
              <w:rPr>
                <w:sz w:val="13"/>
                <w:szCs w:val="15"/>
              </w:rPr>
            </w:pPr>
          </w:p>
        </w:tc>
        <w:tc>
          <w:tcPr>
            <w:tcW w:w="1279" w:type="dxa"/>
            <w:gridSpan w:val="2"/>
            <w:shd w:val="clear" w:color="auto" w:fill="FFFFFF" w:themeFill="background1"/>
            <w:vAlign w:val="center"/>
          </w:tcPr>
          <w:p w14:paraId="6EE5AD88" w14:textId="77777777" w:rsidR="00632E5B" w:rsidRPr="00751384" w:rsidRDefault="00632E5B">
            <w:pPr>
              <w:rPr>
                <w:sz w:val="13"/>
                <w:szCs w:val="15"/>
              </w:rPr>
            </w:pPr>
          </w:p>
        </w:tc>
        <w:tc>
          <w:tcPr>
            <w:tcW w:w="1383" w:type="dxa"/>
            <w:gridSpan w:val="2"/>
            <w:shd w:val="clear" w:color="auto" w:fill="FFFFFF" w:themeFill="background1"/>
            <w:vAlign w:val="center"/>
          </w:tcPr>
          <w:p w14:paraId="7C3F2DA5" w14:textId="77777777" w:rsidR="00632E5B" w:rsidRPr="00751384" w:rsidRDefault="00632E5B">
            <w:pPr>
              <w:rPr>
                <w:sz w:val="13"/>
                <w:szCs w:val="15"/>
              </w:rPr>
            </w:pPr>
          </w:p>
        </w:tc>
        <w:tc>
          <w:tcPr>
            <w:tcW w:w="850" w:type="dxa"/>
            <w:shd w:val="clear" w:color="auto" w:fill="FFFFFF" w:themeFill="background1"/>
            <w:vAlign w:val="center"/>
          </w:tcPr>
          <w:p w14:paraId="1EC6FADF" w14:textId="77777777" w:rsidR="00632E5B" w:rsidRPr="00751384" w:rsidRDefault="00632E5B" w:rsidP="00751384">
            <w:pPr>
              <w:jc w:val="center"/>
              <w:rPr>
                <w:sz w:val="13"/>
                <w:szCs w:val="15"/>
              </w:rPr>
            </w:pPr>
          </w:p>
        </w:tc>
        <w:tc>
          <w:tcPr>
            <w:tcW w:w="1198" w:type="dxa"/>
            <w:gridSpan w:val="2"/>
            <w:shd w:val="clear" w:color="auto" w:fill="FFFFFF" w:themeFill="background1"/>
            <w:vAlign w:val="center"/>
          </w:tcPr>
          <w:p w14:paraId="5292EE17" w14:textId="77777777" w:rsidR="00632E5B" w:rsidRPr="00751384" w:rsidRDefault="00632E5B">
            <w:pPr>
              <w:rPr>
                <w:sz w:val="13"/>
                <w:szCs w:val="15"/>
              </w:rPr>
            </w:pPr>
          </w:p>
        </w:tc>
        <w:tc>
          <w:tcPr>
            <w:tcW w:w="851" w:type="dxa"/>
            <w:shd w:val="clear" w:color="auto" w:fill="FFFFFF" w:themeFill="background1"/>
            <w:vAlign w:val="center"/>
          </w:tcPr>
          <w:p w14:paraId="69C4C138" w14:textId="77777777" w:rsidR="00632E5B" w:rsidRPr="00751384" w:rsidRDefault="00632E5B">
            <w:pPr>
              <w:rPr>
                <w:sz w:val="13"/>
                <w:szCs w:val="15"/>
              </w:rPr>
            </w:pPr>
          </w:p>
        </w:tc>
        <w:tc>
          <w:tcPr>
            <w:tcW w:w="1133" w:type="dxa"/>
            <w:gridSpan w:val="2"/>
            <w:shd w:val="clear" w:color="auto" w:fill="FFFFFF" w:themeFill="background1"/>
            <w:vAlign w:val="center"/>
          </w:tcPr>
          <w:p w14:paraId="3C356B85" w14:textId="77777777" w:rsidR="00632E5B" w:rsidRPr="00751384" w:rsidRDefault="00632E5B">
            <w:pPr>
              <w:rPr>
                <w:sz w:val="13"/>
                <w:szCs w:val="15"/>
              </w:rPr>
            </w:pPr>
          </w:p>
        </w:tc>
      </w:tr>
      <w:tr w:rsidR="00632E5B" w:rsidRPr="00751384" w14:paraId="32B62C4F" w14:textId="77777777" w:rsidTr="008B6556">
        <w:trPr>
          <w:trHeight w:val="240"/>
          <w:jc w:val="center"/>
        </w:trPr>
        <w:tc>
          <w:tcPr>
            <w:tcW w:w="739" w:type="dxa"/>
            <w:shd w:val="clear" w:color="auto" w:fill="FFFFFF" w:themeFill="background1"/>
            <w:vAlign w:val="center"/>
          </w:tcPr>
          <w:p w14:paraId="5B1203F0" w14:textId="77777777" w:rsidR="00632E5B" w:rsidRPr="00751384" w:rsidRDefault="00107901">
            <w:pPr>
              <w:spacing w:line="240" w:lineRule="exact"/>
              <w:rPr>
                <w:rFonts w:ascii="宋体" w:eastAsia="宋体" w:hAnsi="宋体" w:cs="宋体" w:hint="eastAsia"/>
                <w:sz w:val="13"/>
                <w:szCs w:val="15"/>
              </w:rPr>
            </w:pPr>
            <w:r w:rsidRPr="00751384">
              <w:rPr>
                <w:rFonts w:ascii="宋体" w:eastAsia="宋体" w:hAnsi="宋体" w:cs="宋体"/>
                <w:sz w:val="13"/>
                <w:szCs w:val="15"/>
              </w:rPr>
              <w:t>合并范围内子公司组合</w:t>
            </w:r>
          </w:p>
        </w:tc>
        <w:tc>
          <w:tcPr>
            <w:tcW w:w="1241" w:type="dxa"/>
            <w:shd w:val="clear" w:color="auto" w:fill="FFFFFF" w:themeFill="background1"/>
            <w:vAlign w:val="center"/>
          </w:tcPr>
          <w:p w14:paraId="5D2E07B8"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20,262,948.62</w:t>
            </w:r>
          </w:p>
        </w:tc>
        <w:tc>
          <w:tcPr>
            <w:tcW w:w="820" w:type="dxa"/>
            <w:shd w:val="clear" w:color="auto" w:fill="FFFFFF" w:themeFill="background1"/>
            <w:vAlign w:val="center"/>
          </w:tcPr>
          <w:p w14:paraId="49EB0F82"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6.65%</w:t>
            </w:r>
          </w:p>
        </w:tc>
        <w:tc>
          <w:tcPr>
            <w:tcW w:w="1134" w:type="dxa"/>
            <w:shd w:val="clear" w:color="auto" w:fill="FFFFFF" w:themeFill="background1"/>
            <w:vAlign w:val="center"/>
          </w:tcPr>
          <w:p w14:paraId="59BEDD1F" w14:textId="77777777" w:rsidR="00632E5B" w:rsidRPr="00751384" w:rsidRDefault="00632E5B">
            <w:pPr>
              <w:spacing w:line="240" w:lineRule="exact"/>
              <w:jc w:val="right"/>
              <w:rPr>
                <w:rFonts w:ascii="宋体" w:eastAsia="宋体" w:hAnsi="宋体" w:cs="宋体" w:hint="eastAsia"/>
                <w:sz w:val="13"/>
                <w:szCs w:val="15"/>
              </w:rPr>
            </w:pPr>
          </w:p>
        </w:tc>
        <w:tc>
          <w:tcPr>
            <w:tcW w:w="851" w:type="dxa"/>
            <w:shd w:val="clear" w:color="auto" w:fill="FFFFFF" w:themeFill="background1"/>
            <w:vAlign w:val="center"/>
          </w:tcPr>
          <w:p w14:paraId="0A35C183" w14:textId="77777777" w:rsidR="00632E5B" w:rsidRPr="00751384" w:rsidRDefault="00632E5B">
            <w:pPr>
              <w:spacing w:line="240" w:lineRule="exact"/>
              <w:jc w:val="right"/>
              <w:rPr>
                <w:rFonts w:ascii="宋体" w:eastAsia="宋体" w:hAnsi="宋体" w:cs="宋体" w:hint="eastAsia"/>
                <w:sz w:val="13"/>
                <w:szCs w:val="15"/>
              </w:rPr>
            </w:pPr>
          </w:p>
        </w:tc>
        <w:tc>
          <w:tcPr>
            <w:tcW w:w="1279" w:type="dxa"/>
            <w:gridSpan w:val="2"/>
            <w:shd w:val="clear" w:color="auto" w:fill="FFFFFF" w:themeFill="background1"/>
            <w:vAlign w:val="center"/>
          </w:tcPr>
          <w:p w14:paraId="4B4D6A7F"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20,262,948.62</w:t>
            </w:r>
          </w:p>
        </w:tc>
        <w:tc>
          <w:tcPr>
            <w:tcW w:w="1383" w:type="dxa"/>
            <w:gridSpan w:val="2"/>
            <w:shd w:val="clear" w:color="auto" w:fill="FFFFFF" w:themeFill="background1"/>
            <w:vAlign w:val="center"/>
          </w:tcPr>
          <w:p w14:paraId="73FB74E8"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23,044,912.85</w:t>
            </w:r>
          </w:p>
        </w:tc>
        <w:tc>
          <w:tcPr>
            <w:tcW w:w="850" w:type="dxa"/>
            <w:shd w:val="clear" w:color="auto" w:fill="FFFFFF" w:themeFill="background1"/>
            <w:vAlign w:val="center"/>
          </w:tcPr>
          <w:p w14:paraId="10C0E245" w14:textId="77777777" w:rsidR="00632E5B" w:rsidRPr="00751384" w:rsidRDefault="00107901" w:rsidP="00751384">
            <w:pPr>
              <w:spacing w:line="240" w:lineRule="exact"/>
              <w:jc w:val="center"/>
              <w:rPr>
                <w:rFonts w:ascii="宋体" w:eastAsia="宋体" w:hAnsi="宋体" w:cs="宋体" w:hint="eastAsia"/>
                <w:sz w:val="13"/>
                <w:szCs w:val="15"/>
              </w:rPr>
            </w:pPr>
            <w:r w:rsidRPr="00751384">
              <w:rPr>
                <w:rFonts w:ascii="宋体" w:eastAsia="宋体" w:hAnsi="宋体" w:cs="宋体"/>
                <w:sz w:val="13"/>
                <w:szCs w:val="15"/>
              </w:rPr>
              <w:t>3.11%</w:t>
            </w:r>
          </w:p>
        </w:tc>
        <w:tc>
          <w:tcPr>
            <w:tcW w:w="1198" w:type="dxa"/>
            <w:gridSpan w:val="2"/>
            <w:shd w:val="clear" w:color="auto" w:fill="FFFFFF" w:themeFill="background1"/>
            <w:vAlign w:val="center"/>
          </w:tcPr>
          <w:p w14:paraId="52B51974"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0.00</w:t>
            </w:r>
          </w:p>
        </w:tc>
        <w:tc>
          <w:tcPr>
            <w:tcW w:w="851" w:type="dxa"/>
            <w:shd w:val="clear" w:color="auto" w:fill="FFFFFF" w:themeFill="background1"/>
            <w:vAlign w:val="center"/>
          </w:tcPr>
          <w:p w14:paraId="089E4D50"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0.00%</w:t>
            </w:r>
          </w:p>
        </w:tc>
        <w:tc>
          <w:tcPr>
            <w:tcW w:w="1133" w:type="dxa"/>
            <w:gridSpan w:val="2"/>
            <w:shd w:val="clear" w:color="auto" w:fill="FFFFFF" w:themeFill="background1"/>
            <w:vAlign w:val="center"/>
          </w:tcPr>
          <w:p w14:paraId="3C08A531"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23,044,912.85</w:t>
            </w:r>
          </w:p>
        </w:tc>
      </w:tr>
      <w:tr w:rsidR="00632E5B" w:rsidRPr="00751384" w14:paraId="58205263" w14:textId="77777777" w:rsidTr="008B6556">
        <w:trPr>
          <w:trHeight w:val="240"/>
          <w:jc w:val="center"/>
        </w:trPr>
        <w:tc>
          <w:tcPr>
            <w:tcW w:w="739" w:type="dxa"/>
            <w:shd w:val="clear" w:color="auto" w:fill="FFFFFF" w:themeFill="background1"/>
            <w:vAlign w:val="center"/>
          </w:tcPr>
          <w:p w14:paraId="11CE8E92" w14:textId="7722536F" w:rsidR="00632E5B" w:rsidRPr="00751384" w:rsidRDefault="00107901">
            <w:pPr>
              <w:spacing w:line="240" w:lineRule="exact"/>
              <w:rPr>
                <w:rFonts w:ascii="宋体" w:eastAsia="宋体" w:hAnsi="宋体" w:cs="宋体" w:hint="eastAsia"/>
                <w:sz w:val="13"/>
                <w:szCs w:val="15"/>
              </w:rPr>
            </w:pPr>
            <w:r w:rsidRPr="00751384">
              <w:rPr>
                <w:rFonts w:ascii="宋体" w:eastAsia="宋体" w:hAnsi="宋体" w:cs="宋体"/>
                <w:sz w:val="13"/>
                <w:szCs w:val="15"/>
              </w:rPr>
              <w:t>逾期账龄组合</w:t>
            </w:r>
          </w:p>
        </w:tc>
        <w:tc>
          <w:tcPr>
            <w:tcW w:w="1241" w:type="dxa"/>
            <w:shd w:val="clear" w:color="auto" w:fill="FFFFFF" w:themeFill="background1"/>
            <w:vAlign w:val="center"/>
          </w:tcPr>
          <w:p w14:paraId="3C402F89"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224,201,966.06</w:t>
            </w:r>
          </w:p>
        </w:tc>
        <w:tc>
          <w:tcPr>
            <w:tcW w:w="820" w:type="dxa"/>
            <w:shd w:val="clear" w:color="auto" w:fill="FFFFFF" w:themeFill="background1"/>
            <w:vAlign w:val="center"/>
          </w:tcPr>
          <w:p w14:paraId="056C72F7"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73.43%</w:t>
            </w:r>
          </w:p>
        </w:tc>
        <w:tc>
          <w:tcPr>
            <w:tcW w:w="1134" w:type="dxa"/>
            <w:shd w:val="clear" w:color="auto" w:fill="FFFFFF" w:themeFill="background1"/>
            <w:vAlign w:val="center"/>
          </w:tcPr>
          <w:p w14:paraId="2C831931"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5,005,804.53</w:t>
            </w:r>
          </w:p>
        </w:tc>
        <w:tc>
          <w:tcPr>
            <w:tcW w:w="851" w:type="dxa"/>
            <w:shd w:val="clear" w:color="auto" w:fill="FFFFFF" w:themeFill="background1"/>
            <w:vAlign w:val="center"/>
          </w:tcPr>
          <w:p w14:paraId="3C6A2DC4"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2.23%</w:t>
            </w:r>
          </w:p>
        </w:tc>
        <w:tc>
          <w:tcPr>
            <w:tcW w:w="1279" w:type="dxa"/>
            <w:gridSpan w:val="2"/>
            <w:shd w:val="clear" w:color="auto" w:fill="FFFFFF" w:themeFill="background1"/>
            <w:vAlign w:val="center"/>
          </w:tcPr>
          <w:p w14:paraId="506A7E2F"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219,196,161.53</w:t>
            </w:r>
          </w:p>
        </w:tc>
        <w:tc>
          <w:tcPr>
            <w:tcW w:w="1383" w:type="dxa"/>
            <w:gridSpan w:val="2"/>
            <w:shd w:val="clear" w:color="auto" w:fill="FFFFFF" w:themeFill="background1"/>
            <w:vAlign w:val="center"/>
          </w:tcPr>
          <w:p w14:paraId="2077C3F1"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212,419,097.20</w:t>
            </w:r>
          </w:p>
        </w:tc>
        <w:tc>
          <w:tcPr>
            <w:tcW w:w="850" w:type="dxa"/>
            <w:shd w:val="clear" w:color="auto" w:fill="FFFFFF" w:themeFill="background1"/>
            <w:vAlign w:val="center"/>
          </w:tcPr>
          <w:p w14:paraId="2DA4B97C" w14:textId="77777777" w:rsidR="00632E5B" w:rsidRPr="00751384" w:rsidRDefault="00107901" w:rsidP="00751384">
            <w:pPr>
              <w:spacing w:line="240" w:lineRule="exact"/>
              <w:jc w:val="center"/>
              <w:rPr>
                <w:rFonts w:ascii="宋体" w:eastAsia="宋体" w:hAnsi="宋体" w:cs="宋体" w:hint="eastAsia"/>
                <w:sz w:val="13"/>
                <w:szCs w:val="15"/>
              </w:rPr>
            </w:pPr>
            <w:r w:rsidRPr="00751384">
              <w:rPr>
                <w:rFonts w:ascii="宋体" w:eastAsia="宋体" w:hAnsi="宋体" w:cs="宋体"/>
                <w:sz w:val="13"/>
                <w:szCs w:val="15"/>
              </w:rPr>
              <w:t>28.62%</w:t>
            </w:r>
          </w:p>
        </w:tc>
        <w:tc>
          <w:tcPr>
            <w:tcW w:w="1198" w:type="dxa"/>
            <w:gridSpan w:val="2"/>
            <w:shd w:val="clear" w:color="auto" w:fill="FFFFFF" w:themeFill="background1"/>
            <w:vAlign w:val="center"/>
          </w:tcPr>
          <w:p w14:paraId="236CA815"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17,757,022.58</w:t>
            </w:r>
          </w:p>
        </w:tc>
        <w:tc>
          <w:tcPr>
            <w:tcW w:w="851" w:type="dxa"/>
            <w:shd w:val="clear" w:color="auto" w:fill="FFFFFF" w:themeFill="background1"/>
            <w:vAlign w:val="center"/>
          </w:tcPr>
          <w:p w14:paraId="1A7905E6"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8.36%</w:t>
            </w:r>
          </w:p>
        </w:tc>
        <w:tc>
          <w:tcPr>
            <w:tcW w:w="1133" w:type="dxa"/>
            <w:gridSpan w:val="2"/>
            <w:shd w:val="clear" w:color="auto" w:fill="FFFFFF" w:themeFill="background1"/>
            <w:vAlign w:val="center"/>
          </w:tcPr>
          <w:p w14:paraId="2FE3FAFC"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194,662,074.62</w:t>
            </w:r>
          </w:p>
        </w:tc>
      </w:tr>
      <w:tr w:rsidR="00632E5B" w:rsidRPr="00751384" w14:paraId="7FEA91EF" w14:textId="77777777" w:rsidTr="008B6556">
        <w:trPr>
          <w:trHeight w:val="240"/>
          <w:jc w:val="center"/>
        </w:trPr>
        <w:tc>
          <w:tcPr>
            <w:tcW w:w="739" w:type="dxa"/>
            <w:shd w:val="clear" w:color="auto" w:fill="FFFFFF" w:themeFill="background1"/>
            <w:vAlign w:val="center"/>
          </w:tcPr>
          <w:p w14:paraId="6B058CAF" w14:textId="77777777" w:rsidR="00632E5B" w:rsidRPr="00751384" w:rsidRDefault="00107901">
            <w:pPr>
              <w:spacing w:before="40" w:after="40" w:line="240" w:lineRule="exact"/>
              <w:rPr>
                <w:rFonts w:ascii="宋体" w:eastAsia="宋体" w:hAnsi="宋体" w:cs="宋体" w:hint="eastAsia"/>
                <w:sz w:val="13"/>
                <w:szCs w:val="15"/>
              </w:rPr>
            </w:pPr>
            <w:r w:rsidRPr="00751384">
              <w:rPr>
                <w:rFonts w:ascii="宋体" w:eastAsia="宋体" w:hAnsi="宋体" w:cs="宋体"/>
                <w:sz w:val="13"/>
                <w:szCs w:val="15"/>
              </w:rPr>
              <w:t>合计</w:t>
            </w:r>
          </w:p>
        </w:tc>
        <w:tc>
          <w:tcPr>
            <w:tcW w:w="1241" w:type="dxa"/>
            <w:shd w:val="clear" w:color="auto" w:fill="FFFFFF" w:themeFill="background1"/>
            <w:vAlign w:val="center"/>
          </w:tcPr>
          <w:p w14:paraId="4EF304EB"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305,320,797.85</w:t>
            </w:r>
          </w:p>
        </w:tc>
        <w:tc>
          <w:tcPr>
            <w:tcW w:w="820" w:type="dxa"/>
            <w:shd w:val="clear" w:color="auto" w:fill="FFFFFF" w:themeFill="background1"/>
            <w:vAlign w:val="center"/>
          </w:tcPr>
          <w:p w14:paraId="5C108236"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100.00%</w:t>
            </w:r>
          </w:p>
        </w:tc>
        <w:tc>
          <w:tcPr>
            <w:tcW w:w="1134" w:type="dxa"/>
            <w:shd w:val="clear" w:color="auto" w:fill="FFFFFF" w:themeFill="background1"/>
            <w:vAlign w:val="center"/>
          </w:tcPr>
          <w:p w14:paraId="00603F77"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65,861,687.70</w:t>
            </w:r>
          </w:p>
        </w:tc>
        <w:tc>
          <w:tcPr>
            <w:tcW w:w="851" w:type="dxa"/>
            <w:shd w:val="clear" w:color="auto" w:fill="FFFFFF" w:themeFill="background1"/>
            <w:vAlign w:val="center"/>
          </w:tcPr>
          <w:p w14:paraId="076F76A6"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21.57%</w:t>
            </w:r>
          </w:p>
        </w:tc>
        <w:tc>
          <w:tcPr>
            <w:tcW w:w="1279" w:type="dxa"/>
            <w:gridSpan w:val="2"/>
            <w:shd w:val="clear" w:color="auto" w:fill="FFFFFF" w:themeFill="background1"/>
            <w:vAlign w:val="center"/>
          </w:tcPr>
          <w:p w14:paraId="5A277D8B"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239,459,110.15</w:t>
            </w:r>
          </w:p>
        </w:tc>
        <w:tc>
          <w:tcPr>
            <w:tcW w:w="1383" w:type="dxa"/>
            <w:gridSpan w:val="2"/>
            <w:shd w:val="clear" w:color="auto" w:fill="FFFFFF" w:themeFill="background1"/>
            <w:vAlign w:val="center"/>
          </w:tcPr>
          <w:p w14:paraId="38083167"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742,173,010.05</w:t>
            </w:r>
          </w:p>
        </w:tc>
        <w:tc>
          <w:tcPr>
            <w:tcW w:w="850" w:type="dxa"/>
            <w:shd w:val="clear" w:color="auto" w:fill="FFFFFF" w:themeFill="background1"/>
            <w:vAlign w:val="center"/>
          </w:tcPr>
          <w:p w14:paraId="2D5C06E6" w14:textId="77777777" w:rsidR="00632E5B" w:rsidRPr="00751384" w:rsidRDefault="00107901" w:rsidP="00751384">
            <w:pPr>
              <w:spacing w:line="240" w:lineRule="exact"/>
              <w:jc w:val="center"/>
              <w:rPr>
                <w:rFonts w:ascii="宋体" w:eastAsia="宋体" w:hAnsi="宋体" w:cs="宋体" w:hint="eastAsia"/>
                <w:sz w:val="13"/>
                <w:szCs w:val="15"/>
              </w:rPr>
            </w:pPr>
            <w:r w:rsidRPr="00751384">
              <w:rPr>
                <w:rFonts w:ascii="宋体" w:eastAsia="宋体" w:hAnsi="宋体" w:cs="宋体"/>
                <w:sz w:val="13"/>
                <w:szCs w:val="15"/>
              </w:rPr>
              <w:t>100.00%</w:t>
            </w:r>
          </w:p>
        </w:tc>
        <w:tc>
          <w:tcPr>
            <w:tcW w:w="1198" w:type="dxa"/>
            <w:gridSpan w:val="2"/>
            <w:shd w:val="clear" w:color="auto" w:fill="FFFFFF" w:themeFill="background1"/>
            <w:vAlign w:val="center"/>
          </w:tcPr>
          <w:p w14:paraId="3E816E29"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524,466,022.58</w:t>
            </w:r>
          </w:p>
        </w:tc>
        <w:tc>
          <w:tcPr>
            <w:tcW w:w="851" w:type="dxa"/>
            <w:shd w:val="clear" w:color="auto" w:fill="FFFFFF" w:themeFill="background1"/>
            <w:vAlign w:val="center"/>
          </w:tcPr>
          <w:p w14:paraId="066BF51D"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70.67%</w:t>
            </w:r>
          </w:p>
        </w:tc>
        <w:tc>
          <w:tcPr>
            <w:tcW w:w="1133" w:type="dxa"/>
            <w:gridSpan w:val="2"/>
            <w:shd w:val="clear" w:color="auto" w:fill="FFFFFF" w:themeFill="background1"/>
            <w:vAlign w:val="center"/>
          </w:tcPr>
          <w:p w14:paraId="76A70152" w14:textId="77777777" w:rsidR="00632E5B" w:rsidRPr="00751384" w:rsidRDefault="00107901">
            <w:pPr>
              <w:spacing w:line="240" w:lineRule="exact"/>
              <w:jc w:val="right"/>
              <w:rPr>
                <w:rFonts w:ascii="宋体" w:eastAsia="宋体" w:hAnsi="宋体" w:cs="宋体" w:hint="eastAsia"/>
                <w:sz w:val="13"/>
                <w:szCs w:val="15"/>
              </w:rPr>
            </w:pPr>
            <w:r w:rsidRPr="00751384">
              <w:rPr>
                <w:rFonts w:ascii="宋体" w:eastAsia="宋体" w:hAnsi="宋体" w:cs="宋体"/>
                <w:sz w:val="13"/>
                <w:szCs w:val="15"/>
              </w:rPr>
              <w:t>217,706,987.47</w:t>
            </w:r>
          </w:p>
        </w:tc>
      </w:tr>
    </w:tbl>
    <w:p w14:paraId="64ED746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按单项计提坏账准备：60,855,883.17</w:t>
      </w:r>
    </w:p>
    <w:p w14:paraId="5C59E202" w14:textId="77777777" w:rsidR="008B6556" w:rsidRDefault="008B6556">
      <w:pPr>
        <w:widowControl/>
        <w:rPr>
          <w:rFonts w:ascii="宋体" w:eastAsia="宋体" w:hAnsi="宋体" w:cs="宋体" w:hint="eastAsia"/>
          <w:sz w:val="18"/>
          <w:szCs w:val="18"/>
        </w:rPr>
      </w:pPr>
      <w:r>
        <w:rPr>
          <w:rFonts w:ascii="宋体" w:eastAsia="宋体" w:hAnsi="宋体" w:cs="宋体" w:hint="eastAsia"/>
          <w:sz w:val="18"/>
          <w:szCs w:val="18"/>
        </w:rPr>
        <w:br w:type="page"/>
      </w:r>
    </w:p>
    <w:p w14:paraId="0498B4D9" w14:textId="541247D0"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lastRenderedPageBreak/>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377"/>
        <w:gridCol w:w="1377"/>
        <w:gridCol w:w="1377"/>
        <w:gridCol w:w="1377"/>
        <w:gridCol w:w="1377"/>
        <w:gridCol w:w="1377"/>
        <w:gridCol w:w="1377"/>
      </w:tblGrid>
      <w:tr w:rsidR="00632E5B" w14:paraId="790B08B2" w14:textId="77777777" w:rsidTr="008B6556">
        <w:trPr>
          <w:trHeight w:val="240"/>
        </w:trPr>
        <w:tc>
          <w:tcPr>
            <w:tcW w:w="1377" w:type="dxa"/>
            <w:vMerge w:val="restart"/>
            <w:shd w:val="clear" w:color="auto" w:fill="FFFFFF" w:themeFill="background1"/>
            <w:vAlign w:val="center"/>
          </w:tcPr>
          <w:p w14:paraId="715E993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名称</w:t>
            </w:r>
          </w:p>
        </w:tc>
        <w:tc>
          <w:tcPr>
            <w:tcW w:w="2754" w:type="dxa"/>
            <w:gridSpan w:val="2"/>
            <w:shd w:val="clear" w:color="auto" w:fill="FFFFFF" w:themeFill="background1"/>
            <w:vAlign w:val="center"/>
          </w:tcPr>
          <w:p w14:paraId="552979A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5508" w:type="dxa"/>
            <w:gridSpan w:val="4"/>
            <w:shd w:val="clear" w:color="auto" w:fill="FFFFFF" w:themeFill="background1"/>
            <w:vAlign w:val="center"/>
          </w:tcPr>
          <w:p w14:paraId="332DA47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632E5B" w14:paraId="665E9E63" w14:textId="77777777" w:rsidTr="008B6556">
        <w:trPr>
          <w:trHeight w:val="240"/>
        </w:trPr>
        <w:tc>
          <w:tcPr>
            <w:tcW w:w="1377" w:type="dxa"/>
            <w:vMerge/>
            <w:shd w:val="clear" w:color="auto" w:fill="FFFFFF" w:themeFill="background1"/>
            <w:vAlign w:val="center"/>
          </w:tcPr>
          <w:p w14:paraId="37599FF5" w14:textId="77777777" w:rsidR="00632E5B" w:rsidRDefault="00632E5B"/>
        </w:tc>
        <w:tc>
          <w:tcPr>
            <w:tcW w:w="1377" w:type="dxa"/>
            <w:shd w:val="clear" w:color="auto" w:fill="FFFFFF" w:themeFill="background1"/>
            <w:vAlign w:val="center"/>
          </w:tcPr>
          <w:p w14:paraId="045A474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377" w:type="dxa"/>
            <w:shd w:val="clear" w:color="auto" w:fill="FFFFFF" w:themeFill="background1"/>
            <w:vAlign w:val="center"/>
          </w:tcPr>
          <w:p w14:paraId="166C6CD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1377" w:type="dxa"/>
            <w:shd w:val="clear" w:color="auto" w:fill="FFFFFF" w:themeFill="background1"/>
            <w:vAlign w:val="center"/>
          </w:tcPr>
          <w:p w14:paraId="58995BD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377" w:type="dxa"/>
            <w:shd w:val="clear" w:color="auto" w:fill="FFFFFF" w:themeFill="background1"/>
            <w:vAlign w:val="center"/>
          </w:tcPr>
          <w:p w14:paraId="0E64FCC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1377" w:type="dxa"/>
            <w:shd w:val="clear" w:color="auto" w:fill="FFFFFF" w:themeFill="background1"/>
            <w:vAlign w:val="center"/>
          </w:tcPr>
          <w:p w14:paraId="5341540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计提比例</w:t>
            </w:r>
          </w:p>
        </w:tc>
        <w:tc>
          <w:tcPr>
            <w:tcW w:w="1377" w:type="dxa"/>
            <w:shd w:val="clear" w:color="auto" w:fill="FFFFFF" w:themeFill="background1"/>
            <w:vAlign w:val="center"/>
          </w:tcPr>
          <w:p w14:paraId="0C424BB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计提理由</w:t>
            </w:r>
          </w:p>
        </w:tc>
      </w:tr>
      <w:tr w:rsidR="00632E5B" w14:paraId="6502904A" w14:textId="77777777" w:rsidTr="008B6556">
        <w:trPr>
          <w:trHeight w:val="240"/>
        </w:trPr>
        <w:tc>
          <w:tcPr>
            <w:tcW w:w="1377" w:type="dxa"/>
            <w:shd w:val="clear" w:color="auto" w:fill="FFFFFF" w:themeFill="background1"/>
            <w:vAlign w:val="center"/>
          </w:tcPr>
          <w:p w14:paraId="56EF3B0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客户11</w:t>
            </w:r>
          </w:p>
        </w:tc>
        <w:tc>
          <w:tcPr>
            <w:tcW w:w="1377" w:type="dxa"/>
            <w:shd w:val="clear" w:color="auto" w:fill="FFFFFF" w:themeFill="background1"/>
            <w:vAlign w:val="center"/>
          </w:tcPr>
          <w:p w14:paraId="32B8F13C" w14:textId="77777777" w:rsidR="00632E5B" w:rsidRPr="00C563E4" w:rsidRDefault="00632E5B">
            <w:pPr>
              <w:spacing w:line="240" w:lineRule="exact"/>
              <w:jc w:val="right"/>
              <w:rPr>
                <w:rFonts w:ascii="宋体" w:eastAsia="宋体" w:hAnsi="宋体" w:cs="宋体" w:hint="eastAsia"/>
                <w:sz w:val="15"/>
                <w:szCs w:val="15"/>
              </w:rPr>
            </w:pPr>
          </w:p>
        </w:tc>
        <w:tc>
          <w:tcPr>
            <w:tcW w:w="1377" w:type="dxa"/>
            <w:shd w:val="clear" w:color="auto" w:fill="FFFFFF" w:themeFill="background1"/>
            <w:vAlign w:val="center"/>
          </w:tcPr>
          <w:p w14:paraId="7C0B5546" w14:textId="77777777" w:rsidR="00632E5B" w:rsidRPr="00C563E4" w:rsidRDefault="00632E5B">
            <w:pPr>
              <w:spacing w:line="240" w:lineRule="exact"/>
              <w:jc w:val="right"/>
              <w:rPr>
                <w:rFonts w:ascii="宋体" w:eastAsia="宋体" w:hAnsi="宋体" w:cs="宋体" w:hint="eastAsia"/>
                <w:sz w:val="15"/>
                <w:szCs w:val="15"/>
              </w:rPr>
            </w:pPr>
          </w:p>
        </w:tc>
        <w:tc>
          <w:tcPr>
            <w:tcW w:w="1377" w:type="dxa"/>
            <w:shd w:val="clear" w:color="auto" w:fill="FFFFFF" w:themeFill="background1"/>
            <w:vAlign w:val="center"/>
          </w:tcPr>
          <w:p w14:paraId="59D34D66" w14:textId="77777777" w:rsidR="00632E5B" w:rsidRPr="00C563E4" w:rsidRDefault="00107901">
            <w:pPr>
              <w:spacing w:line="240" w:lineRule="exact"/>
              <w:jc w:val="right"/>
              <w:rPr>
                <w:rFonts w:ascii="宋体" w:eastAsia="宋体" w:hAnsi="宋体" w:cs="宋体" w:hint="eastAsia"/>
                <w:sz w:val="15"/>
                <w:szCs w:val="15"/>
              </w:rPr>
            </w:pPr>
            <w:r w:rsidRPr="00C563E4">
              <w:rPr>
                <w:rFonts w:ascii="宋体" w:eastAsia="宋体" w:hAnsi="宋体" w:cs="宋体"/>
                <w:sz w:val="15"/>
                <w:szCs w:val="15"/>
              </w:rPr>
              <w:t>23,555,469.55</w:t>
            </w:r>
          </w:p>
        </w:tc>
        <w:tc>
          <w:tcPr>
            <w:tcW w:w="1377" w:type="dxa"/>
            <w:shd w:val="clear" w:color="auto" w:fill="FFFFFF" w:themeFill="background1"/>
            <w:vAlign w:val="center"/>
          </w:tcPr>
          <w:p w14:paraId="1A4D1C59" w14:textId="77777777" w:rsidR="00632E5B" w:rsidRPr="00C563E4" w:rsidRDefault="00107901">
            <w:pPr>
              <w:spacing w:line="240" w:lineRule="exact"/>
              <w:jc w:val="right"/>
              <w:rPr>
                <w:rFonts w:ascii="宋体" w:eastAsia="宋体" w:hAnsi="宋体" w:cs="宋体" w:hint="eastAsia"/>
                <w:sz w:val="15"/>
                <w:szCs w:val="15"/>
              </w:rPr>
            </w:pPr>
            <w:r w:rsidRPr="00C563E4">
              <w:rPr>
                <w:rFonts w:ascii="宋体" w:eastAsia="宋体" w:hAnsi="宋体" w:cs="宋体"/>
                <w:sz w:val="15"/>
                <w:szCs w:val="15"/>
              </w:rPr>
              <w:t>23,555,469.55</w:t>
            </w:r>
          </w:p>
        </w:tc>
        <w:tc>
          <w:tcPr>
            <w:tcW w:w="1377" w:type="dxa"/>
            <w:shd w:val="clear" w:color="auto" w:fill="FFFFFF" w:themeFill="background1"/>
            <w:vAlign w:val="center"/>
          </w:tcPr>
          <w:p w14:paraId="1B453117" w14:textId="77777777" w:rsidR="00632E5B" w:rsidRPr="00C563E4" w:rsidRDefault="00107901">
            <w:pPr>
              <w:spacing w:line="240" w:lineRule="exact"/>
              <w:jc w:val="right"/>
              <w:rPr>
                <w:rFonts w:ascii="宋体" w:eastAsia="宋体" w:hAnsi="宋体" w:cs="宋体" w:hint="eastAsia"/>
                <w:sz w:val="15"/>
                <w:szCs w:val="15"/>
              </w:rPr>
            </w:pPr>
            <w:r w:rsidRPr="00C563E4">
              <w:rPr>
                <w:rFonts w:ascii="宋体" w:eastAsia="宋体" w:hAnsi="宋体" w:cs="宋体"/>
                <w:sz w:val="15"/>
                <w:szCs w:val="15"/>
              </w:rPr>
              <w:t>100.00%</w:t>
            </w:r>
          </w:p>
        </w:tc>
        <w:tc>
          <w:tcPr>
            <w:tcW w:w="1377" w:type="dxa"/>
            <w:shd w:val="clear" w:color="auto" w:fill="FFFFFF" w:themeFill="background1"/>
            <w:vAlign w:val="center"/>
          </w:tcPr>
          <w:p w14:paraId="4879000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综合考量回款情况，预计无法收回。</w:t>
            </w:r>
          </w:p>
        </w:tc>
      </w:tr>
      <w:tr w:rsidR="00632E5B" w14:paraId="045EF25B" w14:textId="77777777" w:rsidTr="008B6556">
        <w:trPr>
          <w:trHeight w:val="240"/>
        </w:trPr>
        <w:tc>
          <w:tcPr>
            <w:tcW w:w="1377" w:type="dxa"/>
            <w:shd w:val="clear" w:color="auto" w:fill="FFFFFF" w:themeFill="background1"/>
            <w:vAlign w:val="center"/>
          </w:tcPr>
          <w:p w14:paraId="2E6643D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客户13</w:t>
            </w:r>
          </w:p>
        </w:tc>
        <w:tc>
          <w:tcPr>
            <w:tcW w:w="1377" w:type="dxa"/>
            <w:shd w:val="clear" w:color="auto" w:fill="FFFFFF" w:themeFill="background1"/>
            <w:vAlign w:val="center"/>
          </w:tcPr>
          <w:p w14:paraId="24468573" w14:textId="77777777" w:rsidR="00632E5B" w:rsidRPr="00C563E4" w:rsidRDefault="00632E5B">
            <w:pPr>
              <w:spacing w:line="240" w:lineRule="exact"/>
              <w:jc w:val="right"/>
              <w:rPr>
                <w:rFonts w:ascii="宋体" w:eastAsia="宋体" w:hAnsi="宋体" w:cs="宋体" w:hint="eastAsia"/>
                <w:sz w:val="15"/>
                <w:szCs w:val="15"/>
              </w:rPr>
            </w:pPr>
          </w:p>
        </w:tc>
        <w:tc>
          <w:tcPr>
            <w:tcW w:w="1377" w:type="dxa"/>
            <w:shd w:val="clear" w:color="auto" w:fill="FFFFFF" w:themeFill="background1"/>
            <w:vAlign w:val="center"/>
          </w:tcPr>
          <w:p w14:paraId="407A5289" w14:textId="77777777" w:rsidR="00632E5B" w:rsidRPr="00C563E4" w:rsidRDefault="00632E5B">
            <w:pPr>
              <w:spacing w:line="240" w:lineRule="exact"/>
              <w:jc w:val="right"/>
              <w:rPr>
                <w:rFonts w:ascii="宋体" w:eastAsia="宋体" w:hAnsi="宋体" w:cs="宋体" w:hint="eastAsia"/>
                <w:sz w:val="15"/>
                <w:szCs w:val="15"/>
              </w:rPr>
            </w:pPr>
          </w:p>
        </w:tc>
        <w:tc>
          <w:tcPr>
            <w:tcW w:w="1377" w:type="dxa"/>
            <w:shd w:val="clear" w:color="auto" w:fill="FFFFFF" w:themeFill="background1"/>
            <w:vAlign w:val="center"/>
          </w:tcPr>
          <w:p w14:paraId="2FBD2FBB" w14:textId="77777777" w:rsidR="00632E5B" w:rsidRPr="00C563E4" w:rsidRDefault="00107901">
            <w:pPr>
              <w:spacing w:line="240" w:lineRule="exact"/>
              <w:jc w:val="right"/>
              <w:rPr>
                <w:rFonts w:ascii="宋体" w:eastAsia="宋体" w:hAnsi="宋体" w:cs="宋体" w:hint="eastAsia"/>
                <w:sz w:val="15"/>
                <w:szCs w:val="15"/>
              </w:rPr>
            </w:pPr>
            <w:r w:rsidRPr="00C563E4">
              <w:rPr>
                <w:rFonts w:ascii="宋体" w:eastAsia="宋体" w:hAnsi="宋体" w:cs="宋体"/>
                <w:sz w:val="15"/>
                <w:szCs w:val="15"/>
              </w:rPr>
              <w:t>21,082,507.17</w:t>
            </w:r>
          </w:p>
        </w:tc>
        <w:tc>
          <w:tcPr>
            <w:tcW w:w="1377" w:type="dxa"/>
            <w:shd w:val="clear" w:color="auto" w:fill="FFFFFF" w:themeFill="background1"/>
            <w:vAlign w:val="center"/>
          </w:tcPr>
          <w:p w14:paraId="07DCEA3C" w14:textId="77777777" w:rsidR="00632E5B" w:rsidRPr="00C563E4" w:rsidRDefault="00107901">
            <w:pPr>
              <w:spacing w:line="240" w:lineRule="exact"/>
              <w:jc w:val="right"/>
              <w:rPr>
                <w:rFonts w:ascii="宋体" w:eastAsia="宋体" w:hAnsi="宋体" w:cs="宋体" w:hint="eastAsia"/>
                <w:sz w:val="15"/>
                <w:szCs w:val="15"/>
              </w:rPr>
            </w:pPr>
            <w:r w:rsidRPr="00C563E4">
              <w:rPr>
                <w:rFonts w:ascii="宋体" w:eastAsia="宋体" w:hAnsi="宋体" w:cs="宋体"/>
                <w:sz w:val="15"/>
                <w:szCs w:val="15"/>
              </w:rPr>
              <w:t>21,082,507.17</w:t>
            </w:r>
          </w:p>
        </w:tc>
        <w:tc>
          <w:tcPr>
            <w:tcW w:w="1377" w:type="dxa"/>
            <w:shd w:val="clear" w:color="auto" w:fill="FFFFFF" w:themeFill="background1"/>
            <w:vAlign w:val="center"/>
          </w:tcPr>
          <w:p w14:paraId="4112B658" w14:textId="77777777" w:rsidR="00632E5B" w:rsidRPr="00C563E4" w:rsidRDefault="00107901">
            <w:pPr>
              <w:spacing w:line="240" w:lineRule="exact"/>
              <w:jc w:val="right"/>
              <w:rPr>
                <w:rFonts w:ascii="宋体" w:eastAsia="宋体" w:hAnsi="宋体" w:cs="宋体" w:hint="eastAsia"/>
                <w:sz w:val="15"/>
                <w:szCs w:val="15"/>
              </w:rPr>
            </w:pPr>
            <w:r w:rsidRPr="00C563E4">
              <w:rPr>
                <w:rFonts w:ascii="宋体" w:eastAsia="宋体" w:hAnsi="宋体" w:cs="宋体"/>
                <w:sz w:val="15"/>
                <w:szCs w:val="15"/>
              </w:rPr>
              <w:t>100.00%</w:t>
            </w:r>
          </w:p>
        </w:tc>
        <w:tc>
          <w:tcPr>
            <w:tcW w:w="1377" w:type="dxa"/>
            <w:shd w:val="clear" w:color="auto" w:fill="FFFFFF" w:themeFill="background1"/>
            <w:vAlign w:val="center"/>
          </w:tcPr>
          <w:p w14:paraId="05EA30C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综合考量回款情况，预计无法收回。</w:t>
            </w:r>
          </w:p>
        </w:tc>
      </w:tr>
      <w:tr w:rsidR="00632E5B" w14:paraId="16E45D2C" w14:textId="77777777" w:rsidTr="008B6556">
        <w:trPr>
          <w:trHeight w:val="240"/>
        </w:trPr>
        <w:tc>
          <w:tcPr>
            <w:tcW w:w="1377" w:type="dxa"/>
            <w:shd w:val="clear" w:color="auto" w:fill="FFFFFF" w:themeFill="background1"/>
            <w:vAlign w:val="center"/>
          </w:tcPr>
          <w:p w14:paraId="4984444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客户18</w:t>
            </w:r>
          </w:p>
        </w:tc>
        <w:tc>
          <w:tcPr>
            <w:tcW w:w="1377" w:type="dxa"/>
            <w:shd w:val="clear" w:color="auto" w:fill="FFFFFF" w:themeFill="background1"/>
            <w:vAlign w:val="center"/>
          </w:tcPr>
          <w:p w14:paraId="723C52F9" w14:textId="77777777" w:rsidR="00632E5B" w:rsidRPr="00C563E4" w:rsidRDefault="00632E5B">
            <w:pPr>
              <w:spacing w:line="240" w:lineRule="exact"/>
              <w:jc w:val="right"/>
              <w:rPr>
                <w:rFonts w:ascii="宋体" w:eastAsia="宋体" w:hAnsi="宋体" w:cs="宋体" w:hint="eastAsia"/>
                <w:sz w:val="15"/>
                <w:szCs w:val="15"/>
              </w:rPr>
            </w:pPr>
          </w:p>
        </w:tc>
        <w:tc>
          <w:tcPr>
            <w:tcW w:w="1377" w:type="dxa"/>
            <w:shd w:val="clear" w:color="auto" w:fill="FFFFFF" w:themeFill="background1"/>
            <w:vAlign w:val="center"/>
          </w:tcPr>
          <w:p w14:paraId="0F480BFA" w14:textId="77777777" w:rsidR="00632E5B" w:rsidRPr="00C563E4" w:rsidRDefault="00632E5B">
            <w:pPr>
              <w:spacing w:line="240" w:lineRule="exact"/>
              <w:jc w:val="right"/>
              <w:rPr>
                <w:rFonts w:ascii="宋体" w:eastAsia="宋体" w:hAnsi="宋体" w:cs="宋体" w:hint="eastAsia"/>
                <w:sz w:val="15"/>
                <w:szCs w:val="15"/>
              </w:rPr>
            </w:pPr>
          </w:p>
        </w:tc>
        <w:tc>
          <w:tcPr>
            <w:tcW w:w="1377" w:type="dxa"/>
            <w:shd w:val="clear" w:color="auto" w:fill="FFFFFF" w:themeFill="background1"/>
            <w:vAlign w:val="center"/>
          </w:tcPr>
          <w:p w14:paraId="5A00307D" w14:textId="77777777" w:rsidR="00632E5B" w:rsidRPr="00C563E4" w:rsidRDefault="00107901">
            <w:pPr>
              <w:spacing w:line="240" w:lineRule="exact"/>
              <w:jc w:val="right"/>
              <w:rPr>
                <w:rFonts w:ascii="宋体" w:eastAsia="宋体" w:hAnsi="宋体" w:cs="宋体" w:hint="eastAsia"/>
                <w:sz w:val="15"/>
                <w:szCs w:val="15"/>
              </w:rPr>
            </w:pPr>
            <w:r w:rsidRPr="00C563E4">
              <w:rPr>
                <w:rFonts w:ascii="宋体" w:eastAsia="宋体" w:hAnsi="宋体" w:cs="宋体"/>
                <w:sz w:val="15"/>
                <w:szCs w:val="15"/>
              </w:rPr>
              <w:t>10,810,771.52</w:t>
            </w:r>
          </w:p>
        </w:tc>
        <w:tc>
          <w:tcPr>
            <w:tcW w:w="1377" w:type="dxa"/>
            <w:shd w:val="clear" w:color="auto" w:fill="FFFFFF" w:themeFill="background1"/>
            <w:vAlign w:val="center"/>
          </w:tcPr>
          <w:p w14:paraId="54510DDD" w14:textId="77777777" w:rsidR="00632E5B" w:rsidRPr="00C563E4" w:rsidRDefault="00107901">
            <w:pPr>
              <w:spacing w:line="240" w:lineRule="exact"/>
              <w:jc w:val="right"/>
              <w:rPr>
                <w:rFonts w:ascii="宋体" w:eastAsia="宋体" w:hAnsi="宋体" w:cs="宋体" w:hint="eastAsia"/>
                <w:sz w:val="15"/>
                <w:szCs w:val="15"/>
              </w:rPr>
            </w:pPr>
            <w:r w:rsidRPr="00C563E4">
              <w:rPr>
                <w:rFonts w:ascii="宋体" w:eastAsia="宋体" w:hAnsi="宋体" w:cs="宋体"/>
                <w:sz w:val="15"/>
                <w:szCs w:val="15"/>
              </w:rPr>
              <w:t>10,810,771.52</w:t>
            </w:r>
          </w:p>
        </w:tc>
        <w:tc>
          <w:tcPr>
            <w:tcW w:w="1377" w:type="dxa"/>
            <w:shd w:val="clear" w:color="auto" w:fill="FFFFFF" w:themeFill="background1"/>
            <w:vAlign w:val="center"/>
          </w:tcPr>
          <w:p w14:paraId="448DCB0D" w14:textId="77777777" w:rsidR="00632E5B" w:rsidRPr="00C563E4" w:rsidRDefault="00107901">
            <w:pPr>
              <w:spacing w:line="240" w:lineRule="exact"/>
              <w:jc w:val="right"/>
              <w:rPr>
                <w:rFonts w:ascii="宋体" w:eastAsia="宋体" w:hAnsi="宋体" w:cs="宋体" w:hint="eastAsia"/>
                <w:sz w:val="15"/>
                <w:szCs w:val="15"/>
              </w:rPr>
            </w:pPr>
            <w:r w:rsidRPr="00C563E4">
              <w:rPr>
                <w:rFonts w:ascii="宋体" w:eastAsia="宋体" w:hAnsi="宋体" w:cs="宋体"/>
                <w:sz w:val="15"/>
                <w:szCs w:val="15"/>
              </w:rPr>
              <w:t>100.00%</w:t>
            </w:r>
          </w:p>
        </w:tc>
        <w:tc>
          <w:tcPr>
            <w:tcW w:w="1377" w:type="dxa"/>
            <w:shd w:val="clear" w:color="auto" w:fill="FFFFFF" w:themeFill="background1"/>
            <w:vAlign w:val="center"/>
          </w:tcPr>
          <w:p w14:paraId="0EB37D8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涉及诉讼，预计无法收回。</w:t>
            </w:r>
          </w:p>
        </w:tc>
      </w:tr>
      <w:tr w:rsidR="00632E5B" w14:paraId="00489D17" w14:textId="77777777" w:rsidTr="008B6556">
        <w:trPr>
          <w:trHeight w:val="240"/>
        </w:trPr>
        <w:tc>
          <w:tcPr>
            <w:tcW w:w="1377" w:type="dxa"/>
            <w:shd w:val="clear" w:color="auto" w:fill="FFFFFF" w:themeFill="background1"/>
            <w:vAlign w:val="center"/>
          </w:tcPr>
          <w:p w14:paraId="51D7176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其他</w:t>
            </w:r>
          </w:p>
        </w:tc>
        <w:tc>
          <w:tcPr>
            <w:tcW w:w="1377" w:type="dxa"/>
            <w:shd w:val="clear" w:color="auto" w:fill="FFFFFF" w:themeFill="background1"/>
            <w:vAlign w:val="center"/>
          </w:tcPr>
          <w:p w14:paraId="43A8DF7F" w14:textId="77777777" w:rsidR="00632E5B" w:rsidRPr="00C563E4" w:rsidRDefault="00632E5B">
            <w:pPr>
              <w:spacing w:line="240" w:lineRule="exact"/>
              <w:jc w:val="right"/>
              <w:rPr>
                <w:rFonts w:ascii="宋体" w:eastAsia="宋体" w:hAnsi="宋体" w:cs="宋体" w:hint="eastAsia"/>
                <w:sz w:val="15"/>
                <w:szCs w:val="15"/>
              </w:rPr>
            </w:pPr>
          </w:p>
        </w:tc>
        <w:tc>
          <w:tcPr>
            <w:tcW w:w="1377" w:type="dxa"/>
            <w:shd w:val="clear" w:color="auto" w:fill="FFFFFF" w:themeFill="background1"/>
            <w:vAlign w:val="center"/>
          </w:tcPr>
          <w:p w14:paraId="4092DD42" w14:textId="77777777" w:rsidR="00632E5B" w:rsidRPr="00C563E4" w:rsidRDefault="00632E5B">
            <w:pPr>
              <w:spacing w:line="240" w:lineRule="exact"/>
              <w:jc w:val="right"/>
              <w:rPr>
                <w:rFonts w:ascii="宋体" w:eastAsia="宋体" w:hAnsi="宋体" w:cs="宋体" w:hint="eastAsia"/>
                <w:sz w:val="15"/>
                <w:szCs w:val="15"/>
              </w:rPr>
            </w:pPr>
          </w:p>
        </w:tc>
        <w:tc>
          <w:tcPr>
            <w:tcW w:w="1377" w:type="dxa"/>
            <w:shd w:val="clear" w:color="auto" w:fill="FFFFFF" w:themeFill="background1"/>
            <w:vAlign w:val="center"/>
          </w:tcPr>
          <w:p w14:paraId="5D3F09D0" w14:textId="77777777" w:rsidR="00632E5B" w:rsidRPr="00C563E4" w:rsidRDefault="00107901">
            <w:pPr>
              <w:spacing w:line="240" w:lineRule="exact"/>
              <w:jc w:val="right"/>
              <w:rPr>
                <w:rFonts w:ascii="宋体" w:eastAsia="宋体" w:hAnsi="宋体" w:cs="宋体" w:hint="eastAsia"/>
                <w:sz w:val="15"/>
                <w:szCs w:val="15"/>
              </w:rPr>
            </w:pPr>
            <w:r w:rsidRPr="00C563E4">
              <w:rPr>
                <w:rFonts w:ascii="宋体" w:eastAsia="宋体" w:hAnsi="宋体" w:cs="宋体"/>
                <w:sz w:val="15"/>
                <w:szCs w:val="15"/>
              </w:rPr>
              <w:t>5,407,134.93</w:t>
            </w:r>
          </w:p>
        </w:tc>
        <w:tc>
          <w:tcPr>
            <w:tcW w:w="1377" w:type="dxa"/>
            <w:shd w:val="clear" w:color="auto" w:fill="FFFFFF" w:themeFill="background1"/>
            <w:vAlign w:val="center"/>
          </w:tcPr>
          <w:p w14:paraId="56684C6C" w14:textId="77777777" w:rsidR="00632E5B" w:rsidRPr="00C563E4" w:rsidRDefault="00107901">
            <w:pPr>
              <w:spacing w:line="240" w:lineRule="exact"/>
              <w:jc w:val="right"/>
              <w:rPr>
                <w:rFonts w:ascii="宋体" w:eastAsia="宋体" w:hAnsi="宋体" w:cs="宋体" w:hint="eastAsia"/>
                <w:sz w:val="15"/>
                <w:szCs w:val="15"/>
              </w:rPr>
            </w:pPr>
            <w:r w:rsidRPr="00C563E4">
              <w:rPr>
                <w:rFonts w:ascii="宋体" w:eastAsia="宋体" w:hAnsi="宋体" w:cs="宋体"/>
                <w:sz w:val="15"/>
                <w:szCs w:val="15"/>
              </w:rPr>
              <w:t>5,407,134.93</w:t>
            </w:r>
          </w:p>
        </w:tc>
        <w:tc>
          <w:tcPr>
            <w:tcW w:w="1377" w:type="dxa"/>
            <w:shd w:val="clear" w:color="auto" w:fill="FFFFFF" w:themeFill="background1"/>
            <w:vAlign w:val="center"/>
          </w:tcPr>
          <w:p w14:paraId="7A48BF98" w14:textId="77777777" w:rsidR="00632E5B" w:rsidRPr="00C563E4" w:rsidRDefault="00107901">
            <w:pPr>
              <w:spacing w:line="240" w:lineRule="exact"/>
              <w:jc w:val="right"/>
              <w:rPr>
                <w:rFonts w:ascii="宋体" w:eastAsia="宋体" w:hAnsi="宋体" w:cs="宋体" w:hint="eastAsia"/>
                <w:sz w:val="15"/>
                <w:szCs w:val="15"/>
              </w:rPr>
            </w:pPr>
            <w:r w:rsidRPr="00C563E4">
              <w:rPr>
                <w:rFonts w:ascii="宋体" w:eastAsia="宋体" w:hAnsi="宋体" w:cs="宋体"/>
                <w:sz w:val="15"/>
                <w:szCs w:val="15"/>
              </w:rPr>
              <w:t>100.00%</w:t>
            </w:r>
          </w:p>
        </w:tc>
        <w:tc>
          <w:tcPr>
            <w:tcW w:w="1377" w:type="dxa"/>
            <w:shd w:val="clear" w:color="auto" w:fill="FFFFFF" w:themeFill="background1"/>
            <w:vAlign w:val="center"/>
          </w:tcPr>
          <w:p w14:paraId="53EB2DC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综合考量回款情况，预计无法收回。</w:t>
            </w:r>
          </w:p>
        </w:tc>
      </w:tr>
      <w:tr w:rsidR="00632E5B" w14:paraId="5B818DD2" w14:textId="77777777" w:rsidTr="008B6556">
        <w:trPr>
          <w:trHeight w:val="240"/>
        </w:trPr>
        <w:tc>
          <w:tcPr>
            <w:tcW w:w="1377" w:type="dxa"/>
            <w:shd w:val="clear" w:color="auto" w:fill="FFFFFF" w:themeFill="background1"/>
            <w:vAlign w:val="center"/>
          </w:tcPr>
          <w:p w14:paraId="7CBF34B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客户20</w:t>
            </w:r>
          </w:p>
        </w:tc>
        <w:tc>
          <w:tcPr>
            <w:tcW w:w="1377" w:type="dxa"/>
            <w:shd w:val="clear" w:color="auto" w:fill="FFFFFF" w:themeFill="background1"/>
            <w:vAlign w:val="center"/>
          </w:tcPr>
          <w:p w14:paraId="4E5788D6" w14:textId="77777777" w:rsidR="00632E5B" w:rsidRPr="00C563E4" w:rsidRDefault="00107901">
            <w:pPr>
              <w:spacing w:line="240" w:lineRule="exact"/>
              <w:jc w:val="right"/>
              <w:rPr>
                <w:rFonts w:ascii="宋体" w:eastAsia="宋体" w:hAnsi="宋体" w:cs="宋体" w:hint="eastAsia"/>
                <w:sz w:val="15"/>
                <w:szCs w:val="15"/>
              </w:rPr>
            </w:pPr>
            <w:r w:rsidRPr="00C563E4">
              <w:rPr>
                <w:rFonts w:ascii="宋体" w:eastAsia="宋体" w:hAnsi="宋体" w:cs="宋体"/>
                <w:sz w:val="15"/>
                <w:szCs w:val="15"/>
              </w:rPr>
              <w:t>506,709,000.00</w:t>
            </w:r>
          </w:p>
        </w:tc>
        <w:tc>
          <w:tcPr>
            <w:tcW w:w="1377" w:type="dxa"/>
            <w:shd w:val="clear" w:color="auto" w:fill="FFFFFF" w:themeFill="background1"/>
            <w:vAlign w:val="center"/>
          </w:tcPr>
          <w:p w14:paraId="0F294EF0" w14:textId="77777777" w:rsidR="00632E5B" w:rsidRPr="00C563E4" w:rsidRDefault="00107901">
            <w:pPr>
              <w:spacing w:line="240" w:lineRule="exact"/>
              <w:jc w:val="right"/>
              <w:rPr>
                <w:rFonts w:ascii="宋体" w:eastAsia="宋体" w:hAnsi="宋体" w:cs="宋体" w:hint="eastAsia"/>
                <w:sz w:val="15"/>
                <w:szCs w:val="15"/>
              </w:rPr>
            </w:pPr>
            <w:r w:rsidRPr="00C563E4">
              <w:rPr>
                <w:rFonts w:ascii="宋体" w:eastAsia="宋体" w:hAnsi="宋体" w:cs="宋体"/>
                <w:sz w:val="15"/>
                <w:szCs w:val="15"/>
              </w:rPr>
              <w:t>506,709,000.00</w:t>
            </w:r>
          </w:p>
        </w:tc>
        <w:tc>
          <w:tcPr>
            <w:tcW w:w="1377" w:type="dxa"/>
            <w:shd w:val="clear" w:color="auto" w:fill="FFFFFF" w:themeFill="background1"/>
            <w:vAlign w:val="center"/>
          </w:tcPr>
          <w:p w14:paraId="3EC614D2" w14:textId="77777777" w:rsidR="00632E5B" w:rsidRPr="00C563E4" w:rsidRDefault="00632E5B">
            <w:pPr>
              <w:spacing w:line="240" w:lineRule="exact"/>
              <w:jc w:val="right"/>
              <w:rPr>
                <w:rFonts w:ascii="宋体" w:eastAsia="宋体" w:hAnsi="宋体" w:cs="宋体" w:hint="eastAsia"/>
                <w:sz w:val="15"/>
                <w:szCs w:val="15"/>
              </w:rPr>
            </w:pPr>
          </w:p>
        </w:tc>
        <w:tc>
          <w:tcPr>
            <w:tcW w:w="1377" w:type="dxa"/>
            <w:shd w:val="clear" w:color="auto" w:fill="FFFFFF" w:themeFill="background1"/>
            <w:vAlign w:val="center"/>
          </w:tcPr>
          <w:p w14:paraId="501988A4" w14:textId="77777777" w:rsidR="00632E5B" w:rsidRPr="00C563E4" w:rsidRDefault="00632E5B">
            <w:pPr>
              <w:spacing w:line="240" w:lineRule="exact"/>
              <w:jc w:val="right"/>
              <w:rPr>
                <w:rFonts w:ascii="宋体" w:eastAsia="宋体" w:hAnsi="宋体" w:cs="宋体" w:hint="eastAsia"/>
                <w:sz w:val="15"/>
                <w:szCs w:val="15"/>
              </w:rPr>
            </w:pPr>
          </w:p>
        </w:tc>
        <w:tc>
          <w:tcPr>
            <w:tcW w:w="1377" w:type="dxa"/>
            <w:shd w:val="clear" w:color="auto" w:fill="FFFFFF" w:themeFill="background1"/>
            <w:vAlign w:val="center"/>
          </w:tcPr>
          <w:p w14:paraId="7E9BD8EF" w14:textId="77777777" w:rsidR="00632E5B" w:rsidRPr="00C563E4" w:rsidRDefault="00632E5B">
            <w:pPr>
              <w:spacing w:line="240" w:lineRule="exact"/>
              <w:jc w:val="right"/>
              <w:rPr>
                <w:rFonts w:ascii="宋体" w:eastAsia="宋体" w:hAnsi="宋体" w:cs="宋体" w:hint="eastAsia"/>
                <w:sz w:val="15"/>
                <w:szCs w:val="15"/>
              </w:rPr>
            </w:pPr>
          </w:p>
        </w:tc>
        <w:tc>
          <w:tcPr>
            <w:tcW w:w="1377" w:type="dxa"/>
            <w:shd w:val="clear" w:color="auto" w:fill="FFFFFF" w:themeFill="background1"/>
            <w:vAlign w:val="center"/>
          </w:tcPr>
          <w:p w14:paraId="3BDE557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因专网业务暴雷，法院已中止审理。</w:t>
            </w:r>
          </w:p>
        </w:tc>
      </w:tr>
      <w:tr w:rsidR="00632E5B" w14:paraId="3574A1D0" w14:textId="77777777" w:rsidTr="008B6556">
        <w:trPr>
          <w:trHeight w:val="240"/>
        </w:trPr>
        <w:tc>
          <w:tcPr>
            <w:tcW w:w="1377" w:type="dxa"/>
            <w:shd w:val="clear" w:color="auto" w:fill="FFFFFF" w:themeFill="background1"/>
            <w:vAlign w:val="center"/>
          </w:tcPr>
          <w:p w14:paraId="142A981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377" w:type="dxa"/>
            <w:shd w:val="clear" w:color="auto" w:fill="FFFFFF" w:themeFill="background1"/>
            <w:vAlign w:val="center"/>
          </w:tcPr>
          <w:p w14:paraId="41198C49" w14:textId="77777777" w:rsidR="00632E5B" w:rsidRPr="00C563E4" w:rsidRDefault="00107901">
            <w:pPr>
              <w:spacing w:line="240" w:lineRule="exact"/>
              <w:jc w:val="right"/>
              <w:rPr>
                <w:rFonts w:ascii="宋体" w:eastAsia="宋体" w:hAnsi="宋体" w:cs="宋体" w:hint="eastAsia"/>
                <w:sz w:val="15"/>
                <w:szCs w:val="15"/>
              </w:rPr>
            </w:pPr>
            <w:r w:rsidRPr="00C563E4">
              <w:rPr>
                <w:rFonts w:ascii="宋体" w:eastAsia="宋体" w:hAnsi="宋体" w:cs="宋体"/>
                <w:sz w:val="15"/>
                <w:szCs w:val="15"/>
              </w:rPr>
              <w:t>506,709,000.00</w:t>
            </w:r>
          </w:p>
        </w:tc>
        <w:tc>
          <w:tcPr>
            <w:tcW w:w="1377" w:type="dxa"/>
            <w:shd w:val="clear" w:color="auto" w:fill="FFFFFF" w:themeFill="background1"/>
            <w:vAlign w:val="center"/>
          </w:tcPr>
          <w:p w14:paraId="0C27B5DF" w14:textId="77777777" w:rsidR="00632E5B" w:rsidRPr="00C563E4" w:rsidRDefault="00107901">
            <w:pPr>
              <w:spacing w:line="240" w:lineRule="exact"/>
              <w:jc w:val="right"/>
              <w:rPr>
                <w:rFonts w:ascii="宋体" w:eastAsia="宋体" w:hAnsi="宋体" w:cs="宋体" w:hint="eastAsia"/>
                <w:sz w:val="15"/>
                <w:szCs w:val="15"/>
              </w:rPr>
            </w:pPr>
            <w:r w:rsidRPr="00C563E4">
              <w:rPr>
                <w:rFonts w:ascii="宋体" w:eastAsia="宋体" w:hAnsi="宋体" w:cs="宋体"/>
                <w:sz w:val="15"/>
                <w:szCs w:val="15"/>
              </w:rPr>
              <w:t>506,709,000.00</w:t>
            </w:r>
          </w:p>
        </w:tc>
        <w:tc>
          <w:tcPr>
            <w:tcW w:w="1377" w:type="dxa"/>
            <w:shd w:val="clear" w:color="auto" w:fill="FFFFFF" w:themeFill="background1"/>
            <w:vAlign w:val="center"/>
          </w:tcPr>
          <w:p w14:paraId="6A78EE52" w14:textId="77777777" w:rsidR="00632E5B" w:rsidRPr="00C563E4" w:rsidRDefault="00107901">
            <w:pPr>
              <w:spacing w:line="240" w:lineRule="exact"/>
              <w:jc w:val="right"/>
              <w:rPr>
                <w:rFonts w:ascii="宋体" w:eastAsia="宋体" w:hAnsi="宋体" w:cs="宋体" w:hint="eastAsia"/>
                <w:sz w:val="15"/>
                <w:szCs w:val="15"/>
              </w:rPr>
            </w:pPr>
            <w:r w:rsidRPr="00C563E4">
              <w:rPr>
                <w:rFonts w:ascii="宋体" w:eastAsia="宋体" w:hAnsi="宋体" w:cs="宋体"/>
                <w:sz w:val="15"/>
                <w:szCs w:val="15"/>
              </w:rPr>
              <w:t>60,855,883.17</w:t>
            </w:r>
          </w:p>
        </w:tc>
        <w:tc>
          <w:tcPr>
            <w:tcW w:w="1377" w:type="dxa"/>
            <w:shd w:val="clear" w:color="auto" w:fill="FFFFFF" w:themeFill="background1"/>
            <w:vAlign w:val="center"/>
          </w:tcPr>
          <w:p w14:paraId="3C5BB67A" w14:textId="77777777" w:rsidR="00632E5B" w:rsidRPr="00C563E4" w:rsidRDefault="00107901">
            <w:pPr>
              <w:spacing w:line="240" w:lineRule="exact"/>
              <w:jc w:val="right"/>
              <w:rPr>
                <w:rFonts w:ascii="宋体" w:eastAsia="宋体" w:hAnsi="宋体" w:cs="宋体" w:hint="eastAsia"/>
                <w:sz w:val="15"/>
                <w:szCs w:val="15"/>
              </w:rPr>
            </w:pPr>
            <w:r w:rsidRPr="00C563E4">
              <w:rPr>
                <w:rFonts w:ascii="宋体" w:eastAsia="宋体" w:hAnsi="宋体" w:cs="宋体"/>
                <w:sz w:val="15"/>
                <w:szCs w:val="15"/>
              </w:rPr>
              <w:t>60,855,883.17</w:t>
            </w:r>
          </w:p>
        </w:tc>
        <w:tc>
          <w:tcPr>
            <w:tcW w:w="1377" w:type="dxa"/>
            <w:shd w:val="clear" w:color="auto" w:fill="FFFFFF" w:themeFill="background1"/>
            <w:vAlign w:val="center"/>
          </w:tcPr>
          <w:p w14:paraId="2574355F" w14:textId="77777777" w:rsidR="00632E5B" w:rsidRPr="00C563E4" w:rsidRDefault="00632E5B">
            <w:pPr>
              <w:rPr>
                <w:sz w:val="15"/>
                <w:szCs w:val="15"/>
              </w:rPr>
            </w:pPr>
          </w:p>
        </w:tc>
        <w:tc>
          <w:tcPr>
            <w:tcW w:w="1377" w:type="dxa"/>
            <w:shd w:val="clear" w:color="auto" w:fill="FFFFFF" w:themeFill="background1"/>
            <w:vAlign w:val="center"/>
          </w:tcPr>
          <w:p w14:paraId="76304930" w14:textId="77777777" w:rsidR="00632E5B" w:rsidRDefault="00632E5B"/>
        </w:tc>
      </w:tr>
    </w:tbl>
    <w:p w14:paraId="5670674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按组合计提坏账准备：5,005,804.53</w:t>
      </w:r>
    </w:p>
    <w:p w14:paraId="3136E9E8"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2409"/>
        <w:gridCol w:w="2410"/>
        <w:gridCol w:w="2410"/>
        <w:gridCol w:w="2410"/>
      </w:tblGrid>
      <w:tr w:rsidR="00632E5B" w14:paraId="3F95AA36" w14:textId="77777777" w:rsidTr="008B6556">
        <w:trPr>
          <w:trHeight w:val="240"/>
        </w:trPr>
        <w:tc>
          <w:tcPr>
            <w:tcW w:w="2410" w:type="dxa"/>
            <w:vMerge w:val="restart"/>
            <w:shd w:val="clear" w:color="auto" w:fill="FFFFFF" w:themeFill="background1"/>
            <w:vAlign w:val="center"/>
          </w:tcPr>
          <w:p w14:paraId="22B83E5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名称</w:t>
            </w:r>
          </w:p>
        </w:tc>
        <w:tc>
          <w:tcPr>
            <w:tcW w:w="7229" w:type="dxa"/>
            <w:gridSpan w:val="3"/>
            <w:shd w:val="clear" w:color="auto" w:fill="FFFFFF" w:themeFill="background1"/>
            <w:vAlign w:val="center"/>
          </w:tcPr>
          <w:p w14:paraId="113BD63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632E5B" w14:paraId="409F6EC3" w14:textId="77777777" w:rsidTr="008B6556">
        <w:trPr>
          <w:trHeight w:val="240"/>
        </w:trPr>
        <w:tc>
          <w:tcPr>
            <w:tcW w:w="2410" w:type="dxa"/>
            <w:vMerge/>
            <w:shd w:val="clear" w:color="auto" w:fill="FFFFFF" w:themeFill="background1"/>
            <w:vAlign w:val="center"/>
          </w:tcPr>
          <w:p w14:paraId="6BAFB63A" w14:textId="77777777" w:rsidR="00632E5B" w:rsidRDefault="00632E5B"/>
        </w:tc>
        <w:tc>
          <w:tcPr>
            <w:tcW w:w="2410" w:type="dxa"/>
            <w:shd w:val="clear" w:color="auto" w:fill="FFFFFF" w:themeFill="background1"/>
            <w:vAlign w:val="center"/>
          </w:tcPr>
          <w:p w14:paraId="4EEEBC6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2410" w:type="dxa"/>
            <w:shd w:val="clear" w:color="auto" w:fill="FFFFFF" w:themeFill="background1"/>
            <w:vAlign w:val="center"/>
          </w:tcPr>
          <w:p w14:paraId="37BE22C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2410" w:type="dxa"/>
            <w:shd w:val="clear" w:color="auto" w:fill="FFFFFF" w:themeFill="background1"/>
            <w:vAlign w:val="center"/>
          </w:tcPr>
          <w:p w14:paraId="14489C4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计提比例</w:t>
            </w:r>
          </w:p>
        </w:tc>
      </w:tr>
      <w:tr w:rsidR="00632E5B" w14:paraId="6A11A751" w14:textId="77777777" w:rsidTr="008B6556">
        <w:trPr>
          <w:trHeight w:val="240"/>
        </w:trPr>
        <w:tc>
          <w:tcPr>
            <w:tcW w:w="2410" w:type="dxa"/>
            <w:shd w:val="clear" w:color="auto" w:fill="FFFFFF" w:themeFill="background1"/>
            <w:vAlign w:val="center"/>
          </w:tcPr>
          <w:p w14:paraId="3F690010"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合并范围内子公司组合</w:t>
            </w:r>
          </w:p>
        </w:tc>
        <w:tc>
          <w:tcPr>
            <w:tcW w:w="2410" w:type="dxa"/>
            <w:shd w:val="clear" w:color="auto" w:fill="FFFFFF" w:themeFill="background1"/>
            <w:vAlign w:val="center"/>
          </w:tcPr>
          <w:p w14:paraId="3A343BC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20,262,948.62</w:t>
            </w:r>
          </w:p>
        </w:tc>
        <w:tc>
          <w:tcPr>
            <w:tcW w:w="2410" w:type="dxa"/>
            <w:shd w:val="clear" w:color="auto" w:fill="FFFFFF" w:themeFill="background1"/>
            <w:vAlign w:val="center"/>
          </w:tcPr>
          <w:p w14:paraId="00E54212" w14:textId="77777777" w:rsidR="00632E5B" w:rsidRDefault="00632E5B">
            <w:pPr>
              <w:spacing w:line="240" w:lineRule="exact"/>
              <w:jc w:val="right"/>
              <w:rPr>
                <w:rFonts w:ascii="宋体" w:eastAsia="宋体" w:hAnsi="宋体" w:cs="宋体" w:hint="eastAsia"/>
                <w:sz w:val="18"/>
                <w:szCs w:val="18"/>
              </w:rPr>
            </w:pPr>
          </w:p>
        </w:tc>
        <w:tc>
          <w:tcPr>
            <w:tcW w:w="2410" w:type="dxa"/>
            <w:shd w:val="clear" w:color="auto" w:fill="FFFFFF" w:themeFill="background1"/>
            <w:vAlign w:val="center"/>
          </w:tcPr>
          <w:p w14:paraId="76244FAD" w14:textId="77777777" w:rsidR="00632E5B" w:rsidRDefault="00632E5B">
            <w:pPr>
              <w:spacing w:line="240" w:lineRule="exact"/>
              <w:jc w:val="right"/>
              <w:rPr>
                <w:rFonts w:ascii="宋体" w:eastAsia="宋体" w:hAnsi="宋体" w:cs="宋体" w:hint="eastAsia"/>
                <w:sz w:val="18"/>
                <w:szCs w:val="18"/>
              </w:rPr>
            </w:pPr>
          </w:p>
        </w:tc>
      </w:tr>
      <w:tr w:rsidR="00632E5B" w14:paraId="028D95CB" w14:textId="77777777" w:rsidTr="008B6556">
        <w:trPr>
          <w:trHeight w:val="240"/>
        </w:trPr>
        <w:tc>
          <w:tcPr>
            <w:tcW w:w="2410" w:type="dxa"/>
            <w:shd w:val="clear" w:color="auto" w:fill="FFFFFF" w:themeFill="background1"/>
            <w:vAlign w:val="center"/>
          </w:tcPr>
          <w:p w14:paraId="424CC36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逾期账龄组合</w:t>
            </w:r>
          </w:p>
        </w:tc>
        <w:tc>
          <w:tcPr>
            <w:tcW w:w="2410" w:type="dxa"/>
            <w:shd w:val="clear" w:color="auto" w:fill="FFFFFF" w:themeFill="background1"/>
            <w:vAlign w:val="center"/>
          </w:tcPr>
          <w:p w14:paraId="15F09B9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224,201,966.06</w:t>
            </w:r>
          </w:p>
        </w:tc>
        <w:tc>
          <w:tcPr>
            <w:tcW w:w="2410" w:type="dxa"/>
            <w:shd w:val="clear" w:color="auto" w:fill="FFFFFF" w:themeFill="background1"/>
            <w:vAlign w:val="center"/>
          </w:tcPr>
          <w:p w14:paraId="4A8C9AA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5,005,804.53</w:t>
            </w:r>
          </w:p>
        </w:tc>
        <w:tc>
          <w:tcPr>
            <w:tcW w:w="2410" w:type="dxa"/>
            <w:shd w:val="clear" w:color="auto" w:fill="FFFFFF" w:themeFill="background1"/>
            <w:vAlign w:val="center"/>
          </w:tcPr>
          <w:p w14:paraId="0F170E5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2.23%</w:t>
            </w:r>
          </w:p>
        </w:tc>
      </w:tr>
      <w:tr w:rsidR="00632E5B" w14:paraId="08D88D2A" w14:textId="77777777" w:rsidTr="008B6556">
        <w:trPr>
          <w:trHeight w:val="240"/>
        </w:trPr>
        <w:tc>
          <w:tcPr>
            <w:tcW w:w="2410" w:type="dxa"/>
            <w:shd w:val="clear" w:color="auto" w:fill="FFFFFF" w:themeFill="background1"/>
            <w:vAlign w:val="center"/>
          </w:tcPr>
          <w:p w14:paraId="0CB8481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2410" w:type="dxa"/>
            <w:shd w:val="clear" w:color="auto" w:fill="FFFFFF" w:themeFill="background1"/>
            <w:vAlign w:val="center"/>
          </w:tcPr>
          <w:p w14:paraId="14B26EC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244,464,914.68</w:t>
            </w:r>
          </w:p>
        </w:tc>
        <w:tc>
          <w:tcPr>
            <w:tcW w:w="2410" w:type="dxa"/>
            <w:shd w:val="clear" w:color="auto" w:fill="FFFFFF" w:themeFill="background1"/>
            <w:vAlign w:val="center"/>
          </w:tcPr>
          <w:p w14:paraId="1C51942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5,005,804.53</w:t>
            </w:r>
          </w:p>
        </w:tc>
        <w:tc>
          <w:tcPr>
            <w:tcW w:w="2410" w:type="dxa"/>
            <w:shd w:val="clear" w:color="auto" w:fill="FFFFFF" w:themeFill="background1"/>
            <w:vAlign w:val="center"/>
          </w:tcPr>
          <w:p w14:paraId="00AD0655" w14:textId="0A24856F" w:rsidR="00632E5B" w:rsidRPr="00E53E0D" w:rsidRDefault="00E53E0D" w:rsidP="00E53E0D">
            <w:pPr>
              <w:spacing w:line="240" w:lineRule="exact"/>
              <w:jc w:val="right"/>
              <w:rPr>
                <w:rFonts w:ascii="宋体" w:eastAsia="宋体" w:hAnsi="宋体" w:cs="宋体" w:hint="eastAsia"/>
                <w:sz w:val="18"/>
                <w:szCs w:val="18"/>
              </w:rPr>
            </w:pPr>
            <w:r w:rsidRPr="00E53E0D">
              <w:rPr>
                <w:rFonts w:ascii="宋体" w:eastAsia="宋体" w:hAnsi="宋体" w:cs="宋体" w:hint="eastAsia"/>
                <w:sz w:val="18"/>
                <w:szCs w:val="18"/>
              </w:rPr>
              <w:t>2.05%</w:t>
            </w:r>
          </w:p>
        </w:tc>
      </w:tr>
    </w:tbl>
    <w:p w14:paraId="76AC2869"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确定该组合依据的说明：</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58"/>
        <w:gridCol w:w="1509"/>
        <w:gridCol w:w="1471"/>
        <w:gridCol w:w="1174"/>
        <w:gridCol w:w="1560"/>
        <w:gridCol w:w="1347"/>
        <w:gridCol w:w="1171"/>
      </w:tblGrid>
      <w:tr w:rsidR="00E72F0C" w14:paraId="1FE6E93D" w14:textId="77777777" w:rsidTr="00F84867">
        <w:trPr>
          <w:divId w:val="1254974027"/>
          <w:trHeight w:val="327"/>
          <w:tblHeader/>
        </w:trPr>
        <w:tc>
          <w:tcPr>
            <w:tcW w:w="752" w:type="pct"/>
            <w:vMerge w:val="restart"/>
            <w:noWrap/>
            <w:tcMar>
              <w:top w:w="12" w:type="dxa"/>
              <w:left w:w="12" w:type="dxa"/>
              <w:bottom w:w="0" w:type="dxa"/>
              <w:right w:w="12" w:type="dxa"/>
            </w:tcMar>
            <w:vAlign w:val="center"/>
            <w:hideMark/>
          </w:tcPr>
          <w:p w14:paraId="45972EEB" w14:textId="77777777" w:rsidR="00E72F0C" w:rsidRDefault="00107901">
            <w:pPr>
              <w:pStyle w:val="a3"/>
              <w:spacing w:before="0" w:beforeAutospacing="0" w:after="0" w:afterAutospacing="0"/>
              <w:jc w:val="center"/>
              <w:textAlignment w:val="bottom"/>
              <w:rPr>
                <w:rFonts w:hint="eastAsia"/>
              </w:rPr>
            </w:pPr>
            <w:r>
              <w:rPr>
                <w:rFonts w:hint="eastAsia"/>
                <w:color w:val="000000"/>
                <w:sz w:val="18"/>
                <w:szCs w:val="18"/>
              </w:rPr>
              <w:t>逾期账龄</w:t>
            </w:r>
          </w:p>
        </w:tc>
        <w:tc>
          <w:tcPr>
            <w:tcW w:w="2143" w:type="pct"/>
            <w:gridSpan w:val="3"/>
            <w:noWrap/>
            <w:tcMar>
              <w:top w:w="12" w:type="dxa"/>
              <w:left w:w="12" w:type="dxa"/>
              <w:bottom w:w="0" w:type="dxa"/>
              <w:right w:w="12" w:type="dxa"/>
            </w:tcMar>
            <w:vAlign w:val="center"/>
            <w:hideMark/>
          </w:tcPr>
          <w:p w14:paraId="53EFC111" w14:textId="77777777" w:rsidR="00E72F0C" w:rsidRDefault="00107901">
            <w:pPr>
              <w:pStyle w:val="a3"/>
              <w:spacing w:before="0" w:beforeAutospacing="0" w:after="0" w:afterAutospacing="0"/>
              <w:jc w:val="center"/>
              <w:textAlignment w:val="bottom"/>
              <w:rPr>
                <w:rFonts w:hint="eastAsia"/>
              </w:rPr>
            </w:pPr>
            <w:r>
              <w:rPr>
                <w:rFonts w:hint="eastAsia"/>
                <w:color w:val="000000"/>
                <w:sz w:val="18"/>
                <w:szCs w:val="18"/>
              </w:rPr>
              <w:t>期末余额</w:t>
            </w:r>
          </w:p>
        </w:tc>
        <w:tc>
          <w:tcPr>
            <w:tcW w:w="2104" w:type="pct"/>
            <w:gridSpan w:val="3"/>
            <w:tcMar>
              <w:top w:w="12" w:type="dxa"/>
              <w:left w:w="12" w:type="dxa"/>
              <w:bottom w:w="0" w:type="dxa"/>
              <w:right w:w="12" w:type="dxa"/>
            </w:tcMar>
            <w:vAlign w:val="center"/>
            <w:hideMark/>
          </w:tcPr>
          <w:p w14:paraId="2FCE7EE5" w14:textId="77777777" w:rsidR="00E72F0C" w:rsidRDefault="00107901">
            <w:pPr>
              <w:pStyle w:val="a3"/>
              <w:spacing w:before="0" w:beforeAutospacing="0" w:after="0" w:afterAutospacing="0"/>
              <w:jc w:val="center"/>
              <w:textAlignment w:val="top"/>
              <w:rPr>
                <w:rFonts w:hint="eastAsia"/>
              </w:rPr>
            </w:pPr>
            <w:r>
              <w:rPr>
                <w:rFonts w:hint="eastAsia"/>
                <w:color w:val="000000"/>
                <w:sz w:val="18"/>
                <w:szCs w:val="18"/>
              </w:rPr>
              <w:t>期初余额</w:t>
            </w:r>
          </w:p>
        </w:tc>
      </w:tr>
      <w:tr w:rsidR="00E72F0C" w14:paraId="00180264" w14:textId="77777777" w:rsidTr="00F84867">
        <w:trPr>
          <w:divId w:val="1254974027"/>
          <w:trHeight w:val="312"/>
          <w:tblHeader/>
        </w:trPr>
        <w:tc>
          <w:tcPr>
            <w:tcW w:w="0" w:type="auto"/>
            <w:vMerge/>
            <w:vAlign w:val="center"/>
            <w:hideMark/>
          </w:tcPr>
          <w:p w14:paraId="788E9F06" w14:textId="77777777" w:rsidR="00E72F0C" w:rsidRDefault="00E72F0C">
            <w:pPr>
              <w:rPr>
                <w:rFonts w:ascii="宋体" w:eastAsia="宋体" w:hAnsi="宋体" w:cs="宋体" w:hint="eastAsia"/>
                <w:sz w:val="24"/>
                <w:szCs w:val="24"/>
              </w:rPr>
            </w:pPr>
          </w:p>
        </w:tc>
        <w:tc>
          <w:tcPr>
            <w:tcW w:w="778" w:type="pct"/>
            <w:noWrap/>
            <w:tcMar>
              <w:top w:w="12" w:type="dxa"/>
              <w:left w:w="12" w:type="dxa"/>
              <w:bottom w:w="0" w:type="dxa"/>
              <w:right w:w="12" w:type="dxa"/>
            </w:tcMar>
            <w:vAlign w:val="center"/>
            <w:hideMark/>
          </w:tcPr>
          <w:p w14:paraId="1277AF87" w14:textId="77777777" w:rsidR="00E72F0C" w:rsidRDefault="00107901">
            <w:pPr>
              <w:pStyle w:val="a3"/>
              <w:spacing w:before="0" w:beforeAutospacing="0" w:after="0" w:afterAutospacing="0"/>
              <w:jc w:val="center"/>
              <w:textAlignment w:val="bottom"/>
              <w:rPr>
                <w:rFonts w:hint="eastAsia"/>
              </w:rPr>
            </w:pPr>
            <w:r>
              <w:rPr>
                <w:rFonts w:hint="eastAsia"/>
                <w:color w:val="000000"/>
                <w:sz w:val="18"/>
                <w:szCs w:val="18"/>
              </w:rPr>
              <w:t>账面余额</w:t>
            </w:r>
          </w:p>
        </w:tc>
        <w:tc>
          <w:tcPr>
            <w:tcW w:w="759" w:type="pct"/>
            <w:tcMar>
              <w:top w:w="12" w:type="dxa"/>
              <w:left w:w="12" w:type="dxa"/>
              <w:bottom w:w="0" w:type="dxa"/>
              <w:right w:w="12" w:type="dxa"/>
            </w:tcMar>
            <w:vAlign w:val="center"/>
            <w:hideMark/>
          </w:tcPr>
          <w:p w14:paraId="14959BBF" w14:textId="77777777" w:rsidR="00E72F0C" w:rsidRDefault="00107901">
            <w:pPr>
              <w:pStyle w:val="a3"/>
              <w:spacing w:before="0" w:beforeAutospacing="0" w:after="0" w:afterAutospacing="0"/>
              <w:jc w:val="center"/>
              <w:textAlignment w:val="bottom"/>
              <w:rPr>
                <w:rFonts w:hint="eastAsia"/>
              </w:rPr>
            </w:pPr>
            <w:r>
              <w:rPr>
                <w:rFonts w:hint="eastAsia"/>
                <w:color w:val="000000"/>
                <w:sz w:val="18"/>
                <w:szCs w:val="18"/>
              </w:rPr>
              <w:t>坏账准备</w:t>
            </w:r>
          </w:p>
        </w:tc>
        <w:tc>
          <w:tcPr>
            <w:tcW w:w="606" w:type="pct"/>
            <w:tcMar>
              <w:top w:w="12" w:type="dxa"/>
              <w:left w:w="12" w:type="dxa"/>
              <w:bottom w:w="0" w:type="dxa"/>
              <w:right w:w="12" w:type="dxa"/>
            </w:tcMar>
            <w:vAlign w:val="center"/>
            <w:hideMark/>
          </w:tcPr>
          <w:p w14:paraId="4A84AFB9" w14:textId="77777777" w:rsidR="00E72F0C" w:rsidRDefault="00107901">
            <w:pPr>
              <w:pStyle w:val="a3"/>
              <w:spacing w:before="0" w:beforeAutospacing="0" w:after="0" w:afterAutospacing="0"/>
              <w:jc w:val="center"/>
              <w:textAlignment w:val="bottom"/>
              <w:rPr>
                <w:rFonts w:hint="eastAsia"/>
              </w:rPr>
            </w:pPr>
            <w:r>
              <w:rPr>
                <w:rFonts w:hint="eastAsia"/>
                <w:color w:val="000000"/>
                <w:sz w:val="18"/>
                <w:szCs w:val="18"/>
              </w:rPr>
              <w:t>计提比例(%)</w:t>
            </w:r>
          </w:p>
        </w:tc>
        <w:tc>
          <w:tcPr>
            <w:tcW w:w="805" w:type="pct"/>
            <w:tcMar>
              <w:top w:w="12" w:type="dxa"/>
              <w:left w:w="12" w:type="dxa"/>
              <w:bottom w:w="0" w:type="dxa"/>
              <w:right w:w="12" w:type="dxa"/>
            </w:tcMar>
            <w:vAlign w:val="center"/>
            <w:hideMark/>
          </w:tcPr>
          <w:p w14:paraId="5F563508" w14:textId="77777777" w:rsidR="00E72F0C" w:rsidRDefault="00107901">
            <w:pPr>
              <w:pStyle w:val="a3"/>
              <w:spacing w:before="0" w:beforeAutospacing="0" w:after="0" w:afterAutospacing="0"/>
              <w:jc w:val="center"/>
              <w:textAlignment w:val="bottom"/>
              <w:rPr>
                <w:rFonts w:hint="eastAsia"/>
              </w:rPr>
            </w:pPr>
            <w:r>
              <w:rPr>
                <w:rFonts w:hint="eastAsia"/>
                <w:color w:val="000000"/>
                <w:sz w:val="18"/>
                <w:szCs w:val="18"/>
              </w:rPr>
              <w:t>账面余额</w:t>
            </w:r>
          </w:p>
        </w:tc>
        <w:tc>
          <w:tcPr>
            <w:tcW w:w="695" w:type="pct"/>
            <w:tcMar>
              <w:top w:w="12" w:type="dxa"/>
              <w:left w:w="12" w:type="dxa"/>
              <w:bottom w:w="0" w:type="dxa"/>
              <w:right w:w="12" w:type="dxa"/>
            </w:tcMar>
            <w:vAlign w:val="center"/>
            <w:hideMark/>
          </w:tcPr>
          <w:p w14:paraId="093D522B" w14:textId="77777777" w:rsidR="00E72F0C" w:rsidRDefault="00107901">
            <w:pPr>
              <w:pStyle w:val="a3"/>
              <w:spacing w:before="0" w:beforeAutospacing="0" w:after="0" w:afterAutospacing="0"/>
              <w:jc w:val="center"/>
              <w:textAlignment w:val="bottom"/>
              <w:rPr>
                <w:rFonts w:hint="eastAsia"/>
              </w:rPr>
            </w:pPr>
            <w:r>
              <w:rPr>
                <w:rFonts w:hint="eastAsia"/>
                <w:color w:val="000000"/>
                <w:sz w:val="18"/>
                <w:szCs w:val="18"/>
              </w:rPr>
              <w:t>坏账准备</w:t>
            </w:r>
          </w:p>
        </w:tc>
        <w:tc>
          <w:tcPr>
            <w:tcW w:w="604" w:type="pct"/>
            <w:tcMar>
              <w:top w:w="12" w:type="dxa"/>
              <w:left w:w="12" w:type="dxa"/>
              <w:bottom w:w="0" w:type="dxa"/>
              <w:right w:w="12" w:type="dxa"/>
            </w:tcMar>
            <w:vAlign w:val="center"/>
            <w:hideMark/>
          </w:tcPr>
          <w:p w14:paraId="1086026E" w14:textId="77777777" w:rsidR="00E72F0C" w:rsidRDefault="00107901">
            <w:pPr>
              <w:pStyle w:val="a3"/>
              <w:spacing w:before="0" w:beforeAutospacing="0" w:after="0" w:afterAutospacing="0"/>
              <w:jc w:val="center"/>
              <w:textAlignment w:val="bottom"/>
              <w:rPr>
                <w:rFonts w:hint="eastAsia"/>
              </w:rPr>
            </w:pPr>
            <w:r>
              <w:rPr>
                <w:rFonts w:hint="eastAsia"/>
                <w:color w:val="000000"/>
                <w:sz w:val="18"/>
                <w:szCs w:val="18"/>
              </w:rPr>
              <w:t>计提比例(%)</w:t>
            </w:r>
          </w:p>
        </w:tc>
      </w:tr>
      <w:tr w:rsidR="00E72F0C" w14:paraId="121E2FEB" w14:textId="77777777" w:rsidTr="00F84867">
        <w:trPr>
          <w:divId w:val="1254974027"/>
          <w:trHeight w:val="312"/>
        </w:trPr>
        <w:tc>
          <w:tcPr>
            <w:tcW w:w="752" w:type="pct"/>
            <w:noWrap/>
            <w:tcMar>
              <w:top w:w="12" w:type="dxa"/>
              <w:left w:w="12" w:type="dxa"/>
              <w:bottom w:w="0" w:type="dxa"/>
              <w:right w:w="12" w:type="dxa"/>
            </w:tcMar>
            <w:vAlign w:val="center"/>
            <w:hideMark/>
          </w:tcPr>
          <w:p w14:paraId="3420744B" w14:textId="77777777" w:rsidR="00E72F0C" w:rsidRDefault="00107901">
            <w:pPr>
              <w:pStyle w:val="a3"/>
              <w:spacing w:before="0" w:beforeAutospacing="0" w:after="0" w:afterAutospacing="0"/>
              <w:jc w:val="center"/>
              <w:textAlignment w:val="bottom"/>
              <w:rPr>
                <w:rFonts w:hint="eastAsia"/>
              </w:rPr>
            </w:pPr>
            <w:r>
              <w:rPr>
                <w:rFonts w:hint="eastAsia"/>
                <w:color w:val="000000"/>
                <w:sz w:val="18"/>
                <w:szCs w:val="18"/>
              </w:rPr>
              <w:t>未逾期</w:t>
            </w:r>
          </w:p>
        </w:tc>
        <w:tc>
          <w:tcPr>
            <w:tcW w:w="778" w:type="pct"/>
            <w:noWrap/>
            <w:tcMar>
              <w:top w:w="12" w:type="dxa"/>
              <w:left w:w="12" w:type="dxa"/>
              <w:bottom w:w="0" w:type="dxa"/>
              <w:right w:w="12" w:type="dxa"/>
            </w:tcMar>
            <w:vAlign w:val="center"/>
            <w:hideMark/>
          </w:tcPr>
          <w:p w14:paraId="5C1A4367" w14:textId="77777777" w:rsidR="00E72F0C" w:rsidRDefault="00107901">
            <w:pPr>
              <w:pStyle w:val="a3"/>
              <w:spacing w:before="0" w:beforeAutospacing="0" w:after="0" w:afterAutospacing="0"/>
              <w:jc w:val="right"/>
              <w:rPr>
                <w:rFonts w:hint="eastAsia"/>
              </w:rPr>
            </w:pPr>
            <w:r>
              <w:rPr>
                <w:rFonts w:hint="eastAsia"/>
                <w:sz w:val="18"/>
                <w:szCs w:val="18"/>
              </w:rPr>
              <w:t>214,132,360.12</w:t>
            </w:r>
          </w:p>
        </w:tc>
        <w:tc>
          <w:tcPr>
            <w:tcW w:w="759" w:type="pct"/>
            <w:tcMar>
              <w:top w:w="12" w:type="dxa"/>
              <w:left w:w="12" w:type="dxa"/>
              <w:bottom w:w="0" w:type="dxa"/>
              <w:right w:w="12" w:type="dxa"/>
            </w:tcMar>
            <w:vAlign w:val="center"/>
            <w:hideMark/>
          </w:tcPr>
          <w:p w14:paraId="7698ABF1" w14:textId="77777777" w:rsidR="00E72F0C" w:rsidRDefault="00107901">
            <w:pPr>
              <w:pStyle w:val="a3"/>
              <w:spacing w:before="0" w:beforeAutospacing="0" w:after="0" w:afterAutospacing="0"/>
              <w:jc w:val="right"/>
              <w:rPr>
                <w:rFonts w:hint="eastAsia"/>
              </w:rPr>
            </w:pPr>
            <w:r>
              <w:rPr>
                <w:rFonts w:hint="eastAsia"/>
                <w:sz w:val="18"/>
                <w:szCs w:val="18"/>
              </w:rPr>
              <w:t>4,282,647.20</w:t>
            </w:r>
          </w:p>
        </w:tc>
        <w:tc>
          <w:tcPr>
            <w:tcW w:w="606" w:type="pct"/>
            <w:tcMar>
              <w:top w:w="12" w:type="dxa"/>
              <w:left w:w="12" w:type="dxa"/>
              <w:bottom w:w="0" w:type="dxa"/>
              <w:right w:w="12" w:type="dxa"/>
            </w:tcMar>
            <w:vAlign w:val="center"/>
            <w:hideMark/>
          </w:tcPr>
          <w:p w14:paraId="5A094179" w14:textId="77777777" w:rsidR="00E72F0C" w:rsidRDefault="00107901">
            <w:pPr>
              <w:pStyle w:val="a3"/>
              <w:spacing w:before="0" w:beforeAutospacing="0" w:after="0" w:afterAutospacing="0"/>
              <w:jc w:val="right"/>
              <w:rPr>
                <w:rFonts w:hint="eastAsia"/>
              </w:rPr>
            </w:pPr>
            <w:r>
              <w:rPr>
                <w:rFonts w:hint="eastAsia"/>
                <w:sz w:val="18"/>
                <w:szCs w:val="18"/>
              </w:rPr>
              <w:t>2.00</w:t>
            </w:r>
          </w:p>
        </w:tc>
        <w:tc>
          <w:tcPr>
            <w:tcW w:w="805" w:type="pct"/>
            <w:noWrap/>
            <w:tcMar>
              <w:top w:w="12" w:type="dxa"/>
              <w:left w:w="12" w:type="dxa"/>
              <w:bottom w:w="0" w:type="dxa"/>
              <w:right w:w="12" w:type="dxa"/>
            </w:tcMar>
            <w:vAlign w:val="center"/>
            <w:hideMark/>
          </w:tcPr>
          <w:p w14:paraId="3021A1CA" w14:textId="77777777" w:rsidR="00E72F0C" w:rsidRDefault="00107901">
            <w:pPr>
              <w:pStyle w:val="a3"/>
              <w:spacing w:before="0" w:beforeAutospacing="0" w:after="0" w:afterAutospacing="0"/>
              <w:jc w:val="right"/>
              <w:textAlignment w:val="bottom"/>
              <w:rPr>
                <w:rFonts w:hint="eastAsia"/>
              </w:rPr>
            </w:pPr>
            <w:r>
              <w:rPr>
                <w:rFonts w:hint="eastAsia"/>
                <w:color w:val="000000"/>
                <w:sz w:val="18"/>
                <w:szCs w:val="18"/>
              </w:rPr>
              <w:t xml:space="preserve">117,912,748.12 </w:t>
            </w:r>
          </w:p>
        </w:tc>
        <w:tc>
          <w:tcPr>
            <w:tcW w:w="695" w:type="pct"/>
            <w:tcMar>
              <w:top w:w="12" w:type="dxa"/>
              <w:left w:w="12" w:type="dxa"/>
              <w:bottom w:w="0" w:type="dxa"/>
              <w:right w:w="12" w:type="dxa"/>
            </w:tcMar>
            <w:vAlign w:val="center"/>
            <w:hideMark/>
          </w:tcPr>
          <w:p w14:paraId="15488C44" w14:textId="77777777" w:rsidR="00E72F0C" w:rsidRDefault="00107901">
            <w:pPr>
              <w:pStyle w:val="a3"/>
              <w:spacing w:before="0" w:beforeAutospacing="0" w:after="0" w:afterAutospacing="0"/>
              <w:jc w:val="right"/>
              <w:textAlignment w:val="bottom"/>
              <w:rPr>
                <w:rFonts w:hint="eastAsia"/>
              </w:rPr>
            </w:pPr>
            <w:r>
              <w:rPr>
                <w:rFonts w:hint="eastAsia"/>
                <w:color w:val="000000"/>
                <w:sz w:val="18"/>
                <w:szCs w:val="18"/>
              </w:rPr>
              <w:t xml:space="preserve">2,358,254.96 </w:t>
            </w:r>
          </w:p>
        </w:tc>
        <w:tc>
          <w:tcPr>
            <w:tcW w:w="604" w:type="pct"/>
            <w:tcMar>
              <w:top w:w="12" w:type="dxa"/>
              <w:left w:w="12" w:type="dxa"/>
              <w:bottom w:w="0" w:type="dxa"/>
              <w:right w:w="12" w:type="dxa"/>
            </w:tcMar>
            <w:vAlign w:val="center"/>
            <w:hideMark/>
          </w:tcPr>
          <w:p w14:paraId="1B39C3EE" w14:textId="77777777" w:rsidR="00E72F0C" w:rsidRDefault="00107901">
            <w:pPr>
              <w:pStyle w:val="a3"/>
              <w:spacing w:before="0" w:beforeAutospacing="0" w:after="0" w:afterAutospacing="0"/>
              <w:jc w:val="right"/>
              <w:textAlignment w:val="center"/>
              <w:rPr>
                <w:rFonts w:hint="eastAsia"/>
              </w:rPr>
            </w:pPr>
            <w:r>
              <w:rPr>
                <w:rFonts w:hint="eastAsia"/>
                <w:color w:val="000000"/>
                <w:sz w:val="18"/>
                <w:szCs w:val="18"/>
              </w:rPr>
              <w:t xml:space="preserve"> 2.00 </w:t>
            </w:r>
          </w:p>
        </w:tc>
      </w:tr>
      <w:tr w:rsidR="00E72F0C" w14:paraId="551AD4CC" w14:textId="77777777" w:rsidTr="00F84867">
        <w:trPr>
          <w:divId w:val="1254974027"/>
          <w:trHeight w:val="312"/>
        </w:trPr>
        <w:tc>
          <w:tcPr>
            <w:tcW w:w="752" w:type="pct"/>
            <w:noWrap/>
            <w:tcMar>
              <w:top w:w="12" w:type="dxa"/>
              <w:left w:w="12" w:type="dxa"/>
              <w:bottom w:w="0" w:type="dxa"/>
              <w:right w:w="12" w:type="dxa"/>
            </w:tcMar>
            <w:vAlign w:val="center"/>
            <w:hideMark/>
          </w:tcPr>
          <w:p w14:paraId="2B211587" w14:textId="77777777" w:rsidR="00E72F0C" w:rsidRDefault="00107901">
            <w:pPr>
              <w:pStyle w:val="a3"/>
              <w:spacing w:before="0" w:beforeAutospacing="0" w:after="0" w:afterAutospacing="0"/>
              <w:jc w:val="center"/>
              <w:textAlignment w:val="bottom"/>
              <w:rPr>
                <w:rFonts w:hint="eastAsia"/>
              </w:rPr>
            </w:pPr>
            <w:r>
              <w:rPr>
                <w:rFonts w:hint="eastAsia"/>
                <w:color w:val="000000"/>
                <w:sz w:val="18"/>
                <w:szCs w:val="18"/>
              </w:rPr>
              <w:t>逾期1年以内</w:t>
            </w:r>
          </w:p>
        </w:tc>
        <w:tc>
          <w:tcPr>
            <w:tcW w:w="778" w:type="pct"/>
            <w:noWrap/>
            <w:tcMar>
              <w:top w:w="12" w:type="dxa"/>
              <w:left w:w="12" w:type="dxa"/>
              <w:bottom w:w="0" w:type="dxa"/>
              <w:right w:w="12" w:type="dxa"/>
            </w:tcMar>
            <w:vAlign w:val="center"/>
            <w:hideMark/>
          </w:tcPr>
          <w:p w14:paraId="2F4396A3" w14:textId="77777777" w:rsidR="00E72F0C" w:rsidRDefault="00107901">
            <w:pPr>
              <w:pStyle w:val="a3"/>
              <w:spacing w:before="0" w:beforeAutospacing="0" w:after="0" w:afterAutospacing="0"/>
              <w:jc w:val="right"/>
              <w:rPr>
                <w:rFonts w:hint="eastAsia"/>
              </w:rPr>
            </w:pPr>
            <w:r>
              <w:rPr>
                <w:rFonts w:hint="eastAsia"/>
                <w:sz w:val="18"/>
                <w:szCs w:val="18"/>
              </w:rPr>
              <w:t>8,915,692.07</w:t>
            </w:r>
          </w:p>
        </w:tc>
        <w:tc>
          <w:tcPr>
            <w:tcW w:w="759" w:type="pct"/>
            <w:tcMar>
              <w:top w:w="12" w:type="dxa"/>
              <w:left w:w="12" w:type="dxa"/>
              <w:bottom w:w="0" w:type="dxa"/>
              <w:right w:w="12" w:type="dxa"/>
            </w:tcMar>
            <w:vAlign w:val="center"/>
            <w:hideMark/>
          </w:tcPr>
          <w:p w14:paraId="4EF6C6B4" w14:textId="77777777" w:rsidR="00E72F0C" w:rsidRDefault="00107901">
            <w:pPr>
              <w:pStyle w:val="a3"/>
              <w:spacing w:before="0" w:beforeAutospacing="0" w:after="0" w:afterAutospacing="0"/>
              <w:jc w:val="right"/>
              <w:rPr>
                <w:rFonts w:hint="eastAsia"/>
              </w:rPr>
            </w:pPr>
            <w:r>
              <w:rPr>
                <w:rFonts w:hint="eastAsia"/>
                <w:sz w:val="18"/>
                <w:szCs w:val="18"/>
              </w:rPr>
              <w:t>534,941.52</w:t>
            </w:r>
          </w:p>
        </w:tc>
        <w:tc>
          <w:tcPr>
            <w:tcW w:w="606" w:type="pct"/>
            <w:tcMar>
              <w:top w:w="12" w:type="dxa"/>
              <w:left w:w="12" w:type="dxa"/>
              <w:bottom w:w="0" w:type="dxa"/>
              <w:right w:w="12" w:type="dxa"/>
            </w:tcMar>
            <w:vAlign w:val="center"/>
            <w:hideMark/>
          </w:tcPr>
          <w:p w14:paraId="6C31B8E9" w14:textId="77777777" w:rsidR="00E72F0C" w:rsidRDefault="00107901">
            <w:pPr>
              <w:pStyle w:val="a3"/>
              <w:spacing w:before="0" w:beforeAutospacing="0" w:after="0" w:afterAutospacing="0"/>
              <w:jc w:val="right"/>
              <w:rPr>
                <w:rFonts w:hint="eastAsia"/>
              </w:rPr>
            </w:pPr>
            <w:r>
              <w:rPr>
                <w:rFonts w:hint="eastAsia"/>
                <w:sz w:val="18"/>
                <w:szCs w:val="18"/>
              </w:rPr>
              <w:t>6.00</w:t>
            </w:r>
          </w:p>
        </w:tc>
        <w:tc>
          <w:tcPr>
            <w:tcW w:w="805" w:type="pct"/>
            <w:noWrap/>
            <w:tcMar>
              <w:top w:w="12" w:type="dxa"/>
              <w:left w:w="12" w:type="dxa"/>
              <w:bottom w:w="0" w:type="dxa"/>
              <w:right w:w="12" w:type="dxa"/>
            </w:tcMar>
            <w:vAlign w:val="center"/>
            <w:hideMark/>
          </w:tcPr>
          <w:p w14:paraId="4A8FB476" w14:textId="77777777" w:rsidR="00E72F0C" w:rsidRDefault="00107901">
            <w:pPr>
              <w:pStyle w:val="a3"/>
              <w:spacing w:before="0" w:beforeAutospacing="0" w:after="0" w:afterAutospacing="0"/>
              <w:jc w:val="right"/>
              <w:textAlignment w:val="bottom"/>
              <w:rPr>
                <w:rFonts w:hint="eastAsia"/>
              </w:rPr>
            </w:pPr>
            <w:r>
              <w:rPr>
                <w:rFonts w:hint="eastAsia"/>
                <w:color w:val="000000"/>
                <w:sz w:val="18"/>
                <w:szCs w:val="18"/>
              </w:rPr>
              <w:t xml:space="preserve">31,049,159.35 </w:t>
            </w:r>
          </w:p>
        </w:tc>
        <w:tc>
          <w:tcPr>
            <w:tcW w:w="695" w:type="pct"/>
            <w:tcMar>
              <w:top w:w="12" w:type="dxa"/>
              <w:left w:w="12" w:type="dxa"/>
              <w:bottom w:w="0" w:type="dxa"/>
              <w:right w:w="12" w:type="dxa"/>
            </w:tcMar>
            <w:vAlign w:val="center"/>
            <w:hideMark/>
          </w:tcPr>
          <w:p w14:paraId="060AE96A" w14:textId="77777777" w:rsidR="00E72F0C" w:rsidRDefault="00107901">
            <w:pPr>
              <w:pStyle w:val="a3"/>
              <w:spacing w:before="0" w:beforeAutospacing="0" w:after="0" w:afterAutospacing="0"/>
              <w:jc w:val="right"/>
              <w:textAlignment w:val="bottom"/>
              <w:rPr>
                <w:rFonts w:hint="eastAsia"/>
              </w:rPr>
            </w:pPr>
            <w:r>
              <w:rPr>
                <w:rFonts w:hint="eastAsia"/>
                <w:color w:val="000000"/>
                <w:sz w:val="18"/>
                <w:szCs w:val="18"/>
              </w:rPr>
              <w:t xml:space="preserve">1,862,949.56 </w:t>
            </w:r>
          </w:p>
        </w:tc>
        <w:tc>
          <w:tcPr>
            <w:tcW w:w="604" w:type="pct"/>
            <w:tcMar>
              <w:top w:w="12" w:type="dxa"/>
              <w:left w:w="12" w:type="dxa"/>
              <w:bottom w:w="0" w:type="dxa"/>
              <w:right w:w="12" w:type="dxa"/>
            </w:tcMar>
            <w:vAlign w:val="center"/>
            <w:hideMark/>
          </w:tcPr>
          <w:p w14:paraId="6BA9331D" w14:textId="77777777" w:rsidR="00E72F0C" w:rsidRDefault="00107901">
            <w:pPr>
              <w:pStyle w:val="a3"/>
              <w:spacing w:before="0" w:beforeAutospacing="0" w:after="0" w:afterAutospacing="0"/>
              <w:jc w:val="right"/>
              <w:textAlignment w:val="center"/>
              <w:rPr>
                <w:rFonts w:hint="eastAsia"/>
              </w:rPr>
            </w:pPr>
            <w:r>
              <w:rPr>
                <w:rFonts w:hint="eastAsia"/>
                <w:color w:val="000000"/>
                <w:sz w:val="18"/>
                <w:szCs w:val="18"/>
              </w:rPr>
              <w:t xml:space="preserve"> 6.00 </w:t>
            </w:r>
          </w:p>
        </w:tc>
      </w:tr>
      <w:tr w:rsidR="00E72F0C" w14:paraId="28A34830" w14:textId="77777777" w:rsidTr="00F84867">
        <w:trPr>
          <w:divId w:val="1254974027"/>
          <w:trHeight w:val="312"/>
        </w:trPr>
        <w:tc>
          <w:tcPr>
            <w:tcW w:w="752" w:type="pct"/>
            <w:noWrap/>
            <w:tcMar>
              <w:top w:w="12" w:type="dxa"/>
              <w:left w:w="12" w:type="dxa"/>
              <w:bottom w:w="0" w:type="dxa"/>
              <w:right w:w="12" w:type="dxa"/>
            </w:tcMar>
            <w:vAlign w:val="center"/>
            <w:hideMark/>
          </w:tcPr>
          <w:p w14:paraId="01627A4B" w14:textId="77777777" w:rsidR="00E72F0C" w:rsidRDefault="00107901">
            <w:pPr>
              <w:pStyle w:val="a3"/>
              <w:spacing w:before="0" w:beforeAutospacing="0" w:after="0" w:afterAutospacing="0"/>
              <w:jc w:val="center"/>
              <w:textAlignment w:val="bottom"/>
              <w:rPr>
                <w:rFonts w:hint="eastAsia"/>
              </w:rPr>
            </w:pPr>
            <w:r>
              <w:rPr>
                <w:rFonts w:hint="eastAsia"/>
                <w:color w:val="000000"/>
                <w:sz w:val="18"/>
                <w:szCs w:val="18"/>
              </w:rPr>
              <w:t>逾期1-2年</w:t>
            </w:r>
          </w:p>
        </w:tc>
        <w:tc>
          <w:tcPr>
            <w:tcW w:w="778" w:type="pct"/>
            <w:noWrap/>
            <w:tcMar>
              <w:top w:w="12" w:type="dxa"/>
              <w:left w:w="12" w:type="dxa"/>
              <w:bottom w:w="0" w:type="dxa"/>
              <w:right w:w="12" w:type="dxa"/>
            </w:tcMar>
            <w:vAlign w:val="center"/>
            <w:hideMark/>
          </w:tcPr>
          <w:p w14:paraId="39FA3D1A" w14:textId="77777777" w:rsidR="00E72F0C" w:rsidRDefault="00107901">
            <w:pPr>
              <w:pStyle w:val="a3"/>
              <w:spacing w:before="0" w:beforeAutospacing="0" w:after="0" w:afterAutospacing="0"/>
              <w:jc w:val="right"/>
              <w:rPr>
                <w:rFonts w:hint="eastAsia"/>
              </w:rPr>
            </w:pPr>
            <w:r>
              <w:rPr>
                <w:rFonts w:hint="eastAsia"/>
                <w:sz w:val="18"/>
                <w:szCs w:val="18"/>
              </w:rPr>
              <w:t>789,791.78</w:t>
            </w:r>
          </w:p>
        </w:tc>
        <w:tc>
          <w:tcPr>
            <w:tcW w:w="759" w:type="pct"/>
            <w:tcMar>
              <w:top w:w="12" w:type="dxa"/>
              <w:left w:w="12" w:type="dxa"/>
              <w:bottom w:w="0" w:type="dxa"/>
              <w:right w:w="12" w:type="dxa"/>
            </w:tcMar>
            <w:vAlign w:val="center"/>
            <w:hideMark/>
          </w:tcPr>
          <w:p w14:paraId="5006EE94" w14:textId="77777777" w:rsidR="00E72F0C" w:rsidRDefault="00107901">
            <w:pPr>
              <w:pStyle w:val="a3"/>
              <w:spacing w:before="0" w:beforeAutospacing="0" w:after="0" w:afterAutospacing="0"/>
              <w:jc w:val="right"/>
              <w:rPr>
                <w:rFonts w:hint="eastAsia"/>
              </w:rPr>
            </w:pPr>
            <w:r>
              <w:rPr>
                <w:rFonts w:hint="eastAsia"/>
                <w:sz w:val="18"/>
                <w:szCs w:val="18"/>
              </w:rPr>
              <w:t>78,979.18</w:t>
            </w:r>
          </w:p>
        </w:tc>
        <w:tc>
          <w:tcPr>
            <w:tcW w:w="606" w:type="pct"/>
            <w:tcMar>
              <w:top w:w="12" w:type="dxa"/>
              <w:left w:w="12" w:type="dxa"/>
              <w:bottom w:w="0" w:type="dxa"/>
              <w:right w:w="12" w:type="dxa"/>
            </w:tcMar>
            <w:vAlign w:val="center"/>
            <w:hideMark/>
          </w:tcPr>
          <w:p w14:paraId="34FB8ACB" w14:textId="77777777" w:rsidR="00E72F0C" w:rsidRDefault="00107901">
            <w:pPr>
              <w:pStyle w:val="a3"/>
              <w:spacing w:before="0" w:beforeAutospacing="0" w:after="0" w:afterAutospacing="0"/>
              <w:jc w:val="right"/>
              <w:rPr>
                <w:rFonts w:hint="eastAsia"/>
              </w:rPr>
            </w:pPr>
            <w:r>
              <w:rPr>
                <w:rFonts w:hint="eastAsia"/>
                <w:sz w:val="18"/>
                <w:szCs w:val="18"/>
              </w:rPr>
              <w:t>10.00</w:t>
            </w:r>
          </w:p>
        </w:tc>
        <w:tc>
          <w:tcPr>
            <w:tcW w:w="805" w:type="pct"/>
            <w:noWrap/>
            <w:tcMar>
              <w:top w:w="12" w:type="dxa"/>
              <w:left w:w="12" w:type="dxa"/>
              <w:bottom w:w="0" w:type="dxa"/>
              <w:right w:w="12" w:type="dxa"/>
            </w:tcMar>
            <w:vAlign w:val="center"/>
            <w:hideMark/>
          </w:tcPr>
          <w:p w14:paraId="31085E38" w14:textId="77777777" w:rsidR="00E72F0C" w:rsidRDefault="00107901">
            <w:pPr>
              <w:pStyle w:val="a3"/>
              <w:spacing w:before="0" w:beforeAutospacing="0" w:after="0" w:afterAutospacing="0"/>
              <w:jc w:val="right"/>
              <w:textAlignment w:val="bottom"/>
              <w:rPr>
                <w:rFonts w:hint="eastAsia"/>
              </w:rPr>
            </w:pPr>
            <w:r>
              <w:rPr>
                <w:rFonts w:hint="eastAsia"/>
                <w:color w:val="000000"/>
                <w:sz w:val="18"/>
                <w:szCs w:val="18"/>
              </w:rPr>
              <w:t xml:space="preserve">33,093,405.96 </w:t>
            </w:r>
          </w:p>
        </w:tc>
        <w:tc>
          <w:tcPr>
            <w:tcW w:w="695" w:type="pct"/>
            <w:tcMar>
              <w:top w:w="12" w:type="dxa"/>
              <w:left w:w="12" w:type="dxa"/>
              <w:bottom w:w="0" w:type="dxa"/>
              <w:right w:w="12" w:type="dxa"/>
            </w:tcMar>
            <w:vAlign w:val="center"/>
            <w:hideMark/>
          </w:tcPr>
          <w:p w14:paraId="29136755" w14:textId="77777777" w:rsidR="00E72F0C" w:rsidRDefault="00107901">
            <w:pPr>
              <w:pStyle w:val="a3"/>
              <w:spacing w:before="0" w:beforeAutospacing="0" w:after="0" w:afterAutospacing="0"/>
              <w:jc w:val="right"/>
              <w:textAlignment w:val="bottom"/>
              <w:rPr>
                <w:rFonts w:hint="eastAsia"/>
              </w:rPr>
            </w:pPr>
            <w:r>
              <w:rPr>
                <w:rFonts w:hint="eastAsia"/>
                <w:color w:val="000000"/>
                <w:sz w:val="18"/>
                <w:szCs w:val="18"/>
              </w:rPr>
              <w:t xml:space="preserve">3,309,340.60 </w:t>
            </w:r>
          </w:p>
        </w:tc>
        <w:tc>
          <w:tcPr>
            <w:tcW w:w="604" w:type="pct"/>
            <w:tcMar>
              <w:top w:w="12" w:type="dxa"/>
              <w:left w:w="12" w:type="dxa"/>
              <w:bottom w:w="0" w:type="dxa"/>
              <w:right w:w="12" w:type="dxa"/>
            </w:tcMar>
            <w:vAlign w:val="center"/>
            <w:hideMark/>
          </w:tcPr>
          <w:p w14:paraId="686FEB50" w14:textId="77777777" w:rsidR="00E72F0C" w:rsidRDefault="00107901">
            <w:pPr>
              <w:pStyle w:val="a3"/>
              <w:spacing w:before="0" w:beforeAutospacing="0" w:after="0" w:afterAutospacing="0"/>
              <w:jc w:val="right"/>
              <w:textAlignment w:val="center"/>
              <w:rPr>
                <w:rFonts w:hint="eastAsia"/>
              </w:rPr>
            </w:pPr>
            <w:r>
              <w:rPr>
                <w:rFonts w:hint="eastAsia"/>
                <w:color w:val="000000"/>
                <w:sz w:val="18"/>
                <w:szCs w:val="18"/>
              </w:rPr>
              <w:t xml:space="preserve"> 10.00 </w:t>
            </w:r>
          </w:p>
        </w:tc>
      </w:tr>
      <w:tr w:rsidR="00E72F0C" w14:paraId="21049960" w14:textId="77777777" w:rsidTr="00F84867">
        <w:trPr>
          <w:divId w:val="1254974027"/>
          <w:trHeight w:val="312"/>
        </w:trPr>
        <w:tc>
          <w:tcPr>
            <w:tcW w:w="752" w:type="pct"/>
            <w:noWrap/>
            <w:tcMar>
              <w:top w:w="12" w:type="dxa"/>
              <w:left w:w="12" w:type="dxa"/>
              <w:bottom w:w="0" w:type="dxa"/>
              <w:right w:w="12" w:type="dxa"/>
            </w:tcMar>
            <w:vAlign w:val="center"/>
            <w:hideMark/>
          </w:tcPr>
          <w:p w14:paraId="1B151109" w14:textId="77777777" w:rsidR="00E72F0C" w:rsidRDefault="00107901">
            <w:pPr>
              <w:pStyle w:val="a3"/>
              <w:spacing w:before="0" w:beforeAutospacing="0" w:after="0" w:afterAutospacing="0"/>
              <w:jc w:val="center"/>
              <w:textAlignment w:val="bottom"/>
              <w:rPr>
                <w:rFonts w:hint="eastAsia"/>
              </w:rPr>
            </w:pPr>
            <w:r>
              <w:rPr>
                <w:rFonts w:hint="eastAsia"/>
                <w:color w:val="000000"/>
                <w:sz w:val="18"/>
                <w:szCs w:val="18"/>
              </w:rPr>
              <w:t>逾期2-3年</w:t>
            </w:r>
          </w:p>
        </w:tc>
        <w:tc>
          <w:tcPr>
            <w:tcW w:w="778" w:type="pct"/>
            <w:noWrap/>
            <w:tcMar>
              <w:top w:w="12" w:type="dxa"/>
              <w:left w:w="12" w:type="dxa"/>
              <w:bottom w:w="0" w:type="dxa"/>
              <w:right w:w="12" w:type="dxa"/>
            </w:tcMar>
            <w:vAlign w:val="center"/>
            <w:hideMark/>
          </w:tcPr>
          <w:p w14:paraId="123B5792" w14:textId="77777777" w:rsidR="00E72F0C" w:rsidRDefault="00107901">
            <w:pPr>
              <w:pStyle w:val="a3"/>
              <w:spacing w:before="0" w:beforeAutospacing="0" w:after="0" w:afterAutospacing="0"/>
              <w:jc w:val="right"/>
              <w:rPr>
                <w:rFonts w:hint="eastAsia"/>
              </w:rPr>
            </w:pPr>
            <w:r>
              <w:rPr>
                <w:rFonts w:hint="eastAsia"/>
                <w:sz w:val="18"/>
                <w:szCs w:val="18"/>
              </w:rPr>
              <w:t>364,122.09</w:t>
            </w:r>
          </w:p>
        </w:tc>
        <w:tc>
          <w:tcPr>
            <w:tcW w:w="759" w:type="pct"/>
            <w:tcMar>
              <w:top w:w="12" w:type="dxa"/>
              <w:left w:w="12" w:type="dxa"/>
              <w:bottom w:w="0" w:type="dxa"/>
              <w:right w:w="12" w:type="dxa"/>
            </w:tcMar>
            <w:vAlign w:val="center"/>
            <w:hideMark/>
          </w:tcPr>
          <w:p w14:paraId="099B3297" w14:textId="77777777" w:rsidR="00E72F0C" w:rsidRDefault="00107901">
            <w:pPr>
              <w:pStyle w:val="a3"/>
              <w:spacing w:before="0" w:beforeAutospacing="0" w:after="0" w:afterAutospacing="0"/>
              <w:jc w:val="right"/>
              <w:rPr>
                <w:rFonts w:hint="eastAsia"/>
              </w:rPr>
            </w:pPr>
            <w:r>
              <w:rPr>
                <w:rFonts w:hint="eastAsia"/>
                <w:sz w:val="18"/>
                <w:szCs w:val="18"/>
              </w:rPr>
              <w:t>109,236.63</w:t>
            </w:r>
          </w:p>
        </w:tc>
        <w:tc>
          <w:tcPr>
            <w:tcW w:w="606" w:type="pct"/>
            <w:tcMar>
              <w:top w:w="12" w:type="dxa"/>
              <w:left w:w="12" w:type="dxa"/>
              <w:bottom w:w="0" w:type="dxa"/>
              <w:right w:w="12" w:type="dxa"/>
            </w:tcMar>
            <w:vAlign w:val="center"/>
            <w:hideMark/>
          </w:tcPr>
          <w:p w14:paraId="21F08753" w14:textId="77777777" w:rsidR="00E72F0C" w:rsidRDefault="00107901">
            <w:pPr>
              <w:pStyle w:val="a3"/>
              <w:spacing w:before="0" w:beforeAutospacing="0" w:after="0" w:afterAutospacing="0"/>
              <w:jc w:val="right"/>
              <w:rPr>
                <w:rFonts w:hint="eastAsia"/>
              </w:rPr>
            </w:pPr>
            <w:r>
              <w:rPr>
                <w:rFonts w:hint="eastAsia"/>
                <w:sz w:val="18"/>
                <w:szCs w:val="18"/>
              </w:rPr>
              <w:t>30.00</w:t>
            </w:r>
          </w:p>
        </w:tc>
        <w:tc>
          <w:tcPr>
            <w:tcW w:w="805" w:type="pct"/>
            <w:noWrap/>
            <w:tcMar>
              <w:top w:w="12" w:type="dxa"/>
              <w:left w:w="12" w:type="dxa"/>
              <w:bottom w:w="0" w:type="dxa"/>
              <w:right w:w="12" w:type="dxa"/>
            </w:tcMar>
            <w:vAlign w:val="center"/>
            <w:hideMark/>
          </w:tcPr>
          <w:p w14:paraId="23844509" w14:textId="77777777" w:rsidR="00E72F0C" w:rsidRDefault="00107901">
            <w:pPr>
              <w:pStyle w:val="a3"/>
              <w:spacing w:before="0" w:beforeAutospacing="0" w:after="0" w:afterAutospacing="0"/>
              <w:jc w:val="right"/>
              <w:textAlignment w:val="bottom"/>
              <w:rPr>
                <w:rFonts w:hint="eastAsia"/>
              </w:rPr>
            </w:pPr>
            <w:r>
              <w:rPr>
                <w:rFonts w:hint="eastAsia"/>
                <w:color w:val="000000"/>
                <w:sz w:val="18"/>
                <w:szCs w:val="18"/>
              </w:rPr>
              <w:t xml:space="preserve">28,767,580.44 </w:t>
            </w:r>
          </w:p>
        </w:tc>
        <w:tc>
          <w:tcPr>
            <w:tcW w:w="695" w:type="pct"/>
            <w:tcMar>
              <w:top w:w="12" w:type="dxa"/>
              <w:left w:w="12" w:type="dxa"/>
              <w:bottom w:w="0" w:type="dxa"/>
              <w:right w:w="12" w:type="dxa"/>
            </w:tcMar>
            <w:vAlign w:val="center"/>
            <w:hideMark/>
          </w:tcPr>
          <w:p w14:paraId="2459217E" w14:textId="77777777" w:rsidR="00E72F0C" w:rsidRDefault="00107901">
            <w:pPr>
              <w:pStyle w:val="a3"/>
              <w:spacing w:before="0" w:beforeAutospacing="0" w:after="0" w:afterAutospacing="0"/>
              <w:jc w:val="right"/>
              <w:textAlignment w:val="bottom"/>
              <w:rPr>
                <w:rFonts w:hint="eastAsia"/>
              </w:rPr>
            </w:pPr>
            <w:r>
              <w:rPr>
                <w:rFonts w:hint="eastAsia"/>
                <w:color w:val="000000"/>
                <w:sz w:val="18"/>
                <w:szCs w:val="18"/>
              </w:rPr>
              <w:t xml:space="preserve">8,630,274.13 </w:t>
            </w:r>
          </w:p>
        </w:tc>
        <w:tc>
          <w:tcPr>
            <w:tcW w:w="604" w:type="pct"/>
            <w:tcMar>
              <w:top w:w="12" w:type="dxa"/>
              <w:left w:w="12" w:type="dxa"/>
              <w:bottom w:w="0" w:type="dxa"/>
              <w:right w:w="12" w:type="dxa"/>
            </w:tcMar>
            <w:vAlign w:val="center"/>
            <w:hideMark/>
          </w:tcPr>
          <w:p w14:paraId="0A66B399" w14:textId="77777777" w:rsidR="00E72F0C" w:rsidRDefault="00107901">
            <w:pPr>
              <w:pStyle w:val="a3"/>
              <w:spacing w:before="0" w:beforeAutospacing="0" w:after="0" w:afterAutospacing="0"/>
              <w:jc w:val="right"/>
              <w:textAlignment w:val="center"/>
              <w:rPr>
                <w:rFonts w:hint="eastAsia"/>
              </w:rPr>
            </w:pPr>
            <w:r>
              <w:rPr>
                <w:rFonts w:hint="eastAsia"/>
                <w:color w:val="000000"/>
                <w:sz w:val="18"/>
                <w:szCs w:val="18"/>
              </w:rPr>
              <w:t xml:space="preserve"> 30.00 </w:t>
            </w:r>
          </w:p>
        </w:tc>
      </w:tr>
      <w:tr w:rsidR="00E72F0C" w14:paraId="36DF0D5B" w14:textId="77777777" w:rsidTr="00F84867">
        <w:trPr>
          <w:divId w:val="1254974027"/>
          <w:trHeight w:val="312"/>
        </w:trPr>
        <w:tc>
          <w:tcPr>
            <w:tcW w:w="752" w:type="pct"/>
            <w:noWrap/>
            <w:tcMar>
              <w:top w:w="12" w:type="dxa"/>
              <w:left w:w="12" w:type="dxa"/>
              <w:bottom w:w="0" w:type="dxa"/>
              <w:right w:w="12" w:type="dxa"/>
            </w:tcMar>
            <w:vAlign w:val="center"/>
            <w:hideMark/>
          </w:tcPr>
          <w:p w14:paraId="487CB278" w14:textId="77777777" w:rsidR="00E72F0C" w:rsidRDefault="00107901">
            <w:pPr>
              <w:pStyle w:val="a3"/>
              <w:spacing w:before="0" w:beforeAutospacing="0" w:after="0" w:afterAutospacing="0"/>
              <w:jc w:val="center"/>
              <w:textAlignment w:val="bottom"/>
              <w:rPr>
                <w:rFonts w:hint="eastAsia"/>
              </w:rPr>
            </w:pPr>
            <w:r>
              <w:rPr>
                <w:rFonts w:hint="eastAsia"/>
                <w:color w:val="000000"/>
                <w:sz w:val="18"/>
                <w:szCs w:val="18"/>
              </w:rPr>
              <w:t>逾期3-4年</w:t>
            </w:r>
          </w:p>
        </w:tc>
        <w:tc>
          <w:tcPr>
            <w:tcW w:w="778" w:type="pct"/>
            <w:noWrap/>
            <w:tcMar>
              <w:top w:w="12" w:type="dxa"/>
              <w:left w:w="12" w:type="dxa"/>
              <w:bottom w:w="0" w:type="dxa"/>
              <w:right w:w="12" w:type="dxa"/>
            </w:tcMar>
            <w:vAlign w:val="center"/>
            <w:hideMark/>
          </w:tcPr>
          <w:p w14:paraId="72D78114" w14:textId="77777777" w:rsidR="00E72F0C" w:rsidRDefault="00107901">
            <w:pPr>
              <w:pStyle w:val="a3"/>
              <w:spacing w:before="0" w:beforeAutospacing="0" w:after="0" w:afterAutospacing="0"/>
              <w:jc w:val="right"/>
              <w:textAlignment w:val="bottom"/>
              <w:rPr>
                <w:rFonts w:hint="eastAsia"/>
              </w:rPr>
            </w:pPr>
            <w:r>
              <w:rPr>
                <w:rFonts w:hint="eastAsia"/>
                <w:color w:val="000000"/>
                <w:sz w:val="18"/>
                <w:szCs w:val="18"/>
              </w:rPr>
              <w:t> </w:t>
            </w:r>
          </w:p>
        </w:tc>
        <w:tc>
          <w:tcPr>
            <w:tcW w:w="759" w:type="pct"/>
            <w:tcMar>
              <w:top w:w="12" w:type="dxa"/>
              <w:left w:w="12" w:type="dxa"/>
              <w:bottom w:w="0" w:type="dxa"/>
              <w:right w:w="12" w:type="dxa"/>
            </w:tcMar>
            <w:vAlign w:val="center"/>
            <w:hideMark/>
          </w:tcPr>
          <w:p w14:paraId="507FD426" w14:textId="77777777" w:rsidR="00E72F0C" w:rsidRDefault="00107901">
            <w:pPr>
              <w:pStyle w:val="a3"/>
              <w:spacing w:before="0" w:beforeAutospacing="0" w:after="0" w:afterAutospacing="0"/>
              <w:jc w:val="right"/>
              <w:textAlignment w:val="bottom"/>
              <w:rPr>
                <w:rFonts w:hint="eastAsia"/>
              </w:rPr>
            </w:pPr>
            <w:r>
              <w:rPr>
                <w:rFonts w:hint="eastAsia"/>
                <w:color w:val="000000"/>
                <w:sz w:val="18"/>
                <w:szCs w:val="18"/>
              </w:rPr>
              <w:t> </w:t>
            </w:r>
          </w:p>
        </w:tc>
        <w:tc>
          <w:tcPr>
            <w:tcW w:w="606" w:type="pct"/>
            <w:tcMar>
              <w:top w:w="12" w:type="dxa"/>
              <w:left w:w="12" w:type="dxa"/>
              <w:bottom w:w="0" w:type="dxa"/>
              <w:right w:w="12" w:type="dxa"/>
            </w:tcMar>
            <w:vAlign w:val="center"/>
            <w:hideMark/>
          </w:tcPr>
          <w:p w14:paraId="52FAA79F" w14:textId="77777777" w:rsidR="00E72F0C" w:rsidRDefault="00107901">
            <w:pPr>
              <w:pStyle w:val="a3"/>
              <w:spacing w:before="0" w:beforeAutospacing="0" w:after="0" w:afterAutospacing="0"/>
              <w:jc w:val="right"/>
              <w:textAlignment w:val="center"/>
              <w:rPr>
                <w:rFonts w:hint="eastAsia"/>
              </w:rPr>
            </w:pPr>
            <w:r>
              <w:rPr>
                <w:rFonts w:hint="eastAsia"/>
                <w:color w:val="000000"/>
                <w:sz w:val="18"/>
                <w:szCs w:val="18"/>
              </w:rPr>
              <w:t> </w:t>
            </w:r>
          </w:p>
        </w:tc>
        <w:tc>
          <w:tcPr>
            <w:tcW w:w="805" w:type="pct"/>
            <w:noWrap/>
            <w:tcMar>
              <w:top w:w="12" w:type="dxa"/>
              <w:left w:w="12" w:type="dxa"/>
              <w:bottom w:w="0" w:type="dxa"/>
              <w:right w:w="12" w:type="dxa"/>
            </w:tcMar>
            <w:vAlign w:val="center"/>
            <w:hideMark/>
          </w:tcPr>
          <w:p w14:paraId="74FD553A" w14:textId="77777777" w:rsidR="00E72F0C" w:rsidRDefault="00107901">
            <w:pPr>
              <w:pStyle w:val="a3"/>
              <w:spacing w:before="0" w:beforeAutospacing="0" w:after="0" w:afterAutospacing="0"/>
              <w:jc w:val="right"/>
              <w:textAlignment w:val="bottom"/>
              <w:rPr>
                <w:rFonts w:hint="eastAsia"/>
              </w:rPr>
            </w:pPr>
            <w:r>
              <w:rPr>
                <w:rFonts w:hint="eastAsia"/>
                <w:color w:val="000000"/>
                <w:sz w:val="18"/>
                <w:szCs w:val="18"/>
              </w:rPr>
              <w:t xml:space="preserve">1,011,680.01 </w:t>
            </w:r>
          </w:p>
        </w:tc>
        <w:tc>
          <w:tcPr>
            <w:tcW w:w="695" w:type="pct"/>
            <w:tcMar>
              <w:top w:w="12" w:type="dxa"/>
              <w:left w:w="12" w:type="dxa"/>
              <w:bottom w:w="0" w:type="dxa"/>
              <w:right w:w="12" w:type="dxa"/>
            </w:tcMar>
            <w:vAlign w:val="center"/>
            <w:hideMark/>
          </w:tcPr>
          <w:p w14:paraId="35BB8370" w14:textId="77777777" w:rsidR="00E72F0C" w:rsidRDefault="00107901">
            <w:pPr>
              <w:pStyle w:val="a3"/>
              <w:spacing w:before="0" w:beforeAutospacing="0" w:after="0" w:afterAutospacing="0"/>
              <w:jc w:val="right"/>
              <w:textAlignment w:val="bottom"/>
              <w:rPr>
                <w:rFonts w:hint="eastAsia"/>
              </w:rPr>
            </w:pPr>
            <w:r>
              <w:rPr>
                <w:rFonts w:hint="eastAsia"/>
                <w:color w:val="000000"/>
                <w:sz w:val="18"/>
                <w:szCs w:val="18"/>
              </w:rPr>
              <w:t xml:space="preserve">1,011,680.01 </w:t>
            </w:r>
          </w:p>
        </w:tc>
        <w:tc>
          <w:tcPr>
            <w:tcW w:w="604" w:type="pct"/>
            <w:tcMar>
              <w:top w:w="12" w:type="dxa"/>
              <w:left w:w="12" w:type="dxa"/>
              <w:bottom w:w="0" w:type="dxa"/>
              <w:right w:w="12" w:type="dxa"/>
            </w:tcMar>
            <w:vAlign w:val="center"/>
            <w:hideMark/>
          </w:tcPr>
          <w:p w14:paraId="75AE32C8" w14:textId="77777777" w:rsidR="00E72F0C" w:rsidRDefault="00107901">
            <w:pPr>
              <w:pStyle w:val="a3"/>
              <w:spacing w:before="0" w:beforeAutospacing="0" w:after="0" w:afterAutospacing="0"/>
              <w:jc w:val="right"/>
              <w:textAlignment w:val="center"/>
              <w:rPr>
                <w:rFonts w:hint="eastAsia"/>
              </w:rPr>
            </w:pPr>
            <w:r>
              <w:rPr>
                <w:rFonts w:hint="eastAsia"/>
                <w:color w:val="000000"/>
                <w:sz w:val="18"/>
                <w:szCs w:val="18"/>
              </w:rPr>
              <w:t xml:space="preserve"> 100.00 </w:t>
            </w:r>
          </w:p>
        </w:tc>
      </w:tr>
      <w:tr w:rsidR="00E72F0C" w14:paraId="281FB0CF" w14:textId="77777777" w:rsidTr="00F84867">
        <w:trPr>
          <w:divId w:val="1254974027"/>
          <w:trHeight w:val="312"/>
        </w:trPr>
        <w:tc>
          <w:tcPr>
            <w:tcW w:w="752" w:type="pct"/>
            <w:noWrap/>
            <w:tcMar>
              <w:top w:w="12" w:type="dxa"/>
              <w:left w:w="12" w:type="dxa"/>
              <w:bottom w:w="0" w:type="dxa"/>
              <w:right w:w="12" w:type="dxa"/>
            </w:tcMar>
            <w:vAlign w:val="center"/>
            <w:hideMark/>
          </w:tcPr>
          <w:p w14:paraId="261028B6" w14:textId="77777777" w:rsidR="00E72F0C" w:rsidRDefault="00107901">
            <w:pPr>
              <w:pStyle w:val="a3"/>
              <w:spacing w:before="0" w:beforeAutospacing="0" w:after="0" w:afterAutospacing="0"/>
              <w:jc w:val="center"/>
              <w:textAlignment w:val="bottom"/>
              <w:rPr>
                <w:rFonts w:hint="eastAsia"/>
              </w:rPr>
            </w:pPr>
            <w:r>
              <w:rPr>
                <w:rFonts w:hint="eastAsia"/>
                <w:color w:val="000000"/>
                <w:sz w:val="18"/>
                <w:szCs w:val="18"/>
              </w:rPr>
              <w:t>逾期4年以上</w:t>
            </w:r>
          </w:p>
        </w:tc>
        <w:tc>
          <w:tcPr>
            <w:tcW w:w="778" w:type="pct"/>
            <w:noWrap/>
            <w:tcMar>
              <w:top w:w="12" w:type="dxa"/>
              <w:left w:w="12" w:type="dxa"/>
              <w:bottom w:w="0" w:type="dxa"/>
              <w:right w:w="12" w:type="dxa"/>
            </w:tcMar>
            <w:vAlign w:val="center"/>
            <w:hideMark/>
          </w:tcPr>
          <w:p w14:paraId="54F6A0FD" w14:textId="77777777" w:rsidR="00E72F0C" w:rsidRDefault="00107901">
            <w:pPr>
              <w:pStyle w:val="a3"/>
              <w:spacing w:before="0" w:beforeAutospacing="0" w:after="0" w:afterAutospacing="0"/>
              <w:jc w:val="right"/>
              <w:textAlignment w:val="bottom"/>
              <w:rPr>
                <w:rFonts w:hint="eastAsia"/>
              </w:rPr>
            </w:pPr>
            <w:r>
              <w:rPr>
                <w:rFonts w:hint="eastAsia"/>
                <w:color w:val="000000"/>
                <w:sz w:val="18"/>
                <w:szCs w:val="18"/>
              </w:rPr>
              <w:t> </w:t>
            </w:r>
          </w:p>
        </w:tc>
        <w:tc>
          <w:tcPr>
            <w:tcW w:w="759" w:type="pct"/>
            <w:tcMar>
              <w:top w:w="12" w:type="dxa"/>
              <w:left w:w="12" w:type="dxa"/>
              <w:bottom w:w="0" w:type="dxa"/>
              <w:right w:w="12" w:type="dxa"/>
            </w:tcMar>
            <w:vAlign w:val="center"/>
            <w:hideMark/>
          </w:tcPr>
          <w:p w14:paraId="148ADFB5" w14:textId="77777777" w:rsidR="00E72F0C" w:rsidRDefault="00107901">
            <w:pPr>
              <w:pStyle w:val="a3"/>
              <w:spacing w:before="0" w:beforeAutospacing="0" w:after="0" w:afterAutospacing="0"/>
              <w:jc w:val="right"/>
              <w:textAlignment w:val="bottom"/>
              <w:rPr>
                <w:rFonts w:hint="eastAsia"/>
              </w:rPr>
            </w:pPr>
            <w:r>
              <w:rPr>
                <w:rFonts w:hint="eastAsia"/>
                <w:color w:val="000000"/>
                <w:sz w:val="18"/>
                <w:szCs w:val="18"/>
              </w:rPr>
              <w:t> </w:t>
            </w:r>
          </w:p>
        </w:tc>
        <w:tc>
          <w:tcPr>
            <w:tcW w:w="606" w:type="pct"/>
            <w:tcMar>
              <w:top w:w="12" w:type="dxa"/>
              <w:left w:w="12" w:type="dxa"/>
              <w:bottom w:w="0" w:type="dxa"/>
              <w:right w:w="12" w:type="dxa"/>
            </w:tcMar>
            <w:vAlign w:val="center"/>
            <w:hideMark/>
          </w:tcPr>
          <w:p w14:paraId="2EB4D568" w14:textId="77777777" w:rsidR="00E72F0C" w:rsidRDefault="00107901">
            <w:pPr>
              <w:pStyle w:val="a3"/>
              <w:spacing w:before="0" w:beforeAutospacing="0" w:after="0" w:afterAutospacing="0"/>
              <w:jc w:val="right"/>
              <w:textAlignment w:val="center"/>
              <w:rPr>
                <w:rFonts w:hint="eastAsia"/>
              </w:rPr>
            </w:pPr>
            <w:r>
              <w:rPr>
                <w:rFonts w:hint="eastAsia"/>
                <w:color w:val="000000"/>
                <w:sz w:val="18"/>
                <w:szCs w:val="18"/>
              </w:rPr>
              <w:t> </w:t>
            </w:r>
          </w:p>
        </w:tc>
        <w:tc>
          <w:tcPr>
            <w:tcW w:w="805" w:type="pct"/>
            <w:noWrap/>
            <w:tcMar>
              <w:top w:w="12" w:type="dxa"/>
              <w:left w:w="12" w:type="dxa"/>
              <w:bottom w:w="0" w:type="dxa"/>
              <w:right w:w="12" w:type="dxa"/>
            </w:tcMar>
            <w:vAlign w:val="center"/>
            <w:hideMark/>
          </w:tcPr>
          <w:p w14:paraId="6A6BC887" w14:textId="77777777" w:rsidR="00E72F0C" w:rsidRDefault="00107901">
            <w:pPr>
              <w:pStyle w:val="a3"/>
              <w:spacing w:before="0" w:beforeAutospacing="0" w:after="0" w:afterAutospacing="0"/>
              <w:jc w:val="right"/>
              <w:textAlignment w:val="bottom"/>
              <w:rPr>
                <w:rFonts w:hint="eastAsia"/>
              </w:rPr>
            </w:pPr>
            <w:r>
              <w:rPr>
                <w:rFonts w:hint="eastAsia"/>
                <w:color w:val="000000"/>
                <w:sz w:val="18"/>
                <w:szCs w:val="18"/>
              </w:rPr>
              <w:t xml:space="preserve">584,523.32 </w:t>
            </w:r>
          </w:p>
        </w:tc>
        <w:tc>
          <w:tcPr>
            <w:tcW w:w="695" w:type="pct"/>
            <w:tcMar>
              <w:top w:w="12" w:type="dxa"/>
              <w:left w:w="12" w:type="dxa"/>
              <w:bottom w:w="0" w:type="dxa"/>
              <w:right w:w="12" w:type="dxa"/>
            </w:tcMar>
            <w:vAlign w:val="center"/>
            <w:hideMark/>
          </w:tcPr>
          <w:p w14:paraId="43F8C367" w14:textId="77777777" w:rsidR="00E72F0C" w:rsidRDefault="00107901">
            <w:pPr>
              <w:pStyle w:val="a3"/>
              <w:spacing w:before="0" w:beforeAutospacing="0" w:after="0" w:afterAutospacing="0"/>
              <w:jc w:val="right"/>
              <w:textAlignment w:val="bottom"/>
              <w:rPr>
                <w:rFonts w:hint="eastAsia"/>
              </w:rPr>
            </w:pPr>
            <w:r>
              <w:rPr>
                <w:rFonts w:hint="eastAsia"/>
                <w:color w:val="000000"/>
                <w:sz w:val="18"/>
                <w:szCs w:val="18"/>
              </w:rPr>
              <w:t xml:space="preserve">584,523.32 </w:t>
            </w:r>
          </w:p>
        </w:tc>
        <w:tc>
          <w:tcPr>
            <w:tcW w:w="604" w:type="pct"/>
            <w:tcMar>
              <w:top w:w="12" w:type="dxa"/>
              <w:left w:w="12" w:type="dxa"/>
              <w:bottom w:w="0" w:type="dxa"/>
              <w:right w:w="12" w:type="dxa"/>
            </w:tcMar>
            <w:vAlign w:val="center"/>
            <w:hideMark/>
          </w:tcPr>
          <w:p w14:paraId="396D1086" w14:textId="77777777" w:rsidR="00E72F0C" w:rsidRDefault="00107901">
            <w:pPr>
              <w:pStyle w:val="a3"/>
              <w:spacing w:before="0" w:beforeAutospacing="0" w:after="0" w:afterAutospacing="0"/>
              <w:jc w:val="right"/>
              <w:textAlignment w:val="center"/>
              <w:rPr>
                <w:rFonts w:hint="eastAsia"/>
              </w:rPr>
            </w:pPr>
            <w:r>
              <w:rPr>
                <w:rFonts w:hint="eastAsia"/>
                <w:color w:val="000000"/>
                <w:sz w:val="18"/>
                <w:szCs w:val="18"/>
              </w:rPr>
              <w:t xml:space="preserve"> 100.00 </w:t>
            </w:r>
          </w:p>
        </w:tc>
      </w:tr>
      <w:tr w:rsidR="00E72F0C" w14:paraId="4DDCF2F5" w14:textId="77777777" w:rsidTr="00F84867">
        <w:trPr>
          <w:divId w:val="1254974027"/>
          <w:trHeight w:val="327"/>
        </w:trPr>
        <w:tc>
          <w:tcPr>
            <w:tcW w:w="752" w:type="pct"/>
            <w:noWrap/>
            <w:tcMar>
              <w:top w:w="12" w:type="dxa"/>
              <w:left w:w="12" w:type="dxa"/>
              <w:bottom w:w="0" w:type="dxa"/>
              <w:right w:w="12" w:type="dxa"/>
            </w:tcMar>
            <w:vAlign w:val="center"/>
            <w:hideMark/>
          </w:tcPr>
          <w:p w14:paraId="62CEBDA7" w14:textId="77777777" w:rsidR="00E72F0C" w:rsidRDefault="00107901">
            <w:pPr>
              <w:pStyle w:val="a3"/>
              <w:spacing w:before="0" w:beforeAutospacing="0" w:after="0" w:afterAutospacing="0"/>
              <w:jc w:val="center"/>
              <w:textAlignment w:val="bottom"/>
              <w:rPr>
                <w:rFonts w:hint="eastAsia"/>
              </w:rPr>
            </w:pPr>
            <w:r>
              <w:rPr>
                <w:rFonts w:hint="eastAsia"/>
                <w:color w:val="000000"/>
                <w:sz w:val="18"/>
                <w:szCs w:val="18"/>
              </w:rPr>
              <w:t>合计</w:t>
            </w:r>
          </w:p>
        </w:tc>
        <w:tc>
          <w:tcPr>
            <w:tcW w:w="778" w:type="pct"/>
            <w:noWrap/>
            <w:tcMar>
              <w:top w:w="12" w:type="dxa"/>
              <w:left w:w="12" w:type="dxa"/>
              <w:bottom w:w="0" w:type="dxa"/>
              <w:right w:w="12" w:type="dxa"/>
            </w:tcMar>
            <w:vAlign w:val="center"/>
            <w:hideMark/>
          </w:tcPr>
          <w:p w14:paraId="304EA24F" w14:textId="77777777" w:rsidR="00E72F0C" w:rsidRDefault="00107901">
            <w:pPr>
              <w:pStyle w:val="a3"/>
              <w:spacing w:before="0" w:beforeAutospacing="0" w:after="0" w:afterAutospacing="0"/>
              <w:jc w:val="right"/>
              <w:rPr>
                <w:rFonts w:hint="eastAsia"/>
              </w:rPr>
            </w:pPr>
            <w:r>
              <w:rPr>
                <w:rFonts w:hint="eastAsia"/>
                <w:sz w:val="18"/>
                <w:szCs w:val="18"/>
              </w:rPr>
              <w:t>224,201,966.06</w:t>
            </w:r>
          </w:p>
        </w:tc>
        <w:tc>
          <w:tcPr>
            <w:tcW w:w="759" w:type="pct"/>
            <w:noWrap/>
            <w:tcMar>
              <w:top w:w="12" w:type="dxa"/>
              <w:left w:w="12" w:type="dxa"/>
              <w:bottom w:w="0" w:type="dxa"/>
              <w:right w:w="12" w:type="dxa"/>
            </w:tcMar>
            <w:vAlign w:val="center"/>
            <w:hideMark/>
          </w:tcPr>
          <w:p w14:paraId="53B58717" w14:textId="77777777" w:rsidR="00E72F0C" w:rsidRDefault="00107901">
            <w:pPr>
              <w:pStyle w:val="a3"/>
              <w:spacing w:before="0" w:beforeAutospacing="0" w:after="0" w:afterAutospacing="0"/>
              <w:jc w:val="right"/>
              <w:rPr>
                <w:rFonts w:hint="eastAsia"/>
              </w:rPr>
            </w:pPr>
            <w:r>
              <w:rPr>
                <w:rFonts w:hint="eastAsia"/>
                <w:sz w:val="18"/>
                <w:szCs w:val="18"/>
              </w:rPr>
              <w:t>5,005,804.53</w:t>
            </w:r>
          </w:p>
        </w:tc>
        <w:tc>
          <w:tcPr>
            <w:tcW w:w="606" w:type="pct"/>
            <w:tcMar>
              <w:top w:w="12" w:type="dxa"/>
              <w:left w:w="12" w:type="dxa"/>
              <w:bottom w:w="0" w:type="dxa"/>
              <w:right w:w="12" w:type="dxa"/>
            </w:tcMar>
            <w:vAlign w:val="center"/>
            <w:hideMark/>
          </w:tcPr>
          <w:p w14:paraId="760C67C0" w14:textId="77777777" w:rsidR="00E72F0C" w:rsidRDefault="00107901">
            <w:pPr>
              <w:pStyle w:val="a3"/>
              <w:spacing w:before="0" w:beforeAutospacing="0" w:after="0" w:afterAutospacing="0"/>
              <w:jc w:val="right"/>
              <w:rPr>
                <w:rFonts w:hint="eastAsia"/>
              </w:rPr>
            </w:pPr>
            <w:r>
              <w:rPr>
                <w:rFonts w:hint="eastAsia"/>
                <w:color w:val="000000"/>
                <w:sz w:val="18"/>
                <w:szCs w:val="18"/>
              </w:rPr>
              <w:t> </w:t>
            </w:r>
          </w:p>
        </w:tc>
        <w:tc>
          <w:tcPr>
            <w:tcW w:w="805" w:type="pct"/>
            <w:noWrap/>
            <w:tcMar>
              <w:top w:w="12" w:type="dxa"/>
              <w:left w:w="12" w:type="dxa"/>
              <w:bottom w:w="0" w:type="dxa"/>
              <w:right w:w="12" w:type="dxa"/>
            </w:tcMar>
            <w:vAlign w:val="center"/>
            <w:hideMark/>
          </w:tcPr>
          <w:p w14:paraId="54F52E41" w14:textId="77777777" w:rsidR="00E72F0C" w:rsidRDefault="00107901">
            <w:pPr>
              <w:pStyle w:val="a3"/>
              <w:spacing w:before="0" w:beforeAutospacing="0" w:after="0" w:afterAutospacing="0"/>
              <w:jc w:val="right"/>
              <w:textAlignment w:val="bottom"/>
              <w:rPr>
                <w:rFonts w:hint="eastAsia"/>
              </w:rPr>
            </w:pPr>
            <w:r>
              <w:rPr>
                <w:rFonts w:hint="eastAsia"/>
                <w:color w:val="000000"/>
                <w:sz w:val="18"/>
                <w:szCs w:val="18"/>
              </w:rPr>
              <w:t xml:space="preserve">212,419,097.20 </w:t>
            </w:r>
          </w:p>
        </w:tc>
        <w:tc>
          <w:tcPr>
            <w:tcW w:w="695" w:type="pct"/>
            <w:noWrap/>
            <w:tcMar>
              <w:top w:w="12" w:type="dxa"/>
              <w:left w:w="12" w:type="dxa"/>
              <w:bottom w:w="0" w:type="dxa"/>
              <w:right w:w="12" w:type="dxa"/>
            </w:tcMar>
            <w:vAlign w:val="center"/>
            <w:hideMark/>
          </w:tcPr>
          <w:p w14:paraId="5CFC570B" w14:textId="77777777" w:rsidR="00E72F0C" w:rsidRDefault="00107901">
            <w:pPr>
              <w:pStyle w:val="a3"/>
              <w:spacing w:before="0" w:beforeAutospacing="0" w:after="0" w:afterAutospacing="0"/>
              <w:jc w:val="right"/>
              <w:textAlignment w:val="bottom"/>
              <w:rPr>
                <w:rFonts w:hint="eastAsia"/>
              </w:rPr>
            </w:pPr>
            <w:r>
              <w:rPr>
                <w:rFonts w:hint="eastAsia"/>
                <w:color w:val="000000"/>
                <w:sz w:val="18"/>
                <w:szCs w:val="18"/>
              </w:rPr>
              <w:t xml:space="preserve">17,757,022.58 </w:t>
            </w:r>
          </w:p>
        </w:tc>
        <w:tc>
          <w:tcPr>
            <w:tcW w:w="604" w:type="pct"/>
            <w:tcMar>
              <w:top w:w="12" w:type="dxa"/>
              <w:left w:w="12" w:type="dxa"/>
              <w:bottom w:w="0" w:type="dxa"/>
              <w:right w:w="12" w:type="dxa"/>
            </w:tcMar>
            <w:vAlign w:val="center"/>
            <w:hideMark/>
          </w:tcPr>
          <w:p w14:paraId="57A41C42" w14:textId="77777777" w:rsidR="00E72F0C" w:rsidRDefault="00107901">
            <w:pPr>
              <w:pStyle w:val="a3"/>
              <w:spacing w:before="0" w:beforeAutospacing="0" w:after="0" w:afterAutospacing="0"/>
              <w:jc w:val="right"/>
              <w:rPr>
                <w:rFonts w:hint="eastAsia"/>
              </w:rPr>
            </w:pPr>
            <w:r>
              <w:rPr>
                <w:rFonts w:hint="eastAsia"/>
                <w:color w:val="000000"/>
                <w:sz w:val="18"/>
                <w:szCs w:val="18"/>
              </w:rPr>
              <w:t> </w:t>
            </w:r>
          </w:p>
        </w:tc>
      </w:tr>
    </w:tbl>
    <w:p w14:paraId="2664E5A2"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如是按照预期信用损失一般模型计提应收账款坏账准备：</w:t>
      </w:r>
    </w:p>
    <w:p w14:paraId="07CA4D6C"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708EC57"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395" w:name="_Toc989285"/>
      <w:r>
        <w:rPr>
          <w:rFonts w:ascii="宋体" w:eastAsia="宋体" w:hAnsi="宋体" w:cs="宋体"/>
          <w:b/>
          <w:bCs/>
          <w:szCs w:val="21"/>
        </w:rPr>
        <w:t>（3） 本期计提、收回或转回的坏账准备情况</w:t>
      </w:r>
      <w:bookmarkEnd w:id="395"/>
    </w:p>
    <w:p w14:paraId="2C5FCA15"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本期计提坏账准备情况：</w:t>
      </w:r>
    </w:p>
    <w:p w14:paraId="71D8407F"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81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377"/>
        <w:gridCol w:w="1631"/>
        <w:gridCol w:w="1559"/>
        <w:gridCol w:w="1377"/>
        <w:gridCol w:w="1600"/>
        <w:gridCol w:w="709"/>
        <w:gridCol w:w="1559"/>
      </w:tblGrid>
      <w:tr w:rsidR="00632E5B" w14:paraId="78A8010E" w14:textId="77777777" w:rsidTr="008B6556">
        <w:trPr>
          <w:trHeight w:val="240"/>
        </w:trPr>
        <w:tc>
          <w:tcPr>
            <w:tcW w:w="1377" w:type="dxa"/>
            <w:vMerge w:val="restart"/>
            <w:shd w:val="clear" w:color="auto" w:fill="FFFFFF" w:themeFill="background1"/>
            <w:vAlign w:val="center"/>
          </w:tcPr>
          <w:p w14:paraId="102F432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类别</w:t>
            </w:r>
          </w:p>
        </w:tc>
        <w:tc>
          <w:tcPr>
            <w:tcW w:w="1631" w:type="dxa"/>
            <w:vMerge w:val="restart"/>
            <w:shd w:val="clear" w:color="auto" w:fill="FFFFFF" w:themeFill="background1"/>
            <w:vAlign w:val="center"/>
          </w:tcPr>
          <w:p w14:paraId="0030AC5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5245" w:type="dxa"/>
            <w:gridSpan w:val="4"/>
            <w:shd w:val="clear" w:color="auto" w:fill="FFFFFF" w:themeFill="background1"/>
            <w:vAlign w:val="center"/>
          </w:tcPr>
          <w:p w14:paraId="6650C97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本期变动金额</w:t>
            </w:r>
          </w:p>
        </w:tc>
        <w:tc>
          <w:tcPr>
            <w:tcW w:w="1559" w:type="dxa"/>
            <w:shd w:val="clear" w:color="auto" w:fill="FFFFFF" w:themeFill="background1"/>
            <w:vAlign w:val="center"/>
          </w:tcPr>
          <w:p w14:paraId="444DD31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632E5B" w14:paraId="3575B7A0" w14:textId="77777777" w:rsidTr="008B6556">
        <w:trPr>
          <w:trHeight w:val="240"/>
        </w:trPr>
        <w:tc>
          <w:tcPr>
            <w:tcW w:w="1377" w:type="dxa"/>
            <w:vMerge/>
            <w:shd w:val="clear" w:color="auto" w:fill="FFFFFF" w:themeFill="background1"/>
            <w:vAlign w:val="center"/>
          </w:tcPr>
          <w:p w14:paraId="603D5EE9" w14:textId="77777777" w:rsidR="00632E5B" w:rsidRDefault="00632E5B"/>
        </w:tc>
        <w:tc>
          <w:tcPr>
            <w:tcW w:w="1631" w:type="dxa"/>
            <w:vMerge/>
            <w:shd w:val="clear" w:color="auto" w:fill="FFFFFF" w:themeFill="background1"/>
            <w:vAlign w:val="center"/>
          </w:tcPr>
          <w:p w14:paraId="2D6EEEFB" w14:textId="77777777" w:rsidR="00632E5B" w:rsidRDefault="00632E5B"/>
        </w:tc>
        <w:tc>
          <w:tcPr>
            <w:tcW w:w="1559" w:type="dxa"/>
            <w:shd w:val="clear" w:color="auto" w:fill="FFFFFF" w:themeFill="background1"/>
            <w:vAlign w:val="center"/>
          </w:tcPr>
          <w:p w14:paraId="13D2E0F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w:t>
            </w:r>
          </w:p>
        </w:tc>
        <w:tc>
          <w:tcPr>
            <w:tcW w:w="1377" w:type="dxa"/>
            <w:shd w:val="clear" w:color="auto" w:fill="FFFFFF" w:themeFill="background1"/>
            <w:vAlign w:val="center"/>
          </w:tcPr>
          <w:p w14:paraId="1C0D05A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收回或转回</w:t>
            </w:r>
          </w:p>
        </w:tc>
        <w:tc>
          <w:tcPr>
            <w:tcW w:w="1600" w:type="dxa"/>
            <w:shd w:val="clear" w:color="auto" w:fill="FFFFFF" w:themeFill="background1"/>
            <w:vAlign w:val="center"/>
          </w:tcPr>
          <w:p w14:paraId="3A9F7C3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核销</w:t>
            </w:r>
          </w:p>
        </w:tc>
        <w:tc>
          <w:tcPr>
            <w:tcW w:w="709" w:type="dxa"/>
            <w:shd w:val="clear" w:color="auto" w:fill="FFFFFF" w:themeFill="background1"/>
            <w:vAlign w:val="center"/>
          </w:tcPr>
          <w:p w14:paraId="136C1C1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1559" w:type="dxa"/>
            <w:shd w:val="clear" w:color="auto" w:fill="FFFFFF" w:themeFill="background1"/>
            <w:vAlign w:val="center"/>
          </w:tcPr>
          <w:p w14:paraId="357DC830" w14:textId="77777777" w:rsidR="00632E5B" w:rsidRDefault="00632E5B"/>
        </w:tc>
      </w:tr>
      <w:tr w:rsidR="00632E5B" w14:paraId="04689983" w14:textId="77777777" w:rsidTr="008B6556">
        <w:trPr>
          <w:trHeight w:val="240"/>
        </w:trPr>
        <w:tc>
          <w:tcPr>
            <w:tcW w:w="1377" w:type="dxa"/>
            <w:shd w:val="clear" w:color="auto" w:fill="FFFFFF" w:themeFill="background1"/>
            <w:vAlign w:val="center"/>
          </w:tcPr>
          <w:p w14:paraId="001234F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单项计提</w:t>
            </w:r>
          </w:p>
        </w:tc>
        <w:tc>
          <w:tcPr>
            <w:tcW w:w="1631" w:type="dxa"/>
            <w:shd w:val="clear" w:color="auto" w:fill="FFFFFF" w:themeFill="background1"/>
            <w:vAlign w:val="center"/>
          </w:tcPr>
          <w:p w14:paraId="5586B84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506,709,000.00</w:t>
            </w:r>
          </w:p>
        </w:tc>
        <w:tc>
          <w:tcPr>
            <w:tcW w:w="1559" w:type="dxa"/>
            <w:shd w:val="clear" w:color="auto" w:fill="FFFFFF" w:themeFill="background1"/>
            <w:vAlign w:val="center"/>
          </w:tcPr>
          <w:p w14:paraId="2C585FC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60,855,883.17</w:t>
            </w:r>
          </w:p>
        </w:tc>
        <w:tc>
          <w:tcPr>
            <w:tcW w:w="1377" w:type="dxa"/>
            <w:shd w:val="clear" w:color="auto" w:fill="FFFFFF" w:themeFill="background1"/>
            <w:vAlign w:val="center"/>
          </w:tcPr>
          <w:p w14:paraId="555E15B3" w14:textId="77777777" w:rsidR="00632E5B" w:rsidRDefault="00632E5B">
            <w:pPr>
              <w:spacing w:line="240" w:lineRule="exact"/>
              <w:jc w:val="right"/>
              <w:rPr>
                <w:rFonts w:ascii="宋体" w:eastAsia="宋体" w:hAnsi="宋体" w:cs="宋体" w:hint="eastAsia"/>
                <w:sz w:val="18"/>
                <w:szCs w:val="18"/>
              </w:rPr>
            </w:pPr>
          </w:p>
        </w:tc>
        <w:tc>
          <w:tcPr>
            <w:tcW w:w="1600" w:type="dxa"/>
            <w:shd w:val="clear" w:color="auto" w:fill="FFFFFF" w:themeFill="background1"/>
            <w:vAlign w:val="center"/>
          </w:tcPr>
          <w:p w14:paraId="157362C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506,709,000.00</w:t>
            </w:r>
          </w:p>
        </w:tc>
        <w:tc>
          <w:tcPr>
            <w:tcW w:w="709" w:type="dxa"/>
            <w:shd w:val="clear" w:color="auto" w:fill="FFFFFF" w:themeFill="background1"/>
            <w:vAlign w:val="center"/>
          </w:tcPr>
          <w:p w14:paraId="06A10B3E" w14:textId="77777777" w:rsidR="00632E5B" w:rsidRDefault="00632E5B">
            <w:pPr>
              <w:spacing w:line="240" w:lineRule="exact"/>
              <w:jc w:val="right"/>
              <w:rPr>
                <w:rFonts w:ascii="宋体" w:eastAsia="宋体" w:hAnsi="宋体" w:cs="宋体" w:hint="eastAsia"/>
                <w:sz w:val="18"/>
                <w:szCs w:val="18"/>
              </w:rPr>
            </w:pPr>
          </w:p>
        </w:tc>
        <w:tc>
          <w:tcPr>
            <w:tcW w:w="1559" w:type="dxa"/>
            <w:shd w:val="clear" w:color="auto" w:fill="FFFFFF" w:themeFill="background1"/>
            <w:vAlign w:val="center"/>
          </w:tcPr>
          <w:p w14:paraId="6B38FDA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60,855,883.17</w:t>
            </w:r>
          </w:p>
        </w:tc>
      </w:tr>
      <w:tr w:rsidR="00632E5B" w14:paraId="7A3A24C4" w14:textId="77777777" w:rsidTr="008B6556">
        <w:trPr>
          <w:trHeight w:val="240"/>
        </w:trPr>
        <w:tc>
          <w:tcPr>
            <w:tcW w:w="1377" w:type="dxa"/>
            <w:shd w:val="clear" w:color="auto" w:fill="FFFFFF" w:themeFill="background1"/>
            <w:vAlign w:val="center"/>
          </w:tcPr>
          <w:p w14:paraId="3BD5EAF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组合计提</w:t>
            </w:r>
          </w:p>
        </w:tc>
        <w:tc>
          <w:tcPr>
            <w:tcW w:w="1631" w:type="dxa"/>
            <w:shd w:val="clear" w:color="auto" w:fill="FFFFFF" w:themeFill="background1"/>
            <w:vAlign w:val="center"/>
          </w:tcPr>
          <w:p w14:paraId="18A3DE4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17,757,022.58</w:t>
            </w:r>
          </w:p>
        </w:tc>
        <w:tc>
          <w:tcPr>
            <w:tcW w:w="1559" w:type="dxa"/>
            <w:shd w:val="clear" w:color="auto" w:fill="FFFFFF" w:themeFill="background1"/>
            <w:vAlign w:val="center"/>
          </w:tcPr>
          <w:p w14:paraId="6193D7E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-12,479,535.43</w:t>
            </w:r>
          </w:p>
        </w:tc>
        <w:tc>
          <w:tcPr>
            <w:tcW w:w="1377" w:type="dxa"/>
            <w:shd w:val="clear" w:color="auto" w:fill="FFFFFF" w:themeFill="background1"/>
            <w:vAlign w:val="center"/>
          </w:tcPr>
          <w:p w14:paraId="7FCED85D" w14:textId="77777777" w:rsidR="00632E5B" w:rsidRDefault="00632E5B">
            <w:pPr>
              <w:spacing w:line="240" w:lineRule="exact"/>
              <w:jc w:val="right"/>
              <w:rPr>
                <w:rFonts w:ascii="宋体" w:eastAsia="宋体" w:hAnsi="宋体" w:cs="宋体" w:hint="eastAsia"/>
                <w:sz w:val="18"/>
                <w:szCs w:val="18"/>
              </w:rPr>
            </w:pPr>
          </w:p>
        </w:tc>
        <w:tc>
          <w:tcPr>
            <w:tcW w:w="1600" w:type="dxa"/>
            <w:shd w:val="clear" w:color="auto" w:fill="FFFFFF" w:themeFill="background1"/>
            <w:vAlign w:val="center"/>
          </w:tcPr>
          <w:p w14:paraId="3D4F560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271,682.62</w:t>
            </w:r>
          </w:p>
        </w:tc>
        <w:tc>
          <w:tcPr>
            <w:tcW w:w="709" w:type="dxa"/>
            <w:shd w:val="clear" w:color="auto" w:fill="FFFFFF" w:themeFill="background1"/>
            <w:vAlign w:val="center"/>
          </w:tcPr>
          <w:p w14:paraId="27A345B2" w14:textId="77777777" w:rsidR="00632E5B" w:rsidRDefault="00632E5B">
            <w:pPr>
              <w:spacing w:line="240" w:lineRule="exact"/>
              <w:jc w:val="right"/>
              <w:rPr>
                <w:rFonts w:ascii="宋体" w:eastAsia="宋体" w:hAnsi="宋体" w:cs="宋体" w:hint="eastAsia"/>
                <w:sz w:val="18"/>
                <w:szCs w:val="18"/>
              </w:rPr>
            </w:pPr>
          </w:p>
        </w:tc>
        <w:tc>
          <w:tcPr>
            <w:tcW w:w="1559" w:type="dxa"/>
            <w:shd w:val="clear" w:color="auto" w:fill="FFFFFF" w:themeFill="background1"/>
            <w:vAlign w:val="center"/>
          </w:tcPr>
          <w:p w14:paraId="3DB595A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5,005,804.53</w:t>
            </w:r>
          </w:p>
        </w:tc>
      </w:tr>
      <w:tr w:rsidR="00632E5B" w14:paraId="75889552" w14:textId="77777777" w:rsidTr="008B6556">
        <w:trPr>
          <w:trHeight w:val="240"/>
        </w:trPr>
        <w:tc>
          <w:tcPr>
            <w:tcW w:w="1377" w:type="dxa"/>
            <w:shd w:val="clear" w:color="auto" w:fill="FFFFFF" w:themeFill="background1"/>
            <w:vAlign w:val="center"/>
          </w:tcPr>
          <w:p w14:paraId="23A166E5"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631" w:type="dxa"/>
            <w:shd w:val="clear" w:color="auto" w:fill="FFFFFF" w:themeFill="background1"/>
            <w:vAlign w:val="center"/>
          </w:tcPr>
          <w:p w14:paraId="01F5240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524,466,022.58</w:t>
            </w:r>
          </w:p>
        </w:tc>
        <w:tc>
          <w:tcPr>
            <w:tcW w:w="1559" w:type="dxa"/>
            <w:shd w:val="clear" w:color="auto" w:fill="FFFFFF" w:themeFill="background1"/>
            <w:vAlign w:val="center"/>
          </w:tcPr>
          <w:p w14:paraId="3474DDC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48,376,347.74</w:t>
            </w:r>
          </w:p>
        </w:tc>
        <w:tc>
          <w:tcPr>
            <w:tcW w:w="1377" w:type="dxa"/>
            <w:shd w:val="clear" w:color="auto" w:fill="FFFFFF" w:themeFill="background1"/>
            <w:vAlign w:val="center"/>
          </w:tcPr>
          <w:p w14:paraId="026D6AC7" w14:textId="77777777" w:rsidR="00632E5B" w:rsidRDefault="00632E5B">
            <w:pPr>
              <w:spacing w:line="240" w:lineRule="exact"/>
              <w:jc w:val="right"/>
              <w:rPr>
                <w:rFonts w:ascii="宋体" w:eastAsia="宋体" w:hAnsi="宋体" w:cs="宋体" w:hint="eastAsia"/>
                <w:sz w:val="18"/>
                <w:szCs w:val="18"/>
              </w:rPr>
            </w:pPr>
          </w:p>
        </w:tc>
        <w:tc>
          <w:tcPr>
            <w:tcW w:w="1600" w:type="dxa"/>
            <w:shd w:val="clear" w:color="auto" w:fill="FFFFFF" w:themeFill="background1"/>
            <w:vAlign w:val="center"/>
          </w:tcPr>
          <w:p w14:paraId="3AA5F6F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506,980,682.62</w:t>
            </w:r>
          </w:p>
        </w:tc>
        <w:tc>
          <w:tcPr>
            <w:tcW w:w="709" w:type="dxa"/>
            <w:shd w:val="clear" w:color="auto" w:fill="FFFFFF" w:themeFill="background1"/>
            <w:vAlign w:val="center"/>
          </w:tcPr>
          <w:p w14:paraId="0C00FF37" w14:textId="77777777" w:rsidR="00632E5B" w:rsidRDefault="00632E5B">
            <w:pPr>
              <w:spacing w:line="240" w:lineRule="exact"/>
              <w:jc w:val="right"/>
              <w:rPr>
                <w:rFonts w:ascii="宋体" w:eastAsia="宋体" w:hAnsi="宋体" w:cs="宋体" w:hint="eastAsia"/>
                <w:sz w:val="18"/>
                <w:szCs w:val="18"/>
              </w:rPr>
            </w:pPr>
          </w:p>
        </w:tc>
        <w:tc>
          <w:tcPr>
            <w:tcW w:w="1559" w:type="dxa"/>
            <w:shd w:val="clear" w:color="auto" w:fill="FFFFFF" w:themeFill="background1"/>
            <w:vAlign w:val="center"/>
          </w:tcPr>
          <w:p w14:paraId="1D4B870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65,861,687.70</w:t>
            </w:r>
          </w:p>
        </w:tc>
      </w:tr>
    </w:tbl>
    <w:p w14:paraId="2D78373F"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396" w:name="_Toc989286"/>
      <w:r>
        <w:rPr>
          <w:rFonts w:ascii="宋体" w:eastAsia="宋体" w:hAnsi="宋体" w:cs="宋体"/>
          <w:b/>
          <w:bCs/>
          <w:szCs w:val="21"/>
        </w:rPr>
        <w:lastRenderedPageBreak/>
        <w:t>（4） 本期实际核销的应收账款情况</w:t>
      </w:r>
      <w:bookmarkEnd w:id="396"/>
    </w:p>
    <w:p w14:paraId="77EC3B62"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4820"/>
        <w:gridCol w:w="4819"/>
      </w:tblGrid>
      <w:tr w:rsidR="00632E5B" w14:paraId="2D6EAC41" w14:textId="77777777" w:rsidTr="008B6556">
        <w:trPr>
          <w:trHeight w:val="240"/>
        </w:trPr>
        <w:tc>
          <w:tcPr>
            <w:tcW w:w="4820" w:type="dxa"/>
            <w:shd w:val="clear" w:color="auto" w:fill="FFFFFF" w:themeFill="background1"/>
            <w:vAlign w:val="center"/>
          </w:tcPr>
          <w:p w14:paraId="3CAF141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4820" w:type="dxa"/>
            <w:shd w:val="clear" w:color="auto" w:fill="FFFFFF" w:themeFill="background1"/>
            <w:vAlign w:val="center"/>
          </w:tcPr>
          <w:p w14:paraId="23A2890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核销金额</w:t>
            </w:r>
          </w:p>
        </w:tc>
      </w:tr>
      <w:tr w:rsidR="00632E5B" w14:paraId="72FF6217" w14:textId="77777777" w:rsidTr="008B6556">
        <w:trPr>
          <w:trHeight w:val="240"/>
        </w:trPr>
        <w:tc>
          <w:tcPr>
            <w:tcW w:w="4820" w:type="dxa"/>
            <w:shd w:val="clear" w:color="auto" w:fill="FFFFFF" w:themeFill="background1"/>
            <w:vAlign w:val="center"/>
          </w:tcPr>
          <w:p w14:paraId="09D2F8A2"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实际核销的应收账款</w:t>
            </w:r>
          </w:p>
        </w:tc>
        <w:tc>
          <w:tcPr>
            <w:tcW w:w="4820" w:type="dxa"/>
            <w:shd w:val="clear" w:color="auto" w:fill="FFFFFF" w:themeFill="background1"/>
            <w:vAlign w:val="center"/>
          </w:tcPr>
          <w:p w14:paraId="7D99091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506,980,682.62</w:t>
            </w:r>
          </w:p>
        </w:tc>
      </w:tr>
    </w:tbl>
    <w:p w14:paraId="4A63145A"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其中重要的应收账款核销情况：</w:t>
      </w:r>
    </w:p>
    <w:p w14:paraId="56108E3F"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606"/>
        <w:gridCol w:w="1606"/>
        <w:gridCol w:w="1606"/>
        <w:gridCol w:w="1607"/>
        <w:gridCol w:w="1607"/>
        <w:gridCol w:w="1607"/>
      </w:tblGrid>
      <w:tr w:rsidR="00632E5B" w14:paraId="28725A42" w14:textId="77777777" w:rsidTr="008B6556">
        <w:trPr>
          <w:trHeight w:val="240"/>
        </w:trPr>
        <w:tc>
          <w:tcPr>
            <w:tcW w:w="1606" w:type="dxa"/>
            <w:shd w:val="clear" w:color="auto" w:fill="FFFFFF" w:themeFill="background1"/>
            <w:vAlign w:val="center"/>
          </w:tcPr>
          <w:p w14:paraId="542DE0A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单位名称</w:t>
            </w:r>
          </w:p>
        </w:tc>
        <w:tc>
          <w:tcPr>
            <w:tcW w:w="1606" w:type="dxa"/>
            <w:shd w:val="clear" w:color="auto" w:fill="FFFFFF" w:themeFill="background1"/>
            <w:vAlign w:val="center"/>
          </w:tcPr>
          <w:p w14:paraId="7F10315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应收账款性质</w:t>
            </w:r>
          </w:p>
        </w:tc>
        <w:tc>
          <w:tcPr>
            <w:tcW w:w="1606" w:type="dxa"/>
            <w:shd w:val="clear" w:color="auto" w:fill="FFFFFF" w:themeFill="background1"/>
            <w:vAlign w:val="center"/>
          </w:tcPr>
          <w:p w14:paraId="2B42E70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核销金额</w:t>
            </w:r>
          </w:p>
        </w:tc>
        <w:tc>
          <w:tcPr>
            <w:tcW w:w="1606" w:type="dxa"/>
            <w:shd w:val="clear" w:color="auto" w:fill="FFFFFF" w:themeFill="background1"/>
            <w:vAlign w:val="center"/>
          </w:tcPr>
          <w:p w14:paraId="40A59F0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核销原因</w:t>
            </w:r>
          </w:p>
        </w:tc>
        <w:tc>
          <w:tcPr>
            <w:tcW w:w="1606" w:type="dxa"/>
            <w:shd w:val="clear" w:color="auto" w:fill="FFFFFF" w:themeFill="background1"/>
            <w:vAlign w:val="center"/>
          </w:tcPr>
          <w:p w14:paraId="2CD2C52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履行的核销程序</w:t>
            </w:r>
          </w:p>
        </w:tc>
        <w:tc>
          <w:tcPr>
            <w:tcW w:w="1606" w:type="dxa"/>
            <w:shd w:val="clear" w:color="auto" w:fill="FFFFFF" w:themeFill="background1"/>
            <w:vAlign w:val="center"/>
          </w:tcPr>
          <w:p w14:paraId="2CE3564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款项是否由关联交易产生</w:t>
            </w:r>
          </w:p>
        </w:tc>
      </w:tr>
      <w:tr w:rsidR="00632E5B" w14:paraId="3FCC8DE8" w14:textId="77777777" w:rsidTr="008B6556">
        <w:trPr>
          <w:trHeight w:val="240"/>
        </w:trPr>
        <w:tc>
          <w:tcPr>
            <w:tcW w:w="1606" w:type="dxa"/>
            <w:shd w:val="clear" w:color="auto" w:fill="FFFFFF" w:themeFill="background1"/>
            <w:vAlign w:val="center"/>
          </w:tcPr>
          <w:p w14:paraId="45FD55B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客户20</w:t>
            </w:r>
          </w:p>
        </w:tc>
        <w:tc>
          <w:tcPr>
            <w:tcW w:w="1606" w:type="dxa"/>
            <w:shd w:val="clear" w:color="auto" w:fill="FFFFFF" w:themeFill="background1"/>
            <w:vAlign w:val="center"/>
          </w:tcPr>
          <w:p w14:paraId="22CF239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应收货款</w:t>
            </w:r>
          </w:p>
        </w:tc>
        <w:tc>
          <w:tcPr>
            <w:tcW w:w="1606" w:type="dxa"/>
            <w:shd w:val="clear" w:color="auto" w:fill="FFFFFF" w:themeFill="background1"/>
            <w:vAlign w:val="center"/>
          </w:tcPr>
          <w:p w14:paraId="7F95B30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506,709,000.00</w:t>
            </w:r>
          </w:p>
        </w:tc>
        <w:tc>
          <w:tcPr>
            <w:tcW w:w="1606" w:type="dxa"/>
            <w:shd w:val="clear" w:color="auto" w:fill="FFFFFF" w:themeFill="background1"/>
            <w:vAlign w:val="center"/>
          </w:tcPr>
          <w:p w14:paraId="2D01AC1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无法收回</w:t>
            </w:r>
          </w:p>
        </w:tc>
        <w:tc>
          <w:tcPr>
            <w:tcW w:w="1606" w:type="dxa"/>
            <w:shd w:val="clear" w:color="auto" w:fill="FFFFFF" w:themeFill="background1"/>
            <w:vAlign w:val="center"/>
          </w:tcPr>
          <w:p w14:paraId="3434EAE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第七届董事会第一次会议</w:t>
            </w:r>
          </w:p>
        </w:tc>
        <w:tc>
          <w:tcPr>
            <w:tcW w:w="1606" w:type="dxa"/>
            <w:shd w:val="clear" w:color="auto" w:fill="FFFFFF" w:themeFill="background1"/>
            <w:vAlign w:val="center"/>
          </w:tcPr>
          <w:p w14:paraId="6D25020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425299D6" w14:textId="77777777" w:rsidTr="008B6556">
        <w:trPr>
          <w:trHeight w:val="240"/>
        </w:trPr>
        <w:tc>
          <w:tcPr>
            <w:tcW w:w="1606" w:type="dxa"/>
            <w:shd w:val="clear" w:color="auto" w:fill="FFFFFF" w:themeFill="background1"/>
            <w:vAlign w:val="center"/>
          </w:tcPr>
          <w:p w14:paraId="256CC763"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606" w:type="dxa"/>
            <w:shd w:val="clear" w:color="auto" w:fill="FFFFFF" w:themeFill="background1"/>
            <w:vAlign w:val="center"/>
          </w:tcPr>
          <w:p w14:paraId="5929ED17" w14:textId="77777777" w:rsidR="00632E5B" w:rsidRDefault="00632E5B"/>
        </w:tc>
        <w:tc>
          <w:tcPr>
            <w:tcW w:w="1606" w:type="dxa"/>
            <w:shd w:val="clear" w:color="auto" w:fill="FFFFFF" w:themeFill="background1"/>
            <w:vAlign w:val="center"/>
          </w:tcPr>
          <w:p w14:paraId="38797A2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506,709,000.00</w:t>
            </w:r>
          </w:p>
        </w:tc>
        <w:tc>
          <w:tcPr>
            <w:tcW w:w="1606" w:type="dxa"/>
            <w:shd w:val="clear" w:color="auto" w:fill="FFFFFF" w:themeFill="background1"/>
            <w:vAlign w:val="center"/>
          </w:tcPr>
          <w:p w14:paraId="2750DCA0" w14:textId="77777777" w:rsidR="00632E5B" w:rsidRDefault="00632E5B"/>
        </w:tc>
        <w:tc>
          <w:tcPr>
            <w:tcW w:w="1606" w:type="dxa"/>
            <w:shd w:val="clear" w:color="auto" w:fill="FFFFFF" w:themeFill="background1"/>
            <w:vAlign w:val="center"/>
          </w:tcPr>
          <w:p w14:paraId="642CBC84" w14:textId="77777777" w:rsidR="00632E5B" w:rsidRDefault="00632E5B"/>
        </w:tc>
        <w:tc>
          <w:tcPr>
            <w:tcW w:w="1606" w:type="dxa"/>
            <w:shd w:val="clear" w:color="auto" w:fill="FFFFFF" w:themeFill="background1"/>
            <w:vAlign w:val="center"/>
          </w:tcPr>
          <w:p w14:paraId="2348FE5A" w14:textId="77777777" w:rsidR="00632E5B" w:rsidRDefault="00632E5B"/>
        </w:tc>
      </w:tr>
    </w:tbl>
    <w:p w14:paraId="26450B0E" w14:textId="77777777" w:rsidR="00632E5B" w:rsidRDefault="00107901">
      <w:pPr>
        <w:keepNext/>
        <w:keepLines/>
        <w:spacing w:before="300" w:after="300" w:line="280" w:lineRule="exact"/>
        <w:outlineLvl w:val="3"/>
        <w:rPr>
          <w:rFonts w:ascii="宋体" w:eastAsia="宋体" w:hAnsi="宋体" w:cs="宋体" w:hint="eastAsia"/>
          <w:b/>
          <w:bCs/>
          <w:szCs w:val="21"/>
        </w:rPr>
      </w:pPr>
      <w:bookmarkStart w:id="397" w:name="_Toc989287"/>
      <w:r>
        <w:rPr>
          <w:rFonts w:ascii="宋体" w:eastAsia="宋体" w:hAnsi="宋体" w:cs="宋体"/>
          <w:b/>
          <w:bCs/>
          <w:szCs w:val="21"/>
        </w:rPr>
        <w:t>（5） 按欠款方归集的期末余额前五名的应收账款和合同资产情况</w:t>
      </w:r>
      <w:bookmarkEnd w:id="397"/>
    </w:p>
    <w:p w14:paraId="41C5D022"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606"/>
        <w:gridCol w:w="1606"/>
        <w:gridCol w:w="1606"/>
        <w:gridCol w:w="1607"/>
        <w:gridCol w:w="1607"/>
        <w:gridCol w:w="1607"/>
      </w:tblGrid>
      <w:tr w:rsidR="00632E5B" w14:paraId="754A3E9E" w14:textId="77777777" w:rsidTr="008B6556">
        <w:trPr>
          <w:trHeight w:val="240"/>
        </w:trPr>
        <w:tc>
          <w:tcPr>
            <w:tcW w:w="1606" w:type="dxa"/>
            <w:shd w:val="clear" w:color="auto" w:fill="FFFFFF" w:themeFill="background1"/>
            <w:vAlign w:val="center"/>
          </w:tcPr>
          <w:p w14:paraId="5CCE7D1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单位名称</w:t>
            </w:r>
          </w:p>
        </w:tc>
        <w:tc>
          <w:tcPr>
            <w:tcW w:w="1606" w:type="dxa"/>
            <w:shd w:val="clear" w:color="auto" w:fill="FFFFFF" w:themeFill="background1"/>
            <w:vAlign w:val="center"/>
          </w:tcPr>
          <w:p w14:paraId="78A1EC4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应收账款期末余额</w:t>
            </w:r>
          </w:p>
        </w:tc>
        <w:tc>
          <w:tcPr>
            <w:tcW w:w="1606" w:type="dxa"/>
            <w:shd w:val="clear" w:color="auto" w:fill="FFFFFF" w:themeFill="background1"/>
            <w:vAlign w:val="center"/>
          </w:tcPr>
          <w:p w14:paraId="76F1D1C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合同资产期末余额</w:t>
            </w:r>
          </w:p>
        </w:tc>
        <w:tc>
          <w:tcPr>
            <w:tcW w:w="1606" w:type="dxa"/>
            <w:shd w:val="clear" w:color="auto" w:fill="FFFFFF" w:themeFill="background1"/>
            <w:vAlign w:val="center"/>
          </w:tcPr>
          <w:p w14:paraId="3609C0D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应收账款和合同资产期末余额</w:t>
            </w:r>
          </w:p>
        </w:tc>
        <w:tc>
          <w:tcPr>
            <w:tcW w:w="1606" w:type="dxa"/>
            <w:shd w:val="clear" w:color="auto" w:fill="FFFFFF" w:themeFill="background1"/>
            <w:vAlign w:val="center"/>
          </w:tcPr>
          <w:p w14:paraId="2F37FA8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占应收账款和合同资产期末余额合计数的比例</w:t>
            </w:r>
          </w:p>
        </w:tc>
        <w:tc>
          <w:tcPr>
            <w:tcW w:w="1606" w:type="dxa"/>
            <w:shd w:val="clear" w:color="auto" w:fill="FFFFFF" w:themeFill="background1"/>
            <w:vAlign w:val="center"/>
          </w:tcPr>
          <w:p w14:paraId="1193FC7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应收账款坏账准备和合同资产减值准备期末余额</w:t>
            </w:r>
          </w:p>
        </w:tc>
      </w:tr>
      <w:tr w:rsidR="00632E5B" w14:paraId="285B6EDB" w14:textId="77777777" w:rsidTr="008B6556">
        <w:trPr>
          <w:trHeight w:val="240"/>
        </w:trPr>
        <w:tc>
          <w:tcPr>
            <w:tcW w:w="1606" w:type="dxa"/>
            <w:shd w:val="clear" w:color="auto" w:fill="FFFFFF" w:themeFill="background1"/>
            <w:vAlign w:val="center"/>
          </w:tcPr>
          <w:p w14:paraId="3C51333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第一名</w:t>
            </w:r>
          </w:p>
        </w:tc>
        <w:tc>
          <w:tcPr>
            <w:tcW w:w="1606" w:type="dxa"/>
            <w:shd w:val="clear" w:color="auto" w:fill="FFFFFF" w:themeFill="background1"/>
            <w:vAlign w:val="center"/>
          </w:tcPr>
          <w:p w14:paraId="12270D6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145,778,168.82</w:t>
            </w:r>
          </w:p>
        </w:tc>
        <w:tc>
          <w:tcPr>
            <w:tcW w:w="1606" w:type="dxa"/>
            <w:shd w:val="clear" w:color="auto" w:fill="FFFFFF" w:themeFill="background1"/>
            <w:vAlign w:val="center"/>
          </w:tcPr>
          <w:p w14:paraId="7F3A7113"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0010D06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145,778,168.82</w:t>
            </w:r>
          </w:p>
        </w:tc>
        <w:tc>
          <w:tcPr>
            <w:tcW w:w="1606" w:type="dxa"/>
            <w:shd w:val="clear" w:color="auto" w:fill="FFFFFF" w:themeFill="background1"/>
            <w:vAlign w:val="center"/>
          </w:tcPr>
          <w:p w14:paraId="2016D11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47.75%</w:t>
            </w:r>
          </w:p>
        </w:tc>
        <w:tc>
          <w:tcPr>
            <w:tcW w:w="1606" w:type="dxa"/>
            <w:shd w:val="clear" w:color="auto" w:fill="FFFFFF" w:themeFill="background1"/>
            <w:vAlign w:val="center"/>
          </w:tcPr>
          <w:p w14:paraId="265F12A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2,915,563.38</w:t>
            </w:r>
          </w:p>
        </w:tc>
      </w:tr>
      <w:tr w:rsidR="00632E5B" w14:paraId="28AAA09E" w14:textId="77777777" w:rsidTr="008B6556">
        <w:trPr>
          <w:trHeight w:val="240"/>
        </w:trPr>
        <w:tc>
          <w:tcPr>
            <w:tcW w:w="1606" w:type="dxa"/>
            <w:shd w:val="clear" w:color="auto" w:fill="FFFFFF" w:themeFill="background1"/>
            <w:vAlign w:val="center"/>
          </w:tcPr>
          <w:p w14:paraId="56B8876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第二名</w:t>
            </w:r>
          </w:p>
        </w:tc>
        <w:tc>
          <w:tcPr>
            <w:tcW w:w="1606" w:type="dxa"/>
            <w:shd w:val="clear" w:color="auto" w:fill="FFFFFF" w:themeFill="background1"/>
            <w:vAlign w:val="center"/>
          </w:tcPr>
          <w:p w14:paraId="002F249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23,555,469.55</w:t>
            </w:r>
          </w:p>
        </w:tc>
        <w:tc>
          <w:tcPr>
            <w:tcW w:w="1606" w:type="dxa"/>
            <w:shd w:val="clear" w:color="auto" w:fill="FFFFFF" w:themeFill="background1"/>
            <w:vAlign w:val="center"/>
          </w:tcPr>
          <w:p w14:paraId="2B9C0BE7"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1C815C3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23,555,469.55</w:t>
            </w:r>
          </w:p>
        </w:tc>
        <w:tc>
          <w:tcPr>
            <w:tcW w:w="1606" w:type="dxa"/>
            <w:shd w:val="clear" w:color="auto" w:fill="FFFFFF" w:themeFill="background1"/>
            <w:vAlign w:val="center"/>
          </w:tcPr>
          <w:p w14:paraId="29BC3E5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7.71%</w:t>
            </w:r>
          </w:p>
        </w:tc>
        <w:tc>
          <w:tcPr>
            <w:tcW w:w="1606" w:type="dxa"/>
            <w:shd w:val="clear" w:color="auto" w:fill="FFFFFF" w:themeFill="background1"/>
            <w:vAlign w:val="center"/>
          </w:tcPr>
          <w:p w14:paraId="35AF7F1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23,555,469.55</w:t>
            </w:r>
          </w:p>
        </w:tc>
      </w:tr>
      <w:tr w:rsidR="00632E5B" w14:paraId="527F6D83" w14:textId="77777777" w:rsidTr="008B6556">
        <w:trPr>
          <w:trHeight w:val="240"/>
        </w:trPr>
        <w:tc>
          <w:tcPr>
            <w:tcW w:w="1606" w:type="dxa"/>
            <w:shd w:val="clear" w:color="auto" w:fill="FFFFFF" w:themeFill="background1"/>
            <w:vAlign w:val="center"/>
          </w:tcPr>
          <w:p w14:paraId="34E0A76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第三名</w:t>
            </w:r>
          </w:p>
        </w:tc>
        <w:tc>
          <w:tcPr>
            <w:tcW w:w="1606" w:type="dxa"/>
            <w:shd w:val="clear" w:color="auto" w:fill="FFFFFF" w:themeFill="background1"/>
            <w:vAlign w:val="center"/>
          </w:tcPr>
          <w:p w14:paraId="2982609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21,082,507.17</w:t>
            </w:r>
          </w:p>
        </w:tc>
        <w:tc>
          <w:tcPr>
            <w:tcW w:w="1606" w:type="dxa"/>
            <w:shd w:val="clear" w:color="auto" w:fill="FFFFFF" w:themeFill="background1"/>
            <w:vAlign w:val="center"/>
          </w:tcPr>
          <w:p w14:paraId="09BFB88E"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1B17C83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21,082,507.17</w:t>
            </w:r>
          </w:p>
        </w:tc>
        <w:tc>
          <w:tcPr>
            <w:tcW w:w="1606" w:type="dxa"/>
            <w:shd w:val="clear" w:color="auto" w:fill="FFFFFF" w:themeFill="background1"/>
            <w:vAlign w:val="center"/>
          </w:tcPr>
          <w:p w14:paraId="7A68113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6.91%</w:t>
            </w:r>
          </w:p>
        </w:tc>
        <w:tc>
          <w:tcPr>
            <w:tcW w:w="1606" w:type="dxa"/>
            <w:shd w:val="clear" w:color="auto" w:fill="FFFFFF" w:themeFill="background1"/>
            <w:vAlign w:val="center"/>
          </w:tcPr>
          <w:p w14:paraId="056A1A4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21,082,507.17</w:t>
            </w:r>
          </w:p>
        </w:tc>
      </w:tr>
      <w:tr w:rsidR="00632E5B" w14:paraId="2E18D594" w14:textId="77777777" w:rsidTr="008B6556">
        <w:trPr>
          <w:trHeight w:val="240"/>
        </w:trPr>
        <w:tc>
          <w:tcPr>
            <w:tcW w:w="1606" w:type="dxa"/>
            <w:shd w:val="clear" w:color="auto" w:fill="FFFFFF" w:themeFill="background1"/>
            <w:vAlign w:val="center"/>
          </w:tcPr>
          <w:p w14:paraId="7D99124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第四名</w:t>
            </w:r>
          </w:p>
        </w:tc>
        <w:tc>
          <w:tcPr>
            <w:tcW w:w="1606" w:type="dxa"/>
            <w:shd w:val="clear" w:color="auto" w:fill="FFFFFF" w:themeFill="background1"/>
            <w:vAlign w:val="center"/>
          </w:tcPr>
          <w:p w14:paraId="745E356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16,136,998.53</w:t>
            </w:r>
          </w:p>
        </w:tc>
        <w:tc>
          <w:tcPr>
            <w:tcW w:w="1606" w:type="dxa"/>
            <w:shd w:val="clear" w:color="auto" w:fill="FFFFFF" w:themeFill="background1"/>
            <w:vAlign w:val="center"/>
          </w:tcPr>
          <w:p w14:paraId="5D32CE7C"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01285BD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16,136,998.53</w:t>
            </w:r>
          </w:p>
        </w:tc>
        <w:tc>
          <w:tcPr>
            <w:tcW w:w="1606" w:type="dxa"/>
            <w:shd w:val="clear" w:color="auto" w:fill="FFFFFF" w:themeFill="background1"/>
            <w:vAlign w:val="center"/>
          </w:tcPr>
          <w:p w14:paraId="0457229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5.29%</w:t>
            </w:r>
          </w:p>
        </w:tc>
        <w:tc>
          <w:tcPr>
            <w:tcW w:w="1606" w:type="dxa"/>
            <w:shd w:val="clear" w:color="auto" w:fill="FFFFFF" w:themeFill="background1"/>
            <w:vAlign w:val="center"/>
          </w:tcPr>
          <w:p w14:paraId="1DD5CCA7" w14:textId="77777777" w:rsidR="00632E5B" w:rsidRDefault="00632E5B">
            <w:pPr>
              <w:spacing w:line="240" w:lineRule="exact"/>
              <w:jc w:val="right"/>
              <w:rPr>
                <w:rFonts w:ascii="宋体" w:eastAsia="宋体" w:hAnsi="宋体" w:cs="宋体" w:hint="eastAsia"/>
                <w:sz w:val="18"/>
                <w:szCs w:val="18"/>
              </w:rPr>
            </w:pPr>
          </w:p>
        </w:tc>
      </w:tr>
      <w:tr w:rsidR="00632E5B" w14:paraId="24D9097D" w14:textId="77777777" w:rsidTr="008B6556">
        <w:trPr>
          <w:trHeight w:val="240"/>
        </w:trPr>
        <w:tc>
          <w:tcPr>
            <w:tcW w:w="1606" w:type="dxa"/>
            <w:shd w:val="clear" w:color="auto" w:fill="FFFFFF" w:themeFill="background1"/>
            <w:vAlign w:val="center"/>
          </w:tcPr>
          <w:p w14:paraId="09C65E1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第五名</w:t>
            </w:r>
          </w:p>
        </w:tc>
        <w:tc>
          <w:tcPr>
            <w:tcW w:w="1606" w:type="dxa"/>
            <w:shd w:val="clear" w:color="auto" w:fill="FFFFFF" w:themeFill="background1"/>
            <w:vAlign w:val="center"/>
          </w:tcPr>
          <w:p w14:paraId="1A13F62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10,810,771.52</w:t>
            </w:r>
          </w:p>
        </w:tc>
        <w:tc>
          <w:tcPr>
            <w:tcW w:w="1606" w:type="dxa"/>
            <w:shd w:val="clear" w:color="auto" w:fill="FFFFFF" w:themeFill="background1"/>
            <w:vAlign w:val="center"/>
          </w:tcPr>
          <w:p w14:paraId="0AD6FFF0"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75255A2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10,810,771.52</w:t>
            </w:r>
          </w:p>
        </w:tc>
        <w:tc>
          <w:tcPr>
            <w:tcW w:w="1606" w:type="dxa"/>
            <w:shd w:val="clear" w:color="auto" w:fill="FFFFFF" w:themeFill="background1"/>
            <w:vAlign w:val="center"/>
          </w:tcPr>
          <w:p w14:paraId="34FFDEE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3.54%</w:t>
            </w:r>
          </w:p>
        </w:tc>
        <w:tc>
          <w:tcPr>
            <w:tcW w:w="1606" w:type="dxa"/>
            <w:shd w:val="clear" w:color="auto" w:fill="FFFFFF" w:themeFill="background1"/>
            <w:vAlign w:val="center"/>
          </w:tcPr>
          <w:p w14:paraId="5716E84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10,810,771.52</w:t>
            </w:r>
          </w:p>
        </w:tc>
      </w:tr>
      <w:tr w:rsidR="00632E5B" w14:paraId="18093FC9" w14:textId="77777777" w:rsidTr="008B6556">
        <w:trPr>
          <w:trHeight w:val="240"/>
        </w:trPr>
        <w:tc>
          <w:tcPr>
            <w:tcW w:w="1606" w:type="dxa"/>
            <w:shd w:val="clear" w:color="auto" w:fill="FFFFFF" w:themeFill="background1"/>
            <w:vAlign w:val="center"/>
          </w:tcPr>
          <w:p w14:paraId="354DCE43"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606" w:type="dxa"/>
            <w:shd w:val="clear" w:color="auto" w:fill="FFFFFF" w:themeFill="background1"/>
            <w:vAlign w:val="center"/>
          </w:tcPr>
          <w:p w14:paraId="04EEAF9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217,363,915.59</w:t>
            </w:r>
          </w:p>
        </w:tc>
        <w:tc>
          <w:tcPr>
            <w:tcW w:w="1606" w:type="dxa"/>
            <w:shd w:val="clear" w:color="auto" w:fill="FFFFFF" w:themeFill="background1"/>
            <w:vAlign w:val="center"/>
          </w:tcPr>
          <w:p w14:paraId="53D3FA9E" w14:textId="77777777" w:rsidR="00632E5B" w:rsidRDefault="00632E5B">
            <w:pPr>
              <w:spacing w:line="240" w:lineRule="exact"/>
              <w:jc w:val="right"/>
              <w:rPr>
                <w:rFonts w:ascii="宋体" w:eastAsia="宋体" w:hAnsi="宋体" w:cs="宋体" w:hint="eastAsia"/>
                <w:sz w:val="18"/>
                <w:szCs w:val="18"/>
              </w:rPr>
            </w:pPr>
          </w:p>
        </w:tc>
        <w:tc>
          <w:tcPr>
            <w:tcW w:w="1606" w:type="dxa"/>
            <w:shd w:val="clear" w:color="auto" w:fill="FFFFFF" w:themeFill="background1"/>
            <w:vAlign w:val="center"/>
          </w:tcPr>
          <w:p w14:paraId="06425E6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217,363,915.59</w:t>
            </w:r>
          </w:p>
        </w:tc>
        <w:tc>
          <w:tcPr>
            <w:tcW w:w="1606" w:type="dxa"/>
            <w:shd w:val="clear" w:color="auto" w:fill="FFFFFF" w:themeFill="background1"/>
            <w:vAlign w:val="center"/>
          </w:tcPr>
          <w:p w14:paraId="3B2CA1E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71.20%</w:t>
            </w:r>
          </w:p>
        </w:tc>
        <w:tc>
          <w:tcPr>
            <w:tcW w:w="1606" w:type="dxa"/>
            <w:shd w:val="clear" w:color="auto" w:fill="FFFFFF" w:themeFill="background1"/>
            <w:vAlign w:val="center"/>
          </w:tcPr>
          <w:p w14:paraId="3A4C313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58,364,311.62</w:t>
            </w:r>
          </w:p>
        </w:tc>
      </w:tr>
    </w:tbl>
    <w:p w14:paraId="35E0C0F6" w14:textId="77777777" w:rsidR="00632E5B" w:rsidRDefault="00107901">
      <w:pPr>
        <w:pStyle w:val="3"/>
        <w:spacing w:line="280" w:lineRule="exact"/>
        <w:jc w:val="left"/>
        <w:rPr>
          <w:rFonts w:ascii="宋体" w:hAnsi="宋体" w:cs="宋体" w:hint="eastAsia"/>
          <w:b/>
          <w:bCs/>
        </w:rPr>
      </w:pPr>
      <w:bookmarkStart w:id="398" w:name="_Toc989288"/>
      <w:r>
        <w:rPr>
          <w:rFonts w:ascii="宋体" w:hAnsi="宋体" w:cs="宋体"/>
          <w:b/>
          <w:bCs/>
        </w:rPr>
        <w:t>2、其他应收款</w:t>
      </w:r>
      <w:bookmarkEnd w:id="398"/>
    </w:p>
    <w:p w14:paraId="0A576706"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241D3C44" w14:textId="77777777" w:rsidTr="008B6556">
        <w:trPr>
          <w:trHeight w:val="240"/>
        </w:trPr>
        <w:tc>
          <w:tcPr>
            <w:tcW w:w="3213" w:type="dxa"/>
            <w:shd w:val="clear" w:color="auto" w:fill="FFFFFF" w:themeFill="background1"/>
            <w:vAlign w:val="center"/>
          </w:tcPr>
          <w:p w14:paraId="561819D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75A4EE1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auto" w:fill="FFFFFF" w:themeFill="background1"/>
            <w:vAlign w:val="center"/>
          </w:tcPr>
          <w:p w14:paraId="534F4BD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632E5B" w14:paraId="09AC906E" w14:textId="77777777" w:rsidTr="008B6556">
        <w:trPr>
          <w:trHeight w:val="240"/>
        </w:trPr>
        <w:tc>
          <w:tcPr>
            <w:tcW w:w="3213" w:type="dxa"/>
            <w:shd w:val="clear" w:color="auto" w:fill="FFFFFF" w:themeFill="background1"/>
            <w:vAlign w:val="center"/>
          </w:tcPr>
          <w:p w14:paraId="109DC94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应收股利</w:t>
            </w:r>
          </w:p>
        </w:tc>
        <w:tc>
          <w:tcPr>
            <w:tcW w:w="3213" w:type="dxa"/>
            <w:shd w:val="clear" w:color="auto" w:fill="FFFFFF" w:themeFill="background1"/>
            <w:vAlign w:val="center"/>
          </w:tcPr>
          <w:p w14:paraId="103F9B1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10,000,000.00</w:t>
            </w:r>
          </w:p>
        </w:tc>
        <w:tc>
          <w:tcPr>
            <w:tcW w:w="3213" w:type="dxa"/>
            <w:shd w:val="clear" w:color="auto" w:fill="FFFFFF" w:themeFill="background1"/>
            <w:vAlign w:val="center"/>
          </w:tcPr>
          <w:p w14:paraId="732C685C" w14:textId="77777777" w:rsidR="00632E5B" w:rsidRDefault="00632E5B">
            <w:pPr>
              <w:spacing w:line="240" w:lineRule="exact"/>
              <w:jc w:val="right"/>
              <w:rPr>
                <w:rFonts w:ascii="宋体" w:eastAsia="宋体" w:hAnsi="宋体" w:cs="宋体" w:hint="eastAsia"/>
                <w:sz w:val="18"/>
                <w:szCs w:val="18"/>
              </w:rPr>
            </w:pPr>
          </w:p>
        </w:tc>
      </w:tr>
      <w:tr w:rsidR="00632E5B" w14:paraId="120D6CA0" w14:textId="77777777" w:rsidTr="008B6556">
        <w:trPr>
          <w:trHeight w:val="240"/>
        </w:trPr>
        <w:tc>
          <w:tcPr>
            <w:tcW w:w="3213" w:type="dxa"/>
            <w:shd w:val="clear" w:color="auto" w:fill="FFFFFF" w:themeFill="background1"/>
            <w:vAlign w:val="center"/>
          </w:tcPr>
          <w:p w14:paraId="3C2D7AF1"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其他应收款</w:t>
            </w:r>
          </w:p>
        </w:tc>
        <w:tc>
          <w:tcPr>
            <w:tcW w:w="3213" w:type="dxa"/>
            <w:shd w:val="clear" w:color="auto" w:fill="FFFFFF" w:themeFill="background1"/>
            <w:vAlign w:val="center"/>
          </w:tcPr>
          <w:p w14:paraId="37D2451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3,557,846,393.47</w:t>
            </w:r>
          </w:p>
        </w:tc>
        <w:tc>
          <w:tcPr>
            <w:tcW w:w="3213" w:type="dxa"/>
            <w:shd w:val="clear" w:color="auto" w:fill="FFFFFF" w:themeFill="background1"/>
            <w:vAlign w:val="center"/>
          </w:tcPr>
          <w:p w14:paraId="18B27A6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3,618,609,272.65</w:t>
            </w:r>
          </w:p>
        </w:tc>
      </w:tr>
      <w:tr w:rsidR="00632E5B" w14:paraId="6452AA35" w14:textId="77777777" w:rsidTr="008B6556">
        <w:trPr>
          <w:trHeight w:val="240"/>
        </w:trPr>
        <w:tc>
          <w:tcPr>
            <w:tcW w:w="3213" w:type="dxa"/>
            <w:shd w:val="clear" w:color="auto" w:fill="FFFFFF" w:themeFill="background1"/>
            <w:vAlign w:val="center"/>
          </w:tcPr>
          <w:p w14:paraId="280CEEFF"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1339814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3,567,846,393.47</w:t>
            </w:r>
          </w:p>
        </w:tc>
        <w:tc>
          <w:tcPr>
            <w:tcW w:w="3213" w:type="dxa"/>
            <w:shd w:val="clear" w:color="auto" w:fill="FFFFFF" w:themeFill="background1"/>
            <w:vAlign w:val="center"/>
          </w:tcPr>
          <w:p w14:paraId="202270E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3,618,609,272.65</w:t>
            </w:r>
          </w:p>
        </w:tc>
      </w:tr>
    </w:tbl>
    <w:p w14:paraId="52588DFE" w14:textId="77777777" w:rsidR="00632E5B" w:rsidRDefault="00107901">
      <w:pPr>
        <w:keepNext/>
        <w:keepLines/>
        <w:spacing w:before="300" w:after="300" w:line="280" w:lineRule="exact"/>
        <w:outlineLvl w:val="3"/>
        <w:rPr>
          <w:rFonts w:ascii="宋体" w:eastAsia="宋体" w:hAnsi="宋体" w:cs="宋体" w:hint="eastAsia"/>
          <w:b/>
          <w:bCs/>
          <w:sz w:val="18"/>
          <w:szCs w:val="18"/>
        </w:rPr>
      </w:pPr>
      <w:bookmarkStart w:id="399" w:name="_Toc989289"/>
      <w:r>
        <w:rPr>
          <w:rFonts w:ascii="宋体" w:eastAsia="宋体" w:hAnsi="宋体" w:cs="宋体"/>
          <w:b/>
          <w:bCs/>
          <w:sz w:val="18"/>
          <w:szCs w:val="18"/>
        </w:rPr>
        <w:t>（1） 应收股利</w:t>
      </w:r>
      <w:bookmarkEnd w:id="399"/>
    </w:p>
    <w:p w14:paraId="2A4C21D7" w14:textId="77777777" w:rsidR="00632E5B" w:rsidRDefault="00107901">
      <w:pPr>
        <w:keepNext/>
        <w:keepLines/>
        <w:spacing w:before="300" w:after="300" w:line="280" w:lineRule="exact"/>
        <w:outlineLvl w:val="4"/>
        <w:rPr>
          <w:rFonts w:ascii="宋体" w:eastAsia="宋体" w:hAnsi="宋体" w:cs="宋体" w:hint="eastAsia"/>
          <w:b/>
          <w:bCs/>
          <w:sz w:val="18"/>
          <w:szCs w:val="18"/>
        </w:rPr>
      </w:pPr>
      <w:bookmarkStart w:id="400" w:name="_Toc989290"/>
      <w:r>
        <w:rPr>
          <w:rFonts w:ascii="宋体" w:eastAsia="宋体" w:hAnsi="宋体" w:cs="宋体"/>
          <w:b/>
          <w:bCs/>
          <w:sz w:val="18"/>
          <w:szCs w:val="18"/>
        </w:rPr>
        <w:t>1） 应收股利分类</w:t>
      </w:r>
      <w:bookmarkEnd w:id="400"/>
    </w:p>
    <w:p w14:paraId="45BB0368"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5B8D5171" w14:textId="77777777" w:rsidTr="008B6556">
        <w:trPr>
          <w:trHeight w:val="240"/>
        </w:trPr>
        <w:tc>
          <w:tcPr>
            <w:tcW w:w="3213" w:type="dxa"/>
            <w:shd w:val="clear" w:color="auto" w:fill="FFFFFF" w:themeFill="background1"/>
            <w:vAlign w:val="center"/>
          </w:tcPr>
          <w:p w14:paraId="327E7F8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项目（或被投资单位）</w:t>
            </w:r>
          </w:p>
        </w:tc>
        <w:tc>
          <w:tcPr>
            <w:tcW w:w="3213" w:type="dxa"/>
            <w:shd w:val="clear" w:color="auto" w:fill="FFFFFF" w:themeFill="background1"/>
            <w:vAlign w:val="center"/>
          </w:tcPr>
          <w:p w14:paraId="39EE3FB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auto" w:fill="FFFFFF" w:themeFill="background1"/>
            <w:vAlign w:val="center"/>
          </w:tcPr>
          <w:p w14:paraId="040F571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632E5B" w14:paraId="758B1DC0" w14:textId="77777777" w:rsidTr="008B6556">
        <w:trPr>
          <w:trHeight w:val="240"/>
        </w:trPr>
        <w:tc>
          <w:tcPr>
            <w:tcW w:w="3213" w:type="dxa"/>
            <w:shd w:val="clear" w:color="auto" w:fill="FFFFFF" w:themeFill="background1"/>
            <w:vAlign w:val="center"/>
          </w:tcPr>
          <w:p w14:paraId="577A437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常熟利星光电科技有限公司</w:t>
            </w:r>
          </w:p>
        </w:tc>
        <w:tc>
          <w:tcPr>
            <w:tcW w:w="3213" w:type="dxa"/>
            <w:shd w:val="clear" w:color="auto" w:fill="FFFFFF" w:themeFill="background1"/>
            <w:vAlign w:val="center"/>
          </w:tcPr>
          <w:p w14:paraId="087A861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10,000,000.00</w:t>
            </w:r>
          </w:p>
        </w:tc>
        <w:tc>
          <w:tcPr>
            <w:tcW w:w="3213" w:type="dxa"/>
            <w:shd w:val="clear" w:color="auto" w:fill="FFFFFF" w:themeFill="background1"/>
            <w:vAlign w:val="center"/>
          </w:tcPr>
          <w:p w14:paraId="5F770F19" w14:textId="77777777" w:rsidR="00632E5B" w:rsidRDefault="00632E5B">
            <w:pPr>
              <w:spacing w:line="240" w:lineRule="exact"/>
              <w:jc w:val="right"/>
              <w:rPr>
                <w:rFonts w:ascii="宋体" w:eastAsia="宋体" w:hAnsi="宋体" w:cs="宋体" w:hint="eastAsia"/>
                <w:sz w:val="18"/>
                <w:szCs w:val="18"/>
              </w:rPr>
            </w:pPr>
          </w:p>
        </w:tc>
      </w:tr>
      <w:tr w:rsidR="00632E5B" w14:paraId="45B01810" w14:textId="77777777" w:rsidTr="008B6556">
        <w:trPr>
          <w:trHeight w:val="240"/>
        </w:trPr>
        <w:tc>
          <w:tcPr>
            <w:tcW w:w="3213" w:type="dxa"/>
            <w:shd w:val="clear" w:color="auto" w:fill="FFFFFF" w:themeFill="background1"/>
            <w:vAlign w:val="center"/>
          </w:tcPr>
          <w:p w14:paraId="75014FA0"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4E58972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10,000,000.00</w:t>
            </w:r>
          </w:p>
        </w:tc>
        <w:tc>
          <w:tcPr>
            <w:tcW w:w="3213" w:type="dxa"/>
            <w:shd w:val="clear" w:color="auto" w:fill="FFFFFF" w:themeFill="background1"/>
            <w:vAlign w:val="center"/>
          </w:tcPr>
          <w:p w14:paraId="37AB678B" w14:textId="77777777" w:rsidR="00632E5B" w:rsidRDefault="00632E5B">
            <w:pPr>
              <w:spacing w:line="240" w:lineRule="exact"/>
              <w:jc w:val="right"/>
              <w:rPr>
                <w:rFonts w:ascii="宋体" w:eastAsia="宋体" w:hAnsi="宋体" w:cs="宋体" w:hint="eastAsia"/>
                <w:sz w:val="18"/>
                <w:szCs w:val="18"/>
              </w:rPr>
            </w:pPr>
          </w:p>
        </w:tc>
      </w:tr>
    </w:tbl>
    <w:p w14:paraId="61B16D0D" w14:textId="77777777" w:rsidR="008B6556" w:rsidRDefault="008B6556">
      <w:pPr>
        <w:keepNext/>
        <w:keepLines/>
        <w:spacing w:before="300" w:after="300" w:line="280" w:lineRule="exact"/>
        <w:outlineLvl w:val="3"/>
        <w:rPr>
          <w:rFonts w:ascii="宋体" w:eastAsia="宋体" w:hAnsi="宋体" w:cs="宋体" w:hint="eastAsia"/>
          <w:b/>
          <w:bCs/>
          <w:sz w:val="18"/>
          <w:szCs w:val="18"/>
        </w:rPr>
      </w:pPr>
      <w:bookmarkStart w:id="401" w:name="_Toc989291"/>
    </w:p>
    <w:p w14:paraId="26869781" w14:textId="77777777" w:rsidR="008B6556" w:rsidRDefault="008B6556">
      <w:pPr>
        <w:widowControl/>
        <w:rPr>
          <w:rFonts w:ascii="宋体" w:eastAsia="宋体" w:hAnsi="宋体" w:cs="宋体" w:hint="eastAsia"/>
          <w:b/>
          <w:bCs/>
          <w:sz w:val="18"/>
          <w:szCs w:val="18"/>
        </w:rPr>
      </w:pPr>
      <w:r>
        <w:rPr>
          <w:rFonts w:ascii="宋体" w:eastAsia="宋体" w:hAnsi="宋体" w:cs="宋体" w:hint="eastAsia"/>
          <w:b/>
          <w:bCs/>
          <w:sz w:val="18"/>
          <w:szCs w:val="18"/>
        </w:rPr>
        <w:br w:type="page"/>
      </w:r>
    </w:p>
    <w:p w14:paraId="0F97EC1E" w14:textId="6EB16542" w:rsidR="00632E5B" w:rsidRDefault="00107901">
      <w:pPr>
        <w:keepNext/>
        <w:keepLines/>
        <w:spacing w:before="300" w:after="300" w:line="280" w:lineRule="exact"/>
        <w:outlineLvl w:val="3"/>
        <w:rPr>
          <w:rFonts w:ascii="宋体" w:eastAsia="宋体" w:hAnsi="宋体" w:cs="宋体" w:hint="eastAsia"/>
          <w:b/>
          <w:bCs/>
          <w:sz w:val="18"/>
          <w:szCs w:val="18"/>
        </w:rPr>
      </w:pPr>
      <w:r>
        <w:rPr>
          <w:rFonts w:ascii="宋体" w:eastAsia="宋体" w:hAnsi="宋体" w:cs="宋体"/>
          <w:b/>
          <w:bCs/>
          <w:sz w:val="18"/>
          <w:szCs w:val="18"/>
        </w:rPr>
        <w:lastRenderedPageBreak/>
        <w:t>（2） 其他应收款</w:t>
      </w:r>
      <w:bookmarkEnd w:id="401"/>
    </w:p>
    <w:p w14:paraId="5249E741" w14:textId="77777777" w:rsidR="00632E5B" w:rsidRDefault="00107901">
      <w:pPr>
        <w:keepNext/>
        <w:keepLines/>
        <w:spacing w:before="300" w:after="300" w:line="280" w:lineRule="exact"/>
        <w:outlineLvl w:val="4"/>
        <w:rPr>
          <w:rFonts w:ascii="宋体" w:eastAsia="宋体" w:hAnsi="宋体" w:cs="宋体" w:hint="eastAsia"/>
          <w:b/>
          <w:bCs/>
          <w:sz w:val="18"/>
          <w:szCs w:val="18"/>
        </w:rPr>
      </w:pPr>
      <w:bookmarkStart w:id="402" w:name="_Toc989292"/>
      <w:r>
        <w:rPr>
          <w:rFonts w:ascii="宋体" w:eastAsia="宋体" w:hAnsi="宋体" w:cs="宋体"/>
          <w:b/>
          <w:bCs/>
          <w:sz w:val="18"/>
          <w:szCs w:val="18"/>
        </w:rPr>
        <w:t>1） 其他应收款按款项性质分类情况</w:t>
      </w:r>
      <w:bookmarkEnd w:id="402"/>
    </w:p>
    <w:p w14:paraId="783996D4"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3AB623B3" w14:textId="77777777" w:rsidTr="008B6556">
        <w:trPr>
          <w:trHeight w:val="240"/>
        </w:trPr>
        <w:tc>
          <w:tcPr>
            <w:tcW w:w="3213" w:type="dxa"/>
            <w:shd w:val="clear" w:color="auto" w:fill="FFFFFF" w:themeFill="background1"/>
            <w:vAlign w:val="center"/>
          </w:tcPr>
          <w:p w14:paraId="545C4AA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款项性质</w:t>
            </w:r>
          </w:p>
        </w:tc>
        <w:tc>
          <w:tcPr>
            <w:tcW w:w="3213" w:type="dxa"/>
            <w:shd w:val="clear" w:color="auto" w:fill="FFFFFF" w:themeFill="background1"/>
            <w:vAlign w:val="center"/>
          </w:tcPr>
          <w:p w14:paraId="73A8205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期末账面余额</w:t>
            </w:r>
          </w:p>
        </w:tc>
        <w:tc>
          <w:tcPr>
            <w:tcW w:w="3213" w:type="dxa"/>
            <w:shd w:val="clear" w:color="auto" w:fill="FFFFFF" w:themeFill="background1"/>
            <w:vAlign w:val="center"/>
          </w:tcPr>
          <w:p w14:paraId="13EE5EC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期初账面余额</w:t>
            </w:r>
          </w:p>
        </w:tc>
      </w:tr>
      <w:tr w:rsidR="00632E5B" w14:paraId="5CBDE74E" w14:textId="77777777" w:rsidTr="008B6556">
        <w:trPr>
          <w:trHeight w:val="240"/>
        </w:trPr>
        <w:tc>
          <w:tcPr>
            <w:tcW w:w="3213" w:type="dxa"/>
            <w:shd w:val="clear" w:color="auto" w:fill="FFFFFF" w:themeFill="background1"/>
            <w:vAlign w:val="center"/>
          </w:tcPr>
          <w:p w14:paraId="7884611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保证金及押金</w:t>
            </w:r>
          </w:p>
        </w:tc>
        <w:tc>
          <w:tcPr>
            <w:tcW w:w="3213" w:type="dxa"/>
            <w:shd w:val="clear" w:color="auto" w:fill="FFFFFF" w:themeFill="background1"/>
            <w:vAlign w:val="center"/>
          </w:tcPr>
          <w:p w14:paraId="098DB21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46,528,411.47</w:t>
            </w:r>
          </w:p>
        </w:tc>
        <w:tc>
          <w:tcPr>
            <w:tcW w:w="3213" w:type="dxa"/>
            <w:shd w:val="clear" w:color="auto" w:fill="FFFFFF" w:themeFill="background1"/>
            <w:vAlign w:val="center"/>
          </w:tcPr>
          <w:p w14:paraId="1BF68E4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38,302,071.72</w:t>
            </w:r>
          </w:p>
        </w:tc>
      </w:tr>
      <w:tr w:rsidR="00632E5B" w14:paraId="03C5E530" w14:textId="77777777" w:rsidTr="008B6556">
        <w:trPr>
          <w:trHeight w:val="240"/>
        </w:trPr>
        <w:tc>
          <w:tcPr>
            <w:tcW w:w="3213" w:type="dxa"/>
            <w:shd w:val="clear" w:color="auto" w:fill="FFFFFF" w:themeFill="background1"/>
            <w:vAlign w:val="center"/>
          </w:tcPr>
          <w:p w14:paraId="7C5F722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暂付款及其他</w:t>
            </w:r>
          </w:p>
        </w:tc>
        <w:tc>
          <w:tcPr>
            <w:tcW w:w="3213" w:type="dxa"/>
            <w:shd w:val="clear" w:color="auto" w:fill="FFFFFF" w:themeFill="background1"/>
            <w:vAlign w:val="center"/>
          </w:tcPr>
          <w:p w14:paraId="74AC163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1,379,541.94</w:t>
            </w:r>
          </w:p>
        </w:tc>
        <w:tc>
          <w:tcPr>
            <w:tcW w:w="3213" w:type="dxa"/>
            <w:shd w:val="clear" w:color="auto" w:fill="FFFFFF" w:themeFill="background1"/>
            <w:vAlign w:val="center"/>
          </w:tcPr>
          <w:p w14:paraId="08DC3AB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115,532,123.42</w:t>
            </w:r>
          </w:p>
        </w:tc>
      </w:tr>
      <w:tr w:rsidR="00632E5B" w14:paraId="2B68055B" w14:textId="77777777" w:rsidTr="008B6556">
        <w:trPr>
          <w:trHeight w:val="240"/>
        </w:trPr>
        <w:tc>
          <w:tcPr>
            <w:tcW w:w="3213" w:type="dxa"/>
            <w:shd w:val="clear" w:color="auto" w:fill="FFFFFF" w:themeFill="background1"/>
            <w:vAlign w:val="center"/>
          </w:tcPr>
          <w:p w14:paraId="59F6205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关联方往来</w:t>
            </w:r>
          </w:p>
        </w:tc>
        <w:tc>
          <w:tcPr>
            <w:tcW w:w="3213" w:type="dxa"/>
            <w:shd w:val="clear" w:color="auto" w:fill="FFFFFF" w:themeFill="background1"/>
            <w:vAlign w:val="center"/>
          </w:tcPr>
          <w:p w14:paraId="524311B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3,516,104,758.83</w:t>
            </w:r>
          </w:p>
        </w:tc>
        <w:tc>
          <w:tcPr>
            <w:tcW w:w="3213" w:type="dxa"/>
            <w:shd w:val="clear" w:color="auto" w:fill="FFFFFF" w:themeFill="background1"/>
            <w:vAlign w:val="center"/>
          </w:tcPr>
          <w:p w14:paraId="720B026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3,914,475,485.73</w:t>
            </w:r>
          </w:p>
        </w:tc>
      </w:tr>
      <w:tr w:rsidR="00632E5B" w14:paraId="5FB26430" w14:textId="77777777" w:rsidTr="008B6556">
        <w:trPr>
          <w:trHeight w:val="240"/>
        </w:trPr>
        <w:tc>
          <w:tcPr>
            <w:tcW w:w="3213" w:type="dxa"/>
            <w:shd w:val="clear" w:color="auto" w:fill="FFFFFF" w:themeFill="background1"/>
            <w:vAlign w:val="center"/>
          </w:tcPr>
          <w:p w14:paraId="50A2491A"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7CDB4A8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3,564,012,712.24</w:t>
            </w:r>
          </w:p>
        </w:tc>
        <w:tc>
          <w:tcPr>
            <w:tcW w:w="3213" w:type="dxa"/>
            <w:shd w:val="clear" w:color="auto" w:fill="FFFFFF" w:themeFill="background1"/>
            <w:vAlign w:val="center"/>
          </w:tcPr>
          <w:p w14:paraId="03C60B7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4,068,309,680.87</w:t>
            </w:r>
          </w:p>
        </w:tc>
      </w:tr>
    </w:tbl>
    <w:p w14:paraId="59BA79BA" w14:textId="77777777" w:rsidR="00632E5B" w:rsidRDefault="00107901">
      <w:pPr>
        <w:keepNext/>
        <w:keepLines/>
        <w:spacing w:before="300" w:after="300" w:line="280" w:lineRule="exact"/>
        <w:outlineLvl w:val="4"/>
        <w:rPr>
          <w:rFonts w:ascii="宋体" w:eastAsia="宋体" w:hAnsi="宋体" w:cs="宋体" w:hint="eastAsia"/>
          <w:b/>
          <w:bCs/>
          <w:sz w:val="18"/>
          <w:szCs w:val="18"/>
        </w:rPr>
      </w:pPr>
      <w:bookmarkStart w:id="403" w:name="_Toc989293"/>
      <w:r>
        <w:rPr>
          <w:rFonts w:ascii="宋体" w:eastAsia="宋体" w:hAnsi="宋体" w:cs="宋体"/>
          <w:b/>
          <w:bCs/>
          <w:sz w:val="18"/>
          <w:szCs w:val="18"/>
        </w:rPr>
        <w:t>2） 按账龄披露</w:t>
      </w:r>
      <w:bookmarkEnd w:id="403"/>
    </w:p>
    <w:p w14:paraId="61DCAAD0"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Style w:val="20"/>
        <w:tblW w:w="499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000" w:firstRow="0" w:lastRow="0" w:firstColumn="0" w:lastColumn="0" w:noHBand="0" w:noVBand="0"/>
      </w:tblPr>
      <w:tblGrid>
        <w:gridCol w:w="3209"/>
        <w:gridCol w:w="3208"/>
        <w:gridCol w:w="3210"/>
      </w:tblGrid>
      <w:tr w:rsidR="0024544F" w:rsidRPr="00F84867" w14:paraId="6B228FB5" w14:textId="77777777" w:rsidTr="008B6556">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shd w:val="clear" w:color="auto" w:fill="FFFFFF" w:themeFill="background1"/>
            <w:noWrap/>
          </w:tcPr>
          <w:p w14:paraId="6991CA06" w14:textId="77777777" w:rsidR="0024544F" w:rsidRPr="00F84867" w:rsidRDefault="0024544F" w:rsidP="0014662C">
            <w:pPr>
              <w:widowControl/>
              <w:jc w:val="center"/>
              <w:textAlignment w:val="bottom"/>
              <w:rPr>
                <w:rFonts w:asciiTheme="minorEastAsia" w:hAnsiTheme="minorEastAsia" w:cs="宋体" w:hint="eastAsia"/>
                <w:color w:val="000000"/>
                <w:sz w:val="18"/>
                <w:szCs w:val="18"/>
              </w:rPr>
            </w:pPr>
            <w:r w:rsidRPr="00F84867">
              <w:rPr>
                <w:rFonts w:asciiTheme="minorEastAsia" w:hAnsiTheme="minorEastAsia" w:cs="宋体" w:hint="eastAsia"/>
                <w:color w:val="000000"/>
                <w:kern w:val="0"/>
                <w:sz w:val="18"/>
                <w:szCs w:val="18"/>
                <w:lang w:bidi="ar"/>
              </w:rPr>
              <w:t>账龄</w:t>
            </w:r>
          </w:p>
        </w:tc>
        <w:tc>
          <w:tcPr>
            <w:cnfStyle w:val="000001000000" w:firstRow="0" w:lastRow="0" w:firstColumn="0" w:lastColumn="0" w:oddVBand="0" w:evenVBand="1" w:oddHBand="0" w:evenHBand="0" w:firstRowFirstColumn="0" w:firstRowLastColumn="0" w:lastRowFirstColumn="0" w:lastRowLastColumn="0"/>
            <w:tcW w:w="1666" w:type="pct"/>
            <w:tcBorders>
              <w:top w:val="none" w:sz="0" w:space="0" w:color="auto"/>
              <w:left w:val="none" w:sz="0" w:space="0" w:color="auto"/>
              <w:bottom w:val="none" w:sz="0" w:space="0" w:color="auto"/>
              <w:right w:val="none" w:sz="0" w:space="0" w:color="auto"/>
            </w:tcBorders>
            <w:shd w:val="clear" w:color="auto" w:fill="FFFFFF" w:themeFill="background1"/>
          </w:tcPr>
          <w:p w14:paraId="19002791" w14:textId="77777777" w:rsidR="0024544F" w:rsidRPr="00F84867" w:rsidRDefault="0024544F" w:rsidP="0014662C">
            <w:pPr>
              <w:widowControl/>
              <w:jc w:val="center"/>
              <w:textAlignment w:val="bottom"/>
              <w:rPr>
                <w:rFonts w:asciiTheme="minorEastAsia" w:hAnsiTheme="minorEastAsia" w:cs="宋体" w:hint="eastAsia"/>
                <w:color w:val="000000"/>
                <w:sz w:val="18"/>
                <w:szCs w:val="18"/>
              </w:rPr>
            </w:pPr>
            <w:r w:rsidRPr="00F84867">
              <w:rPr>
                <w:rFonts w:asciiTheme="minorEastAsia" w:hAnsiTheme="minorEastAsia" w:cs="宋体" w:hint="eastAsia"/>
                <w:color w:val="000000"/>
                <w:kern w:val="0"/>
                <w:sz w:val="18"/>
                <w:szCs w:val="18"/>
                <w:lang w:bidi="ar"/>
              </w:rPr>
              <w:t>期末账面余额</w:t>
            </w:r>
          </w:p>
        </w:tc>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shd w:val="clear" w:color="auto" w:fill="FFFFFF" w:themeFill="background1"/>
          </w:tcPr>
          <w:p w14:paraId="35FAA1EB" w14:textId="77777777" w:rsidR="0024544F" w:rsidRPr="00F84867" w:rsidRDefault="0024544F" w:rsidP="0014662C">
            <w:pPr>
              <w:widowControl/>
              <w:jc w:val="center"/>
              <w:textAlignment w:val="top"/>
              <w:rPr>
                <w:rFonts w:asciiTheme="minorEastAsia" w:hAnsiTheme="minorEastAsia" w:cs="宋体" w:hint="eastAsia"/>
                <w:color w:val="000000"/>
                <w:sz w:val="18"/>
                <w:szCs w:val="18"/>
              </w:rPr>
            </w:pPr>
            <w:r w:rsidRPr="00F84867">
              <w:rPr>
                <w:rFonts w:asciiTheme="minorEastAsia" w:hAnsiTheme="minorEastAsia" w:cs="宋体" w:hint="eastAsia"/>
                <w:color w:val="000000"/>
                <w:kern w:val="0"/>
                <w:sz w:val="18"/>
                <w:szCs w:val="18"/>
                <w:lang w:bidi="ar"/>
              </w:rPr>
              <w:t>期初账面余额</w:t>
            </w:r>
          </w:p>
        </w:tc>
      </w:tr>
      <w:tr w:rsidR="0024544F" w:rsidRPr="00F84867" w14:paraId="519FC9F2" w14:textId="77777777" w:rsidTr="008B6556">
        <w:trPr>
          <w:trHeight w:val="312"/>
        </w:trPr>
        <w:tc>
          <w:tcPr>
            <w:cnfStyle w:val="000010000000" w:firstRow="0" w:lastRow="0" w:firstColumn="0" w:lastColumn="0" w:oddVBand="1" w:evenVBand="0" w:oddHBand="0" w:evenHBand="0" w:firstRowFirstColumn="0" w:firstRowLastColumn="0" w:lastRowFirstColumn="0" w:lastRowLastColumn="0"/>
            <w:tcW w:w="1667" w:type="pct"/>
            <w:tcBorders>
              <w:left w:val="none" w:sz="0" w:space="0" w:color="auto"/>
              <w:right w:val="none" w:sz="0" w:space="0" w:color="auto"/>
            </w:tcBorders>
            <w:shd w:val="clear" w:color="auto" w:fill="FFFFFF" w:themeFill="background1"/>
            <w:noWrap/>
          </w:tcPr>
          <w:p w14:paraId="27EFFCB4" w14:textId="77777777" w:rsidR="0024544F" w:rsidRPr="00F84867" w:rsidRDefault="0024544F" w:rsidP="0014662C">
            <w:pPr>
              <w:widowControl/>
              <w:textAlignment w:val="bottom"/>
              <w:rPr>
                <w:rFonts w:asciiTheme="minorEastAsia" w:hAnsiTheme="minorEastAsia" w:cs="宋体" w:hint="eastAsia"/>
                <w:color w:val="000000"/>
                <w:sz w:val="18"/>
                <w:szCs w:val="18"/>
              </w:rPr>
            </w:pPr>
            <w:r w:rsidRPr="00F84867">
              <w:rPr>
                <w:rFonts w:asciiTheme="minorEastAsia" w:hAnsiTheme="minorEastAsia" w:cs="宋体" w:hint="eastAsia"/>
                <w:color w:val="000000"/>
                <w:kern w:val="0"/>
                <w:sz w:val="18"/>
                <w:szCs w:val="18"/>
                <w:lang w:bidi="ar"/>
              </w:rPr>
              <w:t>6个月以内</w:t>
            </w:r>
          </w:p>
        </w:tc>
        <w:tc>
          <w:tcPr>
            <w:cnfStyle w:val="000001000000" w:firstRow="0" w:lastRow="0" w:firstColumn="0" w:lastColumn="0" w:oddVBand="0" w:evenVBand="1" w:oddHBand="0" w:evenHBand="0" w:firstRowFirstColumn="0" w:firstRowLastColumn="0" w:lastRowFirstColumn="0" w:lastRowLastColumn="0"/>
            <w:tcW w:w="2879" w:type="dxa"/>
            <w:tcBorders>
              <w:left w:val="none" w:sz="0" w:space="0" w:color="auto"/>
              <w:right w:val="none" w:sz="0" w:space="0" w:color="auto"/>
            </w:tcBorders>
            <w:shd w:val="clear" w:color="auto" w:fill="FFFFFF" w:themeFill="background1"/>
          </w:tcPr>
          <w:p w14:paraId="3CBE593C" w14:textId="77777777" w:rsidR="0024544F" w:rsidRPr="00F84867" w:rsidRDefault="0024544F" w:rsidP="0014662C">
            <w:pPr>
              <w:widowControl/>
              <w:jc w:val="right"/>
              <w:textAlignment w:val="top"/>
              <w:rPr>
                <w:rFonts w:asciiTheme="minorEastAsia" w:hAnsiTheme="minorEastAsia" w:cs="Arial" w:hint="eastAsia"/>
                <w:color w:val="000000"/>
                <w:kern w:val="0"/>
                <w:sz w:val="18"/>
                <w:szCs w:val="18"/>
                <w:lang w:bidi="ar"/>
              </w:rPr>
            </w:pPr>
            <w:r w:rsidRPr="00F84867">
              <w:rPr>
                <w:rFonts w:asciiTheme="minorEastAsia" w:hAnsiTheme="minorEastAsia" w:cs="Arial" w:hint="eastAsia"/>
                <w:color w:val="000000"/>
                <w:kern w:val="0"/>
                <w:sz w:val="18"/>
                <w:szCs w:val="18"/>
                <w:lang w:bidi="ar"/>
              </w:rPr>
              <w:t xml:space="preserve">225,802,924.00 </w:t>
            </w:r>
          </w:p>
        </w:tc>
        <w:tc>
          <w:tcPr>
            <w:cnfStyle w:val="000010000000" w:firstRow="0" w:lastRow="0" w:firstColumn="0" w:lastColumn="0" w:oddVBand="1" w:evenVBand="0" w:oddHBand="0" w:evenHBand="0" w:firstRowFirstColumn="0" w:firstRowLastColumn="0" w:lastRowFirstColumn="0" w:lastRowLastColumn="0"/>
            <w:tcW w:w="1667" w:type="pct"/>
            <w:tcBorders>
              <w:left w:val="none" w:sz="0" w:space="0" w:color="auto"/>
              <w:right w:val="none" w:sz="0" w:space="0" w:color="auto"/>
            </w:tcBorders>
            <w:shd w:val="clear" w:color="auto" w:fill="FFFFFF" w:themeFill="background1"/>
          </w:tcPr>
          <w:p w14:paraId="6D723673" w14:textId="77777777" w:rsidR="0024544F" w:rsidRPr="00F84867" w:rsidRDefault="0024544F" w:rsidP="0014662C">
            <w:pPr>
              <w:widowControl/>
              <w:jc w:val="right"/>
              <w:textAlignment w:val="top"/>
              <w:rPr>
                <w:rFonts w:asciiTheme="minorEastAsia" w:hAnsiTheme="minorEastAsia" w:cs="Arial" w:hint="eastAsia"/>
                <w:color w:val="000000"/>
                <w:sz w:val="18"/>
                <w:szCs w:val="18"/>
              </w:rPr>
            </w:pPr>
            <w:r w:rsidRPr="00F84867">
              <w:rPr>
                <w:rFonts w:asciiTheme="minorEastAsia" w:hAnsiTheme="minorEastAsia" w:cs="Arial"/>
                <w:color w:val="000000"/>
                <w:kern w:val="0"/>
                <w:sz w:val="18"/>
                <w:szCs w:val="18"/>
                <w:lang w:bidi="ar"/>
              </w:rPr>
              <w:t xml:space="preserve">296,302,446.94 </w:t>
            </w:r>
          </w:p>
        </w:tc>
      </w:tr>
      <w:tr w:rsidR="0024544F" w:rsidRPr="00F84867" w14:paraId="524188DA" w14:textId="77777777" w:rsidTr="008B6556">
        <w:trPr>
          <w:cnfStyle w:val="000000100000" w:firstRow="0" w:lastRow="0" w:firstColumn="0" w:lastColumn="0" w:oddVBand="0" w:evenVBand="0" w:oddHBand="1" w:evenHBand="0" w:firstRowFirstColumn="0" w:firstRowLastColumn="0" w:lastRowFirstColumn="0" w:lastRowLastColumn="0"/>
          <w:trHeight w:val="90"/>
        </w:trPr>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shd w:val="clear" w:color="auto" w:fill="FFFFFF" w:themeFill="background1"/>
            <w:noWrap/>
          </w:tcPr>
          <w:p w14:paraId="7A131F9A" w14:textId="77777777" w:rsidR="0024544F" w:rsidRPr="00F84867" w:rsidRDefault="0024544F" w:rsidP="0014662C">
            <w:pPr>
              <w:widowControl/>
              <w:textAlignment w:val="bottom"/>
              <w:rPr>
                <w:rFonts w:asciiTheme="minorEastAsia" w:hAnsiTheme="minorEastAsia" w:cs="宋体" w:hint="eastAsia"/>
                <w:color w:val="000000"/>
                <w:sz w:val="18"/>
                <w:szCs w:val="18"/>
              </w:rPr>
            </w:pPr>
            <w:r w:rsidRPr="00F84867">
              <w:rPr>
                <w:rFonts w:asciiTheme="minorEastAsia" w:hAnsiTheme="minorEastAsia" w:cs="宋体" w:hint="eastAsia"/>
                <w:color w:val="000000"/>
                <w:kern w:val="0"/>
                <w:sz w:val="18"/>
                <w:szCs w:val="18"/>
                <w:lang w:bidi="ar"/>
              </w:rPr>
              <w:t>6个月~1年</w:t>
            </w:r>
          </w:p>
        </w:tc>
        <w:tc>
          <w:tcPr>
            <w:cnfStyle w:val="000001000000" w:firstRow="0" w:lastRow="0" w:firstColumn="0" w:lastColumn="0" w:oddVBand="0" w:evenVBand="1" w:oddHBand="0" w:evenHBand="0" w:firstRowFirstColumn="0" w:firstRowLastColumn="0" w:lastRowFirstColumn="0" w:lastRowLastColumn="0"/>
            <w:tcW w:w="2879" w:type="dxa"/>
            <w:tcBorders>
              <w:top w:val="none" w:sz="0" w:space="0" w:color="auto"/>
              <w:left w:val="none" w:sz="0" w:space="0" w:color="auto"/>
              <w:bottom w:val="none" w:sz="0" w:space="0" w:color="auto"/>
              <w:right w:val="none" w:sz="0" w:space="0" w:color="auto"/>
            </w:tcBorders>
            <w:shd w:val="clear" w:color="auto" w:fill="FFFFFF" w:themeFill="background1"/>
          </w:tcPr>
          <w:p w14:paraId="4AB05D37" w14:textId="77777777" w:rsidR="0024544F" w:rsidRPr="00F84867" w:rsidRDefault="0024544F" w:rsidP="0014662C">
            <w:pPr>
              <w:widowControl/>
              <w:jc w:val="right"/>
              <w:textAlignment w:val="top"/>
              <w:rPr>
                <w:rFonts w:asciiTheme="minorEastAsia" w:hAnsiTheme="minorEastAsia" w:cs="Arial" w:hint="eastAsia"/>
                <w:color w:val="000000"/>
                <w:kern w:val="0"/>
                <w:sz w:val="18"/>
                <w:szCs w:val="18"/>
                <w:lang w:bidi="ar"/>
              </w:rPr>
            </w:pPr>
            <w:r w:rsidRPr="00F84867">
              <w:rPr>
                <w:rFonts w:asciiTheme="minorEastAsia" w:hAnsiTheme="minorEastAsia" w:cs="Arial" w:hint="eastAsia"/>
                <w:color w:val="000000"/>
                <w:kern w:val="0"/>
                <w:sz w:val="18"/>
                <w:szCs w:val="18"/>
                <w:lang w:bidi="ar"/>
              </w:rPr>
              <w:t xml:space="preserve">74,471,012.11 </w:t>
            </w:r>
          </w:p>
        </w:tc>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shd w:val="clear" w:color="auto" w:fill="FFFFFF" w:themeFill="background1"/>
          </w:tcPr>
          <w:p w14:paraId="6AF4F400" w14:textId="77777777" w:rsidR="0024544F" w:rsidRPr="00F84867" w:rsidRDefault="0024544F" w:rsidP="0014662C">
            <w:pPr>
              <w:widowControl/>
              <w:jc w:val="right"/>
              <w:textAlignment w:val="top"/>
              <w:rPr>
                <w:rFonts w:asciiTheme="minorEastAsia" w:hAnsiTheme="minorEastAsia" w:cs="Arial" w:hint="eastAsia"/>
                <w:color w:val="000000"/>
                <w:sz w:val="18"/>
                <w:szCs w:val="18"/>
              </w:rPr>
            </w:pPr>
            <w:r w:rsidRPr="00F84867">
              <w:rPr>
                <w:rFonts w:asciiTheme="minorEastAsia" w:hAnsiTheme="minorEastAsia" w:cs="Arial"/>
                <w:color w:val="000000"/>
                <w:kern w:val="0"/>
                <w:sz w:val="18"/>
                <w:szCs w:val="18"/>
                <w:lang w:bidi="ar"/>
              </w:rPr>
              <w:t xml:space="preserve">231,417,162.03 </w:t>
            </w:r>
          </w:p>
        </w:tc>
      </w:tr>
      <w:tr w:rsidR="0024544F" w:rsidRPr="00F84867" w14:paraId="44C1D7E0" w14:textId="77777777" w:rsidTr="008B6556">
        <w:trPr>
          <w:trHeight w:val="312"/>
        </w:trPr>
        <w:tc>
          <w:tcPr>
            <w:cnfStyle w:val="000010000000" w:firstRow="0" w:lastRow="0" w:firstColumn="0" w:lastColumn="0" w:oddVBand="1" w:evenVBand="0" w:oddHBand="0" w:evenHBand="0" w:firstRowFirstColumn="0" w:firstRowLastColumn="0" w:lastRowFirstColumn="0" w:lastRowLastColumn="0"/>
            <w:tcW w:w="1667" w:type="pct"/>
            <w:tcBorders>
              <w:left w:val="none" w:sz="0" w:space="0" w:color="auto"/>
              <w:right w:val="none" w:sz="0" w:space="0" w:color="auto"/>
            </w:tcBorders>
            <w:shd w:val="clear" w:color="auto" w:fill="FFFFFF" w:themeFill="background1"/>
            <w:noWrap/>
          </w:tcPr>
          <w:p w14:paraId="372BFFEB" w14:textId="77777777" w:rsidR="0024544F" w:rsidRPr="00F84867" w:rsidRDefault="0024544F" w:rsidP="0014662C">
            <w:pPr>
              <w:widowControl/>
              <w:textAlignment w:val="bottom"/>
              <w:rPr>
                <w:rFonts w:asciiTheme="minorEastAsia" w:hAnsiTheme="minorEastAsia" w:cs="宋体" w:hint="eastAsia"/>
                <w:color w:val="000000"/>
                <w:sz w:val="18"/>
                <w:szCs w:val="18"/>
              </w:rPr>
            </w:pPr>
            <w:r w:rsidRPr="00F84867">
              <w:rPr>
                <w:rFonts w:asciiTheme="minorEastAsia" w:hAnsiTheme="minorEastAsia" w:cs="宋体" w:hint="eastAsia"/>
                <w:color w:val="000000"/>
                <w:kern w:val="0"/>
                <w:sz w:val="18"/>
                <w:szCs w:val="18"/>
                <w:lang w:bidi="ar"/>
              </w:rPr>
              <w:t>1～2年</w:t>
            </w:r>
          </w:p>
        </w:tc>
        <w:tc>
          <w:tcPr>
            <w:cnfStyle w:val="000001000000" w:firstRow="0" w:lastRow="0" w:firstColumn="0" w:lastColumn="0" w:oddVBand="0" w:evenVBand="1" w:oddHBand="0" w:evenHBand="0" w:firstRowFirstColumn="0" w:firstRowLastColumn="0" w:lastRowFirstColumn="0" w:lastRowLastColumn="0"/>
            <w:tcW w:w="2879" w:type="dxa"/>
            <w:tcBorders>
              <w:left w:val="none" w:sz="0" w:space="0" w:color="auto"/>
              <w:right w:val="none" w:sz="0" w:space="0" w:color="auto"/>
            </w:tcBorders>
            <w:shd w:val="clear" w:color="auto" w:fill="FFFFFF" w:themeFill="background1"/>
          </w:tcPr>
          <w:p w14:paraId="2E05A35A" w14:textId="77777777" w:rsidR="0024544F" w:rsidRPr="00F84867" w:rsidRDefault="0024544F" w:rsidP="0014662C">
            <w:pPr>
              <w:widowControl/>
              <w:jc w:val="right"/>
              <w:textAlignment w:val="top"/>
              <w:rPr>
                <w:rFonts w:asciiTheme="minorEastAsia" w:hAnsiTheme="minorEastAsia" w:cs="Arial" w:hint="eastAsia"/>
                <w:color w:val="000000"/>
                <w:kern w:val="0"/>
                <w:sz w:val="18"/>
                <w:szCs w:val="18"/>
                <w:lang w:bidi="ar"/>
              </w:rPr>
            </w:pPr>
            <w:r w:rsidRPr="00F84867">
              <w:rPr>
                <w:rFonts w:asciiTheme="minorEastAsia" w:hAnsiTheme="minorEastAsia" w:cs="Arial" w:hint="eastAsia"/>
                <w:color w:val="000000"/>
                <w:kern w:val="0"/>
                <w:sz w:val="18"/>
                <w:szCs w:val="18"/>
                <w:lang w:bidi="ar"/>
              </w:rPr>
              <w:t xml:space="preserve">496,998,842.02 </w:t>
            </w:r>
          </w:p>
        </w:tc>
        <w:tc>
          <w:tcPr>
            <w:cnfStyle w:val="000010000000" w:firstRow="0" w:lastRow="0" w:firstColumn="0" w:lastColumn="0" w:oddVBand="1" w:evenVBand="0" w:oddHBand="0" w:evenHBand="0" w:firstRowFirstColumn="0" w:firstRowLastColumn="0" w:lastRowFirstColumn="0" w:lastRowLastColumn="0"/>
            <w:tcW w:w="1667" w:type="pct"/>
            <w:tcBorders>
              <w:left w:val="none" w:sz="0" w:space="0" w:color="auto"/>
              <w:right w:val="none" w:sz="0" w:space="0" w:color="auto"/>
            </w:tcBorders>
            <w:shd w:val="clear" w:color="auto" w:fill="FFFFFF" w:themeFill="background1"/>
          </w:tcPr>
          <w:p w14:paraId="29588A64" w14:textId="77777777" w:rsidR="0024544F" w:rsidRPr="00F84867" w:rsidRDefault="0024544F" w:rsidP="0014662C">
            <w:pPr>
              <w:widowControl/>
              <w:jc w:val="right"/>
              <w:textAlignment w:val="top"/>
              <w:rPr>
                <w:rFonts w:asciiTheme="minorEastAsia" w:hAnsiTheme="minorEastAsia" w:cs="Arial" w:hint="eastAsia"/>
                <w:color w:val="000000"/>
                <w:sz w:val="18"/>
                <w:szCs w:val="18"/>
              </w:rPr>
            </w:pPr>
            <w:r w:rsidRPr="00F84867">
              <w:rPr>
                <w:rFonts w:asciiTheme="minorEastAsia" w:hAnsiTheme="minorEastAsia" w:cs="Arial"/>
                <w:color w:val="000000"/>
                <w:kern w:val="0"/>
                <w:sz w:val="18"/>
                <w:szCs w:val="18"/>
                <w:lang w:bidi="ar"/>
              </w:rPr>
              <w:t xml:space="preserve">3,328,832,618.32 </w:t>
            </w:r>
          </w:p>
        </w:tc>
      </w:tr>
      <w:tr w:rsidR="0024544F" w:rsidRPr="00F84867" w14:paraId="479E9EC4" w14:textId="77777777" w:rsidTr="008B6556">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shd w:val="clear" w:color="auto" w:fill="FFFFFF" w:themeFill="background1"/>
            <w:noWrap/>
          </w:tcPr>
          <w:p w14:paraId="5B837308" w14:textId="77777777" w:rsidR="0024544F" w:rsidRPr="00F84867" w:rsidRDefault="0024544F" w:rsidP="0014662C">
            <w:pPr>
              <w:widowControl/>
              <w:textAlignment w:val="bottom"/>
              <w:rPr>
                <w:rFonts w:asciiTheme="minorEastAsia" w:hAnsiTheme="minorEastAsia" w:cs="宋体" w:hint="eastAsia"/>
                <w:color w:val="000000"/>
                <w:sz w:val="18"/>
                <w:szCs w:val="18"/>
              </w:rPr>
            </w:pPr>
            <w:r w:rsidRPr="00F84867">
              <w:rPr>
                <w:rFonts w:asciiTheme="minorEastAsia" w:hAnsiTheme="minorEastAsia" w:cs="宋体" w:hint="eastAsia"/>
                <w:color w:val="000000"/>
                <w:kern w:val="0"/>
                <w:sz w:val="18"/>
                <w:szCs w:val="18"/>
                <w:lang w:bidi="ar"/>
              </w:rPr>
              <w:t>2～3年</w:t>
            </w:r>
          </w:p>
        </w:tc>
        <w:tc>
          <w:tcPr>
            <w:cnfStyle w:val="000001000000" w:firstRow="0" w:lastRow="0" w:firstColumn="0" w:lastColumn="0" w:oddVBand="0" w:evenVBand="1" w:oddHBand="0" w:evenHBand="0" w:firstRowFirstColumn="0" w:firstRowLastColumn="0" w:lastRowFirstColumn="0" w:lastRowLastColumn="0"/>
            <w:tcW w:w="2879" w:type="dxa"/>
            <w:tcBorders>
              <w:top w:val="none" w:sz="0" w:space="0" w:color="auto"/>
              <w:left w:val="none" w:sz="0" w:space="0" w:color="auto"/>
              <w:bottom w:val="none" w:sz="0" w:space="0" w:color="auto"/>
              <w:right w:val="none" w:sz="0" w:space="0" w:color="auto"/>
            </w:tcBorders>
            <w:shd w:val="clear" w:color="auto" w:fill="FFFFFF" w:themeFill="background1"/>
          </w:tcPr>
          <w:p w14:paraId="5CE0DEC2" w14:textId="77777777" w:rsidR="0024544F" w:rsidRPr="00F84867" w:rsidRDefault="0024544F" w:rsidP="0014662C">
            <w:pPr>
              <w:widowControl/>
              <w:jc w:val="right"/>
              <w:textAlignment w:val="top"/>
              <w:rPr>
                <w:rFonts w:asciiTheme="minorEastAsia" w:hAnsiTheme="minorEastAsia" w:cs="Arial" w:hint="eastAsia"/>
                <w:color w:val="000000"/>
                <w:kern w:val="0"/>
                <w:sz w:val="18"/>
                <w:szCs w:val="18"/>
                <w:lang w:bidi="ar"/>
              </w:rPr>
            </w:pPr>
            <w:r w:rsidRPr="00F84867">
              <w:rPr>
                <w:rFonts w:asciiTheme="minorEastAsia" w:hAnsiTheme="minorEastAsia" w:cs="Arial" w:hint="eastAsia"/>
                <w:color w:val="000000"/>
                <w:kern w:val="0"/>
                <w:sz w:val="18"/>
                <w:szCs w:val="18"/>
                <w:lang w:bidi="ar"/>
              </w:rPr>
              <w:t xml:space="preserve">2,764,614,057.80 </w:t>
            </w:r>
          </w:p>
        </w:tc>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shd w:val="clear" w:color="auto" w:fill="FFFFFF" w:themeFill="background1"/>
          </w:tcPr>
          <w:p w14:paraId="39CEA50C" w14:textId="77777777" w:rsidR="0024544F" w:rsidRPr="00F84867" w:rsidRDefault="0024544F" w:rsidP="0014662C">
            <w:pPr>
              <w:widowControl/>
              <w:jc w:val="right"/>
              <w:textAlignment w:val="top"/>
              <w:rPr>
                <w:rFonts w:asciiTheme="minorEastAsia" w:hAnsiTheme="minorEastAsia" w:cs="Arial" w:hint="eastAsia"/>
                <w:color w:val="000000"/>
                <w:sz w:val="18"/>
                <w:szCs w:val="18"/>
              </w:rPr>
            </w:pPr>
            <w:r w:rsidRPr="00F84867">
              <w:rPr>
                <w:rFonts w:asciiTheme="minorEastAsia" w:hAnsiTheme="minorEastAsia" w:cs="Arial"/>
                <w:color w:val="000000"/>
                <w:kern w:val="0"/>
                <w:sz w:val="18"/>
                <w:szCs w:val="18"/>
                <w:lang w:bidi="ar"/>
              </w:rPr>
              <w:t xml:space="preserve">202,238,839.99 </w:t>
            </w:r>
          </w:p>
        </w:tc>
      </w:tr>
      <w:tr w:rsidR="0024544F" w:rsidRPr="00F84867" w14:paraId="4CF83CAD" w14:textId="77777777" w:rsidTr="008B6556">
        <w:trPr>
          <w:trHeight w:val="312"/>
        </w:trPr>
        <w:tc>
          <w:tcPr>
            <w:cnfStyle w:val="000010000000" w:firstRow="0" w:lastRow="0" w:firstColumn="0" w:lastColumn="0" w:oddVBand="1" w:evenVBand="0" w:oddHBand="0" w:evenHBand="0" w:firstRowFirstColumn="0" w:firstRowLastColumn="0" w:lastRowFirstColumn="0" w:lastRowLastColumn="0"/>
            <w:tcW w:w="1667" w:type="pct"/>
            <w:tcBorders>
              <w:left w:val="none" w:sz="0" w:space="0" w:color="auto"/>
              <w:right w:val="none" w:sz="0" w:space="0" w:color="auto"/>
            </w:tcBorders>
            <w:shd w:val="clear" w:color="auto" w:fill="FFFFFF" w:themeFill="background1"/>
            <w:noWrap/>
          </w:tcPr>
          <w:p w14:paraId="2B3DA424" w14:textId="77777777" w:rsidR="0024544F" w:rsidRPr="00F84867" w:rsidRDefault="0024544F" w:rsidP="0014662C">
            <w:pPr>
              <w:widowControl/>
              <w:textAlignment w:val="bottom"/>
              <w:rPr>
                <w:rFonts w:asciiTheme="minorEastAsia" w:hAnsiTheme="minorEastAsia" w:cs="宋体" w:hint="eastAsia"/>
                <w:color w:val="000000"/>
                <w:sz w:val="18"/>
                <w:szCs w:val="18"/>
              </w:rPr>
            </w:pPr>
            <w:r w:rsidRPr="00F84867">
              <w:rPr>
                <w:rFonts w:asciiTheme="minorEastAsia" w:hAnsiTheme="minorEastAsia" w:cs="宋体" w:hint="eastAsia"/>
                <w:color w:val="000000"/>
                <w:kern w:val="0"/>
                <w:sz w:val="18"/>
                <w:szCs w:val="18"/>
                <w:lang w:bidi="ar"/>
              </w:rPr>
              <w:t>3～4年</w:t>
            </w:r>
          </w:p>
        </w:tc>
        <w:tc>
          <w:tcPr>
            <w:cnfStyle w:val="000001000000" w:firstRow="0" w:lastRow="0" w:firstColumn="0" w:lastColumn="0" w:oddVBand="0" w:evenVBand="1" w:oddHBand="0" w:evenHBand="0" w:firstRowFirstColumn="0" w:firstRowLastColumn="0" w:lastRowFirstColumn="0" w:lastRowLastColumn="0"/>
            <w:tcW w:w="2879" w:type="dxa"/>
            <w:tcBorders>
              <w:left w:val="none" w:sz="0" w:space="0" w:color="auto"/>
              <w:right w:val="none" w:sz="0" w:space="0" w:color="auto"/>
            </w:tcBorders>
            <w:shd w:val="clear" w:color="auto" w:fill="FFFFFF" w:themeFill="background1"/>
          </w:tcPr>
          <w:p w14:paraId="76CEB1DF" w14:textId="77777777" w:rsidR="0024544F" w:rsidRPr="00F84867" w:rsidRDefault="0024544F" w:rsidP="0014662C">
            <w:pPr>
              <w:widowControl/>
              <w:jc w:val="right"/>
              <w:textAlignment w:val="top"/>
              <w:rPr>
                <w:rFonts w:asciiTheme="minorEastAsia" w:hAnsiTheme="minorEastAsia" w:cs="Arial" w:hint="eastAsia"/>
                <w:color w:val="000000"/>
                <w:kern w:val="0"/>
                <w:sz w:val="18"/>
                <w:szCs w:val="18"/>
                <w:lang w:bidi="ar"/>
              </w:rPr>
            </w:pPr>
            <w:r w:rsidRPr="00F84867">
              <w:rPr>
                <w:rFonts w:asciiTheme="minorEastAsia" w:hAnsiTheme="minorEastAsia" w:cs="Arial" w:hint="eastAsia"/>
                <w:color w:val="000000"/>
                <w:kern w:val="0"/>
                <w:sz w:val="18"/>
                <w:szCs w:val="18"/>
                <w:lang w:bidi="ar"/>
              </w:rPr>
              <w:t xml:space="preserve">1,471,595.72 </w:t>
            </w:r>
          </w:p>
        </w:tc>
        <w:tc>
          <w:tcPr>
            <w:cnfStyle w:val="000010000000" w:firstRow="0" w:lastRow="0" w:firstColumn="0" w:lastColumn="0" w:oddVBand="1" w:evenVBand="0" w:oddHBand="0" w:evenHBand="0" w:firstRowFirstColumn="0" w:firstRowLastColumn="0" w:lastRowFirstColumn="0" w:lastRowLastColumn="0"/>
            <w:tcW w:w="1667" w:type="pct"/>
            <w:tcBorders>
              <w:left w:val="none" w:sz="0" w:space="0" w:color="auto"/>
              <w:right w:val="none" w:sz="0" w:space="0" w:color="auto"/>
            </w:tcBorders>
            <w:shd w:val="clear" w:color="auto" w:fill="FFFFFF" w:themeFill="background1"/>
          </w:tcPr>
          <w:p w14:paraId="728AAC13" w14:textId="77777777" w:rsidR="0024544F" w:rsidRPr="00F84867" w:rsidRDefault="0024544F" w:rsidP="0014662C">
            <w:pPr>
              <w:widowControl/>
              <w:jc w:val="right"/>
              <w:textAlignment w:val="top"/>
              <w:rPr>
                <w:rFonts w:asciiTheme="minorEastAsia" w:hAnsiTheme="minorEastAsia" w:cs="Arial" w:hint="eastAsia"/>
                <w:color w:val="000000"/>
                <w:sz w:val="18"/>
                <w:szCs w:val="18"/>
              </w:rPr>
            </w:pPr>
            <w:r w:rsidRPr="00F84867">
              <w:rPr>
                <w:rFonts w:asciiTheme="minorEastAsia" w:hAnsiTheme="minorEastAsia" w:cs="Arial"/>
                <w:color w:val="000000"/>
                <w:kern w:val="0"/>
                <w:sz w:val="18"/>
                <w:szCs w:val="18"/>
                <w:lang w:bidi="ar"/>
              </w:rPr>
              <w:t xml:space="preserve">9,066,533.00 </w:t>
            </w:r>
          </w:p>
        </w:tc>
      </w:tr>
      <w:tr w:rsidR="0024544F" w:rsidRPr="00F84867" w14:paraId="2CA9B4A7" w14:textId="77777777" w:rsidTr="008B6556">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shd w:val="clear" w:color="auto" w:fill="FFFFFF" w:themeFill="background1"/>
            <w:noWrap/>
          </w:tcPr>
          <w:p w14:paraId="6A3CA8B7" w14:textId="77777777" w:rsidR="0024544F" w:rsidRPr="00F84867" w:rsidRDefault="0024544F" w:rsidP="0014662C">
            <w:pPr>
              <w:widowControl/>
              <w:textAlignment w:val="bottom"/>
              <w:rPr>
                <w:rFonts w:asciiTheme="minorEastAsia" w:hAnsiTheme="minorEastAsia" w:cs="宋体" w:hint="eastAsia"/>
                <w:color w:val="000000"/>
                <w:sz w:val="18"/>
                <w:szCs w:val="18"/>
              </w:rPr>
            </w:pPr>
            <w:r w:rsidRPr="00F84867">
              <w:rPr>
                <w:rFonts w:asciiTheme="minorEastAsia" w:hAnsiTheme="minorEastAsia" w:cs="宋体" w:hint="eastAsia"/>
                <w:color w:val="000000"/>
                <w:kern w:val="0"/>
                <w:sz w:val="18"/>
                <w:szCs w:val="18"/>
                <w:lang w:bidi="ar"/>
              </w:rPr>
              <w:t>4年以上</w:t>
            </w:r>
          </w:p>
        </w:tc>
        <w:tc>
          <w:tcPr>
            <w:cnfStyle w:val="000001000000" w:firstRow="0" w:lastRow="0" w:firstColumn="0" w:lastColumn="0" w:oddVBand="0" w:evenVBand="1" w:oddHBand="0" w:evenHBand="0" w:firstRowFirstColumn="0" w:firstRowLastColumn="0" w:lastRowFirstColumn="0" w:lastRowLastColumn="0"/>
            <w:tcW w:w="2879" w:type="dxa"/>
            <w:tcBorders>
              <w:top w:val="none" w:sz="0" w:space="0" w:color="auto"/>
              <w:left w:val="none" w:sz="0" w:space="0" w:color="auto"/>
              <w:bottom w:val="none" w:sz="0" w:space="0" w:color="auto"/>
              <w:right w:val="none" w:sz="0" w:space="0" w:color="auto"/>
            </w:tcBorders>
            <w:shd w:val="clear" w:color="auto" w:fill="FFFFFF" w:themeFill="background1"/>
          </w:tcPr>
          <w:p w14:paraId="34215597" w14:textId="77777777" w:rsidR="0024544F" w:rsidRPr="00F84867" w:rsidRDefault="0024544F" w:rsidP="0014662C">
            <w:pPr>
              <w:widowControl/>
              <w:jc w:val="right"/>
              <w:textAlignment w:val="top"/>
              <w:rPr>
                <w:rFonts w:asciiTheme="minorEastAsia" w:hAnsiTheme="minorEastAsia" w:cs="Arial" w:hint="eastAsia"/>
                <w:color w:val="000000"/>
                <w:kern w:val="0"/>
                <w:sz w:val="18"/>
                <w:szCs w:val="18"/>
                <w:lang w:bidi="ar"/>
              </w:rPr>
            </w:pPr>
            <w:r w:rsidRPr="00F84867">
              <w:rPr>
                <w:rFonts w:asciiTheme="minorEastAsia" w:hAnsiTheme="minorEastAsia" w:cs="Arial" w:hint="eastAsia"/>
                <w:color w:val="000000"/>
                <w:kern w:val="0"/>
                <w:sz w:val="18"/>
                <w:szCs w:val="18"/>
                <w:lang w:bidi="ar"/>
              </w:rPr>
              <w:t xml:space="preserve">654,280.59 </w:t>
            </w:r>
          </w:p>
        </w:tc>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shd w:val="clear" w:color="auto" w:fill="FFFFFF" w:themeFill="background1"/>
          </w:tcPr>
          <w:p w14:paraId="7DDD44EA" w14:textId="77777777" w:rsidR="0024544F" w:rsidRPr="00F84867" w:rsidRDefault="0024544F" w:rsidP="0014662C">
            <w:pPr>
              <w:widowControl/>
              <w:jc w:val="right"/>
              <w:textAlignment w:val="top"/>
              <w:rPr>
                <w:rFonts w:asciiTheme="minorEastAsia" w:hAnsiTheme="minorEastAsia" w:cs="Arial" w:hint="eastAsia"/>
                <w:color w:val="000000"/>
                <w:sz w:val="18"/>
                <w:szCs w:val="18"/>
              </w:rPr>
            </w:pPr>
            <w:r w:rsidRPr="00F84867">
              <w:rPr>
                <w:rFonts w:asciiTheme="minorEastAsia" w:hAnsiTheme="minorEastAsia" w:cs="Arial"/>
                <w:color w:val="000000"/>
                <w:kern w:val="0"/>
                <w:sz w:val="18"/>
                <w:szCs w:val="18"/>
                <w:lang w:bidi="ar"/>
              </w:rPr>
              <w:t xml:space="preserve">452,080.59 </w:t>
            </w:r>
          </w:p>
        </w:tc>
      </w:tr>
      <w:tr w:rsidR="0024544F" w:rsidRPr="00F84867" w14:paraId="04C5BDA5" w14:textId="77777777" w:rsidTr="008B6556">
        <w:trPr>
          <w:trHeight w:val="312"/>
        </w:trPr>
        <w:tc>
          <w:tcPr>
            <w:cnfStyle w:val="000010000000" w:firstRow="0" w:lastRow="0" w:firstColumn="0" w:lastColumn="0" w:oddVBand="1" w:evenVBand="0" w:oddHBand="0" w:evenHBand="0" w:firstRowFirstColumn="0" w:firstRowLastColumn="0" w:lastRowFirstColumn="0" w:lastRowLastColumn="0"/>
            <w:tcW w:w="1667" w:type="pct"/>
            <w:tcBorders>
              <w:left w:val="none" w:sz="0" w:space="0" w:color="auto"/>
              <w:right w:val="none" w:sz="0" w:space="0" w:color="auto"/>
            </w:tcBorders>
            <w:shd w:val="clear" w:color="auto" w:fill="FFFFFF" w:themeFill="background1"/>
            <w:noWrap/>
          </w:tcPr>
          <w:p w14:paraId="05843706" w14:textId="77777777" w:rsidR="0024544F" w:rsidRPr="00F84867" w:rsidRDefault="0024544F" w:rsidP="0014662C">
            <w:pPr>
              <w:widowControl/>
              <w:jc w:val="center"/>
              <w:textAlignment w:val="bottom"/>
              <w:rPr>
                <w:rFonts w:asciiTheme="minorEastAsia" w:hAnsiTheme="minorEastAsia" w:cs="宋体" w:hint="eastAsia"/>
                <w:color w:val="000000"/>
                <w:sz w:val="18"/>
                <w:szCs w:val="18"/>
              </w:rPr>
            </w:pPr>
            <w:r w:rsidRPr="00F84867">
              <w:rPr>
                <w:rFonts w:asciiTheme="minorEastAsia" w:hAnsiTheme="minorEastAsia" w:cs="宋体" w:hint="eastAsia"/>
                <w:color w:val="000000"/>
                <w:kern w:val="0"/>
                <w:sz w:val="18"/>
                <w:szCs w:val="18"/>
                <w:lang w:bidi="ar"/>
              </w:rPr>
              <w:t>合计</w:t>
            </w:r>
          </w:p>
        </w:tc>
        <w:tc>
          <w:tcPr>
            <w:cnfStyle w:val="000001000000" w:firstRow="0" w:lastRow="0" w:firstColumn="0" w:lastColumn="0" w:oddVBand="0" w:evenVBand="1" w:oddHBand="0" w:evenHBand="0" w:firstRowFirstColumn="0" w:firstRowLastColumn="0" w:lastRowFirstColumn="0" w:lastRowLastColumn="0"/>
            <w:tcW w:w="2879" w:type="dxa"/>
            <w:tcBorders>
              <w:left w:val="none" w:sz="0" w:space="0" w:color="auto"/>
              <w:right w:val="none" w:sz="0" w:space="0" w:color="auto"/>
            </w:tcBorders>
            <w:shd w:val="clear" w:color="auto" w:fill="FFFFFF" w:themeFill="background1"/>
          </w:tcPr>
          <w:p w14:paraId="3C3F982D" w14:textId="77777777" w:rsidR="0024544F" w:rsidRPr="00F84867" w:rsidRDefault="0024544F" w:rsidP="0014662C">
            <w:pPr>
              <w:widowControl/>
              <w:jc w:val="right"/>
              <w:textAlignment w:val="top"/>
              <w:rPr>
                <w:rFonts w:asciiTheme="minorEastAsia" w:hAnsiTheme="minorEastAsia" w:cs="Arial" w:hint="eastAsia"/>
                <w:color w:val="000000"/>
                <w:kern w:val="0"/>
                <w:sz w:val="18"/>
                <w:szCs w:val="18"/>
                <w:lang w:bidi="ar"/>
              </w:rPr>
            </w:pPr>
            <w:r w:rsidRPr="00F84867">
              <w:rPr>
                <w:rFonts w:asciiTheme="minorEastAsia" w:hAnsiTheme="minorEastAsia" w:cs="Arial" w:hint="eastAsia"/>
                <w:color w:val="000000"/>
                <w:kern w:val="0"/>
                <w:sz w:val="18"/>
                <w:szCs w:val="18"/>
                <w:lang w:bidi="ar"/>
              </w:rPr>
              <w:t xml:space="preserve">3,564,012,712.24 </w:t>
            </w:r>
          </w:p>
        </w:tc>
        <w:tc>
          <w:tcPr>
            <w:cnfStyle w:val="000010000000" w:firstRow="0" w:lastRow="0" w:firstColumn="0" w:lastColumn="0" w:oddVBand="1" w:evenVBand="0" w:oddHBand="0" w:evenHBand="0" w:firstRowFirstColumn="0" w:firstRowLastColumn="0" w:lastRowFirstColumn="0" w:lastRowLastColumn="0"/>
            <w:tcW w:w="1667" w:type="pct"/>
            <w:tcBorders>
              <w:left w:val="none" w:sz="0" w:space="0" w:color="auto"/>
              <w:right w:val="none" w:sz="0" w:space="0" w:color="auto"/>
            </w:tcBorders>
            <w:shd w:val="clear" w:color="auto" w:fill="FFFFFF" w:themeFill="background1"/>
          </w:tcPr>
          <w:p w14:paraId="6EBDDC9F" w14:textId="77777777" w:rsidR="0024544F" w:rsidRPr="00F84867" w:rsidRDefault="0024544F" w:rsidP="0014662C">
            <w:pPr>
              <w:widowControl/>
              <w:jc w:val="right"/>
              <w:textAlignment w:val="top"/>
              <w:rPr>
                <w:rFonts w:asciiTheme="minorEastAsia" w:hAnsiTheme="minorEastAsia" w:cs="Arial" w:hint="eastAsia"/>
                <w:color w:val="000000"/>
                <w:sz w:val="18"/>
                <w:szCs w:val="18"/>
              </w:rPr>
            </w:pPr>
            <w:r w:rsidRPr="00F84867">
              <w:rPr>
                <w:rFonts w:asciiTheme="minorEastAsia" w:hAnsiTheme="minorEastAsia" w:cs="Arial"/>
                <w:color w:val="000000"/>
                <w:kern w:val="0"/>
                <w:sz w:val="18"/>
                <w:szCs w:val="18"/>
                <w:lang w:bidi="ar"/>
              </w:rPr>
              <w:t xml:space="preserve">4,068,309,680.87 </w:t>
            </w:r>
          </w:p>
        </w:tc>
      </w:tr>
      <w:tr w:rsidR="0024544F" w:rsidRPr="00F84867" w14:paraId="6AE853E9" w14:textId="77777777" w:rsidTr="008B6556">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shd w:val="clear" w:color="auto" w:fill="FFFFFF" w:themeFill="background1"/>
            <w:noWrap/>
          </w:tcPr>
          <w:p w14:paraId="31091C6A" w14:textId="77777777" w:rsidR="0024544F" w:rsidRPr="00F84867" w:rsidRDefault="0024544F" w:rsidP="0014662C">
            <w:pPr>
              <w:widowControl/>
              <w:textAlignment w:val="bottom"/>
              <w:rPr>
                <w:rFonts w:asciiTheme="minorEastAsia" w:hAnsiTheme="minorEastAsia" w:cs="宋体" w:hint="eastAsia"/>
                <w:color w:val="000000"/>
                <w:sz w:val="18"/>
                <w:szCs w:val="18"/>
              </w:rPr>
            </w:pPr>
            <w:r w:rsidRPr="00F84867">
              <w:rPr>
                <w:rFonts w:asciiTheme="minorEastAsia" w:hAnsiTheme="minorEastAsia" w:cs="宋体" w:hint="eastAsia"/>
                <w:color w:val="000000"/>
                <w:kern w:val="0"/>
                <w:sz w:val="18"/>
                <w:szCs w:val="18"/>
                <w:lang w:bidi="ar"/>
              </w:rPr>
              <w:t>减：坏账准备</w:t>
            </w:r>
          </w:p>
        </w:tc>
        <w:tc>
          <w:tcPr>
            <w:cnfStyle w:val="000001000000" w:firstRow="0" w:lastRow="0" w:firstColumn="0" w:lastColumn="0" w:oddVBand="0" w:evenVBand="1" w:oddHBand="0" w:evenHBand="0" w:firstRowFirstColumn="0" w:firstRowLastColumn="0" w:lastRowFirstColumn="0" w:lastRowLastColumn="0"/>
            <w:tcW w:w="2879" w:type="dxa"/>
            <w:tcBorders>
              <w:top w:val="none" w:sz="0" w:space="0" w:color="auto"/>
              <w:left w:val="none" w:sz="0" w:space="0" w:color="auto"/>
              <w:bottom w:val="none" w:sz="0" w:space="0" w:color="auto"/>
              <w:right w:val="none" w:sz="0" w:space="0" w:color="auto"/>
            </w:tcBorders>
            <w:shd w:val="clear" w:color="auto" w:fill="FFFFFF" w:themeFill="background1"/>
          </w:tcPr>
          <w:p w14:paraId="4593CE32" w14:textId="77777777" w:rsidR="0024544F" w:rsidRPr="00F84867" w:rsidRDefault="0024544F" w:rsidP="0014662C">
            <w:pPr>
              <w:widowControl/>
              <w:jc w:val="right"/>
              <w:textAlignment w:val="top"/>
              <w:rPr>
                <w:rFonts w:asciiTheme="minorEastAsia" w:hAnsiTheme="minorEastAsia" w:cs="Arial" w:hint="eastAsia"/>
                <w:color w:val="000000"/>
                <w:kern w:val="0"/>
                <w:sz w:val="18"/>
                <w:szCs w:val="18"/>
                <w:lang w:bidi="ar"/>
              </w:rPr>
            </w:pPr>
            <w:r w:rsidRPr="00F84867">
              <w:rPr>
                <w:rFonts w:asciiTheme="minorEastAsia" w:hAnsiTheme="minorEastAsia" w:cs="Arial" w:hint="eastAsia"/>
                <w:color w:val="000000"/>
                <w:kern w:val="0"/>
                <w:sz w:val="18"/>
                <w:szCs w:val="18"/>
                <w:lang w:bidi="ar"/>
              </w:rPr>
              <w:t xml:space="preserve">6,166,318.77 </w:t>
            </w:r>
          </w:p>
        </w:tc>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shd w:val="clear" w:color="auto" w:fill="FFFFFF" w:themeFill="background1"/>
          </w:tcPr>
          <w:p w14:paraId="525A3D23" w14:textId="77777777" w:rsidR="0024544F" w:rsidRPr="00F84867" w:rsidRDefault="0024544F" w:rsidP="0014662C">
            <w:pPr>
              <w:widowControl/>
              <w:jc w:val="right"/>
              <w:textAlignment w:val="top"/>
              <w:rPr>
                <w:rFonts w:asciiTheme="minorEastAsia" w:hAnsiTheme="minorEastAsia" w:cs="Arial" w:hint="eastAsia"/>
                <w:color w:val="000000"/>
                <w:kern w:val="0"/>
                <w:sz w:val="18"/>
                <w:szCs w:val="18"/>
                <w:lang w:bidi="ar"/>
              </w:rPr>
            </w:pPr>
            <w:r w:rsidRPr="00F84867">
              <w:rPr>
                <w:rFonts w:asciiTheme="minorEastAsia" w:hAnsiTheme="minorEastAsia" w:cs="Arial"/>
                <w:color w:val="000000"/>
                <w:kern w:val="0"/>
                <w:sz w:val="18"/>
                <w:szCs w:val="18"/>
                <w:lang w:bidi="ar"/>
              </w:rPr>
              <w:t xml:space="preserve">449,700,408.22 </w:t>
            </w:r>
          </w:p>
        </w:tc>
      </w:tr>
      <w:tr w:rsidR="0024544F" w:rsidRPr="00F84867" w14:paraId="69495CDE" w14:textId="77777777" w:rsidTr="008B6556">
        <w:trPr>
          <w:trHeight w:val="327"/>
        </w:trPr>
        <w:tc>
          <w:tcPr>
            <w:cnfStyle w:val="000010000000" w:firstRow="0" w:lastRow="0" w:firstColumn="0" w:lastColumn="0" w:oddVBand="1" w:evenVBand="0" w:oddHBand="0" w:evenHBand="0" w:firstRowFirstColumn="0" w:firstRowLastColumn="0" w:lastRowFirstColumn="0" w:lastRowLastColumn="0"/>
            <w:tcW w:w="1667" w:type="pct"/>
            <w:tcBorders>
              <w:left w:val="none" w:sz="0" w:space="0" w:color="auto"/>
              <w:right w:val="none" w:sz="0" w:space="0" w:color="auto"/>
            </w:tcBorders>
            <w:shd w:val="clear" w:color="auto" w:fill="FFFFFF" w:themeFill="background1"/>
            <w:noWrap/>
          </w:tcPr>
          <w:p w14:paraId="6DE7F692" w14:textId="77777777" w:rsidR="0024544F" w:rsidRPr="00F84867" w:rsidRDefault="0024544F" w:rsidP="0014662C">
            <w:pPr>
              <w:widowControl/>
              <w:jc w:val="center"/>
              <w:textAlignment w:val="bottom"/>
              <w:rPr>
                <w:rFonts w:asciiTheme="minorEastAsia" w:hAnsiTheme="minorEastAsia" w:cs="宋体" w:hint="eastAsia"/>
                <w:color w:val="000000"/>
                <w:sz w:val="18"/>
                <w:szCs w:val="18"/>
              </w:rPr>
            </w:pPr>
            <w:r w:rsidRPr="00F84867">
              <w:rPr>
                <w:rFonts w:asciiTheme="minorEastAsia" w:hAnsiTheme="minorEastAsia" w:cs="宋体" w:hint="eastAsia"/>
                <w:color w:val="000000"/>
                <w:kern w:val="0"/>
                <w:sz w:val="18"/>
                <w:szCs w:val="18"/>
                <w:lang w:bidi="ar"/>
              </w:rPr>
              <w:t>净额</w:t>
            </w:r>
          </w:p>
        </w:tc>
        <w:tc>
          <w:tcPr>
            <w:cnfStyle w:val="000001000000" w:firstRow="0" w:lastRow="0" w:firstColumn="0" w:lastColumn="0" w:oddVBand="0" w:evenVBand="1" w:oddHBand="0" w:evenHBand="0" w:firstRowFirstColumn="0" w:firstRowLastColumn="0" w:lastRowFirstColumn="0" w:lastRowLastColumn="0"/>
            <w:tcW w:w="2879" w:type="dxa"/>
            <w:tcBorders>
              <w:left w:val="none" w:sz="0" w:space="0" w:color="auto"/>
              <w:right w:val="none" w:sz="0" w:space="0" w:color="auto"/>
            </w:tcBorders>
            <w:shd w:val="clear" w:color="auto" w:fill="FFFFFF" w:themeFill="background1"/>
          </w:tcPr>
          <w:p w14:paraId="76EB32A7" w14:textId="77777777" w:rsidR="0024544F" w:rsidRPr="00F84867" w:rsidRDefault="0024544F" w:rsidP="0014662C">
            <w:pPr>
              <w:widowControl/>
              <w:jc w:val="right"/>
              <w:textAlignment w:val="top"/>
              <w:rPr>
                <w:rFonts w:asciiTheme="minorEastAsia" w:hAnsiTheme="minorEastAsia" w:cs="Arial" w:hint="eastAsia"/>
                <w:color w:val="000000"/>
                <w:kern w:val="0"/>
                <w:sz w:val="18"/>
                <w:szCs w:val="18"/>
                <w:lang w:bidi="ar"/>
              </w:rPr>
            </w:pPr>
            <w:r w:rsidRPr="00F84867">
              <w:rPr>
                <w:rFonts w:asciiTheme="minorEastAsia" w:hAnsiTheme="minorEastAsia" w:cs="Arial" w:hint="eastAsia"/>
                <w:color w:val="000000"/>
                <w:kern w:val="0"/>
                <w:sz w:val="18"/>
                <w:szCs w:val="18"/>
                <w:lang w:bidi="ar"/>
              </w:rPr>
              <w:t xml:space="preserve">3,557,846,393.47 </w:t>
            </w:r>
          </w:p>
        </w:tc>
        <w:tc>
          <w:tcPr>
            <w:cnfStyle w:val="000010000000" w:firstRow="0" w:lastRow="0" w:firstColumn="0" w:lastColumn="0" w:oddVBand="1" w:evenVBand="0" w:oddHBand="0" w:evenHBand="0" w:firstRowFirstColumn="0" w:firstRowLastColumn="0" w:lastRowFirstColumn="0" w:lastRowLastColumn="0"/>
            <w:tcW w:w="1667" w:type="pct"/>
            <w:tcBorders>
              <w:left w:val="none" w:sz="0" w:space="0" w:color="auto"/>
              <w:right w:val="none" w:sz="0" w:space="0" w:color="auto"/>
            </w:tcBorders>
            <w:shd w:val="clear" w:color="auto" w:fill="FFFFFF" w:themeFill="background1"/>
          </w:tcPr>
          <w:p w14:paraId="380314FF" w14:textId="77777777" w:rsidR="0024544F" w:rsidRPr="00F84867" w:rsidRDefault="0024544F" w:rsidP="0014662C">
            <w:pPr>
              <w:widowControl/>
              <w:jc w:val="right"/>
              <w:textAlignment w:val="top"/>
              <w:rPr>
                <w:rFonts w:asciiTheme="minorEastAsia" w:hAnsiTheme="minorEastAsia" w:cs="Arial" w:hint="eastAsia"/>
                <w:color w:val="000000"/>
                <w:kern w:val="0"/>
                <w:sz w:val="18"/>
                <w:szCs w:val="18"/>
                <w:lang w:bidi="ar"/>
              </w:rPr>
            </w:pPr>
            <w:r w:rsidRPr="00F84867">
              <w:rPr>
                <w:rFonts w:asciiTheme="minorEastAsia" w:hAnsiTheme="minorEastAsia" w:cs="Arial"/>
                <w:color w:val="000000"/>
                <w:kern w:val="0"/>
                <w:sz w:val="18"/>
                <w:szCs w:val="18"/>
                <w:lang w:bidi="ar"/>
              </w:rPr>
              <w:t xml:space="preserve">3,618,609,272.65 </w:t>
            </w:r>
          </w:p>
        </w:tc>
      </w:tr>
    </w:tbl>
    <w:p w14:paraId="4B9A466B" w14:textId="77777777" w:rsidR="00632E5B" w:rsidRDefault="00107901">
      <w:pPr>
        <w:keepNext/>
        <w:keepLines/>
        <w:spacing w:before="300" w:after="300" w:line="280" w:lineRule="exact"/>
        <w:outlineLvl w:val="4"/>
        <w:rPr>
          <w:rFonts w:ascii="宋体" w:eastAsia="宋体" w:hAnsi="宋体" w:cs="宋体" w:hint="eastAsia"/>
          <w:b/>
          <w:bCs/>
          <w:sz w:val="18"/>
          <w:szCs w:val="18"/>
        </w:rPr>
      </w:pPr>
      <w:bookmarkStart w:id="404" w:name="_Toc989294"/>
      <w:r>
        <w:rPr>
          <w:rFonts w:ascii="宋体" w:eastAsia="宋体" w:hAnsi="宋体" w:cs="宋体"/>
          <w:b/>
          <w:bCs/>
          <w:sz w:val="18"/>
          <w:szCs w:val="18"/>
        </w:rPr>
        <w:t>3） 按坏账计提方法分类披露</w:t>
      </w:r>
      <w:bookmarkEnd w:id="404"/>
    </w:p>
    <w:p w14:paraId="38CD95A1"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按预期信用损失一般模型计提坏账准备：</w:t>
      </w:r>
    </w:p>
    <w:p w14:paraId="41F2078C"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927"/>
        <w:gridCol w:w="1928"/>
        <w:gridCol w:w="1928"/>
        <w:gridCol w:w="1928"/>
        <w:gridCol w:w="1928"/>
      </w:tblGrid>
      <w:tr w:rsidR="00632E5B" w14:paraId="0B361AF4" w14:textId="77777777" w:rsidTr="008B6556">
        <w:trPr>
          <w:trHeight w:val="240"/>
        </w:trPr>
        <w:tc>
          <w:tcPr>
            <w:tcW w:w="1928" w:type="dxa"/>
            <w:vMerge w:val="restart"/>
            <w:shd w:val="clear" w:color="auto" w:fill="FFFFFF" w:themeFill="background1"/>
            <w:vAlign w:val="center"/>
          </w:tcPr>
          <w:p w14:paraId="7D18595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1928" w:type="dxa"/>
            <w:shd w:val="clear" w:color="auto" w:fill="FFFFFF" w:themeFill="background1"/>
            <w:vAlign w:val="center"/>
          </w:tcPr>
          <w:p w14:paraId="2A27D2B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第一阶段</w:t>
            </w:r>
          </w:p>
        </w:tc>
        <w:tc>
          <w:tcPr>
            <w:tcW w:w="1928" w:type="dxa"/>
            <w:shd w:val="clear" w:color="auto" w:fill="FFFFFF" w:themeFill="background1"/>
            <w:vAlign w:val="center"/>
          </w:tcPr>
          <w:p w14:paraId="54CAAEC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第二阶段</w:t>
            </w:r>
          </w:p>
        </w:tc>
        <w:tc>
          <w:tcPr>
            <w:tcW w:w="1928" w:type="dxa"/>
            <w:shd w:val="clear" w:color="auto" w:fill="FFFFFF" w:themeFill="background1"/>
            <w:vAlign w:val="center"/>
          </w:tcPr>
          <w:p w14:paraId="7EA030B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第三阶段</w:t>
            </w:r>
          </w:p>
        </w:tc>
        <w:tc>
          <w:tcPr>
            <w:tcW w:w="1928" w:type="dxa"/>
            <w:vMerge w:val="restart"/>
            <w:shd w:val="clear" w:color="auto" w:fill="FFFFFF" w:themeFill="background1"/>
            <w:vAlign w:val="center"/>
          </w:tcPr>
          <w:p w14:paraId="627A5C5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合计</w:t>
            </w:r>
          </w:p>
        </w:tc>
      </w:tr>
      <w:tr w:rsidR="00632E5B" w14:paraId="02F50DE3" w14:textId="77777777" w:rsidTr="008B6556">
        <w:trPr>
          <w:trHeight w:val="240"/>
        </w:trPr>
        <w:tc>
          <w:tcPr>
            <w:tcW w:w="1928" w:type="dxa"/>
            <w:vMerge/>
            <w:shd w:val="clear" w:color="auto" w:fill="FFFFFF" w:themeFill="background1"/>
            <w:vAlign w:val="center"/>
          </w:tcPr>
          <w:p w14:paraId="35B4BAD6" w14:textId="77777777" w:rsidR="00632E5B" w:rsidRDefault="00632E5B"/>
        </w:tc>
        <w:tc>
          <w:tcPr>
            <w:tcW w:w="1928" w:type="dxa"/>
            <w:shd w:val="clear" w:color="auto" w:fill="FFFFFF" w:themeFill="background1"/>
            <w:vAlign w:val="center"/>
          </w:tcPr>
          <w:p w14:paraId="7170866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未来12个月预期信用损失</w:t>
            </w:r>
          </w:p>
        </w:tc>
        <w:tc>
          <w:tcPr>
            <w:tcW w:w="1928" w:type="dxa"/>
            <w:shd w:val="clear" w:color="auto" w:fill="FFFFFF" w:themeFill="background1"/>
            <w:vAlign w:val="center"/>
          </w:tcPr>
          <w:p w14:paraId="04E1BF8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整个存续期预期信用损失（未发生信用减值）</w:t>
            </w:r>
          </w:p>
        </w:tc>
        <w:tc>
          <w:tcPr>
            <w:tcW w:w="1928" w:type="dxa"/>
            <w:shd w:val="clear" w:color="auto" w:fill="FFFFFF" w:themeFill="background1"/>
            <w:vAlign w:val="center"/>
          </w:tcPr>
          <w:p w14:paraId="637DF6F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整个存续期预期信用损失（已发生信用减值）</w:t>
            </w:r>
          </w:p>
        </w:tc>
        <w:tc>
          <w:tcPr>
            <w:tcW w:w="1928" w:type="dxa"/>
            <w:vMerge/>
            <w:shd w:val="clear" w:color="auto" w:fill="FFFFFF" w:themeFill="background1"/>
            <w:vAlign w:val="center"/>
          </w:tcPr>
          <w:p w14:paraId="72780F6F" w14:textId="77777777" w:rsidR="00632E5B" w:rsidRDefault="00632E5B"/>
        </w:tc>
      </w:tr>
      <w:tr w:rsidR="00632E5B" w14:paraId="0D08B3D5" w14:textId="77777777" w:rsidTr="008B6556">
        <w:trPr>
          <w:trHeight w:val="240"/>
        </w:trPr>
        <w:tc>
          <w:tcPr>
            <w:tcW w:w="1928" w:type="dxa"/>
            <w:shd w:val="clear" w:color="auto" w:fill="FFFFFF" w:themeFill="background1"/>
            <w:vAlign w:val="center"/>
          </w:tcPr>
          <w:p w14:paraId="0E227AFC"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2024年1月1日余额</w:t>
            </w:r>
          </w:p>
        </w:tc>
        <w:tc>
          <w:tcPr>
            <w:tcW w:w="1928" w:type="dxa"/>
            <w:shd w:val="clear" w:color="auto" w:fill="FFFFFF" w:themeFill="background1"/>
            <w:vAlign w:val="center"/>
          </w:tcPr>
          <w:p w14:paraId="5BD4CDE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754,990.03</w:t>
            </w:r>
          </w:p>
        </w:tc>
        <w:tc>
          <w:tcPr>
            <w:tcW w:w="1928" w:type="dxa"/>
            <w:shd w:val="clear" w:color="auto" w:fill="FFFFFF" w:themeFill="background1"/>
            <w:vAlign w:val="center"/>
          </w:tcPr>
          <w:p w14:paraId="0DEBAB7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7,266,083.46</w:t>
            </w:r>
          </w:p>
        </w:tc>
        <w:tc>
          <w:tcPr>
            <w:tcW w:w="1928" w:type="dxa"/>
            <w:shd w:val="clear" w:color="auto" w:fill="FFFFFF" w:themeFill="background1"/>
            <w:vAlign w:val="center"/>
          </w:tcPr>
          <w:p w14:paraId="251D2BC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441,679,334.73</w:t>
            </w:r>
          </w:p>
        </w:tc>
        <w:tc>
          <w:tcPr>
            <w:tcW w:w="1928" w:type="dxa"/>
            <w:shd w:val="clear" w:color="auto" w:fill="FFFFFF" w:themeFill="background1"/>
            <w:vAlign w:val="center"/>
          </w:tcPr>
          <w:p w14:paraId="6B25325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449,700,408.22</w:t>
            </w:r>
          </w:p>
        </w:tc>
      </w:tr>
      <w:tr w:rsidR="00632E5B" w14:paraId="6450828D" w14:textId="77777777" w:rsidTr="008B6556">
        <w:trPr>
          <w:trHeight w:val="240"/>
        </w:trPr>
        <w:tc>
          <w:tcPr>
            <w:tcW w:w="1928" w:type="dxa"/>
            <w:shd w:val="clear" w:color="auto" w:fill="FFFFFF" w:themeFill="background1"/>
            <w:vAlign w:val="center"/>
          </w:tcPr>
          <w:p w14:paraId="21E7BAD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2024年1月1日余额在本期</w:t>
            </w:r>
          </w:p>
        </w:tc>
        <w:tc>
          <w:tcPr>
            <w:tcW w:w="1928" w:type="dxa"/>
            <w:shd w:val="clear" w:color="auto" w:fill="FFFFFF" w:themeFill="background1"/>
            <w:vAlign w:val="center"/>
          </w:tcPr>
          <w:p w14:paraId="51F77005" w14:textId="77777777" w:rsidR="00632E5B" w:rsidRDefault="00632E5B"/>
        </w:tc>
        <w:tc>
          <w:tcPr>
            <w:tcW w:w="1928" w:type="dxa"/>
            <w:shd w:val="clear" w:color="auto" w:fill="FFFFFF" w:themeFill="background1"/>
            <w:vAlign w:val="center"/>
          </w:tcPr>
          <w:p w14:paraId="1C914636" w14:textId="77777777" w:rsidR="00632E5B" w:rsidRDefault="00632E5B"/>
        </w:tc>
        <w:tc>
          <w:tcPr>
            <w:tcW w:w="1928" w:type="dxa"/>
            <w:shd w:val="clear" w:color="auto" w:fill="FFFFFF" w:themeFill="background1"/>
            <w:vAlign w:val="center"/>
          </w:tcPr>
          <w:p w14:paraId="0C3F49A8" w14:textId="77777777" w:rsidR="00632E5B" w:rsidRDefault="00632E5B"/>
        </w:tc>
        <w:tc>
          <w:tcPr>
            <w:tcW w:w="1928" w:type="dxa"/>
            <w:shd w:val="clear" w:color="auto" w:fill="FFFFFF" w:themeFill="background1"/>
            <w:vAlign w:val="center"/>
          </w:tcPr>
          <w:p w14:paraId="72F962CF" w14:textId="77777777" w:rsidR="00632E5B" w:rsidRDefault="00632E5B"/>
        </w:tc>
      </w:tr>
      <w:tr w:rsidR="00632E5B" w14:paraId="5AE9740E" w14:textId="77777777" w:rsidTr="008B6556">
        <w:trPr>
          <w:trHeight w:val="240"/>
        </w:trPr>
        <w:tc>
          <w:tcPr>
            <w:tcW w:w="1928" w:type="dxa"/>
            <w:shd w:val="clear" w:color="auto" w:fill="FFFFFF" w:themeFill="background1"/>
            <w:vAlign w:val="center"/>
          </w:tcPr>
          <w:p w14:paraId="7FAD5607"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——转入第二阶段</w:t>
            </w:r>
          </w:p>
        </w:tc>
        <w:tc>
          <w:tcPr>
            <w:tcW w:w="1928" w:type="dxa"/>
            <w:shd w:val="clear" w:color="auto" w:fill="FFFFFF" w:themeFill="background1"/>
            <w:vAlign w:val="center"/>
          </w:tcPr>
          <w:p w14:paraId="37CA3F9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-22,085.57</w:t>
            </w:r>
          </w:p>
        </w:tc>
        <w:tc>
          <w:tcPr>
            <w:tcW w:w="1928" w:type="dxa"/>
            <w:shd w:val="clear" w:color="auto" w:fill="FFFFFF" w:themeFill="background1"/>
            <w:vAlign w:val="center"/>
          </w:tcPr>
          <w:p w14:paraId="64F6067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22,085.57</w:t>
            </w:r>
          </w:p>
        </w:tc>
        <w:tc>
          <w:tcPr>
            <w:tcW w:w="1928" w:type="dxa"/>
            <w:shd w:val="clear" w:color="auto" w:fill="FFFFFF" w:themeFill="background1"/>
            <w:vAlign w:val="center"/>
          </w:tcPr>
          <w:p w14:paraId="4D635DDF" w14:textId="77777777" w:rsidR="00632E5B" w:rsidRDefault="00632E5B">
            <w:pPr>
              <w:spacing w:line="240" w:lineRule="exact"/>
              <w:jc w:val="right"/>
              <w:rPr>
                <w:rFonts w:ascii="宋体" w:eastAsia="宋体" w:hAnsi="宋体" w:cs="宋体" w:hint="eastAsia"/>
                <w:sz w:val="18"/>
                <w:szCs w:val="18"/>
              </w:rPr>
            </w:pPr>
          </w:p>
        </w:tc>
        <w:tc>
          <w:tcPr>
            <w:tcW w:w="1928" w:type="dxa"/>
            <w:shd w:val="clear" w:color="auto" w:fill="FFFFFF" w:themeFill="background1"/>
            <w:vAlign w:val="center"/>
          </w:tcPr>
          <w:p w14:paraId="78150EE6" w14:textId="77777777" w:rsidR="00632E5B" w:rsidRDefault="00632E5B">
            <w:pPr>
              <w:spacing w:line="240" w:lineRule="exact"/>
              <w:jc w:val="right"/>
              <w:rPr>
                <w:rFonts w:ascii="宋体" w:eastAsia="宋体" w:hAnsi="宋体" w:cs="宋体" w:hint="eastAsia"/>
                <w:sz w:val="18"/>
                <w:szCs w:val="18"/>
              </w:rPr>
            </w:pPr>
          </w:p>
        </w:tc>
      </w:tr>
      <w:tr w:rsidR="00632E5B" w14:paraId="1312751B" w14:textId="77777777" w:rsidTr="008B6556">
        <w:trPr>
          <w:trHeight w:val="240"/>
        </w:trPr>
        <w:tc>
          <w:tcPr>
            <w:tcW w:w="1928" w:type="dxa"/>
            <w:shd w:val="clear" w:color="auto" w:fill="FFFFFF" w:themeFill="background1"/>
            <w:vAlign w:val="center"/>
          </w:tcPr>
          <w:p w14:paraId="49162982"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——转入第三阶段</w:t>
            </w:r>
          </w:p>
        </w:tc>
        <w:tc>
          <w:tcPr>
            <w:tcW w:w="1928" w:type="dxa"/>
            <w:shd w:val="clear" w:color="auto" w:fill="FFFFFF" w:themeFill="background1"/>
            <w:vAlign w:val="center"/>
          </w:tcPr>
          <w:p w14:paraId="724333B2"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-375,880.59</w:t>
            </w:r>
          </w:p>
        </w:tc>
        <w:tc>
          <w:tcPr>
            <w:tcW w:w="1928" w:type="dxa"/>
            <w:shd w:val="clear" w:color="auto" w:fill="FFFFFF" w:themeFill="background1"/>
            <w:vAlign w:val="center"/>
          </w:tcPr>
          <w:p w14:paraId="17231AD8" w14:textId="77777777" w:rsidR="00632E5B" w:rsidRDefault="00632E5B">
            <w:pPr>
              <w:spacing w:line="240" w:lineRule="exact"/>
              <w:jc w:val="right"/>
              <w:rPr>
                <w:rFonts w:ascii="宋体" w:eastAsia="宋体" w:hAnsi="宋体" w:cs="宋体" w:hint="eastAsia"/>
                <w:sz w:val="18"/>
                <w:szCs w:val="18"/>
              </w:rPr>
            </w:pPr>
          </w:p>
        </w:tc>
        <w:tc>
          <w:tcPr>
            <w:tcW w:w="1928" w:type="dxa"/>
            <w:shd w:val="clear" w:color="auto" w:fill="FFFFFF" w:themeFill="background1"/>
            <w:vAlign w:val="center"/>
          </w:tcPr>
          <w:p w14:paraId="38C9889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375,880.59</w:t>
            </w:r>
          </w:p>
        </w:tc>
        <w:tc>
          <w:tcPr>
            <w:tcW w:w="1928" w:type="dxa"/>
            <w:shd w:val="clear" w:color="auto" w:fill="FFFFFF" w:themeFill="background1"/>
            <w:vAlign w:val="center"/>
          </w:tcPr>
          <w:p w14:paraId="2689E492" w14:textId="77777777" w:rsidR="00632E5B" w:rsidRDefault="00632E5B">
            <w:pPr>
              <w:spacing w:line="240" w:lineRule="exact"/>
              <w:jc w:val="right"/>
              <w:rPr>
                <w:rFonts w:ascii="宋体" w:eastAsia="宋体" w:hAnsi="宋体" w:cs="宋体" w:hint="eastAsia"/>
                <w:sz w:val="18"/>
                <w:szCs w:val="18"/>
              </w:rPr>
            </w:pPr>
          </w:p>
        </w:tc>
      </w:tr>
      <w:tr w:rsidR="00632E5B" w14:paraId="3FBC9716" w14:textId="77777777" w:rsidTr="008B6556">
        <w:trPr>
          <w:trHeight w:val="240"/>
        </w:trPr>
        <w:tc>
          <w:tcPr>
            <w:tcW w:w="1928" w:type="dxa"/>
            <w:shd w:val="clear" w:color="auto" w:fill="FFFFFF" w:themeFill="background1"/>
            <w:vAlign w:val="center"/>
          </w:tcPr>
          <w:p w14:paraId="46234BE6"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本期计提</w:t>
            </w:r>
          </w:p>
        </w:tc>
        <w:tc>
          <w:tcPr>
            <w:tcW w:w="1928" w:type="dxa"/>
            <w:shd w:val="clear" w:color="auto" w:fill="FFFFFF" w:themeFill="background1"/>
            <w:vAlign w:val="center"/>
          </w:tcPr>
          <w:p w14:paraId="53238E25" w14:textId="77777777" w:rsidR="00632E5B" w:rsidRDefault="00632E5B">
            <w:pPr>
              <w:spacing w:line="240" w:lineRule="exact"/>
              <w:jc w:val="right"/>
              <w:rPr>
                <w:rFonts w:ascii="宋体" w:eastAsia="宋体" w:hAnsi="宋体" w:cs="宋体" w:hint="eastAsia"/>
                <w:sz w:val="18"/>
                <w:szCs w:val="18"/>
              </w:rPr>
            </w:pPr>
          </w:p>
        </w:tc>
        <w:tc>
          <w:tcPr>
            <w:tcW w:w="1928" w:type="dxa"/>
            <w:shd w:val="clear" w:color="auto" w:fill="FFFFFF" w:themeFill="background1"/>
            <w:vAlign w:val="center"/>
          </w:tcPr>
          <w:p w14:paraId="1611083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3,186,099.93</w:t>
            </w:r>
          </w:p>
        </w:tc>
        <w:tc>
          <w:tcPr>
            <w:tcW w:w="1928" w:type="dxa"/>
            <w:shd w:val="clear" w:color="auto" w:fill="FFFFFF" w:themeFill="background1"/>
            <w:vAlign w:val="center"/>
          </w:tcPr>
          <w:p w14:paraId="2676147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160,766,182.50</w:t>
            </w:r>
          </w:p>
        </w:tc>
        <w:tc>
          <w:tcPr>
            <w:tcW w:w="1928" w:type="dxa"/>
            <w:shd w:val="clear" w:color="auto" w:fill="FFFFFF" w:themeFill="background1"/>
            <w:vAlign w:val="center"/>
          </w:tcPr>
          <w:p w14:paraId="1AFB8F7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163,952,282.43</w:t>
            </w:r>
          </w:p>
        </w:tc>
      </w:tr>
      <w:tr w:rsidR="00632E5B" w14:paraId="0F3CF515" w14:textId="77777777" w:rsidTr="008B6556">
        <w:trPr>
          <w:trHeight w:val="240"/>
        </w:trPr>
        <w:tc>
          <w:tcPr>
            <w:tcW w:w="1928" w:type="dxa"/>
            <w:shd w:val="clear" w:color="auto" w:fill="FFFFFF" w:themeFill="background1"/>
            <w:vAlign w:val="center"/>
          </w:tcPr>
          <w:p w14:paraId="40FCF751"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本期转回</w:t>
            </w:r>
          </w:p>
        </w:tc>
        <w:tc>
          <w:tcPr>
            <w:tcW w:w="1928" w:type="dxa"/>
            <w:shd w:val="clear" w:color="auto" w:fill="FFFFFF" w:themeFill="background1"/>
            <w:vAlign w:val="center"/>
          </w:tcPr>
          <w:p w14:paraId="43A8AD7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313,733.14</w:t>
            </w:r>
          </w:p>
        </w:tc>
        <w:tc>
          <w:tcPr>
            <w:tcW w:w="1928" w:type="dxa"/>
            <w:shd w:val="clear" w:color="auto" w:fill="FFFFFF" w:themeFill="background1"/>
            <w:vAlign w:val="center"/>
          </w:tcPr>
          <w:p w14:paraId="3913ED0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5,005,521.50</w:t>
            </w:r>
          </w:p>
        </w:tc>
        <w:tc>
          <w:tcPr>
            <w:tcW w:w="1928" w:type="dxa"/>
            <w:shd w:val="clear" w:color="auto" w:fill="FFFFFF" w:themeFill="background1"/>
            <w:vAlign w:val="center"/>
          </w:tcPr>
          <w:p w14:paraId="4C77DE02" w14:textId="77777777" w:rsidR="00632E5B" w:rsidRDefault="00632E5B">
            <w:pPr>
              <w:spacing w:line="240" w:lineRule="exact"/>
              <w:jc w:val="right"/>
              <w:rPr>
                <w:rFonts w:ascii="宋体" w:eastAsia="宋体" w:hAnsi="宋体" w:cs="宋体" w:hint="eastAsia"/>
                <w:sz w:val="18"/>
                <w:szCs w:val="18"/>
              </w:rPr>
            </w:pPr>
          </w:p>
        </w:tc>
        <w:tc>
          <w:tcPr>
            <w:tcW w:w="1928" w:type="dxa"/>
            <w:shd w:val="clear" w:color="auto" w:fill="FFFFFF" w:themeFill="background1"/>
            <w:vAlign w:val="center"/>
          </w:tcPr>
          <w:p w14:paraId="2D8CD7B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5,319,254.64</w:t>
            </w:r>
          </w:p>
        </w:tc>
      </w:tr>
      <w:tr w:rsidR="00632E5B" w14:paraId="3B3D59FE" w14:textId="77777777" w:rsidTr="008B6556">
        <w:trPr>
          <w:trHeight w:val="240"/>
        </w:trPr>
        <w:tc>
          <w:tcPr>
            <w:tcW w:w="1928" w:type="dxa"/>
            <w:shd w:val="clear" w:color="auto" w:fill="FFFFFF" w:themeFill="background1"/>
            <w:vAlign w:val="center"/>
          </w:tcPr>
          <w:p w14:paraId="3092D96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本期转销</w:t>
            </w:r>
          </w:p>
        </w:tc>
        <w:tc>
          <w:tcPr>
            <w:tcW w:w="1928" w:type="dxa"/>
            <w:shd w:val="clear" w:color="auto" w:fill="FFFFFF" w:themeFill="background1"/>
            <w:vAlign w:val="center"/>
          </w:tcPr>
          <w:p w14:paraId="0CAC30A6" w14:textId="77777777" w:rsidR="00632E5B" w:rsidRDefault="00632E5B">
            <w:pPr>
              <w:spacing w:line="240" w:lineRule="exact"/>
              <w:jc w:val="right"/>
              <w:rPr>
                <w:rFonts w:ascii="宋体" w:eastAsia="宋体" w:hAnsi="宋体" w:cs="宋体" w:hint="eastAsia"/>
                <w:sz w:val="18"/>
                <w:szCs w:val="18"/>
              </w:rPr>
            </w:pPr>
          </w:p>
        </w:tc>
        <w:tc>
          <w:tcPr>
            <w:tcW w:w="1928" w:type="dxa"/>
            <w:shd w:val="clear" w:color="auto" w:fill="FFFFFF" w:themeFill="background1"/>
            <w:vAlign w:val="center"/>
          </w:tcPr>
          <w:p w14:paraId="44D3020F" w14:textId="77777777" w:rsidR="00632E5B" w:rsidRDefault="00632E5B">
            <w:pPr>
              <w:spacing w:line="240" w:lineRule="exact"/>
              <w:jc w:val="right"/>
              <w:rPr>
                <w:rFonts w:ascii="宋体" w:eastAsia="宋体" w:hAnsi="宋体" w:cs="宋体" w:hint="eastAsia"/>
                <w:sz w:val="18"/>
                <w:szCs w:val="18"/>
              </w:rPr>
            </w:pPr>
          </w:p>
        </w:tc>
        <w:tc>
          <w:tcPr>
            <w:tcW w:w="1928" w:type="dxa"/>
            <w:shd w:val="clear" w:color="auto" w:fill="FFFFFF" w:themeFill="background1"/>
            <w:vAlign w:val="center"/>
          </w:tcPr>
          <w:p w14:paraId="6E02C44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602,167,117.24</w:t>
            </w:r>
          </w:p>
        </w:tc>
        <w:tc>
          <w:tcPr>
            <w:tcW w:w="1928" w:type="dxa"/>
            <w:shd w:val="clear" w:color="auto" w:fill="FFFFFF" w:themeFill="background1"/>
            <w:vAlign w:val="center"/>
          </w:tcPr>
          <w:p w14:paraId="7B31A96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602,167,117.24</w:t>
            </w:r>
          </w:p>
        </w:tc>
      </w:tr>
      <w:tr w:rsidR="00632E5B" w14:paraId="20CE519D" w14:textId="77777777" w:rsidTr="008B6556">
        <w:trPr>
          <w:trHeight w:val="240"/>
        </w:trPr>
        <w:tc>
          <w:tcPr>
            <w:tcW w:w="1928" w:type="dxa"/>
            <w:shd w:val="clear" w:color="auto" w:fill="FFFFFF" w:themeFill="background1"/>
            <w:vAlign w:val="center"/>
          </w:tcPr>
          <w:p w14:paraId="3BB2434F"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2024年12月31日余额</w:t>
            </w:r>
          </w:p>
        </w:tc>
        <w:tc>
          <w:tcPr>
            <w:tcW w:w="1928" w:type="dxa"/>
            <w:shd w:val="clear" w:color="auto" w:fill="FFFFFF" w:themeFill="background1"/>
            <w:vAlign w:val="center"/>
          </w:tcPr>
          <w:p w14:paraId="40CD05F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43,290.73</w:t>
            </w:r>
          </w:p>
        </w:tc>
        <w:tc>
          <w:tcPr>
            <w:tcW w:w="1928" w:type="dxa"/>
            <w:shd w:val="clear" w:color="auto" w:fill="FFFFFF" w:themeFill="background1"/>
            <w:vAlign w:val="center"/>
          </w:tcPr>
          <w:p w14:paraId="146AAD8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5,468,747.46</w:t>
            </w:r>
          </w:p>
        </w:tc>
        <w:tc>
          <w:tcPr>
            <w:tcW w:w="1928" w:type="dxa"/>
            <w:shd w:val="clear" w:color="auto" w:fill="FFFFFF" w:themeFill="background1"/>
            <w:vAlign w:val="center"/>
          </w:tcPr>
          <w:p w14:paraId="5B8FAA8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654,280.58</w:t>
            </w:r>
          </w:p>
        </w:tc>
        <w:tc>
          <w:tcPr>
            <w:tcW w:w="1928" w:type="dxa"/>
            <w:shd w:val="clear" w:color="auto" w:fill="FFFFFF" w:themeFill="background1"/>
            <w:vAlign w:val="center"/>
          </w:tcPr>
          <w:p w14:paraId="318D9D0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6,166,318.77</w:t>
            </w:r>
          </w:p>
        </w:tc>
      </w:tr>
    </w:tbl>
    <w:p w14:paraId="7F813657" w14:textId="77777777" w:rsidR="008B6556" w:rsidRDefault="008B6556">
      <w:pPr>
        <w:spacing w:before="100" w:after="100" w:line="240" w:lineRule="exact"/>
        <w:rPr>
          <w:rFonts w:ascii="宋体" w:eastAsia="宋体" w:hAnsi="宋体" w:cs="宋体" w:hint="eastAsia"/>
          <w:sz w:val="18"/>
          <w:szCs w:val="18"/>
        </w:rPr>
      </w:pPr>
    </w:p>
    <w:p w14:paraId="1B0C502D" w14:textId="77777777" w:rsidR="008B6556" w:rsidRDefault="008B6556">
      <w:pPr>
        <w:widowControl/>
        <w:rPr>
          <w:rFonts w:ascii="宋体" w:eastAsia="宋体" w:hAnsi="宋体" w:cs="宋体" w:hint="eastAsia"/>
          <w:sz w:val="18"/>
          <w:szCs w:val="18"/>
        </w:rPr>
      </w:pPr>
      <w:r>
        <w:rPr>
          <w:rFonts w:ascii="宋体" w:eastAsia="宋体" w:hAnsi="宋体" w:cs="宋体" w:hint="eastAsia"/>
          <w:sz w:val="18"/>
          <w:szCs w:val="18"/>
        </w:rPr>
        <w:br w:type="page"/>
      </w:r>
    </w:p>
    <w:p w14:paraId="261DCABB" w14:textId="1B0E9F91"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lastRenderedPageBreak/>
        <w:t>各阶段划分依据和坏账准备计提比例</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1856"/>
        <w:gridCol w:w="1984"/>
        <w:gridCol w:w="1984"/>
        <w:gridCol w:w="1984"/>
        <w:gridCol w:w="1928"/>
      </w:tblGrid>
      <w:tr w:rsidR="00E72F0C" w:rsidRPr="00F84867" w14:paraId="5FFAB3A2" w14:textId="77777777" w:rsidTr="008B6556">
        <w:trPr>
          <w:divId w:val="1841919709"/>
          <w:trHeight w:val="312"/>
          <w:tblHeader/>
        </w:trPr>
        <w:tc>
          <w:tcPr>
            <w:tcW w:w="953" w:type="pct"/>
            <w:shd w:val="clear" w:color="auto" w:fill="FFFFFF" w:themeFill="background1"/>
            <w:noWrap/>
            <w:tcMar>
              <w:top w:w="12" w:type="dxa"/>
              <w:left w:w="12" w:type="dxa"/>
              <w:bottom w:w="0" w:type="dxa"/>
              <w:right w:w="12" w:type="dxa"/>
            </w:tcMar>
            <w:vAlign w:val="center"/>
            <w:hideMark/>
          </w:tcPr>
          <w:p w14:paraId="5FF7217A"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阶段</w:t>
            </w:r>
          </w:p>
        </w:tc>
        <w:tc>
          <w:tcPr>
            <w:tcW w:w="1019" w:type="pct"/>
            <w:shd w:val="clear" w:color="auto" w:fill="FFFFFF" w:themeFill="background1"/>
            <w:noWrap/>
            <w:tcMar>
              <w:top w:w="12" w:type="dxa"/>
              <w:left w:w="12" w:type="dxa"/>
              <w:bottom w:w="0" w:type="dxa"/>
              <w:right w:w="12" w:type="dxa"/>
            </w:tcMar>
            <w:vAlign w:val="center"/>
            <w:hideMark/>
          </w:tcPr>
          <w:p w14:paraId="26CC3258"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账面余额</w:t>
            </w:r>
          </w:p>
        </w:tc>
        <w:tc>
          <w:tcPr>
            <w:tcW w:w="1019" w:type="pct"/>
            <w:shd w:val="clear" w:color="auto" w:fill="FFFFFF" w:themeFill="background1"/>
            <w:noWrap/>
            <w:tcMar>
              <w:top w:w="12" w:type="dxa"/>
              <w:left w:w="12" w:type="dxa"/>
              <w:bottom w:w="0" w:type="dxa"/>
              <w:right w:w="12" w:type="dxa"/>
            </w:tcMar>
            <w:vAlign w:val="center"/>
            <w:hideMark/>
          </w:tcPr>
          <w:p w14:paraId="02B41877"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坏账准备计提比例（%）</w:t>
            </w:r>
          </w:p>
        </w:tc>
        <w:tc>
          <w:tcPr>
            <w:tcW w:w="1019" w:type="pct"/>
            <w:shd w:val="clear" w:color="auto" w:fill="FFFFFF" w:themeFill="background1"/>
            <w:tcMar>
              <w:top w:w="12" w:type="dxa"/>
              <w:left w:w="12" w:type="dxa"/>
              <w:bottom w:w="0" w:type="dxa"/>
              <w:right w:w="12" w:type="dxa"/>
            </w:tcMar>
            <w:vAlign w:val="center"/>
            <w:hideMark/>
          </w:tcPr>
          <w:p w14:paraId="521B2D13"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坏账准备</w:t>
            </w:r>
          </w:p>
        </w:tc>
        <w:tc>
          <w:tcPr>
            <w:tcW w:w="990" w:type="pct"/>
            <w:shd w:val="clear" w:color="auto" w:fill="FFFFFF" w:themeFill="background1"/>
            <w:tcMar>
              <w:top w:w="12" w:type="dxa"/>
              <w:left w:w="12" w:type="dxa"/>
              <w:bottom w:w="0" w:type="dxa"/>
              <w:right w:w="12" w:type="dxa"/>
            </w:tcMar>
            <w:vAlign w:val="center"/>
            <w:hideMark/>
          </w:tcPr>
          <w:p w14:paraId="779D134F"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账面价值</w:t>
            </w:r>
          </w:p>
        </w:tc>
      </w:tr>
      <w:tr w:rsidR="00E72F0C" w:rsidRPr="00F84867" w14:paraId="23965E59" w14:textId="77777777" w:rsidTr="008B6556">
        <w:trPr>
          <w:divId w:val="1841919709"/>
          <w:trHeight w:val="312"/>
        </w:trPr>
        <w:tc>
          <w:tcPr>
            <w:tcW w:w="953" w:type="pct"/>
            <w:shd w:val="clear" w:color="auto" w:fill="FFFFFF" w:themeFill="background1"/>
            <w:noWrap/>
            <w:tcMar>
              <w:top w:w="12" w:type="dxa"/>
              <w:left w:w="12" w:type="dxa"/>
              <w:bottom w:w="0" w:type="dxa"/>
              <w:right w:w="12" w:type="dxa"/>
            </w:tcMar>
            <w:vAlign w:val="bottom"/>
            <w:hideMark/>
          </w:tcPr>
          <w:p w14:paraId="2FCA4A75"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第一阶段</w:t>
            </w:r>
          </w:p>
        </w:tc>
        <w:tc>
          <w:tcPr>
            <w:tcW w:w="1019" w:type="pct"/>
            <w:shd w:val="clear" w:color="auto" w:fill="FFFFFF" w:themeFill="background1"/>
            <w:noWrap/>
            <w:tcMar>
              <w:top w:w="12" w:type="dxa"/>
              <w:left w:w="12" w:type="dxa"/>
              <w:bottom w:w="0" w:type="dxa"/>
              <w:right w:w="12" w:type="dxa"/>
            </w:tcMar>
            <w:vAlign w:val="center"/>
            <w:hideMark/>
          </w:tcPr>
          <w:p w14:paraId="7E9746F6"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3,517,791,494.68 </w:t>
            </w:r>
          </w:p>
        </w:tc>
        <w:tc>
          <w:tcPr>
            <w:tcW w:w="1019" w:type="pct"/>
            <w:shd w:val="clear" w:color="auto" w:fill="FFFFFF" w:themeFill="background1"/>
            <w:noWrap/>
            <w:tcMar>
              <w:top w:w="12" w:type="dxa"/>
              <w:left w:w="12" w:type="dxa"/>
              <w:bottom w:w="0" w:type="dxa"/>
              <w:right w:w="12" w:type="dxa"/>
            </w:tcMar>
            <w:vAlign w:val="center"/>
            <w:hideMark/>
          </w:tcPr>
          <w:p w14:paraId="0C8A511E"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0.00 </w:t>
            </w:r>
          </w:p>
        </w:tc>
        <w:tc>
          <w:tcPr>
            <w:tcW w:w="1019" w:type="pct"/>
            <w:shd w:val="clear" w:color="auto" w:fill="FFFFFF" w:themeFill="background1"/>
            <w:tcMar>
              <w:top w:w="12" w:type="dxa"/>
              <w:left w:w="12" w:type="dxa"/>
              <w:bottom w:w="0" w:type="dxa"/>
              <w:right w:w="12" w:type="dxa"/>
            </w:tcMar>
            <w:vAlign w:val="center"/>
            <w:hideMark/>
          </w:tcPr>
          <w:p w14:paraId="3156A838"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43,290.73 </w:t>
            </w:r>
          </w:p>
        </w:tc>
        <w:tc>
          <w:tcPr>
            <w:tcW w:w="990" w:type="pct"/>
            <w:shd w:val="clear" w:color="auto" w:fill="FFFFFF" w:themeFill="background1"/>
            <w:tcMar>
              <w:top w:w="12" w:type="dxa"/>
              <w:left w:w="12" w:type="dxa"/>
              <w:bottom w:w="0" w:type="dxa"/>
              <w:right w:w="12" w:type="dxa"/>
            </w:tcMar>
            <w:vAlign w:val="center"/>
            <w:hideMark/>
          </w:tcPr>
          <w:p w14:paraId="64802849"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3,517,748,203.95 </w:t>
            </w:r>
          </w:p>
        </w:tc>
      </w:tr>
      <w:tr w:rsidR="00E72F0C" w:rsidRPr="00F84867" w14:paraId="4F2FEBF1" w14:textId="77777777" w:rsidTr="008B6556">
        <w:trPr>
          <w:divId w:val="1841919709"/>
          <w:trHeight w:val="312"/>
        </w:trPr>
        <w:tc>
          <w:tcPr>
            <w:tcW w:w="953" w:type="pct"/>
            <w:shd w:val="clear" w:color="auto" w:fill="FFFFFF" w:themeFill="background1"/>
            <w:noWrap/>
            <w:tcMar>
              <w:top w:w="12" w:type="dxa"/>
              <w:left w:w="12" w:type="dxa"/>
              <w:bottom w:w="0" w:type="dxa"/>
              <w:right w:w="12" w:type="dxa"/>
            </w:tcMar>
            <w:vAlign w:val="bottom"/>
            <w:hideMark/>
          </w:tcPr>
          <w:p w14:paraId="5AAE5066"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第二阶段</w:t>
            </w:r>
          </w:p>
        </w:tc>
        <w:tc>
          <w:tcPr>
            <w:tcW w:w="1019" w:type="pct"/>
            <w:shd w:val="clear" w:color="auto" w:fill="FFFFFF" w:themeFill="background1"/>
            <w:noWrap/>
            <w:tcMar>
              <w:top w:w="12" w:type="dxa"/>
              <w:left w:w="12" w:type="dxa"/>
              <w:bottom w:w="0" w:type="dxa"/>
              <w:right w:w="12" w:type="dxa"/>
            </w:tcMar>
            <w:vAlign w:val="center"/>
            <w:hideMark/>
          </w:tcPr>
          <w:p w14:paraId="6C4F519D"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45,566,936.98 </w:t>
            </w:r>
          </w:p>
        </w:tc>
        <w:tc>
          <w:tcPr>
            <w:tcW w:w="1019" w:type="pct"/>
            <w:shd w:val="clear" w:color="auto" w:fill="FFFFFF" w:themeFill="background1"/>
            <w:noWrap/>
            <w:tcMar>
              <w:top w:w="12" w:type="dxa"/>
              <w:left w:w="12" w:type="dxa"/>
              <w:bottom w:w="0" w:type="dxa"/>
              <w:right w:w="12" w:type="dxa"/>
            </w:tcMar>
            <w:vAlign w:val="center"/>
            <w:hideMark/>
          </w:tcPr>
          <w:p w14:paraId="39FAD7D7"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12.00 </w:t>
            </w:r>
          </w:p>
        </w:tc>
        <w:tc>
          <w:tcPr>
            <w:tcW w:w="1019" w:type="pct"/>
            <w:shd w:val="clear" w:color="auto" w:fill="FFFFFF" w:themeFill="background1"/>
            <w:tcMar>
              <w:top w:w="12" w:type="dxa"/>
              <w:left w:w="12" w:type="dxa"/>
              <w:bottom w:w="0" w:type="dxa"/>
              <w:right w:w="12" w:type="dxa"/>
            </w:tcMar>
            <w:vAlign w:val="center"/>
            <w:hideMark/>
          </w:tcPr>
          <w:p w14:paraId="67372AD8"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5,468,747.46 </w:t>
            </w:r>
          </w:p>
        </w:tc>
        <w:tc>
          <w:tcPr>
            <w:tcW w:w="990" w:type="pct"/>
            <w:shd w:val="clear" w:color="auto" w:fill="FFFFFF" w:themeFill="background1"/>
            <w:tcMar>
              <w:top w:w="12" w:type="dxa"/>
              <w:left w:w="12" w:type="dxa"/>
              <w:bottom w:w="0" w:type="dxa"/>
              <w:right w:w="12" w:type="dxa"/>
            </w:tcMar>
            <w:vAlign w:val="center"/>
            <w:hideMark/>
          </w:tcPr>
          <w:p w14:paraId="4A739535"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40,098,189.52 </w:t>
            </w:r>
          </w:p>
        </w:tc>
      </w:tr>
      <w:tr w:rsidR="00E72F0C" w:rsidRPr="00F84867" w14:paraId="2CEF667C" w14:textId="77777777" w:rsidTr="008B6556">
        <w:trPr>
          <w:divId w:val="1841919709"/>
          <w:trHeight w:val="312"/>
        </w:trPr>
        <w:tc>
          <w:tcPr>
            <w:tcW w:w="953" w:type="pct"/>
            <w:shd w:val="clear" w:color="auto" w:fill="FFFFFF" w:themeFill="background1"/>
            <w:noWrap/>
            <w:tcMar>
              <w:top w:w="12" w:type="dxa"/>
              <w:left w:w="12" w:type="dxa"/>
              <w:bottom w:w="0" w:type="dxa"/>
              <w:right w:w="12" w:type="dxa"/>
            </w:tcMar>
            <w:vAlign w:val="bottom"/>
            <w:hideMark/>
          </w:tcPr>
          <w:p w14:paraId="7C7B66A5"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第三阶段</w:t>
            </w:r>
          </w:p>
        </w:tc>
        <w:tc>
          <w:tcPr>
            <w:tcW w:w="1019" w:type="pct"/>
            <w:shd w:val="clear" w:color="auto" w:fill="FFFFFF" w:themeFill="background1"/>
            <w:noWrap/>
            <w:tcMar>
              <w:top w:w="12" w:type="dxa"/>
              <w:left w:w="12" w:type="dxa"/>
              <w:bottom w:w="0" w:type="dxa"/>
              <w:right w:w="12" w:type="dxa"/>
            </w:tcMar>
            <w:vAlign w:val="center"/>
            <w:hideMark/>
          </w:tcPr>
          <w:p w14:paraId="251DCFF0"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654,280.58 </w:t>
            </w:r>
          </w:p>
        </w:tc>
        <w:tc>
          <w:tcPr>
            <w:tcW w:w="1019" w:type="pct"/>
            <w:shd w:val="clear" w:color="auto" w:fill="FFFFFF" w:themeFill="background1"/>
            <w:noWrap/>
            <w:tcMar>
              <w:top w:w="12" w:type="dxa"/>
              <w:left w:w="12" w:type="dxa"/>
              <w:bottom w:w="0" w:type="dxa"/>
              <w:right w:w="12" w:type="dxa"/>
            </w:tcMar>
            <w:vAlign w:val="center"/>
            <w:hideMark/>
          </w:tcPr>
          <w:p w14:paraId="03BEF7BE"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100.00 </w:t>
            </w:r>
          </w:p>
        </w:tc>
        <w:tc>
          <w:tcPr>
            <w:tcW w:w="1019" w:type="pct"/>
            <w:shd w:val="clear" w:color="auto" w:fill="FFFFFF" w:themeFill="background1"/>
            <w:tcMar>
              <w:top w:w="12" w:type="dxa"/>
              <w:left w:w="12" w:type="dxa"/>
              <w:bottom w:w="0" w:type="dxa"/>
              <w:right w:w="12" w:type="dxa"/>
            </w:tcMar>
            <w:vAlign w:val="center"/>
            <w:hideMark/>
          </w:tcPr>
          <w:p w14:paraId="5032E76C"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654,280.58 </w:t>
            </w:r>
          </w:p>
        </w:tc>
        <w:tc>
          <w:tcPr>
            <w:tcW w:w="990" w:type="pct"/>
            <w:shd w:val="clear" w:color="auto" w:fill="FFFFFF" w:themeFill="background1"/>
            <w:tcMar>
              <w:top w:w="12" w:type="dxa"/>
              <w:left w:w="12" w:type="dxa"/>
              <w:bottom w:w="0" w:type="dxa"/>
              <w:right w:w="12" w:type="dxa"/>
            </w:tcMar>
            <w:vAlign w:val="center"/>
            <w:hideMark/>
          </w:tcPr>
          <w:p w14:paraId="4BE50B4D"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w:t>
            </w:r>
          </w:p>
        </w:tc>
      </w:tr>
      <w:tr w:rsidR="00E72F0C" w:rsidRPr="00F84867" w14:paraId="3B1E1688" w14:textId="77777777" w:rsidTr="008B6556">
        <w:trPr>
          <w:divId w:val="1841919709"/>
          <w:trHeight w:val="327"/>
        </w:trPr>
        <w:tc>
          <w:tcPr>
            <w:tcW w:w="953" w:type="pct"/>
            <w:shd w:val="clear" w:color="auto" w:fill="FFFFFF" w:themeFill="background1"/>
            <w:noWrap/>
            <w:tcMar>
              <w:top w:w="12" w:type="dxa"/>
              <w:left w:w="12" w:type="dxa"/>
              <w:bottom w:w="0" w:type="dxa"/>
              <w:right w:w="12" w:type="dxa"/>
            </w:tcMar>
            <w:vAlign w:val="bottom"/>
            <w:hideMark/>
          </w:tcPr>
          <w:p w14:paraId="773B70E5" w14:textId="77777777" w:rsidR="00E72F0C" w:rsidRPr="00F84867" w:rsidRDefault="00107901">
            <w:pPr>
              <w:pStyle w:val="a3"/>
              <w:spacing w:before="0" w:beforeAutospacing="0" w:after="0" w:afterAutospacing="0"/>
              <w:jc w:val="center"/>
              <w:textAlignment w:val="bottom"/>
              <w:rPr>
                <w:rFonts w:asciiTheme="minorEastAsia" w:eastAsiaTheme="minorEastAsia" w:hAnsiTheme="minorEastAsia" w:cs="Times New Roman" w:hint="eastAsia"/>
                <w:sz w:val="21"/>
                <w:szCs w:val="21"/>
              </w:rPr>
            </w:pPr>
            <w:r w:rsidRPr="00F84867">
              <w:rPr>
                <w:rFonts w:asciiTheme="minorEastAsia" w:eastAsiaTheme="minorEastAsia" w:hAnsiTheme="minorEastAsia" w:cs="Times New Roman" w:hint="eastAsia"/>
                <w:color w:val="000000"/>
                <w:sz w:val="18"/>
                <w:szCs w:val="18"/>
              </w:rPr>
              <w:t>合计</w:t>
            </w:r>
          </w:p>
        </w:tc>
        <w:tc>
          <w:tcPr>
            <w:tcW w:w="1019" w:type="pct"/>
            <w:shd w:val="clear" w:color="auto" w:fill="FFFFFF" w:themeFill="background1"/>
            <w:noWrap/>
            <w:tcMar>
              <w:top w:w="12" w:type="dxa"/>
              <w:left w:w="12" w:type="dxa"/>
              <w:bottom w:w="0" w:type="dxa"/>
              <w:right w:w="12" w:type="dxa"/>
            </w:tcMar>
            <w:vAlign w:val="center"/>
            <w:hideMark/>
          </w:tcPr>
          <w:p w14:paraId="3E66F6D4"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3,564,012,712.24 </w:t>
            </w:r>
          </w:p>
        </w:tc>
        <w:tc>
          <w:tcPr>
            <w:tcW w:w="1019" w:type="pct"/>
            <w:shd w:val="clear" w:color="auto" w:fill="FFFFFF" w:themeFill="background1"/>
            <w:noWrap/>
            <w:tcMar>
              <w:top w:w="12" w:type="dxa"/>
              <w:left w:w="12" w:type="dxa"/>
              <w:bottom w:w="0" w:type="dxa"/>
              <w:right w:w="12" w:type="dxa"/>
            </w:tcMar>
            <w:vAlign w:val="center"/>
            <w:hideMark/>
          </w:tcPr>
          <w:p w14:paraId="0F1803C0"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 0.17 </w:t>
            </w:r>
          </w:p>
        </w:tc>
        <w:tc>
          <w:tcPr>
            <w:tcW w:w="1019" w:type="pct"/>
            <w:shd w:val="clear" w:color="auto" w:fill="FFFFFF" w:themeFill="background1"/>
            <w:tcMar>
              <w:top w:w="12" w:type="dxa"/>
              <w:left w:w="12" w:type="dxa"/>
              <w:bottom w:w="0" w:type="dxa"/>
              <w:right w:w="12" w:type="dxa"/>
            </w:tcMar>
            <w:vAlign w:val="center"/>
            <w:hideMark/>
          </w:tcPr>
          <w:p w14:paraId="2754A356"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6,166,318.77 </w:t>
            </w:r>
          </w:p>
        </w:tc>
        <w:tc>
          <w:tcPr>
            <w:tcW w:w="990" w:type="pct"/>
            <w:shd w:val="clear" w:color="auto" w:fill="FFFFFF" w:themeFill="background1"/>
            <w:tcMar>
              <w:top w:w="12" w:type="dxa"/>
              <w:left w:w="12" w:type="dxa"/>
              <w:bottom w:w="0" w:type="dxa"/>
              <w:right w:w="12" w:type="dxa"/>
            </w:tcMar>
            <w:vAlign w:val="center"/>
            <w:hideMark/>
          </w:tcPr>
          <w:p w14:paraId="750AD1C3" w14:textId="77777777" w:rsidR="00E72F0C" w:rsidRPr="00F84867" w:rsidRDefault="00107901">
            <w:pPr>
              <w:pStyle w:val="a3"/>
              <w:spacing w:before="0" w:beforeAutospacing="0" w:after="0" w:afterAutospacing="0"/>
              <w:jc w:val="right"/>
              <w:rPr>
                <w:rFonts w:asciiTheme="minorEastAsia" w:eastAsiaTheme="minorEastAsia" w:hAnsiTheme="minorEastAsia" w:cs="Times New Roman" w:hint="eastAsia"/>
                <w:sz w:val="21"/>
                <w:szCs w:val="21"/>
              </w:rPr>
            </w:pPr>
            <w:r w:rsidRPr="00F84867">
              <w:rPr>
                <w:rFonts w:asciiTheme="minorEastAsia" w:eastAsiaTheme="minorEastAsia" w:hAnsiTheme="minorEastAsia" w:cs="Arial"/>
                <w:sz w:val="18"/>
                <w:szCs w:val="18"/>
              </w:rPr>
              <w:t xml:space="preserve">3,557,846,393.47 </w:t>
            </w:r>
          </w:p>
        </w:tc>
      </w:tr>
    </w:tbl>
    <w:p w14:paraId="70DBEB24"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损失准备本期变动金额重大的账面余额变动情况</w:t>
      </w:r>
    </w:p>
    <w:p w14:paraId="3FD8B7D8"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811A55E" w14:textId="77777777" w:rsidR="00632E5B" w:rsidRDefault="00107901">
      <w:pPr>
        <w:keepNext/>
        <w:keepLines/>
        <w:spacing w:before="300" w:after="300" w:line="280" w:lineRule="exact"/>
        <w:outlineLvl w:val="4"/>
        <w:rPr>
          <w:rFonts w:ascii="宋体" w:eastAsia="宋体" w:hAnsi="宋体" w:cs="宋体" w:hint="eastAsia"/>
          <w:b/>
          <w:bCs/>
          <w:sz w:val="18"/>
          <w:szCs w:val="18"/>
        </w:rPr>
      </w:pPr>
      <w:bookmarkStart w:id="405" w:name="_Toc989295"/>
      <w:r>
        <w:rPr>
          <w:rFonts w:ascii="宋体" w:eastAsia="宋体" w:hAnsi="宋体" w:cs="宋体"/>
          <w:b/>
          <w:bCs/>
          <w:sz w:val="18"/>
          <w:szCs w:val="18"/>
        </w:rPr>
        <w:t>4） 本期计提、收回或转回的坏账准备情况</w:t>
      </w:r>
      <w:bookmarkEnd w:id="405"/>
    </w:p>
    <w:p w14:paraId="5802076D"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本期计提坏账准备情况：</w:t>
      </w:r>
    </w:p>
    <w:p w14:paraId="60E3B93C"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377"/>
        <w:gridCol w:w="1377"/>
        <w:gridCol w:w="1377"/>
        <w:gridCol w:w="1377"/>
        <w:gridCol w:w="1377"/>
        <w:gridCol w:w="1377"/>
        <w:gridCol w:w="1377"/>
      </w:tblGrid>
      <w:tr w:rsidR="00632E5B" w14:paraId="6ED5A030" w14:textId="77777777" w:rsidTr="008B6556">
        <w:trPr>
          <w:trHeight w:val="240"/>
        </w:trPr>
        <w:tc>
          <w:tcPr>
            <w:tcW w:w="1377" w:type="dxa"/>
            <w:vMerge w:val="restart"/>
            <w:shd w:val="clear" w:color="auto" w:fill="FFFFFF" w:themeFill="background1"/>
            <w:vAlign w:val="center"/>
          </w:tcPr>
          <w:p w14:paraId="1B462E6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类别</w:t>
            </w:r>
          </w:p>
        </w:tc>
        <w:tc>
          <w:tcPr>
            <w:tcW w:w="1377" w:type="dxa"/>
            <w:vMerge w:val="restart"/>
            <w:shd w:val="clear" w:color="auto" w:fill="FFFFFF" w:themeFill="background1"/>
            <w:vAlign w:val="center"/>
          </w:tcPr>
          <w:p w14:paraId="6E70008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5508" w:type="dxa"/>
            <w:gridSpan w:val="4"/>
            <w:shd w:val="clear" w:color="auto" w:fill="FFFFFF" w:themeFill="background1"/>
            <w:vAlign w:val="center"/>
          </w:tcPr>
          <w:p w14:paraId="59D25C8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本期变动金额</w:t>
            </w:r>
          </w:p>
        </w:tc>
        <w:tc>
          <w:tcPr>
            <w:tcW w:w="1377" w:type="dxa"/>
            <w:vMerge w:val="restart"/>
            <w:shd w:val="clear" w:color="auto" w:fill="FFFFFF" w:themeFill="background1"/>
            <w:vAlign w:val="center"/>
          </w:tcPr>
          <w:p w14:paraId="76351E3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632E5B" w14:paraId="4FBAE364" w14:textId="77777777" w:rsidTr="008B6556">
        <w:trPr>
          <w:trHeight w:val="240"/>
        </w:trPr>
        <w:tc>
          <w:tcPr>
            <w:tcW w:w="1377" w:type="dxa"/>
            <w:vMerge/>
            <w:shd w:val="clear" w:color="auto" w:fill="FFFFFF" w:themeFill="background1"/>
            <w:vAlign w:val="center"/>
          </w:tcPr>
          <w:p w14:paraId="146F3ADD" w14:textId="77777777" w:rsidR="00632E5B" w:rsidRDefault="00632E5B"/>
        </w:tc>
        <w:tc>
          <w:tcPr>
            <w:tcW w:w="1377" w:type="dxa"/>
            <w:vMerge/>
            <w:shd w:val="clear" w:color="auto" w:fill="FFFFFF" w:themeFill="background1"/>
            <w:vAlign w:val="center"/>
          </w:tcPr>
          <w:p w14:paraId="0A31F9A5" w14:textId="77777777" w:rsidR="00632E5B" w:rsidRDefault="00632E5B"/>
        </w:tc>
        <w:tc>
          <w:tcPr>
            <w:tcW w:w="1377" w:type="dxa"/>
            <w:shd w:val="clear" w:color="auto" w:fill="FFFFFF" w:themeFill="background1"/>
            <w:vAlign w:val="center"/>
          </w:tcPr>
          <w:p w14:paraId="3A42DBC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w:t>
            </w:r>
          </w:p>
        </w:tc>
        <w:tc>
          <w:tcPr>
            <w:tcW w:w="1377" w:type="dxa"/>
            <w:shd w:val="clear" w:color="auto" w:fill="FFFFFF" w:themeFill="background1"/>
            <w:vAlign w:val="center"/>
          </w:tcPr>
          <w:p w14:paraId="31F5200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收回或转回</w:t>
            </w:r>
          </w:p>
        </w:tc>
        <w:tc>
          <w:tcPr>
            <w:tcW w:w="1377" w:type="dxa"/>
            <w:shd w:val="clear" w:color="auto" w:fill="FFFFFF" w:themeFill="background1"/>
            <w:vAlign w:val="center"/>
          </w:tcPr>
          <w:p w14:paraId="23DB819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转销或核销</w:t>
            </w:r>
          </w:p>
        </w:tc>
        <w:tc>
          <w:tcPr>
            <w:tcW w:w="1377" w:type="dxa"/>
            <w:shd w:val="clear" w:color="auto" w:fill="FFFFFF" w:themeFill="background1"/>
            <w:vAlign w:val="center"/>
          </w:tcPr>
          <w:p w14:paraId="37085DA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1377" w:type="dxa"/>
            <w:vMerge/>
            <w:shd w:val="clear" w:color="auto" w:fill="FFFFFF" w:themeFill="background1"/>
            <w:vAlign w:val="center"/>
          </w:tcPr>
          <w:p w14:paraId="56FD5536" w14:textId="77777777" w:rsidR="00632E5B" w:rsidRDefault="00632E5B"/>
        </w:tc>
      </w:tr>
      <w:tr w:rsidR="00632E5B" w14:paraId="0BCBB678" w14:textId="77777777" w:rsidTr="008B6556">
        <w:trPr>
          <w:trHeight w:val="240"/>
        </w:trPr>
        <w:tc>
          <w:tcPr>
            <w:tcW w:w="1377" w:type="dxa"/>
            <w:shd w:val="clear" w:color="auto" w:fill="FFFFFF" w:themeFill="background1"/>
            <w:vAlign w:val="center"/>
          </w:tcPr>
          <w:p w14:paraId="4FB246F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单项计提</w:t>
            </w:r>
          </w:p>
        </w:tc>
        <w:tc>
          <w:tcPr>
            <w:tcW w:w="1377" w:type="dxa"/>
            <w:shd w:val="clear" w:color="auto" w:fill="FFFFFF" w:themeFill="background1"/>
            <w:vAlign w:val="center"/>
          </w:tcPr>
          <w:p w14:paraId="0558A708" w14:textId="77777777" w:rsidR="00632E5B" w:rsidRPr="002E64FA" w:rsidRDefault="00107901">
            <w:pPr>
              <w:spacing w:line="240" w:lineRule="exact"/>
              <w:jc w:val="right"/>
              <w:rPr>
                <w:rFonts w:ascii="宋体" w:eastAsia="宋体" w:hAnsi="宋体" w:cs="宋体" w:hint="eastAsia"/>
                <w:sz w:val="15"/>
                <w:szCs w:val="15"/>
              </w:rPr>
            </w:pPr>
            <w:r w:rsidRPr="002E64FA">
              <w:rPr>
                <w:rFonts w:ascii="宋体" w:eastAsia="宋体" w:hAnsi="宋体" w:cs="宋体"/>
                <w:sz w:val="15"/>
                <w:szCs w:val="15"/>
              </w:rPr>
              <w:t>441,679,334.73</w:t>
            </w:r>
          </w:p>
        </w:tc>
        <w:tc>
          <w:tcPr>
            <w:tcW w:w="1377" w:type="dxa"/>
            <w:shd w:val="clear" w:color="auto" w:fill="FFFFFF" w:themeFill="background1"/>
            <w:vAlign w:val="center"/>
          </w:tcPr>
          <w:p w14:paraId="350C8DB6" w14:textId="77777777" w:rsidR="00632E5B" w:rsidRPr="002E64FA" w:rsidRDefault="00107901">
            <w:pPr>
              <w:spacing w:line="240" w:lineRule="exact"/>
              <w:jc w:val="right"/>
              <w:rPr>
                <w:rFonts w:ascii="宋体" w:eastAsia="宋体" w:hAnsi="宋体" w:cs="宋体" w:hint="eastAsia"/>
                <w:sz w:val="15"/>
                <w:szCs w:val="15"/>
              </w:rPr>
            </w:pPr>
            <w:r w:rsidRPr="002E64FA">
              <w:rPr>
                <w:rFonts w:ascii="宋体" w:eastAsia="宋体" w:hAnsi="宋体" w:cs="宋体"/>
                <w:sz w:val="15"/>
                <w:szCs w:val="15"/>
              </w:rPr>
              <w:t>160,487,782.51</w:t>
            </w:r>
          </w:p>
        </w:tc>
        <w:tc>
          <w:tcPr>
            <w:tcW w:w="1377" w:type="dxa"/>
            <w:shd w:val="clear" w:color="auto" w:fill="FFFFFF" w:themeFill="background1"/>
            <w:vAlign w:val="center"/>
          </w:tcPr>
          <w:p w14:paraId="3DA5549C" w14:textId="77777777" w:rsidR="00632E5B" w:rsidRPr="002E64FA" w:rsidRDefault="00632E5B">
            <w:pPr>
              <w:spacing w:line="240" w:lineRule="exact"/>
              <w:jc w:val="right"/>
              <w:rPr>
                <w:rFonts w:ascii="宋体" w:eastAsia="宋体" w:hAnsi="宋体" w:cs="宋体" w:hint="eastAsia"/>
                <w:sz w:val="15"/>
                <w:szCs w:val="15"/>
              </w:rPr>
            </w:pPr>
          </w:p>
        </w:tc>
        <w:tc>
          <w:tcPr>
            <w:tcW w:w="1377" w:type="dxa"/>
            <w:shd w:val="clear" w:color="auto" w:fill="FFFFFF" w:themeFill="background1"/>
            <w:vAlign w:val="center"/>
          </w:tcPr>
          <w:p w14:paraId="0AABC82E" w14:textId="77777777" w:rsidR="00632E5B" w:rsidRPr="002E64FA" w:rsidRDefault="00107901">
            <w:pPr>
              <w:spacing w:line="240" w:lineRule="exact"/>
              <w:jc w:val="right"/>
              <w:rPr>
                <w:rFonts w:ascii="宋体" w:eastAsia="宋体" w:hAnsi="宋体" w:cs="宋体" w:hint="eastAsia"/>
                <w:sz w:val="15"/>
                <w:szCs w:val="15"/>
              </w:rPr>
            </w:pPr>
            <w:r w:rsidRPr="002E64FA">
              <w:rPr>
                <w:rFonts w:ascii="宋体" w:eastAsia="宋体" w:hAnsi="宋体" w:cs="宋体"/>
                <w:sz w:val="15"/>
                <w:szCs w:val="15"/>
              </w:rPr>
              <w:t>602,167,117.24</w:t>
            </w:r>
          </w:p>
        </w:tc>
        <w:tc>
          <w:tcPr>
            <w:tcW w:w="1377" w:type="dxa"/>
            <w:shd w:val="clear" w:color="auto" w:fill="FFFFFF" w:themeFill="background1"/>
            <w:vAlign w:val="center"/>
          </w:tcPr>
          <w:p w14:paraId="7B2B4893" w14:textId="77777777" w:rsidR="00632E5B" w:rsidRPr="002E64FA" w:rsidRDefault="00632E5B">
            <w:pPr>
              <w:spacing w:line="240" w:lineRule="exact"/>
              <w:jc w:val="right"/>
              <w:rPr>
                <w:rFonts w:ascii="宋体" w:eastAsia="宋体" w:hAnsi="宋体" w:cs="宋体" w:hint="eastAsia"/>
                <w:sz w:val="15"/>
                <w:szCs w:val="15"/>
              </w:rPr>
            </w:pPr>
          </w:p>
        </w:tc>
        <w:tc>
          <w:tcPr>
            <w:tcW w:w="1377" w:type="dxa"/>
            <w:shd w:val="clear" w:color="auto" w:fill="FFFFFF" w:themeFill="background1"/>
            <w:vAlign w:val="center"/>
          </w:tcPr>
          <w:p w14:paraId="468C34A0" w14:textId="77777777" w:rsidR="00632E5B" w:rsidRPr="002E64FA" w:rsidRDefault="00632E5B">
            <w:pPr>
              <w:spacing w:line="240" w:lineRule="exact"/>
              <w:jc w:val="right"/>
              <w:rPr>
                <w:rFonts w:ascii="宋体" w:eastAsia="宋体" w:hAnsi="宋体" w:cs="宋体" w:hint="eastAsia"/>
                <w:sz w:val="15"/>
                <w:szCs w:val="15"/>
              </w:rPr>
            </w:pPr>
          </w:p>
        </w:tc>
      </w:tr>
      <w:tr w:rsidR="00632E5B" w14:paraId="3301CAAE" w14:textId="77777777" w:rsidTr="008B6556">
        <w:trPr>
          <w:trHeight w:val="240"/>
        </w:trPr>
        <w:tc>
          <w:tcPr>
            <w:tcW w:w="1377" w:type="dxa"/>
            <w:shd w:val="clear" w:color="auto" w:fill="FFFFFF" w:themeFill="background1"/>
            <w:vAlign w:val="center"/>
          </w:tcPr>
          <w:p w14:paraId="2123D2F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组合计提</w:t>
            </w:r>
          </w:p>
        </w:tc>
        <w:tc>
          <w:tcPr>
            <w:tcW w:w="1377" w:type="dxa"/>
            <w:shd w:val="clear" w:color="auto" w:fill="FFFFFF" w:themeFill="background1"/>
            <w:vAlign w:val="center"/>
          </w:tcPr>
          <w:p w14:paraId="766212FE" w14:textId="77777777" w:rsidR="00632E5B" w:rsidRPr="002E64FA" w:rsidRDefault="00107901">
            <w:pPr>
              <w:spacing w:line="240" w:lineRule="exact"/>
              <w:jc w:val="right"/>
              <w:rPr>
                <w:rFonts w:ascii="宋体" w:eastAsia="宋体" w:hAnsi="宋体" w:cs="宋体" w:hint="eastAsia"/>
                <w:sz w:val="15"/>
                <w:szCs w:val="15"/>
              </w:rPr>
            </w:pPr>
            <w:r w:rsidRPr="002E64FA">
              <w:rPr>
                <w:rFonts w:ascii="宋体" w:eastAsia="宋体" w:hAnsi="宋体" w:cs="宋体"/>
                <w:sz w:val="15"/>
                <w:szCs w:val="15"/>
              </w:rPr>
              <w:t>8,021,073.49</w:t>
            </w:r>
          </w:p>
        </w:tc>
        <w:tc>
          <w:tcPr>
            <w:tcW w:w="1377" w:type="dxa"/>
            <w:shd w:val="clear" w:color="auto" w:fill="FFFFFF" w:themeFill="background1"/>
            <w:vAlign w:val="center"/>
          </w:tcPr>
          <w:p w14:paraId="2B7F875F" w14:textId="77777777" w:rsidR="00632E5B" w:rsidRPr="002E64FA" w:rsidRDefault="00107901">
            <w:pPr>
              <w:spacing w:line="240" w:lineRule="exact"/>
              <w:jc w:val="right"/>
              <w:rPr>
                <w:rFonts w:ascii="宋体" w:eastAsia="宋体" w:hAnsi="宋体" w:cs="宋体" w:hint="eastAsia"/>
                <w:sz w:val="15"/>
                <w:szCs w:val="15"/>
              </w:rPr>
            </w:pPr>
            <w:r w:rsidRPr="002E64FA">
              <w:rPr>
                <w:rFonts w:ascii="宋体" w:eastAsia="宋体" w:hAnsi="宋体" w:cs="宋体"/>
                <w:sz w:val="15"/>
                <w:szCs w:val="15"/>
              </w:rPr>
              <w:t>3,464,499.92</w:t>
            </w:r>
          </w:p>
        </w:tc>
        <w:tc>
          <w:tcPr>
            <w:tcW w:w="1377" w:type="dxa"/>
            <w:shd w:val="clear" w:color="auto" w:fill="FFFFFF" w:themeFill="background1"/>
            <w:vAlign w:val="center"/>
          </w:tcPr>
          <w:p w14:paraId="56790CF8" w14:textId="77777777" w:rsidR="00632E5B" w:rsidRPr="002E64FA" w:rsidRDefault="00107901">
            <w:pPr>
              <w:spacing w:line="240" w:lineRule="exact"/>
              <w:jc w:val="right"/>
              <w:rPr>
                <w:rFonts w:ascii="宋体" w:eastAsia="宋体" w:hAnsi="宋体" w:cs="宋体" w:hint="eastAsia"/>
                <w:sz w:val="15"/>
                <w:szCs w:val="15"/>
              </w:rPr>
            </w:pPr>
            <w:r w:rsidRPr="002E64FA">
              <w:rPr>
                <w:rFonts w:ascii="宋体" w:eastAsia="宋体" w:hAnsi="宋体" w:cs="宋体"/>
                <w:sz w:val="15"/>
                <w:szCs w:val="15"/>
              </w:rPr>
              <w:t>5,319,254.64</w:t>
            </w:r>
          </w:p>
        </w:tc>
        <w:tc>
          <w:tcPr>
            <w:tcW w:w="1377" w:type="dxa"/>
            <w:shd w:val="clear" w:color="auto" w:fill="FFFFFF" w:themeFill="background1"/>
            <w:vAlign w:val="center"/>
          </w:tcPr>
          <w:p w14:paraId="7CF36E8A" w14:textId="77777777" w:rsidR="00632E5B" w:rsidRPr="002E64FA" w:rsidRDefault="00632E5B">
            <w:pPr>
              <w:spacing w:line="240" w:lineRule="exact"/>
              <w:jc w:val="right"/>
              <w:rPr>
                <w:rFonts w:ascii="宋体" w:eastAsia="宋体" w:hAnsi="宋体" w:cs="宋体" w:hint="eastAsia"/>
                <w:sz w:val="15"/>
                <w:szCs w:val="15"/>
              </w:rPr>
            </w:pPr>
          </w:p>
        </w:tc>
        <w:tc>
          <w:tcPr>
            <w:tcW w:w="1377" w:type="dxa"/>
            <w:shd w:val="clear" w:color="auto" w:fill="FFFFFF" w:themeFill="background1"/>
            <w:vAlign w:val="center"/>
          </w:tcPr>
          <w:p w14:paraId="21E4AC48" w14:textId="77777777" w:rsidR="00632E5B" w:rsidRPr="002E64FA" w:rsidRDefault="00632E5B">
            <w:pPr>
              <w:spacing w:line="240" w:lineRule="exact"/>
              <w:jc w:val="right"/>
              <w:rPr>
                <w:rFonts w:ascii="宋体" w:eastAsia="宋体" w:hAnsi="宋体" w:cs="宋体" w:hint="eastAsia"/>
                <w:sz w:val="15"/>
                <w:szCs w:val="15"/>
              </w:rPr>
            </w:pPr>
          </w:p>
        </w:tc>
        <w:tc>
          <w:tcPr>
            <w:tcW w:w="1377" w:type="dxa"/>
            <w:shd w:val="clear" w:color="auto" w:fill="FFFFFF" w:themeFill="background1"/>
            <w:vAlign w:val="center"/>
          </w:tcPr>
          <w:p w14:paraId="5CB1FB47" w14:textId="77777777" w:rsidR="00632E5B" w:rsidRPr="002E64FA" w:rsidRDefault="00107901">
            <w:pPr>
              <w:spacing w:line="240" w:lineRule="exact"/>
              <w:jc w:val="right"/>
              <w:rPr>
                <w:rFonts w:ascii="宋体" w:eastAsia="宋体" w:hAnsi="宋体" w:cs="宋体" w:hint="eastAsia"/>
                <w:sz w:val="15"/>
                <w:szCs w:val="15"/>
              </w:rPr>
            </w:pPr>
            <w:r w:rsidRPr="002E64FA">
              <w:rPr>
                <w:rFonts w:ascii="宋体" w:eastAsia="宋体" w:hAnsi="宋体" w:cs="宋体"/>
                <w:sz w:val="15"/>
                <w:szCs w:val="15"/>
              </w:rPr>
              <w:t>6,166,318.77</w:t>
            </w:r>
          </w:p>
        </w:tc>
      </w:tr>
      <w:tr w:rsidR="00632E5B" w14:paraId="3796FB3D" w14:textId="77777777" w:rsidTr="008B6556">
        <w:trPr>
          <w:trHeight w:val="240"/>
        </w:trPr>
        <w:tc>
          <w:tcPr>
            <w:tcW w:w="1377" w:type="dxa"/>
            <w:shd w:val="clear" w:color="auto" w:fill="FFFFFF" w:themeFill="background1"/>
            <w:vAlign w:val="center"/>
          </w:tcPr>
          <w:p w14:paraId="66C940A9"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377" w:type="dxa"/>
            <w:shd w:val="clear" w:color="auto" w:fill="FFFFFF" w:themeFill="background1"/>
            <w:vAlign w:val="center"/>
          </w:tcPr>
          <w:p w14:paraId="51C29039" w14:textId="77777777" w:rsidR="00632E5B" w:rsidRPr="002E64FA" w:rsidRDefault="00107901">
            <w:pPr>
              <w:spacing w:line="240" w:lineRule="exact"/>
              <w:jc w:val="right"/>
              <w:rPr>
                <w:rFonts w:ascii="宋体" w:eastAsia="宋体" w:hAnsi="宋体" w:cs="宋体" w:hint="eastAsia"/>
                <w:sz w:val="15"/>
                <w:szCs w:val="15"/>
              </w:rPr>
            </w:pPr>
            <w:r w:rsidRPr="002E64FA">
              <w:rPr>
                <w:rFonts w:ascii="宋体" w:eastAsia="宋体" w:hAnsi="宋体" w:cs="宋体"/>
                <w:sz w:val="15"/>
                <w:szCs w:val="15"/>
              </w:rPr>
              <w:t>449,700,408.22</w:t>
            </w:r>
          </w:p>
        </w:tc>
        <w:tc>
          <w:tcPr>
            <w:tcW w:w="1377" w:type="dxa"/>
            <w:shd w:val="clear" w:color="auto" w:fill="FFFFFF" w:themeFill="background1"/>
            <w:vAlign w:val="center"/>
          </w:tcPr>
          <w:p w14:paraId="3023CC13" w14:textId="77777777" w:rsidR="00632E5B" w:rsidRPr="002E64FA" w:rsidRDefault="00107901">
            <w:pPr>
              <w:spacing w:line="240" w:lineRule="exact"/>
              <w:jc w:val="right"/>
              <w:rPr>
                <w:rFonts w:ascii="宋体" w:eastAsia="宋体" w:hAnsi="宋体" w:cs="宋体" w:hint="eastAsia"/>
                <w:sz w:val="15"/>
                <w:szCs w:val="15"/>
              </w:rPr>
            </w:pPr>
            <w:r w:rsidRPr="002E64FA">
              <w:rPr>
                <w:rFonts w:ascii="宋体" w:eastAsia="宋体" w:hAnsi="宋体" w:cs="宋体"/>
                <w:sz w:val="15"/>
                <w:szCs w:val="15"/>
              </w:rPr>
              <w:t>163,952,282.43</w:t>
            </w:r>
          </w:p>
        </w:tc>
        <w:tc>
          <w:tcPr>
            <w:tcW w:w="1377" w:type="dxa"/>
            <w:shd w:val="clear" w:color="auto" w:fill="FFFFFF" w:themeFill="background1"/>
            <w:vAlign w:val="center"/>
          </w:tcPr>
          <w:p w14:paraId="6858C7EC" w14:textId="77777777" w:rsidR="00632E5B" w:rsidRPr="002E64FA" w:rsidRDefault="00107901">
            <w:pPr>
              <w:spacing w:line="240" w:lineRule="exact"/>
              <w:jc w:val="right"/>
              <w:rPr>
                <w:rFonts w:ascii="宋体" w:eastAsia="宋体" w:hAnsi="宋体" w:cs="宋体" w:hint="eastAsia"/>
                <w:sz w:val="15"/>
                <w:szCs w:val="15"/>
              </w:rPr>
            </w:pPr>
            <w:r w:rsidRPr="002E64FA">
              <w:rPr>
                <w:rFonts w:ascii="宋体" w:eastAsia="宋体" w:hAnsi="宋体" w:cs="宋体"/>
                <w:sz w:val="15"/>
                <w:szCs w:val="15"/>
              </w:rPr>
              <w:t>5,319,254.64</w:t>
            </w:r>
          </w:p>
        </w:tc>
        <w:tc>
          <w:tcPr>
            <w:tcW w:w="1377" w:type="dxa"/>
            <w:shd w:val="clear" w:color="auto" w:fill="FFFFFF" w:themeFill="background1"/>
            <w:vAlign w:val="center"/>
          </w:tcPr>
          <w:p w14:paraId="30FA8C77" w14:textId="77777777" w:rsidR="00632E5B" w:rsidRPr="002E64FA" w:rsidRDefault="00107901">
            <w:pPr>
              <w:spacing w:line="240" w:lineRule="exact"/>
              <w:jc w:val="right"/>
              <w:rPr>
                <w:rFonts w:ascii="宋体" w:eastAsia="宋体" w:hAnsi="宋体" w:cs="宋体" w:hint="eastAsia"/>
                <w:sz w:val="15"/>
                <w:szCs w:val="15"/>
              </w:rPr>
            </w:pPr>
            <w:r w:rsidRPr="002E64FA">
              <w:rPr>
                <w:rFonts w:ascii="宋体" w:eastAsia="宋体" w:hAnsi="宋体" w:cs="宋体"/>
                <w:sz w:val="15"/>
                <w:szCs w:val="15"/>
              </w:rPr>
              <w:t>602,167,117.24</w:t>
            </w:r>
          </w:p>
        </w:tc>
        <w:tc>
          <w:tcPr>
            <w:tcW w:w="1377" w:type="dxa"/>
            <w:shd w:val="clear" w:color="auto" w:fill="FFFFFF" w:themeFill="background1"/>
            <w:vAlign w:val="center"/>
          </w:tcPr>
          <w:p w14:paraId="16EB8202" w14:textId="77777777" w:rsidR="00632E5B" w:rsidRPr="002E64FA" w:rsidRDefault="00632E5B">
            <w:pPr>
              <w:spacing w:line="240" w:lineRule="exact"/>
              <w:jc w:val="right"/>
              <w:rPr>
                <w:rFonts w:ascii="宋体" w:eastAsia="宋体" w:hAnsi="宋体" w:cs="宋体" w:hint="eastAsia"/>
                <w:sz w:val="15"/>
                <w:szCs w:val="15"/>
              </w:rPr>
            </w:pPr>
          </w:p>
        </w:tc>
        <w:tc>
          <w:tcPr>
            <w:tcW w:w="1377" w:type="dxa"/>
            <w:shd w:val="clear" w:color="auto" w:fill="FFFFFF" w:themeFill="background1"/>
            <w:vAlign w:val="center"/>
          </w:tcPr>
          <w:p w14:paraId="63E732DC" w14:textId="77777777" w:rsidR="00632E5B" w:rsidRPr="002E64FA" w:rsidRDefault="00107901">
            <w:pPr>
              <w:spacing w:line="240" w:lineRule="exact"/>
              <w:jc w:val="right"/>
              <w:rPr>
                <w:rFonts w:ascii="宋体" w:eastAsia="宋体" w:hAnsi="宋体" w:cs="宋体" w:hint="eastAsia"/>
                <w:sz w:val="15"/>
                <w:szCs w:val="15"/>
              </w:rPr>
            </w:pPr>
            <w:r w:rsidRPr="002E64FA">
              <w:rPr>
                <w:rFonts w:ascii="宋体" w:eastAsia="宋体" w:hAnsi="宋体" w:cs="宋体"/>
                <w:sz w:val="15"/>
                <w:szCs w:val="15"/>
              </w:rPr>
              <w:t>6,166,318.77</w:t>
            </w:r>
          </w:p>
        </w:tc>
      </w:tr>
    </w:tbl>
    <w:p w14:paraId="1ADFB477" w14:textId="77777777" w:rsidR="00632E5B" w:rsidRDefault="00107901">
      <w:pPr>
        <w:keepNext/>
        <w:keepLines/>
        <w:spacing w:before="300" w:after="300" w:line="280" w:lineRule="exact"/>
        <w:outlineLvl w:val="4"/>
        <w:rPr>
          <w:rFonts w:ascii="宋体" w:eastAsia="宋体" w:hAnsi="宋体" w:cs="宋体" w:hint="eastAsia"/>
          <w:b/>
          <w:bCs/>
          <w:sz w:val="18"/>
          <w:szCs w:val="18"/>
        </w:rPr>
      </w:pPr>
      <w:bookmarkStart w:id="406" w:name="_Toc989296"/>
      <w:r>
        <w:rPr>
          <w:rFonts w:ascii="宋体" w:eastAsia="宋体" w:hAnsi="宋体" w:cs="宋体"/>
          <w:b/>
          <w:bCs/>
          <w:sz w:val="18"/>
          <w:szCs w:val="18"/>
        </w:rPr>
        <w:t>5） 本期实际核销的其他应收款情况</w:t>
      </w:r>
      <w:bookmarkEnd w:id="406"/>
    </w:p>
    <w:p w14:paraId="131AED75"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4820"/>
        <w:gridCol w:w="4819"/>
      </w:tblGrid>
      <w:tr w:rsidR="00632E5B" w14:paraId="74CB6529" w14:textId="77777777" w:rsidTr="008B6556">
        <w:trPr>
          <w:trHeight w:val="240"/>
        </w:trPr>
        <w:tc>
          <w:tcPr>
            <w:tcW w:w="4820" w:type="dxa"/>
            <w:shd w:val="clear" w:color="auto" w:fill="FFFFFF" w:themeFill="background1"/>
            <w:vAlign w:val="center"/>
          </w:tcPr>
          <w:p w14:paraId="0B146C2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4820" w:type="dxa"/>
            <w:shd w:val="clear" w:color="auto" w:fill="FFFFFF" w:themeFill="background1"/>
            <w:vAlign w:val="center"/>
          </w:tcPr>
          <w:p w14:paraId="29852AE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核销金额</w:t>
            </w:r>
          </w:p>
        </w:tc>
      </w:tr>
      <w:tr w:rsidR="00632E5B" w14:paraId="6EA29756" w14:textId="77777777" w:rsidTr="008B6556">
        <w:trPr>
          <w:trHeight w:val="240"/>
        </w:trPr>
        <w:tc>
          <w:tcPr>
            <w:tcW w:w="4820" w:type="dxa"/>
            <w:shd w:val="clear" w:color="auto" w:fill="FFFFFF" w:themeFill="background1"/>
            <w:vAlign w:val="center"/>
          </w:tcPr>
          <w:p w14:paraId="39F4CB2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实际核销的其他应收款</w:t>
            </w:r>
          </w:p>
        </w:tc>
        <w:tc>
          <w:tcPr>
            <w:tcW w:w="4820" w:type="dxa"/>
            <w:shd w:val="clear" w:color="auto" w:fill="FFFFFF" w:themeFill="background1"/>
            <w:vAlign w:val="center"/>
          </w:tcPr>
          <w:p w14:paraId="7F22A1B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602,167,117.24</w:t>
            </w:r>
          </w:p>
        </w:tc>
      </w:tr>
    </w:tbl>
    <w:p w14:paraId="6E949E5F"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其中重要的其他应收款核销情况：</w:t>
      </w:r>
    </w:p>
    <w:p w14:paraId="568CA483"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606"/>
        <w:gridCol w:w="1606"/>
        <w:gridCol w:w="1606"/>
        <w:gridCol w:w="1607"/>
        <w:gridCol w:w="1607"/>
        <w:gridCol w:w="1607"/>
      </w:tblGrid>
      <w:tr w:rsidR="00632E5B" w14:paraId="194AF4AC" w14:textId="77777777" w:rsidTr="008B6556">
        <w:trPr>
          <w:trHeight w:val="240"/>
        </w:trPr>
        <w:tc>
          <w:tcPr>
            <w:tcW w:w="1606" w:type="dxa"/>
            <w:shd w:val="clear" w:color="auto" w:fill="FFFFFF" w:themeFill="background1"/>
            <w:vAlign w:val="center"/>
          </w:tcPr>
          <w:p w14:paraId="6C90151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单位名称</w:t>
            </w:r>
          </w:p>
        </w:tc>
        <w:tc>
          <w:tcPr>
            <w:tcW w:w="1606" w:type="dxa"/>
            <w:shd w:val="clear" w:color="auto" w:fill="FFFFFF" w:themeFill="background1"/>
            <w:vAlign w:val="center"/>
          </w:tcPr>
          <w:p w14:paraId="6E8736C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其他应收款性质</w:t>
            </w:r>
          </w:p>
        </w:tc>
        <w:tc>
          <w:tcPr>
            <w:tcW w:w="1606" w:type="dxa"/>
            <w:shd w:val="clear" w:color="auto" w:fill="FFFFFF" w:themeFill="background1"/>
            <w:vAlign w:val="center"/>
          </w:tcPr>
          <w:p w14:paraId="544E501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核销金额</w:t>
            </w:r>
          </w:p>
        </w:tc>
        <w:tc>
          <w:tcPr>
            <w:tcW w:w="1606" w:type="dxa"/>
            <w:shd w:val="clear" w:color="auto" w:fill="FFFFFF" w:themeFill="background1"/>
            <w:vAlign w:val="center"/>
          </w:tcPr>
          <w:p w14:paraId="5B6307F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核销原因</w:t>
            </w:r>
          </w:p>
        </w:tc>
        <w:tc>
          <w:tcPr>
            <w:tcW w:w="1606" w:type="dxa"/>
            <w:shd w:val="clear" w:color="auto" w:fill="FFFFFF" w:themeFill="background1"/>
            <w:vAlign w:val="center"/>
          </w:tcPr>
          <w:p w14:paraId="0135CD3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履行的核销程序</w:t>
            </w:r>
          </w:p>
        </w:tc>
        <w:tc>
          <w:tcPr>
            <w:tcW w:w="1606" w:type="dxa"/>
            <w:shd w:val="clear" w:color="auto" w:fill="FFFFFF" w:themeFill="background1"/>
            <w:vAlign w:val="center"/>
          </w:tcPr>
          <w:p w14:paraId="080DED0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款项是否由关联交易产生</w:t>
            </w:r>
          </w:p>
        </w:tc>
      </w:tr>
      <w:tr w:rsidR="00632E5B" w14:paraId="5AB2BA09" w14:textId="77777777" w:rsidTr="008B6556">
        <w:trPr>
          <w:trHeight w:val="240"/>
        </w:trPr>
        <w:tc>
          <w:tcPr>
            <w:tcW w:w="1606" w:type="dxa"/>
            <w:shd w:val="clear" w:color="auto" w:fill="FFFFFF" w:themeFill="background1"/>
            <w:vAlign w:val="center"/>
          </w:tcPr>
          <w:p w14:paraId="6B99224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单位2</w:t>
            </w:r>
          </w:p>
        </w:tc>
        <w:tc>
          <w:tcPr>
            <w:tcW w:w="1606" w:type="dxa"/>
            <w:shd w:val="clear" w:color="auto" w:fill="FFFFFF" w:themeFill="background1"/>
            <w:vAlign w:val="center"/>
          </w:tcPr>
          <w:p w14:paraId="6CC4809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关联方往来</w:t>
            </w:r>
          </w:p>
        </w:tc>
        <w:tc>
          <w:tcPr>
            <w:tcW w:w="1606" w:type="dxa"/>
            <w:shd w:val="clear" w:color="auto" w:fill="FFFFFF" w:themeFill="background1"/>
            <w:vAlign w:val="center"/>
          </w:tcPr>
          <w:p w14:paraId="498679C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404,225,465.24</w:t>
            </w:r>
          </w:p>
        </w:tc>
        <w:tc>
          <w:tcPr>
            <w:tcW w:w="1606" w:type="dxa"/>
            <w:shd w:val="clear" w:color="auto" w:fill="FFFFFF" w:themeFill="background1"/>
            <w:vAlign w:val="center"/>
          </w:tcPr>
          <w:p w14:paraId="46FA751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无法收回</w:t>
            </w:r>
          </w:p>
        </w:tc>
        <w:tc>
          <w:tcPr>
            <w:tcW w:w="1606" w:type="dxa"/>
            <w:shd w:val="clear" w:color="auto" w:fill="FFFFFF" w:themeFill="background1"/>
            <w:vAlign w:val="center"/>
          </w:tcPr>
          <w:p w14:paraId="116A331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第七届董事会第一次会议</w:t>
            </w:r>
          </w:p>
        </w:tc>
        <w:tc>
          <w:tcPr>
            <w:tcW w:w="1606" w:type="dxa"/>
            <w:shd w:val="clear" w:color="auto" w:fill="FFFFFF" w:themeFill="background1"/>
            <w:vAlign w:val="center"/>
          </w:tcPr>
          <w:p w14:paraId="3235F2D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是</w:t>
            </w:r>
          </w:p>
        </w:tc>
      </w:tr>
      <w:tr w:rsidR="00632E5B" w14:paraId="53EE885F" w14:textId="77777777" w:rsidTr="008B6556">
        <w:trPr>
          <w:trHeight w:val="240"/>
        </w:trPr>
        <w:tc>
          <w:tcPr>
            <w:tcW w:w="1606" w:type="dxa"/>
            <w:shd w:val="clear" w:color="auto" w:fill="FFFFFF" w:themeFill="background1"/>
            <w:vAlign w:val="center"/>
          </w:tcPr>
          <w:p w14:paraId="1597DC7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单位3</w:t>
            </w:r>
          </w:p>
        </w:tc>
        <w:tc>
          <w:tcPr>
            <w:tcW w:w="1606" w:type="dxa"/>
            <w:shd w:val="clear" w:color="auto" w:fill="FFFFFF" w:themeFill="background1"/>
            <w:vAlign w:val="center"/>
          </w:tcPr>
          <w:p w14:paraId="7DF26C7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关联方往来</w:t>
            </w:r>
          </w:p>
        </w:tc>
        <w:tc>
          <w:tcPr>
            <w:tcW w:w="1606" w:type="dxa"/>
            <w:shd w:val="clear" w:color="auto" w:fill="FFFFFF" w:themeFill="background1"/>
            <w:vAlign w:val="center"/>
          </w:tcPr>
          <w:p w14:paraId="583909B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95,876,352.00</w:t>
            </w:r>
          </w:p>
        </w:tc>
        <w:tc>
          <w:tcPr>
            <w:tcW w:w="1606" w:type="dxa"/>
            <w:shd w:val="clear" w:color="auto" w:fill="FFFFFF" w:themeFill="background1"/>
            <w:vAlign w:val="center"/>
          </w:tcPr>
          <w:p w14:paraId="1F37B47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无法收回</w:t>
            </w:r>
          </w:p>
        </w:tc>
        <w:tc>
          <w:tcPr>
            <w:tcW w:w="1606" w:type="dxa"/>
            <w:shd w:val="clear" w:color="auto" w:fill="FFFFFF" w:themeFill="background1"/>
            <w:vAlign w:val="center"/>
          </w:tcPr>
          <w:p w14:paraId="3713D98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第七届董事会第一次会议</w:t>
            </w:r>
          </w:p>
        </w:tc>
        <w:tc>
          <w:tcPr>
            <w:tcW w:w="1606" w:type="dxa"/>
            <w:shd w:val="clear" w:color="auto" w:fill="FFFFFF" w:themeFill="background1"/>
            <w:vAlign w:val="center"/>
          </w:tcPr>
          <w:p w14:paraId="0F8DF4A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是</w:t>
            </w:r>
          </w:p>
        </w:tc>
      </w:tr>
      <w:tr w:rsidR="00632E5B" w14:paraId="13A2BB42" w14:textId="77777777" w:rsidTr="008B6556">
        <w:trPr>
          <w:trHeight w:val="240"/>
        </w:trPr>
        <w:tc>
          <w:tcPr>
            <w:tcW w:w="1606" w:type="dxa"/>
            <w:shd w:val="clear" w:color="auto" w:fill="FFFFFF" w:themeFill="background1"/>
            <w:vAlign w:val="center"/>
          </w:tcPr>
          <w:p w14:paraId="00F2941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单位4</w:t>
            </w:r>
          </w:p>
        </w:tc>
        <w:tc>
          <w:tcPr>
            <w:tcW w:w="1606" w:type="dxa"/>
            <w:shd w:val="clear" w:color="auto" w:fill="FFFFFF" w:themeFill="background1"/>
            <w:vAlign w:val="center"/>
          </w:tcPr>
          <w:p w14:paraId="7527AED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暂付款及其他</w:t>
            </w:r>
          </w:p>
        </w:tc>
        <w:tc>
          <w:tcPr>
            <w:tcW w:w="1606" w:type="dxa"/>
            <w:shd w:val="clear" w:color="auto" w:fill="FFFFFF" w:themeFill="background1"/>
            <w:vAlign w:val="center"/>
          </w:tcPr>
          <w:p w14:paraId="0E6C27D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88,065,300.00</w:t>
            </w:r>
          </w:p>
        </w:tc>
        <w:tc>
          <w:tcPr>
            <w:tcW w:w="1606" w:type="dxa"/>
            <w:shd w:val="clear" w:color="auto" w:fill="FFFFFF" w:themeFill="background1"/>
            <w:vAlign w:val="center"/>
          </w:tcPr>
          <w:p w14:paraId="6640E9C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无法收回</w:t>
            </w:r>
          </w:p>
        </w:tc>
        <w:tc>
          <w:tcPr>
            <w:tcW w:w="1606" w:type="dxa"/>
            <w:shd w:val="clear" w:color="auto" w:fill="FFFFFF" w:themeFill="background1"/>
            <w:vAlign w:val="center"/>
          </w:tcPr>
          <w:p w14:paraId="6355312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第七届董事会第一次会议</w:t>
            </w:r>
          </w:p>
        </w:tc>
        <w:tc>
          <w:tcPr>
            <w:tcW w:w="1606" w:type="dxa"/>
            <w:shd w:val="clear" w:color="auto" w:fill="FFFFFF" w:themeFill="background1"/>
            <w:vAlign w:val="center"/>
          </w:tcPr>
          <w:p w14:paraId="564AEE3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4BD7E70F" w14:textId="77777777" w:rsidTr="008B6556">
        <w:trPr>
          <w:trHeight w:val="240"/>
        </w:trPr>
        <w:tc>
          <w:tcPr>
            <w:tcW w:w="1606" w:type="dxa"/>
            <w:shd w:val="clear" w:color="auto" w:fill="FFFFFF" w:themeFill="background1"/>
            <w:vAlign w:val="center"/>
          </w:tcPr>
          <w:p w14:paraId="64F69AA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单位7</w:t>
            </w:r>
          </w:p>
        </w:tc>
        <w:tc>
          <w:tcPr>
            <w:tcW w:w="1606" w:type="dxa"/>
            <w:shd w:val="clear" w:color="auto" w:fill="FFFFFF" w:themeFill="background1"/>
            <w:vAlign w:val="center"/>
          </w:tcPr>
          <w:p w14:paraId="6398FEE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暂付款及其他</w:t>
            </w:r>
          </w:p>
        </w:tc>
        <w:tc>
          <w:tcPr>
            <w:tcW w:w="1606" w:type="dxa"/>
            <w:shd w:val="clear" w:color="auto" w:fill="FFFFFF" w:themeFill="background1"/>
            <w:vAlign w:val="center"/>
          </w:tcPr>
          <w:p w14:paraId="7F77706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14,000,000.00</w:t>
            </w:r>
          </w:p>
        </w:tc>
        <w:tc>
          <w:tcPr>
            <w:tcW w:w="1606" w:type="dxa"/>
            <w:shd w:val="clear" w:color="auto" w:fill="FFFFFF" w:themeFill="background1"/>
            <w:vAlign w:val="center"/>
          </w:tcPr>
          <w:p w14:paraId="2421129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无法收回</w:t>
            </w:r>
          </w:p>
        </w:tc>
        <w:tc>
          <w:tcPr>
            <w:tcW w:w="1606" w:type="dxa"/>
            <w:shd w:val="clear" w:color="auto" w:fill="FFFFFF" w:themeFill="background1"/>
            <w:vAlign w:val="center"/>
          </w:tcPr>
          <w:p w14:paraId="23D3E52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第七届董事会第一次会议</w:t>
            </w:r>
          </w:p>
        </w:tc>
        <w:tc>
          <w:tcPr>
            <w:tcW w:w="1606" w:type="dxa"/>
            <w:shd w:val="clear" w:color="auto" w:fill="FFFFFF" w:themeFill="background1"/>
            <w:vAlign w:val="center"/>
          </w:tcPr>
          <w:p w14:paraId="130BEEE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否</w:t>
            </w:r>
          </w:p>
        </w:tc>
      </w:tr>
      <w:tr w:rsidR="00632E5B" w14:paraId="0104F054" w14:textId="77777777" w:rsidTr="008B6556">
        <w:trPr>
          <w:trHeight w:val="240"/>
        </w:trPr>
        <w:tc>
          <w:tcPr>
            <w:tcW w:w="1606" w:type="dxa"/>
            <w:shd w:val="clear" w:color="auto" w:fill="FFFFFF" w:themeFill="background1"/>
            <w:vAlign w:val="center"/>
          </w:tcPr>
          <w:p w14:paraId="34C80291"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606" w:type="dxa"/>
            <w:shd w:val="clear" w:color="auto" w:fill="FFFFFF" w:themeFill="background1"/>
            <w:vAlign w:val="center"/>
          </w:tcPr>
          <w:p w14:paraId="78173F87" w14:textId="77777777" w:rsidR="00632E5B" w:rsidRDefault="00632E5B"/>
        </w:tc>
        <w:tc>
          <w:tcPr>
            <w:tcW w:w="1606" w:type="dxa"/>
            <w:shd w:val="clear" w:color="auto" w:fill="FFFFFF" w:themeFill="background1"/>
            <w:vAlign w:val="center"/>
          </w:tcPr>
          <w:p w14:paraId="2EED097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602,167,117.24</w:t>
            </w:r>
          </w:p>
        </w:tc>
        <w:tc>
          <w:tcPr>
            <w:tcW w:w="1606" w:type="dxa"/>
            <w:shd w:val="clear" w:color="auto" w:fill="FFFFFF" w:themeFill="background1"/>
            <w:vAlign w:val="center"/>
          </w:tcPr>
          <w:p w14:paraId="5691EC88" w14:textId="77777777" w:rsidR="00632E5B" w:rsidRDefault="00632E5B"/>
        </w:tc>
        <w:tc>
          <w:tcPr>
            <w:tcW w:w="1606" w:type="dxa"/>
            <w:shd w:val="clear" w:color="auto" w:fill="FFFFFF" w:themeFill="background1"/>
            <w:vAlign w:val="center"/>
          </w:tcPr>
          <w:p w14:paraId="372BFB5E" w14:textId="77777777" w:rsidR="00632E5B" w:rsidRDefault="00632E5B"/>
        </w:tc>
        <w:tc>
          <w:tcPr>
            <w:tcW w:w="1606" w:type="dxa"/>
            <w:shd w:val="clear" w:color="auto" w:fill="FFFFFF" w:themeFill="background1"/>
            <w:vAlign w:val="center"/>
          </w:tcPr>
          <w:p w14:paraId="2D571672" w14:textId="77777777" w:rsidR="00632E5B" w:rsidRDefault="00632E5B"/>
        </w:tc>
      </w:tr>
    </w:tbl>
    <w:p w14:paraId="57A92E3A" w14:textId="77777777" w:rsidR="008B6556" w:rsidRDefault="008B6556">
      <w:pPr>
        <w:keepNext/>
        <w:keepLines/>
        <w:spacing w:before="300" w:after="300" w:line="280" w:lineRule="exact"/>
        <w:outlineLvl w:val="4"/>
        <w:rPr>
          <w:rFonts w:ascii="宋体" w:eastAsia="宋体" w:hAnsi="宋体" w:cs="宋体" w:hint="eastAsia"/>
          <w:b/>
          <w:bCs/>
          <w:sz w:val="18"/>
          <w:szCs w:val="18"/>
        </w:rPr>
      </w:pPr>
      <w:bookmarkStart w:id="407" w:name="_Toc989297"/>
    </w:p>
    <w:p w14:paraId="358B6B4E" w14:textId="77777777" w:rsidR="008B6556" w:rsidRDefault="008B6556">
      <w:pPr>
        <w:widowControl/>
        <w:rPr>
          <w:rFonts w:ascii="宋体" w:eastAsia="宋体" w:hAnsi="宋体" w:cs="宋体" w:hint="eastAsia"/>
          <w:b/>
          <w:bCs/>
          <w:sz w:val="18"/>
          <w:szCs w:val="18"/>
        </w:rPr>
      </w:pPr>
      <w:r>
        <w:rPr>
          <w:rFonts w:ascii="宋体" w:eastAsia="宋体" w:hAnsi="宋体" w:cs="宋体" w:hint="eastAsia"/>
          <w:b/>
          <w:bCs/>
          <w:sz w:val="18"/>
          <w:szCs w:val="18"/>
        </w:rPr>
        <w:br w:type="page"/>
      </w:r>
    </w:p>
    <w:p w14:paraId="546C89A5" w14:textId="105F5D4F" w:rsidR="00632E5B" w:rsidRDefault="00107901">
      <w:pPr>
        <w:keepNext/>
        <w:keepLines/>
        <w:spacing w:before="300" w:after="300" w:line="280" w:lineRule="exact"/>
        <w:outlineLvl w:val="4"/>
        <w:rPr>
          <w:rFonts w:ascii="宋体" w:eastAsia="宋体" w:hAnsi="宋体" w:cs="宋体" w:hint="eastAsia"/>
          <w:b/>
          <w:bCs/>
          <w:sz w:val="18"/>
          <w:szCs w:val="18"/>
        </w:rPr>
      </w:pPr>
      <w:r>
        <w:rPr>
          <w:rFonts w:ascii="宋体" w:eastAsia="宋体" w:hAnsi="宋体" w:cs="宋体"/>
          <w:b/>
          <w:bCs/>
          <w:sz w:val="18"/>
          <w:szCs w:val="18"/>
        </w:rPr>
        <w:lastRenderedPageBreak/>
        <w:t>6） 按欠款方归集的期末余额前五名的其他应收款情况</w:t>
      </w:r>
      <w:bookmarkEnd w:id="407"/>
    </w:p>
    <w:p w14:paraId="62E9721B"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165"/>
        <w:gridCol w:w="1559"/>
        <w:gridCol w:w="1701"/>
        <w:gridCol w:w="2127"/>
        <w:gridCol w:w="1607"/>
        <w:gridCol w:w="1511"/>
      </w:tblGrid>
      <w:tr w:rsidR="00632E5B" w14:paraId="6E72E7B6" w14:textId="77777777" w:rsidTr="008B6556">
        <w:trPr>
          <w:trHeight w:val="240"/>
          <w:jc w:val="center"/>
        </w:trPr>
        <w:tc>
          <w:tcPr>
            <w:tcW w:w="1165" w:type="dxa"/>
            <w:shd w:val="clear" w:color="auto" w:fill="FFFFFF" w:themeFill="background1"/>
            <w:vAlign w:val="center"/>
          </w:tcPr>
          <w:p w14:paraId="30CB569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单位名称</w:t>
            </w:r>
          </w:p>
        </w:tc>
        <w:tc>
          <w:tcPr>
            <w:tcW w:w="1559" w:type="dxa"/>
            <w:shd w:val="clear" w:color="auto" w:fill="FFFFFF" w:themeFill="background1"/>
            <w:vAlign w:val="center"/>
          </w:tcPr>
          <w:p w14:paraId="03C6B8F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款项的性质</w:t>
            </w:r>
          </w:p>
        </w:tc>
        <w:tc>
          <w:tcPr>
            <w:tcW w:w="1701" w:type="dxa"/>
            <w:shd w:val="clear" w:color="auto" w:fill="FFFFFF" w:themeFill="background1"/>
            <w:vAlign w:val="center"/>
          </w:tcPr>
          <w:p w14:paraId="79B21C0A" w14:textId="77777777" w:rsidR="00632E5B" w:rsidRPr="00F84867" w:rsidRDefault="00107901">
            <w:pPr>
              <w:spacing w:before="40" w:after="40" w:line="240" w:lineRule="exact"/>
              <w:jc w:val="center"/>
              <w:rPr>
                <w:rFonts w:ascii="宋体" w:eastAsia="宋体" w:hAnsi="宋体" w:cs="宋体" w:hint="eastAsia"/>
                <w:sz w:val="18"/>
                <w:szCs w:val="18"/>
              </w:rPr>
            </w:pPr>
            <w:r w:rsidRPr="00F84867">
              <w:rPr>
                <w:rFonts w:ascii="宋体" w:eastAsia="宋体" w:hAnsi="宋体" w:cs="宋体"/>
                <w:sz w:val="18"/>
                <w:szCs w:val="18"/>
              </w:rPr>
              <w:t>期末余额</w:t>
            </w:r>
          </w:p>
        </w:tc>
        <w:tc>
          <w:tcPr>
            <w:tcW w:w="2127" w:type="dxa"/>
            <w:shd w:val="clear" w:color="auto" w:fill="FFFFFF" w:themeFill="background1"/>
            <w:vAlign w:val="center"/>
          </w:tcPr>
          <w:p w14:paraId="40EA9CB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账龄</w:t>
            </w:r>
          </w:p>
        </w:tc>
        <w:tc>
          <w:tcPr>
            <w:tcW w:w="1607" w:type="dxa"/>
            <w:shd w:val="clear" w:color="auto" w:fill="FFFFFF" w:themeFill="background1"/>
            <w:vAlign w:val="center"/>
          </w:tcPr>
          <w:p w14:paraId="038A5C9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占其他应收款期末余额合计数的比例</w:t>
            </w:r>
          </w:p>
        </w:tc>
        <w:tc>
          <w:tcPr>
            <w:tcW w:w="1511" w:type="dxa"/>
            <w:shd w:val="clear" w:color="auto" w:fill="FFFFFF" w:themeFill="background1"/>
            <w:vAlign w:val="center"/>
          </w:tcPr>
          <w:p w14:paraId="6E0FC7D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坏账准备期末余额</w:t>
            </w:r>
          </w:p>
        </w:tc>
      </w:tr>
      <w:tr w:rsidR="00632E5B" w14:paraId="66933A05" w14:textId="77777777" w:rsidTr="008B6556">
        <w:trPr>
          <w:trHeight w:val="240"/>
          <w:jc w:val="center"/>
        </w:trPr>
        <w:tc>
          <w:tcPr>
            <w:tcW w:w="1165" w:type="dxa"/>
            <w:shd w:val="clear" w:color="auto" w:fill="FFFFFF" w:themeFill="background1"/>
            <w:vAlign w:val="center"/>
          </w:tcPr>
          <w:p w14:paraId="4930122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第一名</w:t>
            </w:r>
          </w:p>
        </w:tc>
        <w:tc>
          <w:tcPr>
            <w:tcW w:w="1559" w:type="dxa"/>
            <w:shd w:val="clear" w:color="auto" w:fill="FFFFFF" w:themeFill="background1"/>
            <w:vAlign w:val="center"/>
          </w:tcPr>
          <w:p w14:paraId="54351E5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关联方往来</w:t>
            </w:r>
          </w:p>
        </w:tc>
        <w:tc>
          <w:tcPr>
            <w:tcW w:w="1701" w:type="dxa"/>
            <w:shd w:val="clear" w:color="auto" w:fill="FFFFFF" w:themeFill="background1"/>
            <w:vAlign w:val="center"/>
          </w:tcPr>
          <w:p w14:paraId="14D99D9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2,353,599,780.69</w:t>
            </w:r>
          </w:p>
        </w:tc>
        <w:tc>
          <w:tcPr>
            <w:tcW w:w="2127" w:type="dxa"/>
            <w:shd w:val="clear" w:color="auto" w:fill="FFFFFF" w:themeFill="background1"/>
            <w:vAlign w:val="center"/>
          </w:tcPr>
          <w:p w14:paraId="7B8057B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6个月~1年17,662,573.22；</w:t>
            </w:r>
          </w:p>
          <w:p w14:paraId="05B2E75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1～2年346,579,021.28；</w:t>
            </w:r>
          </w:p>
          <w:p w14:paraId="3B61F43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2～3年1,989,358,186.19；</w:t>
            </w:r>
          </w:p>
        </w:tc>
        <w:tc>
          <w:tcPr>
            <w:tcW w:w="1607" w:type="dxa"/>
            <w:shd w:val="clear" w:color="auto" w:fill="FFFFFF" w:themeFill="background1"/>
            <w:vAlign w:val="center"/>
          </w:tcPr>
          <w:p w14:paraId="37E27BE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66.04%</w:t>
            </w:r>
          </w:p>
        </w:tc>
        <w:tc>
          <w:tcPr>
            <w:tcW w:w="1511" w:type="dxa"/>
            <w:shd w:val="clear" w:color="auto" w:fill="FFFFFF" w:themeFill="background1"/>
            <w:vAlign w:val="center"/>
          </w:tcPr>
          <w:p w14:paraId="06B84748" w14:textId="77777777" w:rsidR="00632E5B" w:rsidRDefault="00632E5B">
            <w:pPr>
              <w:spacing w:line="240" w:lineRule="exact"/>
              <w:jc w:val="right"/>
              <w:rPr>
                <w:rFonts w:ascii="宋体" w:eastAsia="宋体" w:hAnsi="宋体" w:cs="宋体" w:hint="eastAsia"/>
                <w:sz w:val="18"/>
                <w:szCs w:val="18"/>
              </w:rPr>
            </w:pPr>
          </w:p>
        </w:tc>
      </w:tr>
      <w:tr w:rsidR="00632E5B" w14:paraId="4A25CF3D" w14:textId="77777777" w:rsidTr="008B6556">
        <w:trPr>
          <w:trHeight w:val="240"/>
          <w:jc w:val="center"/>
        </w:trPr>
        <w:tc>
          <w:tcPr>
            <w:tcW w:w="1165" w:type="dxa"/>
            <w:shd w:val="clear" w:color="auto" w:fill="FFFFFF" w:themeFill="background1"/>
            <w:vAlign w:val="center"/>
          </w:tcPr>
          <w:p w14:paraId="3925B9B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第二名</w:t>
            </w:r>
          </w:p>
        </w:tc>
        <w:tc>
          <w:tcPr>
            <w:tcW w:w="1559" w:type="dxa"/>
            <w:shd w:val="clear" w:color="auto" w:fill="FFFFFF" w:themeFill="background1"/>
            <w:vAlign w:val="center"/>
          </w:tcPr>
          <w:p w14:paraId="7753856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关联方往来</w:t>
            </w:r>
          </w:p>
        </w:tc>
        <w:tc>
          <w:tcPr>
            <w:tcW w:w="1701" w:type="dxa"/>
            <w:shd w:val="clear" w:color="auto" w:fill="FFFFFF" w:themeFill="background1"/>
            <w:vAlign w:val="center"/>
          </w:tcPr>
          <w:p w14:paraId="5A311F3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1,135,629,870.30</w:t>
            </w:r>
          </w:p>
        </w:tc>
        <w:tc>
          <w:tcPr>
            <w:tcW w:w="2127" w:type="dxa"/>
            <w:shd w:val="clear" w:color="auto" w:fill="FFFFFF" w:themeFill="background1"/>
            <w:vAlign w:val="center"/>
          </w:tcPr>
          <w:p w14:paraId="2987BC1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6个月以内203,854,446.6;</w:t>
            </w:r>
          </w:p>
          <w:p w14:paraId="57471418"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6个月~1年46,071,327.6；</w:t>
            </w:r>
          </w:p>
          <w:p w14:paraId="5CDACBD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1～2年116,054,523.49；</w:t>
            </w:r>
          </w:p>
          <w:p w14:paraId="50CAB8E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2～3年769,649,572.61；</w:t>
            </w:r>
          </w:p>
        </w:tc>
        <w:tc>
          <w:tcPr>
            <w:tcW w:w="1607" w:type="dxa"/>
            <w:shd w:val="clear" w:color="auto" w:fill="FFFFFF" w:themeFill="background1"/>
            <w:vAlign w:val="center"/>
          </w:tcPr>
          <w:p w14:paraId="0C23EF1A"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31.86%</w:t>
            </w:r>
          </w:p>
        </w:tc>
        <w:tc>
          <w:tcPr>
            <w:tcW w:w="1511" w:type="dxa"/>
            <w:shd w:val="clear" w:color="auto" w:fill="FFFFFF" w:themeFill="background1"/>
            <w:vAlign w:val="center"/>
          </w:tcPr>
          <w:p w14:paraId="59987DFA" w14:textId="77777777" w:rsidR="00632E5B" w:rsidRDefault="00632E5B">
            <w:pPr>
              <w:spacing w:line="240" w:lineRule="exact"/>
              <w:jc w:val="right"/>
              <w:rPr>
                <w:rFonts w:ascii="宋体" w:eastAsia="宋体" w:hAnsi="宋体" w:cs="宋体" w:hint="eastAsia"/>
                <w:sz w:val="18"/>
                <w:szCs w:val="18"/>
              </w:rPr>
            </w:pPr>
          </w:p>
        </w:tc>
      </w:tr>
      <w:tr w:rsidR="00632E5B" w14:paraId="3A73FDEC" w14:textId="77777777" w:rsidTr="008B6556">
        <w:trPr>
          <w:trHeight w:val="240"/>
          <w:jc w:val="center"/>
        </w:trPr>
        <w:tc>
          <w:tcPr>
            <w:tcW w:w="1165" w:type="dxa"/>
            <w:shd w:val="clear" w:color="auto" w:fill="FFFFFF" w:themeFill="background1"/>
            <w:vAlign w:val="center"/>
          </w:tcPr>
          <w:p w14:paraId="278C34D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第三名</w:t>
            </w:r>
          </w:p>
        </w:tc>
        <w:tc>
          <w:tcPr>
            <w:tcW w:w="1559" w:type="dxa"/>
            <w:shd w:val="clear" w:color="auto" w:fill="FFFFFF" w:themeFill="background1"/>
            <w:vAlign w:val="center"/>
          </w:tcPr>
          <w:p w14:paraId="48D3381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保证金及押金</w:t>
            </w:r>
          </w:p>
        </w:tc>
        <w:tc>
          <w:tcPr>
            <w:tcW w:w="1701" w:type="dxa"/>
            <w:shd w:val="clear" w:color="auto" w:fill="FFFFFF" w:themeFill="background1"/>
            <w:vAlign w:val="center"/>
          </w:tcPr>
          <w:p w14:paraId="6A1B1E4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39,706,825.00</w:t>
            </w:r>
          </w:p>
        </w:tc>
        <w:tc>
          <w:tcPr>
            <w:tcW w:w="2127" w:type="dxa"/>
            <w:shd w:val="clear" w:color="auto" w:fill="FFFFFF" w:themeFill="background1"/>
            <w:vAlign w:val="center"/>
          </w:tcPr>
          <w:p w14:paraId="2D662AF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6个月以内5,107,151.00；</w:t>
            </w:r>
          </w:p>
          <w:p w14:paraId="438A378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6个月~1年3,848,223.00；</w:t>
            </w:r>
          </w:p>
          <w:p w14:paraId="2880A63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1～2年26,399,252.00；</w:t>
            </w:r>
          </w:p>
          <w:p w14:paraId="6A76191F"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2～3年4,352,199.00</w:t>
            </w:r>
          </w:p>
        </w:tc>
        <w:tc>
          <w:tcPr>
            <w:tcW w:w="1607" w:type="dxa"/>
            <w:shd w:val="clear" w:color="auto" w:fill="FFFFFF" w:themeFill="background1"/>
            <w:vAlign w:val="center"/>
          </w:tcPr>
          <w:p w14:paraId="4FAEA57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1.11%</w:t>
            </w:r>
          </w:p>
        </w:tc>
        <w:tc>
          <w:tcPr>
            <w:tcW w:w="1511" w:type="dxa"/>
            <w:shd w:val="clear" w:color="auto" w:fill="FFFFFF" w:themeFill="background1"/>
            <w:vAlign w:val="center"/>
          </w:tcPr>
          <w:p w14:paraId="7A0F5D1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4,240,139.07</w:t>
            </w:r>
          </w:p>
        </w:tc>
      </w:tr>
      <w:tr w:rsidR="00632E5B" w14:paraId="6F15637E" w14:textId="77777777" w:rsidTr="008B6556">
        <w:trPr>
          <w:trHeight w:val="240"/>
          <w:jc w:val="center"/>
        </w:trPr>
        <w:tc>
          <w:tcPr>
            <w:tcW w:w="1165" w:type="dxa"/>
            <w:shd w:val="clear" w:color="auto" w:fill="FFFFFF" w:themeFill="background1"/>
            <w:vAlign w:val="center"/>
          </w:tcPr>
          <w:p w14:paraId="0EE11F3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第四名</w:t>
            </w:r>
          </w:p>
        </w:tc>
        <w:tc>
          <w:tcPr>
            <w:tcW w:w="1559" w:type="dxa"/>
            <w:shd w:val="clear" w:color="auto" w:fill="FFFFFF" w:themeFill="background1"/>
            <w:vAlign w:val="center"/>
          </w:tcPr>
          <w:p w14:paraId="6D77BB6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关联方往来</w:t>
            </w:r>
          </w:p>
        </w:tc>
        <w:tc>
          <w:tcPr>
            <w:tcW w:w="1701" w:type="dxa"/>
            <w:shd w:val="clear" w:color="auto" w:fill="FFFFFF" w:themeFill="background1"/>
            <w:vAlign w:val="center"/>
          </w:tcPr>
          <w:p w14:paraId="255D354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25,638,738.72</w:t>
            </w:r>
          </w:p>
        </w:tc>
        <w:tc>
          <w:tcPr>
            <w:tcW w:w="2127" w:type="dxa"/>
            <w:shd w:val="clear" w:color="auto" w:fill="FFFFFF" w:themeFill="background1"/>
            <w:vAlign w:val="center"/>
          </w:tcPr>
          <w:p w14:paraId="03D112E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6个月以内11,775,991.21；</w:t>
            </w:r>
          </w:p>
          <w:p w14:paraId="06CEC6F1"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6个月-1年6,570,354.79；</w:t>
            </w:r>
          </w:p>
          <w:p w14:paraId="45B2C6A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1-2年7,292,392.72</w:t>
            </w:r>
          </w:p>
        </w:tc>
        <w:tc>
          <w:tcPr>
            <w:tcW w:w="1607" w:type="dxa"/>
            <w:shd w:val="clear" w:color="auto" w:fill="FFFFFF" w:themeFill="background1"/>
            <w:vAlign w:val="center"/>
          </w:tcPr>
          <w:p w14:paraId="767C740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0.72%</w:t>
            </w:r>
          </w:p>
        </w:tc>
        <w:tc>
          <w:tcPr>
            <w:tcW w:w="1511" w:type="dxa"/>
            <w:shd w:val="clear" w:color="auto" w:fill="FFFFFF" w:themeFill="background1"/>
            <w:vAlign w:val="center"/>
          </w:tcPr>
          <w:p w14:paraId="1F7BE538" w14:textId="77777777" w:rsidR="00632E5B" w:rsidRDefault="00632E5B">
            <w:pPr>
              <w:spacing w:line="240" w:lineRule="exact"/>
              <w:jc w:val="right"/>
              <w:rPr>
                <w:rFonts w:ascii="宋体" w:eastAsia="宋体" w:hAnsi="宋体" w:cs="宋体" w:hint="eastAsia"/>
                <w:sz w:val="18"/>
                <w:szCs w:val="18"/>
              </w:rPr>
            </w:pPr>
          </w:p>
        </w:tc>
      </w:tr>
      <w:tr w:rsidR="00632E5B" w14:paraId="2F4F10C1" w14:textId="77777777" w:rsidTr="008B6556">
        <w:trPr>
          <w:trHeight w:val="240"/>
          <w:jc w:val="center"/>
        </w:trPr>
        <w:tc>
          <w:tcPr>
            <w:tcW w:w="1165" w:type="dxa"/>
            <w:shd w:val="clear" w:color="auto" w:fill="FFFFFF" w:themeFill="background1"/>
            <w:vAlign w:val="center"/>
          </w:tcPr>
          <w:p w14:paraId="2296C3E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第五名</w:t>
            </w:r>
          </w:p>
        </w:tc>
        <w:tc>
          <w:tcPr>
            <w:tcW w:w="1559" w:type="dxa"/>
            <w:shd w:val="clear" w:color="auto" w:fill="FFFFFF" w:themeFill="background1"/>
            <w:vAlign w:val="center"/>
          </w:tcPr>
          <w:p w14:paraId="0CE704FC"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保证金及押金</w:t>
            </w:r>
          </w:p>
        </w:tc>
        <w:tc>
          <w:tcPr>
            <w:tcW w:w="1701" w:type="dxa"/>
            <w:shd w:val="clear" w:color="auto" w:fill="FFFFFF" w:themeFill="background1"/>
            <w:vAlign w:val="center"/>
          </w:tcPr>
          <w:p w14:paraId="15B6FFA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5,596,273.58</w:t>
            </w:r>
          </w:p>
        </w:tc>
        <w:tc>
          <w:tcPr>
            <w:tcW w:w="2127" w:type="dxa"/>
            <w:shd w:val="clear" w:color="auto" w:fill="FFFFFF" w:themeFill="background1"/>
            <w:vAlign w:val="center"/>
          </w:tcPr>
          <w:p w14:paraId="2879934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6个月以内2,495,203.73；</w:t>
            </w:r>
          </w:p>
          <w:p w14:paraId="5B14428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1-2年575,374.13；</w:t>
            </w:r>
          </w:p>
          <w:p w14:paraId="3348AA7B"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2-3年1,054,100；</w:t>
            </w:r>
          </w:p>
          <w:p w14:paraId="05C0F313"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3-4年1,471,595.72；</w:t>
            </w:r>
          </w:p>
        </w:tc>
        <w:tc>
          <w:tcPr>
            <w:tcW w:w="1607" w:type="dxa"/>
            <w:shd w:val="clear" w:color="auto" w:fill="FFFFFF" w:themeFill="background1"/>
            <w:vAlign w:val="center"/>
          </w:tcPr>
          <w:p w14:paraId="5639D0D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0.16%</w:t>
            </w:r>
          </w:p>
        </w:tc>
        <w:tc>
          <w:tcPr>
            <w:tcW w:w="1511" w:type="dxa"/>
            <w:shd w:val="clear" w:color="auto" w:fill="FFFFFF" w:themeFill="background1"/>
            <w:vAlign w:val="center"/>
          </w:tcPr>
          <w:p w14:paraId="030D465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1,159,469.35</w:t>
            </w:r>
          </w:p>
        </w:tc>
      </w:tr>
      <w:tr w:rsidR="00632E5B" w14:paraId="64383727" w14:textId="77777777" w:rsidTr="008B6556">
        <w:trPr>
          <w:trHeight w:val="240"/>
          <w:jc w:val="center"/>
        </w:trPr>
        <w:tc>
          <w:tcPr>
            <w:tcW w:w="1165" w:type="dxa"/>
            <w:shd w:val="clear" w:color="auto" w:fill="FFFFFF" w:themeFill="background1"/>
            <w:vAlign w:val="center"/>
          </w:tcPr>
          <w:p w14:paraId="07427D9B"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559" w:type="dxa"/>
            <w:shd w:val="clear" w:color="auto" w:fill="FFFFFF" w:themeFill="background1"/>
            <w:vAlign w:val="center"/>
          </w:tcPr>
          <w:p w14:paraId="1CD96459" w14:textId="77777777" w:rsidR="00632E5B" w:rsidRDefault="00632E5B"/>
        </w:tc>
        <w:tc>
          <w:tcPr>
            <w:tcW w:w="1701" w:type="dxa"/>
            <w:shd w:val="clear" w:color="auto" w:fill="FFFFFF" w:themeFill="background1"/>
            <w:vAlign w:val="center"/>
          </w:tcPr>
          <w:p w14:paraId="5AEB774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3,560,171,488.29</w:t>
            </w:r>
          </w:p>
        </w:tc>
        <w:tc>
          <w:tcPr>
            <w:tcW w:w="2127" w:type="dxa"/>
            <w:shd w:val="clear" w:color="auto" w:fill="FFFFFF" w:themeFill="background1"/>
            <w:vAlign w:val="center"/>
          </w:tcPr>
          <w:p w14:paraId="164BF3E7" w14:textId="77777777" w:rsidR="00632E5B" w:rsidRDefault="00632E5B"/>
        </w:tc>
        <w:tc>
          <w:tcPr>
            <w:tcW w:w="1607" w:type="dxa"/>
            <w:shd w:val="clear" w:color="auto" w:fill="FFFFFF" w:themeFill="background1"/>
            <w:vAlign w:val="center"/>
          </w:tcPr>
          <w:p w14:paraId="7AD8AA3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99.89%</w:t>
            </w:r>
          </w:p>
        </w:tc>
        <w:tc>
          <w:tcPr>
            <w:tcW w:w="1511" w:type="dxa"/>
            <w:shd w:val="clear" w:color="auto" w:fill="FFFFFF" w:themeFill="background1"/>
            <w:vAlign w:val="center"/>
          </w:tcPr>
          <w:p w14:paraId="65074D95"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5,399,608.42</w:t>
            </w:r>
          </w:p>
        </w:tc>
      </w:tr>
    </w:tbl>
    <w:p w14:paraId="712195F9" w14:textId="77777777" w:rsidR="00632E5B" w:rsidRDefault="00107901">
      <w:pPr>
        <w:pStyle w:val="3"/>
        <w:spacing w:line="280" w:lineRule="exact"/>
        <w:jc w:val="left"/>
        <w:rPr>
          <w:rFonts w:ascii="宋体" w:hAnsi="宋体" w:cs="宋体" w:hint="eastAsia"/>
          <w:b/>
          <w:bCs/>
        </w:rPr>
      </w:pPr>
      <w:bookmarkStart w:id="408" w:name="_Toc989298"/>
      <w:r>
        <w:rPr>
          <w:rFonts w:ascii="宋体" w:hAnsi="宋体" w:cs="宋体"/>
          <w:b/>
          <w:bCs/>
        </w:rPr>
        <w:t>3、长期股权投资</w:t>
      </w:r>
      <w:bookmarkEnd w:id="408"/>
    </w:p>
    <w:p w14:paraId="30836A3E"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95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377"/>
        <w:gridCol w:w="1489"/>
        <w:gridCol w:w="1276"/>
        <w:gridCol w:w="1559"/>
        <w:gridCol w:w="1559"/>
        <w:gridCol w:w="1276"/>
        <w:gridCol w:w="1418"/>
      </w:tblGrid>
      <w:tr w:rsidR="00632E5B" w14:paraId="6FCBCF36" w14:textId="77777777" w:rsidTr="008B6556">
        <w:trPr>
          <w:trHeight w:val="240"/>
          <w:jc w:val="center"/>
        </w:trPr>
        <w:tc>
          <w:tcPr>
            <w:tcW w:w="1377" w:type="dxa"/>
            <w:vMerge w:val="restart"/>
            <w:shd w:val="clear" w:color="auto" w:fill="FFFFFF" w:themeFill="background1"/>
            <w:vAlign w:val="center"/>
          </w:tcPr>
          <w:p w14:paraId="3C8F9ED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4324" w:type="dxa"/>
            <w:gridSpan w:val="3"/>
            <w:shd w:val="clear" w:color="auto" w:fill="FFFFFF" w:themeFill="background1"/>
            <w:vAlign w:val="center"/>
          </w:tcPr>
          <w:p w14:paraId="6CCE9C6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4253" w:type="dxa"/>
            <w:gridSpan w:val="3"/>
            <w:shd w:val="clear" w:color="auto" w:fill="FFFFFF" w:themeFill="background1"/>
            <w:vAlign w:val="center"/>
          </w:tcPr>
          <w:p w14:paraId="4D5277D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632E5B" w14:paraId="3257C4A9" w14:textId="77777777" w:rsidTr="008B6556">
        <w:trPr>
          <w:trHeight w:val="240"/>
          <w:jc w:val="center"/>
        </w:trPr>
        <w:tc>
          <w:tcPr>
            <w:tcW w:w="1377" w:type="dxa"/>
            <w:vMerge/>
            <w:shd w:val="clear" w:color="auto" w:fill="FFFFFF" w:themeFill="background1"/>
            <w:vAlign w:val="center"/>
          </w:tcPr>
          <w:p w14:paraId="78D94A97" w14:textId="77777777" w:rsidR="00632E5B" w:rsidRDefault="00632E5B"/>
        </w:tc>
        <w:tc>
          <w:tcPr>
            <w:tcW w:w="1489" w:type="dxa"/>
            <w:shd w:val="clear" w:color="auto" w:fill="FFFFFF" w:themeFill="background1"/>
            <w:vAlign w:val="center"/>
          </w:tcPr>
          <w:p w14:paraId="430F8C5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276" w:type="dxa"/>
            <w:shd w:val="clear" w:color="auto" w:fill="FFFFFF" w:themeFill="background1"/>
            <w:vAlign w:val="center"/>
          </w:tcPr>
          <w:p w14:paraId="4688182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w:t>
            </w:r>
          </w:p>
        </w:tc>
        <w:tc>
          <w:tcPr>
            <w:tcW w:w="1559" w:type="dxa"/>
            <w:shd w:val="clear" w:color="auto" w:fill="FFFFFF" w:themeFill="background1"/>
            <w:vAlign w:val="center"/>
          </w:tcPr>
          <w:p w14:paraId="6E13B0F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c>
          <w:tcPr>
            <w:tcW w:w="1559" w:type="dxa"/>
            <w:shd w:val="clear" w:color="auto" w:fill="FFFFFF" w:themeFill="background1"/>
            <w:vAlign w:val="center"/>
          </w:tcPr>
          <w:p w14:paraId="0478C5EE"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276" w:type="dxa"/>
            <w:shd w:val="clear" w:color="auto" w:fill="FFFFFF" w:themeFill="background1"/>
            <w:vAlign w:val="center"/>
          </w:tcPr>
          <w:p w14:paraId="284DF8F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w:t>
            </w:r>
          </w:p>
        </w:tc>
        <w:tc>
          <w:tcPr>
            <w:tcW w:w="1418" w:type="dxa"/>
            <w:shd w:val="clear" w:color="auto" w:fill="FFFFFF" w:themeFill="background1"/>
            <w:vAlign w:val="center"/>
          </w:tcPr>
          <w:p w14:paraId="52556D8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r>
      <w:tr w:rsidR="00632E5B" w14:paraId="1A2EF515" w14:textId="77777777" w:rsidTr="008B6556">
        <w:trPr>
          <w:trHeight w:val="240"/>
          <w:jc w:val="center"/>
        </w:trPr>
        <w:tc>
          <w:tcPr>
            <w:tcW w:w="1377" w:type="dxa"/>
            <w:shd w:val="clear" w:color="auto" w:fill="FFFFFF" w:themeFill="background1"/>
            <w:vAlign w:val="center"/>
          </w:tcPr>
          <w:p w14:paraId="6C206175"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对子公司投资</w:t>
            </w:r>
          </w:p>
        </w:tc>
        <w:tc>
          <w:tcPr>
            <w:tcW w:w="1489" w:type="dxa"/>
            <w:shd w:val="clear" w:color="auto" w:fill="FFFFFF" w:themeFill="background1"/>
            <w:vAlign w:val="center"/>
          </w:tcPr>
          <w:p w14:paraId="3147AC15" w14:textId="77777777" w:rsidR="00632E5B" w:rsidRPr="00DD0DA8" w:rsidRDefault="00107901">
            <w:pPr>
              <w:spacing w:line="240" w:lineRule="exact"/>
              <w:jc w:val="right"/>
              <w:rPr>
                <w:rFonts w:ascii="宋体" w:eastAsia="宋体" w:hAnsi="宋体" w:cs="宋体" w:hint="eastAsia"/>
                <w:sz w:val="15"/>
                <w:szCs w:val="15"/>
              </w:rPr>
            </w:pPr>
            <w:r w:rsidRPr="00DD0DA8">
              <w:rPr>
                <w:rFonts w:ascii="宋体" w:eastAsia="宋体" w:hAnsi="宋体" w:cs="宋体"/>
                <w:sz w:val="15"/>
                <w:szCs w:val="15"/>
              </w:rPr>
              <w:t>3,334,505,447.32</w:t>
            </w:r>
          </w:p>
        </w:tc>
        <w:tc>
          <w:tcPr>
            <w:tcW w:w="1276" w:type="dxa"/>
            <w:shd w:val="clear" w:color="auto" w:fill="FFFFFF" w:themeFill="background1"/>
            <w:vAlign w:val="center"/>
          </w:tcPr>
          <w:p w14:paraId="25A16EBB" w14:textId="77777777" w:rsidR="00632E5B" w:rsidRPr="00DD0DA8" w:rsidRDefault="00107901">
            <w:pPr>
              <w:spacing w:line="240" w:lineRule="exact"/>
              <w:jc w:val="right"/>
              <w:rPr>
                <w:rFonts w:ascii="宋体" w:eastAsia="宋体" w:hAnsi="宋体" w:cs="宋体" w:hint="eastAsia"/>
                <w:sz w:val="15"/>
                <w:szCs w:val="15"/>
              </w:rPr>
            </w:pPr>
            <w:r w:rsidRPr="00DD0DA8">
              <w:rPr>
                <w:rFonts w:ascii="宋体" w:eastAsia="宋体" w:hAnsi="宋体" w:cs="宋体"/>
                <w:sz w:val="15"/>
                <w:szCs w:val="15"/>
              </w:rPr>
              <w:t>0.00</w:t>
            </w:r>
          </w:p>
        </w:tc>
        <w:tc>
          <w:tcPr>
            <w:tcW w:w="1559" w:type="dxa"/>
            <w:shd w:val="clear" w:color="auto" w:fill="FFFFFF" w:themeFill="background1"/>
            <w:vAlign w:val="center"/>
          </w:tcPr>
          <w:p w14:paraId="3D21D240" w14:textId="77777777" w:rsidR="00632E5B" w:rsidRPr="00DD0DA8" w:rsidRDefault="00107901">
            <w:pPr>
              <w:spacing w:line="240" w:lineRule="exact"/>
              <w:jc w:val="right"/>
              <w:rPr>
                <w:rFonts w:ascii="宋体" w:eastAsia="宋体" w:hAnsi="宋体" w:cs="宋体" w:hint="eastAsia"/>
                <w:sz w:val="15"/>
                <w:szCs w:val="15"/>
              </w:rPr>
            </w:pPr>
            <w:r w:rsidRPr="00DD0DA8">
              <w:rPr>
                <w:rFonts w:ascii="宋体" w:eastAsia="宋体" w:hAnsi="宋体" w:cs="宋体"/>
                <w:sz w:val="15"/>
                <w:szCs w:val="15"/>
              </w:rPr>
              <w:t>3,334,505,447.32</w:t>
            </w:r>
          </w:p>
        </w:tc>
        <w:tc>
          <w:tcPr>
            <w:tcW w:w="1559" w:type="dxa"/>
            <w:shd w:val="clear" w:color="auto" w:fill="FFFFFF" w:themeFill="background1"/>
            <w:vAlign w:val="center"/>
          </w:tcPr>
          <w:p w14:paraId="558BC4AE" w14:textId="77777777" w:rsidR="00632E5B" w:rsidRPr="00DD0DA8" w:rsidRDefault="00107901">
            <w:pPr>
              <w:spacing w:line="240" w:lineRule="exact"/>
              <w:jc w:val="right"/>
              <w:rPr>
                <w:rFonts w:ascii="宋体" w:eastAsia="宋体" w:hAnsi="宋体" w:cs="宋体" w:hint="eastAsia"/>
                <w:sz w:val="15"/>
                <w:szCs w:val="15"/>
              </w:rPr>
            </w:pPr>
            <w:r w:rsidRPr="00DD0DA8">
              <w:rPr>
                <w:rFonts w:ascii="宋体" w:eastAsia="宋体" w:hAnsi="宋体" w:cs="宋体"/>
                <w:sz w:val="15"/>
                <w:szCs w:val="15"/>
              </w:rPr>
              <w:t>3,334,505,447.32</w:t>
            </w:r>
          </w:p>
        </w:tc>
        <w:tc>
          <w:tcPr>
            <w:tcW w:w="1276" w:type="dxa"/>
            <w:shd w:val="clear" w:color="auto" w:fill="FFFFFF" w:themeFill="background1"/>
            <w:vAlign w:val="center"/>
          </w:tcPr>
          <w:p w14:paraId="6E052279" w14:textId="77777777" w:rsidR="00632E5B" w:rsidRPr="00DD0DA8" w:rsidRDefault="00107901">
            <w:pPr>
              <w:spacing w:line="240" w:lineRule="exact"/>
              <w:jc w:val="right"/>
              <w:rPr>
                <w:rFonts w:ascii="宋体" w:eastAsia="宋体" w:hAnsi="宋体" w:cs="宋体" w:hint="eastAsia"/>
                <w:sz w:val="15"/>
                <w:szCs w:val="15"/>
              </w:rPr>
            </w:pPr>
            <w:r w:rsidRPr="00DD0DA8">
              <w:rPr>
                <w:rFonts w:ascii="宋体" w:eastAsia="宋体" w:hAnsi="宋体" w:cs="宋体"/>
                <w:sz w:val="15"/>
                <w:szCs w:val="15"/>
              </w:rPr>
              <w:t>0.00</w:t>
            </w:r>
          </w:p>
        </w:tc>
        <w:tc>
          <w:tcPr>
            <w:tcW w:w="1418" w:type="dxa"/>
            <w:shd w:val="clear" w:color="auto" w:fill="FFFFFF" w:themeFill="background1"/>
            <w:vAlign w:val="center"/>
          </w:tcPr>
          <w:p w14:paraId="56085EF0" w14:textId="77777777" w:rsidR="00632E5B" w:rsidRPr="00DD0DA8" w:rsidRDefault="00107901">
            <w:pPr>
              <w:spacing w:line="240" w:lineRule="exact"/>
              <w:jc w:val="right"/>
              <w:rPr>
                <w:rFonts w:ascii="宋体" w:eastAsia="宋体" w:hAnsi="宋体" w:cs="宋体" w:hint="eastAsia"/>
                <w:sz w:val="15"/>
                <w:szCs w:val="15"/>
              </w:rPr>
            </w:pPr>
            <w:r w:rsidRPr="00DD0DA8">
              <w:rPr>
                <w:rFonts w:ascii="宋体" w:eastAsia="宋体" w:hAnsi="宋体" w:cs="宋体"/>
                <w:sz w:val="15"/>
                <w:szCs w:val="15"/>
              </w:rPr>
              <w:t>3,334,505,447.32</w:t>
            </w:r>
          </w:p>
        </w:tc>
      </w:tr>
      <w:tr w:rsidR="00632E5B" w14:paraId="470490F4" w14:textId="77777777" w:rsidTr="008B6556">
        <w:trPr>
          <w:trHeight w:val="240"/>
          <w:jc w:val="center"/>
        </w:trPr>
        <w:tc>
          <w:tcPr>
            <w:tcW w:w="1377" w:type="dxa"/>
            <w:shd w:val="clear" w:color="auto" w:fill="FFFFFF" w:themeFill="background1"/>
            <w:vAlign w:val="center"/>
          </w:tcPr>
          <w:p w14:paraId="167CDC95"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对联营、合营企业投资</w:t>
            </w:r>
          </w:p>
        </w:tc>
        <w:tc>
          <w:tcPr>
            <w:tcW w:w="1489" w:type="dxa"/>
            <w:shd w:val="clear" w:color="auto" w:fill="FFFFFF" w:themeFill="background1"/>
            <w:vAlign w:val="center"/>
          </w:tcPr>
          <w:p w14:paraId="4F26EB36" w14:textId="77777777" w:rsidR="00632E5B" w:rsidRPr="00DD0DA8" w:rsidRDefault="00107901">
            <w:pPr>
              <w:spacing w:line="240" w:lineRule="exact"/>
              <w:jc w:val="right"/>
              <w:rPr>
                <w:rFonts w:ascii="宋体" w:eastAsia="宋体" w:hAnsi="宋体" w:cs="宋体" w:hint="eastAsia"/>
                <w:sz w:val="15"/>
                <w:szCs w:val="15"/>
              </w:rPr>
            </w:pPr>
            <w:r w:rsidRPr="00DD0DA8">
              <w:rPr>
                <w:rFonts w:ascii="宋体" w:eastAsia="宋体" w:hAnsi="宋体" w:cs="宋体"/>
                <w:sz w:val="15"/>
                <w:szCs w:val="15"/>
              </w:rPr>
              <w:t>13,918,066.11</w:t>
            </w:r>
          </w:p>
        </w:tc>
        <w:tc>
          <w:tcPr>
            <w:tcW w:w="1276" w:type="dxa"/>
            <w:shd w:val="clear" w:color="auto" w:fill="FFFFFF" w:themeFill="background1"/>
            <w:vAlign w:val="center"/>
          </w:tcPr>
          <w:p w14:paraId="231A6178" w14:textId="77777777" w:rsidR="00632E5B" w:rsidRPr="00DD0DA8" w:rsidRDefault="00107901">
            <w:pPr>
              <w:spacing w:line="240" w:lineRule="exact"/>
              <w:jc w:val="right"/>
              <w:rPr>
                <w:rFonts w:ascii="宋体" w:eastAsia="宋体" w:hAnsi="宋体" w:cs="宋体" w:hint="eastAsia"/>
                <w:sz w:val="15"/>
                <w:szCs w:val="15"/>
              </w:rPr>
            </w:pPr>
            <w:r w:rsidRPr="00DD0DA8">
              <w:rPr>
                <w:rFonts w:ascii="宋体" w:eastAsia="宋体" w:hAnsi="宋体" w:cs="宋体"/>
                <w:sz w:val="15"/>
                <w:szCs w:val="15"/>
              </w:rPr>
              <w:t>13,918,066.11</w:t>
            </w:r>
          </w:p>
        </w:tc>
        <w:tc>
          <w:tcPr>
            <w:tcW w:w="1559" w:type="dxa"/>
            <w:shd w:val="clear" w:color="auto" w:fill="FFFFFF" w:themeFill="background1"/>
            <w:vAlign w:val="center"/>
          </w:tcPr>
          <w:p w14:paraId="4619ECD2" w14:textId="77777777" w:rsidR="00632E5B" w:rsidRPr="00DD0DA8" w:rsidRDefault="00107901">
            <w:pPr>
              <w:spacing w:line="240" w:lineRule="exact"/>
              <w:jc w:val="right"/>
              <w:rPr>
                <w:rFonts w:ascii="宋体" w:eastAsia="宋体" w:hAnsi="宋体" w:cs="宋体" w:hint="eastAsia"/>
                <w:sz w:val="15"/>
                <w:szCs w:val="15"/>
              </w:rPr>
            </w:pPr>
            <w:r w:rsidRPr="00DD0DA8">
              <w:rPr>
                <w:rFonts w:ascii="宋体" w:eastAsia="宋体" w:hAnsi="宋体" w:cs="宋体"/>
                <w:sz w:val="15"/>
                <w:szCs w:val="15"/>
              </w:rPr>
              <w:t>0.00</w:t>
            </w:r>
          </w:p>
        </w:tc>
        <w:tc>
          <w:tcPr>
            <w:tcW w:w="1559" w:type="dxa"/>
            <w:shd w:val="clear" w:color="auto" w:fill="FFFFFF" w:themeFill="background1"/>
            <w:vAlign w:val="center"/>
          </w:tcPr>
          <w:p w14:paraId="6B9EFEEA" w14:textId="77777777" w:rsidR="00632E5B" w:rsidRPr="00DD0DA8" w:rsidRDefault="00107901">
            <w:pPr>
              <w:spacing w:line="240" w:lineRule="exact"/>
              <w:jc w:val="right"/>
              <w:rPr>
                <w:rFonts w:ascii="宋体" w:eastAsia="宋体" w:hAnsi="宋体" w:cs="宋体" w:hint="eastAsia"/>
                <w:sz w:val="15"/>
                <w:szCs w:val="15"/>
              </w:rPr>
            </w:pPr>
            <w:r w:rsidRPr="00DD0DA8">
              <w:rPr>
                <w:rFonts w:ascii="宋体" w:eastAsia="宋体" w:hAnsi="宋体" w:cs="宋体"/>
                <w:sz w:val="15"/>
                <w:szCs w:val="15"/>
              </w:rPr>
              <w:t>14,158,288.31</w:t>
            </w:r>
          </w:p>
        </w:tc>
        <w:tc>
          <w:tcPr>
            <w:tcW w:w="1276" w:type="dxa"/>
            <w:shd w:val="clear" w:color="auto" w:fill="FFFFFF" w:themeFill="background1"/>
            <w:vAlign w:val="center"/>
          </w:tcPr>
          <w:p w14:paraId="4DA653EA" w14:textId="77777777" w:rsidR="00632E5B" w:rsidRPr="00DD0DA8" w:rsidRDefault="00107901">
            <w:pPr>
              <w:spacing w:line="240" w:lineRule="exact"/>
              <w:jc w:val="right"/>
              <w:rPr>
                <w:rFonts w:ascii="宋体" w:eastAsia="宋体" w:hAnsi="宋体" w:cs="宋体" w:hint="eastAsia"/>
                <w:sz w:val="15"/>
                <w:szCs w:val="15"/>
              </w:rPr>
            </w:pPr>
            <w:r w:rsidRPr="00DD0DA8">
              <w:rPr>
                <w:rFonts w:ascii="宋体" w:eastAsia="宋体" w:hAnsi="宋体" w:cs="宋体"/>
                <w:sz w:val="15"/>
                <w:szCs w:val="15"/>
              </w:rPr>
              <w:t>0.00</w:t>
            </w:r>
          </w:p>
        </w:tc>
        <w:tc>
          <w:tcPr>
            <w:tcW w:w="1418" w:type="dxa"/>
            <w:shd w:val="clear" w:color="auto" w:fill="FFFFFF" w:themeFill="background1"/>
            <w:vAlign w:val="center"/>
          </w:tcPr>
          <w:p w14:paraId="00EE0A0F" w14:textId="77777777" w:rsidR="00632E5B" w:rsidRPr="00DD0DA8" w:rsidRDefault="00107901">
            <w:pPr>
              <w:spacing w:line="240" w:lineRule="exact"/>
              <w:jc w:val="right"/>
              <w:rPr>
                <w:rFonts w:ascii="宋体" w:eastAsia="宋体" w:hAnsi="宋体" w:cs="宋体" w:hint="eastAsia"/>
                <w:sz w:val="15"/>
                <w:szCs w:val="15"/>
              </w:rPr>
            </w:pPr>
            <w:r w:rsidRPr="00DD0DA8">
              <w:rPr>
                <w:rFonts w:ascii="宋体" w:eastAsia="宋体" w:hAnsi="宋体" w:cs="宋体"/>
                <w:sz w:val="15"/>
                <w:szCs w:val="15"/>
              </w:rPr>
              <w:t>14,158,288.31</w:t>
            </w:r>
          </w:p>
        </w:tc>
      </w:tr>
      <w:tr w:rsidR="00632E5B" w14:paraId="7670FA06" w14:textId="77777777" w:rsidTr="008B6556">
        <w:trPr>
          <w:trHeight w:val="240"/>
          <w:jc w:val="center"/>
        </w:trPr>
        <w:tc>
          <w:tcPr>
            <w:tcW w:w="1377" w:type="dxa"/>
            <w:shd w:val="clear" w:color="auto" w:fill="FFFFFF" w:themeFill="background1"/>
            <w:vAlign w:val="center"/>
          </w:tcPr>
          <w:p w14:paraId="1539C0A1"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489" w:type="dxa"/>
            <w:shd w:val="clear" w:color="auto" w:fill="FFFFFF" w:themeFill="background1"/>
            <w:vAlign w:val="center"/>
          </w:tcPr>
          <w:p w14:paraId="639F9337" w14:textId="77777777" w:rsidR="00632E5B" w:rsidRPr="00DD0DA8" w:rsidRDefault="00107901">
            <w:pPr>
              <w:spacing w:line="240" w:lineRule="exact"/>
              <w:jc w:val="right"/>
              <w:rPr>
                <w:rFonts w:ascii="宋体" w:eastAsia="宋体" w:hAnsi="宋体" w:cs="宋体" w:hint="eastAsia"/>
                <w:sz w:val="15"/>
                <w:szCs w:val="15"/>
              </w:rPr>
            </w:pPr>
            <w:r w:rsidRPr="00DD0DA8">
              <w:rPr>
                <w:rFonts w:ascii="宋体" w:eastAsia="宋体" w:hAnsi="宋体" w:cs="宋体"/>
                <w:sz w:val="15"/>
                <w:szCs w:val="15"/>
              </w:rPr>
              <w:t>3,348,423,513.43</w:t>
            </w:r>
          </w:p>
        </w:tc>
        <w:tc>
          <w:tcPr>
            <w:tcW w:w="1276" w:type="dxa"/>
            <w:shd w:val="clear" w:color="auto" w:fill="FFFFFF" w:themeFill="background1"/>
            <w:vAlign w:val="center"/>
          </w:tcPr>
          <w:p w14:paraId="7BDF7DB1" w14:textId="77777777" w:rsidR="00632E5B" w:rsidRPr="00DD0DA8" w:rsidRDefault="00107901">
            <w:pPr>
              <w:spacing w:line="240" w:lineRule="exact"/>
              <w:jc w:val="right"/>
              <w:rPr>
                <w:rFonts w:ascii="宋体" w:eastAsia="宋体" w:hAnsi="宋体" w:cs="宋体" w:hint="eastAsia"/>
                <w:sz w:val="15"/>
                <w:szCs w:val="15"/>
              </w:rPr>
            </w:pPr>
            <w:r w:rsidRPr="00DD0DA8">
              <w:rPr>
                <w:rFonts w:ascii="宋体" w:eastAsia="宋体" w:hAnsi="宋体" w:cs="宋体"/>
                <w:sz w:val="15"/>
                <w:szCs w:val="15"/>
              </w:rPr>
              <w:t>13,918,066.11</w:t>
            </w:r>
          </w:p>
        </w:tc>
        <w:tc>
          <w:tcPr>
            <w:tcW w:w="1559" w:type="dxa"/>
            <w:shd w:val="clear" w:color="auto" w:fill="FFFFFF" w:themeFill="background1"/>
            <w:vAlign w:val="center"/>
          </w:tcPr>
          <w:p w14:paraId="47E5F1E7" w14:textId="77777777" w:rsidR="00632E5B" w:rsidRPr="00DD0DA8" w:rsidRDefault="00107901">
            <w:pPr>
              <w:spacing w:line="240" w:lineRule="exact"/>
              <w:jc w:val="right"/>
              <w:rPr>
                <w:rFonts w:ascii="宋体" w:eastAsia="宋体" w:hAnsi="宋体" w:cs="宋体" w:hint="eastAsia"/>
                <w:sz w:val="15"/>
                <w:szCs w:val="15"/>
              </w:rPr>
            </w:pPr>
            <w:r w:rsidRPr="00DD0DA8">
              <w:rPr>
                <w:rFonts w:ascii="宋体" w:eastAsia="宋体" w:hAnsi="宋体" w:cs="宋体"/>
                <w:sz w:val="15"/>
                <w:szCs w:val="15"/>
              </w:rPr>
              <w:t>3,334,505,447.32</w:t>
            </w:r>
          </w:p>
        </w:tc>
        <w:tc>
          <w:tcPr>
            <w:tcW w:w="1559" w:type="dxa"/>
            <w:shd w:val="clear" w:color="auto" w:fill="FFFFFF" w:themeFill="background1"/>
            <w:vAlign w:val="center"/>
          </w:tcPr>
          <w:p w14:paraId="5B7DF578" w14:textId="77777777" w:rsidR="00632E5B" w:rsidRPr="00DD0DA8" w:rsidRDefault="00107901">
            <w:pPr>
              <w:spacing w:line="240" w:lineRule="exact"/>
              <w:jc w:val="right"/>
              <w:rPr>
                <w:rFonts w:ascii="宋体" w:eastAsia="宋体" w:hAnsi="宋体" w:cs="宋体" w:hint="eastAsia"/>
                <w:sz w:val="15"/>
                <w:szCs w:val="15"/>
              </w:rPr>
            </w:pPr>
            <w:r w:rsidRPr="00DD0DA8">
              <w:rPr>
                <w:rFonts w:ascii="宋体" w:eastAsia="宋体" w:hAnsi="宋体" w:cs="宋体"/>
                <w:sz w:val="15"/>
                <w:szCs w:val="15"/>
              </w:rPr>
              <w:t>3,348,663,735.63</w:t>
            </w:r>
          </w:p>
        </w:tc>
        <w:tc>
          <w:tcPr>
            <w:tcW w:w="1276" w:type="dxa"/>
            <w:shd w:val="clear" w:color="auto" w:fill="FFFFFF" w:themeFill="background1"/>
            <w:vAlign w:val="center"/>
          </w:tcPr>
          <w:p w14:paraId="0A3EF289" w14:textId="77777777" w:rsidR="00632E5B" w:rsidRPr="00DD0DA8" w:rsidRDefault="00107901">
            <w:pPr>
              <w:spacing w:line="240" w:lineRule="exact"/>
              <w:jc w:val="right"/>
              <w:rPr>
                <w:rFonts w:ascii="宋体" w:eastAsia="宋体" w:hAnsi="宋体" w:cs="宋体" w:hint="eastAsia"/>
                <w:sz w:val="15"/>
                <w:szCs w:val="15"/>
              </w:rPr>
            </w:pPr>
            <w:r w:rsidRPr="00DD0DA8">
              <w:rPr>
                <w:rFonts w:ascii="宋体" w:eastAsia="宋体" w:hAnsi="宋体" w:cs="宋体"/>
                <w:sz w:val="15"/>
                <w:szCs w:val="15"/>
              </w:rPr>
              <w:t>0.00</w:t>
            </w:r>
          </w:p>
        </w:tc>
        <w:tc>
          <w:tcPr>
            <w:tcW w:w="1418" w:type="dxa"/>
            <w:shd w:val="clear" w:color="auto" w:fill="FFFFFF" w:themeFill="background1"/>
            <w:vAlign w:val="center"/>
          </w:tcPr>
          <w:p w14:paraId="2BEB2180" w14:textId="77777777" w:rsidR="00632E5B" w:rsidRPr="00DD0DA8" w:rsidRDefault="00107901">
            <w:pPr>
              <w:spacing w:line="240" w:lineRule="exact"/>
              <w:jc w:val="right"/>
              <w:rPr>
                <w:rFonts w:ascii="宋体" w:eastAsia="宋体" w:hAnsi="宋体" w:cs="宋体" w:hint="eastAsia"/>
                <w:sz w:val="15"/>
                <w:szCs w:val="15"/>
              </w:rPr>
            </w:pPr>
            <w:r w:rsidRPr="00DD0DA8">
              <w:rPr>
                <w:rFonts w:ascii="宋体" w:eastAsia="宋体" w:hAnsi="宋体" w:cs="宋体"/>
                <w:sz w:val="15"/>
                <w:szCs w:val="15"/>
              </w:rPr>
              <w:t>3,348,663,735.63</w:t>
            </w:r>
          </w:p>
        </w:tc>
      </w:tr>
    </w:tbl>
    <w:p w14:paraId="60C544FF" w14:textId="77777777" w:rsidR="008B6556" w:rsidRDefault="008B6556">
      <w:pPr>
        <w:keepNext/>
        <w:keepLines/>
        <w:spacing w:before="300" w:after="300" w:line="280" w:lineRule="exact"/>
        <w:outlineLvl w:val="3"/>
        <w:rPr>
          <w:rFonts w:ascii="宋体" w:eastAsia="宋体" w:hAnsi="宋体" w:cs="宋体" w:hint="eastAsia"/>
          <w:b/>
          <w:bCs/>
          <w:szCs w:val="21"/>
        </w:rPr>
      </w:pPr>
      <w:bookmarkStart w:id="409" w:name="_Toc989299"/>
    </w:p>
    <w:p w14:paraId="6FF93640" w14:textId="77777777" w:rsidR="008B6556" w:rsidRDefault="008B6556">
      <w:pPr>
        <w:widowControl/>
        <w:rPr>
          <w:rFonts w:ascii="宋体" w:eastAsia="宋体" w:hAnsi="宋体" w:cs="宋体" w:hint="eastAsia"/>
          <w:b/>
          <w:bCs/>
          <w:szCs w:val="21"/>
        </w:rPr>
      </w:pPr>
      <w:r>
        <w:rPr>
          <w:rFonts w:ascii="宋体" w:eastAsia="宋体" w:hAnsi="宋体" w:cs="宋体" w:hint="eastAsia"/>
          <w:b/>
          <w:bCs/>
          <w:szCs w:val="21"/>
        </w:rPr>
        <w:br w:type="page"/>
      </w:r>
    </w:p>
    <w:p w14:paraId="67349FCE" w14:textId="0AF4E4C6" w:rsidR="00632E5B" w:rsidRDefault="00107901">
      <w:pPr>
        <w:keepNext/>
        <w:keepLines/>
        <w:spacing w:before="300" w:after="300" w:line="280" w:lineRule="exact"/>
        <w:outlineLvl w:val="3"/>
        <w:rPr>
          <w:rFonts w:ascii="宋体" w:eastAsia="宋体" w:hAnsi="宋体" w:cs="宋体" w:hint="eastAsia"/>
          <w:b/>
          <w:bCs/>
          <w:szCs w:val="21"/>
        </w:rPr>
      </w:pPr>
      <w:r>
        <w:rPr>
          <w:rFonts w:ascii="宋体" w:eastAsia="宋体" w:hAnsi="宋体" w:cs="宋体"/>
          <w:b/>
          <w:bCs/>
          <w:szCs w:val="21"/>
        </w:rPr>
        <w:lastRenderedPageBreak/>
        <w:t>（1） 对子公司投资</w:t>
      </w:r>
      <w:bookmarkEnd w:id="409"/>
    </w:p>
    <w:p w14:paraId="68E383C4"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81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071"/>
        <w:gridCol w:w="1512"/>
        <w:gridCol w:w="1071"/>
        <w:gridCol w:w="1071"/>
        <w:gridCol w:w="1071"/>
        <w:gridCol w:w="1071"/>
        <w:gridCol w:w="677"/>
        <w:gridCol w:w="1417"/>
        <w:gridCol w:w="851"/>
      </w:tblGrid>
      <w:tr w:rsidR="00632E5B" w14:paraId="648180CF" w14:textId="77777777" w:rsidTr="008B6556">
        <w:trPr>
          <w:trHeight w:val="240"/>
        </w:trPr>
        <w:tc>
          <w:tcPr>
            <w:tcW w:w="1071" w:type="dxa"/>
            <w:vMerge w:val="restart"/>
            <w:shd w:val="clear" w:color="auto" w:fill="FFFFFF" w:themeFill="background1"/>
            <w:vAlign w:val="center"/>
          </w:tcPr>
          <w:p w14:paraId="7B42DF8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被投资单位</w:t>
            </w:r>
          </w:p>
        </w:tc>
        <w:tc>
          <w:tcPr>
            <w:tcW w:w="1512" w:type="dxa"/>
            <w:vMerge w:val="restart"/>
            <w:shd w:val="clear" w:color="auto" w:fill="FFFFFF" w:themeFill="background1"/>
            <w:vAlign w:val="center"/>
          </w:tcPr>
          <w:p w14:paraId="4F870CE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期初余额（账面价值）</w:t>
            </w:r>
          </w:p>
        </w:tc>
        <w:tc>
          <w:tcPr>
            <w:tcW w:w="1071" w:type="dxa"/>
            <w:vMerge w:val="restart"/>
            <w:shd w:val="clear" w:color="auto" w:fill="FFFFFF" w:themeFill="background1"/>
            <w:vAlign w:val="center"/>
          </w:tcPr>
          <w:p w14:paraId="0B06A3F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减值准备期初余额</w:t>
            </w:r>
          </w:p>
        </w:tc>
        <w:tc>
          <w:tcPr>
            <w:tcW w:w="3890" w:type="dxa"/>
            <w:gridSpan w:val="4"/>
            <w:shd w:val="clear" w:color="auto" w:fill="FFFFFF" w:themeFill="background1"/>
            <w:vAlign w:val="center"/>
          </w:tcPr>
          <w:p w14:paraId="18CC9DA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本期增减变动</w:t>
            </w:r>
          </w:p>
        </w:tc>
        <w:tc>
          <w:tcPr>
            <w:tcW w:w="1417" w:type="dxa"/>
            <w:vMerge w:val="restart"/>
            <w:shd w:val="clear" w:color="auto" w:fill="FFFFFF" w:themeFill="background1"/>
            <w:vAlign w:val="center"/>
          </w:tcPr>
          <w:p w14:paraId="7CC923F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期末余额（账面价值）</w:t>
            </w:r>
          </w:p>
        </w:tc>
        <w:tc>
          <w:tcPr>
            <w:tcW w:w="851" w:type="dxa"/>
            <w:vMerge w:val="restart"/>
            <w:shd w:val="clear" w:color="auto" w:fill="FFFFFF" w:themeFill="background1"/>
            <w:vAlign w:val="center"/>
          </w:tcPr>
          <w:p w14:paraId="4B750D0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减值准备期末余额</w:t>
            </w:r>
          </w:p>
        </w:tc>
      </w:tr>
      <w:tr w:rsidR="00632E5B" w14:paraId="59BE25CD" w14:textId="77777777" w:rsidTr="008B6556">
        <w:trPr>
          <w:trHeight w:val="240"/>
        </w:trPr>
        <w:tc>
          <w:tcPr>
            <w:tcW w:w="1071" w:type="dxa"/>
            <w:vMerge/>
            <w:shd w:val="clear" w:color="auto" w:fill="FFFFFF" w:themeFill="background1"/>
            <w:vAlign w:val="center"/>
          </w:tcPr>
          <w:p w14:paraId="5737790A" w14:textId="77777777" w:rsidR="00632E5B" w:rsidRDefault="00632E5B"/>
        </w:tc>
        <w:tc>
          <w:tcPr>
            <w:tcW w:w="1512" w:type="dxa"/>
            <w:vMerge/>
            <w:shd w:val="clear" w:color="auto" w:fill="FFFFFF" w:themeFill="background1"/>
            <w:vAlign w:val="center"/>
          </w:tcPr>
          <w:p w14:paraId="062B476F" w14:textId="77777777" w:rsidR="00632E5B" w:rsidRDefault="00632E5B"/>
        </w:tc>
        <w:tc>
          <w:tcPr>
            <w:tcW w:w="1071" w:type="dxa"/>
            <w:vMerge/>
            <w:shd w:val="clear" w:color="auto" w:fill="FFFFFF" w:themeFill="background1"/>
            <w:vAlign w:val="center"/>
          </w:tcPr>
          <w:p w14:paraId="456015C9" w14:textId="77777777" w:rsidR="00632E5B" w:rsidRDefault="00632E5B"/>
        </w:tc>
        <w:tc>
          <w:tcPr>
            <w:tcW w:w="1071" w:type="dxa"/>
            <w:shd w:val="clear" w:color="auto" w:fill="FFFFFF" w:themeFill="background1"/>
            <w:vAlign w:val="center"/>
          </w:tcPr>
          <w:p w14:paraId="12309D2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追加投资</w:t>
            </w:r>
          </w:p>
        </w:tc>
        <w:tc>
          <w:tcPr>
            <w:tcW w:w="1071" w:type="dxa"/>
            <w:shd w:val="clear" w:color="auto" w:fill="FFFFFF" w:themeFill="background1"/>
            <w:vAlign w:val="center"/>
          </w:tcPr>
          <w:p w14:paraId="6E09D8E7"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减少投资</w:t>
            </w:r>
          </w:p>
        </w:tc>
        <w:tc>
          <w:tcPr>
            <w:tcW w:w="1071" w:type="dxa"/>
            <w:shd w:val="clear" w:color="auto" w:fill="FFFFFF" w:themeFill="background1"/>
            <w:vAlign w:val="center"/>
          </w:tcPr>
          <w:p w14:paraId="0AD2F9C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计提减值准备</w:t>
            </w:r>
          </w:p>
        </w:tc>
        <w:tc>
          <w:tcPr>
            <w:tcW w:w="677" w:type="dxa"/>
            <w:shd w:val="clear" w:color="auto" w:fill="FFFFFF" w:themeFill="background1"/>
            <w:vAlign w:val="center"/>
          </w:tcPr>
          <w:p w14:paraId="5AC5E5E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1417" w:type="dxa"/>
            <w:vMerge/>
            <w:shd w:val="clear" w:color="auto" w:fill="FFFFFF" w:themeFill="background1"/>
            <w:vAlign w:val="center"/>
          </w:tcPr>
          <w:p w14:paraId="75115369" w14:textId="77777777" w:rsidR="00632E5B" w:rsidRDefault="00632E5B"/>
        </w:tc>
        <w:tc>
          <w:tcPr>
            <w:tcW w:w="851" w:type="dxa"/>
            <w:vMerge/>
            <w:shd w:val="clear" w:color="auto" w:fill="FFFFFF" w:themeFill="background1"/>
            <w:vAlign w:val="center"/>
          </w:tcPr>
          <w:p w14:paraId="34B9DF74" w14:textId="77777777" w:rsidR="00632E5B" w:rsidRDefault="00632E5B"/>
        </w:tc>
      </w:tr>
      <w:tr w:rsidR="00632E5B" w14:paraId="6B263BB8" w14:textId="77777777" w:rsidTr="008B6556">
        <w:trPr>
          <w:trHeight w:val="240"/>
        </w:trPr>
        <w:tc>
          <w:tcPr>
            <w:tcW w:w="1071" w:type="dxa"/>
            <w:shd w:val="clear" w:color="auto" w:fill="FFFFFF" w:themeFill="background1"/>
            <w:vAlign w:val="center"/>
          </w:tcPr>
          <w:p w14:paraId="6EBD204E"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常熟市中联光电新材料有限责任公司</w:t>
            </w:r>
          </w:p>
        </w:tc>
        <w:tc>
          <w:tcPr>
            <w:tcW w:w="1512" w:type="dxa"/>
            <w:shd w:val="clear" w:color="auto" w:fill="FFFFFF" w:themeFill="background1"/>
            <w:vAlign w:val="center"/>
          </w:tcPr>
          <w:p w14:paraId="688D53AF" w14:textId="77777777" w:rsidR="00632E5B" w:rsidRPr="00DD0DA8" w:rsidRDefault="00107901">
            <w:pPr>
              <w:spacing w:line="240" w:lineRule="exact"/>
              <w:jc w:val="right"/>
              <w:rPr>
                <w:rFonts w:ascii="宋体" w:eastAsia="宋体" w:hAnsi="宋体" w:cs="宋体" w:hint="eastAsia"/>
                <w:sz w:val="15"/>
                <w:szCs w:val="15"/>
              </w:rPr>
            </w:pPr>
            <w:r w:rsidRPr="00DD0DA8">
              <w:rPr>
                <w:rFonts w:ascii="宋体" w:eastAsia="宋体" w:hAnsi="宋体" w:cs="宋体"/>
                <w:sz w:val="15"/>
                <w:szCs w:val="15"/>
              </w:rPr>
              <w:t>195,032,372.46</w:t>
            </w:r>
          </w:p>
        </w:tc>
        <w:tc>
          <w:tcPr>
            <w:tcW w:w="1071" w:type="dxa"/>
            <w:shd w:val="clear" w:color="auto" w:fill="FFFFFF" w:themeFill="background1"/>
            <w:vAlign w:val="center"/>
          </w:tcPr>
          <w:p w14:paraId="10D04A73" w14:textId="77777777" w:rsidR="00632E5B" w:rsidRPr="00DD0DA8" w:rsidRDefault="00632E5B">
            <w:pPr>
              <w:spacing w:line="240" w:lineRule="exact"/>
              <w:jc w:val="right"/>
              <w:rPr>
                <w:rFonts w:ascii="宋体" w:eastAsia="宋体" w:hAnsi="宋体" w:cs="宋体" w:hint="eastAsia"/>
                <w:sz w:val="15"/>
                <w:szCs w:val="15"/>
              </w:rPr>
            </w:pPr>
          </w:p>
        </w:tc>
        <w:tc>
          <w:tcPr>
            <w:tcW w:w="1071" w:type="dxa"/>
            <w:shd w:val="clear" w:color="auto" w:fill="FFFFFF" w:themeFill="background1"/>
            <w:vAlign w:val="center"/>
          </w:tcPr>
          <w:p w14:paraId="21C4EA82" w14:textId="77777777" w:rsidR="00632E5B" w:rsidRPr="00DD0DA8" w:rsidRDefault="00632E5B">
            <w:pPr>
              <w:spacing w:line="240" w:lineRule="exact"/>
              <w:jc w:val="right"/>
              <w:rPr>
                <w:rFonts w:ascii="宋体" w:eastAsia="宋体" w:hAnsi="宋体" w:cs="宋体" w:hint="eastAsia"/>
                <w:sz w:val="15"/>
                <w:szCs w:val="15"/>
              </w:rPr>
            </w:pPr>
          </w:p>
        </w:tc>
        <w:tc>
          <w:tcPr>
            <w:tcW w:w="1071" w:type="dxa"/>
            <w:shd w:val="clear" w:color="auto" w:fill="FFFFFF" w:themeFill="background1"/>
            <w:vAlign w:val="center"/>
          </w:tcPr>
          <w:p w14:paraId="1A6530B4" w14:textId="77777777" w:rsidR="00632E5B" w:rsidRPr="00DD0DA8" w:rsidRDefault="00632E5B">
            <w:pPr>
              <w:spacing w:line="240" w:lineRule="exact"/>
              <w:jc w:val="right"/>
              <w:rPr>
                <w:rFonts w:ascii="宋体" w:eastAsia="宋体" w:hAnsi="宋体" w:cs="宋体" w:hint="eastAsia"/>
                <w:sz w:val="15"/>
                <w:szCs w:val="15"/>
              </w:rPr>
            </w:pPr>
          </w:p>
        </w:tc>
        <w:tc>
          <w:tcPr>
            <w:tcW w:w="1071" w:type="dxa"/>
            <w:shd w:val="clear" w:color="auto" w:fill="FFFFFF" w:themeFill="background1"/>
            <w:vAlign w:val="center"/>
          </w:tcPr>
          <w:p w14:paraId="370A3B10" w14:textId="77777777" w:rsidR="00632E5B" w:rsidRPr="00DD0DA8" w:rsidRDefault="00632E5B">
            <w:pPr>
              <w:spacing w:line="240" w:lineRule="exact"/>
              <w:jc w:val="right"/>
              <w:rPr>
                <w:rFonts w:ascii="宋体" w:eastAsia="宋体" w:hAnsi="宋体" w:cs="宋体" w:hint="eastAsia"/>
                <w:sz w:val="15"/>
                <w:szCs w:val="15"/>
              </w:rPr>
            </w:pPr>
          </w:p>
        </w:tc>
        <w:tc>
          <w:tcPr>
            <w:tcW w:w="677" w:type="dxa"/>
            <w:shd w:val="clear" w:color="auto" w:fill="FFFFFF" w:themeFill="background1"/>
            <w:vAlign w:val="center"/>
          </w:tcPr>
          <w:p w14:paraId="1E88AE34" w14:textId="77777777" w:rsidR="00632E5B" w:rsidRPr="00DD0DA8" w:rsidRDefault="00632E5B">
            <w:pPr>
              <w:spacing w:line="240" w:lineRule="exact"/>
              <w:jc w:val="right"/>
              <w:rPr>
                <w:rFonts w:ascii="宋体" w:eastAsia="宋体" w:hAnsi="宋体" w:cs="宋体" w:hint="eastAsia"/>
                <w:sz w:val="15"/>
                <w:szCs w:val="15"/>
              </w:rPr>
            </w:pPr>
          </w:p>
        </w:tc>
        <w:tc>
          <w:tcPr>
            <w:tcW w:w="1417" w:type="dxa"/>
            <w:shd w:val="clear" w:color="auto" w:fill="FFFFFF" w:themeFill="background1"/>
            <w:vAlign w:val="center"/>
          </w:tcPr>
          <w:p w14:paraId="7C8FCF1D" w14:textId="77777777" w:rsidR="00632E5B" w:rsidRPr="00DD0DA8" w:rsidRDefault="00107901">
            <w:pPr>
              <w:spacing w:line="240" w:lineRule="exact"/>
              <w:jc w:val="right"/>
              <w:rPr>
                <w:rFonts w:ascii="宋体" w:eastAsia="宋体" w:hAnsi="宋体" w:cs="宋体" w:hint="eastAsia"/>
                <w:sz w:val="15"/>
                <w:szCs w:val="15"/>
              </w:rPr>
            </w:pPr>
            <w:r w:rsidRPr="00DD0DA8">
              <w:rPr>
                <w:rFonts w:ascii="宋体" w:eastAsia="宋体" w:hAnsi="宋体" w:cs="宋体"/>
                <w:sz w:val="15"/>
                <w:szCs w:val="15"/>
              </w:rPr>
              <w:t>195,032,372.46</w:t>
            </w:r>
          </w:p>
        </w:tc>
        <w:tc>
          <w:tcPr>
            <w:tcW w:w="851" w:type="dxa"/>
            <w:shd w:val="clear" w:color="auto" w:fill="FFFFFF" w:themeFill="background1"/>
            <w:vAlign w:val="center"/>
          </w:tcPr>
          <w:p w14:paraId="34097DA7" w14:textId="77777777" w:rsidR="00632E5B" w:rsidRPr="00DD0DA8" w:rsidRDefault="00632E5B">
            <w:pPr>
              <w:spacing w:line="240" w:lineRule="exact"/>
              <w:jc w:val="right"/>
              <w:rPr>
                <w:rFonts w:ascii="宋体" w:eastAsia="宋体" w:hAnsi="宋体" w:cs="宋体" w:hint="eastAsia"/>
                <w:sz w:val="15"/>
                <w:szCs w:val="15"/>
              </w:rPr>
            </w:pPr>
          </w:p>
        </w:tc>
      </w:tr>
      <w:tr w:rsidR="00632E5B" w14:paraId="3E1FA99F" w14:textId="77777777" w:rsidTr="008B6556">
        <w:trPr>
          <w:trHeight w:val="240"/>
        </w:trPr>
        <w:tc>
          <w:tcPr>
            <w:tcW w:w="1071" w:type="dxa"/>
            <w:shd w:val="clear" w:color="auto" w:fill="FFFFFF" w:themeFill="background1"/>
            <w:vAlign w:val="center"/>
          </w:tcPr>
          <w:p w14:paraId="34CDE9B2"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辽宁中德电缆有限公司</w:t>
            </w:r>
          </w:p>
        </w:tc>
        <w:tc>
          <w:tcPr>
            <w:tcW w:w="1512" w:type="dxa"/>
            <w:shd w:val="clear" w:color="auto" w:fill="FFFFFF" w:themeFill="background1"/>
            <w:vAlign w:val="center"/>
          </w:tcPr>
          <w:p w14:paraId="5A8B2236" w14:textId="77777777" w:rsidR="00632E5B" w:rsidRPr="00DD0DA8" w:rsidRDefault="00107901">
            <w:pPr>
              <w:spacing w:line="240" w:lineRule="exact"/>
              <w:jc w:val="right"/>
              <w:rPr>
                <w:rFonts w:ascii="宋体" w:eastAsia="宋体" w:hAnsi="宋体" w:cs="宋体" w:hint="eastAsia"/>
                <w:sz w:val="15"/>
                <w:szCs w:val="15"/>
              </w:rPr>
            </w:pPr>
            <w:r w:rsidRPr="00DD0DA8">
              <w:rPr>
                <w:rFonts w:ascii="宋体" w:eastAsia="宋体" w:hAnsi="宋体" w:cs="宋体"/>
                <w:sz w:val="15"/>
                <w:szCs w:val="15"/>
              </w:rPr>
              <w:t>303,496,730.00</w:t>
            </w:r>
          </w:p>
        </w:tc>
        <w:tc>
          <w:tcPr>
            <w:tcW w:w="1071" w:type="dxa"/>
            <w:shd w:val="clear" w:color="auto" w:fill="FFFFFF" w:themeFill="background1"/>
            <w:vAlign w:val="center"/>
          </w:tcPr>
          <w:p w14:paraId="26AC5593" w14:textId="77777777" w:rsidR="00632E5B" w:rsidRPr="00DD0DA8" w:rsidRDefault="00632E5B">
            <w:pPr>
              <w:spacing w:line="240" w:lineRule="exact"/>
              <w:jc w:val="right"/>
              <w:rPr>
                <w:rFonts w:ascii="宋体" w:eastAsia="宋体" w:hAnsi="宋体" w:cs="宋体" w:hint="eastAsia"/>
                <w:sz w:val="15"/>
                <w:szCs w:val="15"/>
              </w:rPr>
            </w:pPr>
          </w:p>
        </w:tc>
        <w:tc>
          <w:tcPr>
            <w:tcW w:w="1071" w:type="dxa"/>
            <w:shd w:val="clear" w:color="auto" w:fill="FFFFFF" w:themeFill="background1"/>
            <w:vAlign w:val="center"/>
          </w:tcPr>
          <w:p w14:paraId="3C5BA7B8" w14:textId="77777777" w:rsidR="00632E5B" w:rsidRPr="00DD0DA8" w:rsidRDefault="00632E5B">
            <w:pPr>
              <w:spacing w:line="240" w:lineRule="exact"/>
              <w:jc w:val="right"/>
              <w:rPr>
                <w:rFonts w:ascii="宋体" w:eastAsia="宋体" w:hAnsi="宋体" w:cs="宋体" w:hint="eastAsia"/>
                <w:sz w:val="15"/>
                <w:szCs w:val="15"/>
              </w:rPr>
            </w:pPr>
          </w:p>
        </w:tc>
        <w:tc>
          <w:tcPr>
            <w:tcW w:w="1071" w:type="dxa"/>
            <w:shd w:val="clear" w:color="auto" w:fill="FFFFFF" w:themeFill="background1"/>
            <w:vAlign w:val="center"/>
          </w:tcPr>
          <w:p w14:paraId="233E03FB" w14:textId="77777777" w:rsidR="00632E5B" w:rsidRPr="00DD0DA8" w:rsidRDefault="00632E5B">
            <w:pPr>
              <w:spacing w:line="240" w:lineRule="exact"/>
              <w:jc w:val="right"/>
              <w:rPr>
                <w:rFonts w:ascii="宋体" w:eastAsia="宋体" w:hAnsi="宋体" w:cs="宋体" w:hint="eastAsia"/>
                <w:sz w:val="15"/>
                <w:szCs w:val="15"/>
              </w:rPr>
            </w:pPr>
          </w:p>
        </w:tc>
        <w:tc>
          <w:tcPr>
            <w:tcW w:w="1071" w:type="dxa"/>
            <w:shd w:val="clear" w:color="auto" w:fill="FFFFFF" w:themeFill="background1"/>
            <w:vAlign w:val="center"/>
          </w:tcPr>
          <w:p w14:paraId="1D2B6843" w14:textId="77777777" w:rsidR="00632E5B" w:rsidRPr="00DD0DA8" w:rsidRDefault="00632E5B">
            <w:pPr>
              <w:spacing w:line="240" w:lineRule="exact"/>
              <w:jc w:val="right"/>
              <w:rPr>
                <w:rFonts w:ascii="宋体" w:eastAsia="宋体" w:hAnsi="宋体" w:cs="宋体" w:hint="eastAsia"/>
                <w:sz w:val="15"/>
                <w:szCs w:val="15"/>
              </w:rPr>
            </w:pPr>
          </w:p>
        </w:tc>
        <w:tc>
          <w:tcPr>
            <w:tcW w:w="677" w:type="dxa"/>
            <w:shd w:val="clear" w:color="auto" w:fill="FFFFFF" w:themeFill="background1"/>
            <w:vAlign w:val="center"/>
          </w:tcPr>
          <w:p w14:paraId="254B8F09" w14:textId="77777777" w:rsidR="00632E5B" w:rsidRPr="00DD0DA8" w:rsidRDefault="00632E5B">
            <w:pPr>
              <w:spacing w:line="240" w:lineRule="exact"/>
              <w:jc w:val="right"/>
              <w:rPr>
                <w:rFonts w:ascii="宋体" w:eastAsia="宋体" w:hAnsi="宋体" w:cs="宋体" w:hint="eastAsia"/>
                <w:sz w:val="15"/>
                <w:szCs w:val="15"/>
              </w:rPr>
            </w:pPr>
          </w:p>
        </w:tc>
        <w:tc>
          <w:tcPr>
            <w:tcW w:w="1417" w:type="dxa"/>
            <w:shd w:val="clear" w:color="auto" w:fill="FFFFFF" w:themeFill="background1"/>
            <w:vAlign w:val="center"/>
          </w:tcPr>
          <w:p w14:paraId="5EBB04B0" w14:textId="77777777" w:rsidR="00632E5B" w:rsidRPr="00DD0DA8" w:rsidRDefault="00107901">
            <w:pPr>
              <w:spacing w:line="240" w:lineRule="exact"/>
              <w:jc w:val="right"/>
              <w:rPr>
                <w:rFonts w:ascii="宋体" w:eastAsia="宋体" w:hAnsi="宋体" w:cs="宋体" w:hint="eastAsia"/>
                <w:sz w:val="15"/>
                <w:szCs w:val="15"/>
              </w:rPr>
            </w:pPr>
            <w:r w:rsidRPr="00DD0DA8">
              <w:rPr>
                <w:rFonts w:ascii="宋体" w:eastAsia="宋体" w:hAnsi="宋体" w:cs="宋体"/>
                <w:sz w:val="15"/>
                <w:szCs w:val="15"/>
              </w:rPr>
              <w:t>303,496,730.00</w:t>
            </w:r>
          </w:p>
        </w:tc>
        <w:tc>
          <w:tcPr>
            <w:tcW w:w="851" w:type="dxa"/>
            <w:shd w:val="clear" w:color="auto" w:fill="FFFFFF" w:themeFill="background1"/>
            <w:vAlign w:val="center"/>
          </w:tcPr>
          <w:p w14:paraId="47AFCB86" w14:textId="77777777" w:rsidR="00632E5B" w:rsidRPr="00DD0DA8" w:rsidRDefault="00632E5B">
            <w:pPr>
              <w:spacing w:line="240" w:lineRule="exact"/>
              <w:jc w:val="right"/>
              <w:rPr>
                <w:rFonts w:ascii="宋体" w:eastAsia="宋体" w:hAnsi="宋体" w:cs="宋体" w:hint="eastAsia"/>
                <w:sz w:val="15"/>
                <w:szCs w:val="15"/>
              </w:rPr>
            </w:pPr>
          </w:p>
        </w:tc>
      </w:tr>
      <w:tr w:rsidR="00632E5B" w14:paraId="0CE0A112" w14:textId="77777777" w:rsidTr="008B6556">
        <w:trPr>
          <w:trHeight w:val="240"/>
        </w:trPr>
        <w:tc>
          <w:tcPr>
            <w:tcW w:w="1071" w:type="dxa"/>
            <w:shd w:val="clear" w:color="auto" w:fill="FFFFFF" w:themeFill="background1"/>
            <w:vAlign w:val="center"/>
          </w:tcPr>
          <w:p w14:paraId="5FBB1FB6"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苏州腾晖光伏技术有限公司</w:t>
            </w:r>
          </w:p>
        </w:tc>
        <w:tc>
          <w:tcPr>
            <w:tcW w:w="1512" w:type="dxa"/>
            <w:shd w:val="clear" w:color="auto" w:fill="FFFFFF" w:themeFill="background1"/>
            <w:vAlign w:val="center"/>
          </w:tcPr>
          <w:p w14:paraId="28BC78FD" w14:textId="77777777" w:rsidR="00632E5B" w:rsidRPr="00DD0DA8" w:rsidRDefault="00107901">
            <w:pPr>
              <w:spacing w:line="240" w:lineRule="exact"/>
              <w:jc w:val="right"/>
              <w:rPr>
                <w:rFonts w:ascii="宋体" w:eastAsia="宋体" w:hAnsi="宋体" w:cs="宋体" w:hint="eastAsia"/>
                <w:sz w:val="15"/>
                <w:szCs w:val="15"/>
              </w:rPr>
            </w:pPr>
            <w:r w:rsidRPr="00DD0DA8">
              <w:rPr>
                <w:rFonts w:ascii="宋体" w:eastAsia="宋体" w:hAnsi="宋体" w:cs="宋体"/>
                <w:sz w:val="15"/>
                <w:szCs w:val="15"/>
              </w:rPr>
              <w:t>1,522,766,342.86</w:t>
            </w:r>
          </w:p>
        </w:tc>
        <w:tc>
          <w:tcPr>
            <w:tcW w:w="1071" w:type="dxa"/>
            <w:shd w:val="clear" w:color="auto" w:fill="FFFFFF" w:themeFill="background1"/>
            <w:vAlign w:val="center"/>
          </w:tcPr>
          <w:p w14:paraId="617A3CA7" w14:textId="77777777" w:rsidR="00632E5B" w:rsidRPr="00DD0DA8" w:rsidRDefault="00632E5B">
            <w:pPr>
              <w:spacing w:line="240" w:lineRule="exact"/>
              <w:jc w:val="right"/>
              <w:rPr>
                <w:rFonts w:ascii="宋体" w:eastAsia="宋体" w:hAnsi="宋体" w:cs="宋体" w:hint="eastAsia"/>
                <w:sz w:val="15"/>
                <w:szCs w:val="15"/>
              </w:rPr>
            </w:pPr>
          </w:p>
        </w:tc>
        <w:tc>
          <w:tcPr>
            <w:tcW w:w="1071" w:type="dxa"/>
            <w:shd w:val="clear" w:color="auto" w:fill="FFFFFF" w:themeFill="background1"/>
            <w:vAlign w:val="center"/>
          </w:tcPr>
          <w:p w14:paraId="2975BC18" w14:textId="77777777" w:rsidR="00632E5B" w:rsidRPr="00DD0DA8" w:rsidRDefault="00632E5B">
            <w:pPr>
              <w:spacing w:line="240" w:lineRule="exact"/>
              <w:jc w:val="right"/>
              <w:rPr>
                <w:rFonts w:ascii="宋体" w:eastAsia="宋体" w:hAnsi="宋体" w:cs="宋体" w:hint="eastAsia"/>
                <w:sz w:val="15"/>
                <w:szCs w:val="15"/>
              </w:rPr>
            </w:pPr>
          </w:p>
        </w:tc>
        <w:tc>
          <w:tcPr>
            <w:tcW w:w="1071" w:type="dxa"/>
            <w:shd w:val="clear" w:color="auto" w:fill="FFFFFF" w:themeFill="background1"/>
            <w:vAlign w:val="center"/>
          </w:tcPr>
          <w:p w14:paraId="24BDAE00" w14:textId="77777777" w:rsidR="00632E5B" w:rsidRPr="00DD0DA8" w:rsidRDefault="00632E5B">
            <w:pPr>
              <w:spacing w:line="240" w:lineRule="exact"/>
              <w:jc w:val="right"/>
              <w:rPr>
                <w:rFonts w:ascii="宋体" w:eastAsia="宋体" w:hAnsi="宋体" w:cs="宋体" w:hint="eastAsia"/>
                <w:sz w:val="15"/>
                <w:szCs w:val="15"/>
              </w:rPr>
            </w:pPr>
          </w:p>
        </w:tc>
        <w:tc>
          <w:tcPr>
            <w:tcW w:w="1071" w:type="dxa"/>
            <w:shd w:val="clear" w:color="auto" w:fill="FFFFFF" w:themeFill="background1"/>
            <w:vAlign w:val="center"/>
          </w:tcPr>
          <w:p w14:paraId="1BC90234" w14:textId="77777777" w:rsidR="00632E5B" w:rsidRPr="00DD0DA8" w:rsidRDefault="00632E5B">
            <w:pPr>
              <w:spacing w:line="240" w:lineRule="exact"/>
              <w:jc w:val="right"/>
              <w:rPr>
                <w:rFonts w:ascii="宋体" w:eastAsia="宋体" w:hAnsi="宋体" w:cs="宋体" w:hint="eastAsia"/>
                <w:sz w:val="15"/>
                <w:szCs w:val="15"/>
              </w:rPr>
            </w:pPr>
          </w:p>
        </w:tc>
        <w:tc>
          <w:tcPr>
            <w:tcW w:w="677" w:type="dxa"/>
            <w:shd w:val="clear" w:color="auto" w:fill="FFFFFF" w:themeFill="background1"/>
            <w:vAlign w:val="center"/>
          </w:tcPr>
          <w:p w14:paraId="09665451" w14:textId="77777777" w:rsidR="00632E5B" w:rsidRPr="00DD0DA8" w:rsidRDefault="00632E5B">
            <w:pPr>
              <w:spacing w:line="240" w:lineRule="exact"/>
              <w:jc w:val="right"/>
              <w:rPr>
                <w:rFonts w:ascii="宋体" w:eastAsia="宋体" w:hAnsi="宋体" w:cs="宋体" w:hint="eastAsia"/>
                <w:sz w:val="15"/>
                <w:szCs w:val="15"/>
              </w:rPr>
            </w:pPr>
          </w:p>
        </w:tc>
        <w:tc>
          <w:tcPr>
            <w:tcW w:w="1417" w:type="dxa"/>
            <w:shd w:val="clear" w:color="auto" w:fill="FFFFFF" w:themeFill="background1"/>
            <w:vAlign w:val="center"/>
          </w:tcPr>
          <w:p w14:paraId="35BD6F95" w14:textId="77777777" w:rsidR="00632E5B" w:rsidRPr="00DD0DA8" w:rsidRDefault="00107901">
            <w:pPr>
              <w:spacing w:line="240" w:lineRule="exact"/>
              <w:jc w:val="right"/>
              <w:rPr>
                <w:rFonts w:ascii="宋体" w:eastAsia="宋体" w:hAnsi="宋体" w:cs="宋体" w:hint="eastAsia"/>
                <w:sz w:val="15"/>
                <w:szCs w:val="15"/>
              </w:rPr>
            </w:pPr>
            <w:r w:rsidRPr="00DD0DA8">
              <w:rPr>
                <w:rFonts w:ascii="宋体" w:eastAsia="宋体" w:hAnsi="宋体" w:cs="宋体"/>
                <w:sz w:val="15"/>
                <w:szCs w:val="15"/>
              </w:rPr>
              <w:t>1,522,766,342.86</w:t>
            </w:r>
          </w:p>
        </w:tc>
        <w:tc>
          <w:tcPr>
            <w:tcW w:w="851" w:type="dxa"/>
            <w:shd w:val="clear" w:color="auto" w:fill="FFFFFF" w:themeFill="background1"/>
            <w:vAlign w:val="center"/>
          </w:tcPr>
          <w:p w14:paraId="3F6E7DE5" w14:textId="77777777" w:rsidR="00632E5B" w:rsidRPr="00DD0DA8" w:rsidRDefault="00632E5B">
            <w:pPr>
              <w:spacing w:line="240" w:lineRule="exact"/>
              <w:jc w:val="right"/>
              <w:rPr>
                <w:rFonts w:ascii="宋体" w:eastAsia="宋体" w:hAnsi="宋体" w:cs="宋体" w:hint="eastAsia"/>
                <w:sz w:val="15"/>
                <w:szCs w:val="15"/>
              </w:rPr>
            </w:pPr>
          </w:p>
        </w:tc>
      </w:tr>
      <w:tr w:rsidR="00632E5B" w14:paraId="12EA1931" w14:textId="77777777" w:rsidTr="008B6556">
        <w:trPr>
          <w:trHeight w:val="240"/>
        </w:trPr>
        <w:tc>
          <w:tcPr>
            <w:tcW w:w="1071" w:type="dxa"/>
            <w:shd w:val="clear" w:color="auto" w:fill="FFFFFF" w:themeFill="background1"/>
            <w:vAlign w:val="center"/>
          </w:tcPr>
          <w:p w14:paraId="208FF214"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青海中利光纤技术有限公司</w:t>
            </w:r>
          </w:p>
        </w:tc>
        <w:tc>
          <w:tcPr>
            <w:tcW w:w="1512" w:type="dxa"/>
            <w:shd w:val="clear" w:color="auto" w:fill="FFFFFF" w:themeFill="background1"/>
            <w:vAlign w:val="center"/>
          </w:tcPr>
          <w:p w14:paraId="4D46A821" w14:textId="77777777" w:rsidR="00632E5B" w:rsidRPr="00DD0DA8" w:rsidRDefault="00107901">
            <w:pPr>
              <w:spacing w:line="240" w:lineRule="exact"/>
              <w:jc w:val="right"/>
              <w:rPr>
                <w:rFonts w:ascii="宋体" w:eastAsia="宋体" w:hAnsi="宋体" w:cs="宋体" w:hint="eastAsia"/>
                <w:sz w:val="15"/>
                <w:szCs w:val="15"/>
              </w:rPr>
            </w:pPr>
            <w:r w:rsidRPr="00DD0DA8">
              <w:rPr>
                <w:rFonts w:ascii="宋体" w:eastAsia="宋体" w:hAnsi="宋体" w:cs="宋体"/>
                <w:sz w:val="15"/>
                <w:szCs w:val="15"/>
              </w:rPr>
              <w:t>1,181,472,500.00</w:t>
            </w:r>
          </w:p>
        </w:tc>
        <w:tc>
          <w:tcPr>
            <w:tcW w:w="1071" w:type="dxa"/>
            <w:shd w:val="clear" w:color="auto" w:fill="FFFFFF" w:themeFill="background1"/>
            <w:vAlign w:val="center"/>
          </w:tcPr>
          <w:p w14:paraId="2AACE30A" w14:textId="77777777" w:rsidR="00632E5B" w:rsidRPr="00DD0DA8" w:rsidRDefault="00632E5B">
            <w:pPr>
              <w:spacing w:line="240" w:lineRule="exact"/>
              <w:jc w:val="right"/>
              <w:rPr>
                <w:rFonts w:ascii="宋体" w:eastAsia="宋体" w:hAnsi="宋体" w:cs="宋体" w:hint="eastAsia"/>
                <w:sz w:val="15"/>
                <w:szCs w:val="15"/>
              </w:rPr>
            </w:pPr>
          </w:p>
        </w:tc>
        <w:tc>
          <w:tcPr>
            <w:tcW w:w="1071" w:type="dxa"/>
            <w:shd w:val="clear" w:color="auto" w:fill="FFFFFF" w:themeFill="background1"/>
            <w:vAlign w:val="center"/>
          </w:tcPr>
          <w:p w14:paraId="458EC36F" w14:textId="77777777" w:rsidR="00632E5B" w:rsidRPr="00DD0DA8" w:rsidRDefault="00632E5B">
            <w:pPr>
              <w:spacing w:line="240" w:lineRule="exact"/>
              <w:jc w:val="right"/>
              <w:rPr>
                <w:rFonts w:ascii="宋体" w:eastAsia="宋体" w:hAnsi="宋体" w:cs="宋体" w:hint="eastAsia"/>
                <w:sz w:val="15"/>
                <w:szCs w:val="15"/>
              </w:rPr>
            </w:pPr>
          </w:p>
        </w:tc>
        <w:tc>
          <w:tcPr>
            <w:tcW w:w="1071" w:type="dxa"/>
            <w:shd w:val="clear" w:color="auto" w:fill="FFFFFF" w:themeFill="background1"/>
            <w:vAlign w:val="center"/>
          </w:tcPr>
          <w:p w14:paraId="10EC5A23" w14:textId="77777777" w:rsidR="00632E5B" w:rsidRPr="00DD0DA8" w:rsidRDefault="00632E5B">
            <w:pPr>
              <w:spacing w:line="240" w:lineRule="exact"/>
              <w:jc w:val="right"/>
              <w:rPr>
                <w:rFonts w:ascii="宋体" w:eastAsia="宋体" w:hAnsi="宋体" w:cs="宋体" w:hint="eastAsia"/>
                <w:sz w:val="15"/>
                <w:szCs w:val="15"/>
              </w:rPr>
            </w:pPr>
          </w:p>
        </w:tc>
        <w:tc>
          <w:tcPr>
            <w:tcW w:w="1071" w:type="dxa"/>
            <w:shd w:val="clear" w:color="auto" w:fill="FFFFFF" w:themeFill="background1"/>
            <w:vAlign w:val="center"/>
          </w:tcPr>
          <w:p w14:paraId="564A97E7" w14:textId="77777777" w:rsidR="00632E5B" w:rsidRPr="00DD0DA8" w:rsidRDefault="00632E5B">
            <w:pPr>
              <w:spacing w:line="240" w:lineRule="exact"/>
              <w:jc w:val="right"/>
              <w:rPr>
                <w:rFonts w:ascii="宋体" w:eastAsia="宋体" w:hAnsi="宋体" w:cs="宋体" w:hint="eastAsia"/>
                <w:sz w:val="15"/>
                <w:szCs w:val="15"/>
              </w:rPr>
            </w:pPr>
          </w:p>
        </w:tc>
        <w:tc>
          <w:tcPr>
            <w:tcW w:w="677" w:type="dxa"/>
            <w:shd w:val="clear" w:color="auto" w:fill="FFFFFF" w:themeFill="background1"/>
            <w:vAlign w:val="center"/>
          </w:tcPr>
          <w:p w14:paraId="06B252B0" w14:textId="77777777" w:rsidR="00632E5B" w:rsidRPr="00DD0DA8" w:rsidRDefault="00632E5B">
            <w:pPr>
              <w:spacing w:line="240" w:lineRule="exact"/>
              <w:jc w:val="right"/>
              <w:rPr>
                <w:rFonts w:ascii="宋体" w:eastAsia="宋体" w:hAnsi="宋体" w:cs="宋体" w:hint="eastAsia"/>
                <w:sz w:val="15"/>
                <w:szCs w:val="15"/>
              </w:rPr>
            </w:pPr>
          </w:p>
        </w:tc>
        <w:tc>
          <w:tcPr>
            <w:tcW w:w="1417" w:type="dxa"/>
            <w:shd w:val="clear" w:color="auto" w:fill="FFFFFF" w:themeFill="background1"/>
            <w:vAlign w:val="center"/>
          </w:tcPr>
          <w:p w14:paraId="021ACE48" w14:textId="77777777" w:rsidR="00632E5B" w:rsidRPr="00DD0DA8" w:rsidRDefault="00107901">
            <w:pPr>
              <w:spacing w:line="240" w:lineRule="exact"/>
              <w:jc w:val="right"/>
              <w:rPr>
                <w:rFonts w:ascii="宋体" w:eastAsia="宋体" w:hAnsi="宋体" w:cs="宋体" w:hint="eastAsia"/>
                <w:sz w:val="15"/>
                <w:szCs w:val="15"/>
              </w:rPr>
            </w:pPr>
            <w:r w:rsidRPr="00DD0DA8">
              <w:rPr>
                <w:rFonts w:ascii="宋体" w:eastAsia="宋体" w:hAnsi="宋体" w:cs="宋体"/>
                <w:sz w:val="15"/>
                <w:szCs w:val="15"/>
              </w:rPr>
              <w:t>1,181,472,500.00</w:t>
            </w:r>
          </w:p>
        </w:tc>
        <w:tc>
          <w:tcPr>
            <w:tcW w:w="851" w:type="dxa"/>
            <w:shd w:val="clear" w:color="auto" w:fill="FFFFFF" w:themeFill="background1"/>
            <w:vAlign w:val="center"/>
          </w:tcPr>
          <w:p w14:paraId="5968574D" w14:textId="77777777" w:rsidR="00632E5B" w:rsidRPr="00DD0DA8" w:rsidRDefault="00632E5B">
            <w:pPr>
              <w:spacing w:line="240" w:lineRule="exact"/>
              <w:jc w:val="right"/>
              <w:rPr>
                <w:rFonts w:ascii="宋体" w:eastAsia="宋体" w:hAnsi="宋体" w:cs="宋体" w:hint="eastAsia"/>
                <w:sz w:val="15"/>
                <w:szCs w:val="15"/>
              </w:rPr>
            </w:pPr>
          </w:p>
        </w:tc>
      </w:tr>
      <w:tr w:rsidR="00632E5B" w14:paraId="1E2CD644" w14:textId="77777777" w:rsidTr="008B6556">
        <w:trPr>
          <w:trHeight w:val="240"/>
        </w:trPr>
        <w:tc>
          <w:tcPr>
            <w:tcW w:w="1071" w:type="dxa"/>
            <w:shd w:val="clear" w:color="auto" w:fill="FFFFFF" w:themeFill="background1"/>
            <w:vAlign w:val="center"/>
          </w:tcPr>
          <w:p w14:paraId="39D52CB7"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常熟市协友企业服务有限公司</w:t>
            </w:r>
          </w:p>
        </w:tc>
        <w:tc>
          <w:tcPr>
            <w:tcW w:w="1512" w:type="dxa"/>
            <w:shd w:val="clear" w:color="auto" w:fill="FFFFFF" w:themeFill="background1"/>
            <w:vAlign w:val="center"/>
          </w:tcPr>
          <w:p w14:paraId="42213FFF" w14:textId="77777777" w:rsidR="00632E5B" w:rsidRPr="00DD0DA8" w:rsidRDefault="00107901">
            <w:pPr>
              <w:spacing w:line="240" w:lineRule="exact"/>
              <w:jc w:val="right"/>
              <w:rPr>
                <w:rFonts w:ascii="宋体" w:eastAsia="宋体" w:hAnsi="宋体" w:cs="宋体" w:hint="eastAsia"/>
                <w:sz w:val="15"/>
                <w:szCs w:val="15"/>
              </w:rPr>
            </w:pPr>
            <w:r w:rsidRPr="00DD0DA8">
              <w:rPr>
                <w:rFonts w:ascii="宋体" w:eastAsia="宋体" w:hAnsi="宋体" w:cs="宋体"/>
                <w:sz w:val="15"/>
                <w:szCs w:val="15"/>
              </w:rPr>
              <w:t>2,000,000.00</w:t>
            </w:r>
          </w:p>
        </w:tc>
        <w:tc>
          <w:tcPr>
            <w:tcW w:w="1071" w:type="dxa"/>
            <w:shd w:val="clear" w:color="auto" w:fill="FFFFFF" w:themeFill="background1"/>
            <w:vAlign w:val="center"/>
          </w:tcPr>
          <w:p w14:paraId="10A0F979" w14:textId="77777777" w:rsidR="00632E5B" w:rsidRPr="00DD0DA8" w:rsidRDefault="00632E5B">
            <w:pPr>
              <w:spacing w:line="240" w:lineRule="exact"/>
              <w:jc w:val="right"/>
              <w:rPr>
                <w:rFonts w:ascii="宋体" w:eastAsia="宋体" w:hAnsi="宋体" w:cs="宋体" w:hint="eastAsia"/>
                <w:sz w:val="15"/>
                <w:szCs w:val="15"/>
              </w:rPr>
            </w:pPr>
          </w:p>
        </w:tc>
        <w:tc>
          <w:tcPr>
            <w:tcW w:w="1071" w:type="dxa"/>
            <w:shd w:val="clear" w:color="auto" w:fill="FFFFFF" w:themeFill="background1"/>
            <w:vAlign w:val="center"/>
          </w:tcPr>
          <w:p w14:paraId="0A8F56A6" w14:textId="77777777" w:rsidR="00632E5B" w:rsidRPr="00DD0DA8" w:rsidRDefault="00632E5B">
            <w:pPr>
              <w:spacing w:line="240" w:lineRule="exact"/>
              <w:jc w:val="right"/>
              <w:rPr>
                <w:rFonts w:ascii="宋体" w:eastAsia="宋体" w:hAnsi="宋体" w:cs="宋体" w:hint="eastAsia"/>
                <w:sz w:val="15"/>
                <w:szCs w:val="15"/>
              </w:rPr>
            </w:pPr>
          </w:p>
        </w:tc>
        <w:tc>
          <w:tcPr>
            <w:tcW w:w="1071" w:type="dxa"/>
            <w:shd w:val="clear" w:color="auto" w:fill="FFFFFF" w:themeFill="background1"/>
            <w:vAlign w:val="center"/>
          </w:tcPr>
          <w:p w14:paraId="37FBE0EB" w14:textId="77777777" w:rsidR="00632E5B" w:rsidRPr="00DD0DA8" w:rsidRDefault="00632E5B">
            <w:pPr>
              <w:spacing w:line="240" w:lineRule="exact"/>
              <w:jc w:val="right"/>
              <w:rPr>
                <w:rFonts w:ascii="宋体" w:eastAsia="宋体" w:hAnsi="宋体" w:cs="宋体" w:hint="eastAsia"/>
                <w:sz w:val="15"/>
                <w:szCs w:val="15"/>
              </w:rPr>
            </w:pPr>
          </w:p>
        </w:tc>
        <w:tc>
          <w:tcPr>
            <w:tcW w:w="1071" w:type="dxa"/>
            <w:shd w:val="clear" w:color="auto" w:fill="FFFFFF" w:themeFill="background1"/>
            <w:vAlign w:val="center"/>
          </w:tcPr>
          <w:p w14:paraId="54F05D34" w14:textId="77777777" w:rsidR="00632E5B" w:rsidRPr="00DD0DA8" w:rsidRDefault="00632E5B">
            <w:pPr>
              <w:spacing w:line="240" w:lineRule="exact"/>
              <w:jc w:val="right"/>
              <w:rPr>
                <w:rFonts w:ascii="宋体" w:eastAsia="宋体" w:hAnsi="宋体" w:cs="宋体" w:hint="eastAsia"/>
                <w:sz w:val="15"/>
                <w:szCs w:val="15"/>
              </w:rPr>
            </w:pPr>
          </w:p>
        </w:tc>
        <w:tc>
          <w:tcPr>
            <w:tcW w:w="677" w:type="dxa"/>
            <w:shd w:val="clear" w:color="auto" w:fill="FFFFFF" w:themeFill="background1"/>
            <w:vAlign w:val="center"/>
          </w:tcPr>
          <w:p w14:paraId="243478D2" w14:textId="77777777" w:rsidR="00632E5B" w:rsidRPr="00DD0DA8" w:rsidRDefault="00632E5B">
            <w:pPr>
              <w:spacing w:line="240" w:lineRule="exact"/>
              <w:jc w:val="right"/>
              <w:rPr>
                <w:rFonts w:ascii="宋体" w:eastAsia="宋体" w:hAnsi="宋体" w:cs="宋体" w:hint="eastAsia"/>
                <w:sz w:val="15"/>
                <w:szCs w:val="15"/>
              </w:rPr>
            </w:pPr>
          </w:p>
        </w:tc>
        <w:tc>
          <w:tcPr>
            <w:tcW w:w="1417" w:type="dxa"/>
            <w:shd w:val="clear" w:color="auto" w:fill="FFFFFF" w:themeFill="background1"/>
            <w:vAlign w:val="center"/>
          </w:tcPr>
          <w:p w14:paraId="0C0BDD78" w14:textId="77777777" w:rsidR="00632E5B" w:rsidRPr="00DD0DA8" w:rsidRDefault="00107901">
            <w:pPr>
              <w:spacing w:line="240" w:lineRule="exact"/>
              <w:jc w:val="right"/>
              <w:rPr>
                <w:rFonts w:ascii="宋体" w:eastAsia="宋体" w:hAnsi="宋体" w:cs="宋体" w:hint="eastAsia"/>
                <w:sz w:val="15"/>
                <w:szCs w:val="15"/>
              </w:rPr>
            </w:pPr>
            <w:r w:rsidRPr="00DD0DA8">
              <w:rPr>
                <w:rFonts w:ascii="宋体" w:eastAsia="宋体" w:hAnsi="宋体" w:cs="宋体"/>
                <w:sz w:val="15"/>
                <w:szCs w:val="15"/>
              </w:rPr>
              <w:t>2,000,000.00</w:t>
            </w:r>
          </w:p>
        </w:tc>
        <w:tc>
          <w:tcPr>
            <w:tcW w:w="851" w:type="dxa"/>
            <w:shd w:val="clear" w:color="auto" w:fill="FFFFFF" w:themeFill="background1"/>
            <w:vAlign w:val="center"/>
          </w:tcPr>
          <w:p w14:paraId="3E3BFB84" w14:textId="77777777" w:rsidR="00632E5B" w:rsidRPr="00DD0DA8" w:rsidRDefault="00632E5B">
            <w:pPr>
              <w:spacing w:line="240" w:lineRule="exact"/>
              <w:jc w:val="right"/>
              <w:rPr>
                <w:rFonts w:ascii="宋体" w:eastAsia="宋体" w:hAnsi="宋体" w:cs="宋体" w:hint="eastAsia"/>
                <w:sz w:val="15"/>
                <w:szCs w:val="15"/>
              </w:rPr>
            </w:pPr>
          </w:p>
        </w:tc>
      </w:tr>
      <w:tr w:rsidR="00632E5B" w14:paraId="0A62008D" w14:textId="77777777" w:rsidTr="008B6556">
        <w:trPr>
          <w:trHeight w:val="240"/>
        </w:trPr>
        <w:tc>
          <w:tcPr>
            <w:tcW w:w="1071" w:type="dxa"/>
            <w:shd w:val="clear" w:color="auto" w:fill="FFFFFF" w:themeFill="background1"/>
            <w:vAlign w:val="center"/>
          </w:tcPr>
          <w:p w14:paraId="3924A3FA"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常熟利星光电科技有限公司</w:t>
            </w:r>
          </w:p>
        </w:tc>
        <w:tc>
          <w:tcPr>
            <w:tcW w:w="1512" w:type="dxa"/>
            <w:shd w:val="clear" w:color="auto" w:fill="FFFFFF" w:themeFill="background1"/>
            <w:vAlign w:val="center"/>
          </w:tcPr>
          <w:p w14:paraId="4DB38D47" w14:textId="77777777" w:rsidR="00632E5B" w:rsidRPr="00DD0DA8" w:rsidRDefault="00107901">
            <w:pPr>
              <w:spacing w:line="240" w:lineRule="exact"/>
              <w:jc w:val="right"/>
              <w:rPr>
                <w:rFonts w:ascii="宋体" w:eastAsia="宋体" w:hAnsi="宋体" w:cs="宋体" w:hint="eastAsia"/>
                <w:sz w:val="15"/>
                <w:szCs w:val="15"/>
              </w:rPr>
            </w:pPr>
            <w:r w:rsidRPr="00DD0DA8">
              <w:rPr>
                <w:rFonts w:ascii="宋体" w:eastAsia="宋体" w:hAnsi="宋体" w:cs="宋体"/>
                <w:sz w:val="15"/>
                <w:szCs w:val="15"/>
              </w:rPr>
              <w:t>29,737,502.00</w:t>
            </w:r>
          </w:p>
        </w:tc>
        <w:tc>
          <w:tcPr>
            <w:tcW w:w="1071" w:type="dxa"/>
            <w:shd w:val="clear" w:color="auto" w:fill="FFFFFF" w:themeFill="background1"/>
            <w:vAlign w:val="center"/>
          </w:tcPr>
          <w:p w14:paraId="7C3FC65D" w14:textId="77777777" w:rsidR="00632E5B" w:rsidRPr="00DD0DA8" w:rsidRDefault="00632E5B">
            <w:pPr>
              <w:spacing w:line="240" w:lineRule="exact"/>
              <w:jc w:val="right"/>
              <w:rPr>
                <w:rFonts w:ascii="宋体" w:eastAsia="宋体" w:hAnsi="宋体" w:cs="宋体" w:hint="eastAsia"/>
                <w:sz w:val="15"/>
                <w:szCs w:val="15"/>
              </w:rPr>
            </w:pPr>
          </w:p>
        </w:tc>
        <w:tc>
          <w:tcPr>
            <w:tcW w:w="1071" w:type="dxa"/>
            <w:shd w:val="clear" w:color="auto" w:fill="FFFFFF" w:themeFill="background1"/>
            <w:vAlign w:val="center"/>
          </w:tcPr>
          <w:p w14:paraId="35A9DB5E" w14:textId="77777777" w:rsidR="00632E5B" w:rsidRPr="00DD0DA8" w:rsidRDefault="00632E5B">
            <w:pPr>
              <w:spacing w:line="240" w:lineRule="exact"/>
              <w:jc w:val="right"/>
              <w:rPr>
                <w:rFonts w:ascii="宋体" w:eastAsia="宋体" w:hAnsi="宋体" w:cs="宋体" w:hint="eastAsia"/>
                <w:sz w:val="15"/>
                <w:szCs w:val="15"/>
              </w:rPr>
            </w:pPr>
          </w:p>
        </w:tc>
        <w:tc>
          <w:tcPr>
            <w:tcW w:w="1071" w:type="dxa"/>
            <w:shd w:val="clear" w:color="auto" w:fill="FFFFFF" w:themeFill="background1"/>
            <w:vAlign w:val="center"/>
          </w:tcPr>
          <w:p w14:paraId="5051691C" w14:textId="77777777" w:rsidR="00632E5B" w:rsidRPr="00DD0DA8" w:rsidRDefault="00632E5B">
            <w:pPr>
              <w:spacing w:line="240" w:lineRule="exact"/>
              <w:jc w:val="right"/>
              <w:rPr>
                <w:rFonts w:ascii="宋体" w:eastAsia="宋体" w:hAnsi="宋体" w:cs="宋体" w:hint="eastAsia"/>
                <w:sz w:val="15"/>
                <w:szCs w:val="15"/>
              </w:rPr>
            </w:pPr>
          </w:p>
        </w:tc>
        <w:tc>
          <w:tcPr>
            <w:tcW w:w="1071" w:type="dxa"/>
            <w:shd w:val="clear" w:color="auto" w:fill="FFFFFF" w:themeFill="background1"/>
            <w:vAlign w:val="center"/>
          </w:tcPr>
          <w:p w14:paraId="5E3A2758" w14:textId="77777777" w:rsidR="00632E5B" w:rsidRPr="00DD0DA8" w:rsidRDefault="00632E5B">
            <w:pPr>
              <w:spacing w:line="240" w:lineRule="exact"/>
              <w:jc w:val="right"/>
              <w:rPr>
                <w:rFonts w:ascii="宋体" w:eastAsia="宋体" w:hAnsi="宋体" w:cs="宋体" w:hint="eastAsia"/>
                <w:sz w:val="15"/>
                <w:szCs w:val="15"/>
              </w:rPr>
            </w:pPr>
          </w:p>
        </w:tc>
        <w:tc>
          <w:tcPr>
            <w:tcW w:w="677" w:type="dxa"/>
            <w:shd w:val="clear" w:color="auto" w:fill="FFFFFF" w:themeFill="background1"/>
            <w:vAlign w:val="center"/>
          </w:tcPr>
          <w:p w14:paraId="78044271" w14:textId="77777777" w:rsidR="00632E5B" w:rsidRPr="00DD0DA8" w:rsidRDefault="00632E5B">
            <w:pPr>
              <w:spacing w:line="240" w:lineRule="exact"/>
              <w:jc w:val="right"/>
              <w:rPr>
                <w:rFonts w:ascii="宋体" w:eastAsia="宋体" w:hAnsi="宋体" w:cs="宋体" w:hint="eastAsia"/>
                <w:sz w:val="15"/>
                <w:szCs w:val="15"/>
              </w:rPr>
            </w:pPr>
          </w:p>
        </w:tc>
        <w:tc>
          <w:tcPr>
            <w:tcW w:w="1417" w:type="dxa"/>
            <w:shd w:val="clear" w:color="auto" w:fill="FFFFFF" w:themeFill="background1"/>
            <w:vAlign w:val="center"/>
          </w:tcPr>
          <w:p w14:paraId="5675E355" w14:textId="77777777" w:rsidR="00632E5B" w:rsidRPr="00DD0DA8" w:rsidRDefault="00107901">
            <w:pPr>
              <w:spacing w:line="240" w:lineRule="exact"/>
              <w:jc w:val="right"/>
              <w:rPr>
                <w:rFonts w:ascii="宋体" w:eastAsia="宋体" w:hAnsi="宋体" w:cs="宋体" w:hint="eastAsia"/>
                <w:sz w:val="15"/>
                <w:szCs w:val="15"/>
              </w:rPr>
            </w:pPr>
            <w:r w:rsidRPr="00DD0DA8">
              <w:rPr>
                <w:rFonts w:ascii="宋体" w:eastAsia="宋体" w:hAnsi="宋体" w:cs="宋体"/>
                <w:sz w:val="15"/>
                <w:szCs w:val="15"/>
              </w:rPr>
              <w:t>29,737,502.00</w:t>
            </w:r>
          </w:p>
        </w:tc>
        <w:tc>
          <w:tcPr>
            <w:tcW w:w="851" w:type="dxa"/>
            <w:shd w:val="clear" w:color="auto" w:fill="FFFFFF" w:themeFill="background1"/>
            <w:vAlign w:val="center"/>
          </w:tcPr>
          <w:p w14:paraId="039F1E82" w14:textId="77777777" w:rsidR="00632E5B" w:rsidRPr="00DD0DA8" w:rsidRDefault="00632E5B">
            <w:pPr>
              <w:spacing w:line="240" w:lineRule="exact"/>
              <w:jc w:val="right"/>
              <w:rPr>
                <w:rFonts w:ascii="宋体" w:eastAsia="宋体" w:hAnsi="宋体" w:cs="宋体" w:hint="eastAsia"/>
                <w:sz w:val="15"/>
                <w:szCs w:val="15"/>
              </w:rPr>
            </w:pPr>
          </w:p>
        </w:tc>
      </w:tr>
      <w:tr w:rsidR="00632E5B" w14:paraId="7984DE2A" w14:textId="77777777" w:rsidTr="008B6556">
        <w:trPr>
          <w:trHeight w:val="240"/>
        </w:trPr>
        <w:tc>
          <w:tcPr>
            <w:tcW w:w="1071" w:type="dxa"/>
            <w:shd w:val="clear" w:color="auto" w:fill="FFFFFF" w:themeFill="background1"/>
            <w:vAlign w:val="center"/>
          </w:tcPr>
          <w:p w14:paraId="6CBBD1D9"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宁夏中盛电缆技术有限公司</w:t>
            </w:r>
          </w:p>
        </w:tc>
        <w:tc>
          <w:tcPr>
            <w:tcW w:w="1512" w:type="dxa"/>
            <w:shd w:val="clear" w:color="auto" w:fill="FFFFFF" w:themeFill="background1"/>
            <w:vAlign w:val="center"/>
          </w:tcPr>
          <w:p w14:paraId="7C6E6D9C" w14:textId="77777777" w:rsidR="00632E5B" w:rsidRPr="00DD0DA8" w:rsidRDefault="00107901">
            <w:pPr>
              <w:spacing w:line="240" w:lineRule="exact"/>
              <w:jc w:val="right"/>
              <w:rPr>
                <w:rFonts w:ascii="宋体" w:eastAsia="宋体" w:hAnsi="宋体" w:cs="宋体" w:hint="eastAsia"/>
                <w:sz w:val="15"/>
                <w:szCs w:val="15"/>
              </w:rPr>
            </w:pPr>
            <w:r w:rsidRPr="00DD0DA8">
              <w:rPr>
                <w:rFonts w:ascii="宋体" w:eastAsia="宋体" w:hAnsi="宋体" w:cs="宋体"/>
                <w:sz w:val="15"/>
                <w:szCs w:val="15"/>
              </w:rPr>
              <w:t>100,000,000.00</w:t>
            </w:r>
          </w:p>
        </w:tc>
        <w:tc>
          <w:tcPr>
            <w:tcW w:w="1071" w:type="dxa"/>
            <w:shd w:val="clear" w:color="auto" w:fill="FFFFFF" w:themeFill="background1"/>
            <w:vAlign w:val="center"/>
          </w:tcPr>
          <w:p w14:paraId="336FFC93" w14:textId="77777777" w:rsidR="00632E5B" w:rsidRPr="00DD0DA8" w:rsidRDefault="00632E5B">
            <w:pPr>
              <w:spacing w:line="240" w:lineRule="exact"/>
              <w:jc w:val="right"/>
              <w:rPr>
                <w:rFonts w:ascii="宋体" w:eastAsia="宋体" w:hAnsi="宋体" w:cs="宋体" w:hint="eastAsia"/>
                <w:sz w:val="15"/>
                <w:szCs w:val="15"/>
              </w:rPr>
            </w:pPr>
          </w:p>
        </w:tc>
        <w:tc>
          <w:tcPr>
            <w:tcW w:w="1071" w:type="dxa"/>
            <w:shd w:val="clear" w:color="auto" w:fill="FFFFFF" w:themeFill="background1"/>
            <w:vAlign w:val="center"/>
          </w:tcPr>
          <w:p w14:paraId="6A395377" w14:textId="77777777" w:rsidR="00632E5B" w:rsidRPr="00DD0DA8" w:rsidRDefault="00632E5B">
            <w:pPr>
              <w:spacing w:line="240" w:lineRule="exact"/>
              <w:jc w:val="right"/>
              <w:rPr>
                <w:rFonts w:ascii="宋体" w:eastAsia="宋体" w:hAnsi="宋体" w:cs="宋体" w:hint="eastAsia"/>
                <w:sz w:val="15"/>
                <w:szCs w:val="15"/>
              </w:rPr>
            </w:pPr>
          </w:p>
        </w:tc>
        <w:tc>
          <w:tcPr>
            <w:tcW w:w="1071" w:type="dxa"/>
            <w:shd w:val="clear" w:color="auto" w:fill="FFFFFF" w:themeFill="background1"/>
            <w:vAlign w:val="center"/>
          </w:tcPr>
          <w:p w14:paraId="3443E1AF" w14:textId="77777777" w:rsidR="00632E5B" w:rsidRPr="00DD0DA8" w:rsidRDefault="00632E5B">
            <w:pPr>
              <w:spacing w:line="240" w:lineRule="exact"/>
              <w:jc w:val="right"/>
              <w:rPr>
                <w:rFonts w:ascii="宋体" w:eastAsia="宋体" w:hAnsi="宋体" w:cs="宋体" w:hint="eastAsia"/>
                <w:sz w:val="15"/>
                <w:szCs w:val="15"/>
              </w:rPr>
            </w:pPr>
          </w:p>
        </w:tc>
        <w:tc>
          <w:tcPr>
            <w:tcW w:w="1071" w:type="dxa"/>
            <w:shd w:val="clear" w:color="auto" w:fill="FFFFFF" w:themeFill="background1"/>
            <w:vAlign w:val="center"/>
          </w:tcPr>
          <w:p w14:paraId="2B35CE2B" w14:textId="77777777" w:rsidR="00632E5B" w:rsidRPr="00DD0DA8" w:rsidRDefault="00632E5B">
            <w:pPr>
              <w:spacing w:line="240" w:lineRule="exact"/>
              <w:jc w:val="right"/>
              <w:rPr>
                <w:rFonts w:ascii="宋体" w:eastAsia="宋体" w:hAnsi="宋体" w:cs="宋体" w:hint="eastAsia"/>
                <w:sz w:val="15"/>
                <w:szCs w:val="15"/>
              </w:rPr>
            </w:pPr>
          </w:p>
        </w:tc>
        <w:tc>
          <w:tcPr>
            <w:tcW w:w="677" w:type="dxa"/>
            <w:shd w:val="clear" w:color="auto" w:fill="FFFFFF" w:themeFill="background1"/>
            <w:vAlign w:val="center"/>
          </w:tcPr>
          <w:p w14:paraId="4A33080F" w14:textId="77777777" w:rsidR="00632E5B" w:rsidRPr="00DD0DA8" w:rsidRDefault="00632E5B">
            <w:pPr>
              <w:spacing w:line="240" w:lineRule="exact"/>
              <w:jc w:val="right"/>
              <w:rPr>
                <w:rFonts w:ascii="宋体" w:eastAsia="宋体" w:hAnsi="宋体" w:cs="宋体" w:hint="eastAsia"/>
                <w:sz w:val="15"/>
                <w:szCs w:val="15"/>
              </w:rPr>
            </w:pPr>
          </w:p>
        </w:tc>
        <w:tc>
          <w:tcPr>
            <w:tcW w:w="1417" w:type="dxa"/>
            <w:shd w:val="clear" w:color="auto" w:fill="FFFFFF" w:themeFill="background1"/>
            <w:vAlign w:val="center"/>
          </w:tcPr>
          <w:p w14:paraId="22C90962" w14:textId="77777777" w:rsidR="00632E5B" w:rsidRPr="00DD0DA8" w:rsidRDefault="00107901">
            <w:pPr>
              <w:spacing w:line="240" w:lineRule="exact"/>
              <w:jc w:val="right"/>
              <w:rPr>
                <w:rFonts w:ascii="宋体" w:eastAsia="宋体" w:hAnsi="宋体" w:cs="宋体" w:hint="eastAsia"/>
                <w:sz w:val="15"/>
                <w:szCs w:val="15"/>
              </w:rPr>
            </w:pPr>
            <w:r w:rsidRPr="00DD0DA8">
              <w:rPr>
                <w:rFonts w:ascii="宋体" w:eastAsia="宋体" w:hAnsi="宋体" w:cs="宋体"/>
                <w:sz w:val="15"/>
                <w:szCs w:val="15"/>
              </w:rPr>
              <w:t>100,000,000.00</w:t>
            </w:r>
          </w:p>
        </w:tc>
        <w:tc>
          <w:tcPr>
            <w:tcW w:w="851" w:type="dxa"/>
            <w:shd w:val="clear" w:color="auto" w:fill="FFFFFF" w:themeFill="background1"/>
            <w:vAlign w:val="center"/>
          </w:tcPr>
          <w:p w14:paraId="1579B797" w14:textId="77777777" w:rsidR="00632E5B" w:rsidRPr="00DD0DA8" w:rsidRDefault="00632E5B">
            <w:pPr>
              <w:spacing w:line="240" w:lineRule="exact"/>
              <w:jc w:val="right"/>
              <w:rPr>
                <w:rFonts w:ascii="宋体" w:eastAsia="宋体" w:hAnsi="宋体" w:cs="宋体" w:hint="eastAsia"/>
                <w:sz w:val="15"/>
                <w:szCs w:val="15"/>
              </w:rPr>
            </w:pPr>
          </w:p>
        </w:tc>
      </w:tr>
      <w:tr w:rsidR="00632E5B" w14:paraId="477EF6BB" w14:textId="77777777" w:rsidTr="008B6556">
        <w:trPr>
          <w:trHeight w:val="240"/>
        </w:trPr>
        <w:tc>
          <w:tcPr>
            <w:tcW w:w="1071" w:type="dxa"/>
            <w:shd w:val="clear" w:color="auto" w:fill="FFFFFF" w:themeFill="background1"/>
            <w:vAlign w:val="center"/>
          </w:tcPr>
          <w:p w14:paraId="794BE7F1"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512" w:type="dxa"/>
            <w:shd w:val="clear" w:color="auto" w:fill="FFFFFF" w:themeFill="background1"/>
            <w:vAlign w:val="center"/>
          </w:tcPr>
          <w:p w14:paraId="700DFDF6" w14:textId="77777777" w:rsidR="00632E5B" w:rsidRPr="00DD0DA8" w:rsidRDefault="00107901">
            <w:pPr>
              <w:spacing w:line="240" w:lineRule="exact"/>
              <w:jc w:val="right"/>
              <w:rPr>
                <w:rFonts w:ascii="宋体" w:eastAsia="宋体" w:hAnsi="宋体" w:cs="宋体" w:hint="eastAsia"/>
                <w:sz w:val="15"/>
                <w:szCs w:val="15"/>
              </w:rPr>
            </w:pPr>
            <w:r w:rsidRPr="00DD0DA8">
              <w:rPr>
                <w:rFonts w:ascii="宋体" w:eastAsia="宋体" w:hAnsi="宋体" w:cs="宋体"/>
                <w:sz w:val="15"/>
                <w:szCs w:val="15"/>
              </w:rPr>
              <w:t>3,334,505,447.32</w:t>
            </w:r>
          </w:p>
        </w:tc>
        <w:tc>
          <w:tcPr>
            <w:tcW w:w="1071" w:type="dxa"/>
            <w:shd w:val="clear" w:color="auto" w:fill="FFFFFF" w:themeFill="background1"/>
            <w:vAlign w:val="center"/>
          </w:tcPr>
          <w:p w14:paraId="63D4B87B" w14:textId="77777777" w:rsidR="00632E5B" w:rsidRPr="00DD0DA8" w:rsidRDefault="00107901">
            <w:pPr>
              <w:spacing w:line="240" w:lineRule="exact"/>
              <w:jc w:val="right"/>
              <w:rPr>
                <w:rFonts w:ascii="宋体" w:eastAsia="宋体" w:hAnsi="宋体" w:cs="宋体" w:hint="eastAsia"/>
                <w:sz w:val="15"/>
                <w:szCs w:val="15"/>
              </w:rPr>
            </w:pPr>
            <w:r w:rsidRPr="00DD0DA8">
              <w:rPr>
                <w:rFonts w:ascii="宋体" w:eastAsia="宋体" w:hAnsi="宋体" w:cs="宋体"/>
                <w:sz w:val="15"/>
                <w:szCs w:val="15"/>
              </w:rPr>
              <w:t>0.00</w:t>
            </w:r>
          </w:p>
        </w:tc>
        <w:tc>
          <w:tcPr>
            <w:tcW w:w="1071" w:type="dxa"/>
            <w:shd w:val="clear" w:color="auto" w:fill="FFFFFF" w:themeFill="background1"/>
            <w:vAlign w:val="center"/>
          </w:tcPr>
          <w:p w14:paraId="72B63919" w14:textId="77777777" w:rsidR="00632E5B" w:rsidRPr="00DD0DA8" w:rsidRDefault="00632E5B">
            <w:pPr>
              <w:spacing w:line="240" w:lineRule="exact"/>
              <w:jc w:val="right"/>
              <w:rPr>
                <w:rFonts w:ascii="宋体" w:eastAsia="宋体" w:hAnsi="宋体" w:cs="宋体" w:hint="eastAsia"/>
                <w:sz w:val="15"/>
                <w:szCs w:val="15"/>
              </w:rPr>
            </w:pPr>
          </w:p>
        </w:tc>
        <w:tc>
          <w:tcPr>
            <w:tcW w:w="1071" w:type="dxa"/>
            <w:shd w:val="clear" w:color="auto" w:fill="FFFFFF" w:themeFill="background1"/>
            <w:vAlign w:val="center"/>
          </w:tcPr>
          <w:p w14:paraId="53B95BEF" w14:textId="77777777" w:rsidR="00632E5B" w:rsidRPr="00DD0DA8" w:rsidRDefault="00632E5B">
            <w:pPr>
              <w:spacing w:line="240" w:lineRule="exact"/>
              <w:jc w:val="right"/>
              <w:rPr>
                <w:rFonts w:ascii="宋体" w:eastAsia="宋体" w:hAnsi="宋体" w:cs="宋体" w:hint="eastAsia"/>
                <w:sz w:val="15"/>
                <w:szCs w:val="15"/>
              </w:rPr>
            </w:pPr>
          </w:p>
        </w:tc>
        <w:tc>
          <w:tcPr>
            <w:tcW w:w="1071" w:type="dxa"/>
            <w:shd w:val="clear" w:color="auto" w:fill="FFFFFF" w:themeFill="background1"/>
            <w:vAlign w:val="center"/>
          </w:tcPr>
          <w:p w14:paraId="0908B060" w14:textId="77777777" w:rsidR="00632E5B" w:rsidRPr="00DD0DA8" w:rsidRDefault="00632E5B">
            <w:pPr>
              <w:spacing w:line="240" w:lineRule="exact"/>
              <w:jc w:val="right"/>
              <w:rPr>
                <w:rFonts w:ascii="宋体" w:eastAsia="宋体" w:hAnsi="宋体" w:cs="宋体" w:hint="eastAsia"/>
                <w:sz w:val="15"/>
                <w:szCs w:val="15"/>
              </w:rPr>
            </w:pPr>
          </w:p>
        </w:tc>
        <w:tc>
          <w:tcPr>
            <w:tcW w:w="677" w:type="dxa"/>
            <w:shd w:val="clear" w:color="auto" w:fill="FFFFFF" w:themeFill="background1"/>
            <w:vAlign w:val="center"/>
          </w:tcPr>
          <w:p w14:paraId="2D631078" w14:textId="77777777" w:rsidR="00632E5B" w:rsidRPr="00DD0DA8" w:rsidRDefault="00632E5B">
            <w:pPr>
              <w:spacing w:line="240" w:lineRule="exact"/>
              <w:jc w:val="right"/>
              <w:rPr>
                <w:rFonts w:ascii="宋体" w:eastAsia="宋体" w:hAnsi="宋体" w:cs="宋体" w:hint="eastAsia"/>
                <w:sz w:val="15"/>
                <w:szCs w:val="15"/>
              </w:rPr>
            </w:pPr>
          </w:p>
        </w:tc>
        <w:tc>
          <w:tcPr>
            <w:tcW w:w="1417" w:type="dxa"/>
            <w:shd w:val="clear" w:color="auto" w:fill="FFFFFF" w:themeFill="background1"/>
            <w:vAlign w:val="center"/>
          </w:tcPr>
          <w:p w14:paraId="4C7B8AE8" w14:textId="77777777" w:rsidR="00632E5B" w:rsidRPr="00DD0DA8" w:rsidRDefault="00107901">
            <w:pPr>
              <w:spacing w:line="240" w:lineRule="exact"/>
              <w:jc w:val="right"/>
              <w:rPr>
                <w:rFonts w:ascii="宋体" w:eastAsia="宋体" w:hAnsi="宋体" w:cs="宋体" w:hint="eastAsia"/>
                <w:sz w:val="15"/>
                <w:szCs w:val="15"/>
              </w:rPr>
            </w:pPr>
            <w:r w:rsidRPr="00DD0DA8">
              <w:rPr>
                <w:rFonts w:ascii="宋体" w:eastAsia="宋体" w:hAnsi="宋体" w:cs="宋体"/>
                <w:sz w:val="15"/>
                <w:szCs w:val="15"/>
              </w:rPr>
              <w:t>3,334,505,447.32</w:t>
            </w:r>
          </w:p>
        </w:tc>
        <w:tc>
          <w:tcPr>
            <w:tcW w:w="851" w:type="dxa"/>
            <w:shd w:val="clear" w:color="auto" w:fill="FFFFFF" w:themeFill="background1"/>
            <w:vAlign w:val="center"/>
          </w:tcPr>
          <w:p w14:paraId="3A8CD2C7" w14:textId="77777777" w:rsidR="00632E5B" w:rsidRPr="00DD0DA8" w:rsidRDefault="00107901">
            <w:pPr>
              <w:spacing w:line="240" w:lineRule="exact"/>
              <w:jc w:val="right"/>
              <w:rPr>
                <w:rFonts w:ascii="宋体" w:eastAsia="宋体" w:hAnsi="宋体" w:cs="宋体" w:hint="eastAsia"/>
                <w:sz w:val="15"/>
                <w:szCs w:val="15"/>
              </w:rPr>
            </w:pPr>
            <w:r w:rsidRPr="00DD0DA8">
              <w:rPr>
                <w:rFonts w:ascii="宋体" w:eastAsia="宋体" w:hAnsi="宋体" w:cs="宋体"/>
                <w:sz w:val="15"/>
                <w:szCs w:val="15"/>
              </w:rPr>
              <w:t>0.00</w:t>
            </w:r>
          </w:p>
        </w:tc>
      </w:tr>
    </w:tbl>
    <w:p w14:paraId="46A3298A" w14:textId="77777777" w:rsidR="008B6556" w:rsidRDefault="008B6556">
      <w:pPr>
        <w:keepNext/>
        <w:keepLines/>
        <w:spacing w:before="300" w:after="300" w:line="280" w:lineRule="exact"/>
        <w:outlineLvl w:val="3"/>
        <w:rPr>
          <w:rFonts w:ascii="宋体" w:eastAsia="宋体" w:hAnsi="宋体" w:cs="宋体" w:hint="eastAsia"/>
          <w:b/>
          <w:bCs/>
          <w:szCs w:val="21"/>
        </w:rPr>
        <w:sectPr w:rsidR="008B6556" w:rsidSect="00E90C20">
          <w:pgSz w:w="11905" w:h="16840"/>
          <w:pgMar w:top="1440" w:right="1134" w:bottom="1440" w:left="1134" w:header="850" w:footer="992" w:gutter="0"/>
          <w:cols w:space="720"/>
          <w:docGrid w:type="linesAndChars" w:linePitch="312"/>
        </w:sectPr>
      </w:pPr>
      <w:bookmarkStart w:id="410" w:name="_Toc989300"/>
    </w:p>
    <w:p w14:paraId="6CCC46FD" w14:textId="77777777" w:rsidR="00632E5B" w:rsidRDefault="00107901">
      <w:pPr>
        <w:keepNext/>
        <w:keepLines/>
        <w:spacing w:before="300" w:after="300" w:line="280" w:lineRule="exact"/>
        <w:outlineLvl w:val="3"/>
        <w:rPr>
          <w:rFonts w:ascii="宋体" w:eastAsia="宋体" w:hAnsi="宋体" w:cs="宋体" w:hint="eastAsia"/>
          <w:b/>
          <w:bCs/>
          <w:szCs w:val="21"/>
        </w:rPr>
      </w:pPr>
      <w:r>
        <w:rPr>
          <w:rFonts w:ascii="宋体" w:eastAsia="宋体" w:hAnsi="宋体" w:cs="宋体"/>
          <w:b/>
          <w:bCs/>
          <w:szCs w:val="21"/>
        </w:rPr>
        <w:lastRenderedPageBreak/>
        <w:t>（2） 对联营、合营企业投资</w:t>
      </w:r>
      <w:bookmarkEnd w:id="410"/>
    </w:p>
    <w:p w14:paraId="73CC36B1"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327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848"/>
        <w:gridCol w:w="1559"/>
        <w:gridCol w:w="741"/>
        <w:gridCol w:w="741"/>
        <w:gridCol w:w="741"/>
        <w:gridCol w:w="1463"/>
        <w:gridCol w:w="741"/>
        <w:gridCol w:w="741"/>
        <w:gridCol w:w="741"/>
        <w:gridCol w:w="1604"/>
        <w:gridCol w:w="756"/>
        <w:gridCol w:w="16"/>
        <w:gridCol w:w="725"/>
        <w:gridCol w:w="16"/>
        <w:gridCol w:w="1825"/>
        <w:gridCol w:w="16"/>
      </w:tblGrid>
      <w:tr w:rsidR="00632E5B" w:rsidRPr="008B6556" w14:paraId="2130F183" w14:textId="77777777" w:rsidTr="008B6556">
        <w:trPr>
          <w:trHeight w:val="240"/>
          <w:jc w:val="center"/>
        </w:trPr>
        <w:tc>
          <w:tcPr>
            <w:tcW w:w="848" w:type="dxa"/>
            <w:vMerge w:val="restart"/>
            <w:shd w:val="clear" w:color="auto" w:fill="FFFFFF" w:themeFill="background1"/>
            <w:vAlign w:val="center"/>
          </w:tcPr>
          <w:p w14:paraId="7C5B1BF5" w14:textId="77777777" w:rsidR="00632E5B" w:rsidRPr="008B6556" w:rsidRDefault="00107901">
            <w:pPr>
              <w:spacing w:before="40" w:after="40" w:line="240" w:lineRule="exact"/>
              <w:jc w:val="center"/>
              <w:rPr>
                <w:rFonts w:ascii="宋体" w:eastAsia="宋体" w:hAnsi="宋体" w:cs="宋体" w:hint="eastAsia"/>
                <w:sz w:val="18"/>
                <w:szCs w:val="18"/>
              </w:rPr>
            </w:pPr>
            <w:r w:rsidRPr="008B6556">
              <w:rPr>
                <w:rFonts w:ascii="宋体" w:eastAsia="宋体" w:hAnsi="宋体" w:cs="宋体"/>
                <w:sz w:val="18"/>
                <w:szCs w:val="18"/>
              </w:rPr>
              <w:t>被投资单位</w:t>
            </w:r>
          </w:p>
        </w:tc>
        <w:tc>
          <w:tcPr>
            <w:tcW w:w="1559" w:type="dxa"/>
            <w:vMerge w:val="restart"/>
            <w:shd w:val="clear" w:color="auto" w:fill="FFFFFF" w:themeFill="background1"/>
            <w:vAlign w:val="center"/>
          </w:tcPr>
          <w:p w14:paraId="4E4C895A" w14:textId="77777777" w:rsidR="00632E5B" w:rsidRPr="008B6556" w:rsidRDefault="00107901">
            <w:pPr>
              <w:spacing w:before="40" w:after="40" w:line="240" w:lineRule="exact"/>
              <w:jc w:val="center"/>
              <w:rPr>
                <w:rFonts w:ascii="宋体" w:eastAsia="宋体" w:hAnsi="宋体" w:cs="宋体" w:hint="eastAsia"/>
                <w:sz w:val="18"/>
                <w:szCs w:val="18"/>
              </w:rPr>
            </w:pPr>
            <w:r w:rsidRPr="008B6556">
              <w:rPr>
                <w:rFonts w:ascii="宋体" w:eastAsia="宋体" w:hAnsi="宋体" w:cs="宋体"/>
                <w:sz w:val="18"/>
                <w:szCs w:val="18"/>
              </w:rPr>
              <w:t>期初余额（账面价值）</w:t>
            </w:r>
          </w:p>
        </w:tc>
        <w:tc>
          <w:tcPr>
            <w:tcW w:w="741" w:type="dxa"/>
            <w:vMerge w:val="restart"/>
            <w:shd w:val="clear" w:color="auto" w:fill="FFFFFF" w:themeFill="background1"/>
            <w:vAlign w:val="center"/>
          </w:tcPr>
          <w:p w14:paraId="693E2B91" w14:textId="77777777" w:rsidR="00632E5B" w:rsidRPr="008B6556" w:rsidRDefault="00107901">
            <w:pPr>
              <w:spacing w:before="40" w:after="40" w:line="240" w:lineRule="exact"/>
              <w:jc w:val="center"/>
              <w:rPr>
                <w:rFonts w:ascii="宋体" w:eastAsia="宋体" w:hAnsi="宋体" w:cs="宋体" w:hint="eastAsia"/>
                <w:sz w:val="18"/>
                <w:szCs w:val="18"/>
              </w:rPr>
            </w:pPr>
            <w:r w:rsidRPr="008B6556">
              <w:rPr>
                <w:rFonts w:ascii="宋体" w:eastAsia="宋体" w:hAnsi="宋体" w:cs="宋体"/>
                <w:sz w:val="18"/>
                <w:szCs w:val="18"/>
              </w:rPr>
              <w:t>减值准备期初余额</w:t>
            </w:r>
          </w:p>
        </w:tc>
        <w:tc>
          <w:tcPr>
            <w:tcW w:w="7544" w:type="dxa"/>
            <w:gridSpan w:val="9"/>
            <w:shd w:val="clear" w:color="auto" w:fill="FFFFFF" w:themeFill="background1"/>
            <w:vAlign w:val="center"/>
          </w:tcPr>
          <w:p w14:paraId="111A4CC5" w14:textId="77777777" w:rsidR="00632E5B" w:rsidRPr="008B6556" w:rsidRDefault="00107901">
            <w:pPr>
              <w:spacing w:before="40" w:after="40" w:line="240" w:lineRule="exact"/>
              <w:jc w:val="center"/>
              <w:rPr>
                <w:rFonts w:ascii="宋体" w:eastAsia="宋体" w:hAnsi="宋体" w:cs="宋体" w:hint="eastAsia"/>
                <w:sz w:val="18"/>
                <w:szCs w:val="18"/>
              </w:rPr>
            </w:pPr>
            <w:r w:rsidRPr="008B6556">
              <w:rPr>
                <w:rFonts w:ascii="宋体" w:eastAsia="宋体" w:hAnsi="宋体" w:cs="宋体"/>
                <w:sz w:val="18"/>
                <w:szCs w:val="18"/>
              </w:rPr>
              <w:t>本期增减变动</w:t>
            </w:r>
          </w:p>
        </w:tc>
        <w:tc>
          <w:tcPr>
            <w:tcW w:w="741" w:type="dxa"/>
            <w:gridSpan w:val="2"/>
            <w:shd w:val="clear" w:color="auto" w:fill="FFFFFF" w:themeFill="background1"/>
            <w:vAlign w:val="center"/>
          </w:tcPr>
          <w:p w14:paraId="38FFD50B" w14:textId="77777777" w:rsidR="00632E5B" w:rsidRPr="008B6556" w:rsidRDefault="00107901">
            <w:pPr>
              <w:spacing w:before="40" w:after="40" w:line="240" w:lineRule="exact"/>
              <w:jc w:val="center"/>
              <w:rPr>
                <w:rFonts w:ascii="宋体" w:eastAsia="宋体" w:hAnsi="宋体" w:cs="宋体" w:hint="eastAsia"/>
                <w:sz w:val="18"/>
                <w:szCs w:val="18"/>
              </w:rPr>
            </w:pPr>
            <w:r w:rsidRPr="008B6556">
              <w:rPr>
                <w:rFonts w:ascii="宋体" w:eastAsia="宋体" w:hAnsi="宋体" w:cs="宋体"/>
                <w:sz w:val="18"/>
                <w:szCs w:val="18"/>
              </w:rPr>
              <w:t>期末余额（账面价值）</w:t>
            </w:r>
          </w:p>
        </w:tc>
        <w:tc>
          <w:tcPr>
            <w:tcW w:w="1841" w:type="dxa"/>
            <w:gridSpan w:val="2"/>
            <w:shd w:val="clear" w:color="auto" w:fill="FFFFFF" w:themeFill="background1"/>
            <w:vAlign w:val="center"/>
          </w:tcPr>
          <w:p w14:paraId="499CD8AB" w14:textId="77777777" w:rsidR="00632E5B" w:rsidRPr="008B6556" w:rsidRDefault="00107901">
            <w:pPr>
              <w:spacing w:before="40" w:after="40" w:line="240" w:lineRule="exact"/>
              <w:jc w:val="center"/>
              <w:rPr>
                <w:rFonts w:ascii="宋体" w:eastAsia="宋体" w:hAnsi="宋体" w:cs="宋体" w:hint="eastAsia"/>
                <w:sz w:val="18"/>
                <w:szCs w:val="18"/>
              </w:rPr>
            </w:pPr>
            <w:r w:rsidRPr="008B6556">
              <w:rPr>
                <w:rFonts w:ascii="宋体" w:eastAsia="宋体" w:hAnsi="宋体" w:cs="宋体"/>
                <w:sz w:val="18"/>
                <w:szCs w:val="18"/>
              </w:rPr>
              <w:t>减值准备期末余额</w:t>
            </w:r>
          </w:p>
        </w:tc>
      </w:tr>
      <w:tr w:rsidR="008B6556" w:rsidRPr="008B6556" w14:paraId="4E3063ED" w14:textId="77777777" w:rsidTr="008B6556">
        <w:trPr>
          <w:gridAfter w:val="1"/>
          <w:wAfter w:w="16" w:type="dxa"/>
          <w:trHeight w:val="240"/>
          <w:jc w:val="center"/>
        </w:trPr>
        <w:tc>
          <w:tcPr>
            <w:tcW w:w="848" w:type="dxa"/>
            <w:vMerge/>
            <w:shd w:val="clear" w:color="auto" w:fill="FFFFFF" w:themeFill="background1"/>
            <w:vAlign w:val="center"/>
          </w:tcPr>
          <w:p w14:paraId="6DADFCD0" w14:textId="77777777" w:rsidR="00632E5B" w:rsidRPr="008B6556" w:rsidRDefault="00632E5B">
            <w:pPr>
              <w:rPr>
                <w:sz w:val="18"/>
                <w:szCs w:val="18"/>
              </w:rPr>
            </w:pPr>
          </w:p>
        </w:tc>
        <w:tc>
          <w:tcPr>
            <w:tcW w:w="1559" w:type="dxa"/>
            <w:vMerge/>
            <w:shd w:val="clear" w:color="auto" w:fill="FFFFFF" w:themeFill="background1"/>
            <w:vAlign w:val="center"/>
          </w:tcPr>
          <w:p w14:paraId="46C8A9AE" w14:textId="77777777" w:rsidR="00632E5B" w:rsidRPr="008B6556" w:rsidRDefault="00632E5B">
            <w:pPr>
              <w:rPr>
                <w:sz w:val="18"/>
                <w:szCs w:val="18"/>
              </w:rPr>
            </w:pPr>
          </w:p>
        </w:tc>
        <w:tc>
          <w:tcPr>
            <w:tcW w:w="741" w:type="dxa"/>
            <w:vMerge/>
            <w:shd w:val="clear" w:color="auto" w:fill="FFFFFF" w:themeFill="background1"/>
            <w:vAlign w:val="center"/>
          </w:tcPr>
          <w:p w14:paraId="1B224444" w14:textId="77777777" w:rsidR="00632E5B" w:rsidRPr="008B6556" w:rsidRDefault="00632E5B">
            <w:pPr>
              <w:rPr>
                <w:sz w:val="18"/>
                <w:szCs w:val="18"/>
              </w:rPr>
            </w:pPr>
          </w:p>
        </w:tc>
        <w:tc>
          <w:tcPr>
            <w:tcW w:w="741" w:type="dxa"/>
            <w:shd w:val="clear" w:color="auto" w:fill="FFFFFF" w:themeFill="background1"/>
            <w:vAlign w:val="center"/>
          </w:tcPr>
          <w:p w14:paraId="0CA1A632" w14:textId="77777777" w:rsidR="00632E5B" w:rsidRPr="008B6556" w:rsidRDefault="00107901">
            <w:pPr>
              <w:spacing w:before="40" w:after="40" w:line="240" w:lineRule="exact"/>
              <w:jc w:val="center"/>
              <w:rPr>
                <w:rFonts w:ascii="宋体" w:eastAsia="宋体" w:hAnsi="宋体" w:cs="宋体" w:hint="eastAsia"/>
                <w:sz w:val="18"/>
                <w:szCs w:val="18"/>
              </w:rPr>
            </w:pPr>
            <w:r w:rsidRPr="008B6556">
              <w:rPr>
                <w:rFonts w:ascii="宋体" w:eastAsia="宋体" w:hAnsi="宋体" w:cs="宋体"/>
                <w:sz w:val="18"/>
                <w:szCs w:val="18"/>
              </w:rPr>
              <w:t>追加投资</w:t>
            </w:r>
          </w:p>
        </w:tc>
        <w:tc>
          <w:tcPr>
            <w:tcW w:w="741" w:type="dxa"/>
            <w:shd w:val="clear" w:color="auto" w:fill="FFFFFF" w:themeFill="background1"/>
            <w:vAlign w:val="center"/>
          </w:tcPr>
          <w:p w14:paraId="30717633" w14:textId="77777777" w:rsidR="00632E5B" w:rsidRPr="008B6556" w:rsidRDefault="00107901">
            <w:pPr>
              <w:spacing w:before="40" w:after="40" w:line="240" w:lineRule="exact"/>
              <w:jc w:val="center"/>
              <w:rPr>
                <w:rFonts w:ascii="宋体" w:eastAsia="宋体" w:hAnsi="宋体" w:cs="宋体" w:hint="eastAsia"/>
                <w:sz w:val="18"/>
                <w:szCs w:val="18"/>
              </w:rPr>
            </w:pPr>
            <w:r w:rsidRPr="008B6556">
              <w:rPr>
                <w:rFonts w:ascii="宋体" w:eastAsia="宋体" w:hAnsi="宋体" w:cs="宋体"/>
                <w:sz w:val="18"/>
                <w:szCs w:val="18"/>
              </w:rPr>
              <w:t>减少投资</w:t>
            </w:r>
          </w:p>
        </w:tc>
        <w:tc>
          <w:tcPr>
            <w:tcW w:w="1463" w:type="dxa"/>
            <w:shd w:val="clear" w:color="auto" w:fill="FFFFFF" w:themeFill="background1"/>
            <w:vAlign w:val="center"/>
          </w:tcPr>
          <w:p w14:paraId="0BD0588C" w14:textId="77777777" w:rsidR="00632E5B" w:rsidRPr="008B6556" w:rsidRDefault="00107901">
            <w:pPr>
              <w:spacing w:before="40" w:after="40" w:line="240" w:lineRule="exact"/>
              <w:jc w:val="center"/>
              <w:rPr>
                <w:rFonts w:ascii="宋体" w:eastAsia="宋体" w:hAnsi="宋体" w:cs="宋体" w:hint="eastAsia"/>
                <w:sz w:val="18"/>
                <w:szCs w:val="18"/>
              </w:rPr>
            </w:pPr>
            <w:r w:rsidRPr="008B6556">
              <w:rPr>
                <w:rFonts w:ascii="宋体" w:eastAsia="宋体" w:hAnsi="宋体" w:cs="宋体"/>
                <w:sz w:val="18"/>
                <w:szCs w:val="18"/>
              </w:rPr>
              <w:t>权益法下确认的投资损益</w:t>
            </w:r>
          </w:p>
        </w:tc>
        <w:tc>
          <w:tcPr>
            <w:tcW w:w="741" w:type="dxa"/>
            <w:shd w:val="clear" w:color="auto" w:fill="FFFFFF" w:themeFill="background1"/>
            <w:vAlign w:val="center"/>
          </w:tcPr>
          <w:p w14:paraId="52E1BA6A" w14:textId="77777777" w:rsidR="00632E5B" w:rsidRPr="008B6556" w:rsidRDefault="00107901">
            <w:pPr>
              <w:spacing w:before="40" w:after="40" w:line="240" w:lineRule="exact"/>
              <w:jc w:val="center"/>
              <w:rPr>
                <w:rFonts w:ascii="宋体" w:eastAsia="宋体" w:hAnsi="宋体" w:cs="宋体" w:hint="eastAsia"/>
                <w:sz w:val="18"/>
                <w:szCs w:val="18"/>
              </w:rPr>
            </w:pPr>
            <w:r w:rsidRPr="008B6556">
              <w:rPr>
                <w:rFonts w:ascii="宋体" w:eastAsia="宋体" w:hAnsi="宋体" w:cs="宋体"/>
                <w:sz w:val="18"/>
                <w:szCs w:val="18"/>
              </w:rPr>
              <w:t>其他综合收益调整</w:t>
            </w:r>
          </w:p>
        </w:tc>
        <w:tc>
          <w:tcPr>
            <w:tcW w:w="741" w:type="dxa"/>
            <w:shd w:val="clear" w:color="auto" w:fill="FFFFFF" w:themeFill="background1"/>
            <w:vAlign w:val="center"/>
          </w:tcPr>
          <w:p w14:paraId="38B96041" w14:textId="77777777" w:rsidR="00632E5B" w:rsidRPr="008B6556" w:rsidRDefault="00107901">
            <w:pPr>
              <w:spacing w:before="40" w:after="40" w:line="240" w:lineRule="exact"/>
              <w:jc w:val="center"/>
              <w:rPr>
                <w:rFonts w:ascii="宋体" w:eastAsia="宋体" w:hAnsi="宋体" w:cs="宋体" w:hint="eastAsia"/>
                <w:sz w:val="18"/>
                <w:szCs w:val="18"/>
              </w:rPr>
            </w:pPr>
            <w:r w:rsidRPr="008B6556">
              <w:rPr>
                <w:rFonts w:ascii="宋体" w:eastAsia="宋体" w:hAnsi="宋体" w:cs="宋体"/>
                <w:sz w:val="18"/>
                <w:szCs w:val="18"/>
              </w:rPr>
              <w:t>其他权益变动</w:t>
            </w:r>
          </w:p>
        </w:tc>
        <w:tc>
          <w:tcPr>
            <w:tcW w:w="741" w:type="dxa"/>
            <w:shd w:val="clear" w:color="auto" w:fill="FFFFFF" w:themeFill="background1"/>
            <w:vAlign w:val="center"/>
          </w:tcPr>
          <w:p w14:paraId="3AAE7F18" w14:textId="77777777" w:rsidR="00632E5B" w:rsidRPr="008B6556" w:rsidRDefault="00107901">
            <w:pPr>
              <w:spacing w:before="40" w:after="40" w:line="240" w:lineRule="exact"/>
              <w:jc w:val="center"/>
              <w:rPr>
                <w:rFonts w:ascii="宋体" w:eastAsia="宋体" w:hAnsi="宋体" w:cs="宋体" w:hint="eastAsia"/>
                <w:sz w:val="18"/>
                <w:szCs w:val="18"/>
              </w:rPr>
            </w:pPr>
            <w:r w:rsidRPr="008B6556">
              <w:rPr>
                <w:rFonts w:ascii="宋体" w:eastAsia="宋体" w:hAnsi="宋体" w:cs="宋体"/>
                <w:sz w:val="18"/>
                <w:szCs w:val="18"/>
              </w:rPr>
              <w:t>宣告发放现金股利或利润</w:t>
            </w:r>
          </w:p>
        </w:tc>
        <w:tc>
          <w:tcPr>
            <w:tcW w:w="1604" w:type="dxa"/>
            <w:shd w:val="clear" w:color="auto" w:fill="FFFFFF" w:themeFill="background1"/>
            <w:vAlign w:val="center"/>
          </w:tcPr>
          <w:p w14:paraId="534EA19F" w14:textId="77777777" w:rsidR="00632E5B" w:rsidRPr="008B6556" w:rsidRDefault="00107901">
            <w:pPr>
              <w:spacing w:before="40" w:after="40" w:line="240" w:lineRule="exact"/>
              <w:jc w:val="center"/>
              <w:rPr>
                <w:rFonts w:ascii="宋体" w:eastAsia="宋体" w:hAnsi="宋体" w:cs="宋体" w:hint="eastAsia"/>
                <w:sz w:val="18"/>
                <w:szCs w:val="18"/>
              </w:rPr>
            </w:pPr>
            <w:r w:rsidRPr="008B6556">
              <w:rPr>
                <w:rFonts w:ascii="宋体" w:eastAsia="宋体" w:hAnsi="宋体" w:cs="宋体"/>
                <w:sz w:val="18"/>
                <w:szCs w:val="18"/>
              </w:rPr>
              <w:t>计提减值准备</w:t>
            </w:r>
          </w:p>
        </w:tc>
        <w:tc>
          <w:tcPr>
            <w:tcW w:w="756" w:type="dxa"/>
            <w:shd w:val="clear" w:color="auto" w:fill="FFFFFF" w:themeFill="background1"/>
            <w:vAlign w:val="center"/>
          </w:tcPr>
          <w:p w14:paraId="0A9B2BCE" w14:textId="77777777" w:rsidR="00632E5B" w:rsidRPr="008B6556" w:rsidRDefault="00107901">
            <w:pPr>
              <w:spacing w:before="40" w:after="40" w:line="240" w:lineRule="exact"/>
              <w:jc w:val="center"/>
              <w:rPr>
                <w:rFonts w:ascii="宋体" w:eastAsia="宋体" w:hAnsi="宋体" w:cs="宋体" w:hint="eastAsia"/>
                <w:sz w:val="18"/>
                <w:szCs w:val="18"/>
              </w:rPr>
            </w:pPr>
            <w:r w:rsidRPr="008B6556">
              <w:rPr>
                <w:rFonts w:ascii="宋体" w:eastAsia="宋体" w:hAnsi="宋体" w:cs="宋体"/>
                <w:sz w:val="18"/>
                <w:szCs w:val="18"/>
              </w:rPr>
              <w:t>其他</w:t>
            </w:r>
          </w:p>
        </w:tc>
        <w:tc>
          <w:tcPr>
            <w:tcW w:w="741" w:type="dxa"/>
            <w:gridSpan w:val="2"/>
            <w:shd w:val="clear" w:color="auto" w:fill="FFFFFF" w:themeFill="background1"/>
            <w:vAlign w:val="center"/>
          </w:tcPr>
          <w:p w14:paraId="7DEC258B" w14:textId="77777777" w:rsidR="00632E5B" w:rsidRPr="008B6556" w:rsidRDefault="00632E5B">
            <w:pPr>
              <w:rPr>
                <w:sz w:val="18"/>
                <w:szCs w:val="18"/>
              </w:rPr>
            </w:pPr>
          </w:p>
        </w:tc>
        <w:tc>
          <w:tcPr>
            <w:tcW w:w="1841" w:type="dxa"/>
            <w:gridSpan w:val="2"/>
            <w:shd w:val="clear" w:color="auto" w:fill="FFFFFF" w:themeFill="background1"/>
            <w:vAlign w:val="center"/>
          </w:tcPr>
          <w:p w14:paraId="67695009" w14:textId="77777777" w:rsidR="00632E5B" w:rsidRPr="008B6556" w:rsidRDefault="00632E5B">
            <w:pPr>
              <w:rPr>
                <w:sz w:val="18"/>
                <w:szCs w:val="18"/>
              </w:rPr>
            </w:pPr>
          </w:p>
        </w:tc>
      </w:tr>
      <w:tr w:rsidR="00632E5B" w:rsidRPr="008B6556" w14:paraId="25A215F8" w14:textId="77777777" w:rsidTr="008B6556">
        <w:trPr>
          <w:trHeight w:val="240"/>
          <w:jc w:val="center"/>
        </w:trPr>
        <w:tc>
          <w:tcPr>
            <w:tcW w:w="13274" w:type="dxa"/>
            <w:gridSpan w:val="16"/>
            <w:shd w:val="clear" w:color="auto" w:fill="FFFFFF" w:themeFill="background1"/>
            <w:vAlign w:val="center"/>
          </w:tcPr>
          <w:p w14:paraId="31766233" w14:textId="77777777" w:rsidR="00632E5B" w:rsidRPr="008B6556" w:rsidRDefault="00107901">
            <w:pPr>
              <w:spacing w:before="40" w:after="40" w:line="240" w:lineRule="exact"/>
              <w:rPr>
                <w:rFonts w:ascii="宋体" w:eastAsia="宋体" w:hAnsi="宋体" w:cs="宋体" w:hint="eastAsia"/>
                <w:sz w:val="18"/>
                <w:szCs w:val="18"/>
              </w:rPr>
            </w:pPr>
            <w:r w:rsidRPr="008B6556">
              <w:rPr>
                <w:rFonts w:ascii="宋体" w:eastAsia="宋体" w:hAnsi="宋体" w:cs="宋体"/>
                <w:sz w:val="18"/>
                <w:szCs w:val="18"/>
              </w:rPr>
              <w:t>一、合营企业</w:t>
            </w:r>
          </w:p>
        </w:tc>
      </w:tr>
      <w:tr w:rsidR="00632E5B" w:rsidRPr="008B6556" w14:paraId="496BD82D" w14:textId="77777777" w:rsidTr="008B6556">
        <w:trPr>
          <w:trHeight w:val="240"/>
          <w:jc w:val="center"/>
        </w:trPr>
        <w:tc>
          <w:tcPr>
            <w:tcW w:w="13274" w:type="dxa"/>
            <w:gridSpan w:val="16"/>
            <w:shd w:val="clear" w:color="auto" w:fill="FFFFFF" w:themeFill="background1"/>
            <w:vAlign w:val="center"/>
          </w:tcPr>
          <w:p w14:paraId="5631A3F5" w14:textId="77777777" w:rsidR="00632E5B" w:rsidRPr="008B6556" w:rsidRDefault="00107901">
            <w:pPr>
              <w:spacing w:before="40" w:after="40" w:line="240" w:lineRule="exact"/>
              <w:rPr>
                <w:rFonts w:ascii="宋体" w:eastAsia="宋体" w:hAnsi="宋体" w:cs="宋体" w:hint="eastAsia"/>
                <w:sz w:val="18"/>
                <w:szCs w:val="18"/>
              </w:rPr>
            </w:pPr>
            <w:r w:rsidRPr="008B6556">
              <w:rPr>
                <w:rFonts w:ascii="宋体" w:eastAsia="宋体" w:hAnsi="宋体" w:cs="宋体"/>
                <w:sz w:val="18"/>
                <w:szCs w:val="18"/>
              </w:rPr>
              <w:t>二、联营企业</w:t>
            </w:r>
          </w:p>
        </w:tc>
      </w:tr>
      <w:tr w:rsidR="00632E5B" w:rsidRPr="008B6556" w14:paraId="63F20391" w14:textId="77777777" w:rsidTr="008B6556">
        <w:trPr>
          <w:gridAfter w:val="1"/>
          <w:wAfter w:w="16" w:type="dxa"/>
          <w:trHeight w:val="240"/>
          <w:jc w:val="center"/>
        </w:trPr>
        <w:tc>
          <w:tcPr>
            <w:tcW w:w="848" w:type="dxa"/>
            <w:shd w:val="clear" w:color="auto" w:fill="FFFFFF" w:themeFill="background1"/>
            <w:vAlign w:val="center"/>
          </w:tcPr>
          <w:p w14:paraId="49511EF3" w14:textId="77777777" w:rsidR="00632E5B" w:rsidRPr="008B6556" w:rsidRDefault="00107901">
            <w:pPr>
              <w:spacing w:line="240" w:lineRule="exact"/>
              <w:rPr>
                <w:rFonts w:ascii="宋体" w:eastAsia="宋体" w:hAnsi="宋体" w:cs="宋体" w:hint="eastAsia"/>
                <w:sz w:val="18"/>
                <w:szCs w:val="18"/>
              </w:rPr>
            </w:pPr>
            <w:r w:rsidRPr="008B6556">
              <w:rPr>
                <w:rFonts w:ascii="宋体" w:eastAsia="宋体" w:hAnsi="宋体" w:cs="宋体"/>
                <w:sz w:val="18"/>
                <w:szCs w:val="18"/>
              </w:rPr>
              <w:t>上海康速金属科技有限公司</w:t>
            </w:r>
          </w:p>
        </w:tc>
        <w:tc>
          <w:tcPr>
            <w:tcW w:w="1559" w:type="dxa"/>
            <w:shd w:val="clear" w:color="auto" w:fill="FFFFFF" w:themeFill="background1"/>
            <w:vAlign w:val="center"/>
          </w:tcPr>
          <w:p w14:paraId="481D19A2" w14:textId="77777777" w:rsidR="00632E5B" w:rsidRPr="008B6556" w:rsidRDefault="00107901">
            <w:pPr>
              <w:spacing w:line="240" w:lineRule="exact"/>
              <w:jc w:val="right"/>
              <w:rPr>
                <w:rFonts w:ascii="宋体" w:eastAsia="宋体" w:hAnsi="宋体" w:cs="宋体" w:hint="eastAsia"/>
                <w:sz w:val="18"/>
                <w:szCs w:val="18"/>
              </w:rPr>
            </w:pPr>
            <w:r w:rsidRPr="008B6556">
              <w:rPr>
                <w:rFonts w:ascii="宋体" w:eastAsia="宋体" w:hAnsi="宋体" w:cs="宋体"/>
                <w:sz w:val="18"/>
                <w:szCs w:val="18"/>
              </w:rPr>
              <w:t>14,158,288.31</w:t>
            </w:r>
          </w:p>
        </w:tc>
        <w:tc>
          <w:tcPr>
            <w:tcW w:w="741" w:type="dxa"/>
            <w:shd w:val="clear" w:color="auto" w:fill="FFFFFF" w:themeFill="background1"/>
            <w:vAlign w:val="center"/>
          </w:tcPr>
          <w:p w14:paraId="1F6D2F06" w14:textId="77777777" w:rsidR="00632E5B" w:rsidRPr="008B6556" w:rsidRDefault="00632E5B">
            <w:pPr>
              <w:spacing w:line="240" w:lineRule="exact"/>
              <w:jc w:val="right"/>
              <w:rPr>
                <w:rFonts w:ascii="宋体" w:eastAsia="宋体" w:hAnsi="宋体" w:cs="宋体" w:hint="eastAsia"/>
                <w:sz w:val="18"/>
                <w:szCs w:val="18"/>
              </w:rPr>
            </w:pPr>
          </w:p>
        </w:tc>
        <w:tc>
          <w:tcPr>
            <w:tcW w:w="741" w:type="dxa"/>
            <w:shd w:val="clear" w:color="auto" w:fill="FFFFFF" w:themeFill="background1"/>
            <w:vAlign w:val="center"/>
          </w:tcPr>
          <w:p w14:paraId="3AB1C47C" w14:textId="77777777" w:rsidR="00632E5B" w:rsidRPr="008B6556" w:rsidRDefault="00632E5B">
            <w:pPr>
              <w:spacing w:line="240" w:lineRule="exact"/>
              <w:jc w:val="right"/>
              <w:rPr>
                <w:rFonts w:ascii="宋体" w:eastAsia="宋体" w:hAnsi="宋体" w:cs="宋体" w:hint="eastAsia"/>
                <w:sz w:val="18"/>
                <w:szCs w:val="18"/>
              </w:rPr>
            </w:pPr>
          </w:p>
        </w:tc>
        <w:tc>
          <w:tcPr>
            <w:tcW w:w="741" w:type="dxa"/>
            <w:shd w:val="clear" w:color="auto" w:fill="FFFFFF" w:themeFill="background1"/>
            <w:vAlign w:val="center"/>
          </w:tcPr>
          <w:p w14:paraId="50CB9194" w14:textId="77777777" w:rsidR="00632E5B" w:rsidRPr="008B6556" w:rsidRDefault="00632E5B">
            <w:pPr>
              <w:spacing w:line="240" w:lineRule="exact"/>
              <w:jc w:val="right"/>
              <w:rPr>
                <w:rFonts w:ascii="宋体" w:eastAsia="宋体" w:hAnsi="宋体" w:cs="宋体" w:hint="eastAsia"/>
                <w:sz w:val="18"/>
                <w:szCs w:val="18"/>
              </w:rPr>
            </w:pPr>
          </w:p>
        </w:tc>
        <w:tc>
          <w:tcPr>
            <w:tcW w:w="1463" w:type="dxa"/>
            <w:shd w:val="clear" w:color="auto" w:fill="FFFFFF" w:themeFill="background1"/>
            <w:vAlign w:val="center"/>
          </w:tcPr>
          <w:p w14:paraId="2C9CAE03" w14:textId="77777777" w:rsidR="00632E5B" w:rsidRPr="008B6556" w:rsidRDefault="00107901">
            <w:pPr>
              <w:spacing w:line="240" w:lineRule="exact"/>
              <w:jc w:val="right"/>
              <w:rPr>
                <w:rFonts w:ascii="宋体" w:eastAsia="宋体" w:hAnsi="宋体" w:cs="宋体" w:hint="eastAsia"/>
                <w:sz w:val="18"/>
                <w:szCs w:val="18"/>
              </w:rPr>
            </w:pPr>
            <w:r w:rsidRPr="008B6556">
              <w:rPr>
                <w:rFonts w:ascii="宋体" w:eastAsia="宋体" w:hAnsi="宋体" w:cs="宋体"/>
                <w:sz w:val="18"/>
                <w:szCs w:val="18"/>
              </w:rPr>
              <w:t>-240,222.20</w:t>
            </w:r>
          </w:p>
        </w:tc>
        <w:tc>
          <w:tcPr>
            <w:tcW w:w="741" w:type="dxa"/>
            <w:shd w:val="clear" w:color="auto" w:fill="FFFFFF" w:themeFill="background1"/>
            <w:vAlign w:val="center"/>
          </w:tcPr>
          <w:p w14:paraId="11CC7B5D" w14:textId="77777777" w:rsidR="00632E5B" w:rsidRPr="008B6556" w:rsidRDefault="00632E5B">
            <w:pPr>
              <w:spacing w:line="240" w:lineRule="exact"/>
              <w:jc w:val="right"/>
              <w:rPr>
                <w:rFonts w:ascii="宋体" w:eastAsia="宋体" w:hAnsi="宋体" w:cs="宋体" w:hint="eastAsia"/>
                <w:sz w:val="18"/>
                <w:szCs w:val="18"/>
              </w:rPr>
            </w:pPr>
          </w:p>
        </w:tc>
        <w:tc>
          <w:tcPr>
            <w:tcW w:w="741" w:type="dxa"/>
            <w:shd w:val="clear" w:color="auto" w:fill="FFFFFF" w:themeFill="background1"/>
            <w:vAlign w:val="center"/>
          </w:tcPr>
          <w:p w14:paraId="6CA56331" w14:textId="77777777" w:rsidR="00632E5B" w:rsidRPr="008B6556" w:rsidRDefault="00632E5B">
            <w:pPr>
              <w:spacing w:line="240" w:lineRule="exact"/>
              <w:jc w:val="right"/>
              <w:rPr>
                <w:rFonts w:ascii="宋体" w:eastAsia="宋体" w:hAnsi="宋体" w:cs="宋体" w:hint="eastAsia"/>
                <w:sz w:val="18"/>
                <w:szCs w:val="18"/>
              </w:rPr>
            </w:pPr>
          </w:p>
        </w:tc>
        <w:tc>
          <w:tcPr>
            <w:tcW w:w="741" w:type="dxa"/>
            <w:shd w:val="clear" w:color="auto" w:fill="FFFFFF" w:themeFill="background1"/>
            <w:vAlign w:val="center"/>
          </w:tcPr>
          <w:p w14:paraId="1FDB48C9" w14:textId="77777777" w:rsidR="00632E5B" w:rsidRPr="008B6556" w:rsidRDefault="00632E5B">
            <w:pPr>
              <w:spacing w:line="240" w:lineRule="exact"/>
              <w:jc w:val="right"/>
              <w:rPr>
                <w:rFonts w:ascii="宋体" w:eastAsia="宋体" w:hAnsi="宋体" w:cs="宋体" w:hint="eastAsia"/>
                <w:sz w:val="18"/>
                <w:szCs w:val="18"/>
              </w:rPr>
            </w:pPr>
          </w:p>
        </w:tc>
        <w:tc>
          <w:tcPr>
            <w:tcW w:w="1604" w:type="dxa"/>
            <w:shd w:val="clear" w:color="auto" w:fill="FFFFFF" w:themeFill="background1"/>
            <w:vAlign w:val="center"/>
          </w:tcPr>
          <w:p w14:paraId="3A8415C5" w14:textId="77777777" w:rsidR="00632E5B" w:rsidRPr="008B6556" w:rsidRDefault="00107901">
            <w:pPr>
              <w:spacing w:line="240" w:lineRule="exact"/>
              <w:jc w:val="right"/>
              <w:rPr>
                <w:rFonts w:ascii="宋体" w:eastAsia="宋体" w:hAnsi="宋体" w:cs="宋体" w:hint="eastAsia"/>
                <w:sz w:val="18"/>
                <w:szCs w:val="18"/>
              </w:rPr>
            </w:pPr>
            <w:r w:rsidRPr="008B6556">
              <w:rPr>
                <w:rFonts w:ascii="宋体" w:eastAsia="宋体" w:hAnsi="宋体" w:cs="宋体"/>
                <w:sz w:val="18"/>
                <w:szCs w:val="18"/>
              </w:rPr>
              <w:t>13,918,066.11</w:t>
            </w:r>
          </w:p>
        </w:tc>
        <w:tc>
          <w:tcPr>
            <w:tcW w:w="756" w:type="dxa"/>
            <w:shd w:val="clear" w:color="auto" w:fill="FFFFFF" w:themeFill="background1"/>
            <w:vAlign w:val="center"/>
          </w:tcPr>
          <w:p w14:paraId="7843FCBB" w14:textId="77777777" w:rsidR="00632E5B" w:rsidRPr="008B6556" w:rsidRDefault="00632E5B">
            <w:pPr>
              <w:spacing w:line="240" w:lineRule="exact"/>
              <w:jc w:val="right"/>
              <w:rPr>
                <w:rFonts w:ascii="宋体" w:eastAsia="宋体" w:hAnsi="宋体" w:cs="宋体" w:hint="eastAsia"/>
                <w:sz w:val="18"/>
                <w:szCs w:val="18"/>
              </w:rPr>
            </w:pPr>
          </w:p>
        </w:tc>
        <w:tc>
          <w:tcPr>
            <w:tcW w:w="741" w:type="dxa"/>
            <w:gridSpan w:val="2"/>
            <w:shd w:val="clear" w:color="auto" w:fill="FFFFFF" w:themeFill="background1"/>
            <w:vAlign w:val="center"/>
          </w:tcPr>
          <w:p w14:paraId="63438DCA" w14:textId="77777777" w:rsidR="00632E5B" w:rsidRPr="008B6556" w:rsidRDefault="00632E5B">
            <w:pPr>
              <w:spacing w:line="240" w:lineRule="exact"/>
              <w:jc w:val="right"/>
              <w:rPr>
                <w:rFonts w:ascii="宋体" w:eastAsia="宋体" w:hAnsi="宋体" w:cs="宋体" w:hint="eastAsia"/>
                <w:sz w:val="18"/>
                <w:szCs w:val="18"/>
              </w:rPr>
            </w:pPr>
          </w:p>
        </w:tc>
        <w:tc>
          <w:tcPr>
            <w:tcW w:w="1841" w:type="dxa"/>
            <w:gridSpan w:val="2"/>
            <w:shd w:val="clear" w:color="auto" w:fill="FFFFFF" w:themeFill="background1"/>
            <w:vAlign w:val="center"/>
          </w:tcPr>
          <w:p w14:paraId="31A361F7" w14:textId="77777777" w:rsidR="00632E5B" w:rsidRPr="008B6556" w:rsidRDefault="00107901">
            <w:pPr>
              <w:spacing w:line="240" w:lineRule="exact"/>
              <w:jc w:val="right"/>
              <w:rPr>
                <w:rFonts w:ascii="宋体" w:eastAsia="宋体" w:hAnsi="宋体" w:cs="宋体" w:hint="eastAsia"/>
                <w:sz w:val="18"/>
                <w:szCs w:val="18"/>
              </w:rPr>
            </w:pPr>
            <w:r w:rsidRPr="008B6556">
              <w:rPr>
                <w:rFonts w:ascii="宋体" w:eastAsia="宋体" w:hAnsi="宋体" w:cs="宋体"/>
                <w:sz w:val="18"/>
                <w:szCs w:val="18"/>
              </w:rPr>
              <w:t>13,918,066.11</w:t>
            </w:r>
          </w:p>
        </w:tc>
      </w:tr>
      <w:tr w:rsidR="00632E5B" w:rsidRPr="008B6556" w14:paraId="44464AB2" w14:textId="77777777" w:rsidTr="008B6556">
        <w:trPr>
          <w:gridAfter w:val="1"/>
          <w:wAfter w:w="16" w:type="dxa"/>
          <w:trHeight w:val="240"/>
          <w:jc w:val="center"/>
        </w:trPr>
        <w:tc>
          <w:tcPr>
            <w:tcW w:w="848" w:type="dxa"/>
            <w:shd w:val="clear" w:color="auto" w:fill="FFFFFF" w:themeFill="background1"/>
            <w:vAlign w:val="center"/>
          </w:tcPr>
          <w:p w14:paraId="567FAC6A" w14:textId="77777777" w:rsidR="00632E5B" w:rsidRPr="008B6556" w:rsidRDefault="00107901">
            <w:pPr>
              <w:spacing w:line="240" w:lineRule="exact"/>
              <w:rPr>
                <w:rFonts w:ascii="宋体" w:eastAsia="宋体" w:hAnsi="宋体" w:cs="宋体" w:hint="eastAsia"/>
                <w:sz w:val="18"/>
                <w:szCs w:val="18"/>
              </w:rPr>
            </w:pPr>
            <w:r w:rsidRPr="008B6556">
              <w:rPr>
                <w:rFonts w:ascii="宋体" w:eastAsia="宋体" w:hAnsi="宋体" w:cs="宋体"/>
                <w:sz w:val="18"/>
                <w:szCs w:val="18"/>
              </w:rPr>
              <w:t>江苏中利电子信息科技有限公司</w:t>
            </w:r>
          </w:p>
        </w:tc>
        <w:tc>
          <w:tcPr>
            <w:tcW w:w="1559" w:type="dxa"/>
            <w:shd w:val="clear" w:color="auto" w:fill="FFFFFF" w:themeFill="background1"/>
            <w:vAlign w:val="center"/>
          </w:tcPr>
          <w:p w14:paraId="7B063712" w14:textId="77777777" w:rsidR="00632E5B" w:rsidRPr="008B6556" w:rsidRDefault="00632E5B">
            <w:pPr>
              <w:spacing w:line="240" w:lineRule="exact"/>
              <w:jc w:val="right"/>
              <w:rPr>
                <w:rFonts w:ascii="宋体" w:eastAsia="宋体" w:hAnsi="宋体" w:cs="宋体" w:hint="eastAsia"/>
                <w:sz w:val="18"/>
                <w:szCs w:val="18"/>
              </w:rPr>
            </w:pPr>
          </w:p>
        </w:tc>
        <w:tc>
          <w:tcPr>
            <w:tcW w:w="741" w:type="dxa"/>
            <w:shd w:val="clear" w:color="auto" w:fill="FFFFFF" w:themeFill="background1"/>
            <w:vAlign w:val="center"/>
          </w:tcPr>
          <w:p w14:paraId="387BA234" w14:textId="77777777" w:rsidR="00632E5B" w:rsidRPr="008B6556" w:rsidRDefault="00632E5B">
            <w:pPr>
              <w:spacing w:line="240" w:lineRule="exact"/>
              <w:jc w:val="right"/>
              <w:rPr>
                <w:rFonts w:ascii="宋体" w:eastAsia="宋体" w:hAnsi="宋体" w:cs="宋体" w:hint="eastAsia"/>
                <w:sz w:val="18"/>
                <w:szCs w:val="18"/>
              </w:rPr>
            </w:pPr>
          </w:p>
        </w:tc>
        <w:tc>
          <w:tcPr>
            <w:tcW w:w="741" w:type="dxa"/>
            <w:shd w:val="clear" w:color="auto" w:fill="FFFFFF" w:themeFill="background1"/>
            <w:vAlign w:val="center"/>
          </w:tcPr>
          <w:p w14:paraId="7A0A77AF" w14:textId="77777777" w:rsidR="00632E5B" w:rsidRPr="008B6556" w:rsidRDefault="00632E5B">
            <w:pPr>
              <w:spacing w:line="240" w:lineRule="exact"/>
              <w:jc w:val="right"/>
              <w:rPr>
                <w:rFonts w:ascii="宋体" w:eastAsia="宋体" w:hAnsi="宋体" w:cs="宋体" w:hint="eastAsia"/>
                <w:sz w:val="18"/>
                <w:szCs w:val="18"/>
              </w:rPr>
            </w:pPr>
          </w:p>
        </w:tc>
        <w:tc>
          <w:tcPr>
            <w:tcW w:w="741" w:type="dxa"/>
            <w:shd w:val="clear" w:color="auto" w:fill="FFFFFF" w:themeFill="background1"/>
            <w:vAlign w:val="center"/>
          </w:tcPr>
          <w:p w14:paraId="7E9E69C2" w14:textId="77777777" w:rsidR="00632E5B" w:rsidRPr="008B6556" w:rsidRDefault="00632E5B">
            <w:pPr>
              <w:spacing w:line="240" w:lineRule="exact"/>
              <w:jc w:val="right"/>
              <w:rPr>
                <w:rFonts w:ascii="宋体" w:eastAsia="宋体" w:hAnsi="宋体" w:cs="宋体" w:hint="eastAsia"/>
                <w:sz w:val="18"/>
                <w:szCs w:val="18"/>
              </w:rPr>
            </w:pPr>
          </w:p>
        </w:tc>
        <w:tc>
          <w:tcPr>
            <w:tcW w:w="1463" w:type="dxa"/>
            <w:shd w:val="clear" w:color="auto" w:fill="FFFFFF" w:themeFill="background1"/>
            <w:vAlign w:val="center"/>
          </w:tcPr>
          <w:p w14:paraId="1E4C3AFA" w14:textId="77777777" w:rsidR="00632E5B" w:rsidRPr="008B6556" w:rsidRDefault="00632E5B">
            <w:pPr>
              <w:spacing w:line="240" w:lineRule="exact"/>
              <w:jc w:val="right"/>
              <w:rPr>
                <w:rFonts w:ascii="宋体" w:eastAsia="宋体" w:hAnsi="宋体" w:cs="宋体" w:hint="eastAsia"/>
                <w:sz w:val="18"/>
                <w:szCs w:val="18"/>
              </w:rPr>
            </w:pPr>
          </w:p>
        </w:tc>
        <w:tc>
          <w:tcPr>
            <w:tcW w:w="741" w:type="dxa"/>
            <w:shd w:val="clear" w:color="auto" w:fill="FFFFFF" w:themeFill="background1"/>
            <w:vAlign w:val="center"/>
          </w:tcPr>
          <w:p w14:paraId="6D7F5A44" w14:textId="77777777" w:rsidR="00632E5B" w:rsidRPr="008B6556" w:rsidRDefault="00632E5B">
            <w:pPr>
              <w:spacing w:line="240" w:lineRule="exact"/>
              <w:jc w:val="right"/>
              <w:rPr>
                <w:rFonts w:ascii="宋体" w:eastAsia="宋体" w:hAnsi="宋体" w:cs="宋体" w:hint="eastAsia"/>
                <w:sz w:val="18"/>
                <w:szCs w:val="18"/>
              </w:rPr>
            </w:pPr>
          </w:p>
        </w:tc>
        <w:tc>
          <w:tcPr>
            <w:tcW w:w="741" w:type="dxa"/>
            <w:shd w:val="clear" w:color="auto" w:fill="FFFFFF" w:themeFill="background1"/>
            <w:vAlign w:val="center"/>
          </w:tcPr>
          <w:p w14:paraId="49B6CD8D" w14:textId="77777777" w:rsidR="00632E5B" w:rsidRPr="008B6556" w:rsidRDefault="00632E5B">
            <w:pPr>
              <w:spacing w:line="240" w:lineRule="exact"/>
              <w:jc w:val="right"/>
              <w:rPr>
                <w:rFonts w:ascii="宋体" w:eastAsia="宋体" w:hAnsi="宋体" w:cs="宋体" w:hint="eastAsia"/>
                <w:sz w:val="18"/>
                <w:szCs w:val="18"/>
              </w:rPr>
            </w:pPr>
          </w:p>
        </w:tc>
        <w:tc>
          <w:tcPr>
            <w:tcW w:w="741" w:type="dxa"/>
            <w:shd w:val="clear" w:color="auto" w:fill="FFFFFF" w:themeFill="background1"/>
            <w:vAlign w:val="center"/>
          </w:tcPr>
          <w:p w14:paraId="04F874F7" w14:textId="77777777" w:rsidR="00632E5B" w:rsidRPr="008B6556" w:rsidRDefault="00632E5B">
            <w:pPr>
              <w:spacing w:line="240" w:lineRule="exact"/>
              <w:jc w:val="right"/>
              <w:rPr>
                <w:rFonts w:ascii="宋体" w:eastAsia="宋体" w:hAnsi="宋体" w:cs="宋体" w:hint="eastAsia"/>
                <w:sz w:val="18"/>
                <w:szCs w:val="18"/>
              </w:rPr>
            </w:pPr>
          </w:p>
        </w:tc>
        <w:tc>
          <w:tcPr>
            <w:tcW w:w="1604" w:type="dxa"/>
            <w:shd w:val="clear" w:color="auto" w:fill="FFFFFF" w:themeFill="background1"/>
            <w:vAlign w:val="center"/>
          </w:tcPr>
          <w:p w14:paraId="4AABD9EF" w14:textId="77777777" w:rsidR="00632E5B" w:rsidRPr="008B6556" w:rsidRDefault="00632E5B">
            <w:pPr>
              <w:spacing w:line="240" w:lineRule="exact"/>
              <w:jc w:val="right"/>
              <w:rPr>
                <w:rFonts w:ascii="宋体" w:eastAsia="宋体" w:hAnsi="宋体" w:cs="宋体" w:hint="eastAsia"/>
                <w:sz w:val="18"/>
                <w:szCs w:val="18"/>
              </w:rPr>
            </w:pPr>
          </w:p>
        </w:tc>
        <w:tc>
          <w:tcPr>
            <w:tcW w:w="756" w:type="dxa"/>
            <w:shd w:val="clear" w:color="auto" w:fill="FFFFFF" w:themeFill="background1"/>
            <w:vAlign w:val="center"/>
          </w:tcPr>
          <w:p w14:paraId="3DD47420" w14:textId="77777777" w:rsidR="00632E5B" w:rsidRPr="008B6556" w:rsidRDefault="00632E5B">
            <w:pPr>
              <w:spacing w:line="240" w:lineRule="exact"/>
              <w:jc w:val="right"/>
              <w:rPr>
                <w:rFonts w:ascii="宋体" w:eastAsia="宋体" w:hAnsi="宋体" w:cs="宋体" w:hint="eastAsia"/>
                <w:sz w:val="18"/>
                <w:szCs w:val="18"/>
              </w:rPr>
            </w:pPr>
          </w:p>
        </w:tc>
        <w:tc>
          <w:tcPr>
            <w:tcW w:w="741" w:type="dxa"/>
            <w:gridSpan w:val="2"/>
            <w:shd w:val="clear" w:color="auto" w:fill="FFFFFF" w:themeFill="background1"/>
            <w:vAlign w:val="center"/>
          </w:tcPr>
          <w:p w14:paraId="1A77C259" w14:textId="77777777" w:rsidR="00632E5B" w:rsidRPr="008B6556" w:rsidRDefault="00632E5B">
            <w:pPr>
              <w:spacing w:line="240" w:lineRule="exact"/>
              <w:jc w:val="right"/>
              <w:rPr>
                <w:rFonts w:ascii="宋体" w:eastAsia="宋体" w:hAnsi="宋体" w:cs="宋体" w:hint="eastAsia"/>
                <w:sz w:val="18"/>
                <w:szCs w:val="18"/>
              </w:rPr>
            </w:pPr>
          </w:p>
        </w:tc>
        <w:tc>
          <w:tcPr>
            <w:tcW w:w="1841" w:type="dxa"/>
            <w:gridSpan w:val="2"/>
            <w:shd w:val="clear" w:color="auto" w:fill="FFFFFF" w:themeFill="background1"/>
            <w:vAlign w:val="center"/>
          </w:tcPr>
          <w:p w14:paraId="7F67982F" w14:textId="77777777" w:rsidR="00632E5B" w:rsidRPr="008B6556" w:rsidRDefault="00632E5B">
            <w:pPr>
              <w:spacing w:line="240" w:lineRule="exact"/>
              <w:jc w:val="right"/>
              <w:rPr>
                <w:rFonts w:ascii="宋体" w:eastAsia="宋体" w:hAnsi="宋体" w:cs="宋体" w:hint="eastAsia"/>
                <w:sz w:val="18"/>
                <w:szCs w:val="18"/>
              </w:rPr>
            </w:pPr>
          </w:p>
        </w:tc>
      </w:tr>
      <w:tr w:rsidR="00632E5B" w:rsidRPr="008B6556" w14:paraId="285D11AB" w14:textId="77777777" w:rsidTr="008B6556">
        <w:trPr>
          <w:gridAfter w:val="1"/>
          <w:wAfter w:w="16" w:type="dxa"/>
          <w:trHeight w:val="240"/>
          <w:jc w:val="center"/>
        </w:trPr>
        <w:tc>
          <w:tcPr>
            <w:tcW w:w="848" w:type="dxa"/>
            <w:shd w:val="clear" w:color="auto" w:fill="FFFFFF" w:themeFill="background1"/>
            <w:vAlign w:val="center"/>
          </w:tcPr>
          <w:p w14:paraId="57AC5FCF" w14:textId="77777777" w:rsidR="00632E5B" w:rsidRPr="008B6556" w:rsidRDefault="00107901">
            <w:pPr>
              <w:spacing w:before="40" w:after="40" w:line="240" w:lineRule="exact"/>
              <w:rPr>
                <w:rFonts w:ascii="宋体" w:eastAsia="宋体" w:hAnsi="宋体" w:cs="宋体" w:hint="eastAsia"/>
                <w:sz w:val="18"/>
                <w:szCs w:val="18"/>
              </w:rPr>
            </w:pPr>
            <w:r w:rsidRPr="008B6556">
              <w:rPr>
                <w:rFonts w:ascii="宋体" w:eastAsia="宋体" w:hAnsi="宋体" w:cs="宋体"/>
                <w:sz w:val="18"/>
                <w:szCs w:val="18"/>
              </w:rPr>
              <w:t>小计</w:t>
            </w:r>
          </w:p>
        </w:tc>
        <w:tc>
          <w:tcPr>
            <w:tcW w:w="1559" w:type="dxa"/>
            <w:shd w:val="clear" w:color="auto" w:fill="FFFFFF" w:themeFill="background1"/>
            <w:vAlign w:val="center"/>
          </w:tcPr>
          <w:p w14:paraId="0AE47D8A" w14:textId="77777777" w:rsidR="00632E5B" w:rsidRPr="008B6556" w:rsidRDefault="00107901">
            <w:pPr>
              <w:spacing w:line="240" w:lineRule="exact"/>
              <w:jc w:val="right"/>
              <w:rPr>
                <w:rFonts w:ascii="宋体" w:eastAsia="宋体" w:hAnsi="宋体" w:cs="宋体" w:hint="eastAsia"/>
                <w:sz w:val="18"/>
                <w:szCs w:val="18"/>
              </w:rPr>
            </w:pPr>
            <w:r w:rsidRPr="008B6556">
              <w:rPr>
                <w:rFonts w:ascii="宋体" w:eastAsia="宋体" w:hAnsi="宋体" w:cs="宋体"/>
                <w:sz w:val="18"/>
                <w:szCs w:val="18"/>
              </w:rPr>
              <w:t>14,158,288.31</w:t>
            </w:r>
          </w:p>
        </w:tc>
        <w:tc>
          <w:tcPr>
            <w:tcW w:w="741" w:type="dxa"/>
            <w:shd w:val="clear" w:color="auto" w:fill="FFFFFF" w:themeFill="background1"/>
            <w:vAlign w:val="center"/>
          </w:tcPr>
          <w:p w14:paraId="7AB0DBD7" w14:textId="77777777" w:rsidR="00632E5B" w:rsidRPr="008B6556" w:rsidRDefault="00632E5B">
            <w:pPr>
              <w:spacing w:line="240" w:lineRule="exact"/>
              <w:jc w:val="right"/>
              <w:rPr>
                <w:rFonts w:ascii="宋体" w:eastAsia="宋体" w:hAnsi="宋体" w:cs="宋体" w:hint="eastAsia"/>
                <w:sz w:val="18"/>
                <w:szCs w:val="18"/>
              </w:rPr>
            </w:pPr>
          </w:p>
        </w:tc>
        <w:tc>
          <w:tcPr>
            <w:tcW w:w="741" w:type="dxa"/>
            <w:shd w:val="clear" w:color="auto" w:fill="FFFFFF" w:themeFill="background1"/>
            <w:vAlign w:val="center"/>
          </w:tcPr>
          <w:p w14:paraId="6DEEB699" w14:textId="77777777" w:rsidR="00632E5B" w:rsidRPr="008B6556" w:rsidRDefault="00632E5B">
            <w:pPr>
              <w:spacing w:line="240" w:lineRule="exact"/>
              <w:jc w:val="right"/>
              <w:rPr>
                <w:rFonts w:ascii="宋体" w:eastAsia="宋体" w:hAnsi="宋体" w:cs="宋体" w:hint="eastAsia"/>
                <w:sz w:val="18"/>
                <w:szCs w:val="18"/>
              </w:rPr>
            </w:pPr>
          </w:p>
        </w:tc>
        <w:tc>
          <w:tcPr>
            <w:tcW w:w="741" w:type="dxa"/>
            <w:shd w:val="clear" w:color="auto" w:fill="FFFFFF" w:themeFill="background1"/>
            <w:vAlign w:val="center"/>
          </w:tcPr>
          <w:p w14:paraId="79DFF035" w14:textId="77777777" w:rsidR="00632E5B" w:rsidRPr="008B6556" w:rsidRDefault="00632E5B">
            <w:pPr>
              <w:spacing w:line="240" w:lineRule="exact"/>
              <w:jc w:val="right"/>
              <w:rPr>
                <w:rFonts w:ascii="宋体" w:eastAsia="宋体" w:hAnsi="宋体" w:cs="宋体" w:hint="eastAsia"/>
                <w:sz w:val="18"/>
                <w:szCs w:val="18"/>
              </w:rPr>
            </w:pPr>
          </w:p>
        </w:tc>
        <w:tc>
          <w:tcPr>
            <w:tcW w:w="1463" w:type="dxa"/>
            <w:shd w:val="clear" w:color="auto" w:fill="FFFFFF" w:themeFill="background1"/>
            <w:vAlign w:val="center"/>
          </w:tcPr>
          <w:p w14:paraId="1F0F1F5C" w14:textId="77777777" w:rsidR="00632E5B" w:rsidRPr="008B6556" w:rsidRDefault="00107901">
            <w:pPr>
              <w:spacing w:line="240" w:lineRule="exact"/>
              <w:jc w:val="right"/>
              <w:rPr>
                <w:rFonts w:ascii="宋体" w:eastAsia="宋体" w:hAnsi="宋体" w:cs="宋体" w:hint="eastAsia"/>
                <w:sz w:val="18"/>
                <w:szCs w:val="18"/>
              </w:rPr>
            </w:pPr>
            <w:r w:rsidRPr="008B6556">
              <w:rPr>
                <w:rFonts w:ascii="宋体" w:eastAsia="宋体" w:hAnsi="宋体" w:cs="宋体"/>
                <w:sz w:val="18"/>
                <w:szCs w:val="18"/>
              </w:rPr>
              <w:t>-240,222.20</w:t>
            </w:r>
          </w:p>
        </w:tc>
        <w:tc>
          <w:tcPr>
            <w:tcW w:w="741" w:type="dxa"/>
            <w:shd w:val="clear" w:color="auto" w:fill="FFFFFF" w:themeFill="background1"/>
            <w:vAlign w:val="center"/>
          </w:tcPr>
          <w:p w14:paraId="2232DAE0" w14:textId="77777777" w:rsidR="00632E5B" w:rsidRPr="008B6556" w:rsidRDefault="00632E5B">
            <w:pPr>
              <w:spacing w:line="240" w:lineRule="exact"/>
              <w:jc w:val="right"/>
              <w:rPr>
                <w:rFonts w:ascii="宋体" w:eastAsia="宋体" w:hAnsi="宋体" w:cs="宋体" w:hint="eastAsia"/>
                <w:sz w:val="18"/>
                <w:szCs w:val="18"/>
              </w:rPr>
            </w:pPr>
          </w:p>
        </w:tc>
        <w:tc>
          <w:tcPr>
            <w:tcW w:w="741" w:type="dxa"/>
            <w:shd w:val="clear" w:color="auto" w:fill="FFFFFF" w:themeFill="background1"/>
            <w:vAlign w:val="center"/>
          </w:tcPr>
          <w:p w14:paraId="14037DAC" w14:textId="77777777" w:rsidR="00632E5B" w:rsidRPr="008B6556" w:rsidRDefault="00632E5B">
            <w:pPr>
              <w:spacing w:line="240" w:lineRule="exact"/>
              <w:jc w:val="right"/>
              <w:rPr>
                <w:rFonts w:ascii="宋体" w:eastAsia="宋体" w:hAnsi="宋体" w:cs="宋体" w:hint="eastAsia"/>
                <w:sz w:val="18"/>
                <w:szCs w:val="18"/>
              </w:rPr>
            </w:pPr>
          </w:p>
        </w:tc>
        <w:tc>
          <w:tcPr>
            <w:tcW w:w="741" w:type="dxa"/>
            <w:shd w:val="clear" w:color="auto" w:fill="FFFFFF" w:themeFill="background1"/>
            <w:vAlign w:val="center"/>
          </w:tcPr>
          <w:p w14:paraId="64F8EF19" w14:textId="77777777" w:rsidR="00632E5B" w:rsidRPr="008B6556" w:rsidRDefault="00632E5B">
            <w:pPr>
              <w:spacing w:line="240" w:lineRule="exact"/>
              <w:jc w:val="right"/>
              <w:rPr>
                <w:rFonts w:ascii="宋体" w:eastAsia="宋体" w:hAnsi="宋体" w:cs="宋体" w:hint="eastAsia"/>
                <w:sz w:val="18"/>
                <w:szCs w:val="18"/>
              </w:rPr>
            </w:pPr>
          </w:p>
        </w:tc>
        <w:tc>
          <w:tcPr>
            <w:tcW w:w="1604" w:type="dxa"/>
            <w:shd w:val="clear" w:color="auto" w:fill="FFFFFF" w:themeFill="background1"/>
            <w:vAlign w:val="center"/>
          </w:tcPr>
          <w:p w14:paraId="3CF97417" w14:textId="77777777" w:rsidR="00632E5B" w:rsidRPr="008B6556" w:rsidRDefault="00107901">
            <w:pPr>
              <w:spacing w:line="240" w:lineRule="exact"/>
              <w:jc w:val="right"/>
              <w:rPr>
                <w:rFonts w:ascii="宋体" w:eastAsia="宋体" w:hAnsi="宋体" w:cs="宋体" w:hint="eastAsia"/>
                <w:sz w:val="18"/>
                <w:szCs w:val="18"/>
              </w:rPr>
            </w:pPr>
            <w:r w:rsidRPr="008B6556">
              <w:rPr>
                <w:rFonts w:ascii="宋体" w:eastAsia="宋体" w:hAnsi="宋体" w:cs="宋体"/>
                <w:sz w:val="18"/>
                <w:szCs w:val="18"/>
              </w:rPr>
              <w:t>13,918,066.11</w:t>
            </w:r>
          </w:p>
        </w:tc>
        <w:tc>
          <w:tcPr>
            <w:tcW w:w="756" w:type="dxa"/>
            <w:shd w:val="clear" w:color="auto" w:fill="FFFFFF" w:themeFill="background1"/>
            <w:vAlign w:val="center"/>
          </w:tcPr>
          <w:p w14:paraId="48E7604F" w14:textId="77777777" w:rsidR="00632E5B" w:rsidRPr="008B6556" w:rsidRDefault="00632E5B">
            <w:pPr>
              <w:spacing w:line="240" w:lineRule="exact"/>
              <w:jc w:val="right"/>
              <w:rPr>
                <w:rFonts w:ascii="宋体" w:eastAsia="宋体" w:hAnsi="宋体" w:cs="宋体" w:hint="eastAsia"/>
                <w:sz w:val="18"/>
                <w:szCs w:val="18"/>
              </w:rPr>
            </w:pPr>
          </w:p>
        </w:tc>
        <w:tc>
          <w:tcPr>
            <w:tcW w:w="741" w:type="dxa"/>
            <w:gridSpan w:val="2"/>
            <w:shd w:val="clear" w:color="auto" w:fill="FFFFFF" w:themeFill="background1"/>
            <w:vAlign w:val="center"/>
          </w:tcPr>
          <w:p w14:paraId="6F669B40" w14:textId="77777777" w:rsidR="00632E5B" w:rsidRPr="008B6556" w:rsidRDefault="00632E5B">
            <w:pPr>
              <w:spacing w:line="240" w:lineRule="exact"/>
              <w:jc w:val="right"/>
              <w:rPr>
                <w:rFonts w:ascii="宋体" w:eastAsia="宋体" w:hAnsi="宋体" w:cs="宋体" w:hint="eastAsia"/>
                <w:sz w:val="18"/>
                <w:szCs w:val="18"/>
              </w:rPr>
            </w:pPr>
          </w:p>
        </w:tc>
        <w:tc>
          <w:tcPr>
            <w:tcW w:w="1841" w:type="dxa"/>
            <w:gridSpan w:val="2"/>
            <w:shd w:val="clear" w:color="auto" w:fill="FFFFFF" w:themeFill="background1"/>
            <w:vAlign w:val="center"/>
          </w:tcPr>
          <w:p w14:paraId="4E5EDD4F" w14:textId="77777777" w:rsidR="00632E5B" w:rsidRPr="008B6556" w:rsidRDefault="00107901">
            <w:pPr>
              <w:spacing w:line="240" w:lineRule="exact"/>
              <w:jc w:val="right"/>
              <w:rPr>
                <w:rFonts w:ascii="宋体" w:eastAsia="宋体" w:hAnsi="宋体" w:cs="宋体" w:hint="eastAsia"/>
                <w:sz w:val="18"/>
                <w:szCs w:val="18"/>
              </w:rPr>
            </w:pPr>
            <w:r w:rsidRPr="008B6556">
              <w:rPr>
                <w:rFonts w:ascii="宋体" w:eastAsia="宋体" w:hAnsi="宋体" w:cs="宋体"/>
                <w:sz w:val="18"/>
                <w:szCs w:val="18"/>
              </w:rPr>
              <w:t>13,918,066.11</w:t>
            </w:r>
          </w:p>
        </w:tc>
      </w:tr>
      <w:tr w:rsidR="00632E5B" w:rsidRPr="008B6556" w14:paraId="06A242F0" w14:textId="77777777" w:rsidTr="008B6556">
        <w:trPr>
          <w:gridAfter w:val="1"/>
          <w:wAfter w:w="16" w:type="dxa"/>
          <w:trHeight w:val="240"/>
          <w:jc w:val="center"/>
        </w:trPr>
        <w:tc>
          <w:tcPr>
            <w:tcW w:w="848" w:type="dxa"/>
            <w:shd w:val="clear" w:color="auto" w:fill="FFFFFF" w:themeFill="background1"/>
            <w:vAlign w:val="center"/>
          </w:tcPr>
          <w:p w14:paraId="157B8B2A" w14:textId="77777777" w:rsidR="00632E5B" w:rsidRPr="008B6556" w:rsidRDefault="00107901">
            <w:pPr>
              <w:spacing w:before="40" w:after="40" w:line="240" w:lineRule="exact"/>
              <w:rPr>
                <w:rFonts w:ascii="宋体" w:eastAsia="宋体" w:hAnsi="宋体" w:cs="宋体" w:hint="eastAsia"/>
                <w:sz w:val="18"/>
                <w:szCs w:val="18"/>
              </w:rPr>
            </w:pPr>
            <w:r w:rsidRPr="008B6556">
              <w:rPr>
                <w:rFonts w:ascii="宋体" w:eastAsia="宋体" w:hAnsi="宋体" w:cs="宋体"/>
                <w:sz w:val="18"/>
                <w:szCs w:val="18"/>
              </w:rPr>
              <w:t>合计</w:t>
            </w:r>
          </w:p>
        </w:tc>
        <w:tc>
          <w:tcPr>
            <w:tcW w:w="1559" w:type="dxa"/>
            <w:shd w:val="clear" w:color="auto" w:fill="FFFFFF" w:themeFill="background1"/>
            <w:vAlign w:val="center"/>
          </w:tcPr>
          <w:p w14:paraId="3F968D05" w14:textId="77777777" w:rsidR="00632E5B" w:rsidRPr="008B6556" w:rsidRDefault="00107901">
            <w:pPr>
              <w:spacing w:line="240" w:lineRule="exact"/>
              <w:jc w:val="right"/>
              <w:rPr>
                <w:rFonts w:ascii="宋体" w:eastAsia="宋体" w:hAnsi="宋体" w:cs="宋体" w:hint="eastAsia"/>
                <w:sz w:val="18"/>
                <w:szCs w:val="18"/>
              </w:rPr>
            </w:pPr>
            <w:r w:rsidRPr="008B6556">
              <w:rPr>
                <w:rFonts w:ascii="宋体" w:eastAsia="宋体" w:hAnsi="宋体" w:cs="宋体"/>
                <w:sz w:val="18"/>
                <w:szCs w:val="18"/>
              </w:rPr>
              <w:t>14,158,288.31</w:t>
            </w:r>
          </w:p>
        </w:tc>
        <w:tc>
          <w:tcPr>
            <w:tcW w:w="741" w:type="dxa"/>
            <w:shd w:val="clear" w:color="auto" w:fill="FFFFFF" w:themeFill="background1"/>
            <w:vAlign w:val="center"/>
          </w:tcPr>
          <w:p w14:paraId="0DACCC97" w14:textId="77777777" w:rsidR="00632E5B" w:rsidRPr="008B6556" w:rsidRDefault="00107901">
            <w:pPr>
              <w:spacing w:line="240" w:lineRule="exact"/>
              <w:jc w:val="right"/>
              <w:rPr>
                <w:rFonts w:ascii="宋体" w:eastAsia="宋体" w:hAnsi="宋体" w:cs="宋体" w:hint="eastAsia"/>
                <w:sz w:val="18"/>
                <w:szCs w:val="18"/>
              </w:rPr>
            </w:pPr>
            <w:r w:rsidRPr="008B6556">
              <w:rPr>
                <w:rFonts w:ascii="宋体" w:eastAsia="宋体" w:hAnsi="宋体" w:cs="宋体"/>
                <w:sz w:val="18"/>
                <w:szCs w:val="18"/>
              </w:rPr>
              <w:t>0.00</w:t>
            </w:r>
          </w:p>
        </w:tc>
        <w:tc>
          <w:tcPr>
            <w:tcW w:w="741" w:type="dxa"/>
            <w:shd w:val="clear" w:color="auto" w:fill="FFFFFF" w:themeFill="background1"/>
            <w:vAlign w:val="center"/>
          </w:tcPr>
          <w:p w14:paraId="3931732E" w14:textId="77777777" w:rsidR="00632E5B" w:rsidRPr="008B6556" w:rsidRDefault="00632E5B">
            <w:pPr>
              <w:spacing w:line="240" w:lineRule="exact"/>
              <w:jc w:val="right"/>
              <w:rPr>
                <w:rFonts w:ascii="宋体" w:eastAsia="宋体" w:hAnsi="宋体" w:cs="宋体" w:hint="eastAsia"/>
                <w:sz w:val="18"/>
                <w:szCs w:val="18"/>
              </w:rPr>
            </w:pPr>
          </w:p>
        </w:tc>
        <w:tc>
          <w:tcPr>
            <w:tcW w:w="741" w:type="dxa"/>
            <w:shd w:val="clear" w:color="auto" w:fill="FFFFFF" w:themeFill="background1"/>
            <w:vAlign w:val="center"/>
          </w:tcPr>
          <w:p w14:paraId="391C79A3" w14:textId="77777777" w:rsidR="00632E5B" w:rsidRPr="008B6556" w:rsidRDefault="00632E5B">
            <w:pPr>
              <w:spacing w:line="240" w:lineRule="exact"/>
              <w:jc w:val="right"/>
              <w:rPr>
                <w:rFonts w:ascii="宋体" w:eastAsia="宋体" w:hAnsi="宋体" w:cs="宋体" w:hint="eastAsia"/>
                <w:sz w:val="18"/>
                <w:szCs w:val="18"/>
              </w:rPr>
            </w:pPr>
          </w:p>
        </w:tc>
        <w:tc>
          <w:tcPr>
            <w:tcW w:w="1463" w:type="dxa"/>
            <w:shd w:val="clear" w:color="auto" w:fill="FFFFFF" w:themeFill="background1"/>
            <w:vAlign w:val="center"/>
          </w:tcPr>
          <w:p w14:paraId="14733876" w14:textId="77777777" w:rsidR="00632E5B" w:rsidRPr="008B6556" w:rsidRDefault="00107901">
            <w:pPr>
              <w:spacing w:line="240" w:lineRule="exact"/>
              <w:jc w:val="right"/>
              <w:rPr>
                <w:rFonts w:ascii="宋体" w:eastAsia="宋体" w:hAnsi="宋体" w:cs="宋体" w:hint="eastAsia"/>
                <w:sz w:val="18"/>
                <w:szCs w:val="18"/>
              </w:rPr>
            </w:pPr>
            <w:r w:rsidRPr="008B6556">
              <w:rPr>
                <w:rFonts w:ascii="宋体" w:eastAsia="宋体" w:hAnsi="宋体" w:cs="宋体"/>
                <w:sz w:val="18"/>
                <w:szCs w:val="18"/>
              </w:rPr>
              <w:t>-240,222.20</w:t>
            </w:r>
          </w:p>
        </w:tc>
        <w:tc>
          <w:tcPr>
            <w:tcW w:w="741" w:type="dxa"/>
            <w:shd w:val="clear" w:color="auto" w:fill="FFFFFF" w:themeFill="background1"/>
            <w:vAlign w:val="center"/>
          </w:tcPr>
          <w:p w14:paraId="2349BCF8" w14:textId="77777777" w:rsidR="00632E5B" w:rsidRPr="008B6556" w:rsidRDefault="00632E5B">
            <w:pPr>
              <w:spacing w:line="240" w:lineRule="exact"/>
              <w:jc w:val="right"/>
              <w:rPr>
                <w:rFonts w:ascii="宋体" w:eastAsia="宋体" w:hAnsi="宋体" w:cs="宋体" w:hint="eastAsia"/>
                <w:sz w:val="18"/>
                <w:szCs w:val="18"/>
              </w:rPr>
            </w:pPr>
          </w:p>
        </w:tc>
        <w:tc>
          <w:tcPr>
            <w:tcW w:w="741" w:type="dxa"/>
            <w:shd w:val="clear" w:color="auto" w:fill="FFFFFF" w:themeFill="background1"/>
            <w:vAlign w:val="center"/>
          </w:tcPr>
          <w:p w14:paraId="5EE32F1D" w14:textId="77777777" w:rsidR="00632E5B" w:rsidRPr="008B6556" w:rsidRDefault="00632E5B">
            <w:pPr>
              <w:spacing w:line="240" w:lineRule="exact"/>
              <w:jc w:val="right"/>
              <w:rPr>
                <w:rFonts w:ascii="宋体" w:eastAsia="宋体" w:hAnsi="宋体" w:cs="宋体" w:hint="eastAsia"/>
                <w:sz w:val="18"/>
                <w:szCs w:val="18"/>
              </w:rPr>
            </w:pPr>
          </w:p>
        </w:tc>
        <w:tc>
          <w:tcPr>
            <w:tcW w:w="741" w:type="dxa"/>
            <w:shd w:val="clear" w:color="auto" w:fill="FFFFFF" w:themeFill="background1"/>
            <w:vAlign w:val="center"/>
          </w:tcPr>
          <w:p w14:paraId="4C934E24" w14:textId="77777777" w:rsidR="00632E5B" w:rsidRPr="008B6556" w:rsidRDefault="00632E5B">
            <w:pPr>
              <w:spacing w:line="240" w:lineRule="exact"/>
              <w:jc w:val="right"/>
              <w:rPr>
                <w:rFonts w:ascii="宋体" w:eastAsia="宋体" w:hAnsi="宋体" w:cs="宋体" w:hint="eastAsia"/>
                <w:sz w:val="18"/>
                <w:szCs w:val="18"/>
              </w:rPr>
            </w:pPr>
          </w:p>
        </w:tc>
        <w:tc>
          <w:tcPr>
            <w:tcW w:w="1604" w:type="dxa"/>
            <w:shd w:val="clear" w:color="auto" w:fill="FFFFFF" w:themeFill="background1"/>
            <w:vAlign w:val="center"/>
          </w:tcPr>
          <w:p w14:paraId="4A29966A" w14:textId="77777777" w:rsidR="00632E5B" w:rsidRPr="008B6556" w:rsidRDefault="00107901">
            <w:pPr>
              <w:spacing w:line="240" w:lineRule="exact"/>
              <w:jc w:val="right"/>
              <w:rPr>
                <w:rFonts w:ascii="宋体" w:eastAsia="宋体" w:hAnsi="宋体" w:cs="宋体" w:hint="eastAsia"/>
                <w:sz w:val="18"/>
                <w:szCs w:val="18"/>
              </w:rPr>
            </w:pPr>
            <w:r w:rsidRPr="008B6556">
              <w:rPr>
                <w:rFonts w:ascii="宋体" w:eastAsia="宋体" w:hAnsi="宋体" w:cs="宋体"/>
                <w:sz w:val="18"/>
                <w:szCs w:val="18"/>
              </w:rPr>
              <w:t>13,918,066.11</w:t>
            </w:r>
          </w:p>
        </w:tc>
        <w:tc>
          <w:tcPr>
            <w:tcW w:w="756" w:type="dxa"/>
            <w:shd w:val="clear" w:color="auto" w:fill="FFFFFF" w:themeFill="background1"/>
            <w:vAlign w:val="center"/>
          </w:tcPr>
          <w:p w14:paraId="387C4A75" w14:textId="77777777" w:rsidR="00632E5B" w:rsidRPr="008B6556" w:rsidRDefault="00632E5B">
            <w:pPr>
              <w:spacing w:line="240" w:lineRule="exact"/>
              <w:jc w:val="right"/>
              <w:rPr>
                <w:rFonts w:ascii="宋体" w:eastAsia="宋体" w:hAnsi="宋体" w:cs="宋体" w:hint="eastAsia"/>
                <w:sz w:val="18"/>
                <w:szCs w:val="18"/>
              </w:rPr>
            </w:pPr>
          </w:p>
        </w:tc>
        <w:tc>
          <w:tcPr>
            <w:tcW w:w="741" w:type="dxa"/>
            <w:gridSpan w:val="2"/>
            <w:shd w:val="clear" w:color="auto" w:fill="FFFFFF" w:themeFill="background1"/>
            <w:vAlign w:val="center"/>
          </w:tcPr>
          <w:p w14:paraId="13413E34" w14:textId="77777777" w:rsidR="00632E5B" w:rsidRPr="008B6556" w:rsidRDefault="00107901">
            <w:pPr>
              <w:spacing w:line="240" w:lineRule="exact"/>
              <w:jc w:val="right"/>
              <w:rPr>
                <w:rFonts w:ascii="宋体" w:eastAsia="宋体" w:hAnsi="宋体" w:cs="宋体" w:hint="eastAsia"/>
                <w:sz w:val="18"/>
                <w:szCs w:val="18"/>
              </w:rPr>
            </w:pPr>
            <w:r w:rsidRPr="008B6556">
              <w:rPr>
                <w:rFonts w:ascii="宋体" w:eastAsia="宋体" w:hAnsi="宋体" w:cs="宋体"/>
                <w:sz w:val="18"/>
                <w:szCs w:val="18"/>
              </w:rPr>
              <w:t>0.00</w:t>
            </w:r>
          </w:p>
        </w:tc>
        <w:tc>
          <w:tcPr>
            <w:tcW w:w="1841" w:type="dxa"/>
            <w:gridSpan w:val="2"/>
            <w:shd w:val="clear" w:color="auto" w:fill="FFFFFF" w:themeFill="background1"/>
            <w:vAlign w:val="center"/>
          </w:tcPr>
          <w:p w14:paraId="48FC003F" w14:textId="77777777" w:rsidR="00632E5B" w:rsidRPr="008B6556" w:rsidRDefault="00107901">
            <w:pPr>
              <w:spacing w:line="240" w:lineRule="exact"/>
              <w:jc w:val="right"/>
              <w:rPr>
                <w:rFonts w:ascii="宋体" w:eastAsia="宋体" w:hAnsi="宋体" w:cs="宋体" w:hint="eastAsia"/>
                <w:sz w:val="18"/>
                <w:szCs w:val="18"/>
              </w:rPr>
            </w:pPr>
            <w:r w:rsidRPr="008B6556">
              <w:rPr>
                <w:rFonts w:ascii="宋体" w:eastAsia="宋体" w:hAnsi="宋体" w:cs="宋体"/>
                <w:sz w:val="18"/>
                <w:szCs w:val="18"/>
              </w:rPr>
              <w:t>13,918,066.11</w:t>
            </w:r>
          </w:p>
        </w:tc>
      </w:tr>
    </w:tbl>
    <w:p w14:paraId="19EEA0B2"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可收回金额按公允价值减去处置费用后的净额确定</w:t>
      </w:r>
    </w:p>
    <w:p w14:paraId="72978648"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A076C25"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可收回金额按预计未来现金流量的现值确定</w:t>
      </w:r>
    </w:p>
    <w:p w14:paraId="49CCA82C"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C7D695F" w14:textId="77777777" w:rsidR="008B6556" w:rsidRDefault="008B6556">
      <w:pPr>
        <w:keepNext/>
        <w:keepLines/>
        <w:spacing w:before="300" w:after="300" w:line="280" w:lineRule="exact"/>
        <w:outlineLvl w:val="3"/>
        <w:rPr>
          <w:rFonts w:ascii="宋体" w:eastAsia="宋体" w:hAnsi="宋体" w:cs="宋体" w:hint="eastAsia"/>
          <w:b/>
          <w:bCs/>
          <w:szCs w:val="21"/>
        </w:rPr>
        <w:sectPr w:rsidR="008B6556" w:rsidSect="008B6556">
          <w:pgSz w:w="16840" w:h="11905" w:orient="landscape"/>
          <w:pgMar w:top="1134" w:right="1440" w:bottom="1134" w:left="1440" w:header="851" w:footer="992" w:gutter="0"/>
          <w:cols w:space="720"/>
          <w:docGrid w:type="lines" w:linePitch="312"/>
        </w:sectPr>
      </w:pPr>
      <w:bookmarkStart w:id="411" w:name="_Toc989301"/>
    </w:p>
    <w:p w14:paraId="61EE300D" w14:textId="77777777" w:rsidR="00632E5B" w:rsidRDefault="00107901">
      <w:pPr>
        <w:keepNext/>
        <w:keepLines/>
        <w:spacing w:before="300" w:after="300" w:line="280" w:lineRule="exact"/>
        <w:outlineLvl w:val="3"/>
        <w:rPr>
          <w:rFonts w:ascii="宋体" w:eastAsia="宋体" w:hAnsi="宋体" w:cs="宋体" w:hint="eastAsia"/>
          <w:b/>
          <w:bCs/>
          <w:szCs w:val="21"/>
        </w:rPr>
      </w:pPr>
      <w:r>
        <w:rPr>
          <w:rFonts w:ascii="宋体" w:eastAsia="宋体" w:hAnsi="宋体" w:cs="宋体"/>
          <w:b/>
          <w:bCs/>
          <w:szCs w:val="21"/>
        </w:rPr>
        <w:lastRenderedPageBreak/>
        <w:t>（3） 其他说明</w:t>
      </w:r>
      <w:bookmarkEnd w:id="411"/>
    </w:p>
    <w:p w14:paraId="09B6567E" w14:textId="77777777" w:rsidR="00E72F0C" w:rsidRDefault="00107901">
      <w:pPr>
        <w:pStyle w:val="a3"/>
        <w:divId w:val="948660437"/>
        <w:rPr>
          <w:rFonts w:hint="eastAsia"/>
          <w:sz w:val="18"/>
          <w:szCs w:val="18"/>
        </w:rPr>
      </w:pPr>
      <w:r>
        <w:rPr>
          <w:rFonts w:hint="eastAsia"/>
          <w:sz w:val="18"/>
          <w:szCs w:val="18"/>
        </w:rPr>
        <w:t>  长期股权投资的减值测试情况：上海康速金属科技有限公司截止期末已经资不抵债，且2024年11月26日被列为失信被执行人，预计可收回金额为0。</w:t>
      </w:r>
    </w:p>
    <w:p w14:paraId="3320C53D" w14:textId="77777777" w:rsidR="00632E5B" w:rsidRDefault="00107901">
      <w:pPr>
        <w:pStyle w:val="3"/>
        <w:spacing w:line="280" w:lineRule="exact"/>
        <w:jc w:val="left"/>
        <w:rPr>
          <w:rFonts w:ascii="宋体" w:hAnsi="宋体" w:cs="宋体" w:hint="eastAsia"/>
          <w:b/>
          <w:bCs/>
        </w:rPr>
      </w:pPr>
      <w:bookmarkStart w:id="412" w:name="_Toc989302"/>
      <w:r>
        <w:rPr>
          <w:rFonts w:ascii="宋体" w:hAnsi="宋体" w:cs="宋体"/>
          <w:b/>
          <w:bCs/>
        </w:rPr>
        <w:t>4、营业收入和营业成本</w:t>
      </w:r>
      <w:bookmarkEnd w:id="412"/>
    </w:p>
    <w:p w14:paraId="0B3B881C"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927"/>
        <w:gridCol w:w="1928"/>
        <w:gridCol w:w="1928"/>
        <w:gridCol w:w="1928"/>
        <w:gridCol w:w="1928"/>
      </w:tblGrid>
      <w:tr w:rsidR="00632E5B" w14:paraId="40AFA7C0" w14:textId="77777777" w:rsidTr="00116534">
        <w:trPr>
          <w:trHeight w:val="240"/>
        </w:trPr>
        <w:tc>
          <w:tcPr>
            <w:tcW w:w="1928" w:type="dxa"/>
            <w:vMerge w:val="restart"/>
            <w:shd w:val="clear" w:color="auto" w:fill="FFFFFF" w:themeFill="background1"/>
            <w:vAlign w:val="center"/>
          </w:tcPr>
          <w:p w14:paraId="05E1509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856" w:type="dxa"/>
            <w:gridSpan w:val="2"/>
            <w:shd w:val="clear" w:color="auto" w:fill="FFFFFF" w:themeFill="background1"/>
            <w:vAlign w:val="center"/>
          </w:tcPr>
          <w:p w14:paraId="2FDCC5EF"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856" w:type="dxa"/>
            <w:gridSpan w:val="2"/>
            <w:shd w:val="clear" w:color="auto" w:fill="FFFFFF" w:themeFill="background1"/>
            <w:vAlign w:val="center"/>
          </w:tcPr>
          <w:p w14:paraId="43A233F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632E5B" w14:paraId="5259F545" w14:textId="77777777" w:rsidTr="00116534">
        <w:trPr>
          <w:trHeight w:val="240"/>
        </w:trPr>
        <w:tc>
          <w:tcPr>
            <w:tcW w:w="1928" w:type="dxa"/>
            <w:vMerge/>
            <w:shd w:val="clear" w:color="auto" w:fill="FFFFFF" w:themeFill="background1"/>
            <w:vAlign w:val="center"/>
          </w:tcPr>
          <w:p w14:paraId="2DC34C9D" w14:textId="77777777" w:rsidR="00632E5B" w:rsidRDefault="00632E5B"/>
        </w:tc>
        <w:tc>
          <w:tcPr>
            <w:tcW w:w="1928" w:type="dxa"/>
            <w:shd w:val="clear" w:color="auto" w:fill="FFFFFF" w:themeFill="background1"/>
            <w:vAlign w:val="center"/>
          </w:tcPr>
          <w:p w14:paraId="385EF109"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收入</w:t>
            </w:r>
          </w:p>
        </w:tc>
        <w:tc>
          <w:tcPr>
            <w:tcW w:w="1928" w:type="dxa"/>
            <w:shd w:val="clear" w:color="auto" w:fill="FFFFFF" w:themeFill="background1"/>
            <w:vAlign w:val="center"/>
          </w:tcPr>
          <w:p w14:paraId="2D51C37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成本</w:t>
            </w:r>
          </w:p>
        </w:tc>
        <w:tc>
          <w:tcPr>
            <w:tcW w:w="1928" w:type="dxa"/>
            <w:shd w:val="clear" w:color="auto" w:fill="FFFFFF" w:themeFill="background1"/>
            <w:vAlign w:val="center"/>
          </w:tcPr>
          <w:p w14:paraId="34C51E06"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收入</w:t>
            </w:r>
          </w:p>
        </w:tc>
        <w:tc>
          <w:tcPr>
            <w:tcW w:w="1928" w:type="dxa"/>
            <w:shd w:val="clear" w:color="auto" w:fill="FFFFFF" w:themeFill="background1"/>
            <w:vAlign w:val="center"/>
          </w:tcPr>
          <w:p w14:paraId="091DABF1"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成本</w:t>
            </w:r>
          </w:p>
        </w:tc>
      </w:tr>
      <w:tr w:rsidR="00632E5B" w14:paraId="38F0B3BE" w14:textId="77777777" w:rsidTr="00116534">
        <w:trPr>
          <w:trHeight w:val="240"/>
        </w:trPr>
        <w:tc>
          <w:tcPr>
            <w:tcW w:w="1928" w:type="dxa"/>
            <w:shd w:val="clear" w:color="auto" w:fill="FFFFFF" w:themeFill="background1"/>
            <w:vAlign w:val="center"/>
          </w:tcPr>
          <w:p w14:paraId="60234529"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主营业务</w:t>
            </w:r>
          </w:p>
        </w:tc>
        <w:tc>
          <w:tcPr>
            <w:tcW w:w="1928" w:type="dxa"/>
            <w:shd w:val="clear" w:color="auto" w:fill="FFFFFF" w:themeFill="background1"/>
            <w:vAlign w:val="center"/>
          </w:tcPr>
          <w:p w14:paraId="442121B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424,883,703.59</w:t>
            </w:r>
          </w:p>
        </w:tc>
        <w:tc>
          <w:tcPr>
            <w:tcW w:w="1928" w:type="dxa"/>
            <w:shd w:val="clear" w:color="auto" w:fill="FFFFFF" w:themeFill="background1"/>
            <w:vAlign w:val="center"/>
          </w:tcPr>
          <w:p w14:paraId="461751E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346,593,434.99</w:t>
            </w:r>
          </w:p>
        </w:tc>
        <w:tc>
          <w:tcPr>
            <w:tcW w:w="1928" w:type="dxa"/>
            <w:shd w:val="clear" w:color="auto" w:fill="FFFFFF" w:themeFill="background1"/>
            <w:vAlign w:val="center"/>
          </w:tcPr>
          <w:p w14:paraId="07AEF93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519,607,047.19</w:t>
            </w:r>
          </w:p>
        </w:tc>
        <w:tc>
          <w:tcPr>
            <w:tcW w:w="1928" w:type="dxa"/>
            <w:shd w:val="clear" w:color="auto" w:fill="FFFFFF" w:themeFill="background1"/>
            <w:vAlign w:val="center"/>
          </w:tcPr>
          <w:p w14:paraId="5E9C9AEF"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443,970,048.37</w:t>
            </w:r>
          </w:p>
        </w:tc>
      </w:tr>
      <w:tr w:rsidR="00632E5B" w14:paraId="2BE8844B" w14:textId="77777777" w:rsidTr="00116534">
        <w:trPr>
          <w:trHeight w:val="240"/>
        </w:trPr>
        <w:tc>
          <w:tcPr>
            <w:tcW w:w="1928" w:type="dxa"/>
            <w:shd w:val="clear" w:color="auto" w:fill="FFFFFF" w:themeFill="background1"/>
            <w:vAlign w:val="center"/>
          </w:tcPr>
          <w:p w14:paraId="052C4F9A"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其他业务</w:t>
            </w:r>
          </w:p>
        </w:tc>
        <w:tc>
          <w:tcPr>
            <w:tcW w:w="1928" w:type="dxa"/>
            <w:shd w:val="clear" w:color="auto" w:fill="FFFFFF" w:themeFill="background1"/>
            <w:vAlign w:val="center"/>
          </w:tcPr>
          <w:p w14:paraId="0FF676A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2,067,455.46</w:t>
            </w:r>
          </w:p>
        </w:tc>
        <w:tc>
          <w:tcPr>
            <w:tcW w:w="1928" w:type="dxa"/>
            <w:shd w:val="clear" w:color="auto" w:fill="FFFFFF" w:themeFill="background1"/>
            <w:vAlign w:val="center"/>
          </w:tcPr>
          <w:p w14:paraId="7D33995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1,209,298.69</w:t>
            </w:r>
          </w:p>
        </w:tc>
        <w:tc>
          <w:tcPr>
            <w:tcW w:w="1928" w:type="dxa"/>
            <w:shd w:val="clear" w:color="auto" w:fill="FFFFFF" w:themeFill="background1"/>
            <w:vAlign w:val="center"/>
          </w:tcPr>
          <w:p w14:paraId="3F8FB92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3,040,131.85</w:t>
            </w:r>
          </w:p>
        </w:tc>
        <w:tc>
          <w:tcPr>
            <w:tcW w:w="1928" w:type="dxa"/>
            <w:shd w:val="clear" w:color="auto" w:fill="FFFFFF" w:themeFill="background1"/>
            <w:vAlign w:val="center"/>
          </w:tcPr>
          <w:p w14:paraId="07BE55A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969,724.13</w:t>
            </w:r>
          </w:p>
        </w:tc>
      </w:tr>
      <w:tr w:rsidR="00632E5B" w14:paraId="66184FBF" w14:textId="77777777" w:rsidTr="00116534">
        <w:trPr>
          <w:trHeight w:val="240"/>
        </w:trPr>
        <w:tc>
          <w:tcPr>
            <w:tcW w:w="1928" w:type="dxa"/>
            <w:shd w:val="clear" w:color="auto" w:fill="FFFFFF" w:themeFill="background1"/>
            <w:vAlign w:val="center"/>
          </w:tcPr>
          <w:p w14:paraId="1227F390"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shd w:val="clear" w:color="auto" w:fill="FFFFFF" w:themeFill="background1"/>
            <w:vAlign w:val="center"/>
          </w:tcPr>
          <w:p w14:paraId="21B78546"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426,951,159.05</w:t>
            </w:r>
          </w:p>
        </w:tc>
        <w:tc>
          <w:tcPr>
            <w:tcW w:w="1928" w:type="dxa"/>
            <w:shd w:val="clear" w:color="auto" w:fill="FFFFFF" w:themeFill="background1"/>
            <w:vAlign w:val="center"/>
          </w:tcPr>
          <w:p w14:paraId="18809D7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347,802,733.68</w:t>
            </w:r>
          </w:p>
        </w:tc>
        <w:tc>
          <w:tcPr>
            <w:tcW w:w="1928" w:type="dxa"/>
            <w:shd w:val="clear" w:color="auto" w:fill="FFFFFF" w:themeFill="background1"/>
            <w:vAlign w:val="center"/>
          </w:tcPr>
          <w:p w14:paraId="1926435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522,647,179.04</w:t>
            </w:r>
          </w:p>
        </w:tc>
        <w:tc>
          <w:tcPr>
            <w:tcW w:w="1928" w:type="dxa"/>
            <w:shd w:val="clear" w:color="auto" w:fill="FFFFFF" w:themeFill="background1"/>
            <w:vAlign w:val="center"/>
          </w:tcPr>
          <w:p w14:paraId="6BF30BC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444,939,772.50</w:t>
            </w:r>
          </w:p>
        </w:tc>
      </w:tr>
    </w:tbl>
    <w:p w14:paraId="4DB84CE5"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营业收入、营业成本的分解信息：</w:t>
      </w:r>
    </w:p>
    <w:p w14:paraId="326AC65B"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507"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901"/>
        <w:gridCol w:w="1901"/>
        <w:gridCol w:w="1902"/>
        <w:gridCol w:w="1901"/>
        <w:gridCol w:w="1902"/>
      </w:tblGrid>
      <w:tr w:rsidR="00B70AD7" w:rsidRPr="00B70AD7" w14:paraId="7EFDFCEB" w14:textId="77777777" w:rsidTr="00116534">
        <w:trPr>
          <w:trHeight w:val="240"/>
        </w:trPr>
        <w:tc>
          <w:tcPr>
            <w:tcW w:w="1901" w:type="dxa"/>
            <w:vMerge w:val="restart"/>
            <w:shd w:val="clear" w:color="auto" w:fill="FFFFFF" w:themeFill="background1"/>
            <w:vAlign w:val="center"/>
          </w:tcPr>
          <w:p w14:paraId="24622926" w14:textId="77777777" w:rsidR="00B70AD7" w:rsidRPr="00B70AD7" w:rsidRDefault="00B70AD7" w:rsidP="00B70AD7">
            <w:pPr>
              <w:spacing w:before="40" w:after="40" w:line="240" w:lineRule="exact"/>
              <w:jc w:val="center"/>
              <w:rPr>
                <w:rFonts w:ascii="宋体" w:eastAsia="宋体" w:hAnsi="宋体" w:cs="宋体" w:hint="eastAsia"/>
                <w:sz w:val="18"/>
                <w:szCs w:val="18"/>
              </w:rPr>
            </w:pPr>
            <w:r w:rsidRPr="00B70AD7">
              <w:rPr>
                <w:rFonts w:ascii="宋体" w:eastAsia="宋体" w:hAnsi="宋体" w:cs="宋体"/>
                <w:sz w:val="18"/>
                <w:szCs w:val="18"/>
              </w:rPr>
              <w:t>合同分类</w:t>
            </w:r>
          </w:p>
        </w:tc>
        <w:tc>
          <w:tcPr>
            <w:tcW w:w="3803" w:type="dxa"/>
            <w:gridSpan w:val="2"/>
            <w:shd w:val="clear" w:color="auto" w:fill="FFFFFF" w:themeFill="background1"/>
            <w:vAlign w:val="center"/>
          </w:tcPr>
          <w:p w14:paraId="64D14D5A" w14:textId="77777777" w:rsidR="00B70AD7" w:rsidRPr="00B70AD7" w:rsidRDefault="00B70AD7" w:rsidP="00B70AD7">
            <w:pPr>
              <w:spacing w:before="40" w:after="40" w:line="240" w:lineRule="exact"/>
              <w:jc w:val="center"/>
              <w:rPr>
                <w:rFonts w:ascii="宋体" w:eastAsia="宋体" w:hAnsi="宋体" w:cs="宋体" w:hint="eastAsia"/>
                <w:sz w:val="18"/>
                <w:szCs w:val="18"/>
              </w:rPr>
            </w:pPr>
            <w:r w:rsidRPr="00B70AD7">
              <w:rPr>
                <w:rFonts w:ascii="宋体" w:eastAsia="宋体" w:hAnsi="宋体" w:cs="宋体"/>
                <w:sz w:val="18"/>
                <w:szCs w:val="18"/>
              </w:rPr>
              <w:t>分部1</w:t>
            </w:r>
          </w:p>
        </w:tc>
        <w:tc>
          <w:tcPr>
            <w:tcW w:w="3803" w:type="dxa"/>
            <w:gridSpan w:val="2"/>
            <w:shd w:val="clear" w:color="auto" w:fill="FFFFFF" w:themeFill="background1"/>
            <w:vAlign w:val="center"/>
          </w:tcPr>
          <w:p w14:paraId="4C915886" w14:textId="77777777" w:rsidR="00B70AD7" w:rsidRPr="00B70AD7" w:rsidRDefault="00B70AD7" w:rsidP="00B70AD7">
            <w:pPr>
              <w:spacing w:before="40" w:after="40" w:line="240" w:lineRule="exact"/>
              <w:jc w:val="center"/>
              <w:rPr>
                <w:rFonts w:ascii="宋体" w:eastAsia="宋体" w:hAnsi="宋体" w:cs="宋体" w:hint="eastAsia"/>
                <w:sz w:val="18"/>
                <w:szCs w:val="18"/>
              </w:rPr>
            </w:pPr>
            <w:r w:rsidRPr="00B70AD7">
              <w:rPr>
                <w:rFonts w:ascii="宋体" w:eastAsia="宋体" w:hAnsi="宋体" w:cs="宋体"/>
                <w:sz w:val="18"/>
                <w:szCs w:val="18"/>
              </w:rPr>
              <w:t>合计</w:t>
            </w:r>
          </w:p>
        </w:tc>
      </w:tr>
      <w:tr w:rsidR="00B70AD7" w:rsidRPr="00B70AD7" w14:paraId="682D30FC" w14:textId="77777777" w:rsidTr="00116534">
        <w:trPr>
          <w:trHeight w:val="240"/>
        </w:trPr>
        <w:tc>
          <w:tcPr>
            <w:tcW w:w="1901" w:type="dxa"/>
            <w:vMerge/>
            <w:shd w:val="clear" w:color="auto" w:fill="FFFFFF" w:themeFill="background1"/>
            <w:vAlign w:val="center"/>
          </w:tcPr>
          <w:p w14:paraId="70DCC751" w14:textId="77777777" w:rsidR="00B70AD7" w:rsidRPr="00B70AD7" w:rsidRDefault="00B70AD7" w:rsidP="00B70AD7"/>
        </w:tc>
        <w:tc>
          <w:tcPr>
            <w:tcW w:w="1901" w:type="dxa"/>
            <w:shd w:val="clear" w:color="auto" w:fill="FFFFFF" w:themeFill="background1"/>
            <w:vAlign w:val="center"/>
          </w:tcPr>
          <w:p w14:paraId="60D769AE" w14:textId="77777777" w:rsidR="00B70AD7" w:rsidRPr="00B70AD7" w:rsidRDefault="00B70AD7" w:rsidP="00B70AD7">
            <w:pPr>
              <w:spacing w:before="40" w:after="40" w:line="240" w:lineRule="exact"/>
              <w:jc w:val="center"/>
              <w:rPr>
                <w:rFonts w:ascii="宋体" w:eastAsia="宋体" w:hAnsi="宋体" w:cs="宋体" w:hint="eastAsia"/>
                <w:sz w:val="18"/>
                <w:szCs w:val="18"/>
              </w:rPr>
            </w:pPr>
            <w:r w:rsidRPr="00B70AD7">
              <w:rPr>
                <w:rFonts w:ascii="宋体" w:eastAsia="宋体" w:hAnsi="宋体" w:cs="宋体"/>
                <w:sz w:val="18"/>
                <w:szCs w:val="18"/>
              </w:rPr>
              <w:t>营业收入</w:t>
            </w:r>
          </w:p>
        </w:tc>
        <w:tc>
          <w:tcPr>
            <w:tcW w:w="1901" w:type="dxa"/>
            <w:shd w:val="clear" w:color="auto" w:fill="FFFFFF" w:themeFill="background1"/>
            <w:vAlign w:val="center"/>
          </w:tcPr>
          <w:p w14:paraId="42FE30C5" w14:textId="77777777" w:rsidR="00B70AD7" w:rsidRPr="00B70AD7" w:rsidRDefault="00B70AD7" w:rsidP="00B70AD7">
            <w:pPr>
              <w:spacing w:before="40" w:after="40" w:line="240" w:lineRule="exact"/>
              <w:jc w:val="center"/>
              <w:rPr>
                <w:rFonts w:ascii="宋体" w:eastAsia="宋体" w:hAnsi="宋体" w:cs="宋体" w:hint="eastAsia"/>
                <w:sz w:val="18"/>
                <w:szCs w:val="18"/>
              </w:rPr>
            </w:pPr>
            <w:r w:rsidRPr="00B70AD7">
              <w:rPr>
                <w:rFonts w:ascii="宋体" w:eastAsia="宋体" w:hAnsi="宋体" w:cs="宋体"/>
                <w:sz w:val="18"/>
                <w:szCs w:val="18"/>
              </w:rPr>
              <w:t>营业成本</w:t>
            </w:r>
          </w:p>
        </w:tc>
        <w:tc>
          <w:tcPr>
            <w:tcW w:w="1901" w:type="dxa"/>
            <w:shd w:val="clear" w:color="auto" w:fill="FFFFFF" w:themeFill="background1"/>
            <w:vAlign w:val="center"/>
          </w:tcPr>
          <w:p w14:paraId="2CA1D95F" w14:textId="77777777" w:rsidR="00B70AD7" w:rsidRPr="00B70AD7" w:rsidRDefault="00B70AD7" w:rsidP="00B70AD7">
            <w:pPr>
              <w:spacing w:before="40" w:after="40" w:line="240" w:lineRule="exact"/>
              <w:jc w:val="center"/>
              <w:rPr>
                <w:rFonts w:ascii="宋体" w:eastAsia="宋体" w:hAnsi="宋体" w:cs="宋体" w:hint="eastAsia"/>
                <w:sz w:val="18"/>
                <w:szCs w:val="18"/>
              </w:rPr>
            </w:pPr>
            <w:r w:rsidRPr="00B70AD7">
              <w:rPr>
                <w:rFonts w:ascii="宋体" w:eastAsia="宋体" w:hAnsi="宋体" w:cs="宋体"/>
                <w:sz w:val="18"/>
                <w:szCs w:val="18"/>
              </w:rPr>
              <w:t>营业收入</w:t>
            </w:r>
          </w:p>
        </w:tc>
        <w:tc>
          <w:tcPr>
            <w:tcW w:w="1901" w:type="dxa"/>
            <w:shd w:val="clear" w:color="auto" w:fill="FFFFFF" w:themeFill="background1"/>
            <w:vAlign w:val="center"/>
          </w:tcPr>
          <w:p w14:paraId="581CE940" w14:textId="77777777" w:rsidR="00B70AD7" w:rsidRPr="00B70AD7" w:rsidRDefault="00B70AD7" w:rsidP="00B70AD7">
            <w:pPr>
              <w:spacing w:before="40" w:after="40" w:line="240" w:lineRule="exact"/>
              <w:jc w:val="center"/>
              <w:rPr>
                <w:rFonts w:ascii="宋体" w:eastAsia="宋体" w:hAnsi="宋体" w:cs="宋体" w:hint="eastAsia"/>
                <w:sz w:val="18"/>
                <w:szCs w:val="18"/>
              </w:rPr>
            </w:pPr>
            <w:r w:rsidRPr="00B70AD7">
              <w:rPr>
                <w:rFonts w:ascii="宋体" w:eastAsia="宋体" w:hAnsi="宋体" w:cs="宋体"/>
                <w:sz w:val="18"/>
                <w:szCs w:val="18"/>
              </w:rPr>
              <w:t>营业成本</w:t>
            </w:r>
          </w:p>
        </w:tc>
      </w:tr>
      <w:tr w:rsidR="00B70AD7" w:rsidRPr="00B70AD7" w14:paraId="507FCD55" w14:textId="77777777" w:rsidTr="00116534">
        <w:trPr>
          <w:trHeight w:val="240"/>
        </w:trPr>
        <w:tc>
          <w:tcPr>
            <w:tcW w:w="1901" w:type="dxa"/>
            <w:shd w:val="clear" w:color="auto" w:fill="FFFFFF" w:themeFill="background1"/>
            <w:vAlign w:val="center"/>
          </w:tcPr>
          <w:p w14:paraId="28BD339A" w14:textId="77777777" w:rsidR="00B70AD7" w:rsidRPr="00B70AD7" w:rsidRDefault="00B70AD7" w:rsidP="00B70AD7">
            <w:pPr>
              <w:spacing w:before="40" w:after="40" w:line="240" w:lineRule="exact"/>
              <w:rPr>
                <w:rFonts w:ascii="宋体" w:eastAsia="宋体" w:hAnsi="宋体" w:cs="宋体" w:hint="eastAsia"/>
                <w:sz w:val="18"/>
                <w:szCs w:val="18"/>
              </w:rPr>
            </w:pPr>
            <w:r w:rsidRPr="00B70AD7">
              <w:rPr>
                <w:rFonts w:ascii="宋体" w:eastAsia="宋体" w:hAnsi="宋体" w:cs="宋体"/>
                <w:sz w:val="18"/>
                <w:szCs w:val="18"/>
              </w:rPr>
              <w:t>业务类型</w:t>
            </w:r>
          </w:p>
        </w:tc>
        <w:tc>
          <w:tcPr>
            <w:tcW w:w="1901" w:type="dxa"/>
            <w:shd w:val="clear" w:color="auto" w:fill="FFFFFF" w:themeFill="background1"/>
            <w:vAlign w:val="center"/>
          </w:tcPr>
          <w:p w14:paraId="7D715EAD" w14:textId="77777777" w:rsidR="00B70AD7" w:rsidRPr="00B70AD7" w:rsidRDefault="00B70AD7" w:rsidP="00B70AD7">
            <w:pPr>
              <w:spacing w:line="240" w:lineRule="exact"/>
              <w:jc w:val="right"/>
              <w:rPr>
                <w:rFonts w:ascii="宋体" w:eastAsia="宋体" w:hAnsi="宋体" w:cs="宋体" w:hint="eastAsia"/>
                <w:sz w:val="18"/>
                <w:szCs w:val="18"/>
              </w:rPr>
            </w:pPr>
            <w:r w:rsidRPr="00B70AD7">
              <w:rPr>
                <w:rFonts w:ascii="宋体" w:eastAsia="宋体" w:hAnsi="宋体" w:cs="宋体"/>
                <w:sz w:val="18"/>
                <w:szCs w:val="18"/>
              </w:rPr>
              <w:t>426,951,159.05</w:t>
            </w:r>
          </w:p>
        </w:tc>
        <w:tc>
          <w:tcPr>
            <w:tcW w:w="1901" w:type="dxa"/>
            <w:shd w:val="clear" w:color="auto" w:fill="FFFFFF" w:themeFill="background1"/>
            <w:vAlign w:val="center"/>
          </w:tcPr>
          <w:p w14:paraId="014A1AD9" w14:textId="77777777" w:rsidR="00B70AD7" w:rsidRPr="00B70AD7" w:rsidRDefault="00B70AD7" w:rsidP="00B70AD7">
            <w:pPr>
              <w:spacing w:line="240" w:lineRule="exact"/>
              <w:jc w:val="right"/>
              <w:rPr>
                <w:rFonts w:ascii="宋体" w:eastAsia="宋体" w:hAnsi="宋体" w:cs="宋体" w:hint="eastAsia"/>
                <w:sz w:val="18"/>
                <w:szCs w:val="18"/>
              </w:rPr>
            </w:pPr>
            <w:r w:rsidRPr="00B70AD7">
              <w:rPr>
                <w:rFonts w:ascii="宋体" w:eastAsia="宋体" w:hAnsi="宋体" w:cs="宋体"/>
                <w:sz w:val="18"/>
                <w:szCs w:val="18"/>
              </w:rPr>
              <w:t>347,802,733.68</w:t>
            </w:r>
          </w:p>
        </w:tc>
        <w:tc>
          <w:tcPr>
            <w:tcW w:w="1901" w:type="dxa"/>
            <w:shd w:val="clear" w:color="auto" w:fill="FFFFFF" w:themeFill="background1"/>
            <w:vAlign w:val="center"/>
          </w:tcPr>
          <w:p w14:paraId="12F49E06" w14:textId="77777777" w:rsidR="00B70AD7" w:rsidRPr="00B70AD7" w:rsidRDefault="00B70AD7" w:rsidP="00B70AD7">
            <w:pPr>
              <w:spacing w:line="240" w:lineRule="exact"/>
              <w:jc w:val="right"/>
              <w:rPr>
                <w:rFonts w:ascii="宋体" w:eastAsia="宋体" w:hAnsi="宋体" w:cs="宋体" w:hint="eastAsia"/>
                <w:sz w:val="18"/>
                <w:szCs w:val="18"/>
              </w:rPr>
            </w:pPr>
            <w:r w:rsidRPr="00B70AD7">
              <w:rPr>
                <w:rFonts w:ascii="宋体" w:eastAsia="宋体" w:hAnsi="宋体" w:cs="宋体"/>
                <w:sz w:val="18"/>
                <w:szCs w:val="18"/>
              </w:rPr>
              <w:t>426,951,159.05</w:t>
            </w:r>
          </w:p>
        </w:tc>
        <w:tc>
          <w:tcPr>
            <w:tcW w:w="1901" w:type="dxa"/>
            <w:shd w:val="clear" w:color="auto" w:fill="FFFFFF" w:themeFill="background1"/>
            <w:vAlign w:val="center"/>
          </w:tcPr>
          <w:p w14:paraId="4D5EFF95" w14:textId="77777777" w:rsidR="00B70AD7" w:rsidRPr="00B70AD7" w:rsidRDefault="00B70AD7" w:rsidP="00B70AD7">
            <w:pPr>
              <w:spacing w:line="240" w:lineRule="exact"/>
              <w:jc w:val="right"/>
              <w:rPr>
                <w:rFonts w:ascii="宋体" w:eastAsia="宋体" w:hAnsi="宋体" w:cs="宋体" w:hint="eastAsia"/>
                <w:sz w:val="18"/>
                <w:szCs w:val="18"/>
              </w:rPr>
            </w:pPr>
            <w:r w:rsidRPr="00B70AD7">
              <w:rPr>
                <w:rFonts w:ascii="宋体" w:eastAsia="宋体" w:hAnsi="宋体" w:cs="宋体"/>
                <w:sz w:val="18"/>
                <w:szCs w:val="18"/>
              </w:rPr>
              <w:t>347,802,733.68</w:t>
            </w:r>
          </w:p>
        </w:tc>
      </w:tr>
      <w:tr w:rsidR="00B70AD7" w:rsidRPr="00B70AD7" w14:paraId="65B78A4C" w14:textId="77777777" w:rsidTr="00116534">
        <w:trPr>
          <w:trHeight w:val="240"/>
        </w:trPr>
        <w:tc>
          <w:tcPr>
            <w:tcW w:w="1901" w:type="dxa"/>
            <w:shd w:val="clear" w:color="auto" w:fill="FFFFFF" w:themeFill="background1"/>
            <w:vAlign w:val="center"/>
          </w:tcPr>
          <w:p w14:paraId="51F52213" w14:textId="77777777" w:rsidR="00B70AD7" w:rsidRPr="00B70AD7" w:rsidRDefault="00B70AD7" w:rsidP="00B70AD7">
            <w:pPr>
              <w:spacing w:before="40" w:after="40" w:line="240" w:lineRule="exact"/>
              <w:rPr>
                <w:rFonts w:ascii="宋体" w:eastAsia="宋体" w:hAnsi="宋体" w:cs="宋体" w:hint="eastAsia"/>
                <w:sz w:val="18"/>
                <w:szCs w:val="18"/>
              </w:rPr>
            </w:pPr>
            <w:r w:rsidRPr="00B70AD7">
              <w:rPr>
                <w:rFonts w:ascii="宋体" w:eastAsia="宋体" w:hAnsi="宋体" w:cs="宋体"/>
                <w:sz w:val="18"/>
                <w:szCs w:val="18"/>
              </w:rPr>
              <w:t xml:space="preserve">　其中：</w:t>
            </w:r>
          </w:p>
        </w:tc>
        <w:tc>
          <w:tcPr>
            <w:tcW w:w="1901" w:type="dxa"/>
            <w:shd w:val="clear" w:color="auto" w:fill="FFFFFF" w:themeFill="background1"/>
            <w:vAlign w:val="center"/>
          </w:tcPr>
          <w:p w14:paraId="442917D5" w14:textId="77777777" w:rsidR="00B70AD7" w:rsidRPr="00B70AD7" w:rsidRDefault="00B70AD7" w:rsidP="00B70AD7"/>
        </w:tc>
        <w:tc>
          <w:tcPr>
            <w:tcW w:w="1901" w:type="dxa"/>
            <w:shd w:val="clear" w:color="auto" w:fill="FFFFFF" w:themeFill="background1"/>
            <w:vAlign w:val="center"/>
          </w:tcPr>
          <w:p w14:paraId="7784138D" w14:textId="77777777" w:rsidR="00B70AD7" w:rsidRPr="00B70AD7" w:rsidRDefault="00B70AD7" w:rsidP="00B70AD7"/>
        </w:tc>
        <w:tc>
          <w:tcPr>
            <w:tcW w:w="1901" w:type="dxa"/>
            <w:shd w:val="clear" w:color="auto" w:fill="FFFFFF" w:themeFill="background1"/>
            <w:vAlign w:val="center"/>
          </w:tcPr>
          <w:p w14:paraId="20EF0BE0" w14:textId="77777777" w:rsidR="00B70AD7" w:rsidRPr="00B70AD7" w:rsidRDefault="00B70AD7" w:rsidP="00B70AD7"/>
        </w:tc>
        <w:tc>
          <w:tcPr>
            <w:tcW w:w="1901" w:type="dxa"/>
            <w:shd w:val="clear" w:color="auto" w:fill="FFFFFF" w:themeFill="background1"/>
            <w:vAlign w:val="center"/>
          </w:tcPr>
          <w:p w14:paraId="0DA74966" w14:textId="77777777" w:rsidR="00B70AD7" w:rsidRPr="00B70AD7" w:rsidRDefault="00B70AD7" w:rsidP="00B70AD7"/>
        </w:tc>
      </w:tr>
      <w:tr w:rsidR="00B70AD7" w:rsidRPr="00B70AD7" w14:paraId="2021009A" w14:textId="77777777" w:rsidTr="00116534">
        <w:trPr>
          <w:trHeight w:val="240"/>
        </w:trPr>
        <w:tc>
          <w:tcPr>
            <w:tcW w:w="1901" w:type="dxa"/>
            <w:shd w:val="clear" w:color="auto" w:fill="FFFFFF" w:themeFill="background1"/>
            <w:vAlign w:val="center"/>
          </w:tcPr>
          <w:p w14:paraId="4D4160F2" w14:textId="77777777" w:rsidR="00B70AD7" w:rsidRPr="00B70AD7" w:rsidRDefault="00B70AD7" w:rsidP="00B70AD7">
            <w:pPr>
              <w:spacing w:line="240" w:lineRule="exact"/>
              <w:rPr>
                <w:rFonts w:ascii="宋体" w:eastAsia="宋体" w:hAnsi="宋体" w:cs="宋体" w:hint="eastAsia"/>
                <w:sz w:val="18"/>
                <w:szCs w:val="18"/>
              </w:rPr>
            </w:pPr>
            <w:r w:rsidRPr="00B70AD7">
              <w:rPr>
                <w:rFonts w:ascii="宋体" w:eastAsia="宋体" w:hAnsi="宋体" w:cs="宋体"/>
                <w:sz w:val="18"/>
                <w:szCs w:val="18"/>
              </w:rPr>
              <w:t>电缆及光缆</w:t>
            </w:r>
          </w:p>
        </w:tc>
        <w:tc>
          <w:tcPr>
            <w:tcW w:w="1901" w:type="dxa"/>
            <w:shd w:val="clear" w:color="auto" w:fill="FFFFFF" w:themeFill="background1"/>
            <w:vAlign w:val="center"/>
          </w:tcPr>
          <w:p w14:paraId="60310DDC" w14:textId="77777777" w:rsidR="00B70AD7" w:rsidRPr="00B70AD7" w:rsidRDefault="00B70AD7" w:rsidP="00B70AD7">
            <w:pPr>
              <w:spacing w:line="240" w:lineRule="exact"/>
              <w:jc w:val="right"/>
              <w:rPr>
                <w:rFonts w:ascii="宋体" w:eastAsia="宋体" w:hAnsi="宋体" w:cs="宋体" w:hint="eastAsia"/>
                <w:sz w:val="18"/>
                <w:szCs w:val="18"/>
              </w:rPr>
            </w:pPr>
            <w:r w:rsidRPr="00B70AD7">
              <w:rPr>
                <w:rFonts w:ascii="宋体" w:eastAsia="宋体" w:hAnsi="宋体" w:cs="宋体"/>
                <w:sz w:val="18"/>
                <w:szCs w:val="18"/>
              </w:rPr>
              <w:t>424,883,703.59</w:t>
            </w:r>
          </w:p>
        </w:tc>
        <w:tc>
          <w:tcPr>
            <w:tcW w:w="1901" w:type="dxa"/>
            <w:shd w:val="clear" w:color="auto" w:fill="FFFFFF" w:themeFill="background1"/>
            <w:vAlign w:val="center"/>
          </w:tcPr>
          <w:p w14:paraId="54EDAAFB" w14:textId="77777777" w:rsidR="00B70AD7" w:rsidRPr="00B70AD7" w:rsidRDefault="00B70AD7" w:rsidP="00B70AD7">
            <w:pPr>
              <w:spacing w:line="240" w:lineRule="exact"/>
              <w:jc w:val="right"/>
              <w:rPr>
                <w:rFonts w:ascii="宋体" w:eastAsia="宋体" w:hAnsi="宋体" w:cs="宋体" w:hint="eastAsia"/>
                <w:sz w:val="18"/>
                <w:szCs w:val="18"/>
              </w:rPr>
            </w:pPr>
            <w:r w:rsidRPr="00B70AD7">
              <w:rPr>
                <w:rFonts w:ascii="宋体" w:eastAsia="宋体" w:hAnsi="宋体" w:cs="宋体"/>
                <w:sz w:val="18"/>
                <w:szCs w:val="18"/>
              </w:rPr>
              <w:t>346,593,434.99</w:t>
            </w:r>
          </w:p>
        </w:tc>
        <w:tc>
          <w:tcPr>
            <w:tcW w:w="1901" w:type="dxa"/>
            <w:shd w:val="clear" w:color="auto" w:fill="FFFFFF" w:themeFill="background1"/>
            <w:vAlign w:val="center"/>
          </w:tcPr>
          <w:p w14:paraId="3CC534E7" w14:textId="77777777" w:rsidR="00B70AD7" w:rsidRPr="00B70AD7" w:rsidRDefault="00B70AD7" w:rsidP="00B70AD7">
            <w:pPr>
              <w:spacing w:line="240" w:lineRule="exact"/>
              <w:jc w:val="right"/>
              <w:rPr>
                <w:rFonts w:ascii="宋体" w:eastAsia="宋体" w:hAnsi="宋体" w:cs="宋体" w:hint="eastAsia"/>
                <w:sz w:val="18"/>
                <w:szCs w:val="18"/>
              </w:rPr>
            </w:pPr>
            <w:r w:rsidRPr="00B70AD7">
              <w:rPr>
                <w:rFonts w:ascii="宋体" w:eastAsia="宋体" w:hAnsi="宋体" w:cs="宋体"/>
                <w:sz w:val="18"/>
                <w:szCs w:val="18"/>
              </w:rPr>
              <w:t>424,883,703.59</w:t>
            </w:r>
          </w:p>
        </w:tc>
        <w:tc>
          <w:tcPr>
            <w:tcW w:w="1901" w:type="dxa"/>
            <w:shd w:val="clear" w:color="auto" w:fill="FFFFFF" w:themeFill="background1"/>
            <w:vAlign w:val="center"/>
          </w:tcPr>
          <w:p w14:paraId="748B53F6" w14:textId="77777777" w:rsidR="00B70AD7" w:rsidRPr="00B70AD7" w:rsidRDefault="00B70AD7" w:rsidP="00B70AD7">
            <w:pPr>
              <w:spacing w:line="240" w:lineRule="exact"/>
              <w:jc w:val="right"/>
              <w:rPr>
                <w:rFonts w:ascii="宋体" w:eastAsia="宋体" w:hAnsi="宋体" w:cs="宋体" w:hint="eastAsia"/>
                <w:sz w:val="18"/>
                <w:szCs w:val="18"/>
              </w:rPr>
            </w:pPr>
            <w:r w:rsidRPr="00B70AD7">
              <w:rPr>
                <w:rFonts w:ascii="宋体" w:eastAsia="宋体" w:hAnsi="宋体" w:cs="宋体"/>
                <w:sz w:val="18"/>
                <w:szCs w:val="18"/>
              </w:rPr>
              <w:t>346,593,434.99</w:t>
            </w:r>
          </w:p>
        </w:tc>
      </w:tr>
      <w:tr w:rsidR="00B70AD7" w:rsidRPr="00B70AD7" w14:paraId="701DD821" w14:textId="77777777" w:rsidTr="00116534">
        <w:trPr>
          <w:trHeight w:val="240"/>
        </w:trPr>
        <w:tc>
          <w:tcPr>
            <w:tcW w:w="1901" w:type="dxa"/>
            <w:shd w:val="clear" w:color="auto" w:fill="FFFFFF" w:themeFill="background1"/>
            <w:vAlign w:val="center"/>
          </w:tcPr>
          <w:p w14:paraId="2D20CDB7" w14:textId="77777777" w:rsidR="00B70AD7" w:rsidRPr="00B70AD7" w:rsidRDefault="00B70AD7" w:rsidP="00B70AD7">
            <w:pPr>
              <w:spacing w:line="240" w:lineRule="exact"/>
              <w:rPr>
                <w:rFonts w:ascii="宋体" w:eastAsia="宋体" w:hAnsi="宋体" w:cs="宋体" w:hint="eastAsia"/>
                <w:sz w:val="18"/>
                <w:szCs w:val="18"/>
              </w:rPr>
            </w:pPr>
            <w:r w:rsidRPr="00B70AD7">
              <w:rPr>
                <w:rFonts w:ascii="宋体" w:eastAsia="宋体" w:hAnsi="宋体" w:cs="宋体"/>
                <w:sz w:val="18"/>
                <w:szCs w:val="18"/>
              </w:rPr>
              <w:t>其他</w:t>
            </w:r>
          </w:p>
        </w:tc>
        <w:tc>
          <w:tcPr>
            <w:tcW w:w="1901" w:type="dxa"/>
            <w:shd w:val="clear" w:color="auto" w:fill="FFFFFF" w:themeFill="background1"/>
            <w:vAlign w:val="center"/>
          </w:tcPr>
          <w:p w14:paraId="5E80C10B" w14:textId="77777777" w:rsidR="00B70AD7" w:rsidRPr="00B70AD7" w:rsidRDefault="00B70AD7" w:rsidP="00B70AD7">
            <w:pPr>
              <w:spacing w:line="240" w:lineRule="exact"/>
              <w:jc w:val="right"/>
              <w:rPr>
                <w:rFonts w:ascii="宋体" w:eastAsia="宋体" w:hAnsi="宋体" w:cs="宋体" w:hint="eastAsia"/>
                <w:sz w:val="18"/>
                <w:szCs w:val="18"/>
              </w:rPr>
            </w:pPr>
            <w:r w:rsidRPr="00B70AD7">
              <w:rPr>
                <w:rFonts w:ascii="宋体" w:eastAsia="宋体" w:hAnsi="宋体" w:cs="宋体"/>
                <w:sz w:val="18"/>
                <w:szCs w:val="18"/>
              </w:rPr>
              <w:t>2,067,455.46</w:t>
            </w:r>
          </w:p>
        </w:tc>
        <w:tc>
          <w:tcPr>
            <w:tcW w:w="1901" w:type="dxa"/>
            <w:shd w:val="clear" w:color="auto" w:fill="FFFFFF" w:themeFill="background1"/>
            <w:vAlign w:val="center"/>
          </w:tcPr>
          <w:p w14:paraId="0C7A9B7D" w14:textId="77777777" w:rsidR="00B70AD7" w:rsidRPr="00B70AD7" w:rsidRDefault="00B70AD7" w:rsidP="00B70AD7">
            <w:pPr>
              <w:spacing w:line="240" w:lineRule="exact"/>
              <w:jc w:val="right"/>
              <w:rPr>
                <w:rFonts w:ascii="宋体" w:eastAsia="宋体" w:hAnsi="宋体" w:cs="宋体" w:hint="eastAsia"/>
                <w:sz w:val="18"/>
                <w:szCs w:val="18"/>
              </w:rPr>
            </w:pPr>
            <w:r w:rsidRPr="00B70AD7">
              <w:rPr>
                <w:rFonts w:ascii="宋体" w:eastAsia="宋体" w:hAnsi="宋体" w:cs="宋体"/>
                <w:sz w:val="18"/>
                <w:szCs w:val="18"/>
              </w:rPr>
              <w:t>1,209,298.69</w:t>
            </w:r>
          </w:p>
        </w:tc>
        <w:tc>
          <w:tcPr>
            <w:tcW w:w="1901" w:type="dxa"/>
            <w:shd w:val="clear" w:color="auto" w:fill="FFFFFF" w:themeFill="background1"/>
            <w:vAlign w:val="center"/>
          </w:tcPr>
          <w:p w14:paraId="56ABD1BE" w14:textId="77777777" w:rsidR="00B70AD7" w:rsidRPr="00B70AD7" w:rsidRDefault="00B70AD7" w:rsidP="00B70AD7">
            <w:pPr>
              <w:spacing w:line="240" w:lineRule="exact"/>
              <w:jc w:val="right"/>
              <w:rPr>
                <w:rFonts w:ascii="宋体" w:eastAsia="宋体" w:hAnsi="宋体" w:cs="宋体" w:hint="eastAsia"/>
                <w:sz w:val="18"/>
                <w:szCs w:val="18"/>
              </w:rPr>
            </w:pPr>
            <w:r w:rsidRPr="00B70AD7">
              <w:rPr>
                <w:rFonts w:ascii="宋体" w:eastAsia="宋体" w:hAnsi="宋体" w:cs="宋体"/>
                <w:sz w:val="18"/>
                <w:szCs w:val="18"/>
              </w:rPr>
              <w:t>2,067,455.46</w:t>
            </w:r>
          </w:p>
        </w:tc>
        <w:tc>
          <w:tcPr>
            <w:tcW w:w="1901" w:type="dxa"/>
            <w:shd w:val="clear" w:color="auto" w:fill="FFFFFF" w:themeFill="background1"/>
            <w:vAlign w:val="center"/>
          </w:tcPr>
          <w:p w14:paraId="189A3CDE" w14:textId="77777777" w:rsidR="00B70AD7" w:rsidRPr="00B70AD7" w:rsidRDefault="00B70AD7" w:rsidP="00B70AD7">
            <w:pPr>
              <w:spacing w:line="240" w:lineRule="exact"/>
              <w:jc w:val="right"/>
              <w:rPr>
                <w:rFonts w:ascii="宋体" w:eastAsia="宋体" w:hAnsi="宋体" w:cs="宋体" w:hint="eastAsia"/>
                <w:sz w:val="18"/>
                <w:szCs w:val="18"/>
              </w:rPr>
            </w:pPr>
            <w:r w:rsidRPr="00B70AD7">
              <w:rPr>
                <w:rFonts w:ascii="宋体" w:eastAsia="宋体" w:hAnsi="宋体" w:cs="宋体"/>
                <w:sz w:val="18"/>
                <w:szCs w:val="18"/>
              </w:rPr>
              <w:t>1,209,298.69</w:t>
            </w:r>
          </w:p>
        </w:tc>
      </w:tr>
      <w:tr w:rsidR="00B70AD7" w:rsidRPr="00B70AD7" w14:paraId="17FA6FFB" w14:textId="77777777" w:rsidTr="00116534">
        <w:trPr>
          <w:trHeight w:val="240"/>
        </w:trPr>
        <w:tc>
          <w:tcPr>
            <w:tcW w:w="1901" w:type="dxa"/>
            <w:shd w:val="clear" w:color="auto" w:fill="FFFFFF" w:themeFill="background1"/>
            <w:vAlign w:val="center"/>
          </w:tcPr>
          <w:p w14:paraId="43F94EC4" w14:textId="77777777" w:rsidR="00B70AD7" w:rsidRPr="00B70AD7" w:rsidRDefault="00B70AD7" w:rsidP="00B70AD7">
            <w:pPr>
              <w:spacing w:before="40" w:after="40" w:line="240" w:lineRule="exact"/>
              <w:rPr>
                <w:rFonts w:ascii="宋体" w:eastAsia="宋体" w:hAnsi="宋体" w:cs="宋体" w:hint="eastAsia"/>
                <w:sz w:val="18"/>
                <w:szCs w:val="18"/>
              </w:rPr>
            </w:pPr>
            <w:r w:rsidRPr="00B70AD7">
              <w:rPr>
                <w:rFonts w:ascii="宋体" w:eastAsia="宋体" w:hAnsi="宋体" w:cs="宋体"/>
                <w:sz w:val="18"/>
                <w:szCs w:val="18"/>
              </w:rPr>
              <w:t>按经营地区分类</w:t>
            </w:r>
          </w:p>
        </w:tc>
        <w:tc>
          <w:tcPr>
            <w:tcW w:w="1901" w:type="dxa"/>
            <w:shd w:val="clear" w:color="auto" w:fill="FFFFFF" w:themeFill="background1"/>
            <w:vAlign w:val="center"/>
          </w:tcPr>
          <w:p w14:paraId="4E4F9AE1" w14:textId="77777777" w:rsidR="00B70AD7" w:rsidRPr="00B70AD7" w:rsidRDefault="00B70AD7" w:rsidP="00B70AD7">
            <w:pPr>
              <w:spacing w:line="240" w:lineRule="exact"/>
              <w:jc w:val="right"/>
              <w:rPr>
                <w:rFonts w:ascii="宋体" w:eastAsia="宋体" w:hAnsi="宋体" w:cs="宋体" w:hint="eastAsia"/>
                <w:sz w:val="18"/>
                <w:szCs w:val="18"/>
              </w:rPr>
            </w:pPr>
            <w:r w:rsidRPr="00B70AD7">
              <w:rPr>
                <w:rFonts w:ascii="宋体" w:eastAsia="宋体" w:hAnsi="宋体" w:cs="宋体"/>
                <w:sz w:val="18"/>
                <w:szCs w:val="18"/>
              </w:rPr>
              <w:t>426,951,159.05</w:t>
            </w:r>
          </w:p>
        </w:tc>
        <w:tc>
          <w:tcPr>
            <w:tcW w:w="1901" w:type="dxa"/>
            <w:shd w:val="clear" w:color="auto" w:fill="FFFFFF" w:themeFill="background1"/>
            <w:vAlign w:val="center"/>
          </w:tcPr>
          <w:p w14:paraId="5EF5963C" w14:textId="77777777" w:rsidR="00B70AD7" w:rsidRPr="00B70AD7" w:rsidRDefault="00B70AD7" w:rsidP="00B70AD7">
            <w:pPr>
              <w:spacing w:line="240" w:lineRule="exact"/>
              <w:jc w:val="right"/>
              <w:rPr>
                <w:rFonts w:ascii="宋体" w:eastAsia="宋体" w:hAnsi="宋体" w:cs="宋体" w:hint="eastAsia"/>
                <w:sz w:val="18"/>
                <w:szCs w:val="18"/>
              </w:rPr>
            </w:pPr>
            <w:r w:rsidRPr="00B70AD7">
              <w:rPr>
                <w:rFonts w:ascii="宋体" w:eastAsia="宋体" w:hAnsi="宋体" w:cs="宋体"/>
                <w:sz w:val="18"/>
                <w:szCs w:val="18"/>
              </w:rPr>
              <w:t>347,802,733.68</w:t>
            </w:r>
          </w:p>
        </w:tc>
        <w:tc>
          <w:tcPr>
            <w:tcW w:w="1901" w:type="dxa"/>
            <w:shd w:val="clear" w:color="auto" w:fill="FFFFFF" w:themeFill="background1"/>
            <w:vAlign w:val="center"/>
          </w:tcPr>
          <w:p w14:paraId="0E91563D" w14:textId="77777777" w:rsidR="00B70AD7" w:rsidRPr="00B70AD7" w:rsidRDefault="00B70AD7" w:rsidP="00B70AD7">
            <w:pPr>
              <w:spacing w:line="240" w:lineRule="exact"/>
              <w:jc w:val="right"/>
              <w:rPr>
                <w:rFonts w:ascii="宋体" w:eastAsia="宋体" w:hAnsi="宋体" w:cs="宋体" w:hint="eastAsia"/>
                <w:sz w:val="18"/>
                <w:szCs w:val="18"/>
              </w:rPr>
            </w:pPr>
            <w:r w:rsidRPr="00B70AD7">
              <w:rPr>
                <w:rFonts w:ascii="宋体" w:eastAsia="宋体" w:hAnsi="宋体" w:cs="宋体"/>
                <w:sz w:val="18"/>
                <w:szCs w:val="18"/>
              </w:rPr>
              <w:t>426,951,159.05</w:t>
            </w:r>
          </w:p>
        </w:tc>
        <w:tc>
          <w:tcPr>
            <w:tcW w:w="1901" w:type="dxa"/>
            <w:shd w:val="clear" w:color="auto" w:fill="FFFFFF" w:themeFill="background1"/>
            <w:vAlign w:val="center"/>
          </w:tcPr>
          <w:p w14:paraId="78A61ED9" w14:textId="77777777" w:rsidR="00B70AD7" w:rsidRPr="00B70AD7" w:rsidRDefault="00B70AD7" w:rsidP="00B70AD7">
            <w:pPr>
              <w:spacing w:line="240" w:lineRule="exact"/>
              <w:jc w:val="right"/>
              <w:rPr>
                <w:rFonts w:ascii="宋体" w:eastAsia="宋体" w:hAnsi="宋体" w:cs="宋体" w:hint="eastAsia"/>
                <w:sz w:val="18"/>
                <w:szCs w:val="18"/>
              </w:rPr>
            </w:pPr>
            <w:r w:rsidRPr="00B70AD7">
              <w:rPr>
                <w:rFonts w:ascii="宋体" w:eastAsia="宋体" w:hAnsi="宋体" w:cs="宋体"/>
                <w:sz w:val="18"/>
                <w:szCs w:val="18"/>
              </w:rPr>
              <w:t>347,802,733.68</w:t>
            </w:r>
          </w:p>
        </w:tc>
      </w:tr>
      <w:tr w:rsidR="00B70AD7" w:rsidRPr="00B70AD7" w14:paraId="47636597" w14:textId="77777777" w:rsidTr="00116534">
        <w:trPr>
          <w:trHeight w:val="240"/>
        </w:trPr>
        <w:tc>
          <w:tcPr>
            <w:tcW w:w="1901" w:type="dxa"/>
            <w:shd w:val="clear" w:color="auto" w:fill="FFFFFF" w:themeFill="background1"/>
            <w:vAlign w:val="center"/>
          </w:tcPr>
          <w:p w14:paraId="7DA6C17A" w14:textId="77777777" w:rsidR="00B70AD7" w:rsidRPr="00B70AD7" w:rsidRDefault="00B70AD7" w:rsidP="00B70AD7">
            <w:pPr>
              <w:spacing w:before="40" w:after="40" w:line="240" w:lineRule="exact"/>
              <w:rPr>
                <w:rFonts w:ascii="宋体" w:eastAsia="宋体" w:hAnsi="宋体" w:cs="宋体" w:hint="eastAsia"/>
                <w:sz w:val="18"/>
                <w:szCs w:val="18"/>
              </w:rPr>
            </w:pPr>
            <w:r w:rsidRPr="00B70AD7">
              <w:rPr>
                <w:rFonts w:ascii="宋体" w:eastAsia="宋体" w:hAnsi="宋体" w:cs="宋体"/>
                <w:sz w:val="18"/>
                <w:szCs w:val="18"/>
              </w:rPr>
              <w:t xml:space="preserve">　其中：</w:t>
            </w:r>
          </w:p>
        </w:tc>
        <w:tc>
          <w:tcPr>
            <w:tcW w:w="1901" w:type="dxa"/>
            <w:shd w:val="clear" w:color="auto" w:fill="FFFFFF" w:themeFill="background1"/>
            <w:vAlign w:val="center"/>
          </w:tcPr>
          <w:p w14:paraId="01596899" w14:textId="77777777" w:rsidR="00B70AD7" w:rsidRPr="00B70AD7" w:rsidRDefault="00B70AD7" w:rsidP="00B70AD7"/>
        </w:tc>
        <w:tc>
          <w:tcPr>
            <w:tcW w:w="1901" w:type="dxa"/>
            <w:shd w:val="clear" w:color="auto" w:fill="FFFFFF" w:themeFill="background1"/>
            <w:vAlign w:val="center"/>
          </w:tcPr>
          <w:p w14:paraId="5E0E720C" w14:textId="77777777" w:rsidR="00B70AD7" w:rsidRPr="00B70AD7" w:rsidRDefault="00B70AD7" w:rsidP="00B70AD7"/>
        </w:tc>
        <w:tc>
          <w:tcPr>
            <w:tcW w:w="1901" w:type="dxa"/>
            <w:shd w:val="clear" w:color="auto" w:fill="FFFFFF" w:themeFill="background1"/>
            <w:vAlign w:val="center"/>
          </w:tcPr>
          <w:p w14:paraId="6B3A269A" w14:textId="77777777" w:rsidR="00B70AD7" w:rsidRPr="00B70AD7" w:rsidRDefault="00B70AD7" w:rsidP="00B70AD7"/>
        </w:tc>
        <w:tc>
          <w:tcPr>
            <w:tcW w:w="1901" w:type="dxa"/>
            <w:shd w:val="clear" w:color="auto" w:fill="FFFFFF" w:themeFill="background1"/>
            <w:vAlign w:val="center"/>
          </w:tcPr>
          <w:p w14:paraId="30E7CAFF" w14:textId="77777777" w:rsidR="00B70AD7" w:rsidRPr="00B70AD7" w:rsidRDefault="00B70AD7" w:rsidP="00B70AD7"/>
        </w:tc>
      </w:tr>
      <w:tr w:rsidR="00B70AD7" w:rsidRPr="00B70AD7" w14:paraId="746FB3F6" w14:textId="77777777" w:rsidTr="00116534">
        <w:trPr>
          <w:trHeight w:val="240"/>
        </w:trPr>
        <w:tc>
          <w:tcPr>
            <w:tcW w:w="1901" w:type="dxa"/>
            <w:shd w:val="clear" w:color="auto" w:fill="FFFFFF" w:themeFill="background1"/>
            <w:vAlign w:val="center"/>
          </w:tcPr>
          <w:p w14:paraId="4B3D1A3C" w14:textId="77777777" w:rsidR="00B70AD7" w:rsidRPr="00B70AD7" w:rsidRDefault="00B70AD7" w:rsidP="00B70AD7">
            <w:pPr>
              <w:spacing w:line="240" w:lineRule="exact"/>
              <w:rPr>
                <w:rFonts w:ascii="宋体" w:eastAsia="宋体" w:hAnsi="宋体" w:cs="宋体" w:hint="eastAsia"/>
                <w:sz w:val="18"/>
                <w:szCs w:val="18"/>
              </w:rPr>
            </w:pPr>
            <w:r w:rsidRPr="00B70AD7">
              <w:rPr>
                <w:rFonts w:ascii="宋体" w:eastAsia="宋体" w:hAnsi="宋体" w:cs="宋体"/>
                <w:sz w:val="18"/>
                <w:szCs w:val="18"/>
              </w:rPr>
              <w:t>国内</w:t>
            </w:r>
          </w:p>
        </w:tc>
        <w:tc>
          <w:tcPr>
            <w:tcW w:w="1901" w:type="dxa"/>
            <w:shd w:val="clear" w:color="auto" w:fill="FFFFFF" w:themeFill="background1"/>
            <w:vAlign w:val="center"/>
          </w:tcPr>
          <w:p w14:paraId="02245B79" w14:textId="77777777" w:rsidR="00B70AD7" w:rsidRPr="00B70AD7" w:rsidRDefault="00B70AD7" w:rsidP="00B70AD7">
            <w:pPr>
              <w:spacing w:line="240" w:lineRule="exact"/>
              <w:jc w:val="right"/>
              <w:rPr>
                <w:rFonts w:ascii="宋体" w:eastAsia="宋体" w:hAnsi="宋体" w:cs="宋体" w:hint="eastAsia"/>
                <w:sz w:val="18"/>
                <w:szCs w:val="18"/>
              </w:rPr>
            </w:pPr>
            <w:r w:rsidRPr="00B70AD7">
              <w:rPr>
                <w:rFonts w:ascii="宋体" w:eastAsia="宋体" w:hAnsi="宋体" w:cs="宋体"/>
                <w:sz w:val="18"/>
                <w:szCs w:val="18"/>
              </w:rPr>
              <w:t>394,022,058.95</w:t>
            </w:r>
          </w:p>
        </w:tc>
        <w:tc>
          <w:tcPr>
            <w:tcW w:w="1901" w:type="dxa"/>
            <w:shd w:val="clear" w:color="auto" w:fill="FFFFFF" w:themeFill="background1"/>
            <w:vAlign w:val="center"/>
          </w:tcPr>
          <w:p w14:paraId="47D5E51B" w14:textId="77777777" w:rsidR="00B70AD7" w:rsidRPr="00B70AD7" w:rsidRDefault="00B70AD7" w:rsidP="00B70AD7">
            <w:pPr>
              <w:spacing w:line="240" w:lineRule="exact"/>
              <w:jc w:val="right"/>
              <w:rPr>
                <w:rFonts w:ascii="宋体" w:eastAsia="宋体" w:hAnsi="宋体" w:cs="宋体" w:hint="eastAsia"/>
                <w:sz w:val="18"/>
                <w:szCs w:val="18"/>
              </w:rPr>
            </w:pPr>
            <w:r w:rsidRPr="00B70AD7">
              <w:rPr>
                <w:rFonts w:ascii="宋体" w:eastAsia="宋体" w:hAnsi="宋体" w:cs="宋体"/>
                <w:sz w:val="18"/>
                <w:szCs w:val="18"/>
              </w:rPr>
              <w:t>321,035,474.16</w:t>
            </w:r>
          </w:p>
        </w:tc>
        <w:tc>
          <w:tcPr>
            <w:tcW w:w="1901" w:type="dxa"/>
            <w:shd w:val="clear" w:color="auto" w:fill="FFFFFF" w:themeFill="background1"/>
            <w:vAlign w:val="center"/>
          </w:tcPr>
          <w:p w14:paraId="73C326D5" w14:textId="77777777" w:rsidR="00B70AD7" w:rsidRPr="00B70AD7" w:rsidRDefault="00B70AD7" w:rsidP="00B70AD7">
            <w:pPr>
              <w:spacing w:line="240" w:lineRule="exact"/>
              <w:jc w:val="right"/>
              <w:rPr>
                <w:rFonts w:ascii="宋体" w:eastAsia="宋体" w:hAnsi="宋体" w:cs="宋体" w:hint="eastAsia"/>
                <w:sz w:val="18"/>
                <w:szCs w:val="18"/>
              </w:rPr>
            </w:pPr>
            <w:r w:rsidRPr="00B70AD7">
              <w:rPr>
                <w:rFonts w:ascii="宋体" w:eastAsia="宋体" w:hAnsi="宋体" w:cs="宋体"/>
                <w:sz w:val="18"/>
                <w:szCs w:val="18"/>
              </w:rPr>
              <w:t>394,022,058.95</w:t>
            </w:r>
          </w:p>
        </w:tc>
        <w:tc>
          <w:tcPr>
            <w:tcW w:w="1901" w:type="dxa"/>
            <w:shd w:val="clear" w:color="auto" w:fill="FFFFFF" w:themeFill="background1"/>
            <w:vAlign w:val="center"/>
          </w:tcPr>
          <w:p w14:paraId="20B5AB0C" w14:textId="77777777" w:rsidR="00B70AD7" w:rsidRPr="00B70AD7" w:rsidRDefault="00B70AD7" w:rsidP="00B70AD7">
            <w:pPr>
              <w:spacing w:line="240" w:lineRule="exact"/>
              <w:jc w:val="right"/>
              <w:rPr>
                <w:rFonts w:ascii="宋体" w:eastAsia="宋体" w:hAnsi="宋体" w:cs="宋体" w:hint="eastAsia"/>
                <w:sz w:val="18"/>
                <w:szCs w:val="18"/>
              </w:rPr>
            </w:pPr>
            <w:r w:rsidRPr="00B70AD7">
              <w:rPr>
                <w:rFonts w:ascii="宋体" w:eastAsia="宋体" w:hAnsi="宋体" w:cs="宋体"/>
                <w:sz w:val="18"/>
                <w:szCs w:val="18"/>
              </w:rPr>
              <w:t>321,035,474.16</w:t>
            </w:r>
          </w:p>
        </w:tc>
      </w:tr>
      <w:tr w:rsidR="00B70AD7" w:rsidRPr="00B70AD7" w14:paraId="611D66E7" w14:textId="77777777" w:rsidTr="00116534">
        <w:trPr>
          <w:trHeight w:val="240"/>
        </w:trPr>
        <w:tc>
          <w:tcPr>
            <w:tcW w:w="1901" w:type="dxa"/>
            <w:shd w:val="clear" w:color="auto" w:fill="FFFFFF" w:themeFill="background1"/>
            <w:vAlign w:val="center"/>
          </w:tcPr>
          <w:p w14:paraId="7C57E4F1" w14:textId="77777777" w:rsidR="00B70AD7" w:rsidRPr="00B70AD7" w:rsidRDefault="00B70AD7" w:rsidP="00B70AD7">
            <w:pPr>
              <w:spacing w:line="240" w:lineRule="exact"/>
              <w:rPr>
                <w:rFonts w:ascii="宋体" w:eastAsia="宋体" w:hAnsi="宋体" w:cs="宋体" w:hint="eastAsia"/>
                <w:sz w:val="18"/>
                <w:szCs w:val="18"/>
              </w:rPr>
            </w:pPr>
            <w:r w:rsidRPr="00B70AD7">
              <w:rPr>
                <w:rFonts w:ascii="宋体" w:eastAsia="宋体" w:hAnsi="宋体" w:cs="宋体"/>
                <w:sz w:val="18"/>
                <w:szCs w:val="18"/>
              </w:rPr>
              <w:t>国外</w:t>
            </w:r>
          </w:p>
        </w:tc>
        <w:tc>
          <w:tcPr>
            <w:tcW w:w="1901" w:type="dxa"/>
            <w:shd w:val="clear" w:color="auto" w:fill="FFFFFF" w:themeFill="background1"/>
            <w:vAlign w:val="center"/>
          </w:tcPr>
          <w:p w14:paraId="52F6E610" w14:textId="77777777" w:rsidR="00B70AD7" w:rsidRPr="00B70AD7" w:rsidRDefault="00B70AD7" w:rsidP="00B70AD7">
            <w:pPr>
              <w:spacing w:line="240" w:lineRule="exact"/>
              <w:jc w:val="right"/>
              <w:rPr>
                <w:rFonts w:ascii="宋体" w:eastAsia="宋体" w:hAnsi="宋体" w:cs="宋体" w:hint="eastAsia"/>
                <w:sz w:val="18"/>
                <w:szCs w:val="18"/>
              </w:rPr>
            </w:pPr>
            <w:r w:rsidRPr="00B70AD7">
              <w:rPr>
                <w:rFonts w:ascii="宋体" w:eastAsia="宋体" w:hAnsi="宋体" w:cs="宋体"/>
                <w:sz w:val="18"/>
                <w:szCs w:val="18"/>
              </w:rPr>
              <w:t>32,929,100.10</w:t>
            </w:r>
          </w:p>
        </w:tc>
        <w:tc>
          <w:tcPr>
            <w:tcW w:w="1901" w:type="dxa"/>
            <w:shd w:val="clear" w:color="auto" w:fill="FFFFFF" w:themeFill="background1"/>
            <w:vAlign w:val="center"/>
          </w:tcPr>
          <w:p w14:paraId="64E4DF08" w14:textId="77777777" w:rsidR="00B70AD7" w:rsidRPr="00B70AD7" w:rsidRDefault="00B70AD7" w:rsidP="00B70AD7">
            <w:pPr>
              <w:spacing w:line="240" w:lineRule="exact"/>
              <w:jc w:val="right"/>
              <w:rPr>
                <w:rFonts w:ascii="宋体" w:eastAsia="宋体" w:hAnsi="宋体" w:cs="宋体" w:hint="eastAsia"/>
                <w:sz w:val="18"/>
                <w:szCs w:val="18"/>
              </w:rPr>
            </w:pPr>
            <w:r w:rsidRPr="00B70AD7">
              <w:rPr>
                <w:rFonts w:ascii="宋体" w:eastAsia="宋体" w:hAnsi="宋体" w:cs="宋体"/>
                <w:sz w:val="18"/>
                <w:szCs w:val="18"/>
              </w:rPr>
              <w:t>26,767,259.52</w:t>
            </w:r>
          </w:p>
        </w:tc>
        <w:tc>
          <w:tcPr>
            <w:tcW w:w="1901" w:type="dxa"/>
            <w:shd w:val="clear" w:color="auto" w:fill="FFFFFF" w:themeFill="background1"/>
            <w:vAlign w:val="center"/>
          </w:tcPr>
          <w:p w14:paraId="3B4D3356" w14:textId="77777777" w:rsidR="00B70AD7" w:rsidRPr="00B70AD7" w:rsidRDefault="00B70AD7" w:rsidP="00B70AD7">
            <w:pPr>
              <w:spacing w:line="240" w:lineRule="exact"/>
              <w:jc w:val="right"/>
              <w:rPr>
                <w:rFonts w:ascii="宋体" w:eastAsia="宋体" w:hAnsi="宋体" w:cs="宋体" w:hint="eastAsia"/>
                <w:sz w:val="18"/>
                <w:szCs w:val="18"/>
              </w:rPr>
            </w:pPr>
            <w:r w:rsidRPr="00B70AD7">
              <w:rPr>
                <w:rFonts w:ascii="宋体" w:eastAsia="宋体" w:hAnsi="宋体" w:cs="宋体"/>
                <w:sz w:val="18"/>
                <w:szCs w:val="18"/>
              </w:rPr>
              <w:t>32,929,100.10</w:t>
            </w:r>
          </w:p>
        </w:tc>
        <w:tc>
          <w:tcPr>
            <w:tcW w:w="1901" w:type="dxa"/>
            <w:shd w:val="clear" w:color="auto" w:fill="FFFFFF" w:themeFill="background1"/>
            <w:vAlign w:val="center"/>
          </w:tcPr>
          <w:p w14:paraId="1BB746A2" w14:textId="77777777" w:rsidR="00B70AD7" w:rsidRPr="00B70AD7" w:rsidRDefault="00B70AD7" w:rsidP="00B70AD7">
            <w:pPr>
              <w:spacing w:line="240" w:lineRule="exact"/>
              <w:jc w:val="right"/>
              <w:rPr>
                <w:rFonts w:ascii="宋体" w:eastAsia="宋体" w:hAnsi="宋体" w:cs="宋体" w:hint="eastAsia"/>
                <w:sz w:val="18"/>
                <w:szCs w:val="18"/>
              </w:rPr>
            </w:pPr>
            <w:r w:rsidRPr="00B70AD7">
              <w:rPr>
                <w:rFonts w:ascii="宋体" w:eastAsia="宋体" w:hAnsi="宋体" w:cs="宋体"/>
                <w:sz w:val="18"/>
                <w:szCs w:val="18"/>
              </w:rPr>
              <w:t>26,767,259.52</w:t>
            </w:r>
          </w:p>
        </w:tc>
      </w:tr>
    </w:tbl>
    <w:p w14:paraId="0431EE93" w14:textId="3FAB074A"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与分摊至剩余履约义务的交易价格相关的信息：</w:t>
      </w:r>
    </w:p>
    <w:p w14:paraId="0A9A2F9C" w14:textId="77777777" w:rsidR="00632E5B" w:rsidRDefault="00107901" w:rsidP="00F84867">
      <w:pPr>
        <w:spacing w:before="100" w:after="100" w:line="240" w:lineRule="exact"/>
        <w:ind w:firstLineChars="200" w:firstLine="360"/>
        <w:rPr>
          <w:rFonts w:ascii="宋体" w:eastAsia="宋体" w:hAnsi="宋体" w:cs="宋体" w:hint="eastAsia"/>
          <w:sz w:val="18"/>
          <w:szCs w:val="18"/>
        </w:rPr>
      </w:pPr>
      <w:r>
        <w:rPr>
          <w:rFonts w:ascii="宋体" w:eastAsia="宋体" w:hAnsi="宋体" w:cs="宋体"/>
          <w:sz w:val="18"/>
          <w:szCs w:val="18"/>
        </w:rPr>
        <w:t>本报告期末已签订合同、但尚未履行或尚未履行完毕的履约义务所对应的收入金额为231,066,147.45元，其中，226,971,977.59元预计将于2025年度确认收入。</w:t>
      </w:r>
    </w:p>
    <w:p w14:paraId="624041EB" w14:textId="77777777" w:rsidR="00632E5B" w:rsidRDefault="00107901">
      <w:pPr>
        <w:pStyle w:val="3"/>
        <w:spacing w:line="280" w:lineRule="exact"/>
        <w:jc w:val="left"/>
        <w:rPr>
          <w:rFonts w:ascii="宋体" w:hAnsi="宋体" w:cs="宋体" w:hint="eastAsia"/>
          <w:b/>
          <w:bCs/>
        </w:rPr>
      </w:pPr>
      <w:bookmarkStart w:id="413" w:name="_Toc989303"/>
      <w:r>
        <w:rPr>
          <w:rFonts w:ascii="宋体" w:hAnsi="宋体" w:cs="宋体"/>
          <w:b/>
          <w:bCs/>
        </w:rPr>
        <w:t>5、投资收益</w:t>
      </w:r>
      <w:bookmarkEnd w:id="413"/>
    </w:p>
    <w:p w14:paraId="562DCD3B" w14:textId="77777777" w:rsidR="00632E5B" w:rsidRDefault="0010790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06938D8D" w14:textId="77777777" w:rsidTr="00116534">
        <w:trPr>
          <w:trHeight w:val="240"/>
        </w:trPr>
        <w:tc>
          <w:tcPr>
            <w:tcW w:w="3213" w:type="dxa"/>
            <w:shd w:val="clear" w:color="auto" w:fill="FFFFFF" w:themeFill="background1"/>
            <w:vAlign w:val="center"/>
          </w:tcPr>
          <w:p w14:paraId="362729C0"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17797202"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auto" w:fill="FFFFFF" w:themeFill="background1"/>
            <w:vAlign w:val="center"/>
          </w:tcPr>
          <w:p w14:paraId="2917869A"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632E5B" w14:paraId="2CC484B0" w14:textId="77777777" w:rsidTr="00116534">
        <w:trPr>
          <w:trHeight w:val="240"/>
        </w:trPr>
        <w:tc>
          <w:tcPr>
            <w:tcW w:w="3213" w:type="dxa"/>
            <w:shd w:val="clear" w:color="auto" w:fill="FFFFFF" w:themeFill="background1"/>
            <w:vAlign w:val="center"/>
          </w:tcPr>
          <w:p w14:paraId="65AA1843"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成本法核算的长期股权投资收益</w:t>
            </w:r>
          </w:p>
        </w:tc>
        <w:tc>
          <w:tcPr>
            <w:tcW w:w="3213" w:type="dxa"/>
            <w:shd w:val="clear" w:color="auto" w:fill="FFFFFF" w:themeFill="background1"/>
            <w:vAlign w:val="center"/>
          </w:tcPr>
          <w:p w14:paraId="4971AB77"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75,000,000.00</w:t>
            </w:r>
          </w:p>
        </w:tc>
        <w:tc>
          <w:tcPr>
            <w:tcW w:w="3213" w:type="dxa"/>
            <w:shd w:val="clear" w:color="auto" w:fill="FFFFFF" w:themeFill="background1"/>
            <w:vAlign w:val="center"/>
          </w:tcPr>
          <w:p w14:paraId="28CBC801" w14:textId="77777777" w:rsidR="00632E5B" w:rsidRDefault="00632E5B">
            <w:pPr>
              <w:spacing w:line="240" w:lineRule="exact"/>
              <w:jc w:val="right"/>
              <w:rPr>
                <w:rFonts w:ascii="宋体" w:eastAsia="宋体" w:hAnsi="宋体" w:cs="宋体" w:hint="eastAsia"/>
                <w:sz w:val="18"/>
                <w:szCs w:val="18"/>
              </w:rPr>
            </w:pPr>
          </w:p>
        </w:tc>
      </w:tr>
      <w:tr w:rsidR="00632E5B" w14:paraId="073FC841" w14:textId="77777777" w:rsidTr="00116534">
        <w:trPr>
          <w:trHeight w:val="240"/>
        </w:trPr>
        <w:tc>
          <w:tcPr>
            <w:tcW w:w="3213" w:type="dxa"/>
            <w:shd w:val="clear" w:color="auto" w:fill="FFFFFF" w:themeFill="background1"/>
            <w:vAlign w:val="center"/>
          </w:tcPr>
          <w:p w14:paraId="0A2321DE"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权益法核算的长期股权投资收益</w:t>
            </w:r>
          </w:p>
        </w:tc>
        <w:tc>
          <w:tcPr>
            <w:tcW w:w="3213" w:type="dxa"/>
            <w:shd w:val="clear" w:color="auto" w:fill="FFFFFF" w:themeFill="background1"/>
            <w:vAlign w:val="center"/>
          </w:tcPr>
          <w:p w14:paraId="00D6F18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-240,222.20</w:t>
            </w:r>
          </w:p>
        </w:tc>
        <w:tc>
          <w:tcPr>
            <w:tcW w:w="3213" w:type="dxa"/>
            <w:shd w:val="clear" w:color="auto" w:fill="FFFFFF" w:themeFill="background1"/>
            <w:vAlign w:val="center"/>
          </w:tcPr>
          <w:p w14:paraId="50FCA48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-963,307.74</w:t>
            </w:r>
          </w:p>
        </w:tc>
      </w:tr>
      <w:tr w:rsidR="00632E5B" w14:paraId="2652DFFB" w14:textId="77777777" w:rsidTr="00116534">
        <w:trPr>
          <w:trHeight w:val="240"/>
        </w:trPr>
        <w:tc>
          <w:tcPr>
            <w:tcW w:w="3213" w:type="dxa"/>
            <w:shd w:val="clear" w:color="auto" w:fill="FFFFFF" w:themeFill="background1"/>
            <w:vAlign w:val="center"/>
          </w:tcPr>
          <w:p w14:paraId="34F206F5"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交易性金融资产在持有期间的投资收益</w:t>
            </w:r>
          </w:p>
        </w:tc>
        <w:tc>
          <w:tcPr>
            <w:tcW w:w="3213" w:type="dxa"/>
            <w:shd w:val="clear" w:color="auto" w:fill="FFFFFF" w:themeFill="background1"/>
            <w:vAlign w:val="center"/>
          </w:tcPr>
          <w:p w14:paraId="4401B853"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2,120,705.63</w:t>
            </w:r>
          </w:p>
        </w:tc>
        <w:tc>
          <w:tcPr>
            <w:tcW w:w="3213" w:type="dxa"/>
            <w:shd w:val="clear" w:color="auto" w:fill="FFFFFF" w:themeFill="background1"/>
            <w:vAlign w:val="center"/>
          </w:tcPr>
          <w:p w14:paraId="11092165" w14:textId="77777777" w:rsidR="00632E5B" w:rsidRDefault="00632E5B">
            <w:pPr>
              <w:spacing w:line="240" w:lineRule="exact"/>
              <w:jc w:val="right"/>
              <w:rPr>
                <w:rFonts w:ascii="宋体" w:eastAsia="宋体" w:hAnsi="宋体" w:cs="宋体" w:hint="eastAsia"/>
                <w:sz w:val="18"/>
                <w:szCs w:val="18"/>
              </w:rPr>
            </w:pPr>
          </w:p>
        </w:tc>
      </w:tr>
      <w:tr w:rsidR="00632E5B" w14:paraId="2D38DDE7" w14:textId="77777777" w:rsidTr="00116534">
        <w:trPr>
          <w:trHeight w:val="240"/>
        </w:trPr>
        <w:tc>
          <w:tcPr>
            <w:tcW w:w="3213" w:type="dxa"/>
            <w:shd w:val="clear" w:color="auto" w:fill="FFFFFF" w:themeFill="background1"/>
            <w:vAlign w:val="center"/>
          </w:tcPr>
          <w:p w14:paraId="5467742D"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债务重组收益</w:t>
            </w:r>
          </w:p>
        </w:tc>
        <w:tc>
          <w:tcPr>
            <w:tcW w:w="3213" w:type="dxa"/>
            <w:shd w:val="clear" w:color="auto" w:fill="FFFFFF" w:themeFill="background1"/>
            <w:vAlign w:val="center"/>
          </w:tcPr>
          <w:p w14:paraId="1FE0D3F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1,147,467,571.19</w:t>
            </w:r>
          </w:p>
        </w:tc>
        <w:tc>
          <w:tcPr>
            <w:tcW w:w="3213" w:type="dxa"/>
            <w:shd w:val="clear" w:color="auto" w:fill="FFFFFF" w:themeFill="background1"/>
            <w:vAlign w:val="center"/>
          </w:tcPr>
          <w:p w14:paraId="0F2F861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-45,134.80</w:t>
            </w:r>
          </w:p>
        </w:tc>
      </w:tr>
      <w:tr w:rsidR="00632E5B" w14:paraId="4F4E59E5" w14:textId="77777777" w:rsidTr="00116534">
        <w:trPr>
          <w:trHeight w:val="240"/>
        </w:trPr>
        <w:tc>
          <w:tcPr>
            <w:tcW w:w="3213" w:type="dxa"/>
            <w:shd w:val="clear" w:color="auto" w:fill="FFFFFF" w:themeFill="background1"/>
            <w:vAlign w:val="center"/>
          </w:tcPr>
          <w:p w14:paraId="79A5B8D0"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65AFF1D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1,224,348,054.62</w:t>
            </w:r>
          </w:p>
        </w:tc>
        <w:tc>
          <w:tcPr>
            <w:tcW w:w="3213" w:type="dxa"/>
            <w:shd w:val="clear" w:color="auto" w:fill="FFFFFF" w:themeFill="background1"/>
            <w:vAlign w:val="center"/>
          </w:tcPr>
          <w:p w14:paraId="29DE46C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-1,008,442.54</w:t>
            </w:r>
          </w:p>
        </w:tc>
      </w:tr>
    </w:tbl>
    <w:p w14:paraId="0246C646" w14:textId="77777777" w:rsidR="00116534" w:rsidRDefault="00116534">
      <w:pPr>
        <w:pStyle w:val="2"/>
        <w:spacing w:before="300" w:after="300" w:line="320" w:lineRule="exact"/>
        <w:rPr>
          <w:rFonts w:ascii="宋体" w:eastAsia="宋体" w:hAnsi="宋体" w:cs="宋体" w:hint="eastAsia"/>
          <w:b/>
          <w:bCs/>
          <w:sz w:val="24"/>
          <w:szCs w:val="24"/>
        </w:rPr>
      </w:pPr>
      <w:bookmarkStart w:id="414" w:name="_Toc989305"/>
    </w:p>
    <w:p w14:paraId="28B7ADBB" w14:textId="77777777" w:rsidR="00116534" w:rsidRDefault="00116534">
      <w:pPr>
        <w:widowControl/>
        <w:rPr>
          <w:rFonts w:ascii="宋体" w:eastAsia="宋体" w:hAnsi="宋体" w:cs="宋体" w:hint="eastAsia"/>
          <w:b/>
          <w:bCs/>
          <w:sz w:val="24"/>
          <w:szCs w:val="24"/>
        </w:rPr>
      </w:pPr>
      <w:r>
        <w:rPr>
          <w:rFonts w:ascii="宋体" w:eastAsia="宋体" w:hAnsi="宋体" w:cs="宋体" w:hint="eastAsia"/>
          <w:b/>
          <w:bCs/>
          <w:sz w:val="24"/>
          <w:szCs w:val="24"/>
        </w:rPr>
        <w:br w:type="page"/>
      </w:r>
    </w:p>
    <w:p w14:paraId="7FD2EAD1" w14:textId="70312725" w:rsidR="00632E5B" w:rsidRDefault="00107901">
      <w:pPr>
        <w:pStyle w:val="2"/>
        <w:spacing w:before="300" w:after="300" w:line="320" w:lineRule="exact"/>
        <w:rPr>
          <w:rFonts w:ascii="宋体" w:eastAsia="宋体" w:hAnsi="宋体" w:cs="宋体" w:hint="eastAsia"/>
          <w:b/>
          <w:bCs/>
          <w:sz w:val="24"/>
          <w:szCs w:val="24"/>
        </w:rPr>
      </w:pPr>
      <w:r>
        <w:rPr>
          <w:rFonts w:ascii="宋体" w:eastAsia="宋体" w:hAnsi="宋体" w:cs="宋体"/>
          <w:b/>
          <w:bCs/>
          <w:sz w:val="24"/>
          <w:szCs w:val="24"/>
        </w:rPr>
        <w:lastRenderedPageBreak/>
        <w:t>十八、补充资料</w:t>
      </w:r>
      <w:bookmarkEnd w:id="414"/>
    </w:p>
    <w:p w14:paraId="59874179" w14:textId="77777777" w:rsidR="00632E5B" w:rsidRDefault="00107901">
      <w:pPr>
        <w:pStyle w:val="3"/>
        <w:spacing w:line="280" w:lineRule="exact"/>
        <w:jc w:val="left"/>
        <w:rPr>
          <w:rFonts w:ascii="宋体" w:hAnsi="宋体" w:cs="宋体" w:hint="eastAsia"/>
          <w:b/>
          <w:bCs/>
        </w:rPr>
      </w:pPr>
      <w:bookmarkStart w:id="415" w:name="_Toc989306"/>
      <w:r>
        <w:rPr>
          <w:rFonts w:ascii="宋体" w:hAnsi="宋体" w:cs="宋体"/>
          <w:b/>
          <w:bCs/>
        </w:rPr>
        <w:t>1、当期非经常性损益明细表</w:t>
      </w:r>
      <w:bookmarkEnd w:id="415"/>
    </w:p>
    <w:p w14:paraId="34E79367"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330EA518" w14:textId="77777777" w:rsidR="00632E5B" w:rsidRDefault="00107901">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3213"/>
        <w:gridCol w:w="3213"/>
        <w:gridCol w:w="3213"/>
      </w:tblGrid>
      <w:tr w:rsidR="00632E5B" w14:paraId="35DF689A" w14:textId="77777777" w:rsidTr="00116534">
        <w:trPr>
          <w:trHeight w:val="240"/>
        </w:trPr>
        <w:tc>
          <w:tcPr>
            <w:tcW w:w="3213" w:type="dxa"/>
            <w:shd w:val="clear" w:color="auto" w:fill="FFFFFF" w:themeFill="background1"/>
            <w:vAlign w:val="center"/>
          </w:tcPr>
          <w:p w14:paraId="53E058EB"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auto" w:fill="FFFFFF" w:themeFill="background1"/>
            <w:vAlign w:val="center"/>
          </w:tcPr>
          <w:p w14:paraId="60C008FC"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3213" w:type="dxa"/>
            <w:shd w:val="clear" w:color="auto" w:fill="FFFFFF" w:themeFill="background1"/>
            <w:vAlign w:val="center"/>
          </w:tcPr>
          <w:p w14:paraId="42258EAD"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说明</w:t>
            </w:r>
          </w:p>
        </w:tc>
      </w:tr>
      <w:tr w:rsidR="00632E5B" w14:paraId="05DF8E0F" w14:textId="77777777" w:rsidTr="00116534">
        <w:trPr>
          <w:trHeight w:val="240"/>
        </w:trPr>
        <w:tc>
          <w:tcPr>
            <w:tcW w:w="3213" w:type="dxa"/>
            <w:shd w:val="clear" w:color="auto" w:fill="FFFFFF" w:themeFill="background1"/>
            <w:vAlign w:val="center"/>
          </w:tcPr>
          <w:p w14:paraId="56BCA90C"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非流动性资产处置损益</w:t>
            </w:r>
          </w:p>
        </w:tc>
        <w:tc>
          <w:tcPr>
            <w:tcW w:w="3213" w:type="dxa"/>
            <w:shd w:val="clear" w:color="auto" w:fill="FFFFFF" w:themeFill="background1"/>
            <w:vAlign w:val="center"/>
          </w:tcPr>
          <w:p w14:paraId="1EAE07A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8,980,895.04</w:t>
            </w:r>
          </w:p>
        </w:tc>
        <w:tc>
          <w:tcPr>
            <w:tcW w:w="3213" w:type="dxa"/>
            <w:shd w:val="clear" w:color="auto" w:fill="FFFFFF" w:themeFill="background1"/>
            <w:vAlign w:val="center"/>
          </w:tcPr>
          <w:p w14:paraId="15695B48" w14:textId="77777777" w:rsidR="00632E5B" w:rsidRDefault="00632E5B">
            <w:pPr>
              <w:spacing w:line="240" w:lineRule="exact"/>
              <w:rPr>
                <w:rFonts w:ascii="宋体" w:eastAsia="宋体" w:hAnsi="宋体" w:cs="宋体" w:hint="eastAsia"/>
                <w:sz w:val="18"/>
                <w:szCs w:val="18"/>
              </w:rPr>
            </w:pPr>
          </w:p>
        </w:tc>
      </w:tr>
      <w:tr w:rsidR="00632E5B" w14:paraId="709B48F7" w14:textId="77777777" w:rsidTr="00116534">
        <w:trPr>
          <w:trHeight w:val="240"/>
        </w:trPr>
        <w:tc>
          <w:tcPr>
            <w:tcW w:w="3213" w:type="dxa"/>
            <w:shd w:val="clear" w:color="auto" w:fill="FFFFFF" w:themeFill="background1"/>
            <w:vAlign w:val="center"/>
          </w:tcPr>
          <w:p w14:paraId="6C599210"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计入当期损益的政府补助（与公司正常经营业务密切相关，符合国家政策规定、按照确定的标准享有、对公司损益产生持续影响的政府补助除外）</w:t>
            </w:r>
          </w:p>
        </w:tc>
        <w:tc>
          <w:tcPr>
            <w:tcW w:w="3213" w:type="dxa"/>
            <w:shd w:val="clear" w:color="auto" w:fill="FFFFFF" w:themeFill="background1"/>
            <w:vAlign w:val="center"/>
          </w:tcPr>
          <w:p w14:paraId="43456DF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21,891,940.90</w:t>
            </w:r>
          </w:p>
        </w:tc>
        <w:tc>
          <w:tcPr>
            <w:tcW w:w="3213" w:type="dxa"/>
            <w:shd w:val="clear" w:color="auto" w:fill="FFFFFF" w:themeFill="background1"/>
            <w:vAlign w:val="center"/>
          </w:tcPr>
          <w:p w14:paraId="59997E9E" w14:textId="77777777" w:rsidR="00632E5B" w:rsidRDefault="00632E5B">
            <w:pPr>
              <w:spacing w:line="240" w:lineRule="exact"/>
              <w:rPr>
                <w:rFonts w:ascii="宋体" w:eastAsia="宋体" w:hAnsi="宋体" w:cs="宋体" w:hint="eastAsia"/>
                <w:sz w:val="18"/>
                <w:szCs w:val="18"/>
              </w:rPr>
            </w:pPr>
          </w:p>
        </w:tc>
      </w:tr>
      <w:tr w:rsidR="00632E5B" w14:paraId="7DC85E5A" w14:textId="77777777" w:rsidTr="00116534">
        <w:trPr>
          <w:trHeight w:val="240"/>
        </w:trPr>
        <w:tc>
          <w:tcPr>
            <w:tcW w:w="3213" w:type="dxa"/>
            <w:shd w:val="clear" w:color="auto" w:fill="FFFFFF" w:themeFill="background1"/>
            <w:vAlign w:val="center"/>
          </w:tcPr>
          <w:p w14:paraId="104B1635"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除同公司正常经营业务相关的有效套期保值业务外，非金融企业持有金融资产和金融负债产生的公允价值变动损益以及处置金融资产和金融负债产生的损益</w:t>
            </w:r>
          </w:p>
        </w:tc>
        <w:tc>
          <w:tcPr>
            <w:tcW w:w="3213" w:type="dxa"/>
            <w:shd w:val="clear" w:color="auto" w:fill="FFFFFF" w:themeFill="background1"/>
            <w:vAlign w:val="center"/>
          </w:tcPr>
          <w:p w14:paraId="2B9FA71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-73,778,607.07</w:t>
            </w:r>
          </w:p>
        </w:tc>
        <w:tc>
          <w:tcPr>
            <w:tcW w:w="3213" w:type="dxa"/>
            <w:shd w:val="clear" w:color="auto" w:fill="FFFFFF" w:themeFill="background1"/>
            <w:vAlign w:val="center"/>
          </w:tcPr>
          <w:p w14:paraId="26D96A1B" w14:textId="77777777" w:rsidR="00632E5B" w:rsidRDefault="00632E5B">
            <w:pPr>
              <w:spacing w:line="240" w:lineRule="exact"/>
              <w:rPr>
                <w:rFonts w:ascii="宋体" w:eastAsia="宋体" w:hAnsi="宋体" w:cs="宋体" w:hint="eastAsia"/>
                <w:sz w:val="18"/>
                <w:szCs w:val="18"/>
              </w:rPr>
            </w:pPr>
          </w:p>
        </w:tc>
      </w:tr>
      <w:tr w:rsidR="00632E5B" w14:paraId="7109393F" w14:textId="77777777" w:rsidTr="00116534">
        <w:trPr>
          <w:trHeight w:val="240"/>
        </w:trPr>
        <w:tc>
          <w:tcPr>
            <w:tcW w:w="3213" w:type="dxa"/>
            <w:shd w:val="clear" w:color="auto" w:fill="FFFFFF" w:themeFill="background1"/>
            <w:vAlign w:val="center"/>
          </w:tcPr>
          <w:p w14:paraId="0AD8AD04"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单独进行减值测试的应收款项减值准备转回</w:t>
            </w:r>
          </w:p>
        </w:tc>
        <w:tc>
          <w:tcPr>
            <w:tcW w:w="3213" w:type="dxa"/>
            <w:shd w:val="clear" w:color="auto" w:fill="FFFFFF" w:themeFill="background1"/>
            <w:vAlign w:val="center"/>
          </w:tcPr>
          <w:p w14:paraId="357231E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18,017,390.98</w:t>
            </w:r>
          </w:p>
        </w:tc>
        <w:tc>
          <w:tcPr>
            <w:tcW w:w="3213" w:type="dxa"/>
            <w:shd w:val="clear" w:color="auto" w:fill="FFFFFF" w:themeFill="background1"/>
            <w:vAlign w:val="center"/>
          </w:tcPr>
          <w:p w14:paraId="78F1D870" w14:textId="77777777" w:rsidR="00632E5B" w:rsidRDefault="00632E5B">
            <w:pPr>
              <w:spacing w:line="240" w:lineRule="exact"/>
              <w:rPr>
                <w:rFonts w:ascii="宋体" w:eastAsia="宋体" w:hAnsi="宋体" w:cs="宋体" w:hint="eastAsia"/>
                <w:sz w:val="18"/>
                <w:szCs w:val="18"/>
              </w:rPr>
            </w:pPr>
          </w:p>
        </w:tc>
      </w:tr>
      <w:tr w:rsidR="00632E5B" w14:paraId="5DFAEF4B" w14:textId="77777777" w:rsidTr="00116534">
        <w:trPr>
          <w:trHeight w:val="240"/>
        </w:trPr>
        <w:tc>
          <w:tcPr>
            <w:tcW w:w="3213" w:type="dxa"/>
            <w:shd w:val="clear" w:color="auto" w:fill="FFFFFF" w:themeFill="background1"/>
            <w:vAlign w:val="center"/>
          </w:tcPr>
          <w:p w14:paraId="09E609C5"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债务重组损益</w:t>
            </w:r>
          </w:p>
        </w:tc>
        <w:tc>
          <w:tcPr>
            <w:tcW w:w="3213" w:type="dxa"/>
            <w:shd w:val="clear" w:color="auto" w:fill="FFFFFF" w:themeFill="background1"/>
            <w:vAlign w:val="center"/>
          </w:tcPr>
          <w:p w14:paraId="591182FC"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1,725,782,224.49</w:t>
            </w:r>
          </w:p>
        </w:tc>
        <w:tc>
          <w:tcPr>
            <w:tcW w:w="3213" w:type="dxa"/>
            <w:shd w:val="clear" w:color="auto" w:fill="FFFFFF" w:themeFill="background1"/>
            <w:vAlign w:val="center"/>
          </w:tcPr>
          <w:p w14:paraId="0FDAF523" w14:textId="77777777" w:rsidR="00632E5B" w:rsidRDefault="00632E5B">
            <w:pPr>
              <w:spacing w:line="240" w:lineRule="exact"/>
              <w:rPr>
                <w:rFonts w:ascii="宋体" w:eastAsia="宋体" w:hAnsi="宋体" w:cs="宋体" w:hint="eastAsia"/>
                <w:sz w:val="18"/>
                <w:szCs w:val="18"/>
              </w:rPr>
            </w:pPr>
          </w:p>
        </w:tc>
      </w:tr>
      <w:tr w:rsidR="00632E5B" w14:paraId="1004B163" w14:textId="77777777" w:rsidTr="00116534">
        <w:trPr>
          <w:trHeight w:val="240"/>
        </w:trPr>
        <w:tc>
          <w:tcPr>
            <w:tcW w:w="3213" w:type="dxa"/>
            <w:shd w:val="clear" w:color="auto" w:fill="FFFFFF" w:themeFill="background1"/>
            <w:vAlign w:val="center"/>
          </w:tcPr>
          <w:p w14:paraId="7EBAF732"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企业因相关经营活动不再持续而发生的一次性费用，如安置职工的支出等</w:t>
            </w:r>
          </w:p>
        </w:tc>
        <w:tc>
          <w:tcPr>
            <w:tcW w:w="3213" w:type="dxa"/>
            <w:shd w:val="clear" w:color="auto" w:fill="FFFFFF" w:themeFill="background1"/>
            <w:vAlign w:val="center"/>
          </w:tcPr>
          <w:p w14:paraId="65AA290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-84,620,753.00</w:t>
            </w:r>
          </w:p>
        </w:tc>
        <w:tc>
          <w:tcPr>
            <w:tcW w:w="3213" w:type="dxa"/>
            <w:shd w:val="clear" w:color="auto" w:fill="FFFFFF" w:themeFill="background1"/>
            <w:vAlign w:val="center"/>
          </w:tcPr>
          <w:p w14:paraId="4BF4F916" w14:textId="77777777" w:rsidR="00632E5B" w:rsidRDefault="00632E5B">
            <w:pPr>
              <w:spacing w:line="240" w:lineRule="exact"/>
              <w:rPr>
                <w:rFonts w:ascii="宋体" w:eastAsia="宋体" w:hAnsi="宋体" w:cs="宋体" w:hint="eastAsia"/>
                <w:sz w:val="18"/>
                <w:szCs w:val="18"/>
              </w:rPr>
            </w:pPr>
          </w:p>
        </w:tc>
      </w:tr>
      <w:tr w:rsidR="00632E5B" w14:paraId="169FA3AA" w14:textId="77777777" w:rsidTr="00116534">
        <w:trPr>
          <w:trHeight w:val="240"/>
        </w:trPr>
        <w:tc>
          <w:tcPr>
            <w:tcW w:w="3213" w:type="dxa"/>
            <w:shd w:val="clear" w:color="auto" w:fill="FFFFFF" w:themeFill="background1"/>
            <w:vAlign w:val="center"/>
          </w:tcPr>
          <w:p w14:paraId="1F15E820"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与公司正常经营业务无关的或有事项产生的损益</w:t>
            </w:r>
          </w:p>
        </w:tc>
        <w:tc>
          <w:tcPr>
            <w:tcW w:w="3213" w:type="dxa"/>
            <w:shd w:val="clear" w:color="auto" w:fill="FFFFFF" w:themeFill="background1"/>
            <w:vAlign w:val="center"/>
          </w:tcPr>
          <w:p w14:paraId="2676E034"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-318,427,777.40</w:t>
            </w:r>
          </w:p>
        </w:tc>
        <w:tc>
          <w:tcPr>
            <w:tcW w:w="3213" w:type="dxa"/>
            <w:shd w:val="clear" w:color="auto" w:fill="FFFFFF" w:themeFill="background1"/>
            <w:vAlign w:val="center"/>
          </w:tcPr>
          <w:p w14:paraId="3983F6CB" w14:textId="77777777" w:rsidR="00632E5B" w:rsidRDefault="00632E5B">
            <w:pPr>
              <w:spacing w:line="240" w:lineRule="exact"/>
              <w:rPr>
                <w:rFonts w:ascii="宋体" w:eastAsia="宋体" w:hAnsi="宋体" w:cs="宋体" w:hint="eastAsia"/>
                <w:sz w:val="18"/>
                <w:szCs w:val="18"/>
              </w:rPr>
            </w:pPr>
          </w:p>
        </w:tc>
      </w:tr>
      <w:tr w:rsidR="00632E5B" w14:paraId="27DB0D88" w14:textId="77777777" w:rsidTr="00116534">
        <w:trPr>
          <w:trHeight w:val="240"/>
        </w:trPr>
        <w:tc>
          <w:tcPr>
            <w:tcW w:w="3213" w:type="dxa"/>
            <w:shd w:val="clear" w:color="auto" w:fill="FFFFFF" w:themeFill="background1"/>
            <w:vAlign w:val="center"/>
          </w:tcPr>
          <w:p w14:paraId="0556630A"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除上述各项之外的其他营业外收入和支出</w:t>
            </w:r>
          </w:p>
        </w:tc>
        <w:tc>
          <w:tcPr>
            <w:tcW w:w="3213" w:type="dxa"/>
            <w:shd w:val="clear" w:color="auto" w:fill="FFFFFF" w:themeFill="background1"/>
            <w:vAlign w:val="center"/>
          </w:tcPr>
          <w:p w14:paraId="5E222589"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-85,650,654.96</w:t>
            </w:r>
          </w:p>
        </w:tc>
        <w:tc>
          <w:tcPr>
            <w:tcW w:w="3213" w:type="dxa"/>
            <w:shd w:val="clear" w:color="auto" w:fill="FFFFFF" w:themeFill="background1"/>
            <w:vAlign w:val="center"/>
          </w:tcPr>
          <w:p w14:paraId="5F06EDBB" w14:textId="77777777" w:rsidR="00632E5B" w:rsidRDefault="00632E5B">
            <w:pPr>
              <w:spacing w:line="240" w:lineRule="exact"/>
              <w:rPr>
                <w:rFonts w:ascii="宋体" w:eastAsia="宋体" w:hAnsi="宋体" w:cs="宋体" w:hint="eastAsia"/>
                <w:sz w:val="18"/>
                <w:szCs w:val="18"/>
              </w:rPr>
            </w:pPr>
          </w:p>
        </w:tc>
      </w:tr>
      <w:tr w:rsidR="00632E5B" w14:paraId="7BFA1B8E" w14:textId="77777777" w:rsidTr="00116534">
        <w:trPr>
          <w:trHeight w:val="240"/>
        </w:trPr>
        <w:tc>
          <w:tcPr>
            <w:tcW w:w="3213" w:type="dxa"/>
            <w:shd w:val="clear" w:color="auto" w:fill="FFFFFF" w:themeFill="background1"/>
            <w:vAlign w:val="center"/>
          </w:tcPr>
          <w:p w14:paraId="19A2D1C8"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其他符合非经常性损益定义的损益项目</w:t>
            </w:r>
          </w:p>
        </w:tc>
        <w:tc>
          <w:tcPr>
            <w:tcW w:w="3213" w:type="dxa"/>
            <w:shd w:val="clear" w:color="auto" w:fill="FFFFFF" w:themeFill="background1"/>
            <w:vAlign w:val="center"/>
          </w:tcPr>
          <w:p w14:paraId="1656A20D"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387,026.38</w:t>
            </w:r>
          </w:p>
        </w:tc>
        <w:tc>
          <w:tcPr>
            <w:tcW w:w="3213" w:type="dxa"/>
            <w:shd w:val="clear" w:color="auto" w:fill="FFFFFF" w:themeFill="background1"/>
            <w:vAlign w:val="center"/>
          </w:tcPr>
          <w:p w14:paraId="14938FA3" w14:textId="77777777" w:rsidR="00632E5B" w:rsidRDefault="00632E5B">
            <w:pPr>
              <w:spacing w:line="240" w:lineRule="exact"/>
              <w:rPr>
                <w:rFonts w:ascii="宋体" w:eastAsia="宋体" w:hAnsi="宋体" w:cs="宋体" w:hint="eastAsia"/>
                <w:sz w:val="18"/>
                <w:szCs w:val="18"/>
              </w:rPr>
            </w:pPr>
          </w:p>
        </w:tc>
      </w:tr>
      <w:tr w:rsidR="00632E5B" w14:paraId="024958D7" w14:textId="77777777" w:rsidTr="00116534">
        <w:trPr>
          <w:trHeight w:val="240"/>
        </w:trPr>
        <w:tc>
          <w:tcPr>
            <w:tcW w:w="3213" w:type="dxa"/>
            <w:shd w:val="clear" w:color="auto" w:fill="FFFFFF" w:themeFill="background1"/>
            <w:vAlign w:val="center"/>
          </w:tcPr>
          <w:p w14:paraId="45001165" w14:textId="77777777" w:rsidR="00632E5B" w:rsidRDefault="00107901">
            <w:pPr>
              <w:spacing w:line="240" w:lineRule="exact"/>
              <w:rPr>
                <w:rFonts w:ascii="宋体" w:eastAsia="宋体" w:hAnsi="宋体" w:cs="宋体" w:hint="eastAsia"/>
                <w:sz w:val="18"/>
                <w:szCs w:val="18"/>
              </w:rPr>
            </w:pPr>
            <w:r>
              <w:rPr>
                <w:rFonts w:ascii="宋体" w:eastAsia="宋体" w:hAnsi="宋体" w:cs="宋体"/>
                <w:sz w:val="18"/>
                <w:szCs w:val="18"/>
              </w:rPr>
              <w:t>破产重整相关费用</w:t>
            </w:r>
          </w:p>
        </w:tc>
        <w:tc>
          <w:tcPr>
            <w:tcW w:w="3213" w:type="dxa"/>
            <w:shd w:val="clear" w:color="auto" w:fill="FFFFFF" w:themeFill="background1"/>
            <w:vAlign w:val="center"/>
          </w:tcPr>
          <w:p w14:paraId="2EA81E71"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-99,617,818.09</w:t>
            </w:r>
          </w:p>
        </w:tc>
        <w:tc>
          <w:tcPr>
            <w:tcW w:w="3213" w:type="dxa"/>
            <w:shd w:val="clear" w:color="auto" w:fill="FFFFFF" w:themeFill="background1"/>
            <w:vAlign w:val="center"/>
          </w:tcPr>
          <w:p w14:paraId="02A4AB39" w14:textId="77777777" w:rsidR="00632E5B" w:rsidRDefault="00632E5B">
            <w:pPr>
              <w:spacing w:line="240" w:lineRule="exact"/>
              <w:rPr>
                <w:rFonts w:ascii="宋体" w:eastAsia="宋体" w:hAnsi="宋体" w:cs="宋体" w:hint="eastAsia"/>
                <w:sz w:val="18"/>
                <w:szCs w:val="18"/>
              </w:rPr>
            </w:pPr>
          </w:p>
        </w:tc>
      </w:tr>
      <w:tr w:rsidR="00632E5B" w14:paraId="5F328B81" w14:textId="77777777" w:rsidTr="00116534">
        <w:trPr>
          <w:trHeight w:val="240"/>
        </w:trPr>
        <w:tc>
          <w:tcPr>
            <w:tcW w:w="3213" w:type="dxa"/>
            <w:shd w:val="clear" w:color="auto" w:fill="FFFFFF" w:themeFill="background1"/>
            <w:vAlign w:val="center"/>
          </w:tcPr>
          <w:p w14:paraId="52E1ED40"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减：所得税影响额</w:t>
            </w:r>
          </w:p>
        </w:tc>
        <w:tc>
          <w:tcPr>
            <w:tcW w:w="3213" w:type="dxa"/>
            <w:shd w:val="clear" w:color="auto" w:fill="FFFFFF" w:themeFill="background1"/>
            <w:vAlign w:val="center"/>
          </w:tcPr>
          <w:p w14:paraId="4057831E"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35,311,854.41</w:t>
            </w:r>
          </w:p>
        </w:tc>
        <w:tc>
          <w:tcPr>
            <w:tcW w:w="3213" w:type="dxa"/>
            <w:shd w:val="clear" w:color="auto" w:fill="FFFFFF" w:themeFill="background1"/>
            <w:vAlign w:val="center"/>
          </w:tcPr>
          <w:p w14:paraId="784DE40C" w14:textId="77777777" w:rsidR="00632E5B" w:rsidRDefault="00632E5B">
            <w:pPr>
              <w:spacing w:line="240" w:lineRule="exact"/>
              <w:rPr>
                <w:rFonts w:ascii="宋体" w:eastAsia="宋体" w:hAnsi="宋体" w:cs="宋体" w:hint="eastAsia"/>
                <w:sz w:val="18"/>
                <w:szCs w:val="18"/>
              </w:rPr>
            </w:pPr>
          </w:p>
        </w:tc>
      </w:tr>
      <w:tr w:rsidR="00632E5B" w14:paraId="514F8DFA" w14:textId="77777777" w:rsidTr="00116534">
        <w:trPr>
          <w:trHeight w:val="240"/>
        </w:trPr>
        <w:tc>
          <w:tcPr>
            <w:tcW w:w="3213" w:type="dxa"/>
            <w:shd w:val="clear" w:color="auto" w:fill="FFFFFF" w:themeFill="background1"/>
            <w:vAlign w:val="center"/>
          </w:tcPr>
          <w:p w14:paraId="311ECA7A"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auto" w:fill="FFFFFF" w:themeFill="background1"/>
            <w:vAlign w:val="center"/>
          </w:tcPr>
          <w:p w14:paraId="054A7268"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1,077,652,012.86</w:t>
            </w:r>
          </w:p>
        </w:tc>
        <w:tc>
          <w:tcPr>
            <w:tcW w:w="3213" w:type="dxa"/>
            <w:shd w:val="clear" w:color="auto" w:fill="FFFFFF" w:themeFill="background1"/>
            <w:vAlign w:val="center"/>
          </w:tcPr>
          <w:p w14:paraId="1413A938"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r>
    </w:tbl>
    <w:p w14:paraId="74069858"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其他符合非经常性损益定义的损益项目的具体情况：</w:t>
      </w:r>
    </w:p>
    <w:p w14:paraId="3C0F50B8"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2987A49"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公司不存在其他符合非经常性损益定义的损益项目的具体情况。</w:t>
      </w:r>
    </w:p>
    <w:p w14:paraId="1E981B63"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将《公开发行证券的公司信息披露解释性公告第1号——非经常性损益》中列举的非经常性损益项目界定为经常性损益项目的情况说明</w:t>
      </w:r>
    </w:p>
    <w:p w14:paraId="4C5F68C6" w14:textId="77777777" w:rsidR="00632E5B" w:rsidRDefault="0010790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03435C89" w14:textId="77777777" w:rsidR="00632E5B" w:rsidRDefault="00107901">
      <w:pPr>
        <w:pStyle w:val="3"/>
        <w:spacing w:line="280" w:lineRule="exact"/>
        <w:jc w:val="left"/>
        <w:rPr>
          <w:rFonts w:ascii="宋体" w:hAnsi="宋体" w:cs="宋体" w:hint="eastAsia"/>
          <w:b/>
          <w:bCs/>
        </w:rPr>
      </w:pPr>
      <w:bookmarkStart w:id="416" w:name="_Toc989307"/>
      <w:r>
        <w:rPr>
          <w:rFonts w:ascii="宋体" w:hAnsi="宋体" w:cs="宋体"/>
          <w:b/>
          <w:bCs/>
        </w:rPr>
        <w:t>2、净资产收益率及每股收益</w:t>
      </w:r>
      <w:bookmarkEnd w:id="416"/>
    </w:p>
    <w:tbl>
      <w:tblPr>
        <w:tblW w:w="1009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2866"/>
        <w:gridCol w:w="2410"/>
        <w:gridCol w:w="2410"/>
        <w:gridCol w:w="2410"/>
      </w:tblGrid>
      <w:tr w:rsidR="00632E5B" w14:paraId="0EE94386" w14:textId="77777777" w:rsidTr="00116534">
        <w:trPr>
          <w:trHeight w:val="240"/>
        </w:trPr>
        <w:tc>
          <w:tcPr>
            <w:tcW w:w="2866" w:type="dxa"/>
            <w:vMerge w:val="restart"/>
            <w:shd w:val="clear" w:color="auto" w:fill="FFFFFF" w:themeFill="background1"/>
            <w:vAlign w:val="center"/>
          </w:tcPr>
          <w:p w14:paraId="4A4196C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报告期利润</w:t>
            </w:r>
          </w:p>
        </w:tc>
        <w:tc>
          <w:tcPr>
            <w:tcW w:w="2410" w:type="dxa"/>
            <w:vMerge w:val="restart"/>
            <w:shd w:val="clear" w:color="auto" w:fill="FFFFFF" w:themeFill="background1"/>
            <w:vAlign w:val="center"/>
          </w:tcPr>
          <w:p w14:paraId="51418A03"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加权平均净资产收益率</w:t>
            </w:r>
          </w:p>
        </w:tc>
        <w:tc>
          <w:tcPr>
            <w:tcW w:w="4820" w:type="dxa"/>
            <w:gridSpan w:val="2"/>
            <w:shd w:val="clear" w:color="auto" w:fill="FFFFFF" w:themeFill="background1"/>
            <w:vAlign w:val="center"/>
          </w:tcPr>
          <w:p w14:paraId="5A58776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每股收益</w:t>
            </w:r>
          </w:p>
        </w:tc>
      </w:tr>
      <w:tr w:rsidR="00632E5B" w14:paraId="76660EF0" w14:textId="77777777" w:rsidTr="00116534">
        <w:trPr>
          <w:trHeight w:val="240"/>
        </w:trPr>
        <w:tc>
          <w:tcPr>
            <w:tcW w:w="2866" w:type="dxa"/>
            <w:vMerge/>
            <w:shd w:val="clear" w:color="auto" w:fill="FFFFFF" w:themeFill="background1"/>
            <w:vAlign w:val="center"/>
          </w:tcPr>
          <w:p w14:paraId="25D01963" w14:textId="77777777" w:rsidR="00632E5B" w:rsidRDefault="00632E5B"/>
        </w:tc>
        <w:tc>
          <w:tcPr>
            <w:tcW w:w="2410" w:type="dxa"/>
            <w:vMerge/>
            <w:shd w:val="clear" w:color="auto" w:fill="FFFFFF" w:themeFill="background1"/>
            <w:vAlign w:val="center"/>
          </w:tcPr>
          <w:p w14:paraId="3B6ABD29" w14:textId="77777777" w:rsidR="00632E5B" w:rsidRDefault="00632E5B"/>
        </w:tc>
        <w:tc>
          <w:tcPr>
            <w:tcW w:w="2410" w:type="dxa"/>
            <w:shd w:val="clear" w:color="auto" w:fill="FFFFFF" w:themeFill="background1"/>
            <w:vAlign w:val="center"/>
          </w:tcPr>
          <w:p w14:paraId="08E7B1B4"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基本每股收益（元/股）</w:t>
            </w:r>
          </w:p>
        </w:tc>
        <w:tc>
          <w:tcPr>
            <w:tcW w:w="2410" w:type="dxa"/>
            <w:shd w:val="clear" w:color="auto" w:fill="FFFFFF" w:themeFill="background1"/>
            <w:vAlign w:val="center"/>
          </w:tcPr>
          <w:p w14:paraId="3B98F7C5" w14:textId="77777777" w:rsidR="00632E5B" w:rsidRDefault="00107901">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稀释每股收益（元/股）</w:t>
            </w:r>
          </w:p>
        </w:tc>
      </w:tr>
      <w:tr w:rsidR="00632E5B" w14:paraId="0E25264F" w14:textId="77777777" w:rsidTr="00116534">
        <w:trPr>
          <w:trHeight w:val="240"/>
        </w:trPr>
        <w:tc>
          <w:tcPr>
            <w:tcW w:w="2866" w:type="dxa"/>
            <w:shd w:val="clear" w:color="auto" w:fill="FFFFFF" w:themeFill="background1"/>
            <w:vAlign w:val="center"/>
          </w:tcPr>
          <w:p w14:paraId="44580D3D"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归属于公司普通股股东的净利润</w:t>
            </w:r>
          </w:p>
        </w:tc>
        <w:tc>
          <w:tcPr>
            <w:tcW w:w="2410" w:type="dxa"/>
            <w:shd w:val="clear" w:color="auto" w:fill="FFFFFF" w:themeFill="background1"/>
            <w:vAlign w:val="center"/>
          </w:tcPr>
          <w:p w14:paraId="0100C756" w14:textId="77777777" w:rsidR="00632E5B" w:rsidRDefault="0024544F" w:rsidP="0024544F">
            <w:pPr>
              <w:spacing w:line="240" w:lineRule="exact"/>
              <w:jc w:val="center"/>
              <w:rPr>
                <w:rFonts w:ascii="宋体" w:eastAsia="宋体" w:hAnsi="宋体" w:cs="宋体" w:hint="eastAsia"/>
                <w:sz w:val="18"/>
                <w:szCs w:val="18"/>
              </w:rPr>
            </w:pPr>
            <w:r>
              <w:rPr>
                <w:rFonts w:ascii="宋体" w:eastAsia="宋体" w:hAnsi="宋体" w:cs="宋体" w:hint="eastAsia"/>
                <w:sz w:val="18"/>
                <w:szCs w:val="18"/>
              </w:rPr>
              <w:t>不适用</w:t>
            </w:r>
            <w:r w:rsidR="00107901">
              <w:rPr>
                <w:rFonts w:ascii="Times New Roman" w:eastAsia="宋体" w:hAnsi="Times New Roman" w:cs="Times New Roman"/>
                <w:color w:val="F00000"/>
                <w:vertAlign w:val="superscript"/>
              </w:rPr>
              <w:t>1</w:t>
            </w:r>
          </w:p>
        </w:tc>
        <w:tc>
          <w:tcPr>
            <w:tcW w:w="2410" w:type="dxa"/>
            <w:shd w:val="clear" w:color="auto" w:fill="FFFFFF" w:themeFill="background1"/>
            <w:vAlign w:val="center"/>
          </w:tcPr>
          <w:p w14:paraId="15EBF07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-0.46</w:t>
            </w:r>
          </w:p>
        </w:tc>
        <w:tc>
          <w:tcPr>
            <w:tcW w:w="2410" w:type="dxa"/>
            <w:shd w:val="clear" w:color="auto" w:fill="FFFFFF" w:themeFill="background1"/>
            <w:vAlign w:val="center"/>
          </w:tcPr>
          <w:p w14:paraId="1775680B"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-0.46</w:t>
            </w:r>
          </w:p>
        </w:tc>
      </w:tr>
      <w:tr w:rsidR="00632E5B" w14:paraId="3A35345C" w14:textId="77777777" w:rsidTr="00116534">
        <w:trPr>
          <w:trHeight w:val="240"/>
        </w:trPr>
        <w:tc>
          <w:tcPr>
            <w:tcW w:w="2866" w:type="dxa"/>
            <w:shd w:val="clear" w:color="auto" w:fill="FFFFFF" w:themeFill="background1"/>
            <w:vAlign w:val="center"/>
          </w:tcPr>
          <w:p w14:paraId="423B584A" w14:textId="77777777" w:rsidR="00632E5B" w:rsidRDefault="00107901">
            <w:pPr>
              <w:spacing w:before="40" w:after="40" w:line="240" w:lineRule="exact"/>
              <w:rPr>
                <w:rFonts w:ascii="宋体" w:eastAsia="宋体" w:hAnsi="宋体" w:cs="宋体" w:hint="eastAsia"/>
                <w:sz w:val="18"/>
                <w:szCs w:val="18"/>
              </w:rPr>
            </w:pPr>
            <w:r>
              <w:rPr>
                <w:rFonts w:ascii="宋体" w:eastAsia="宋体" w:hAnsi="宋体" w:cs="宋体"/>
                <w:sz w:val="18"/>
                <w:szCs w:val="18"/>
              </w:rPr>
              <w:t>扣除非经常性损益后归属于公司普通股股东的净利润</w:t>
            </w:r>
          </w:p>
        </w:tc>
        <w:tc>
          <w:tcPr>
            <w:tcW w:w="2410" w:type="dxa"/>
            <w:shd w:val="clear" w:color="auto" w:fill="FFFFFF" w:themeFill="background1"/>
            <w:vAlign w:val="center"/>
          </w:tcPr>
          <w:p w14:paraId="79B6D7D3" w14:textId="77777777" w:rsidR="00632E5B" w:rsidRDefault="0024544F" w:rsidP="0024544F">
            <w:pPr>
              <w:spacing w:line="240" w:lineRule="exact"/>
              <w:jc w:val="center"/>
              <w:rPr>
                <w:rFonts w:ascii="宋体" w:eastAsia="宋体" w:hAnsi="宋体" w:cs="宋体" w:hint="eastAsia"/>
                <w:sz w:val="18"/>
                <w:szCs w:val="18"/>
              </w:rPr>
            </w:pPr>
            <w:r>
              <w:rPr>
                <w:rFonts w:ascii="宋体" w:eastAsia="宋体" w:hAnsi="宋体" w:cs="宋体" w:hint="eastAsia"/>
                <w:sz w:val="18"/>
                <w:szCs w:val="18"/>
              </w:rPr>
              <w:t>不适用</w:t>
            </w:r>
          </w:p>
        </w:tc>
        <w:tc>
          <w:tcPr>
            <w:tcW w:w="2410" w:type="dxa"/>
            <w:shd w:val="clear" w:color="auto" w:fill="FFFFFF" w:themeFill="background1"/>
            <w:vAlign w:val="center"/>
          </w:tcPr>
          <w:p w14:paraId="7682A00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-0.87</w:t>
            </w:r>
          </w:p>
        </w:tc>
        <w:tc>
          <w:tcPr>
            <w:tcW w:w="2410" w:type="dxa"/>
            <w:shd w:val="clear" w:color="auto" w:fill="FFFFFF" w:themeFill="background1"/>
            <w:vAlign w:val="center"/>
          </w:tcPr>
          <w:p w14:paraId="0C412500" w14:textId="77777777" w:rsidR="00632E5B" w:rsidRDefault="00107901">
            <w:pPr>
              <w:spacing w:line="240" w:lineRule="exact"/>
              <w:jc w:val="right"/>
              <w:rPr>
                <w:rFonts w:ascii="宋体" w:eastAsia="宋体" w:hAnsi="宋体" w:cs="宋体" w:hint="eastAsia"/>
                <w:sz w:val="18"/>
                <w:szCs w:val="18"/>
              </w:rPr>
            </w:pPr>
            <w:r>
              <w:rPr>
                <w:rFonts w:ascii="宋体" w:eastAsia="宋体" w:hAnsi="宋体" w:cs="宋体"/>
                <w:sz w:val="18"/>
                <w:szCs w:val="18"/>
              </w:rPr>
              <w:t>-0.87</w:t>
            </w:r>
          </w:p>
        </w:tc>
      </w:tr>
    </w:tbl>
    <w:p w14:paraId="30D1F37C" w14:textId="7768851F" w:rsidR="00632E5B" w:rsidRPr="008778A1" w:rsidRDefault="005106DA" w:rsidP="00116534">
      <w:pPr>
        <w:rPr>
          <w:rFonts w:asciiTheme="minorEastAsia" w:hAnsiTheme="minorEastAsia" w:hint="eastAsia"/>
          <w:sz w:val="18"/>
        </w:rPr>
      </w:pPr>
      <w:r>
        <w:rPr>
          <w:rFonts w:asciiTheme="minorEastAsia" w:hAnsiTheme="minorEastAsia" w:cs="仿宋"/>
          <w:sz w:val="18"/>
        </w:rPr>
        <w:t>注</w:t>
      </w:r>
      <w:r w:rsidR="00107901" w:rsidRPr="008778A1">
        <w:rPr>
          <w:rFonts w:asciiTheme="minorEastAsia" w:hAnsiTheme="minorEastAsia" w:cs="仿宋"/>
          <w:sz w:val="18"/>
        </w:rPr>
        <w:t>1</w:t>
      </w:r>
      <w:r>
        <w:rPr>
          <w:rFonts w:asciiTheme="minorEastAsia" w:hAnsiTheme="minorEastAsia" w:cs="仿宋" w:hint="eastAsia"/>
          <w:sz w:val="18"/>
        </w:rPr>
        <w:t>：</w:t>
      </w:r>
      <w:r w:rsidR="00107901" w:rsidRPr="008778A1">
        <w:rPr>
          <w:rFonts w:asciiTheme="minorEastAsia" w:hAnsiTheme="minorEastAsia" w:cs="仿宋"/>
          <w:sz w:val="18"/>
        </w:rPr>
        <w:t xml:space="preserve"> 公司2024年度归属于公司普通股股东的净利润为-1,174,126,055.60元，扣除非经常性损益后归属于公司普通股股东的净利润为-2,253,773,081.46元，加权平均净资产为-1,152,107,163.32元。</w:t>
      </w:r>
    </w:p>
    <w:sectPr w:rsidR="00632E5B" w:rsidRPr="008778A1" w:rsidSect="00E90C20">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B4A78" w14:textId="77777777" w:rsidR="00CC0B04" w:rsidRDefault="00CC0B04">
      <w:r>
        <w:separator/>
      </w:r>
    </w:p>
  </w:endnote>
  <w:endnote w:type="continuationSeparator" w:id="0">
    <w:p w14:paraId="3747ACBA" w14:textId="77777777" w:rsidR="00CC0B04" w:rsidRDefault="00CC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BC608" w14:textId="6AFE1617" w:rsidR="00A31A34" w:rsidRDefault="00A31A34">
    <w:pPr>
      <w:pStyle w:val="fotter1"/>
    </w:pPr>
    <w:r>
      <w:fldChar w:fldCharType="begin"/>
    </w:r>
    <w:r>
      <w:instrText>PAGE   \* MERGEFORMAT</w:instrText>
    </w:r>
    <w:r>
      <w:fldChar w:fldCharType="separate"/>
    </w:r>
    <w:r w:rsidR="00CF545D">
      <w:rPr>
        <w:noProof/>
      </w:rPr>
      <w:t>83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7011" w14:textId="77777777" w:rsidR="00CC0B04" w:rsidRDefault="00CC0B04">
      <w:r>
        <w:separator/>
      </w:r>
    </w:p>
  </w:footnote>
  <w:footnote w:type="continuationSeparator" w:id="0">
    <w:p w14:paraId="184BD2D4" w14:textId="77777777" w:rsidR="00CC0B04" w:rsidRDefault="00CC0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2850F" w14:textId="77777777" w:rsidR="00A31A34" w:rsidRDefault="00A31A34">
    <w:pPr>
      <w:pStyle w:val="Header1"/>
      <w:pBdr>
        <w:bottom w:val="single" w:sz="6" w:space="1" w:color="auto"/>
      </w:pBdr>
    </w:pPr>
    <w:r>
      <w:t>江苏中利集团股份有限公司2024年年度报告全文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90F3F"/>
    <w:multiLevelType w:val="multilevel"/>
    <w:tmpl w:val="46D0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A21606"/>
    <w:multiLevelType w:val="multilevel"/>
    <w:tmpl w:val="0E62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DE3B73"/>
    <w:multiLevelType w:val="multilevel"/>
    <w:tmpl w:val="FA2C1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EA3BC7"/>
    <w:multiLevelType w:val="multilevel"/>
    <w:tmpl w:val="E4CE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330C97"/>
    <w:multiLevelType w:val="multilevel"/>
    <w:tmpl w:val="4E7C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D05A93"/>
    <w:multiLevelType w:val="multilevel"/>
    <w:tmpl w:val="0CD0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8613607">
    <w:abstractNumId w:val="2"/>
  </w:num>
  <w:num w:numId="2" w16cid:durableId="840780643">
    <w:abstractNumId w:val="1"/>
  </w:num>
  <w:num w:numId="3" w16cid:durableId="1380086849">
    <w:abstractNumId w:val="4"/>
  </w:num>
  <w:num w:numId="4" w16cid:durableId="1855069915">
    <w:abstractNumId w:val="5"/>
  </w:num>
  <w:num w:numId="5" w16cid:durableId="2139371305">
    <w:abstractNumId w:val="0"/>
  </w:num>
  <w:num w:numId="6" w16cid:durableId="903100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E5B"/>
    <w:rsid w:val="00001801"/>
    <w:rsid w:val="000073E6"/>
    <w:rsid w:val="00010151"/>
    <w:rsid w:val="00013CBF"/>
    <w:rsid w:val="00015812"/>
    <w:rsid w:val="00015F25"/>
    <w:rsid w:val="00020E7D"/>
    <w:rsid w:val="00033451"/>
    <w:rsid w:val="00035A7B"/>
    <w:rsid w:val="00040490"/>
    <w:rsid w:val="00040A18"/>
    <w:rsid w:val="00061651"/>
    <w:rsid w:val="000676A6"/>
    <w:rsid w:val="00072C04"/>
    <w:rsid w:val="0007464E"/>
    <w:rsid w:val="00076A77"/>
    <w:rsid w:val="000868AC"/>
    <w:rsid w:val="00091EA9"/>
    <w:rsid w:val="000932A6"/>
    <w:rsid w:val="0009670B"/>
    <w:rsid w:val="000A34B1"/>
    <w:rsid w:val="000B756D"/>
    <w:rsid w:val="000C3CED"/>
    <w:rsid w:val="000D74C0"/>
    <w:rsid w:val="000D793C"/>
    <w:rsid w:val="000E18E2"/>
    <w:rsid w:val="000E7353"/>
    <w:rsid w:val="00107901"/>
    <w:rsid w:val="00110247"/>
    <w:rsid w:val="00112538"/>
    <w:rsid w:val="00115057"/>
    <w:rsid w:val="00116534"/>
    <w:rsid w:val="00126FF3"/>
    <w:rsid w:val="00127DD8"/>
    <w:rsid w:val="0013487C"/>
    <w:rsid w:val="0014662C"/>
    <w:rsid w:val="0015183A"/>
    <w:rsid w:val="001572EE"/>
    <w:rsid w:val="00162B05"/>
    <w:rsid w:val="0016721B"/>
    <w:rsid w:val="0017670C"/>
    <w:rsid w:val="001A4AB6"/>
    <w:rsid w:val="001A6B97"/>
    <w:rsid w:val="001B6A01"/>
    <w:rsid w:val="001C60BB"/>
    <w:rsid w:val="001C6B38"/>
    <w:rsid w:val="001D0DB1"/>
    <w:rsid w:val="001D3277"/>
    <w:rsid w:val="001F489E"/>
    <w:rsid w:val="001F5A64"/>
    <w:rsid w:val="00201609"/>
    <w:rsid w:val="00224FAB"/>
    <w:rsid w:val="0022563C"/>
    <w:rsid w:val="00235179"/>
    <w:rsid w:val="00237813"/>
    <w:rsid w:val="0024544F"/>
    <w:rsid w:val="00247F56"/>
    <w:rsid w:val="002504D2"/>
    <w:rsid w:val="00255041"/>
    <w:rsid w:val="00255FB6"/>
    <w:rsid w:val="00262D03"/>
    <w:rsid w:val="00275513"/>
    <w:rsid w:val="002766B4"/>
    <w:rsid w:val="00291239"/>
    <w:rsid w:val="00291252"/>
    <w:rsid w:val="002A58FC"/>
    <w:rsid w:val="002A59A2"/>
    <w:rsid w:val="002A7B71"/>
    <w:rsid w:val="002D27FF"/>
    <w:rsid w:val="002D5C47"/>
    <w:rsid w:val="002E5D09"/>
    <w:rsid w:val="002E64FA"/>
    <w:rsid w:val="002F5494"/>
    <w:rsid w:val="0030714C"/>
    <w:rsid w:val="0031313D"/>
    <w:rsid w:val="003258E0"/>
    <w:rsid w:val="00372641"/>
    <w:rsid w:val="0037283D"/>
    <w:rsid w:val="00373F73"/>
    <w:rsid w:val="003874E9"/>
    <w:rsid w:val="003913C9"/>
    <w:rsid w:val="003B094B"/>
    <w:rsid w:val="003B358A"/>
    <w:rsid w:val="003C1AAB"/>
    <w:rsid w:val="003C252C"/>
    <w:rsid w:val="003D272E"/>
    <w:rsid w:val="003E4314"/>
    <w:rsid w:val="003E509B"/>
    <w:rsid w:val="003F2B1F"/>
    <w:rsid w:val="003F2EA9"/>
    <w:rsid w:val="0042618F"/>
    <w:rsid w:val="0044671F"/>
    <w:rsid w:val="004571D4"/>
    <w:rsid w:val="00462185"/>
    <w:rsid w:val="004645B2"/>
    <w:rsid w:val="00467AC7"/>
    <w:rsid w:val="0047298B"/>
    <w:rsid w:val="00474492"/>
    <w:rsid w:val="00483E40"/>
    <w:rsid w:val="00496994"/>
    <w:rsid w:val="004A771F"/>
    <w:rsid w:val="004B3576"/>
    <w:rsid w:val="004B78E5"/>
    <w:rsid w:val="004C344C"/>
    <w:rsid w:val="004C5EA3"/>
    <w:rsid w:val="004C6757"/>
    <w:rsid w:val="004D53EE"/>
    <w:rsid w:val="004D5509"/>
    <w:rsid w:val="004D7CC2"/>
    <w:rsid w:val="00507D49"/>
    <w:rsid w:val="005106DA"/>
    <w:rsid w:val="00514846"/>
    <w:rsid w:val="00514DEA"/>
    <w:rsid w:val="00516549"/>
    <w:rsid w:val="0052477C"/>
    <w:rsid w:val="00533C55"/>
    <w:rsid w:val="005520DA"/>
    <w:rsid w:val="0055215A"/>
    <w:rsid w:val="00571CAE"/>
    <w:rsid w:val="00573AFC"/>
    <w:rsid w:val="00585914"/>
    <w:rsid w:val="00595371"/>
    <w:rsid w:val="005A7B78"/>
    <w:rsid w:val="005B0E58"/>
    <w:rsid w:val="005C40FC"/>
    <w:rsid w:val="005D1A23"/>
    <w:rsid w:val="005D4531"/>
    <w:rsid w:val="005F6322"/>
    <w:rsid w:val="0060240A"/>
    <w:rsid w:val="00603A7B"/>
    <w:rsid w:val="00603C77"/>
    <w:rsid w:val="00604496"/>
    <w:rsid w:val="006233D5"/>
    <w:rsid w:val="00624CC1"/>
    <w:rsid w:val="00632E5B"/>
    <w:rsid w:val="00635C7A"/>
    <w:rsid w:val="006409EF"/>
    <w:rsid w:val="00655CDE"/>
    <w:rsid w:val="006569E8"/>
    <w:rsid w:val="006658D1"/>
    <w:rsid w:val="0067719E"/>
    <w:rsid w:val="00680707"/>
    <w:rsid w:val="0069054D"/>
    <w:rsid w:val="0069363F"/>
    <w:rsid w:val="00695EAE"/>
    <w:rsid w:val="006A4D5E"/>
    <w:rsid w:val="006C12DD"/>
    <w:rsid w:val="006C2D20"/>
    <w:rsid w:val="006D52C1"/>
    <w:rsid w:val="006D6C71"/>
    <w:rsid w:val="006E19B8"/>
    <w:rsid w:val="006F4AAB"/>
    <w:rsid w:val="007071A0"/>
    <w:rsid w:val="007235ED"/>
    <w:rsid w:val="0073453C"/>
    <w:rsid w:val="00734B63"/>
    <w:rsid w:val="00750D99"/>
    <w:rsid w:val="00751384"/>
    <w:rsid w:val="00752C3C"/>
    <w:rsid w:val="00763CE9"/>
    <w:rsid w:val="00774DD7"/>
    <w:rsid w:val="00786181"/>
    <w:rsid w:val="0079795F"/>
    <w:rsid w:val="00797D51"/>
    <w:rsid w:val="007A2A48"/>
    <w:rsid w:val="007E0316"/>
    <w:rsid w:val="007F16E3"/>
    <w:rsid w:val="007F68CE"/>
    <w:rsid w:val="00800AFC"/>
    <w:rsid w:val="008109AC"/>
    <w:rsid w:val="00815163"/>
    <w:rsid w:val="008178C4"/>
    <w:rsid w:val="00842CBE"/>
    <w:rsid w:val="008555CD"/>
    <w:rsid w:val="008603AE"/>
    <w:rsid w:val="00867A22"/>
    <w:rsid w:val="00871F82"/>
    <w:rsid w:val="0087734B"/>
    <w:rsid w:val="008778A1"/>
    <w:rsid w:val="008825A5"/>
    <w:rsid w:val="0089112E"/>
    <w:rsid w:val="00894FBA"/>
    <w:rsid w:val="008B2236"/>
    <w:rsid w:val="008B6556"/>
    <w:rsid w:val="008D0307"/>
    <w:rsid w:val="008F13E1"/>
    <w:rsid w:val="008F18A3"/>
    <w:rsid w:val="008F22FF"/>
    <w:rsid w:val="009064D1"/>
    <w:rsid w:val="00924E45"/>
    <w:rsid w:val="00926621"/>
    <w:rsid w:val="00933E86"/>
    <w:rsid w:val="009363D8"/>
    <w:rsid w:val="00942E95"/>
    <w:rsid w:val="009433B5"/>
    <w:rsid w:val="009568CF"/>
    <w:rsid w:val="009571EB"/>
    <w:rsid w:val="00964B86"/>
    <w:rsid w:val="009670FF"/>
    <w:rsid w:val="0097200F"/>
    <w:rsid w:val="009844FF"/>
    <w:rsid w:val="0098679F"/>
    <w:rsid w:val="00987811"/>
    <w:rsid w:val="00992D4F"/>
    <w:rsid w:val="009C3B08"/>
    <w:rsid w:val="009E3E6F"/>
    <w:rsid w:val="009E4220"/>
    <w:rsid w:val="009E4C37"/>
    <w:rsid w:val="009E551A"/>
    <w:rsid w:val="009F29B5"/>
    <w:rsid w:val="00A07887"/>
    <w:rsid w:val="00A1342E"/>
    <w:rsid w:val="00A169F9"/>
    <w:rsid w:val="00A215EA"/>
    <w:rsid w:val="00A25B88"/>
    <w:rsid w:val="00A3001F"/>
    <w:rsid w:val="00A31A34"/>
    <w:rsid w:val="00A37F27"/>
    <w:rsid w:val="00A60474"/>
    <w:rsid w:val="00A63697"/>
    <w:rsid w:val="00A7139B"/>
    <w:rsid w:val="00A73CAC"/>
    <w:rsid w:val="00A87C8F"/>
    <w:rsid w:val="00AA21C0"/>
    <w:rsid w:val="00AB68F1"/>
    <w:rsid w:val="00AC2E33"/>
    <w:rsid w:val="00AD6DAF"/>
    <w:rsid w:val="00AE033D"/>
    <w:rsid w:val="00AE2E61"/>
    <w:rsid w:val="00AE4E1E"/>
    <w:rsid w:val="00AF2A13"/>
    <w:rsid w:val="00AF33DB"/>
    <w:rsid w:val="00B07790"/>
    <w:rsid w:val="00B1577B"/>
    <w:rsid w:val="00B158CE"/>
    <w:rsid w:val="00B23CBD"/>
    <w:rsid w:val="00B4141D"/>
    <w:rsid w:val="00B444E7"/>
    <w:rsid w:val="00B45D21"/>
    <w:rsid w:val="00B50645"/>
    <w:rsid w:val="00B53F91"/>
    <w:rsid w:val="00B56B9A"/>
    <w:rsid w:val="00B56D36"/>
    <w:rsid w:val="00B70AD7"/>
    <w:rsid w:val="00BA1A31"/>
    <w:rsid w:val="00BA1A6A"/>
    <w:rsid w:val="00BB6E9C"/>
    <w:rsid w:val="00BD1436"/>
    <w:rsid w:val="00BD4F7B"/>
    <w:rsid w:val="00BE0688"/>
    <w:rsid w:val="00BF0CD0"/>
    <w:rsid w:val="00BF5F9E"/>
    <w:rsid w:val="00C01225"/>
    <w:rsid w:val="00C10981"/>
    <w:rsid w:val="00C12D5F"/>
    <w:rsid w:val="00C15CF6"/>
    <w:rsid w:val="00C4091E"/>
    <w:rsid w:val="00C421FE"/>
    <w:rsid w:val="00C444E9"/>
    <w:rsid w:val="00C563E4"/>
    <w:rsid w:val="00C62130"/>
    <w:rsid w:val="00C8117C"/>
    <w:rsid w:val="00C8382E"/>
    <w:rsid w:val="00C848C2"/>
    <w:rsid w:val="00C91C3D"/>
    <w:rsid w:val="00C91D96"/>
    <w:rsid w:val="00CA261D"/>
    <w:rsid w:val="00CA5B07"/>
    <w:rsid w:val="00CA6DE8"/>
    <w:rsid w:val="00CB17C0"/>
    <w:rsid w:val="00CB6FD6"/>
    <w:rsid w:val="00CC0B04"/>
    <w:rsid w:val="00CC40B5"/>
    <w:rsid w:val="00CE73B0"/>
    <w:rsid w:val="00CF417C"/>
    <w:rsid w:val="00CF545D"/>
    <w:rsid w:val="00D02FA8"/>
    <w:rsid w:val="00D03C3A"/>
    <w:rsid w:val="00D03DB9"/>
    <w:rsid w:val="00D10F03"/>
    <w:rsid w:val="00D139D7"/>
    <w:rsid w:val="00D1443F"/>
    <w:rsid w:val="00D1586F"/>
    <w:rsid w:val="00D21D1C"/>
    <w:rsid w:val="00D268D1"/>
    <w:rsid w:val="00D42408"/>
    <w:rsid w:val="00D47002"/>
    <w:rsid w:val="00D65042"/>
    <w:rsid w:val="00D710BD"/>
    <w:rsid w:val="00D838BD"/>
    <w:rsid w:val="00D93640"/>
    <w:rsid w:val="00D954C5"/>
    <w:rsid w:val="00DA4818"/>
    <w:rsid w:val="00DB299B"/>
    <w:rsid w:val="00DD022D"/>
    <w:rsid w:val="00DD0DA8"/>
    <w:rsid w:val="00DD2081"/>
    <w:rsid w:val="00DD50A9"/>
    <w:rsid w:val="00DD5254"/>
    <w:rsid w:val="00DE03DB"/>
    <w:rsid w:val="00DE144B"/>
    <w:rsid w:val="00DE3FB1"/>
    <w:rsid w:val="00DE4098"/>
    <w:rsid w:val="00DF031D"/>
    <w:rsid w:val="00E17DBC"/>
    <w:rsid w:val="00E22DD9"/>
    <w:rsid w:val="00E24C81"/>
    <w:rsid w:val="00E34341"/>
    <w:rsid w:val="00E348F2"/>
    <w:rsid w:val="00E4121F"/>
    <w:rsid w:val="00E44DC0"/>
    <w:rsid w:val="00E53E0D"/>
    <w:rsid w:val="00E61C8D"/>
    <w:rsid w:val="00E64AC9"/>
    <w:rsid w:val="00E72F0C"/>
    <w:rsid w:val="00E77829"/>
    <w:rsid w:val="00E82302"/>
    <w:rsid w:val="00E90C20"/>
    <w:rsid w:val="00EA2366"/>
    <w:rsid w:val="00EA4BD8"/>
    <w:rsid w:val="00EA536C"/>
    <w:rsid w:val="00EB52C8"/>
    <w:rsid w:val="00EC682D"/>
    <w:rsid w:val="00ED3754"/>
    <w:rsid w:val="00ED4275"/>
    <w:rsid w:val="00ED6F7C"/>
    <w:rsid w:val="00EE00A0"/>
    <w:rsid w:val="00EF1374"/>
    <w:rsid w:val="00EF623B"/>
    <w:rsid w:val="00EF64AB"/>
    <w:rsid w:val="00F05317"/>
    <w:rsid w:val="00F1290F"/>
    <w:rsid w:val="00F14274"/>
    <w:rsid w:val="00F14A18"/>
    <w:rsid w:val="00F273B9"/>
    <w:rsid w:val="00F40E85"/>
    <w:rsid w:val="00F438C9"/>
    <w:rsid w:val="00F4526F"/>
    <w:rsid w:val="00F62879"/>
    <w:rsid w:val="00F6610C"/>
    <w:rsid w:val="00F714C3"/>
    <w:rsid w:val="00F71BF6"/>
    <w:rsid w:val="00F84867"/>
    <w:rsid w:val="00F86A1B"/>
    <w:rsid w:val="00F91968"/>
    <w:rsid w:val="00FA07F5"/>
    <w:rsid w:val="00FA17B7"/>
    <w:rsid w:val="00FB24C9"/>
    <w:rsid w:val="00FB2910"/>
    <w:rsid w:val="00FC1DC3"/>
    <w:rsid w:val="00FC4A55"/>
    <w:rsid w:val="00FC534E"/>
    <w:rsid w:val="00FC59A3"/>
    <w:rsid w:val="00FD1B81"/>
    <w:rsid w:val="00FD317D"/>
    <w:rsid w:val="00FE0BB6"/>
    <w:rsid w:val="00FE5200"/>
    <w:rsid w:val="00FE6CED"/>
    <w:rsid w:val="00FF08E1"/>
    <w:rsid w:val="00FF3CB9"/>
    <w:rsid w:val="00FF5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1A14D"/>
  <w15:docId w15:val="{71999EB8-371B-4BDD-AAEF-00587380D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E7D"/>
    <w:pPr>
      <w:widowControl w:val="0"/>
    </w:pPr>
  </w:style>
  <w:style w:type="paragraph" w:styleId="1">
    <w:name w:val="heading 1"/>
    <w:basedOn w:val="a"/>
    <w:next w:val="a"/>
    <w:link w:val="10"/>
    <w:uiPriority w:val="9"/>
    <w:qFormat/>
    <w:rsid w:val="009844FF"/>
    <w:pPr>
      <w:keepNext/>
      <w:keepLines/>
      <w:spacing w:before="340" w:after="330" w:line="578" w:lineRule="auto"/>
      <w:outlineLvl w:val="0"/>
    </w:pPr>
    <w:rPr>
      <w:b/>
      <w:bCs/>
      <w:kern w:val="44"/>
      <w:sz w:val="44"/>
      <w:szCs w:val="44"/>
    </w:r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44FF"/>
    <w:rPr>
      <w:b/>
      <w:bCs/>
      <w:kern w:val="44"/>
      <w:sz w:val="44"/>
      <w:szCs w:val="44"/>
    </w:rPr>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TOC1">
    <w:name w:val="toc 1"/>
    <w:basedOn w:val="a"/>
    <w:next w:val="a"/>
    <w:autoRedefine/>
    <w:uiPriority w:val="39"/>
    <w:rsid w:val="00CF417C"/>
    <w:pPr>
      <w:tabs>
        <w:tab w:val="right" w:leader="dot" w:pos="9637"/>
      </w:tabs>
      <w:spacing w:line="360" w:lineRule="auto"/>
    </w:pPr>
  </w:style>
  <w:style w:type="paragraph" w:styleId="TOC2">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pPr>
    <w:rPr>
      <w:rFonts w:ascii="宋体" w:eastAsia="宋体" w:hAnsi="宋体" w:cs="宋体"/>
      <w:kern w:val="0"/>
      <w:sz w:val="24"/>
      <w:szCs w:val="24"/>
    </w:rPr>
  </w:style>
  <w:style w:type="character" w:styleId="a4">
    <w:name w:val="Strong"/>
    <w:basedOn w:val="a0"/>
    <w:uiPriority w:val="22"/>
    <w:qFormat/>
    <w:rPr>
      <w:b/>
      <w:bCs/>
    </w:rPr>
  </w:style>
  <w:style w:type="character" w:customStyle="1" w:styleId="fontstyle0">
    <w:name w:val="fontstyle0"/>
    <w:basedOn w:val="a0"/>
  </w:style>
  <w:style w:type="paragraph" w:styleId="a5">
    <w:name w:val="header"/>
    <w:basedOn w:val="a"/>
    <w:link w:val="a6"/>
    <w:uiPriority w:val="99"/>
    <w:unhideWhenUsed/>
    <w:rsid w:val="0024544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4544F"/>
    <w:rPr>
      <w:sz w:val="18"/>
      <w:szCs w:val="18"/>
    </w:rPr>
  </w:style>
  <w:style w:type="paragraph" w:styleId="a7">
    <w:name w:val="footer"/>
    <w:basedOn w:val="a"/>
    <w:link w:val="a8"/>
    <w:uiPriority w:val="99"/>
    <w:unhideWhenUsed/>
    <w:rsid w:val="0024544F"/>
    <w:pPr>
      <w:tabs>
        <w:tab w:val="center" w:pos="4153"/>
        <w:tab w:val="right" w:pos="8306"/>
      </w:tabs>
      <w:snapToGrid w:val="0"/>
    </w:pPr>
    <w:rPr>
      <w:sz w:val="18"/>
      <w:szCs w:val="18"/>
    </w:rPr>
  </w:style>
  <w:style w:type="character" w:customStyle="1" w:styleId="a8">
    <w:name w:val="页脚 字符"/>
    <w:basedOn w:val="a0"/>
    <w:link w:val="a7"/>
    <w:uiPriority w:val="99"/>
    <w:rsid w:val="0024544F"/>
    <w:rPr>
      <w:sz w:val="18"/>
      <w:szCs w:val="18"/>
    </w:rPr>
  </w:style>
  <w:style w:type="table" w:styleId="a9">
    <w:name w:val="Table Grid"/>
    <w:basedOn w:val="a1"/>
    <w:uiPriority w:val="59"/>
    <w:rsid w:val="00245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C62130"/>
    <w:rPr>
      <w:sz w:val="21"/>
      <w:szCs w:val="21"/>
    </w:rPr>
  </w:style>
  <w:style w:type="paragraph" w:customStyle="1" w:styleId="ab">
    <w:basedOn w:val="a"/>
    <w:next w:val="ac"/>
    <w:uiPriority w:val="34"/>
    <w:qFormat/>
    <w:rsid w:val="00CA5B07"/>
    <w:pPr>
      <w:ind w:firstLineChars="200" w:firstLine="420"/>
      <w:jc w:val="both"/>
    </w:pPr>
    <w:rPr>
      <w:rFonts w:ascii="Times New Roman" w:eastAsia="宋体" w:hAnsi="Times New Roman" w:cs="Times New Roman"/>
      <w:szCs w:val="20"/>
    </w:rPr>
  </w:style>
  <w:style w:type="paragraph" w:styleId="ac">
    <w:name w:val="List Paragraph"/>
    <w:basedOn w:val="a"/>
    <w:uiPriority w:val="34"/>
    <w:qFormat/>
    <w:rsid w:val="00CA5B07"/>
    <w:pPr>
      <w:ind w:firstLineChars="200" w:firstLine="420"/>
    </w:pPr>
  </w:style>
  <w:style w:type="character" w:customStyle="1" w:styleId="fontstyle01">
    <w:name w:val="fontstyle01"/>
    <w:basedOn w:val="a0"/>
    <w:rsid w:val="008B2236"/>
    <w:rPr>
      <w:rFonts w:ascii="宋体" w:eastAsia="宋体" w:hAnsi="宋体" w:hint="eastAsia"/>
      <w:b w:val="0"/>
      <w:bCs w:val="0"/>
      <w:i w:val="0"/>
      <w:iCs w:val="0"/>
      <w:color w:val="000000"/>
      <w:sz w:val="24"/>
      <w:szCs w:val="24"/>
    </w:rPr>
  </w:style>
  <w:style w:type="paragraph" w:styleId="TOC3">
    <w:name w:val="toc 3"/>
    <w:basedOn w:val="a"/>
    <w:next w:val="a"/>
    <w:autoRedefine/>
    <w:uiPriority w:val="39"/>
    <w:unhideWhenUsed/>
    <w:rsid w:val="009844FF"/>
    <w:pPr>
      <w:ind w:leftChars="400" w:left="840"/>
    </w:pPr>
  </w:style>
  <w:style w:type="paragraph" w:styleId="TOC">
    <w:name w:val="TOC Heading"/>
    <w:basedOn w:val="1"/>
    <w:next w:val="a"/>
    <w:uiPriority w:val="39"/>
    <w:unhideWhenUsed/>
    <w:qFormat/>
    <w:rsid w:val="009844FF"/>
    <w:pPr>
      <w:widowControl/>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ad">
    <w:name w:val="annotation text"/>
    <w:basedOn w:val="a"/>
    <w:link w:val="ae"/>
    <w:uiPriority w:val="99"/>
    <w:semiHidden/>
    <w:unhideWhenUsed/>
    <w:rsid w:val="00507D49"/>
  </w:style>
  <w:style w:type="character" w:customStyle="1" w:styleId="ae">
    <w:name w:val="批注文字 字符"/>
    <w:basedOn w:val="a0"/>
    <w:link w:val="ad"/>
    <w:uiPriority w:val="99"/>
    <w:semiHidden/>
    <w:rsid w:val="00507D49"/>
  </w:style>
  <w:style w:type="paragraph" w:styleId="af">
    <w:name w:val="annotation subject"/>
    <w:basedOn w:val="ad"/>
    <w:next w:val="ad"/>
    <w:link w:val="af0"/>
    <w:uiPriority w:val="99"/>
    <w:semiHidden/>
    <w:unhideWhenUsed/>
    <w:rsid w:val="00507D49"/>
    <w:rPr>
      <w:b/>
      <w:bCs/>
    </w:rPr>
  </w:style>
  <w:style w:type="character" w:customStyle="1" w:styleId="af0">
    <w:name w:val="批注主题 字符"/>
    <w:basedOn w:val="ae"/>
    <w:link w:val="af"/>
    <w:uiPriority w:val="99"/>
    <w:semiHidden/>
    <w:rsid w:val="00507D49"/>
    <w:rPr>
      <w:b/>
      <w:bCs/>
    </w:rPr>
  </w:style>
  <w:style w:type="paragraph" w:styleId="af1">
    <w:name w:val="Balloon Text"/>
    <w:basedOn w:val="a"/>
    <w:link w:val="af2"/>
    <w:uiPriority w:val="99"/>
    <w:semiHidden/>
    <w:unhideWhenUsed/>
    <w:rsid w:val="00507D49"/>
    <w:rPr>
      <w:sz w:val="18"/>
      <w:szCs w:val="18"/>
    </w:rPr>
  </w:style>
  <w:style w:type="character" w:customStyle="1" w:styleId="af2">
    <w:name w:val="批注框文本 字符"/>
    <w:basedOn w:val="a0"/>
    <w:link w:val="af1"/>
    <w:uiPriority w:val="99"/>
    <w:semiHidden/>
    <w:rsid w:val="00507D49"/>
    <w:rPr>
      <w:sz w:val="18"/>
      <w:szCs w:val="18"/>
    </w:rPr>
  </w:style>
  <w:style w:type="table" w:styleId="20">
    <w:name w:val="Plain Table 2"/>
    <w:basedOn w:val="a1"/>
    <w:uiPriority w:val="42"/>
    <w:rsid w:val="0047298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4703">
      <w:bodyDiv w:val="1"/>
      <w:marLeft w:val="0"/>
      <w:marRight w:val="0"/>
      <w:marTop w:val="0"/>
      <w:marBottom w:val="0"/>
      <w:divBdr>
        <w:top w:val="none" w:sz="0" w:space="0" w:color="auto"/>
        <w:left w:val="none" w:sz="0" w:space="0" w:color="auto"/>
        <w:bottom w:val="none" w:sz="0" w:space="0" w:color="auto"/>
        <w:right w:val="none" w:sz="0" w:space="0" w:color="auto"/>
      </w:divBdr>
    </w:div>
    <w:div w:id="9111597">
      <w:bodyDiv w:val="1"/>
      <w:marLeft w:val="0"/>
      <w:marRight w:val="0"/>
      <w:marTop w:val="0"/>
      <w:marBottom w:val="0"/>
      <w:divBdr>
        <w:top w:val="none" w:sz="0" w:space="0" w:color="auto"/>
        <w:left w:val="none" w:sz="0" w:space="0" w:color="auto"/>
        <w:bottom w:val="none" w:sz="0" w:space="0" w:color="auto"/>
        <w:right w:val="none" w:sz="0" w:space="0" w:color="auto"/>
      </w:divBdr>
    </w:div>
    <w:div w:id="20860299">
      <w:bodyDiv w:val="1"/>
      <w:marLeft w:val="0"/>
      <w:marRight w:val="0"/>
      <w:marTop w:val="0"/>
      <w:marBottom w:val="0"/>
      <w:divBdr>
        <w:top w:val="none" w:sz="0" w:space="0" w:color="auto"/>
        <w:left w:val="none" w:sz="0" w:space="0" w:color="auto"/>
        <w:bottom w:val="none" w:sz="0" w:space="0" w:color="auto"/>
        <w:right w:val="none" w:sz="0" w:space="0" w:color="auto"/>
      </w:divBdr>
    </w:div>
    <w:div w:id="22443726">
      <w:bodyDiv w:val="1"/>
      <w:marLeft w:val="0"/>
      <w:marRight w:val="0"/>
      <w:marTop w:val="0"/>
      <w:marBottom w:val="0"/>
      <w:divBdr>
        <w:top w:val="none" w:sz="0" w:space="0" w:color="auto"/>
        <w:left w:val="none" w:sz="0" w:space="0" w:color="auto"/>
        <w:bottom w:val="none" w:sz="0" w:space="0" w:color="auto"/>
        <w:right w:val="none" w:sz="0" w:space="0" w:color="auto"/>
      </w:divBdr>
    </w:div>
    <w:div w:id="24329784">
      <w:bodyDiv w:val="1"/>
      <w:marLeft w:val="0"/>
      <w:marRight w:val="0"/>
      <w:marTop w:val="0"/>
      <w:marBottom w:val="0"/>
      <w:divBdr>
        <w:top w:val="none" w:sz="0" w:space="0" w:color="auto"/>
        <w:left w:val="none" w:sz="0" w:space="0" w:color="auto"/>
        <w:bottom w:val="none" w:sz="0" w:space="0" w:color="auto"/>
        <w:right w:val="none" w:sz="0" w:space="0" w:color="auto"/>
      </w:divBdr>
    </w:div>
    <w:div w:id="37777819">
      <w:bodyDiv w:val="1"/>
      <w:marLeft w:val="0"/>
      <w:marRight w:val="0"/>
      <w:marTop w:val="0"/>
      <w:marBottom w:val="0"/>
      <w:divBdr>
        <w:top w:val="none" w:sz="0" w:space="0" w:color="auto"/>
        <w:left w:val="none" w:sz="0" w:space="0" w:color="auto"/>
        <w:bottom w:val="none" w:sz="0" w:space="0" w:color="auto"/>
        <w:right w:val="none" w:sz="0" w:space="0" w:color="auto"/>
      </w:divBdr>
    </w:div>
    <w:div w:id="38824728">
      <w:bodyDiv w:val="1"/>
      <w:marLeft w:val="0"/>
      <w:marRight w:val="0"/>
      <w:marTop w:val="0"/>
      <w:marBottom w:val="0"/>
      <w:divBdr>
        <w:top w:val="none" w:sz="0" w:space="0" w:color="auto"/>
        <w:left w:val="none" w:sz="0" w:space="0" w:color="auto"/>
        <w:bottom w:val="none" w:sz="0" w:space="0" w:color="auto"/>
        <w:right w:val="none" w:sz="0" w:space="0" w:color="auto"/>
      </w:divBdr>
    </w:div>
    <w:div w:id="40987366">
      <w:bodyDiv w:val="1"/>
      <w:marLeft w:val="0"/>
      <w:marRight w:val="0"/>
      <w:marTop w:val="0"/>
      <w:marBottom w:val="0"/>
      <w:divBdr>
        <w:top w:val="none" w:sz="0" w:space="0" w:color="auto"/>
        <w:left w:val="none" w:sz="0" w:space="0" w:color="auto"/>
        <w:bottom w:val="none" w:sz="0" w:space="0" w:color="auto"/>
        <w:right w:val="none" w:sz="0" w:space="0" w:color="auto"/>
      </w:divBdr>
    </w:div>
    <w:div w:id="43990266">
      <w:bodyDiv w:val="1"/>
      <w:marLeft w:val="0"/>
      <w:marRight w:val="0"/>
      <w:marTop w:val="0"/>
      <w:marBottom w:val="0"/>
      <w:divBdr>
        <w:top w:val="none" w:sz="0" w:space="0" w:color="auto"/>
        <w:left w:val="none" w:sz="0" w:space="0" w:color="auto"/>
        <w:bottom w:val="none" w:sz="0" w:space="0" w:color="auto"/>
        <w:right w:val="none" w:sz="0" w:space="0" w:color="auto"/>
      </w:divBdr>
    </w:div>
    <w:div w:id="48841933">
      <w:bodyDiv w:val="1"/>
      <w:marLeft w:val="0"/>
      <w:marRight w:val="0"/>
      <w:marTop w:val="0"/>
      <w:marBottom w:val="0"/>
      <w:divBdr>
        <w:top w:val="none" w:sz="0" w:space="0" w:color="auto"/>
        <w:left w:val="none" w:sz="0" w:space="0" w:color="auto"/>
        <w:bottom w:val="none" w:sz="0" w:space="0" w:color="auto"/>
        <w:right w:val="none" w:sz="0" w:space="0" w:color="auto"/>
      </w:divBdr>
    </w:div>
    <w:div w:id="52776267">
      <w:bodyDiv w:val="1"/>
      <w:marLeft w:val="0"/>
      <w:marRight w:val="0"/>
      <w:marTop w:val="0"/>
      <w:marBottom w:val="0"/>
      <w:divBdr>
        <w:top w:val="none" w:sz="0" w:space="0" w:color="auto"/>
        <w:left w:val="none" w:sz="0" w:space="0" w:color="auto"/>
        <w:bottom w:val="none" w:sz="0" w:space="0" w:color="auto"/>
        <w:right w:val="none" w:sz="0" w:space="0" w:color="auto"/>
      </w:divBdr>
    </w:div>
    <w:div w:id="79759884">
      <w:bodyDiv w:val="1"/>
      <w:marLeft w:val="0"/>
      <w:marRight w:val="0"/>
      <w:marTop w:val="0"/>
      <w:marBottom w:val="0"/>
      <w:divBdr>
        <w:top w:val="none" w:sz="0" w:space="0" w:color="auto"/>
        <w:left w:val="none" w:sz="0" w:space="0" w:color="auto"/>
        <w:bottom w:val="none" w:sz="0" w:space="0" w:color="auto"/>
        <w:right w:val="none" w:sz="0" w:space="0" w:color="auto"/>
      </w:divBdr>
    </w:div>
    <w:div w:id="90861381">
      <w:bodyDiv w:val="1"/>
      <w:marLeft w:val="0"/>
      <w:marRight w:val="0"/>
      <w:marTop w:val="0"/>
      <w:marBottom w:val="0"/>
      <w:divBdr>
        <w:top w:val="none" w:sz="0" w:space="0" w:color="auto"/>
        <w:left w:val="none" w:sz="0" w:space="0" w:color="auto"/>
        <w:bottom w:val="none" w:sz="0" w:space="0" w:color="auto"/>
        <w:right w:val="none" w:sz="0" w:space="0" w:color="auto"/>
      </w:divBdr>
    </w:div>
    <w:div w:id="95832308">
      <w:bodyDiv w:val="1"/>
      <w:marLeft w:val="0"/>
      <w:marRight w:val="0"/>
      <w:marTop w:val="0"/>
      <w:marBottom w:val="0"/>
      <w:divBdr>
        <w:top w:val="none" w:sz="0" w:space="0" w:color="auto"/>
        <w:left w:val="none" w:sz="0" w:space="0" w:color="auto"/>
        <w:bottom w:val="none" w:sz="0" w:space="0" w:color="auto"/>
        <w:right w:val="none" w:sz="0" w:space="0" w:color="auto"/>
      </w:divBdr>
    </w:div>
    <w:div w:id="101193646">
      <w:bodyDiv w:val="1"/>
      <w:marLeft w:val="0"/>
      <w:marRight w:val="0"/>
      <w:marTop w:val="0"/>
      <w:marBottom w:val="0"/>
      <w:divBdr>
        <w:top w:val="none" w:sz="0" w:space="0" w:color="auto"/>
        <w:left w:val="none" w:sz="0" w:space="0" w:color="auto"/>
        <w:bottom w:val="none" w:sz="0" w:space="0" w:color="auto"/>
        <w:right w:val="none" w:sz="0" w:space="0" w:color="auto"/>
      </w:divBdr>
    </w:div>
    <w:div w:id="106391497">
      <w:bodyDiv w:val="1"/>
      <w:marLeft w:val="0"/>
      <w:marRight w:val="0"/>
      <w:marTop w:val="0"/>
      <w:marBottom w:val="0"/>
      <w:divBdr>
        <w:top w:val="none" w:sz="0" w:space="0" w:color="auto"/>
        <w:left w:val="none" w:sz="0" w:space="0" w:color="auto"/>
        <w:bottom w:val="none" w:sz="0" w:space="0" w:color="auto"/>
        <w:right w:val="none" w:sz="0" w:space="0" w:color="auto"/>
      </w:divBdr>
    </w:div>
    <w:div w:id="126048954">
      <w:bodyDiv w:val="1"/>
      <w:marLeft w:val="0"/>
      <w:marRight w:val="0"/>
      <w:marTop w:val="0"/>
      <w:marBottom w:val="0"/>
      <w:divBdr>
        <w:top w:val="none" w:sz="0" w:space="0" w:color="auto"/>
        <w:left w:val="none" w:sz="0" w:space="0" w:color="auto"/>
        <w:bottom w:val="none" w:sz="0" w:space="0" w:color="auto"/>
        <w:right w:val="none" w:sz="0" w:space="0" w:color="auto"/>
      </w:divBdr>
    </w:div>
    <w:div w:id="129522103">
      <w:bodyDiv w:val="1"/>
      <w:marLeft w:val="0"/>
      <w:marRight w:val="0"/>
      <w:marTop w:val="0"/>
      <w:marBottom w:val="0"/>
      <w:divBdr>
        <w:top w:val="none" w:sz="0" w:space="0" w:color="auto"/>
        <w:left w:val="none" w:sz="0" w:space="0" w:color="auto"/>
        <w:bottom w:val="none" w:sz="0" w:space="0" w:color="auto"/>
        <w:right w:val="none" w:sz="0" w:space="0" w:color="auto"/>
      </w:divBdr>
    </w:div>
    <w:div w:id="131485695">
      <w:bodyDiv w:val="1"/>
      <w:marLeft w:val="0"/>
      <w:marRight w:val="0"/>
      <w:marTop w:val="0"/>
      <w:marBottom w:val="0"/>
      <w:divBdr>
        <w:top w:val="none" w:sz="0" w:space="0" w:color="auto"/>
        <w:left w:val="none" w:sz="0" w:space="0" w:color="auto"/>
        <w:bottom w:val="none" w:sz="0" w:space="0" w:color="auto"/>
        <w:right w:val="none" w:sz="0" w:space="0" w:color="auto"/>
      </w:divBdr>
    </w:div>
    <w:div w:id="135293996">
      <w:bodyDiv w:val="1"/>
      <w:marLeft w:val="0"/>
      <w:marRight w:val="0"/>
      <w:marTop w:val="0"/>
      <w:marBottom w:val="0"/>
      <w:divBdr>
        <w:top w:val="none" w:sz="0" w:space="0" w:color="auto"/>
        <w:left w:val="none" w:sz="0" w:space="0" w:color="auto"/>
        <w:bottom w:val="none" w:sz="0" w:space="0" w:color="auto"/>
        <w:right w:val="none" w:sz="0" w:space="0" w:color="auto"/>
      </w:divBdr>
    </w:div>
    <w:div w:id="135923130">
      <w:bodyDiv w:val="1"/>
      <w:marLeft w:val="0"/>
      <w:marRight w:val="0"/>
      <w:marTop w:val="0"/>
      <w:marBottom w:val="0"/>
      <w:divBdr>
        <w:top w:val="none" w:sz="0" w:space="0" w:color="auto"/>
        <w:left w:val="none" w:sz="0" w:space="0" w:color="auto"/>
        <w:bottom w:val="none" w:sz="0" w:space="0" w:color="auto"/>
        <w:right w:val="none" w:sz="0" w:space="0" w:color="auto"/>
      </w:divBdr>
    </w:div>
    <w:div w:id="140276581">
      <w:bodyDiv w:val="1"/>
      <w:marLeft w:val="0"/>
      <w:marRight w:val="0"/>
      <w:marTop w:val="0"/>
      <w:marBottom w:val="0"/>
      <w:divBdr>
        <w:top w:val="none" w:sz="0" w:space="0" w:color="auto"/>
        <w:left w:val="none" w:sz="0" w:space="0" w:color="auto"/>
        <w:bottom w:val="none" w:sz="0" w:space="0" w:color="auto"/>
        <w:right w:val="none" w:sz="0" w:space="0" w:color="auto"/>
      </w:divBdr>
    </w:div>
    <w:div w:id="141314191">
      <w:bodyDiv w:val="1"/>
      <w:marLeft w:val="0"/>
      <w:marRight w:val="0"/>
      <w:marTop w:val="0"/>
      <w:marBottom w:val="0"/>
      <w:divBdr>
        <w:top w:val="none" w:sz="0" w:space="0" w:color="auto"/>
        <w:left w:val="none" w:sz="0" w:space="0" w:color="auto"/>
        <w:bottom w:val="none" w:sz="0" w:space="0" w:color="auto"/>
        <w:right w:val="none" w:sz="0" w:space="0" w:color="auto"/>
      </w:divBdr>
    </w:div>
    <w:div w:id="147137328">
      <w:bodyDiv w:val="1"/>
      <w:marLeft w:val="0"/>
      <w:marRight w:val="0"/>
      <w:marTop w:val="0"/>
      <w:marBottom w:val="0"/>
      <w:divBdr>
        <w:top w:val="none" w:sz="0" w:space="0" w:color="auto"/>
        <w:left w:val="none" w:sz="0" w:space="0" w:color="auto"/>
        <w:bottom w:val="none" w:sz="0" w:space="0" w:color="auto"/>
        <w:right w:val="none" w:sz="0" w:space="0" w:color="auto"/>
      </w:divBdr>
    </w:div>
    <w:div w:id="168910695">
      <w:bodyDiv w:val="1"/>
      <w:marLeft w:val="0"/>
      <w:marRight w:val="0"/>
      <w:marTop w:val="0"/>
      <w:marBottom w:val="0"/>
      <w:divBdr>
        <w:top w:val="none" w:sz="0" w:space="0" w:color="auto"/>
        <w:left w:val="none" w:sz="0" w:space="0" w:color="auto"/>
        <w:bottom w:val="none" w:sz="0" w:space="0" w:color="auto"/>
        <w:right w:val="none" w:sz="0" w:space="0" w:color="auto"/>
      </w:divBdr>
    </w:div>
    <w:div w:id="179005453">
      <w:bodyDiv w:val="1"/>
      <w:marLeft w:val="0"/>
      <w:marRight w:val="0"/>
      <w:marTop w:val="0"/>
      <w:marBottom w:val="0"/>
      <w:divBdr>
        <w:top w:val="none" w:sz="0" w:space="0" w:color="auto"/>
        <w:left w:val="none" w:sz="0" w:space="0" w:color="auto"/>
        <w:bottom w:val="none" w:sz="0" w:space="0" w:color="auto"/>
        <w:right w:val="none" w:sz="0" w:space="0" w:color="auto"/>
      </w:divBdr>
    </w:div>
    <w:div w:id="246157937">
      <w:bodyDiv w:val="1"/>
      <w:marLeft w:val="0"/>
      <w:marRight w:val="0"/>
      <w:marTop w:val="0"/>
      <w:marBottom w:val="0"/>
      <w:divBdr>
        <w:top w:val="none" w:sz="0" w:space="0" w:color="auto"/>
        <w:left w:val="none" w:sz="0" w:space="0" w:color="auto"/>
        <w:bottom w:val="none" w:sz="0" w:space="0" w:color="auto"/>
        <w:right w:val="none" w:sz="0" w:space="0" w:color="auto"/>
      </w:divBdr>
    </w:div>
    <w:div w:id="257909547">
      <w:bodyDiv w:val="1"/>
      <w:marLeft w:val="0"/>
      <w:marRight w:val="0"/>
      <w:marTop w:val="0"/>
      <w:marBottom w:val="0"/>
      <w:divBdr>
        <w:top w:val="none" w:sz="0" w:space="0" w:color="auto"/>
        <w:left w:val="none" w:sz="0" w:space="0" w:color="auto"/>
        <w:bottom w:val="none" w:sz="0" w:space="0" w:color="auto"/>
        <w:right w:val="none" w:sz="0" w:space="0" w:color="auto"/>
      </w:divBdr>
    </w:div>
    <w:div w:id="264770186">
      <w:bodyDiv w:val="1"/>
      <w:marLeft w:val="0"/>
      <w:marRight w:val="0"/>
      <w:marTop w:val="0"/>
      <w:marBottom w:val="0"/>
      <w:divBdr>
        <w:top w:val="none" w:sz="0" w:space="0" w:color="auto"/>
        <w:left w:val="none" w:sz="0" w:space="0" w:color="auto"/>
        <w:bottom w:val="none" w:sz="0" w:space="0" w:color="auto"/>
        <w:right w:val="none" w:sz="0" w:space="0" w:color="auto"/>
      </w:divBdr>
    </w:div>
    <w:div w:id="265041241">
      <w:bodyDiv w:val="1"/>
      <w:marLeft w:val="0"/>
      <w:marRight w:val="0"/>
      <w:marTop w:val="0"/>
      <w:marBottom w:val="0"/>
      <w:divBdr>
        <w:top w:val="none" w:sz="0" w:space="0" w:color="auto"/>
        <w:left w:val="none" w:sz="0" w:space="0" w:color="auto"/>
        <w:bottom w:val="none" w:sz="0" w:space="0" w:color="auto"/>
        <w:right w:val="none" w:sz="0" w:space="0" w:color="auto"/>
      </w:divBdr>
    </w:div>
    <w:div w:id="278416025">
      <w:bodyDiv w:val="1"/>
      <w:marLeft w:val="0"/>
      <w:marRight w:val="0"/>
      <w:marTop w:val="0"/>
      <w:marBottom w:val="0"/>
      <w:divBdr>
        <w:top w:val="none" w:sz="0" w:space="0" w:color="auto"/>
        <w:left w:val="none" w:sz="0" w:space="0" w:color="auto"/>
        <w:bottom w:val="none" w:sz="0" w:space="0" w:color="auto"/>
        <w:right w:val="none" w:sz="0" w:space="0" w:color="auto"/>
      </w:divBdr>
    </w:div>
    <w:div w:id="308705202">
      <w:bodyDiv w:val="1"/>
      <w:marLeft w:val="0"/>
      <w:marRight w:val="0"/>
      <w:marTop w:val="0"/>
      <w:marBottom w:val="0"/>
      <w:divBdr>
        <w:top w:val="none" w:sz="0" w:space="0" w:color="auto"/>
        <w:left w:val="none" w:sz="0" w:space="0" w:color="auto"/>
        <w:bottom w:val="none" w:sz="0" w:space="0" w:color="auto"/>
        <w:right w:val="none" w:sz="0" w:space="0" w:color="auto"/>
      </w:divBdr>
    </w:div>
    <w:div w:id="324163489">
      <w:bodyDiv w:val="1"/>
      <w:marLeft w:val="0"/>
      <w:marRight w:val="0"/>
      <w:marTop w:val="0"/>
      <w:marBottom w:val="0"/>
      <w:divBdr>
        <w:top w:val="none" w:sz="0" w:space="0" w:color="auto"/>
        <w:left w:val="none" w:sz="0" w:space="0" w:color="auto"/>
        <w:bottom w:val="none" w:sz="0" w:space="0" w:color="auto"/>
        <w:right w:val="none" w:sz="0" w:space="0" w:color="auto"/>
      </w:divBdr>
    </w:div>
    <w:div w:id="337734484">
      <w:bodyDiv w:val="1"/>
      <w:marLeft w:val="0"/>
      <w:marRight w:val="0"/>
      <w:marTop w:val="0"/>
      <w:marBottom w:val="0"/>
      <w:divBdr>
        <w:top w:val="none" w:sz="0" w:space="0" w:color="auto"/>
        <w:left w:val="none" w:sz="0" w:space="0" w:color="auto"/>
        <w:bottom w:val="none" w:sz="0" w:space="0" w:color="auto"/>
        <w:right w:val="none" w:sz="0" w:space="0" w:color="auto"/>
      </w:divBdr>
    </w:div>
    <w:div w:id="340161323">
      <w:bodyDiv w:val="1"/>
      <w:marLeft w:val="0"/>
      <w:marRight w:val="0"/>
      <w:marTop w:val="0"/>
      <w:marBottom w:val="0"/>
      <w:divBdr>
        <w:top w:val="none" w:sz="0" w:space="0" w:color="auto"/>
        <w:left w:val="none" w:sz="0" w:space="0" w:color="auto"/>
        <w:bottom w:val="none" w:sz="0" w:space="0" w:color="auto"/>
        <w:right w:val="none" w:sz="0" w:space="0" w:color="auto"/>
      </w:divBdr>
    </w:div>
    <w:div w:id="367267320">
      <w:bodyDiv w:val="1"/>
      <w:marLeft w:val="0"/>
      <w:marRight w:val="0"/>
      <w:marTop w:val="0"/>
      <w:marBottom w:val="0"/>
      <w:divBdr>
        <w:top w:val="none" w:sz="0" w:space="0" w:color="auto"/>
        <w:left w:val="none" w:sz="0" w:space="0" w:color="auto"/>
        <w:bottom w:val="none" w:sz="0" w:space="0" w:color="auto"/>
        <w:right w:val="none" w:sz="0" w:space="0" w:color="auto"/>
      </w:divBdr>
    </w:div>
    <w:div w:id="376708603">
      <w:bodyDiv w:val="1"/>
      <w:marLeft w:val="0"/>
      <w:marRight w:val="0"/>
      <w:marTop w:val="0"/>
      <w:marBottom w:val="0"/>
      <w:divBdr>
        <w:top w:val="none" w:sz="0" w:space="0" w:color="auto"/>
        <w:left w:val="none" w:sz="0" w:space="0" w:color="auto"/>
        <w:bottom w:val="none" w:sz="0" w:space="0" w:color="auto"/>
        <w:right w:val="none" w:sz="0" w:space="0" w:color="auto"/>
      </w:divBdr>
    </w:div>
    <w:div w:id="381294860">
      <w:bodyDiv w:val="1"/>
      <w:marLeft w:val="0"/>
      <w:marRight w:val="0"/>
      <w:marTop w:val="0"/>
      <w:marBottom w:val="0"/>
      <w:divBdr>
        <w:top w:val="none" w:sz="0" w:space="0" w:color="auto"/>
        <w:left w:val="none" w:sz="0" w:space="0" w:color="auto"/>
        <w:bottom w:val="none" w:sz="0" w:space="0" w:color="auto"/>
        <w:right w:val="none" w:sz="0" w:space="0" w:color="auto"/>
      </w:divBdr>
    </w:div>
    <w:div w:id="381489931">
      <w:bodyDiv w:val="1"/>
      <w:marLeft w:val="0"/>
      <w:marRight w:val="0"/>
      <w:marTop w:val="0"/>
      <w:marBottom w:val="0"/>
      <w:divBdr>
        <w:top w:val="none" w:sz="0" w:space="0" w:color="auto"/>
        <w:left w:val="none" w:sz="0" w:space="0" w:color="auto"/>
        <w:bottom w:val="none" w:sz="0" w:space="0" w:color="auto"/>
        <w:right w:val="none" w:sz="0" w:space="0" w:color="auto"/>
      </w:divBdr>
    </w:div>
    <w:div w:id="392657100">
      <w:bodyDiv w:val="1"/>
      <w:marLeft w:val="0"/>
      <w:marRight w:val="0"/>
      <w:marTop w:val="0"/>
      <w:marBottom w:val="0"/>
      <w:divBdr>
        <w:top w:val="none" w:sz="0" w:space="0" w:color="auto"/>
        <w:left w:val="none" w:sz="0" w:space="0" w:color="auto"/>
        <w:bottom w:val="none" w:sz="0" w:space="0" w:color="auto"/>
        <w:right w:val="none" w:sz="0" w:space="0" w:color="auto"/>
      </w:divBdr>
    </w:div>
    <w:div w:id="401412630">
      <w:bodyDiv w:val="1"/>
      <w:marLeft w:val="0"/>
      <w:marRight w:val="0"/>
      <w:marTop w:val="0"/>
      <w:marBottom w:val="0"/>
      <w:divBdr>
        <w:top w:val="none" w:sz="0" w:space="0" w:color="auto"/>
        <w:left w:val="none" w:sz="0" w:space="0" w:color="auto"/>
        <w:bottom w:val="none" w:sz="0" w:space="0" w:color="auto"/>
        <w:right w:val="none" w:sz="0" w:space="0" w:color="auto"/>
      </w:divBdr>
    </w:div>
    <w:div w:id="401754721">
      <w:bodyDiv w:val="1"/>
      <w:marLeft w:val="0"/>
      <w:marRight w:val="0"/>
      <w:marTop w:val="0"/>
      <w:marBottom w:val="0"/>
      <w:divBdr>
        <w:top w:val="none" w:sz="0" w:space="0" w:color="auto"/>
        <w:left w:val="none" w:sz="0" w:space="0" w:color="auto"/>
        <w:bottom w:val="none" w:sz="0" w:space="0" w:color="auto"/>
        <w:right w:val="none" w:sz="0" w:space="0" w:color="auto"/>
      </w:divBdr>
    </w:div>
    <w:div w:id="403527565">
      <w:bodyDiv w:val="1"/>
      <w:marLeft w:val="0"/>
      <w:marRight w:val="0"/>
      <w:marTop w:val="0"/>
      <w:marBottom w:val="0"/>
      <w:divBdr>
        <w:top w:val="none" w:sz="0" w:space="0" w:color="auto"/>
        <w:left w:val="none" w:sz="0" w:space="0" w:color="auto"/>
        <w:bottom w:val="none" w:sz="0" w:space="0" w:color="auto"/>
        <w:right w:val="none" w:sz="0" w:space="0" w:color="auto"/>
      </w:divBdr>
    </w:div>
    <w:div w:id="416219634">
      <w:bodyDiv w:val="1"/>
      <w:marLeft w:val="0"/>
      <w:marRight w:val="0"/>
      <w:marTop w:val="0"/>
      <w:marBottom w:val="0"/>
      <w:divBdr>
        <w:top w:val="none" w:sz="0" w:space="0" w:color="auto"/>
        <w:left w:val="none" w:sz="0" w:space="0" w:color="auto"/>
        <w:bottom w:val="none" w:sz="0" w:space="0" w:color="auto"/>
        <w:right w:val="none" w:sz="0" w:space="0" w:color="auto"/>
      </w:divBdr>
    </w:div>
    <w:div w:id="418521598">
      <w:bodyDiv w:val="1"/>
      <w:marLeft w:val="0"/>
      <w:marRight w:val="0"/>
      <w:marTop w:val="0"/>
      <w:marBottom w:val="0"/>
      <w:divBdr>
        <w:top w:val="none" w:sz="0" w:space="0" w:color="auto"/>
        <w:left w:val="none" w:sz="0" w:space="0" w:color="auto"/>
        <w:bottom w:val="none" w:sz="0" w:space="0" w:color="auto"/>
        <w:right w:val="none" w:sz="0" w:space="0" w:color="auto"/>
      </w:divBdr>
    </w:div>
    <w:div w:id="423500401">
      <w:bodyDiv w:val="1"/>
      <w:marLeft w:val="0"/>
      <w:marRight w:val="0"/>
      <w:marTop w:val="0"/>
      <w:marBottom w:val="0"/>
      <w:divBdr>
        <w:top w:val="none" w:sz="0" w:space="0" w:color="auto"/>
        <w:left w:val="none" w:sz="0" w:space="0" w:color="auto"/>
        <w:bottom w:val="none" w:sz="0" w:space="0" w:color="auto"/>
        <w:right w:val="none" w:sz="0" w:space="0" w:color="auto"/>
      </w:divBdr>
    </w:div>
    <w:div w:id="432438360">
      <w:bodyDiv w:val="1"/>
      <w:marLeft w:val="0"/>
      <w:marRight w:val="0"/>
      <w:marTop w:val="0"/>
      <w:marBottom w:val="0"/>
      <w:divBdr>
        <w:top w:val="none" w:sz="0" w:space="0" w:color="auto"/>
        <w:left w:val="none" w:sz="0" w:space="0" w:color="auto"/>
        <w:bottom w:val="none" w:sz="0" w:space="0" w:color="auto"/>
        <w:right w:val="none" w:sz="0" w:space="0" w:color="auto"/>
      </w:divBdr>
    </w:div>
    <w:div w:id="438915592">
      <w:bodyDiv w:val="1"/>
      <w:marLeft w:val="0"/>
      <w:marRight w:val="0"/>
      <w:marTop w:val="0"/>
      <w:marBottom w:val="0"/>
      <w:divBdr>
        <w:top w:val="none" w:sz="0" w:space="0" w:color="auto"/>
        <w:left w:val="none" w:sz="0" w:space="0" w:color="auto"/>
        <w:bottom w:val="none" w:sz="0" w:space="0" w:color="auto"/>
        <w:right w:val="none" w:sz="0" w:space="0" w:color="auto"/>
      </w:divBdr>
    </w:div>
    <w:div w:id="456801714">
      <w:bodyDiv w:val="1"/>
      <w:marLeft w:val="0"/>
      <w:marRight w:val="0"/>
      <w:marTop w:val="0"/>
      <w:marBottom w:val="0"/>
      <w:divBdr>
        <w:top w:val="none" w:sz="0" w:space="0" w:color="auto"/>
        <w:left w:val="none" w:sz="0" w:space="0" w:color="auto"/>
        <w:bottom w:val="none" w:sz="0" w:space="0" w:color="auto"/>
        <w:right w:val="none" w:sz="0" w:space="0" w:color="auto"/>
      </w:divBdr>
    </w:div>
    <w:div w:id="468134260">
      <w:bodyDiv w:val="1"/>
      <w:marLeft w:val="0"/>
      <w:marRight w:val="0"/>
      <w:marTop w:val="0"/>
      <w:marBottom w:val="0"/>
      <w:divBdr>
        <w:top w:val="none" w:sz="0" w:space="0" w:color="auto"/>
        <w:left w:val="none" w:sz="0" w:space="0" w:color="auto"/>
        <w:bottom w:val="none" w:sz="0" w:space="0" w:color="auto"/>
        <w:right w:val="none" w:sz="0" w:space="0" w:color="auto"/>
      </w:divBdr>
    </w:div>
    <w:div w:id="487863614">
      <w:bodyDiv w:val="1"/>
      <w:marLeft w:val="0"/>
      <w:marRight w:val="0"/>
      <w:marTop w:val="0"/>
      <w:marBottom w:val="0"/>
      <w:divBdr>
        <w:top w:val="none" w:sz="0" w:space="0" w:color="auto"/>
        <w:left w:val="none" w:sz="0" w:space="0" w:color="auto"/>
        <w:bottom w:val="none" w:sz="0" w:space="0" w:color="auto"/>
        <w:right w:val="none" w:sz="0" w:space="0" w:color="auto"/>
      </w:divBdr>
    </w:div>
    <w:div w:id="492187716">
      <w:bodyDiv w:val="1"/>
      <w:marLeft w:val="0"/>
      <w:marRight w:val="0"/>
      <w:marTop w:val="0"/>
      <w:marBottom w:val="0"/>
      <w:divBdr>
        <w:top w:val="none" w:sz="0" w:space="0" w:color="auto"/>
        <w:left w:val="none" w:sz="0" w:space="0" w:color="auto"/>
        <w:bottom w:val="none" w:sz="0" w:space="0" w:color="auto"/>
        <w:right w:val="none" w:sz="0" w:space="0" w:color="auto"/>
      </w:divBdr>
    </w:div>
    <w:div w:id="495583540">
      <w:bodyDiv w:val="1"/>
      <w:marLeft w:val="0"/>
      <w:marRight w:val="0"/>
      <w:marTop w:val="0"/>
      <w:marBottom w:val="0"/>
      <w:divBdr>
        <w:top w:val="none" w:sz="0" w:space="0" w:color="auto"/>
        <w:left w:val="none" w:sz="0" w:space="0" w:color="auto"/>
        <w:bottom w:val="none" w:sz="0" w:space="0" w:color="auto"/>
        <w:right w:val="none" w:sz="0" w:space="0" w:color="auto"/>
      </w:divBdr>
    </w:div>
    <w:div w:id="503477933">
      <w:bodyDiv w:val="1"/>
      <w:marLeft w:val="0"/>
      <w:marRight w:val="0"/>
      <w:marTop w:val="0"/>
      <w:marBottom w:val="0"/>
      <w:divBdr>
        <w:top w:val="none" w:sz="0" w:space="0" w:color="auto"/>
        <w:left w:val="none" w:sz="0" w:space="0" w:color="auto"/>
        <w:bottom w:val="none" w:sz="0" w:space="0" w:color="auto"/>
        <w:right w:val="none" w:sz="0" w:space="0" w:color="auto"/>
      </w:divBdr>
    </w:div>
    <w:div w:id="506408104">
      <w:bodyDiv w:val="1"/>
      <w:marLeft w:val="0"/>
      <w:marRight w:val="0"/>
      <w:marTop w:val="0"/>
      <w:marBottom w:val="0"/>
      <w:divBdr>
        <w:top w:val="none" w:sz="0" w:space="0" w:color="auto"/>
        <w:left w:val="none" w:sz="0" w:space="0" w:color="auto"/>
        <w:bottom w:val="none" w:sz="0" w:space="0" w:color="auto"/>
        <w:right w:val="none" w:sz="0" w:space="0" w:color="auto"/>
      </w:divBdr>
    </w:div>
    <w:div w:id="509181356">
      <w:bodyDiv w:val="1"/>
      <w:marLeft w:val="0"/>
      <w:marRight w:val="0"/>
      <w:marTop w:val="0"/>
      <w:marBottom w:val="0"/>
      <w:divBdr>
        <w:top w:val="none" w:sz="0" w:space="0" w:color="auto"/>
        <w:left w:val="none" w:sz="0" w:space="0" w:color="auto"/>
        <w:bottom w:val="none" w:sz="0" w:space="0" w:color="auto"/>
        <w:right w:val="none" w:sz="0" w:space="0" w:color="auto"/>
      </w:divBdr>
    </w:div>
    <w:div w:id="518589985">
      <w:bodyDiv w:val="1"/>
      <w:marLeft w:val="0"/>
      <w:marRight w:val="0"/>
      <w:marTop w:val="0"/>
      <w:marBottom w:val="0"/>
      <w:divBdr>
        <w:top w:val="none" w:sz="0" w:space="0" w:color="auto"/>
        <w:left w:val="none" w:sz="0" w:space="0" w:color="auto"/>
        <w:bottom w:val="none" w:sz="0" w:space="0" w:color="auto"/>
        <w:right w:val="none" w:sz="0" w:space="0" w:color="auto"/>
      </w:divBdr>
    </w:div>
    <w:div w:id="523636396">
      <w:bodyDiv w:val="1"/>
      <w:marLeft w:val="0"/>
      <w:marRight w:val="0"/>
      <w:marTop w:val="0"/>
      <w:marBottom w:val="0"/>
      <w:divBdr>
        <w:top w:val="none" w:sz="0" w:space="0" w:color="auto"/>
        <w:left w:val="none" w:sz="0" w:space="0" w:color="auto"/>
        <w:bottom w:val="none" w:sz="0" w:space="0" w:color="auto"/>
        <w:right w:val="none" w:sz="0" w:space="0" w:color="auto"/>
      </w:divBdr>
    </w:div>
    <w:div w:id="525607950">
      <w:bodyDiv w:val="1"/>
      <w:marLeft w:val="0"/>
      <w:marRight w:val="0"/>
      <w:marTop w:val="0"/>
      <w:marBottom w:val="0"/>
      <w:divBdr>
        <w:top w:val="none" w:sz="0" w:space="0" w:color="auto"/>
        <w:left w:val="none" w:sz="0" w:space="0" w:color="auto"/>
        <w:bottom w:val="none" w:sz="0" w:space="0" w:color="auto"/>
        <w:right w:val="none" w:sz="0" w:space="0" w:color="auto"/>
      </w:divBdr>
    </w:div>
    <w:div w:id="539515936">
      <w:bodyDiv w:val="1"/>
      <w:marLeft w:val="0"/>
      <w:marRight w:val="0"/>
      <w:marTop w:val="0"/>
      <w:marBottom w:val="0"/>
      <w:divBdr>
        <w:top w:val="none" w:sz="0" w:space="0" w:color="auto"/>
        <w:left w:val="none" w:sz="0" w:space="0" w:color="auto"/>
        <w:bottom w:val="none" w:sz="0" w:space="0" w:color="auto"/>
        <w:right w:val="none" w:sz="0" w:space="0" w:color="auto"/>
      </w:divBdr>
    </w:div>
    <w:div w:id="582027823">
      <w:bodyDiv w:val="1"/>
      <w:marLeft w:val="0"/>
      <w:marRight w:val="0"/>
      <w:marTop w:val="0"/>
      <w:marBottom w:val="0"/>
      <w:divBdr>
        <w:top w:val="none" w:sz="0" w:space="0" w:color="auto"/>
        <w:left w:val="none" w:sz="0" w:space="0" w:color="auto"/>
        <w:bottom w:val="none" w:sz="0" w:space="0" w:color="auto"/>
        <w:right w:val="none" w:sz="0" w:space="0" w:color="auto"/>
      </w:divBdr>
    </w:div>
    <w:div w:id="583492918">
      <w:bodyDiv w:val="1"/>
      <w:marLeft w:val="0"/>
      <w:marRight w:val="0"/>
      <w:marTop w:val="0"/>
      <w:marBottom w:val="0"/>
      <w:divBdr>
        <w:top w:val="none" w:sz="0" w:space="0" w:color="auto"/>
        <w:left w:val="none" w:sz="0" w:space="0" w:color="auto"/>
        <w:bottom w:val="none" w:sz="0" w:space="0" w:color="auto"/>
        <w:right w:val="none" w:sz="0" w:space="0" w:color="auto"/>
      </w:divBdr>
    </w:div>
    <w:div w:id="588854442">
      <w:bodyDiv w:val="1"/>
      <w:marLeft w:val="0"/>
      <w:marRight w:val="0"/>
      <w:marTop w:val="0"/>
      <w:marBottom w:val="0"/>
      <w:divBdr>
        <w:top w:val="none" w:sz="0" w:space="0" w:color="auto"/>
        <w:left w:val="none" w:sz="0" w:space="0" w:color="auto"/>
        <w:bottom w:val="none" w:sz="0" w:space="0" w:color="auto"/>
        <w:right w:val="none" w:sz="0" w:space="0" w:color="auto"/>
      </w:divBdr>
    </w:div>
    <w:div w:id="614600032">
      <w:bodyDiv w:val="1"/>
      <w:marLeft w:val="0"/>
      <w:marRight w:val="0"/>
      <w:marTop w:val="0"/>
      <w:marBottom w:val="0"/>
      <w:divBdr>
        <w:top w:val="none" w:sz="0" w:space="0" w:color="auto"/>
        <w:left w:val="none" w:sz="0" w:space="0" w:color="auto"/>
        <w:bottom w:val="none" w:sz="0" w:space="0" w:color="auto"/>
        <w:right w:val="none" w:sz="0" w:space="0" w:color="auto"/>
      </w:divBdr>
    </w:div>
    <w:div w:id="615336671">
      <w:bodyDiv w:val="1"/>
      <w:marLeft w:val="0"/>
      <w:marRight w:val="0"/>
      <w:marTop w:val="0"/>
      <w:marBottom w:val="0"/>
      <w:divBdr>
        <w:top w:val="none" w:sz="0" w:space="0" w:color="auto"/>
        <w:left w:val="none" w:sz="0" w:space="0" w:color="auto"/>
        <w:bottom w:val="none" w:sz="0" w:space="0" w:color="auto"/>
        <w:right w:val="none" w:sz="0" w:space="0" w:color="auto"/>
      </w:divBdr>
    </w:div>
    <w:div w:id="636767848">
      <w:bodyDiv w:val="1"/>
      <w:marLeft w:val="0"/>
      <w:marRight w:val="0"/>
      <w:marTop w:val="0"/>
      <w:marBottom w:val="0"/>
      <w:divBdr>
        <w:top w:val="none" w:sz="0" w:space="0" w:color="auto"/>
        <w:left w:val="none" w:sz="0" w:space="0" w:color="auto"/>
        <w:bottom w:val="none" w:sz="0" w:space="0" w:color="auto"/>
        <w:right w:val="none" w:sz="0" w:space="0" w:color="auto"/>
      </w:divBdr>
    </w:div>
    <w:div w:id="647781326">
      <w:bodyDiv w:val="1"/>
      <w:marLeft w:val="0"/>
      <w:marRight w:val="0"/>
      <w:marTop w:val="0"/>
      <w:marBottom w:val="0"/>
      <w:divBdr>
        <w:top w:val="none" w:sz="0" w:space="0" w:color="auto"/>
        <w:left w:val="none" w:sz="0" w:space="0" w:color="auto"/>
        <w:bottom w:val="none" w:sz="0" w:space="0" w:color="auto"/>
        <w:right w:val="none" w:sz="0" w:space="0" w:color="auto"/>
      </w:divBdr>
    </w:div>
    <w:div w:id="648755180">
      <w:bodyDiv w:val="1"/>
      <w:marLeft w:val="0"/>
      <w:marRight w:val="0"/>
      <w:marTop w:val="0"/>
      <w:marBottom w:val="0"/>
      <w:divBdr>
        <w:top w:val="none" w:sz="0" w:space="0" w:color="auto"/>
        <w:left w:val="none" w:sz="0" w:space="0" w:color="auto"/>
        <w:bottom w:val="none" w:sz="0" w:space="0" w:color="auto"/>
        <w:right w:val="none" w:sz="0" w:space="0" w:color="auto"/>
      </w:divBdr>
    </w:div>
    <w:div w:id="659313248">
      <w:bodyDiv w:val="1"/>
      <w:marLeft w:val="0"/>
      <w:marRight w:val="0"/>
      <w:marTop w:val="0"/>
      <w:marBottom w:val="0"/>
      <w:divBdr>
        <w:top w:val="none" w:sz="0" w:space="0" w:color="auto"/>
        <w:left w:val="none" w:sz="0" w:space="0" w:color="auto"/>
        <w:bottom w:val="none" w:sz="0" w:space="0" w:color="auto"/>
        <w:right w:val="none" w:sz="0" w:space="0" w:color="auto"/>
      </w:divBdr>
    </w:div>
    <w:div w:id="663245091">
      <w:bodyDiv w:val="1"/>
      <w:marLeft w:val="0"/>
      <w:marRight w:val="0"/>
      <w:marTop w:val="0"/>
      <w:marBottom w:val="0"/>
      <w:divBdr>
        <w:top w:val="none" w:sz="0" w:space="0" w:color="auto"/>
        <w:left w:val="none" w:sz="0" w:space="0" w:color="auto"/>
        <w:bottom w:val="none" w:sz="0" w:space="0" w:color="auto"/>
        <w:right w:val="none" w:sz="0" w:space="0" w:color="auto"/>
      </w:divBdr>
    </w:div>
    <w:div w:id="756949376">
      <w:bodyDiv w:val="1"/>
      <w:marLeft w:val="0"/>
      <w:marRight w:val="0"/>
      <w:marTop w:val="0"/>
      <w:marBottom w:val="0"/>
      <w:divBdr>
        <w:top w:val="none" w:sz="0" w:space="0" w:color="auto"/>
        <w:left w:val="none" w:sz="0" w:space="0" w:color="auto"/>
        <w:bottom w:val="none" w:sz="0" w:space="0" w:color="auto"/>
        <w:right w:val="none" w:sz="0" w:space="0" w:color="auto"/>
      </w:divBdr>
    </w:div>
    <w:div w:id="760494249">
      <w:bodyDiv w:val="1"/>
      <w:marLeft w:val="0"/>
      <w:marRight w:val="0"/>
      <w:marTop w:val="0"/>
      <w:marBottom w:val="0"/>
      <w:divBdr>
        <w:top w:val="none" w:sz="0" w:space="0" w:color="auto"/>
        <w:left w:val="none" w:sz="0" w:space="0" w:color="auto"/>
        <w:bottom w:val="none" w:sz="0" w:space="0" w:color="auto"/>
        <w:right w:val="none" w:sz="0" w:space="0" w:color="auto"/>
      </w:divBdr>
    </w:div>
    <w:div w:id="760754657">
      <w:bodyDiv w:val="1"/>
      <w:marLeft w:val="0"/>
      <w:marRight w:val="0"/>
      <w:marTop w:val="0"/>
      <w:marBottom w:val="0"/>
      <w:divBdr>
        <w:top w:val="none" w:sz="0" w:space="0" w:color="auto"/>
        <w:left w:val="none" w:sz="0" w:space="0" w:color="auto"/>
        <w:bottom w:val="none" w:sz="0" w:space="0" w:color="auto"/>
        <w:right w:val="none" w:sz="0" w:space="0" w:color="auto"/>
      </w:divBdr>
    </w:div>
    <w:div w:id="768349661">
      <w:bodyDiv w:val="1"/>
      <w:marLeft w:val="0"/>
      <w:marRight w:val="0"/>
      <w:marTop w:val="0"/>
      <w:marBottom w:val="0"/>
      <w:divBdr>
        <w:top w:val="none" w:sz="0" w:space="0" w:color="auto"/>
        <w:left w:val="none" w:sz="0" w:space="0" w:color="auto"/>
        <w:bottom w:val="none" w:sz="0" w:space="0" w:color="auto"/>
        <w:right w:val="none" w:sz="0" w:space="0" w:color="auto"/>
      </w:divBdr>
    </w:div>
    <w:div w:id="773748754">
      <w:bodyDiv w:val="1"/>
      <w:marLeft w:val="0"/>
      <w:marRight w:val="0"/>
      <w:marTop w:val="0"/>
      <w:marBottom w:val="0"/>
      <w:divBdr>
        <w:top w:val="none" w:sz="0" w:space="0" w:color="auto"/>
        <w:left w:val="none" w:sz="0" w:space="0" w:color="auto"/>
        <w:bottom w:val="none" w:sz="0" w:space="0" w:color="auto"/>
        <w:right w:val="none" w:sz="0" w:space="0" w:color="auto"/>
      </w:divBdr>
    </w:div>
    <w:div w:id="779683705">
      <w:bodyDiv w:val="1"/>
      <w:marLeft w:val="0"/>
      <w:marRight w:val="0"/>
      <w:marTop w:val="0"/>
      <w:marBottom w:val="0"/>
      <w:divBdr>
        <w:top w:val="none" w:sz="0" w:space="0" w:color="auto"/>
        <w:left w:val="none" w:sz="0" w:space="0" w:color="auto"/>
        <w:bottom w:val="none" w:sz="0" w:space="0" w:color="auto"/>
        <w:right w:val="none" w:sz="0" w:space="0" w:color="auto"/>
      </w:divBdr>
    </w:div>
    <w:div w:id="791553475">
      <w:bodyDiv w:val="1"/>
      <w:marLeft w:val="0"/>
      <w:marRight w:val="0"/>
      <w:marTop w:val="0"/>
      <w:marBottom w:val="0"/>
      <w:divBdr>
        <w:top w:val="none" w:sz="0" w:space="0" w:color="auto"/>
        <w:left w:val="none" w:sz="0" w:space="0" w:color="auto"/>
        <w:bottom w:val="none" w:sz="0" w:space="0" w:color="auto"/>
        <w:right w:val="none" w:sz="0" w:space="0" w:color="auto"/>
      </w:divBdr>
    </w:div>
    <w:div w:id="796724843">
      <w:bodyDiv w:val="1"/>
      <w:marLeft w:val="0"/>
      <w:marRight w:val="0"/>
      <w:marTop w:val="0"/>
      <w:marBottom w:val="0"/>
      <w:divBdr>
        <w:top w:val="none" w:sz="0" w:space="0" w:color="auto"/>
        <w:left w:val="none" w:sz="0" w:space="0" w:color="auto"/>
        <w:bottom w:val="none" w:sz="0" w:space="0" w:color="auto"/>
        <w:right w:val="none" w:sz="0" w:space="0" w:color="auto"/>
      </w:divBdr>
    </w:div>
    <w:div w:id="802581141">
      <w:bodyDiv w:val="1"/>
      <w:marLeft w:val="0"/>
      <w:marRight w:val="0"/>
      <w:marTop w:val="0"/>
      <w:marBottom w:val="0"/>
      <w:divBdr>
        <w:top w:val="none" w:sz="0" w:space="0" w:color="auto"/>
        <w:left w:val="none" w:sz="0" w:space="0" w:color="auto"/>
        <w:bottom w:val="none" w:sz="0" w:space="0" w:color="auto"/>
        <w:right w:val="none" w:sz="0" w:space="0" w:color="auto"/>
      </w:divBdr>
    </w:div>
    <w:div w:id="804002949">
      <w:bodyDiv w:val="1"/>
      <w:marLeft w:val="0"/>
      <w:marRight w:val="0"/>
      <w:marTop w:val="0"/>
      <w:marBottom w:val="0"/>
      <w:divBdr>
        <w:top w:val="none" w:sz="0" w:space="0" w:color="auto"/>
        <w:left w:val="none" w:sz="0" w:space="0" w:color="auto"/>
        <w:bottom w:val="none" w:sz="0" w:space="0" w:color="auto"/>
        <w:right w:val="none" w:sz="0" w:space="0" w:color="auto"/>
      </w:divBdr>
    </w:div>
    <w:div w:id="810751599">
      <w:bodyDiv w:val="1"/>
      <w:marLeft w:val="0"/>
      <w:marRight w:val="0"/>
      <w:marTop w:val="0"/>
      <w:marBottom w:val="0"/>
      <w:divBdr>
        <w:top w:val="none" w:sz="0" w:space="0" w:color="auto"/>
        <w:left w:val="none" w:sz="0" w:space="0" w:color="auto"/>
        <w:bottom w:val="none" w:sz="0" w:space="0" w:color="auto"/>
        <w:right w:val="none" w:sz="0" w:space="0" w:color="auto"/>
      </w:divBdr>
    </w:div>
    <w:div w:id="820971179">
      <w:bodyDiv w:val="1"/>
      <w:marLeft w:val="0"/>
      <w:marRight w:val="0"/>
      <w:marTop w:val="0"/>
      <w:marBottom w:val="0"/>
      <w:divBdr>
        <w:top w:val="none" w:sz="0" w:space="0" w:color="auto"/>
        <w:left w:val="none" w:sz="0" w:space="0" w:color="auto"/>
        <w:bottom w:val="none" w:sz="0" w:space="0" w:color="auto"/>
        <w:right w:val="none" w:sz="0" w:space="0" w:color="auto"/>
      </w:divBdr>
    </w:div>
    <w:div w:id="824784182">
      <w:bodyDiv w:val="1"/>
      <w:marLeft w:val="0"/>
      <w:marRight w:val="0"/>
      <w:marTop w:val="0"/>
      <w:marBottom w:val="0"/>
      <w:divBdr>
        <w:top w:val="none" w:sz="0" w:space="0" w:color="auto"/>
        <w:left w:val="none" w:sz="0" w:space="0" w:color="auto"/>
        <w:bottom w:val="none" w:sz="0" w:space="0" w:color="auto"/>
        <w:right w:val="none" w:sz="0" w:space="0" w:color="auto"/>
      </w:divBdr>
    </w:div>
    <w:div w:id="827019992">
      <w:bodyDiv w:val="1"/>
      <w:marLeft w:val="0"/>
      <w:marRight w:val="0"/>
      <w:marTop w:val="0"/>
      <w:marBottom w:val="0"/>
      <w:divBdr>
        <w:top w:val="none" w:sz="0" w:space="0" w:color="auto"/>
        <w:left w:val="none" w:sz="0" w:space="0" w:color="auto"/>
        <w:bottom w:val="none" w:sz="0" w:space="0" w:color="auto"/>
        <w:right w:val="none" w:sz="0" w:space="0" w:color="auto"/>
      </w:divBdr>
    </w:div>
    <w:div w:id="830097586">
      <w:bodyDiv w:val="1"/>
      <w:marLeft w:val="0"/>
      <w:marRight w:val="0"/>
      <w:marTop w:val="0"/>
      <w:marBottom w:val="0"/>
      <w:divBdr>
        <w:top w:val="none" w:sz="0" w:space="0" w:color="auto"/>
        <w:left w:val="none" w:sz="0" w:space="0" w:color="auto"/>
        <w:bottom w:val="none" w:sz="0" w:space="0" w:color="auto"/>
        <w:right w:val="none" w:sz="0" w:space="0" w:color="auto"/>
      </w:divBdr>
    </w:div>
    <w:div w:id="833959633">
      <w:bodyDiv w:val="1"/>
      <w:marLeft w:val="0"/>
      <w:marRight w:val="0"/>
      <w:marTop w:val="0"/>
      <w:marBottom w:val="0"/>
      <w:divBdr>
        <w:top w:val="none" w:sz="0" w:space="0" w:color="auto"/>
        <w:left w:val="none" w:sz="0" w:space="0" w:color="auto"/>
        <w:bottom w:val="none" w:sz="0" w:space="0" w:color="auto"/>
        <w:right w:val="none" w:sz="0" w:space="0" w:color="auto"/>
      </w:divBdr>
    </w:div>
    <w:div w:id="837424532">
      <w:bodyDiv w:val="1"/>
      <w:marLeft w:val="0"/>
      <w:marRight w:val="0"/>
      <w:marTop w:val="0"/>
      <w:marBottom w:val="0"/>
      <w:divBdr>
        <w:top w:val="none" w:sz="0" w:space="0" w:color="auto"/>
        <w:left w:val="none" w:sz="0" w:space="0" w:color="auto"/>
        <w:bottom w:val="none" w:sz="0" w:space="0" w:color="auto"/>
        <w:right w:val="none" w:sz="0" w:space="0" w:color="auto"/>
      </w:divBdr>
    </w:div>
    <w:div w:id="843399391">
      <w:bodyDiv w:val="1"/>
      <w:marLeft w:val="0"/>
      <w:marRight w:val="0"/>
      <w:marTop w:val="0"/>
      <w:marBottom w:val="0"/>
      <w:divBdr>
        <w:top w:val="none" w:sz="0" w:space="0" w:color="auto"/>
        <w:left w:val="none" w:sz="0" w:space="0" w:color="auto"/>
        <w:bottom w:val="none" w:sz="0" w:space="0" w:color="auto"/>
        <w:right w:val="none" w:sz="0" w:space="0" w:color="auto"/>
      </w:divBdr>
    </w:div>
    <w:div w:id="849023811">
      <w:bodyDiv w:val="1"/>
      <w:marLeft w:val="0"/>
      <w:marRight w:val="0"/>
      <w:marTop w:val="0"/>
      <w:marBottom w:val="0"/>
      <w:divBdr>
        <w:top w:val="none" w:sz="0" w:space="0" w:color="auto"/>
        <w:left w:val="none" w:sz="0" w:space="0" w:color="auto"/>
        <w:bottom w:val="none" w:sz="0" w:space="0" w:color="auto"/>
        <w:right w:val="none" w:sz="0" w:space="0" w:color="auto"/>
      </w:divBdr>
    </w:div>
    <w:div w:id="853112585">
      <w:bodyDiv w:val="1"/>
      <w:marLeft w:val="0"/>
      <w:marRight w:val="0"/>
      <w:marTop w:val="0"/>
      <w:marBottom w:val="0"/>
      <w:divBdr>
        <w:top w:val="none" w:sz="0" w:space="0" w:color="auto"/>
        <w:left w:val="none" w:sz="0" w:space="0" w:color="auto"/>
        <w:bottom w:val="none" w:sz="0" w:space="0" w:color="auto"/>
        <w:right w:val="none" w:sz="0" w:space="0" w:color="auto"/>
      </w:divBdr>
    </w:div>
    <w:div w:id="862980166">
      <w:bodyDiv w:val="1"/>
      <w:marLeft w:val="0"/>
      <w:marRight w:val="0"/>
      <w:marTop w:val="0"/>
      <w:marBottom w:val="0"/>
      <w:divBdr>
        <w:top w:val="none" w:sz="0" w:space="0" w:color="auto"/>
        <w:left w:val="none" w:sz="0" w:space="0" w:color="auto"/>
        <w:bottom w:val="none" w:sz="0" w:space="0" w:color="auto"/>
        <w:right w:val="none" w:sz="0" w:space="0" w:color="auto"/>
      </w:divBdr>
    </w:div>
    <w:div w:id="873034784">
      <w:bodyDiv w:val="1"/>
      <w:marLeft w:val="0"/>
      <w:marRight w:val="0"/>
      <w:marTop w:val="0"/>
      <w:marBottom w:val="0"/>
      <w:divBdr>
        <w:top w:val="none" w:sz="0" w:space="0" w:color="auto"/>
        <w:left w:val="none" w:sz="0" w:space="0" w:color="auto"/>
        <w:bottom w:val="none" w:sz="0" w:space="0" w:color="auto"/>
        <w:right w:val="none" w:sz="0" w:space="0" w:color="auto"/>
      </w:divBdr>
    </w:div>
    <w:div w:id="873661116">
      <w:bodyDiv w:val="1"/>
      <w:marLeft w:val="0"/>
      <w:marRight w:val="0"/>
      <w:marTop w:val="0"/>
      <w:marBottom w:val="0"/>
      <w:divBdr>
        <w:top w:val="none" w:sz="0" w:space="0" w:color="auto"/>
        <w:left w:val="none" w:sz="0" w:space="0" w:color="auto"/>
        <w:bottom w:val="none" w:sz="0" w:space="0" w:color="auto"/>
        <w:right w:val="none" w:sz="0" w:space="0" w:color="auto"/>
      </w:divBdr>
    </w:div>
    <w:div w:id="895893352">
      <w:bodyDiv w:val="1"/>
      <w:marLeft w:val="0"/>
      <w:marRight w:val="0"/>
      <w:marTop w:val="0"/>
      <w:marBottom w:val="0"/>
      <w:divBdr>
        <w:top w:val="none" w:sz="0" w:space="0" w:color="auto"/>
        <w:left w:val="none" w:sz="0" w:space="0" w:color="auto"/>
        <w:bottom w:val="none" w:sz="0" w:space="0" w:color="auto"/>
        <w:right w:val="none" w:sz="0" w:space="0" w:color="auto"/>
      </w:divBdr>
    </w:div>
    <w:div w:id="935287126">
      <w:bodyDiv w:val="1"/>
      <w:marLeft w:val="0"/>
      <w:marRight w:val="0"/>
      <w:marTop w:val="0"/>
      <w:marBottom w:val="0"/>
      <w:divBdr>
        <w:top w:val="none" w:sz="0" w:space="0" w:color="auto"/>
        <w:left w:val="none" w:sz="0" w:space="0" w:color="auto"/>
        <w:bottom w:val="none" w:sz="0" w:space="0" w:color="auto"/>
        <w:right w:val="none" w:sz="0" w:space="0" w:color="auto"/>
      </w:divBdr>
    </w:div>
    <w:div w:id="944312588">
      <w:bodyDiv w:val="1"/>
      <w:marLeft w:val="0"/>
      <w:marRight w:val="0"/>
      <w:marTop w:val="0"/>
      <w:marBottom w:val="0"/>
      <w:divBdr>
        <w:top w:val="none" w:sz="0" w:space="0" w:color="auto"/>
        <w:left w:val="none" w:sz="0" w:space="0" w:color="auto"/>
        <w:bottom w:val="none" w:sz="0" w:space="0" w:color="auto"/>
        <w:right w:val="none" w:sz="0" w:space="0" w:color="auto"/>
      </w:divBdr>
    </w:div>
    <w:div w:id="948660437">
      <w:bodyDiv w:val="1"/>
      <w:marLeft w:val="0"/>
      <w:marRight w:val="0"/>
      <w:marTop w:val="0"/>
      <w:marBottom w:val="0"/>
      <w:divBdr>
        <w:top w:val="none" w:sz="0" w:space="0" w:color="auto"/>
        <w:left w:val="none" w:sz="0" w:space="0" w:color="auto"/>
        <w:bottom w:val="none" w:sz="0" w:space="0" w:color="auto"/>
        <w:right w:val="none" w:sz="0" w:space="0" w:color="auto"/>
      </w:divBdr>
    </w:div>
    <w:div w:id="962463257">
      <w:bodyDiv w:val="1"/>
      <w:marLeft w:val="0"/>
      <w:marRight w:val="0"/>
      <w:marTop w:val="0"/>
      <w:marBottom w:val="0"/>
      <w:divBdr>
        <w:top w:val="none" w:sz="0" w:space="0" w:color="auto"/>
        <w:left w:val="none" w:sz="0" w:space="0" w:color="auto"/>
        <w:bottom w:val="none" w:sz="0" w:space="0" w:color="auto"/>
        <w:right w:val="none" w:sz="0" w:space="0" w:color="auto"/>
      </w:divBdr>
    </w:div>
    <w:div w:id="962538244">
      <w:bodyDiv w:val="1"/>
      <w:marLeft w:val="0"/>
      <w:marRight w:val="0"/>
      <w:marTop w:val="0"/>
      <w:marBottom w:val="0"/>
      <w:divBdr>
        <w:top w:val="none" w:sz="0" w:space="0" w:color="auto"/>
        <w:left w:val="none" w:sz="0" w:space="0" w:color="auto"/>
        <w:bottom w:val="none" w:sz="0" w:space="0" w:color="auto"/>
        <w:right w:val="none" w:sz="0" w:space="0" w:color="auto"/>
      </w:divBdr>
    </w:div>
    <w:div w:id="988094055">
      <w:bodyDiv w:val="1"/>
      <w:marLeft w:val="0"/>
      <w:marRight w:val="0"/>
      <w:marTop w:val="0"/>
      <w:marBottom w:val="0"/>
      <w:divBdr>
        <w:top w:val="none" w:sz="0" w:space="0" w:color="auto"/>
        <w:left w:val="none" w:sz="0" w:space="0" w:color="auto"/>
        <w:bottom w:val="none" w:sz="0" w:space="0" w:color="auto"/>
        <w:right w:val="none" w:sz="0" w:space="0" w:color="auto"/>
      </w:divBdr>
    </w:div>
    <w:div w:id="988097055">
      <w:bodyDiv w:val="1"/>
      <w:marLeft w:val="0"/>
      <w:marRight w:val="0"/>
      <w:marTop w:val="0"/>
      <w:marBottom w:val="0"/>
      <w:divBdr>
        <w:top w:val="none" w:sz="0" w:space="0" w:color="auto"/>
        <w:left w:val="none" w:sz="0" w:space="0" w:color="auto"/>
        <w:bottom w:val="none" w:sz="0" w:space="0" w:color="auto"/>
        <w:right w:val="none" w:sz="0" w:space="0" w:color="auto"/>
      </w:divBdr>
    </w:div>
    <w:div w:id="998655378">
      <w:bodyDiv w:val="1"/>
      <w:marLeft w:val="0"/>
      <w:marRight w:val="0"/>
      <w:marTop w:val="0"/>
      <w:marBottom w:val="0"/>
      <w:divBdr>
        <w:top w:val="none" w:sz="0" w:space="0" w:color="auto"/>
        <w:left w:val="none" w:sz="0" w:space="0" w:color="auto"/>
        <w:bottom w:val="none" w:sz="0" w:space="0" w:color="auto"/>
        <w:right w:val="none" w:sz="0" w:space="0" w:color="auto"/>
      </w:divBdr>
    </w:div>
    <w:div w:id="1006320204">
      <w:bodyDiv w:val="1"/>
      <w:marLeft w:val="0"/>
      <w:marRight w:val="0"/>
      <w:marTop w:val="0"/>
      <w:marBottom w:val="0"/>
      <w:divBdr>
        <w:top w:val="none" w:sz="0" w:space="0" w:color="auto"/>
        <w:left w:val="none" w:sz="0" w:space="0" w:color="auto"/>
        <w:bottom w:val="none" w:sz="0" w:space="0" w:color="auto"/>
        <w:right w:val="none" w:sz="0" w:space="0" w:color="auto"/>
      </w:divBdr>
    </w:div>
    <w:div w:id="1015695052">
      <w:bodyDiv w:val="1"/>
      <w:marLeft w:val="0"/>
      <w:marRight w:val="0"/>
      <w:marTop w:val="0"/>
      <w:marBottom w:val="0"/>
      <w:divBdr>
        <w:top w:val="none" w:sz="0" w:space="0" w:color="auto"/>
        <w:left w:val="none" w:sz="0" w:space="0" w:color="auto"/>
        <w:bottom w:val="none" w:sz="0" w:space="0" w:color="auto"/>
        <w:right w:val="none" w:sz="0" w:space="0" w:color="auto"/>
      </w:divBdr>
    </w:div>
    <w:div w:id="1017464399">
      <w:bodyDiv w:val="1"/>
      <w:marLeft w:val="0"/>
      <w:marRight w:val="0"/>
      <w:marTop w:val="0"/>
      <w:marBottom w:val="0"/>
      <w:divBdr>
        <w:top w:val="none" w:sz="0" w:space="0" w:color="auto"/>
        <w:left w:val="none" w:sz="0" w:space="0" w:color="auto"/>
        <w:bottom w:val="none" w:sz="0" w:space="0" w:color="auto"/>
        <w:right w:val="none" w:sz="0" w:space="0" w:color="auto"/>
      </w:divBdr>
    </w:div>
    <w:div w:id="1024019740">
      <w:bodyDiv w:val="1"/>
      <w:marLeft w:val="0"/>
      <w:marRight w:val="0"/>
      <w:marTop w:val="0"/>
      <w:marBottom w:val="0"/>
      <w:divBdr>
        <w:top w:val="none" w:sz="0" w:space="0" w:color="auto"/>
        <w:left w:val="none" w:sz="0" w:space="0" w:color="auto"/>
        <w:bottom w:val="none" w:sz="0" w:space="0" w:color="auto"/>
        <w:right w:val="none" w:sz="0" w:space="0" w:color="auto"/>
      </w:divBdr>
    </w:div>
    <w:div w:id="1053190555">
      <w:bodyDiv w:val="1"/>
      <w:marLeft w:val="0"/>
      <w:marRight w:val="0"/>
      <w:marTop w:val="0"/>
      <w:marBottom w:val="0"/>
      <w:divBdr>
        <w:top w:val="none" w:sz="0" w:space="0" w:color="auto"/>
        <w:left w:val="none" w:sz="0" w:space="0" w:color="auto"/>
        <w:bottom w:val="none" w:sz="0" w:space="0" w:color="auto"/>
        <w:right w:val="none" w:sz="0" w:space="0" w:color="auto"/>
      </w:divBdr>
    </w:div>
    <w:div w:id="1069227654">
      <w:bodyDiv w:val="1"/>
      <w:marLeft w:val="0"/>
      <w:marRight w:val="0"/>
      <w:marTop w:val="0"/>
      <w:marBottom w:val="0"/>
      <w:divBdr>
        <w:top w:val="none" w:sz="0" w:space="0" w:color="auto"/>
        <w:left w:val="none" w:sz="0" w:space="0" w:color="auto"/>
        <w:bottom w:val="none" w:sz="0" w:space="0" w:color="auto"/>
        <w:right w:val="none" w:sz="0" w:space="0" w:color="auto"/>
      </w:divBdr>
    </w:div>
    <w:div w:id="1081025853">
      <w:bodyDiv w:val="1"/>
      <w:marLeft w:val="0"/>
      <w:marRight w:val="0"/>
      <w:marTop w:val="0"/>
      <w:marBottom w:val="0"/>
      <w:divBdr>
        <w:top w:val="none" w:sz="0" w:space="0" w:color="auto"/>
        <w:left w:val="none" w:sz="0" w:space="0" w:color="auto"/>
        <w:bottom w:val="none" w:sz="0" w:space="0" w:color="auto"/>
        <w:right w:val="none" w:sz="0" w:space="0" w:color="auto"/>
      </w:divBdr>
    </w:div>
    <w:div w:id="1118527868">
      <w:bodyDiv w:val="1"/>
      <w:marLeft w:val="0"/>
      <w:marRight w:val="0"/>
      <w:marTop w:val="0"/>
      <w:marBottom w:val="0"/>
      <w:divBdr>
        <w:top w:val="none" w:sz="0" w:space="0" w:color="auto"/>
        <w:left w:val="none" w:sz="0" w:space="0" w:color="auto"/>
        <w:bottom w:val="none" w:sz="0" w:space="0" w:color="auto"/>
        <w:right w:val="none" w:sz="0" w:space="0" w:color="auto"/>
      </w:divBdr>
    </w:div>
    <w:div w:id="1122849226">
      <w:bodyDiv w:val="1"/>
      <w:marLeft w:val="0"/>
      <w:marRight w:val="0"/>
      <w:marTop w:val="0"/>
      <w:marBottom w:val="0"/>
      <w:divBdr>
        <w:top w:val="none" w:sz="0" w:space="0" w:color="auto"/>
        <w:left w:val="none" w:sz="0" w:space="0" w:color="auto"/>
        <w:bottom w:val="none" w:sz="0" w:space="0" w:color="auto"/>
        <w:right w:val="none" w:sz="0" w:space="0" w:color="auto"/>
      </w:divBdr>
    </w:div>
    <w:div w:id="1152916288">
      <w:bodyDiv w:val="1"/>
      <w:marLeft w:val="0"/>
      <w:marRight w:val="0"/>
      <w:marTop w:val="0"/>
      <w:marBottom w:val="0"/>
      <w:divBdr>
        <w:top w:val="none" w:sz="0" w:space="0" w:color="auto"/>
        <w:left w:val="none" w:sz="0" w:space="0" w:color="auto"/>
        <w:bottom w:val="none" w:sz="0" w:space="0" w:color="auto"/>
        <w:right w:val="none" w:sz="0" w:space="0" w:color="auto"/>
      </w:divBdr>
    </w:div>
    <w:div w:id="1162962811">
      <w:bodyDiv w:val="1"/>
      <w:marLeft w:val="0"/>
      <w:marRight w:val="0"/>
      <w:marTop w:val="0"/>
      <w:marBottom w:val="0"/>
      <w:divBdr>
        <w:top w:val="none" w:sz="0" w:space="0" w:color="auto"/>
        <w:left w:val="none" w:sz="0" w:space="0" w:color="auto"/>
        <w:bottom w:val="none" w:sz="0" w:space="0" w:color="auto"/>
        <w:right w:val="none" w:sz="0" w:space="0" w:color="auto"/>
      </w:divBdr>
    </w:div>
    <w:div w:id="1164272632">
      <w:bodyDiv w:val="1"/>
      <w:marLeft w:val="0"/>
      <w:marRight w:val="0"/>
      <w:marTop w:val="0"/>
      <w:marBottom w:val="0"/>
      <w:divBdr>
        <w:top w:val="none" w:sz="0" w:space="0" w:color="auto"/>
        <w:left w:val="none" w:sz="0" w:space="0" w:color="auto"/>
        <w:bottom w:val="none" w:sz="0" w:space="0" w:color="auto"/>
        <w:right w:val="none" w:sz="0" w:space="0" w:color="auto"/>
      </w:divBdr>
    </w:div>
    <w:div w:id="1176991459">
      <w:bodyDiv w:val="1"/>
      <w:marLeft w:val="0"/>
      <w:marRight w:val="0"/>
      <w:marTop w:val="0"/>
      <w:marBottom w:val="0"/>
      <w:divBdr>
        <w:top w:val="none" w:sz="0" w:space="0" w:color="auto"/>
        <w:left w:val="none" w:sz="0" w:space="0" w:color="auto"/>
        <w:bottom w:val="none" w:sz="0" w:space="0" w:color="auto"/>
        <w:right w:val="none" w:sz="0" w:space="0" w:color="auto"/>
      </w:divBdr>
    </w:div>
    <w:div w:id="1195996899">
      <w:bodyDiv w:val="1"/>
      <w:marLeft w:val="0"/>
      <w:marRight w:val="0"/>
      <w:marTop w:val="0"/>
      <w:marBottom w:val="0"/>
      <w:divBdr>
        <w:top w:val="none" w:sz="0" w:space="0" w:color="auto"/>
        <w:left w:val="none" w:sz="0" w:space="0" w:color="auto"/>
        <w:bottom w:val="none" w:sz="0" w:space="0" w:color="auto"/>
        <w:right w:val="none" w:sz="0" w:space="0" w:color="auto"/>
      </w:divBdr>
    </w:div>
    <w:div w:id="1210993288">
      <w:bodyDiv w:val="1"/>
      <w:marLeft w:val="0"/>
      <w:marRight w:val="0"/>
      <w:marTop w:val="0"/>
      <w:marBottom w:val="0"/>
      <w:divBdr>
        <w:top w:val="none" w:sz="0" w:space="0" w:color="auto"/>
        <w:left w:val="none" w:sz="0" w:space="0" w:color="auto"/>
        <w:bottom w:val="none" w:sz="0" w:space="0" w:color="auto"/>
        <w:right w:val="none" w:sz="0" w:space="0" w:color="auto"/>
      </w:divBdr>
    </w:div>
    <w:div w:id="1239438843">
      <w:bodyDiv w:val="1"/>
      <w:marLeft w:val="0"/>
      <w:marRight w:val="0"/>
      <w:marTop w:val="0"/>
      <w:marBottom w:val="0"/>
      <w:divBdr>
        <w:top w:val="none" w:sz="0" w:space="0" w:color="auto"/>
        <w:left w:val="none" w:sz="0" w:space="0" w:color="auto"/>
        <w:bottom w:val="none" w:sz="0" w:space="0" w:color="auto"/>
        <w:right w:val="none" w:sz="0" w:space="0" w:color="auto"/>
      </w:divBdr>
    </w:div>
    <w:div w:id="1240555777">
      <w:bodyDiv w:val="1"/>
      <w:marLeft w:val="0"/>
      <w:marRight w:val="0"/>
      <w:marTop w:val="0"/>
      <w:marBottom w:val="0"/>
      <w:divBdr>
        <w:top w:val="none" w:sz="0" w:space="0" w:color="auto"/>
        <w:left w:val="none" w:sz="0" w:space="0" w:color="auto"/>
        <w:bottom w:val="none" w:sz="0" w:space="0" w:color="auto"/>
        <w:right w:val="none" w:sz="0" w:space="0" w:color="auto"/>
      </w:divBdr>
    </w:div>
    <w:div w:id="1254974027">
      <w:bodyDiv w:val="1"/>
      <w:marLeft w:val="0"/>
      <w:marRight w:val="0"/>
      <w:marTop w:val="0"/>
      <w:marBottom w:val="0"/>
      <w:divBdr>
        <w:top w:val="none" w:sz="0" w:space="0" w:color="auto"/>
        <w:left w:val="none" w:sz="0" w:space="0" w:color="auto"/>
        <w:bottom w:val="none" w:sz="0" w:space="0" w:color="auto"/>
        <w:right w:val="none" w:sz="0" w:space="0" w:color="auto"/>
      </w:divBdr>
    </w:div>
    <w:div w:id="1257716772">
      <w:bodyDiv w:val="1"/>
      <w:marLeft w:val="0"/>
      <w:marRight w:val="0"/>
      <w:marTop w:val="0"/>
      <w:marBottom w:val="0"/>
      <w:divBdr>
        <w:top w:val="none" w:sz="0" w:space="0" w:color="auto"/>
        <w:left w:val="none" w:sz="0" w:space="0" w:color="auto"/>
        <w:bottom w:val="none" w:sz="0" w:space="0" w:color="auto"/>
        <w:right w:val="none" w:sz="0" w:space="0" w:color="auto"/>
      </w:divBdr>
    </w:div>
    <w:div w:id="1271159453">
      <w:bodyDiv w:val="1"/>
      <w:marLeft w:val="0"/>
      <w:marRight w:val="0"/>
      <w:marTop w:val="0"/>
      <w:marBottom w:val="0"/>
      <w:divBdr>
        <w:top w:val="none" w:sz="0" w:space="0" w:color="auto"/>
        <w:left w:val="none" w:sz="0" w:space="0" w:color="auto"/>
        <w:bottom w:val="none" w:sz="0" w:space="0" w:color="auto"/>
        <w:right w:val="none" w:sz="0" w:space="0" w:color="auto"/>
      </w:divBdr>
    </w:div>
    <w:div w:id="1299338267">
      <w:bodyDiv w:val="1"/>
      <w:marLeft w:val="0"/>
      <w:marRight w:val="0"/>
      <w:marTop w:val="0"/>
      <w:marBottom w:val="0"/>
      <w:divBdr>
        <w:top w:val="none" w:sz="0" w:space="0" w:color="auto"/>
        <w:left w:val="none" w:sz="0" w:space="0" w:color="auto"/>
        <w:bottom w:val="none" w:sz="0" w:space="0" w:color="auto"/>
        <w:right w:val="none" w:sz="0" w:space="0" w:color="auto"/>
      </w:divBdr>
    </w:div>
    <w:div w:id="1300770094">
      <w:bodyDiv w:val="1"/>
      <w:marLeft w:val="0"/>
      <w:marRight w:val="0"/>
      <w:marTop w:val="0"/>
      <w:marBottom w:val="0"/>
      <w:divBdr>
        <w:top w:val="none" w:sz="0" w:space="0" w:color="auto"/>
        <w:left w:val="none" w:sz="0" w:space="0" w:color="auto"/>
        <w:bottom w:val="none" w:sz="0" w:space="0" w:color="auto"/>
        <w:right w:val="none" w:sz="0" w:space="0" w:color="auto"/>
      </w:divBdr>
    </w:div>
    <w:div w:id="1307511186">
      <w:bodyDiv w:val="1"/>
      <w:marLeft w:val="0"/>
      <w:marRight w:val="0"/>
      <w:marTop w:val="0"/>
      <w:marBottom w:val="0"/>
      <w:divBdr>
        <w:top w:val="none" w:sz="0" w:space="0" w:color="auto"/>
        <w:left w:val="none" w:sz="0" w:space="0" w:color="auto"/>
        <w:bottom w:val="none" w:sz="0" w:space="0" w:color="auto"/>
        <w:right w:val="none" w:sz="0" w:space="0" w:color="auto"/>
      </w:divBdr>
    </w:div>
    <w:div w:id="1314212453">
      <w:bodyDiv w:val="1"/>
      <w:marLeft w:val="0"/>
      <w:marRight w:val="0"/>
      <w:marTop w:val="0"/>
      <w:marBottom w:val="0"/>
      <w:divBdr>
        <w:top w:val="none" w:sz="0" w:space="0" w:color="auto"/>
        <w:left w:val="none" w:sz="0" w:space="0" w:color="auto"/>
        <w:bottom w:val="none" w:sz="0" w:space="0" w:color="auto"/>
        <w:right w:val="none" w:sz="0" w:space="0" w:color="auto"/>
      </w:divBdr>
    </w:div>
    <w:div w:id="1315334164">
      <w:bodyDiv w:val="1"/>
      <w:marLeft w:val="0"/>
      <w:marRight w:val="0"/>
      <w:marTop w:val="0"/>
      <w:marBottom w:val="0"/>
      <w:divBdr>
        <w:top w:val="none" w:sz="0" w:space="0" w:color="auto"/>
        <w:left w:val="none" w:sz="0" w:space="0" w:color="auto"/>
        <w:bottom w:val="none" w:sz="0" w:space="0" w:color="auto"/>
        <w:right w:val="none" w:sz="0" w:space="0" w:color="auto"/>
      </w:divBdr>
    </w:div>
    <w:div w:id="1316685614">
      <w:bodyDiv w:val="1"/>
      <w:marLeft w:val="0"/>
      <w:marRight w:val="0"/>
      <w:marTop w:val="0"/>
      <w:marBottom w:val="0"/>
      <w:divBdr>
        <w:top w:val="none" w:sz="0" w:space="0" w:color="auto"/>
        <w:left w:val="none" w:sz="0" w:space="0" w:color="auto"/>
        <w:bottom w:val="none" w:sz="0" w:space="0" w:color="auto"/>
        <w:right w:val="none" w:sz="0" w:space="0" w:color="auto"/>
      </w:divBdr>
    </w:div>
    <w:div w:id="1325933327">
      <w:bodyDiv w:val="1"/>
      <w:marLeft w:val="0"/>
      <w:marRight w:val="0"/>
      <w:marTop w:val="0"/>
      <w:marBottom w:val="0"/>
      <w:divBdr>
        <w:top w:val="none" w:sz="0" w:space="0" w:color="auto"/>
        <w:left w:val="none" w:sz="0" w:space="0" w:color="auto"/>
        <w:bottom w:val="none" w:sz="0" w:space="0" w:color="auto"/>
        <w:right w:val="none" w:sz="0" w:space="0" w:color="auto"/>
      </w:divBdr>
    </w:div>
    <w:div w:id="1362585489">
      <w:bodyDiv w:val="1"/>
      <w:marLeft w:val="0"/>
      <w:marRight w:val="0"/>
      <w:marTop w:val="0"/>
      <w:marBottom w:val="0"/>
      <w:divBdr>
        <w:top w:val="none" w:sz="0" w:space="0" w:color="auto"/>
        <w:left w:val="none" w:sz="0" w:space="0" w:color="auto"/>
        <w:bottom w:val="none" w:sz="0" w:space="0" w:color="auto"/>
        <w:right w:val="none" w:sz="0" w:space="0" w:color="auto"/>
      </w:divBdr>
    </w:div>
    <w:div w:id="1371951318">
      <w:bodyDiv w:val="1"/>
      <w:marLeft w:val="0"/>
      <w:marRight w:val="0"/>
      <w:marTop w:val="0"/>
      <w:marBottom w:val="0"/>
      <w:divBdr>
        <w:top w:val="none" w:sz="0" w:space="0" w:color="auto"/>
        <w:left w:val="none" w:sz="0" w:space="0" w:color="auto"/>
        <w:bottom w:val="none" w:sz="0" w:space="0" w:color="auto"/>
        <w:right w:val="none" w:sz="0" w:space="0" w:color="auto"/>
      </w:divBdr>
    </w:div>
    <w:div w:id="1379622252">
      <w:bodyDiv w:val="1"/>
      <w:marLeft w:val="0"/>
      <w:marRight w:val="0"/>
      <w:marTop w:val="0"/>
      <w:marBottom w:val="0"/>
      <w:divBdr>
        <w:top w:val="none" w:sz="0" w:space="0" w:color="auto"/>
        <w:left w:val="none" w:sz="0" w:space="0" w:color="auto"/>
        <w:bottom w:val="none" w:sz="0" w:space="0" w:color="auto"/>
        <w:right w:val="none" w:sz="0" w:space="0" w:color="auto"/>
      </w:divBdr>
    </w:div>
    <w:div w:id="1384712098">
      <w:bodyDiv w:val="1"/>
      <w:marLeft w:val="0"/>
      <w:marRight w:val="0"/>
      <w:marTop w:val="0"/>
      <w:marBottom w:val="0"/>
      <w:divBdr>
        <w:top w:val="none" w:sz="0" w:space="0" w:color="auto"/>
        <w:left w:val="none" w:sz="0" w:space="0" w:color="auto"/>
        <w:bottom w:val="none" w:sz="0" w:space="0" w:color="auto"/>
        <w:right w:val="none" w:sz="0" w:space="0" w:color="auto"/>
      </w:divBdr>
    </w:div>
    <w:div w:id="1386029934">
      <w:bodyDiv w:val="1"/>
      <w:marLeft w:val="0"/>
      <w:marRight w:val="0"/>
      <w:marTop w:val="0"/>
      <w:marBottom w:val="0"/>
      <w:divBdr>
        <w:top w:val="none" w:sz="0" w:space="0" w:color="auto"/>
        <w:left w:val="none" w:sz="0" w:space="0" w:color="auto"/>
        <w:bottom w:val="none" w:sz="0" w:space="0" w:color="auto"/>
        <w:right w:val="none" w:sz="0" w:space="0" w:color="auto"/>
      </w:divBdr>
    </w:div>
    <w:div w:id="1399133842">
      <w:bodyDiv w:val="1"/>
      <w:marLeft w:val="0"/>
      <w:marRight w:val="0"/>
      <w:marTop w:val="0"/>
      <w:marBottom w:val="0"/>
      <w:divBdr>
        <w:top w:val="none" w:sz="0" w:space="0" w:color="auto"/>
        <w:left w:val="none" w:sz="0" w:space="0" w:color="auto"/>
        <w:bottom w:val="none" w:sz="0" w:space="0" w:color="auto"/>
        <w:right w:val="none" w:sz="0" w:space="0" w:color="auto"/>
      </w:divBdr>
    </w:div>
    <w:div w:id="1405223901">
      <w:bodyDiv w:val="1"/>
      <w:marLeft w:val="0"/>
      <w:marRight w:val="0"/>
      <w:marTop w:val="0"/>
      <w:marBottom w:val="0"/>
      <w:divBdr>
        <w:top w:val="none" w:sz="0" w:space="0" w:color="auto"/>
        <w:left w:val="none" w:sz="0" w:space="0" w:color="auto"/>
        <w:bottom w:val="none" w:sz="0" w:space="0" w:color="auto"/>
        <w:right w:val="none" w:sz="0" w:space="0" w:color="auto"/>
      </w:divBdr>
    </w:div>
    <w:div w:id="1418013691">
      <w:bodyDiv w:val="1"/>
      <w:marLeft w:val="0"/>
      <w:marRight w:val="0"/>
      <w:marTop w:val="0"/>
      <w:marBottom w:val="0"/>
      <w:divBdr>
        <w:top w:val="none" w:sz="0" w:space="0" w:color="auto"/>
        <w:left w:val="none" w:sz="0" w:space="0" w:color="auto"/>
        <w:bottom w:val="none" w:sz="0" w:space="0" w:color="auto"/>
        <w:right w:val="none" w:sz="0" w:space="0" w:color="auto"/>
      </w:divBdr>
    </w:div>
    <w:div w:id="1430857493">
      <w:bodyDiv w:val="1"/>
      <w:marLeft w:val="0"/>
      <w:marRight w:val="0"/>
      <w:marTop w:val="0"/>
      <w:marBottom w:val="0"/>
      <w:divBdr>
        <w:top w:val="none" w:sz="0" w:space="0" w:color="auto"/>
        <w:left w:val="none" w:sz="0" w:space="0" w:color="auto"/>
        <w:bottom w:val="none" w:sz="0" w:space="0" w:color="auto"/>
        <w:right w:val="none" w:sz="0" w:space="0" w:color="auto"/>
      </w:divBdr>
    </w:div>
    <w:div w:id="1449078760">
      <w:bodyDiv w:val="1"/>
      <w:marLeft w:val="0"/>
      <w:marRight w:val="0"/>
      <w:marTop w:val="0"/>
      <w:marBottom w:val="0"/>
      <w:divBdr>
        <w:top w:val="none" w:sz="0" w:space="0" w:color="auto"/>
        <w:left w:val="none" w:sz="0" w:space="0" w:color="auto"/>
        <w:bottom w:val="none" w:sz="0" w:space="0" w:color="auto"/>
        <w:right w:val="none" w:sz="0" w:space="0" w:color="auto"/>
      </w:divBdr>
    </w:div>
    <w:div w:id="1450927944">
      <w:bodyDiv w:val="1"/>
      <w:marLeft w:val="0"/>
      <w:marRight w:val="0"/>
      <w:marTop w:val="0"/>
      <w:marBottom w:val="0"/>
      <w:divBdr>
        <w:top w:val="none" w:sz="0" w:space="0" w:color="auto"/>
        <w:left w:val="none" w:sz="0" w:space="0" w:color="auto"/>
        <w:bottom w:val="none" w:sz="0" w:space="0" w:color="auto"/>
        <w:right w:val="none" w:sz="0" w:space="0" w:color="auto"/>
      </w:divBdr>
    </w:div>
    <w:div w:id="1455640134">
      <w:bodyDiv w:val="1"/>
      <w:marLeft w:val="0"/>
      <w:marRight w:val="0"/>
      <w:marTop w:val="0"/>
      <w:marBottom w:val="0"/>
      <w:divBdr>
        <w:top w:val="none" w:sz="0" w:space="0" w:color="auto"/>
        <w:left w:val="none" w:sz="0" w:space="0" w:color="auto"/>
        <w:bottom w:val="none" w:sz="0" w:space="0" w:color="auto"/>
        <w:right w:val="none" w:sz="0" w:space="0" w:color="auto"/>
      </w:divBdr>
    </w:div>
    <w:div w:id="1456947389">
      <w:bodyDiv w:val="1"/>
      <w:marLeft w:val="0"/>
      <w:marRight w:val="0"/>
      <w:marTop w:val="0"/>
      <w:marBottom w:val="0"/>
      <w:divBdr>
        <w:top w:val="none" w:sz="0" w:space="0" w:color="auto"/>
        <w:left w:val="none" w:sz="0" w:space="0" w:color="auto"/>
        <w:bottom w:val="none" w:sz="0" w:space="0" w:color="auto"/>
        <w:right w:val="none" w:sz="0" w:space="0" w:color="auto"/>
      </w:divBdr>
    </w:div>
    <w:div w:id="1468087237">
      <w:bodyDiv w:val="1"/>
      <w:marLeft w:val="0"/>
      <w:marRight w:val="0"/>
      <w:marTop w:val="0"/>
      <w:marBottom w:val="0"/>
      <w:divBdr>
        <w:top w:val="none" w:sz="0" w:space="0" w:color="auto"/>
        <w:left w:val="none" w:sz="0" w:space="0" w:color="auto"/>
        <w:bottom w:val="none" w:sz="0" w:space="0" w:color="auto"/>
        <w:right w:val="none" w:sz="0" w:space="0" w:color="auto"/>
      </w:divBdr>
    </w:div>
    <w:div w:id="1473593470">
      <w:bodyDiv w:val="1"/>
      <w:marLeft w:val="0"/>
      <w:marRight w:val="0"/>
      <w:marTop w:val="0"/>
      <w:marBottom w:val="0"/>
      <w:divBdr>
        <w:top w:val="none" w:sz="0" w:space="0" w:color="auto"/>
        <w:left w:val="none" w:sz="0" w:space="0" w:color="auto"/>
        <w:bottom w:val="none" w:sz="0" w:space="0" w:color="auto"/>
        <w:right w:val="none" w:sz="0" w:space="0" w:color="auto"/>
      </w:divBdr>
    </w:div>
    <w:div w:id="1474061251">
      <w:bodyDiv w:val="1"/>
      <w:marLeft w:val="0"/>
      <w:marRight w:val="0"/>
      <w:marTop w:val="0"/>
      <w:marBottom w:val="0"/>
      <w:divBdr>
        <w:top w:val="none" w:sz="0" w:space="0" w:color="auto"/>
        <w:left w:val="none" w:sz="0" w:space="0" w:color="auto"/>
        <w:bottom w:val="none" w:sz="0" w:space="0" w:color="auto"/>
        <w:right w:val="none" w:sz="0" w:space="0" w:color="auto"/>
      </w:divBdr>
    </w:div>
    <w:div w:id="1476218770">
      <w:bodyDiv w:val="1"/>
      <w:marLeft w:val="0"/>
      <w:marRight w:val="0"/>
      <w:marTop w:val="0"/>
      <w:marBottom w:val="0"/>
      <w:divBdr>
        <w:top w:val="none" w:sz="0" w:space="0" w:color="auto"/>
        <w:left w:val="none" w:sz="0" w:space="0" w:color="auto"/>
        <w:bottom w:val="none" w:sz="0" w:space="0" w:color="auto"/>
        <w:right w:val="none" w:sz="0" w:space="0" w:color="auto"/>
      </w:divBdr>
    </w:div>
    <w:div w:id="1482380345">
      <w:bodyDiv w:val="1"/>
      <w:marLeft w:val="0"/>
      <w:marRight w:val="0"/>
      <w:marTop w:val="0"/>
      <w:marBottom w:val="0"/>
      <w:divBdr>
        <w:top w:val="none" w:sz="0" w:space="0" w:color="auto"/>
        <w:left w:val="none" w:sz="0" w:space="0" w:color="auto"/>
        <w:bottom w:val="none" w:sz="0" w:space="0" w:color="auto"/>
        <w:right w:val="none" w:sz="0" w:space="0" w:color="auto"/>
      </w:divBdr>
    </w:div>
    <w:div w:id="1482960175">
      <w:bodyDiv w:val="1"/>
      <w:marLeft w:val="0"/>
      <w:marRight w:val="0"/>
      <w:marTop w:val="0"/>
      <w:marBottom w:val="0"/>
      <w:divBdr>
        <w:top w:val="none" w:sz="0" w:space="0" w:color="auto"/>
        <w:left w:val="none" w:sz="0" w:space="0" w:color="auto"/>
        <w:bottom w:val="none" w:sz="0" w:space="0" w:color="auto"/>
        <w:right w:val="none" w:sz="0" w:space="0" w:color="auto"/>
      </w:divBdr>
    </w:div>
    <w:div w:id="1506242295">
      <w:bodyDiv w:val="1"/>
      <w:marLeft w:val="0"/>
      <w:marRight w:val="0"/>
      <w:marTop w:val="0"/>
      <w:marBottom w:val="0"/>
      <w:divBdr>
        <w:top w:val="none" w:sz="0" w:space="0" w:color="auto"/>
        <w:left w:val="none" w:sz="0" w:space="0" w:color="auto"/>
        <w:bottom w:val="none" w:sz="0" w:space="0" w:color="auto"/>
        <w:right w:val="none" w:sz="0" w:space="0" w:color="auto"/>
      </w:divBdr>
    </w:div>
    <w:div w:id="1521892269">
      <w:bodyDiv w:val="1"/>
      <w:marLeft w:val="0"/>
      <w:marRight w:val="0"/>
      <w:marTop w:val="0"/>
      <w:marBottom w:val="0"/>
      <w:divBdr>
        <w:top w:val="none" w:sz="0" w:space="0" w:color="auto"/>
        <w:left w:val="none" w:sz="0" w:space="0" w:color="auto"/>
        <w:bottom w:val="none" w:sz="0" w:space="0" w:color="auto"/>
        <w:right w:val="none" w:sz="0" w:space="0" w:color="auto"/>
      </w:divBdr>
    </w:div>
    <w:div w:id="1534420990">
      <w:bodyDiv w:val="1"/>
      <w:marLeft w:val="0"/>
      <w:marRight w:val="0"/>
      <w:marTop w:val="0"/>
      <w:marBottom w:val="0"/>
      <w:divBdr>
        <w:top w:val="none" w:sz="0" w:space="0" w:color="auto"/>
        <w:left w:val="none" w:sz="0" w:space="0" w:color="auto"/>
        <w:bottom w:val="none" w:sz="0" w:space="0" w:color="auto"/>
        <w:right w:val="none" w:sz="0" w:space="0" w:color="auto"/>
      </w:divBdr>
    </w:div>
    <w:div w:id="1535802884">
      <w:bodyDiv w:val="1"/>
      <w:marLeft w:val="0"/>
      <w:marRight w:val="0"/>
      <w:marTop w:val="0"/>
      <w:marBottom w:val="0"/>
      <w:divBdr>
        <w:top w:val="none" w:sz="0" w:space="0" w:color="auto"/>
        <w:left w:val="none" w:sz="0" w:space="0" w:color="auto"/>
        <w:bottom w:val="none" w:sz="0" w:space="0" w:color="auto"/>
        <w:right w:val="none" w:sz="0" w:space="0" w:color="auto"/>
      </w:divBdr>
    </w:div>
    <w:div w:id="1537548152">
      <w:bodyDiv w:val="1"/>
      <w:marLeft w:val="0"/>
      <w:marRight w:val="0"/>
      <w:marTop w:val="0"/>
      <w:marBottom w:val="0"/>
      <w:divBdr>
        <w:top w:val="none" w:sz="0" w:space="0" w:color="auto"/>
        <w:left w:val="none" w:sz="0" w:space="0" w:color="auto"/>
        <w:bottom w:val="none" w:sz="0" w:space="0" w:color="auto"/>
        <w:right w:val="none" w:sz="0" w:space="0" w:color="auto"/>
      </w:divBdr>
    </w:div>
    <w:div w:id="1544362497">
      <w:bodyDiv w:val="1"/>
      <w:marLeft w:val="0"/>
      <w:marRight w:val="0"/>
      <w:marTop w:val="0"/>
      <w:marBottom w:val="0"/>
      <w:divBdr>
        <w:top w:val="none" w:sz="0" w:space="0" w:color="auto"/>
        <w:left w:val="none" w:sz="0" w:space="0" w:color="auto"/>
        <w:bottom w:val="none" w:sz="0" w:space="0" w:color="auto"/>
        <w:right w:val="none" w:sz="0" w:space="0" w:color="auto"/>
      </w:divBdr>
    </w:div>
    <w:div w:id="1583299711">
      <w:bodyDiv w:val="1"/>
      <w:marLeft w:val="0"/>
      <w:marRight w:val="0"/>
      <w:marTop w:val="0"/>
      <w:marBottom w:val="0"/>
      <w:divBdr>
        <w:top w:val="none" w:sz="0" w:space="0" w:color="auto"/>
        <w:left w:val="none" w:sz="0" w:space="0" w:color="auto"/>
        <w:bottom w:val="none" w:sz="0" w:space="0" w:color="auto"/>
        <w:right w:val="none" w:sz="0" w:space="0" w:color="auto"/>
      </w:divBdr>
    </w:div>
    <w:div w:id="1587379878">
      <w:bodyDiv w:val="1"/>
      <w:marLeft w:val="0"/>
      <w:marRight w:val="0"/>
      <w:marTop w:val="0"/>
      <w:marBottom w:val="0"/>
      <w:divBdr>
        <w:top w:val="none" w:sz="0" w:space="0" w:color="auto"/>
        <w:left w:val="none" w:sz="0" w:space="0" w:color="auto"/>
        <w:bottom w:val="none" w:sz="0" w:space="0" w:color="auto"/>
        <w:right w:val="none" w:sz="0" w:space="0" w:color="auto"/>
      </w:divBdr>
    </w:div>
    <w:div w:id="1607155962">
      <w:bodyDiv w:val="1"/>
      <w:marLeft w:val="0"/>
      <w:marRight w:val="0"/>
      <w:marTop w:val="0"/>
      <w:marBottom w:val="0"/>
      <w:divBdr>
        <w:top w:val="none" w:sz="0" w:space="0" w:color="auto"/>
        <w:left w:val="none" w:sz="0" w:space="0" w:color="auto"/>
        <w:bottom w:val="none" w:sz="0" w:space="0" w:color="auto"/>
        <w:right w:val="none" w:sz="0" w:space="0" w:color="auto"/>
      </w:divBdr>
    </w:div>
    <w:div w:id="1618023397">
      <w:bodyDiv w:val="1"/>
      <w:marLeft w:val="0"/>
      <w:marRight w:val="0"/>
      <w:marTop w:val="0"/>
      <w:marBottom w:val="0"/>
      <w:divBdr>
        <w:top w:val="none" w:sz="0" w:space="0" w:color="auto"/>
        <w:left w:val="none" w:sz="0" w:space="0" w:color="auto"/>
        <w:bottom w:val="none" w:sz="0" w:space="0" w:color="auto"/>
        <w:right w:val="none" w:sz="0" w:space="0" w:color="auto"/>
      </w:divBdr>
    </w:div>
    <w:div w:id="1635254600">
      <w:bodyDiv w:val="1"/>
      <w:marLeft w:val="0"/>
      <w:marRight w:val="0"/>
      <w:marTop w:val="0"/>
      <w:marBottom w:val="0"/>
      <w:divBdr>
        <w:top w:val="none" w:sz="0" w:space="0" w:color="auto"/>
        <w:left w:val="none" w:sz="0" w:space="0" w:color="auto"/>
        <w:bottom w:val="none" w:sz="0" w:space="0" w:color="auto"/>
        <w:right w:val="none" w:sz="0" w:space="0" w:color="auto"/>
      </w:divBdr>
    </w:div>
    <w:div w:id="1646616223">
      <w:bodyDiv w:val="1"/>
      <w:marLeft w:val="0"/>
      <w:marRight w:val="0"/>
      <w:marTop w:val="0"/>
      <w:marBottom w:val="0"/>
      <w:divBdr>
        <w:top w:val="none" w:sz="0" w:space="0" w:color="auto"/>
        <w:left w:val="none" w:sz="0" w:space="0" w:color="auto"/>
        <w:bottom w:val="none" w:sz="0" w:space="0" w:color="auto"/>
        <w:right w:val="none" w:sz="0" w:space="0" w:color="auto"/>
      </w:divBdr>
    </w:div>
    <w:div w:id="1649168806">
      <w:bodyDiv w:val="1"/>
      <w:marLeft w:val="0"/>
      <w:marRight w:val="0"/>
      <w:marTop w:val="0"/>
      <w:marBottom w:val="0"/>
      <w:divBdr>
        <w:top w:val="none" w:sz="0" w:space="0" w:color="auto"/>
        <w:left w:val="none" w:sz="0" w:space="0" w:color="auto"/>
        <w:bottom w:val="none" w:sz="0" w:space="0" w:color="auto"/>
        <w:right w:val="none" w:sz="0" w:space="0" w:color="auto"/>
      </w:divBdr>
    </w:div>
    <w:div w:id="1651442825">
      <w:bodyDiv w:val="1"/>
      <w:marLeft w:val="0"/>
      <w:marRight w:val="0"/>
      <w:marTop w:val="0"/>
      <w:marBottom w:val="0"/>
      <w:divBdr>
        <w:top w:val="none" w:sz="0" w:space="0" w:color="auto"/>
        <w:left w:val="none" w:sz="0" w:space="0" w:color="auto"/>
        <w:bottom w:val="none" w:sz="0" w:space="0" w:color="auto"/>
        <w:right w:val="none" w:sz="0" w:space="0" w:color="auto"/>
      </w:divBdr>
    </w:div>
    <w:div w:id="1663896156">
      <w:bodyDiv w:val="1"/>
      <w:marLeft w:val="0"/>
      <w:marRight w:val="0"/>
      <w:marTop w:val="0"/>
      <w:marBottom w:val="0"/>
      <w:divBdr>
        <w:top w:val="none" w:sz="0" w:space="0" w:color="auto"/>
        <w:left w:val="none" w:sz="0" w:space="0" w:color="auto"/>
        <w:bottom w:val="none" w:sz="0" w:space="0" w:color="auto"/>
        <w:right w:val="none" w:sz="0" w:space="0" w:color="auto"/>
      </w:divBdr>
    </w:div>
    <w:div w:id="1666201496">
      <w:bodyDiv w:val="1"/>
      <w:marLeft w:val="0"/>
      <w:marRight w:val="0"/>
      <w:marTop w:val="0"/>
      <w:marBottom w:val="0"/>
      <w:divBdr>
        <w:top w:val="none" w:sz="0" w:space="0" w:color="auto"/>
        <w:left w:val="none" w:sz="0" w:space="0" w:color="auto"/>
        <w:bottom w:val="none" w:sz="0" w:space="0" w:color="auto"/>
        <w:right w:val="none" w:sz="0" w:space="0" w:color="auto"/>
      </w:divBdr>
    </w:div>
    <w:div w:id="1668823747">
      <w:bodyDiv w:val="1"/>
      <w:marLeft w:val="0"/>
      <w:marRight w:val="0"/>
      <w:marTop w:val="0"/>
      <w:marBottom w:val="0"/>
      <w:divBdr>
        <w:top w:val="none" w:sz="0" w:space="0" w:color="auto"/>
        <w:left w:val="none" w:sz="0" w:space="0" w:color="auto"/>
        <w:bottom w:val="none" w:sz="0" w:space="0" w:color="auto"/>
        <w:right w:val="none" w:sz="0" w:space="0" w:color="auto"/>
      </w:divBdr>
    </w:div>
    <w:div w:id="1669479375">
      <w:bodyDiv w:val="1"/>
      <w:marLeft w:val="0"/>
      <w:marRight w:val="0"/>
      <w:marTop w:val="0"/>
      <w:marBottom w:val="0"/>
      <w:divBdr>
        <w:top w:val="none" w:sz="0" w:space="0" w:color="auto"/>
        <w:left w:val="none" w:sz="0" w:space="0" w:color="auto"/>
        <w:bottom w:val="none" w:sz="0" w:space="0" w:color="auto"/>
        <w:right w:val="none" w:sz="0" w:space="0" w:color="auto"/>
      </w:divBdr>
    </w:div>
    <w:div w:id="1684552293">
      <w:bodyDiv w:val="1"/>
      <w:marLeft w:val="0"/>
      <w:marRight w:val="0"/>
      <w:marTop w:val="0"/>
      <w:marBottom w:val="0"/>
      <w:divBdr>
        <w:top w:val="none" w:sz="0" w:space="0" w:color="auto"/>
        <w:left w:val="none" w:sz="0" w:space="0" w:color="auto"/>
        <w:bottom w:val="none" w:sz="0" w:space="0" w:color="auto"/>
        <w:right w:val="none" w:sz="0" w:space="0" w:color="auto"/>
      </w:divBdr>
    </w:div>
    <w:div w:id="1687172987">
      <w:bodyDiv w:val="1"/>
      <w:marLeft w:val="0"/>
      <w:marRight w:val="0"/>
      <w:marTop w:val="0"/>
      <w:marBottom w:val="0"/>
      <w:divBdr>
        <w:top w:val="none" w:sz="0" w:space="0" w:color="auto"/>
        <w:left w:val="none" w:sz="0" w:space="0" w:color="auto"/>
        <w:bottom w:val="none" w:sz="0" w:space="0" w:color="auto"/>
        <w:right w:val="none" w:sz="0" w:space="0" w:color="auto"/>
      </w:divBdr>
    </w:div>
    <w:div w:id="1693652743">
      <w:bodyDiv w:val="1"/>
      <w:marLeft w:val="0"/>
      <w:marRight w:val="0"/>
      <w:marTop w:val="0"/>
      <w:marBottom w:val="0"/>
      <w:divBdr>
        <w:top w:val="none" w:sz="0" w:space="0" w:color="auto"/>
        <w:left w:val="none" w:sz="0" w:space="0" w:color="auto"/>
        <w:bottom w:val="none" w:sz="0" w:space="0" w:color="auto"/>
        <w:right w:val="none" w:sz="0" w:space="0" w:color="auto"/>
      </w:divBdr>
    </w:div>
    <w:div w:id="1701391199">
      <w:bodyDiv w:val="1"/>
      <w:marLeft w:val="0"/>
      <w:marRight w:val="0"/>
      <w:marTop w:val="0"/>
      <w:marBottom w:val="0"/>
      <w:divBdr>
        <w:top w:val="none" w:sz="0" w:space="0" w:color="auto"/>
        <w:left w:val="none" w:sz="0" w:space="0" w:color="auto"/>
        <w:bottom w:val="none" w:sz="0" w:space="0" w:color="auto"/>
        <w:right w:val="none" w:sz="0" w:space="0" w:color="auto"/>
      </w:divBdr>
    </w:div>
    <w:div w:id="1703823364">
      <w:bodyDiv w:val="1"/>
      <w:marLeft w:val="0"/>
      <w:marRight w:val="0"/>
      <w:marTop w:val="0"/>
      <w:marBottom w:val="0"/>
      <w:divBdr>
        <w:top w:val="none" w:sz="0" w:space="0" w:color="auto"/>
        <w:left w:val="none" w:sz="0" w:space="0" w:color="auto"/>
        <w:bottom w:val="none" w:sz="0" w:space="0" w:color="auto"/>
        <w:right w:val="none" w:sz="0" w:space="0" w:color="auto"/>
      </w:divBdr>
    </w:div>
    <w:div w:id="1721637193">
      <w:bodyDiv w:val="1"/>
      <w:marLeft w:val="0"/>
      <w:marRight w:val="0"/>
      <w:marTop w:val="0"/>
      <w:marBottom w:val="0"/>
      <w:divBdr>
        <w:top w:val="none" w:sz="0" w:space="0" w:color="auto"/>
        <w:left w:val="none" w:sz="0" w:space="0" w:color="auto"/>
        <w:bottom w:val="none" w:sz="0" w:space="0" w:color="auto"/>
        <w:right w:val="none" w:sz="0" w:space="0" w:color="auto"/>
      </w:divBdr>
    </w:div>
    <w:div w:id="1722442195">
      <w:bodyDiv w:val="1"/>
      <w:marLeft w:val="0"/>
      <w:marRight w:val="0"/>
      <w:marTop w:val="0"/>
      <w:marBottom w:val="0"/>
      <w:divBdr>
        <w:top w:val="none" w:sz="0" w:space="0" w:color="auto"/>
        <w:left w:val="none" w:sz="0" w:space="0" w:color="auto"/>
        <w:bottom w:val="none" w:sz="0" w:space="0" w:color="auto"/>
        <w:right w:val="none" w:sz="0" w:space="0" w:color="auto"/>
      </w:divBdr>
    </w:div>
    <w:div w:id="1726491837">
      <w:bodyDiv w:val="1"/>
      <w:marLeft w:val="0"/>
      <w:marRight w:val="0"/>
      <w:marTop w:val="0"/>
      <w:marBottom w:val="0"/>
      <w:divBdr>
        <w:top w:val="none" w:sz="0" w:space="0" w:color="auto"/>
        <w:left w:val="none" w:sz="0" w:space="0" w:color="auto"/>
        <w:bottom w:val="none" w:sz="0" w:space="0" w:color="auto"/>
        <w:right w:val="none" w:sz="0" w:space="0" w:color="auto"/>
      </w:divBdr>
    </w:div>
    <w:div w:id="1733192290">
      <w:bodyDiv w:val="1"/>
      <w:marLeft w:val="0"/>
      <w:marRight w:val="0"/>
      <w:marTop w:val="0"/>
      <w:marBottom w:val="0"/>
      <w:divBdr>
        <w:top w:val="none" w:sz="0" w:space="0" w:color="auto"/>
        <w:left w:val="none" w:sz="0" w:space="0" w:color="auto"/>
        <w:bottom w:val="none" w:sz="0" w:space="0" w:color="auto"/>
        <w:right w:val="none" w:sz="0" w:space="0" w:color="auto"/>
      </w:divBdr>
    </w:div>
    <w:div w:id="1733692092">
      <w:bodyDiv w:val="1"/>
      <w:marLeft w:val="0"/>
      <w:marRight w:val="0"/>
      <w:marTop w:val="0"/>
      <w:marBottom w:val="0"/>
      <w:divBdr>
        <w:top w:val="none" w:sz="0" w:space="0" w:color="auto"/>
        <w:left w:val="none" w:sz="0" w:space="0" w:color="auto"/>
        <w:bottom w:val="none" w:sz="0" w:space="0" w:color="auto"/>
        <w:right w:val="none" w:sz="0" w:space="0" w:color="auto"/>
      </w:divBdr>
    </w:div>
    <w:div w:id="1738867500">
      <w:bodyDiv w:val="1"/>
      <w:marLeft w:val="0"/>
      <w:marRight w:val="0"/>
      <w:marTop w:val="0"/>
      <w:marBottom w:val="0"/>
      <w:divBdr>
        <w:top w:val="none" w:sz="0" w:space="0" w:color="auto"/>
        <w:left w:val="none" w:sz="0" w:space="0" w:color="auto"/>
        <w:bottom w:val="none" w:sz="0" w:space="0" w:color="auto"/>
        <w:right w:val="none" w:sz="0" w:space="0" w:color="auto"/>
      </w:divBdr>
    </w:div>
    <w:div w:id="1756172465">
      <w:bodyDiv w:val="1"/>
      <w:marLeft w:val="0"/>
      <w:marRight w:val="0"/>
      <w:marTop w:val="0"/>
      <w:marBottom w:val="0"/>
      <w:divBdr>
        <w:top w:val="none" w:sz="0" w:space="0" w:color="auto"/>
        <w:left w:val="none" w:sz="0" w:space="0" w:color="auto"/>
        <w:bottom w:val="none" w:sz="0" w:space="0" w:color="auto"/>
        <w:right w:val="none" w:sz="0" w:space="0" w:color="auto"/>
      </w:divBdr>
    </w:div>
    <w:div w:id="1756197948">
      <w:bodyDiv w:val="1"/>
      <w:marLeft w:val="0"/>
      <w:marRight w:val="0"/>
      <w:marTop w:val="0"/>
      <w:marBottom w:val="0"/>
      <w:divBdr>
        <w:top w:val="none" w:sz="0" w:space="0" w:color="auto"/>
        <w:left w:val="none" w:sz="0" w:space="0" w:color="auto"/>
        <w:bottom w:val="none" w:sz="0" w:space="0" w:color="auto"/>
        <w:right w:val="none" w:sz="0" w:space="0" w:color="auto"/>
      </w:divBdr>
    </w:div>
    <w:div w:id="1769156160">
      <w:bodyDiv w:val="1"/>
      <w:marLeft w:val="0"/>
      <w:marRight w:val="0"/>
      <w:marTop w:val="0"/>
      <w:marBottom w:val="0"/>
      <w:divBdr>
        <w:top w:val="none" w:sz="0" w:space="0" w:color="auto"/>
        <w:left w:val="none" w:sz="0" w:space="0" w:color="auto"/>
        <w:bottom w:val="none" w:sz="0" w:space="0" w:color="auto"/>
        <w:right w:val="none" w:sz="0" w:space="0" w:color="auto"/>
      </w:divBdr>
    </w:div>
    <w:div w:id="1771973729">
      <w:bodyDiv w:val="1"/>
      <w:marLeft w:val="0"/>
      <w:marRight w:val="0"/>
      <w:marTop w:val="0"/>
      <w:marBottom w:val="0"/>
      <w:divBdr>
        <w:top w:val="none" w:sz="0" w:space="0" w:color="auto"/>
        <w:left w:val="none" w:sz="0" w:space="0" w:color="auto"/>
        <w:bottom w:val="none" w:sz="0" w:space="0" w:color="auto"/>
        <w:right w:val="none" w:sz="0" w:space="0" w:color="auto"/>
      </w:divBdr>
    </w:div>
    <w:div w:id="1784030995">
      <w:bodyDiv w:val="1"/>
      <w:marLeft w:val="0"/>
      <w:marRight w:val="0"/>
      <w:marTop w:val="0"/>
      <w:marBottom w:val="0"/>
      <w:divBdr>
        <w:top w:val="none" w:sz="0" w:space="0" w:color="auto"/>
        <w:left w:val="none" w:sz="0" w:space="0" w:color="auto"/>
        <w:bottom w:val="none" w:sz="0" w:space="0" w:color="auto"/>
        <w:right w:val="none" w:sz="0" w:space="0" w:color="auto"/>
      </w:divBdr>
    </w:div>
    <w:div w:id="1810005482">
      <w:bodyDiv w:val="1"/>
      <w:marLeft w:val="0"/>
      <w:marRight w:val="0"/>
      <w:marTop w:val="0"/>
      <w:marBottom w:val="0"/>
      <w:divBdr>
        <w:top w:val="none" w:sz="0" w:space="0" w:color="auto"/>
        <w:left w:val="none" w:sz="0" w:space="0" w:color="auto"/>
        <w:bottom w:val="none" w:sz="0" w:space="0" w:color="auto"/>
        <w:right w:val="none" w:sz="0" w:space="0" w:color="auto"/>
      </w:divBdr>
    </w:div>
    <w:div w:id="1821339510">
      <w:bodyDiv w:val="1"/>
      <w:marLeft w:val="0"/>
      <w:marRight w:val="0"/>
      <w:marTop w:val="0"/>
      <w:marBottom w:val="0"/>
      <w:divBdr>
        <w:top w:val="none" w:sz="0" w:space="0" w:color="auto"/>
        <w:left w:val="none" w:sz="0" w:space="0" w:color="auto"/>
        <w:bottom w:val="none" w:sz="0" w:space="0" w:color="auto"/>
        <w:right w:val="none" w:sz="0" w:space="0" w:color="auto"/>
      </w:divBdr>
    </w:div>
    <w:div w:id="1821850257">
      <w:bodyDiv w:val="1"/>
      <w:marLeft w:val="0"/>
      <w:marRight w:val="0"/>
      <w:marTop w:val="0"/>
      <w:marBottom w:val="0"/>
      <w:divBdr>
        <w:top w:val="none" w:sz="0" w:space="0" w:color="auto"/>
        <w:left w:val="none" w:sz="0" w:space="0" w:color="auto"/>
        <w:bottom w:val="none" w:sz="0" w:space="0" w:color="auto"/>
        <w:right w:val="none" w:sz="0" w:space="0" w:color="auto"/>
      </w:divBdr>
    </w:div>
    <w:div w:id="1839883638">
      <w:bodyDiv w:val="1"/>
      <w:marLeft w:val="0"/>
      <w:marRight w:val="0"/>
      <w:marTop w:val="0"/>
      <w:marBottom w:val="0"/>
      <w:divBdr>
        <w:top w:val="none" w:sz="0" w:space="0" w:color="auto"/>
        <w:left w:val="none" w:sz="0" w:space="0" w:color="auto"/>
        <w:bottom w:val="none" w:sz="0" w:space="0" w:color="auto"/>
        <w:right w:val="none" w:sz="0" w:space="0" w:color="auto"/>
      </w:divBdr>
    </w:div>
    <w:div w:id="1840073016">
      <w:bodyDiv w:val="1"/>
      <w:marLeft w:val="0"/>
      <w:marRight w:val="0"/>
      <w:marTop w:val="0"/>
      <w:marBottom w:val="0"/>
      <w:divBdr>
        <w:top w:val="none" w:sz="0" w:space="0" w:color="auto"/>
        <w:left w:val="none" w:sz="0" w:space="0" w:color="auto"/>
        <w:bottom w:val="none" w:sz="0" w:space="0" w:color="auto"/>
        <w:right w:val="none" w:sz="0" w:space="0" w:color="auto"/>
      </w:divBdr>
    </w:div>
    <w:div w:id="1841919709">
      <w:bodyDiv w:val="1"/>
      <w:marLeft w:val="0"/>
      <w:marRight w:val="0"/>
      <w:marTop w:val="0"/>
      <w:marBottom w:val="0"/>
      <w:divBdr>
        <w:top w:val="none" w:sz="0" w:space="0" w:color="auto"/>
        <w:left w:val="none" w:sz="0" w:space="0" w:color="auto"/>
        <w:bottom w:val="none" w:sz="0" w:space="0" w:color="auto"/>
        <w:right w:val="none" w:sz="0" w:space="0" w:color="auto"/>
      </w:divBdr>
    </w:div>
    <w:div w:id="1845902891">
      <w:bodyDiv w:val="1"/>
      <w:marLeft w:val="0"/>
      <w:marRight w:val="0"/>
      <w:marTop w:val="0"/>
      <w:marBottom w:val="0"/>
      <w:divBdr>
        <w:top w:val="none" w:sz="0" w:space="0" w:color="auto"/>
        <w:left w:val="none" w:sz="0" w:space="0" w:color="auto"/>
        <w:bottom w:val="none" w:sz="0" w:space="0" w:color="auto"/>
        <w:right w:val="none" w:sz="0" w:space="0" w:color="auto"/>
      </w:divBdr>
    </w:div>
    <w:div w:id="1847551723">
      <w:bodyDiv w:val="1"/>
      <w:marLeft w:val="0"/>
      <w:marRight w:val="0"/>
      <w:marTop w:val="0"/>
      <w:marBottom w:val="0"/>
      <w:divBdr>
        <w:top w:val="none" w:sz="0" w:space="0" w:color="auto"/>
        <w:left w:val="none" w:sz="0" w:space="0" w:color="auto"/>
        <w:bottom w:val="none" w:sz="0" w:space="0" w:color="auto"/>
        <w:right w:val="none" w:sz="0" w:space="0" w:color="auto"/>
      </w:divBdr>
    </w:div>
    <w:div w:id="1868372534">
      <w:bodyDiv w:val="1"/>
      <w:marLeft w:val="0"/>
      <w:marRight w:val="0"/>
      <w:marTop w:val="0"/>
      <w:marBottom w:val="0"/>
      <w:divBdr>
        <w:top w:val="none" w:sz="0" w:space="0" w:color="auto"/>
        <w:left w:val="none" w:sz="0" w:space="0" w:color="auto"/>
        <w:bottom w:val="none" w:sz="0" w:space="0" w:color="auto"/>
        <w:right w:val="none" w:sz="0" w:space="0" w:color="auto"/>
      </w:divBdr>
    </w:div>
    <w:div w:id="1892767262">
      <w:bodyDiv w:val="1"/>
      <w:marLeft w:val="0"/>
      <w:marRight w:val="0"/>
      <w:marTop w:val="0"/>
      <w:marBottom w:val="0"/>
      <w:divBdr>
        <w:top w:val="none" w:sz="0" w:space="0" w:color="auto"/>
        <w:left w:val="none" w:sz="0" w:space="0" w:color="auto"/>
        <w:bottom w:val="none" w:sz="0" w:space="0" w:color="auto"/>
        <w:right w:val="none" w:sz="0" w:space="0" w:color="auto"/>
      </w:divBdr>
    </w:div>
    <w:div w:id="1921057998">
      <w:bodyDiv w:val="1"/>
      <w:marLeft w:val="0"/>
      <w:marRight w:val="0"/>
      <w:marTop w:val="0"/>
      <w:marBottom w:val="0"/>
      <w:divBdr>
        <w:top w:val="none" w:sz="0" w:space="0" w:color="auto"/>
        <w:left w:val="none" w:sz="0" w:space="0" w:color="auto"/>
        <w:bottom w:val="none" w:sz="0" w:space="0" w:color="auto"/>
        <w:right w:val="none" w:sz="0" w:space="0" w:color="auto"/>
      </w:divBdr>
    </w:div>
    <w:div w:id="1921523894">
      <w:bodyDiv w:val="1"/>
      <w:marLeft w:val="0"/>
      <w:marRight w:val="0"/>
      <w:marTop w:val="0"/>
      <w:marBottom w:val="0"/>
      <w:divBdr>
        <w:top w:val="none" w:sz="0" w:space="0" w:color="auto"/>
        <w:left w:val="none" w:sz="0" w:space="0" w:color="auto"/>
        <w:bottom w:val="none" w:sz="0" w:space="0" w:color="auto"/>
        <w:right w:val="none" w:sz="0" w:space="0" w:color="auto"/>
      </w:divBdr>
    </w:div>
    <w:div w:id="1926526154">
      <w:bodyDiv w:val="1"/>
      <w:marLeft w:val="0"/>
      <w:marRight w:val="0"/>
      <w:marTop w:val="0"/>
      <w:marBottom w:val="0"/>
      <w:divBdr>
        <w:top w:val="none" w:sz="0" w:space="0" w:color="auto"/>
        <w:left w:val="none" w:sz="0" w:space="0" w:color="auto"/>
        <w:bottom w:val="none" w:sz="0" w:space="0" w:color="auto"/>
        <w:right w:val="none" w:sz="0" w:space="0" w:color="auto"/>
      </w:divBdr>
    </w:div>
    <w:div w:id="1928490686">
      <w:bodyDiv w:val="1"/>
      <w:marLeft w:val="0"/>
      <w:marRight w:val="0"/>
      <w:marTop w:val="0"/>
      <w:marBottom w:val="0"/>
      <w:divBdr>
        <w:top w:val="none" w:sz="0" w:space="0" w:color="auto"/>
        <w:left w:val="none" w:sz="0" w:space="0" w:color="auto"/>
        <w:bottom w:val="none" w:sz="0" w:space="0" w:color="auto"/>
        <w:right w:val="none" w:sz="0" w:space="0" w:color="auto"/>
      </w:divBdr>
    </w:div>
    <w:div w:id="1935891482">
      <w:bodyDiv w:val="1"/>
      <w:marLeft w:val="0"/>
      <w:marRight w:val="0"/>
      <w:marTop w:val="0"/>
      <w:marBottom w:val="0"/>
      <w:divBdr>
        <w:top w:val="none" w:sz="0" w:space="0" w:color="auto"/>
        <w:left w:val="none" w:sz="0" w:space="0" w:color="auto"/>
        <w:bottom w:val="none" w:sz="0" w:space="0" w:color="auto"/>
        <w:right w:val="none" w:sz="0" w:space="0" w:color="auto"/>
      </w:divBdr>
    </w:div>
    <w:div w:id="1977181703">
      <w:bodyDiv w:val="1"/>
      <w:marLeft w:val="0"/>
      <w:marRight w:val="0"/>
      <w:marTop w:val="0"/>
      <w:marBottom w:val="0"/>
      <w:divBdr>
        <w:top w:val="none" w:sz="0" w:space="0" w:color="auto"/>
        <w:left w:val="none" w:sz="0" w:space="0" w:color="auto"/>
        <w:bottom w:val="none" w:sz="0" w:space="0" w:color="auto"/>
        <w:right w:val="none" w:sz="0" w:space="0" w:color="auto"/>
      </w:divBdr>
    </w:div>
    <w:div w:id="1979875316">
      <w:bodyDiv w:val="1"/>
      <w:marLeft w:val="0"/>
      <w:marRight w:val="0"/>
      <w:marTop w:val="0"/>
      <w:marBottom w:val="0"/>
      <w:divBdr>
        <w:top w:val="none" w:sz="0" w:space="0" w:color="auto"/>
        <w:left w:val="none" w:sz="0" w:space="0" w:color="auto"/>
        <w:bottom w:val="none" w:sz="0" w:space="0" w:color="auto"/>
        <w:right w:val="none" w:sz="0" w:space="0" w:color="auto"/>
      </w:divBdr>
    </w:div>
    <w:div w:id="1988195824">
      <w:bodyDiv w:val="1"/>
      <w:marLeft w:val="0"/>
      <w:marRight w:val="0"/>
      <w:marTop w:val="0"/>
      <w:marBottom w:val="0"/>
      <w:divBdr>
        <w:top w:val="none" w:sz="0" w:space="0" w:color="auto"/>
        <w:left w:val="none" w:sz="0" w:space="0" w:color="auto"/>
        <w:bottom w:val="none" w:sz="0" w:space="0" w:color="auto"/>
        <w:right w:val="none" w:sz="0" w:space="0" w:color="auto"/>
      </w:divBdr>
    </w:div>
    <w:div w:id="1989479842">
      <w:bodyDiv w:val="1"/>
      <w:marLeft w:val="0"/>
      <w:marRight w:val="0"/>
      <w:marTop w:val="0"/>
      <w:marBottom w:val="0"/>
      <w:divBdr>
        <w:top w:val="none" w:sz="0" w:space="0" w:color="auto"/>
        <w:left w:val="none" w:sz="0" w:space="0" w:color="auto"/>
        <w:bottom w:val="none" w:sz="0" w:space="0" w:color="auto"/>
        <w:right w:val="none" w:sz="0" w:space="0" w:color="auto"/>
      </w:divBdr>
    </w:div>
    <w:div w:id="2000115782">
      <w:bodyDiv w:val="1"/>
      <w:marLeft w:val="0"/>
      <w:marRight w:val="0"/>
      <w:marTop w:val="0"/>
      <w:marBottom w:val="0"/>
      <w:divBdr>
        <w:top w:val="none" w:sz="0" w:space="0" w:color="auto"/>
        <w:left w:val="none" w:sz="0" w:space="0" w:color="auto"/>
        <w:bottom w:val="none" w:sz="0" w:space="0" w:color="auto"/>
        <w:right w:val="none" w:sz="0" w:space="0" w:color="auto"/>
      </w:divBdr>
    </w:div>
    <w:div w:id="2003967973">
      <w:bodyDiv w:val="1"/>
      <w:marLeft w:val="0"/>
      <w:marRight w:val="0"/>
      <w:marTop w:val="0"/>
      <w:marBottom w:val="0"/>
      <w:divBdr>
        <w:top w:val="none" w:sz="0" w:space="0" w:color="auto"/>
        <w:left w:val="none" w:sz="0" w:space="0" w:color="auto"/>
        <w:bottom w:val="none" w:sz="0" w:space="0" w:color="auto"/>
        <w:right w:val="none" w:sz="0" w:space="0" w:color="auto"/>
      </w:divBdr>
    </w:div>
    <w:div w:id="2008899053">
      <w:bodyDiv w:val="1"/>
      <w:marLeft w:val="0"/>
      <w:marRight w:val="0"/>
      <w:marTop w:val="0"/>
      <w:marBottom w:val="0"/>
      <w:divBdr>
        <w:top w:val="none" w:sz="0" w:space="0" w:color="auto"/>
        <w:left w:val="none" w:sz="0" w:space="0" w:color="auto"/>
        <w:bottom w:val="none" w:sz="0" w:space="0" w:color="auto"/>
        <w:right w:val="none" w:sz="0" w:space="0" w:color="auto"/>
      </w:divBdr>
    </w:div>
    <w:div w:id="2023970791">
      <w:bodyDiv w:val="1"/>
      <w:marLeft w:val="0"/>
      <w:marRight w:val="0"/>
      <w:marTop w:val="0"/>
      <w:marBottom w:val="0"/>
      <w:divBdr>
        <w:top w:val="none" w:sz="0" w:space="0" w:color="auto"/>
        <w:left w:val="none" w:sz="0" w:space="0" w:color="auto"/>
        <w:bottom w:val="none" w:sz="0" w:space="0" w:color="auto"/>
        <w:right w:val="none" w:sz="0" w:space="0" w:color="auto"/>
      </w:divBdr>
    </w:div>
    <w:div w:id="2026208821">
      <w:bodyDiv w:val="1"/>
      <w:marLeft w:val="0"/>
      <w:marRight w:val="0"/>
      <w:marTop w:val="0"/>
      <w:marBottom w:val="0"/>
      <w:divBdr>
        <w:top w:val="none" w:sz="0" w:space="0" w:color="auto"/>
        <w:left w:val="none" w:sz="0" w:space="0" w:color="auto"/>
        <w:bottom w:val="none" w:sz="0" w:space="0" w:color="auto"/>
        <w:right w:val="none" w:sz="0" w:space="0" w:color="auto"/>
      </w:divBdr>
    </w:div>
    <w:div w:id="2026324475">
      <w:bodyDiv w:val="1"/>
      <w:marLeft w:val="0"/>
      <w:marRight w:val="0"/>
      <w:marTop w:val="0"/>
      <w:marBottom w:val="0"/>
      <w:divBdr>
        <w:top w:val="none" w:sz="0" w:space="0" w:color="auto"/>
        <w:left w:val="none" w:sz="0" w:space="0" w:color="auto"/>
        <w:bottom w:val="none" w:sz="0" w:space="0" w:color="auto"/>
        <w:right w:val="none" w:sz="0" w:space="0" w:color="auto"/>
      </w:divBdr>
    </w:div>
    <w:div w:id="2027902411">
      <w:bodyDiv w:val="1"/>
      <w:marLeft w:val="0"/>
      <w:marRight w:val="0"/>
      <w:marTop w:val="0"/>
      <w:marBottom w:val="0"/>
      <w:divBdr>
        <w:top w:val="none" w:sz="0" w:space="0" w:color="auto"/>
        <w:left w:val="none" w:sz="0" w:space="0" w:color="auto"/>
        <w:bottom w:val="none" w:sz="0" w:space="0" w:color="auto"/>
        <w:right w:val="none" w:sz="0" w:space="0" w:color="auto"/>
      </w:divBdr>
    </w:div>
    <w:div w:id="2033652695">
      <w:bodyDiv w:val="1"/>
      <w:marLeft w:val="0"/>
      <w:marRight w:val="0"/>
      <w:marTop w:val="0"/>
      <w:marBottom w:val="0"/>
      <w:divBdr>
        <w:top w:val="none" w:sz="0" w:space="0" w:color="auto"/>
        <w:left w:val="none" w:sz="0" w:space="0" w:color="auto"/>
        <w:bottom w:val="none" w:sz="0" w:space="0" w:color="auto"/>
        <w:right w:val="none" w:sz="0" w:space="0" w:color="auto"/>
      </w:divBdr>
    </w:div>
    <w:div w:id="2040740885">
      <w:bodyDiv w:val="1"/>
      <w:marLeft w:val="0"/>
      <w:marRight w:val="0"/>
      <w:marTop w:val="0"/>
      <w:marBottom w:val="0"/>
      <w:divBdr>
        <w:top w:val="none" w:sz="0" w:space="0" w:color="auto"/>
        <w:left w:val="none" w:sz="0" w:space="0" w:color="auto"/>
        <w:bottom w:val="none" w:sz="0" w:space="0" w:color="auto"/>
        <w:right w:val="none" w:sz="0" w:space="0" w:color="auto"/>
      </w:divBdr>
    </w:div>
    <w:div w:id="2049525639">
      <w:bodyDiv w:val="1"/>
      <w:marLeft w:val="0"/>
      <w:marRight w:val="0"/>
      <w:marTop w:val="0"/>
      <w:marBottom w:val="0"/>
      <w:divBdr>
        <w:top w:val="none" w:sz="0" w:space="0" w:color="auto"/>
        <w:left w:val="none" w:sz="0" w:space="0" w:color="auto"/>
        <w:bottom w:val="none" w:sz="0" w:space="0" w:color="auto"/>
        <w:right w:val="none" w:sz="0" w:space="0" w:color="auto"/>
      </w:divBdr>
    </w:div>
    <w:div w:id="2061129213">
      <w:bodyDiv w:val="1"/>
      <w:marLeft w:val="0"/>
      <w:marRight w:val="0"/>
      <w:marTop w:val="0"/>
      <w:marBottom w:val="0"/>
      <w:divBdr>
        <w:top w:val="none" w:sz="0" w:space="0" w:color="auto"/>
        <w:left w:val="none" w:sz="0" w:space="0" w:color="auto"/>
        <w:bottom w:val="none" w:sz="0" w:space="0" w:color="auto"/>
        <w:right w:val="none" w:sz="0" w:space="0" w:color="auto"/>
      </w:divBdr>
    </w:div>
    <w:div w:id="2074622253">
      <w:bodyDiv w:val="1"/>
      <w:marLeft w:val="0"/>
      <w:marRight w:val="0"/>
      <w:marTop w:val="0"/>
      <w:marBottom w:val="0"/>
      <w:divBdr>
        <w:top w:val="none" w:sz="0" w:space="0" w:color="auto"/>
        <w:left w:val="none" w:sz="0" w:space="0" w:color="auto"/>
        <w:bottom w:val="none" w:sz="0" w:space="0" w:color="auto"/>
        <w:right w:val="none" w:sz="0" w:space="0" w:color="auto"/>
      </w:divBdr>
    </w:div>
    <w:div w:id="2078941785">
      <w:bodyDiv w:val="1"/>
      <w:marLeft w:val="0"/>
      <w:marRight w:val="0"/>
      <w:marTop w:val="0"/>
      <w:marBottom w:val="0"/>
      <w:divBdr>
        <w:top w:val="none" w:sz="0" w:space="0" w:color="auto"/>
        <w:left w:val="none" w:sz="0" w:space="0" w:color="auto"/>
        <w:bottom w:val="none" w:sz="0" w:space="0" w:color="auto"/>
        <w:right w:val="none" w:sz="0" w:space="0" w:color="auto"/>
      </w:divBdr>
    </w:div>
    <w:div w:id="2082676966">
      <w:bodyDiv w:val="1"/>
      <w:marLeft w:val="0"/>
      <w:marRight w:val="0"/>
      <w:marTop w:val="0"/>
      <w:marBottom w:val="0"/>
      <w:divBdr>
        <w:top w:val="none" w:sz="0" w:space="0" w:color="auto"/>
        <w:left w:val="none" w:sz="0" w:space="0" w:color="auto"/>
        <w:bottom w:val="none" w:sz="0" w:space="0" w:color="auto"/>
        <w:right w:val="none" w:sz="0" w:space="0" w:color="auto"/>
      </w:divBdr>
    </w:div>
    <w:div w:id="2083944742">
      <w:bodyDiv w:val="1"/>
      <w:marLeft w:val="0"/>
      <w:marRight w:val="0"/>
      <w:marTop w:val="0"/>
      <w:marBottom w:val="0"/>
      <w:divBdr>
        <w:top w:val="none" w:sz="0" w:space="0" w:color="auto"/>
        <w:left w:val="none" w:sz="0" w:space="0" w:color="auto"/>
        <w:bottom w:val="none" w:sz="0" w:space="0" w:color="auto"/>
        <w:right w:val="none" w:sz="0" w:space="0" w:color="auto"/>
      </w:divBdr>
    </w:div>
    <w:div w:id="2086564865">
      <w:bodyDiv w:val="1"/>
      <w:marLeft w:val="0"/>
      <w:marRight w:val="0"/>
      <w:marTop w:val="0"/>
      <w:marBottom w:val="0"/>
      <w:divBdr>
        <w:top w:val="none" w:sz="0" w:space="0" w:color="auto"/>
        <w:left w:val="none" w:sz="0" w:space="0" w:color="auto"/>
        <w:bottom w:val="none" w:sz="0" w:space="0" w:color="auto"/>
        <w:right w:val="none" w:sz="0" w:space="0" w:color="auto"/>
      </w:divBdr>
    </w:div>
    <w:div w:id="2094278980">
      <w:bodyDiv w:val="1"/>
      <w:marLeft w:val="0"/>
      <w:marRight w:val="0"/>
      <w:marTop w:val="0"/>
      <w:marBottom w:val="0"/>
      <w:divBdr>
        <w:top w:val="none" w:sz="0" w:space="0" w:color="auto"/>
        <w:left w:val="none" w:sz="0" w:space="0" w:color="auto"/>
        <w:bottom w:val="none" w:sz="0" w:space="0" w:color="auto"/>
        <w:right w:val="none" w:sz="0" w:space="0" w:color="auto"/>
      </w:divBdr>
    </w:div>
    <w:div w:id="2100978448">
      <w:bodyDiv w:val="1"/>
      <w:marLeft w:val="0"/>
      <w:marRight w:val="0"/>
      <w:marTop w:val="0"/>
      <w:marBottom w:val="0"/>
      <w:divBdr>
        <w:top w:val="none" w:sz="0" w:space="0" w:color="auto"/>
        <w:left w:val="none" w:sz="0" w:space="0" w:color="auto"/>
        <w:bottom w:val="none" w:sz="0" w:space="0" w:color="auto"/>
        <w:right w:val="none" w:sz="0" w:space="0" w:color="auto"/>
      </w:divBdr>
    </w:div>
    <w:div w:id="2104301303">
      <w:bodyDiv w:val="1"/>
      <w:marLeft w:val="0"/>
      <w:marRight w:val="0"/>
      <w:marTop w:val="0"/>
      <w:marBottom w:val="0"/>
      <w:divBdr>
        <w:top w:val="none" w:sz="0" w:space="0" w:color="auto"/>
        <w:left w:val="none" w:sz="0" w:space="0" w:color="auto"/>
        <w:bottom w:val="none" w:sz="0" w:space="0" w:color="auto"/>
        <w:right w:val="none" w:sz="0" w:space="0" w:color="auto"/>
      </w:divBdr>
    </w:div>
    <w:div w:id="2106416448">
      <w:bodyDiv w:val="1"/>
      <w:marLeft w:val="0"/>
      <w:marRight w:val="0"/>
      <w:marTop w:val="0"/>
      <w:marBottom w:val="0"/>
      <w:divBdr>
        <w:top w:val="none" w:sz="0" w:space="0" w:color="auto"/>
        <w:left w:val="none" w:sz="0" w:space="0" w:color="auto"/>
        <w:bottom w:val="none" w:sz="0" w:space="0" w:color="auto"/>
        <w:right w:val="none" w:sz="0" w:space="0" w:color="auto"/>
      </w:divBdr>
    </w:div>
    <w:div w:id="2113279823">
      <w:bodyDiv w:val="1"/>
      <w:marLeft w:val="0"/>
      <w:marRight w:val="0"/>
      <w:marTop w:val="0"/>
      <w:marBottom w:val="0"/>
      <w:divBdr>
        <w:top w:val="none" w:sz="0" w:space="0" w:color="auto"/>
        <w:left w:val="none" w:sz="0" w:space="0" w:color="auto"/>
        <w:bottom w:val="none" w:sz="0" w:space="0" w:color="auto"/>
        <w:right w:val="none" w:sz="0" w:space="0" w:color="auto"/>
      </w:divBdr>
    </w:div>
    <w:div w:id="2116363671">
      <w:bodyDiv w:val="1"/>
      <w:marLeft w:val="0"/>
      <w:marRight w:val="0"/>
      <w:marTop w:val="0"/>
      <w:marBottom w:val="0"/>
      <w:divBdr>
        <w:top w:val="none" w:sz="0" w:space="0" w:color="auto"/>
        <w:left w:val="none" w:sz="0" w:space="0" w:color="auto"/>
        <w:bottom w:val="none" w:sz="0" w:space="0" w:color="auto"/>
        <w:right w:val="none" w:sz="0" w:space="0" w:color="auto"/>
      </w:divBdr>
    </w:div>
    <w:div w:id="2118257517">
      <w:bodyDiv w:val="1"/>
      <w:marLeft w:val="0"/>
      <w:marRight w:val="0"/>
      <w:marTop w:val="0"/>
      <w:marBottom w:val="0"/>
      <w:divBdr>
        <w:top w:val="none" w:sz="0" w:space="0" w:color="auto"/>
        <w:left w:val="none" w:sz="0" w:space="0" w:color="auto"/>
        <w:bottom w:val="none" w:sz="0" w:space="0" w:color="auto"/>
        <w:right w:val="none" w:sz="0" w:space="0" w:color="auto"/>
      </w:divBdr>
    </w:div>
    <w:div w:id="2133670564">
      <w:bodyDiv w:val="1"/>
      <w:marLeft w:val="0"/>
      <w:marRight w:val="0"/>
      <w:marTop w:val="0"/>
      <w:marBottom w:val="0"/>
      <w:divBdr>
        <w:top w:val="none" w:sz="0" w:space="0" w:color="auto"/>
        <w:left w:val="none" w:sz="0" w:space="0" w:color="auto"/>
        <w:bottom w:val="none" w:sz="0" w:space="0" w:color="auto"/>
        <w:right w:val="none" w:sz="0" w:space="0" w:color="auto"/>
      </w:divBdr>
    </w:div>
    <w:div w:id="2144883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png"/><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71303-31DD-4DC9-8C44-76DF55CF9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219</Pages>
  <Words>32353</Words>
  <Characters>184414</Characters>
  <Application>Microsoft Office Word</Application>
  <DocSecurity>0</DocSecurity>
  <Lines>1536</Lines>
  <Paragraphs>432</Paragraphs>
  <ScaleCrop>false</ScaleCrop>
  <Company/>
  <LinksUpToDate>false</LinksUpToDate>
  <CharactersWithSpaces>216335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钱文胜01</dc:creator>
  <cp:lastModifiedBy>周玲</cp:lastModifiedBy>
  <cp:revision>51</cp:revision>
  <dcterms:created xsi:type="dcterms:W3CDTF">2025-04-21T12:30:00Z</dcterms:created>
  <dcterms:modified xsi:type="dcterms:W3CDTF">2025-04-21T14:27:00Z</dcterms:modified>
</cp:coreProperties>
</file>