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95DBF" w14:textId="2BD88315" w:rsidR="00B97D10" w:rsidRPr="00083390" w:rsidRDefault="00B97D10" w:rsidP="00083390">
      <w:pPr>
        <w:jc w:val="both"/>
        <w:rPr>
          <w:rFonts w:asciiTheme="minorEastAsia" w:eastAsiaTheme="minorEastAsia" w:hAnsiTheme="minorEastAsia" w:cs="宋体"/>
          <w:b/>
        </w:rPr>
      </w:pPr>
      <w:bookmarkStart w:id="0" w:name="_Hlk132939976"/>
      <w:r w:rsidRPr="00083390">
        <w:rPr>
          <w:rFonts w:asciiTheme="minorEastAsia" w:eastAsiaTheme="minorEastAsia" w:hAnsiTheme="minorEastAsia" w:cs="宋体" w:hint="eastAsia"/>
          <w:b/>
        </w:rPr>
        <w:t>证券代码：</w:t>
      </w:r>
      <w:r w:rsidRPr="00083390">
        <w:rPr>
          <w:rFonts w:asciiTheme="minorEastAsia" w:eastAsiaTheme="minorEastAsia" w:hAnsiTheme="minorEastAsia" w:cs="宋体"/>
          <w:b/>
        </w:rPr>
        <w:t>002309</w:t>
      </w:r>
      <w:r w:rsidRPr="00083390">
        <w:rPr>
          <w:rFonts w:asciiTheme="minorEastAsia" w:eastAsiaTheme="minorEastAsia" w:hAnsiTheme="minorEastAsia" w:cs="宋体" w:hint="eastAsia"/>
          <w:b/>
        </w:rPr>
        <w:t xml:space="preserve">     </w:t>
      </w:r>
      <w:r w:rsidRPr="00083390">
        <w:rPr>
          <w:rFonts w:asciiTheme="minorEastAsia" w:eastAsiaTheme="minorEastAsia" w:hAnsiTheme="minorEastAsia" w:cs="宋体"/>
          <w:b/>
        </w:rPr>
        <w:t xml:space="preserve">     </w:t>
      </w:r>
      <w:r w:rsidRPr="00083390">
        <w:rPr>
          <w:rFonts w:asciiTheme="minorEastAsia" w:eastAsiaTheme="minorEastAsia" w:hAnsiTheme="minorEastAsia" w:cs="宋体" w:hint="eastAsia"/>
          <w:b/>
        </w:rPr>
        <w:t xml:space="preserve">  证券简称：</w:t>
      </w:r>
      <w:r w:rsidR="00D713A0">
        <w:rPr>
          <w:rFonts w:asciiTheme="minorEastAsia" w:eastAsiaTheme="minorEastAsia" w:hAnsiTheme="minorEastAsia" w:cs="宋体" w:hint="eastAsia"/>
          <w:b/>
        </w:rPr>
        <w:t>*</w:t>
      </w:r>
      <w:r w:rsidR="00D713A0">
        <w:rPr>
          <w:rFonts w:asciiTheme="minorEastAsia" w:eastAsiaTheme="minorEastAsia" w:hAnsiTheme="minorEastAsia" w:cs="宋体"/>
          <w:b/>
        </w:rPr>
        <w:t>ST</w:t>
      </w:r>
      <w:r w:rsidR="00D06CEA">
        <w:rPr>
          <w:rFonts w:asciiTheme="minorEastAsia" w:eastAsiaTheme="minorEastAsia" w:hAnsiTheme="minorEastAsia" w:cs="宋体" w:hint="eastAsia"/>
          <w:b/>
        </w:rPr>
        <w:t>中利</w:t>
      </w:r>
      <w:r w:rsidRPr="00083390">
        <w:rPr>
          <w:rFonts w:asciiTheme="minorEastAsia" w:eastAsiaTheme="minorEastAsia" w:hAnsiTheme="minorEastAsia" w:cs="宋体" w:hint="eastAsia"/>
          <w:b/>
        </w:rPr>
        <w:t xml:space="preserve">  </w:t>
      </w:r>
      <w:r w:rsidRPr="00083390">
        <w:rPr>
          <w:rFonts w:asciiTheme="minorEastAsia" w:eastAsiaTheme="minorEastAsia" w:hAnsiTheme="minorEastAsia" w:cs="宋体"/>
          <w:b/>
        </w:rPr>
        <w:t xml:space="preserve">   </w:t>
      </w:r>
      <w:r w:rsidRPr="00083390">
        <w:rPr>
          <w:rFonts w:asciiTheme="minorEastAsia" w:eastAsiaTheme="minorEastAsia" w:hAnsiTheme="minorEastAsia" w:cs="宋体" w:hint="eastAsia"/>
          <w:b/>
        </w:rPr>
        <w:t xml:space="preserve">     </w:t>
      </w:r>
      <w:r w:rsidRPr="00083390">
        <w:rPr>
          <w:rFonts w:asciiTheme="minorEastAsia" w:eastAsiaTheme="minorEastAsia" w:hAnsiTheme="minorEastAsia" w:cs="宋体"/>
          <w:b/>
        </w:rPr>
        <w:t xml:space="preserve"> </w:t>
      </w:r>
      <w:r w:rsidRPr="00083390">
        <w:rPr>
          <w:rFonts w:asciiTheme="minorEastAsia" w:eastAsiaTheme="minorEastAsia" w:hAnsiTheme="minorEastAsia" w:cs="宋体" w:hint="eastAsia"/>
          <w:b/>
        </w:rPr>
        <w:t>公告编号：202</w:t>
      </w:r>
      <w:r w:rsidR="00D713A0">
        <w:rPr>
          <w:rFonts w:asciiTheme="minorEastAsia" w:eastAsiaTheme="minorEastAsia" w:hAnsiTheme="minorEastAsia" w:cs="宋体"/>
          <w:b/>
        </w:rPr>
        <w:t>5</w:t>
      </w:r>
      <w:r w:rsidRPr="00083390">
        <w:rPr>
          <w:rFonts w:asciiTheme="minorEastAsia" w:eastAsiaTheme="minorEastAsia" w:hAnsiTheme="minorEastAsia" w:cs="宋体"/>
          <w:b/>
        </w:rPr>
        <w:t>-0</w:t>
      </w:r>
      <w:r w:rsidR="001C0550">
        <w:rPr>
          <w:rFonts w:asciiTheme="minorEastAsia" w:eastAsiaTheme="minorEastAsia" w:hAnsiTheme="minorEastAsia" w:cs="宋体"/>
          <w:b/>
        </w:rPr>
        <w:t>62</w:t>
      </w:r>
    </w:p>
    <w:p w14:paraId="510E47D9" w14:textId="77777777" w:rsidR="00B97D10" w:rsidRPr="00083390" w:rsidRDefault="00B97D10" w:rsidP="00083390">
      <w:pPr>
        <w:jc w:val="both"/>
        <w:rPr>
          <w:rFonts w:asciiTheme="minorEastAsia" w:eastAsiaTheme="minorEastAsia" w:hAnsiTheme="minorEastAsia" w:cs="宋体"/>
        </w:rPr>
      </w:pPr>
    </w:p>
    <w:p w14:paraId="2BE72A0C" w14:textId="77777777" w:rsidR="00B97D10" w:rsidRPr="00083390" w:rsidRDefault="00B97D10" w:rsidP="00083390">
      <w:pPr>
        <w:spacing w:line="360" w:lineRule="auto"/>
        <w:jc w:val="center"/>
        <w:outlineLvl w:val="0"/>
        <w:rPr>
          <w:rFonts w:asciiTheme="minorEastAsia" w:eastAsiaTheme="minorEastAsia" w:hAnsiTheme="minorEastAsia"/>
          <w:b/>
          <w:sz w:val="32"/>
          <w:szCs w:val="32"/>
        </w:rPr>
      </w:pPr>
      <w:r w:rsidRPr="00083390">
        <w:rPr>
          <w:rFonts w:asciiTheme="minorEastAsia" w:eastAsiaTheme="minorEastAsia" w:hAnsiTheme="minorEastAsia" w:hint="eastAsia"/>
          <w:b/>
          <w:sz w:val="32"/>
          <w:szCs w:val="32"/>
        </w:rPr>
        <w:t>江苏中利集团股份有限公司</w:t>
      </w:r>
    </w:p>
    <w:p w14:paraId="5E44DC82" w14:textId="77777777" w:rsidR="00B97D10" w:rsidRPr="00083390" w:rsidRDefault="00B97D10" w:rsidP="00083390">
      <w:pPr>
        <w:spacing w:line="360" w:lineRule="auto"/>
        <w:ind w:firstLineChars="200" w:firstLine="643"/>
        <w:jc w:val="center"/>
        <w:rPr>
          <w:rFonts w:asciiTheme="minorEastAsia" w:eastAsiaTheme="minorEastAsia" w:hAnsiTheme="minorEastAsia"/>
          <w:b/>
          <w:sz w:val="32"/>
          <w:szCs w:val="32"/>
        </w:rPr>
      </w:pPr>
      <w:r w:rsidRPr="00083390">
        <w:rPr>
          <w:rFonts w:asciiTheme="minorEastAsia" w:eastAsiaTheme="minorEastAsia" w:hAnsiTheme="minorEastAsia" w:hint="eastAsia"/>
          <w:b/>
          <w:sz w:val="32"/>
          <w:szCs w:val="32"/>
        </w:rPr>
        <w:t>关于前期会计差错更正及追溯调整的公告</w:t>
      </w:r>
    </w:p>
    <w:p w14:paraId="12CC5261" w14:textId="77777777" w:rsidR="00B97D10" w:rsidRPr="00083390" w:rsidRDefault="00B97D10" w:rsidP="00083390">
      <w:pPr>
        <w:spacing w:line="360" w:lineRule="auto"/>
        <w:ind w:firstLineChars="200" w:firstLine="482"/>
        <w:jc w:val="both"/>
        <w:rPr>
          <w:rFonts w:asciiTheme="minorEastAsia" w:eastAsiaTheme="minorEastAsia" w:hAnsiTheme="minorEastAsia"/>
          <w:b/>
          <w:sz w:val="24"/>
        </w:rPr>
      </w:pPr>
    </w:p>
    <w:tbl>
      <w:tblPr>
        <w:tblStyle w:val="1"/>
        <w:tblW w:w="8522" w:type="dxa"/>
        <w:tblLayout w:type="fixed"/>
        <w:tblLook w:val="04A0" w:firstRow="1" w:lastRow="0" w:firstColumn="1" w:lastColumn="0" w:noHBand="0" w:noVBand="1"/>
      </w:tblPr>
      <w:tblGrid>
        <w:gridCol w:w="8522"/>
      </w:tblGrid>
      <w:tr w:rsidR="00B97D10" w:rsidRPr="00083390" w14:paraId="4675BCF7" w14:textId="77777777" w:rsidTr="00253E10">
        <w:tc>
          <w:tcPr>
            <w:tcW w:w="8522" w:type="dxa"/>
          </w:tcPr>
          <w:p w14:paraId="4380FCF9" w14:textId="77777777" w:rsidR="00B97D10" w:rsidRPr="00083390" w:rsidRDefault="00B97D10" w:rsidP="00083390">
            <w:pPr>
              <w:spacing w:line="360" w:lineRule="auto"/>
              <w:ind w:firstLineChars="200" w:firstLine="482"/>
              <w:jc w:val="both"/>
              <w:rPr>
                <w:rFonts w:asciiTheme="minorEastAsia" w:eastAsiaTheme="minorEastAsia" w:hAnsiTheme="minorEastAsia"/>
                <w:b/>
                <w:sz w:val="24"/>
                <w:szCs w:val="28"/>
              </w:rPr>
            </w:pPr>
            <w:r w:rsidRPr="00083390">
              <w:rPr>
                <w:rFonts w:asciiTheme="minorEastAsia" w:eastAsiaTheme="minorEastAsia" w:hAnsiTheme="minorEastAsia" w:hint="eastAsia"/>
                <w:b/>
                <w:sz w:val="24"/>
                <w:szCs w:val="28"/>
              </w:rPr>
              <w:t>本公司及董事会全体成员保证信息披露的内容真实、准确、完整，没有虚假记载、误导性陈述或重大遗漏。</w:t>
            </w:r>
          </w:p>
        </w:tc>
      </w:tr>
    </w:tbl>
    <w:p w14:paraId="1E2EFAB2" w14:textId="77777777" w:rsidR="005F09CD" w:rsidRPr="00083390" w:rsidRDefault="005F09CD" w:rsidP="00083390">
      <w:pPr>
        <w:spacing w:line="360" w:lineRule="auto"/>
        <w:jc w:val="both"/>
        <w:rPr>
          <w:rFonts w:asciiTheme="minorEastAsia" w:eastAsiaTheme="minorEastAsia" w:hAnsiTheme="minorEastAsia"/>
        </w:rPr>
      </w:pPr>
    </w:p>
    <w:p w14:paraId="32E6BBE0" w14:textId="5AF7F628" w:rsidR="00882810" w:rsidRPr="00083390" w:rsidRDefault="00B97D10" w:rsidP="002A39FE">
      <w:pPr>
        <w:kinsoku/>
        <w:spacing w:line="360" w:lineRule="auto"/>
        <w:ind w:firstLineChars="200" w:firstLine="480"/>
        <w:jc w:val="both"/>
        <w:rPr>
          <w:rFonts w:asciiTheme="minorEastAsia" w:eastAsiaTheme="minorEastAsia" w:hAnsiTheme="minorEastAsia" w:cs="宋体"/>
          <w:spacing w:val="-7"/>
          <w:sz w:val="24"/>
          <w:szCs w:val="24"/>
        </w:rPr>
      </w:pPr>
      <w:r w:rsidRPr="00083390">
        <w:rPr>
          <w:rFonts w:asciiTheme="minorEastAsia" w:eastAsiaTheme="minorEastAsia" w:hAnsiTheme="minorEastAsia" w:cs="宋体" w:hint="eastAsia"/>
          <w:sz w:val="24"/>
        </w:rPr>
        <w:t>江苏中利集团股份有限公司（以下称“公司”</w:t>
      </w:r>
      <w:r w:rsidR="00581208">
        <w:rPr>
          <w:rFonts w:asciiTheme="minorEastAsia" w:eastAsiaTheme="minorEastAsia" w:hAnsiTheme="minorEastAsia" w:cs="宋体" w:hint="eastAsia"/>
          <w:sz w:val="24"/>
        </w:rPr>
        <w:t>或“中利集团”</w:t>
      </w:r>
      <w:r w:rsidRPr="00083390">
        <w:rPr>
          <w:rFonts w:asciiTheme="minorEastAsia" w:eastAsiaTheme="minorEastAsia" w:hAnsiTheme="minorEastAsia" w:cs="宋体" w:hint="eastAsia"/>
          <w:sz w:val="24"/>
        </w:rPr>
        <w:t>）于202</w:t>
      </w:r>
      <w:r w:rsidR="00D713A0">
        <w:rPr>
          <w:rFonts w:asciiTheme="minorEastAsia" w:eastAsiaTheme="minorEastAsia" w:hAnsiTheme="minorEastAsia" w:cs="宋体"/>
          <w:sz w:val="24"/>
        </w:rPr>
        <w:t>5</w:t>
      </w:r>
      <w:r w:rsidRPr="00083390">
        <w:rPr>
          <w:rFonts w:asciiTheme="minorEastAsia" w:eastAsiaTheme="minorEastAsia" w:hAnsiTheme="minorEastAsia" w:cs="宋体" w:hint="eastAsia"/>
          <w:sz w:val="24"/>
        </w:rPr>
        <w:t>年</w:t>
      </w:r>
      <w:r w:rsidRPr="00083390">
        <w:rPr>
          <w:rFonts w:asciiTheme="minorEastAsia" w:eastAsiaTheme="minorEastAsia" w:hAnsiTheme="minorEastAsia" w:cs="宋体"/>
          <w:sz w:val="24"/>
        </w:rPr>
        <w:t>4</w:t>
      </w:r>
      <w:r w:rsidRPr="00083390">
        <w:rPr>
          <w:rFonts w:asciiTheme="minorEastAsia" w:eastAsiaTheme="minorEastAsia" w:hAnsiTheme="minorEastAsia" w:cs="宋体" w:hint="eastAsia"/>
          <w:sz w:val="24"/>
        </w:rPr>
        <w:t>月</w:t>
      </w:r>
      <w:r w:rsidR="00D713A0">
        <w:rPr>
          <w:rFonts w:asciiTheme="minorEastAsia" w:eastAsiaTheme="minorEastAsia" w:hAnsiTheme="minorEastAsia" w:cs="宋体"/>
          <w:sz w:val="24"/>
        </w:rPr>
        <w:t>1</w:t>
      </w:r>
      <w:r w:rsidR="00191ECA">
        <w:rPr>
          <w:rFonts w:asciiTheme="minorEastAsia" w:eastAsiaTheme="minorEastAsia" w:hAnsiTheme="minorEastAsia" w:cs="宋体"/>
          <w:sz w:val="24"/>
        </w:rPr>
        <w:t>8</w:t>
      </w:r>
      <w:r w:rsidRPr="00083390">
        <w:rPr>
          <w:rFonts w:asciiTheme="minorEastAsia" w:eastAsiaTheme="minorEastAsia" w:hAnsiTheme="minorEastAsia" w:cs="宋体" w:hint="eastAsia"/>
          <w:sz w:val="24"/>
        </w:rPr>
        <w:t>日召开第</w:t>
      </w:r>
      <w:r w:rsidR="00D713A0">
        <w:rPr>
          <w:rFonts w:asciiTheme="minorEastAsia" w:eastAsiaTheme="minorEastAsia" w:hAnsiTheme="minorEastAsia" w:cs="宋体" w:hint="eastAsia"/>
          <w:sz w:val="24"/>
        </w:rPr>
        <w:t>七</w:t>
      </w:r>
      <w:r w:rsidRPr="00083390">
        <w:rPr>
          <w:rFonts w:asciiTheme="minorEastAsia" w:eastAsiaTheme="minorEastAsia" w:hAnsiTheme="minorEastAsia" w:cs="宋体" w:hint="eastAsia"/>
          <w:sz w:val="24"/>
        </w:rPr>
        <w:t>届董事会第</w:t>
      </w:r>
      <w:r w:rsidR="00D713A0">
        <w:rPr>
          <w:rFonts w:asciiTheme="minorEastAsia" w:eastAsiaTheme="minorEastAsia" w:hAnsiTheme="minorEastAsia" w:cs="宋体" w:hint="eastAsia"/>
          <w:sz w:val="24"/>
        </w:rPr>
        <w:t>一</w:t>
      </w:r>
      <w:r w:rsidRPr="00083390">
        <w:rPr>
          <w:rFonts w:asciiTheme="minorEastAsia" w:eastAsiaTheme="minorEastAsia" w:hAnsiTheme="minorEastAsia" w:cs="宋体" w:hint="eastAsia"/>
          <w:sz w:val="24"/>
        </w:rPr>
        <w:t>次会议</w:t>
      </w:r>
      <w:r w:rsidR="00270D0B">
        <w:rPr>
          <w:rFonts w:asciiTheme="minorEastAsia" w:eastAsiaTheme="minorEastAsia" w:hAnsiTheme="minorEastAsia" w:cs="宋体" w:hint="eastAsia"/>
          <w:sz w:val="24"/>
        </w:rPr>
        <w:t>及第七届监事会第一次会议</w:t>
      </w:r>
      <w:r w:rsidRPr="00083390">
        <w:rPr>
          <w:rFonts w:asciiTheme="minorEastAsia" w:eastAsiaTheme="minorEastAsia" w:hAnsiTheme="minorEastAsia" w:cs="宋体" w:hint="eastAsia"/>
          <w:sz w:val="24"/>
        </w:rPr>
        <w:t>，审议通过了《关于前期会计差错更正及追溯调整的</w:t>
      </w:r>
      <w:r w:rsidR="0093392C">
        <w:rPr>
          <w:rFonts w:asciiTheme="minorEastAsia" w:eastAsiaTheme="minorEastAsia" w:hAnsiTheme="minorEastAsia" w:cs="宋体" w:hint="eastAsia"/>
          <w:sz w:val="24"/>
        </w:rPr>
        <w:t>议案</w:t>
      </w:r>
      <w:r w:rsidRPr="00083390">
        <w:rPr>
          <w:rFonts w:asciiTheme="minorEastAsia" w:eastAsiaTheme="minorEastAsia" w:hAnsiTheme="minorEastAsia" w:cs="宋体" w:hint="eastAsia"/>
          <w:sz w:val="24"/>
        </w:rPr>
        <w:t>》，同意公司根据《企业会计准则第28号</w:t>
      </w:r>
      <w:r w:rsidR="004437DC" w:rsidRPr="00083390">
        <w:rPr>
          <w:rFonts w:asciiTheme="minorEastAsia" w:eastAsiaTheme="minorEastAsia" w:hAnsiTheme="minorEastAsia" w:cs="宋体" w:hint="eastAsia"/>
          <w:sz w:val="24"/>
        </w:rPr>
        <w:t>——</w:t>
      </w:r>
      <w:r w:rsidRPr="00083390">
        <w:rPr>
          <w:rFonts w:asciiTheme="minorEastAsia" w:eastAsiaTheme="minorEastAsia" w:hAnsiTheme="minorEastAsia" w:cs="宋体" w:hint="eastAsia"/>
          <w:sz w:val="24"/>
        </w:rPr>
        <w:t>会计政策、会计估计变更和差错更正》《公开发行证券的公司信息披露编报规则第19号</w:t>
      </w:r>
      <w:r w:rsidR="004437DC" w:rsidRPr="00083390">
        <w:rPr>
          <w:rFonts w:asciiTheme="minorEastAsia" w:eastAsiaTheme="minorEastAsia" w:hAnsiTheme="minorEastAsia" w:cs="宋体" w:hint="eastAsia"/>
          <w:sz w:val="24"/>
        </w:rPr>
        <w:t>——</w:t>
      </w:r>
      <w:r w:rsidRPr="00083390">
        <w:rPr>
          <w:rFonts w:asciiTheme="minorEastAsia" w:eastAsiaTheme="minorEastAsia" w:hAnsiTheme="minorEastAsia" w:cs="宋体" w:hint="eastAsia"/>
          <w:sz w:val="24"/>
        </w:rPr>
        <w:t>财务信息的更正及相关披露》的有关规定，对公司前期年度财务报表项目进行会计差错更正，具体情况如下：</w:t>
      </w:r>
      <w:r w:rsidR="004437DC">
        <w:rPr>
          <w:rFonts w:asciiTheme="minorEastAsia" w:eastAsiaTheme="minorEastAsia" w:hAnsiTheme="minorEastAsia" w:cs="宋体" w:hint="eastAsia"/>
          <w:sz w:val="24"/>
        </w:rPr>
        <w:t xml:space="preserve"> </w:t>
      </w:r>
    </w:p>
    <w:p w14:paraId="307C5F24" w14:textId="6B55D513" w:rsidR="00882810" w:rsidRPr="00967461" w:rsidRDefault="00882810" w:rsidP="002A39FE">
      <w:pPr>
        <w:kinsoku/>
        <w:spacing w:beforeLines="50" w:before="156" w:afterLines="50" w:after="156" w:line="360" w:lineRule="auto"/>
        <w:jc w:val="both"/>
        <w:rPr>
          <w:rFonts w:ascii="宋体" w:eastAsia="宋体" w:hAnsi="宋体"/>
          <w:b/>
          <w:sz w:val="24"/>
          <w:szCs w:val="24"/>
        </w:rPr>
      </w:pPr>
      <w:r w:rsidRPr="00083390">
        <w:rPr>
          <w:rFonts w:asciiTheme="minorEastAsia" w:eastAsiaTheme="minorEastAsia" w:hAnsiTheme="minorEastAsia" w:cs="宋体" w:hint="eastAsia"/>
          <w:b/>
          <w:sz w:val="24"/>
          <w:szCs w:val="24"/>
        </w:rPr>
        <w:t>一、前期会计</w:t>
      </w:r>
      <w:r w:rsidRPr="00967461">
        <w:rPr>
          <w:rFonts w:ascii="宋体" w:eastAsia="宋体" w:hAnsi="宋体" w:cs="宋体" w:hint="eastAsia"/>
          <w:b/>
          <w:sz w:val="24"/>
          <w:szCs w:val="24"/>
        </w:rPr>
        <w:t>差错更正事项的原因</w:t>
      </w:r>
      <w:r w:rsidR="001E6869">
        <w:rPr>
          <w:rFonts w:ascii="宋体" w:eastAsia="宋体" w:hAnsi="宋体" w:cs="宋体" w:hint="eastAsia"/>
          <w:b/>
          <w:sz w:val="24"/>
          <w:szCs w:val="24"/>
        </w:rPr>
        <w:t>及说明</w:t>
      </w:r>
    </w:p>
    <w:p w14:paraId="28BD79BE"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1.前期会计差错更正事项的原因</w:t>
      </w:r>
    </w:p>
    <w:p w14:paraId="07F436B5"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2024年7月5日，公司收到中国证券监督管理局出具的《行政处罚决定书》（﹝2024﹞64号）。公司根据《行政处罚决定书》中涉及到的虚增营业收入、成本与利润情况及2023年度前期差错更正情况，对前期财务报表涉及的相关科目予以二次差错更正。</w:t>
      </w:r>
    </w:p>
    <w:p w14:paraId="3EE37893"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2.追溯调整的说明</w:t>
      </w:r>
    </w:p>
    <w:p w14:paraId="3795696F"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行政处罚决定书所述:“经查，江苏中利及其子公司中利电子开展的专网通信业务，或上下游公司由隋某力直接或间接控制，或上下游公司的专网通信业务由隋某力直接控制。专网通信业务合同制定、签订、履行等全过程均由隋某力主导，且江苏中利主要与隋某力沟通协调。江苏中利、中利电子从事的生产型专网通信业务，既不能自主选择供应商和客户，也不能控制采购进度和销售流向，组装加工过程无核心技术，销售回款没有控制能力。江苏中利从事的贸易型专网通信业务无贸易实质，无法控制商品的到货与发货，基本不参与货物流转。江苏中利及中利电子专网通信业务的合同流、实物流形成闭环，业务资</w:t>
      </w:r>
      <w:r>
        <w:rPr>
          <w:rFonts w:ascii="宋体" w:eastAsia="宋体" w:hAnsi="宋体" w:hint="eastAsia"/>
          <w:sz w:val="24"/>
          <w:szCs w:val="24"/>
        </w:rPr>
        <w:lastRenderedPageBreak/>
        <w:t>金流形成闭环。江苏中利、中利电子是隋某力专网通信虚假自循环业务中的一环，承担的是有账期的垫资方角色。在2019 年初，中利电子专网通信业务应收账款回款困难时，王柏兴与隋某力商定，由隋某力先支付部分尾款让中利电子偿还到期融资贷款，再通过签订新的采购合同获得融资，以维持业务运转和资金循环。”</w:t>
      </w:r>
    </w:p>
    <w:p w14:paraId="79FA8C7B" w14:textId="77777777" w:rsidR="001E6869" w:rsidRDefault="001E6869" w:rsidP="00CE7808">
      <w:pPr>
        <w:kinsoku/>
        <w:spacing w:line="360" w:lineRule="auto"/>
        <w:ind w:rightChars="-24" w:right="-50" w:firstLineChars="200" w:firstLine="480"/>
        <w:rPr>
          <w:rFonts w:ascii="宋体" w:eastAsia="宋体" w:hAnsi="宋体"/>
          <w:sz w:val="24"/>
          <w:szCs w:val="24"/>
        </w:rPr>
      </w:pPr>
      <w:r>
        <w:rPr>
          <w:rFonts w:ascii="宋体" w:eastAsia="宋体" w:hAnsi="宋体" w:hint="eastAsia"/>
          <w:sz w:val="24"/>
          <w:szCs w:val="24"/>
        </w:rPr>
        <w:t>通过行政处罚决定书对专网通信业务自循环模式的认定，并结合对公司账簿、会计凭证、合同等相关资料的核查。从整体上</w:t>
      </w:r>
      <w:bookmarkStart w:id="1" w:name="_GoBack"/>
      <w:bookmarkEnd w:id="1"/>
      <w:r>
        <w:rPr>
          <w:rFonts w:ascii="宋体" w:eastAsia="宋体" w:hAnsi="宋体" w:hint="eastAsia"/>
          <w:sz w:val="24"/>
          <w:szCs w:val="24"/>
        </w:rPr>
        <w:t>看江苏中利为专网通信业务资金循环的一个环节。主要通过大比例预付原材料</w:t>
      </w:r>
      <w:proofErr w:type="gramStart"/>
      <w:r>
        <w:rPr>
          <w:rFonts w:ascii="宋体" w:eastAsia="宋体" w:hAnsi="宋体" w:hint="eastAsia"/>
          <w:sz w:val="24"/>
          <w:szCs w:val="24"/>
        </w:rPr>
        <w:t>款造成</w:t>
      </w:r>
      <w:proofErr w:type="gramEnd"/>
      <w:r>
        <w:rPr>
          <w:rFonts w:ascii="宋体" w:eastAsia="宋体" w:hAnsi="宋体" w:hint="eastAsia"/>
          <w:sz w:val="24"/>
          <w:szCs w:val="24"/>
        </w:rPr>
        <w:t>经营现金流的大量流出，再通过应收账款的部分收回作现金流的补充。2021年专网通信事件暴雷后，被套取资金的损失主要体现在应收账款和预付材料</w:t>
      </w:r>
      <w:proofErr w:type="gramStart"/>
      <w:r>
        <w:rPr>
          <w:rFonts w:ascii="宋体" w:eastAsia="宋体" w:hAnsi="宋体" w:hint="eastAsia"/>
          <w:sz w:val="24"/>
          <w:szCs w:val="24"/>
        </w:rPr>
        <w:t>款难以</w:t>
      </w:r>
      <w:proofErr w:type="gramEnd"/>
      <w:r>
        <w:rPr>
          <w:rFonts w:ascii="宋体" w:eastAsia="宋体" w:hAnsi="宋体" w:hint="eastAsia"/>
          <w:sz w:val="24"/>
          <w:szCs w:val="24"/>
        </w:rPr>
        <w:t>追回、基站产品及其主材因无终端市场而无法变现，导致江苏中利计提了大额的信用减值准备和资产减值准备。</w:t>
      </w:r>
    </w:p>
    <w:p w14:paraId="1BEC3DA0"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公司认为该业务涉及的专网设备核心部件采购、专网设备销售、应收账款减值、存货减值应作为一揽子事项进行会计处理，前期形成的账面利润及其现金可以视同对公司后期存货和应收账款减值的对冲项。</w:t>
      </w:r>
    </w:p>
    <w:p w14:paraId="5104EF2D" w14:textId="77777777" w:rsidR="001E6869" w:rsidRDefault="001E6869" w:rsidP="001E6869">
      <w:pPr>
        <w:spacing w:line="360" w:lineRule="auto"/>
        <w:ind w:firstLineChars="200" w:firstLine="480"/>
        <w:rPr>
          <w:rFonts w:ascii="宋体" w:eastAsia="宋体" w:hAnsi="宋体"/>
          <w:sz w:val="24"/>
          <w:szCs w:val="24"/>
        </w:rPr>
      </w:pPr>
      <w:r>
        <w:rPr>
          <w:rFonts w:ascii="宋体" w:eastAsia="宋体" w:hAnsi="宋体" w:hint="eastAsia"/>
          <w:sz w:val="24"/>
          <w:szCs w:val="24"/>
        </w:rPr>
        <w:t>公司在追溯调整中使用“其他流动负债”科目作为专网通信虚增利润过渡科目，并在2021年累计冲减相关信用减值、资产减值。</w:t>
      </w:r>
    </w:p>
    <w:p w14:paraId="4A6BF8A5" w14:textId="77777777" w:rsidR="00882810" w:rsidRPr="00967461" w:rsidRDefault="00882810" w:rsidP="002A39FE">
      <w:pPr>
        <w:kinsoku/>
        <w:spacing w:beforeLines="50" w:before="156" w:afterLines="50" w:after="156" w:line="360" w:lineRule="auto"/>
        <w:rPr>
          <w:rFonts w:ascii="宋体" w:eastAsia="宋体" w:hAnsi="宋体" w:cs="宋体"/>
          <w:b/>
          <w:sz w:val="24"/>
          <w:szCs w:val="24"/>
        </w:rPr>
      </w:pPr>
      <w:r w:rsidRPr="00967461">
        <w:rPr>
          <w:rFonts w:ascii="宋体" w:eastAsia="宋体" w:hAnsi="宋体" w:cs="宋体" w:hint="eastAsia"/>
          <w:b/>
          <w:sz w:val="24"/>
          <w:szCs w:val="24"/>
        </w:rPr>
        <w:t>二、</w:t>
      </w:r>
      <w:r w:rsidRPr="00967461">
        <w:rPr>
          <w:rFonts w:ascii="宋体" w:eastAsia="宋体" w:hAnsi="宋体" w:cs="宋体"/>
          <w:b/>
          <w:sz w:val="24"/>
          <w:szCs w:val="24"/>
        </w:rPr>
        <w:t>前期差错更正事项对财务报表的影响</w:t>
      </w:r>
    </w:p>
    <w:bookmarkEnd w:id="0"/>
    <w:p w14:paraId="477F08D1" w14:textId="77777777" w:rsidR="00C77BD8" w:rsidRPr="00967461" w:rsidRDefault="00C77BD8" w:rsidP="002A39FE">
      <w:pPr>
        <w:pStyle w:val="Bodytext10"/>
        <w:spacing w:line="446" w:lineRule="exact"/>
        <w:ind w:firstLine="500"/>
        <w:jc w:val="both"/>
        <w:rPr>
          <w:rFonts w:cs="Arial"/>
          <w:snapToGrid w:val="0"/>
          <w:color w:val="000000"/>
          <w:kern w:val="0"/>
          <w:sz w:val="24"/>
          <w:szCs w:val="24"/>
          <w:lang w:val="en-US" w:eastAsia="zh-CN" w:bidi="ar-SA"/>
        </w:rPr>
      </w:pPr>
      <w:r w:rsidRPr="00967461">
        <w:rPr>
          <w:rFonts w:cs="Arial"/>
          <w:snapToGrid w:val="0"/>
          <w:color w:val="000000"/>
          <w:kern w:val="0"/>
          <w:sz w:val="24"/>
          <w:szCs w:val="24"/>
          <w:lang w:val="en-US" w:eastAsia="zh-CN" w:bidi="ar-SA"/>
        </w:rPr>
        <w:t>根据企业会计准则的规定，本公司对前期差错更正采用追溯重述法，影响公司20</w:t>
      </w:r>
      <w:r w:rsidRPr="00967461">
        <w:rPr>
          <w:rFonts w:cs="Arial" w:hint="eastAsia"/>
          <w:snapToGrid w:val="0"/>
          <w:color w:val="000000"/>
          <w:kern w:val="0"/>
          <w:sz w:val="24"/>
          <w:szCs w:val="24"/>
          <w:lang w:val="en-US" w:eastAsia="zh-CN" w:bidi="ar-SA"/>
        </w:rPr>
        <w:t>13</w:t>
      </w:r>
      <w:r w:rsidRPr="00967461">
        <w:rPr>
          <w:rFonts w:cs="Arial"/>
          <w:snapToGrid w:val="0"/>
          <w:color w:val="000000"/>
          <w:kern w:val="0"/>
          <w:sz w:val="24"/>
          <w:szCs w:val="24"/>
          <w:lang w:val="en-US" w:eastAsia="zh-CN" w:bidi="ar-SA"/>
        </w:rPr>
        <w:t>年度至202</w:t>
      </w:r>
      <w:r w:rsidRPr="00967461">
        <w:rPr>
          <w:rFonts w:cs="Arial" w:hint="eastAsia"/>
          <w:snapToGrid w:val="0"/>
          <w:color w:val="000000"/>
          <w:kern w:val="0"/>
          <w:sz w:val="24"/>
          <w:szCs w:val="24"/>
          <w:lang w:val="en-US" w:eastAsia="zh-CN" w:bidi="ar-SA"/>
        </w:rPr>
        <w:t>1</w:t>
      </w:r>
      <w:r w:rsidRPr="00967461">
        <w:rPr>
          <w:rFonts w:cs="Arial"/>
          <w:snapToGrid w:val="0"/>
          <w:color w:val="000000"/>
          <w:kern w:val="0"/>
          <w:sz w:val="24"/>
          <w:szCs w:val="24"/>
          <w:lang w:val="en-US" w:eastAsia="zh-CN" w:bidi="ar-SA"/>
        </w:rPr>
        <w:t>年度财务报表列</w:t>
      </w:r>
      <w:proofErr w:type="gramStart"/>
      <w:r w:rsidRPr="00967461">
        <w:rPr>
          <w:rFonts w:cs="Arial"/>
          <w:snapToGrid w:val="0"/>
          <w:color w:val="000000"/>
          <w:kern w:val="0"/>
          <w:sz w:val="24"/>
          <w:szCs w:val="24"/>
          <w:lang w:val="en-US" w:eastAsia="zh-CN" w:bidi="ar-SA"/>
        </w:rPr>
        <w:t>报项目</w:t>
      </w:r>
      <w:proofErr w:type="gramEnd"/>
      <w:r w:rsidRPr="00967461">
        <w:rPr>
          <w:rFonts w:cs="Arial"/>
          <w:snapToGrid w:val="0"/>
          <w:color w:val="000000"/>
          <w:kern w:val="0"/>
          <w:sz w:val="24"/>
          <w:szCs w:val="24"/>
          <w:lang w:val="en-US" w:eastAsia="zh-CN" w:bidi="ar-SA"/>
        </w:rPr>
        <w:t>及金额如下：</w:t>
      </w:r>
    </w:p>
    <w:p w14:paraId="72402C50" w14:textId="77777777" w:rsidR="00967461" w:rsidRPr="00967461" w:rsidRDefault="00967461" w:rsidP="00077836">
      <w:pPr>
        <w:pStyle w:val="Bodytext10"/>
        <w:spacing w:line="360" w:lineRule="auto"/>
        <w:ind w:firstLine="500"/>
        <w:jc w:val="both"/>
        <w:rPr>
          <w:rFonts w:cs="Arial"/>
          <w:snapToGrid w:val="0"/>
          <w:color w:val="000000"/>
          <w:kern w:val="0"/>
          <w:sz w:val="24"/>
          <w:szCs w:val="24"/>
          <w:lang w:val="en-US" w:eastAsia="zh-CN" w:bidi="ar-SA"/>
        </w:rPr>
      </w:pPr>
      <w:r w:rsidRPr="00967461">
        <w:rPr>
          <w:rFonts w:cs="Arial"/>
          <w:snapToGrid w:val="0"/>
          <w:color w:val="000000"/>
          <w:kern w:val="0"/>
          <w:sz w:val="24"/>
          <w:szCs w:val="24"/>
          <w:lang w:val="en-US" w:eastAsia="zh-CN" w:bidi="ar-SA"/>
        </w:rPr>
        <w:t>1</w:t>
      </w:r>
      <w:r w:rsidRPr="00967461">
        <w:rPr>
          <w:rFonts w:cs="Arial" w:hint="eastAsia"/>
          <w:snapToGrid w:val="0"/>
          <w:color w:val="000000"/>
          <w:kern w:val="0"/>
          <w:sz w:val="24"/>
          <w:szCs w:val="24"/>
          <w:lang w:val="en-US" w:eastAsia="zh-CN" w:bidi="ar-SA"/>
        </w:rPr>
        <w:t>.</w:t>
      </w:r>
      <w:r w:rsidRPr="00967461">
        <w:rPr>
          <w:rFonts w:cs="Arial"/>
          <w:snapToGrid w:val="0"/>
          <w:color w:val="000000"/>
          <w:kern w:val="0"/>
          <w:sz w:val="24"/>
          <w:szCs w:val="24"/>
          <w:lang w:val="en-US" w:eastAsia="zh-CN" w:bidi="ar-SA"/>
        </w:rPr>
        <w:t>对合并财务报表的影响</w:t>
      </w:r>
    </w:p>
    <w:p w14:paraId="22F0DDB1" w14:textId="77777777" w:rsidR="00967461" w:rsidRPr="00967461" w:rsidRDefault="00967461" w:rsidP="00077836">
      <w:pPr>
        <w:pStyle w:val="Other10"/>
        <w:spacing w:line="360" w:lineRule="auto"/>
        <w:ind w:firstLine="500"/>
        <w:rPr>
          <w:rFonts w:cs="Arial"/>
          <w:snapToGrid w:val="0"/>
          <w:color w:val="000000"/>
          <w:kern w:val="0"/>
          <w:sz w:val="24"/>
          <w:szCs w:val="24"/>
          <w:lang w:val="en-US" w:eastAsia="zh-CN" w:bidi="ar-SA"/>
        </w:rPr>
      </w:pPr>
      <w:r w:rsidRPr="00967461">
        <w:rPr>
          <w:rFonts w:cs="Arial"/>
          <w:snapToGrid w:val="0"/>
          <w:color w:val="000000"/>
          <w:kern w:val="0"/>
          <w:sz w:val="24"/>
          <w:szCs w:val="24"/>
          <w:lang w:val="en-US" w:eastAsia="zh-CN" w:bidi="ar-SA"/>
        </w:rPr>
        <w:t>对2013年度</w:t>
      </w:r>
      <w:r w:rsidRPr="00967461">
        <w:rPr>
          <w:rFonts w:cs="Arial" w:hint="eastAsia"/>
          <w:snapToGrid w:val="0"/>
          <w:color w:val="000000"/>
          <w:kern w:val="0"/>
          <w:sz w:val="24"/>
          <w:szCs w:val="24"/>
          <w:lang w:val="en-US" w:eastAsia="zh-CN" w:bidi="ar-SA"/>
        </w:rPr>
        <w:t>合并</w:t>
      </w:r>
      <w:r w:rsidRPr="00967461">
        <w:rPr>
          <w:rFonts w:cs="Arial"/>
          <w:snapToGrid w:val="0"/>
          <w:color w:val="000000"/>
          <w:kern w:val="0"/>
          <w:sz w:val="24"/>
          <w:szCs w:val="24"/>
          <w:lang w:val="en-US" w:eastAsia="zh-CN" w:bidi="ar-SA"/>
        </w:rPr>
        <w:t>财务报表的影响</w:t>
      </w:r>
    </w:p>
    <w:p w14:paraId="0D75A70C" w14:textId="77777777" w:rsidR="00967461" w:rsidRPr="00967461" w:rsidRDefault="00967461" w:rsidP="00967461">
      <w:pPr>
        <w:spacing w:after="79" w:line="1" w:lineRule="exact"/>
        <w:rPr>
          <w:rFonts w:ascii="宋体" w:eastAsia="宋体" w:hAnsi="宋体"/>
        </w:rPr>
      </w:pP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327918A4" w14:textId="77777777" w:rsidTr="00EE302D">
        <w:trPr>
          <w:trHeight w:hRule="exact" w:val="634"/>
          <w:jc w:val="center"/>
        </w:trPr>
        <w:tc>
          <w:tcPr>
            <w:tcW w:w="2635" w:type="dxa"/>
            <w:tcBorders>
              <w:top w:val="single" w:sz="4" w:space="0" w:color="auto"/>
            </w:tcBorders>
            <w:shd w:val="clear" w:color="auto" w:fill="FFFFFF"/>
            <w:vAlign w:val="center"/>
          </w:tcPr>
          <w:p w14:paraId="75961F5E"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1B3E5934"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41F0E3B3"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515C32A0"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590F13D8"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5A39257" w14:textId="77777777" w:rsidTr="00EE302D">
        <w:trPr>
          <w:trHeight w:hRule="exact" w:val="479"/>
          <w:jc w:val="center"/>
        </w:trPr>
        <w:tc>
          <w:tcPr>
            <w:tcW w:w="2635" w:type="dxa"/>
            <w:tcBorders>
              <w:top w:val="single" w:sz="4" w:space="0" w:color="auto"/>
            </w:tcBorders>
            <w:shd w:val="clear" w:color="auto" w:fill="FFFFFF"/>
            <w:vAlign w:val="center"/>
          </w:tcPr>
          <w:p w14:paraId="6AB316E1"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7381A4A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4F95AE19"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3C44C76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r>
      <w:tr w:rsidR="00967461" w:rsidRPr="00967461" w14:paraId="732BEDD8" w14:textId="77777777" w:rsidTr="00EE302D">
        <w:trPr>
          <w:trHeight w:hRule="exact" w:val="415"/>
          <w:jc w:val="center"/>
        </w:trPr>
        <w:tc>
          <w:tcPr>
            <w:tcW w:w="2635" w:type="dxa"/>
            <w:tcBorders>
              <w:top w:val="single" w:sz="4" w:space="0" w:color="auto"/>
            </w:tcBorders>
            <w:shd w:val="clear" w:color="auto" w:fill="FFFFFF"/>
            <w:vAlign w:val="center"/>
          </w:tcPr>
          <w:p w14:paraId="5F31E31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长期股权投资</w:t>
            </w:r>
          </w:p>
        </w:tc>
        <w:tc>
          <w:tcPr>
            <w:tcW w:w="1842" w:type="dxa"/>
            <w:tcBorders>
              <w:top w:val="single" w:sz="4" w:space="0" w:color="auto"/>
              <w:left w:val="single" w:sz="4" w:space="0" w:color="auto"/>
            </w:tcBorders>
            <w:shd w:val="clear" w:color="auto" w:fill="FFFFFF"/>
            <w:vAlign w:val="center"/>
          </w:tcPr>
          <w:p w14:paraId="17E251F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216,036,779.43</w:t>
            </w:r>
          </w:p>
        </w:tc>
        <w:tc>
          <w:tcPr>
            <w:tcW w:w="1843" w:type="dxa"/>
            <w:tcBorders>
              <w:top w:val="single" w:sz="4" w:space="0" w:color="auto"/>
              <w:left w:val="single" w:sz="4" w:space="0" w:color="auto"/>
            </w:tcBorders>
            <w:shd w:val="clear" w:color="auto" w:fill="FFFFFF"/>
            <w:vAlign w:val="center"/>
          </w:tcPr>
          <w:p w14:paraId="606E107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tcBorders>
            <w:shd w:val="clear" w:color="auto" w:fill="FFFFFF"/>
            <w:vAlign w:val="center"/>
          </w:tcPr>
          <w:p w14:paraId="797AB2D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207,585,795.60</w:t>
            </w:r>
          </w:p>
        </w:tc>
      </w:tr>
      <w:tr w:rsidR="00967461" w:rsidRPr="00967461" w14:paraId="1D984D33" w14:textId="77777777" w:rsidTr="00EE302D">
        <w:trPr>
          <w:trHeight w:hRule="exact" w:val="331"/>
          <w:jc w:val="center"/>
        </w:trPr>
        <w:tc>
          <w:tcPr>
            <w:tcW w:w="2635" w:type="dxa"/>
            <w:tcBorders>
              <w:top w:val="single" w:sz="4" w:space="0" w:color="auto"/>
            </w:tcBorders>
            <w:shd w:val="clear" w:color="auto" w:fill="FFFFFF"/>
            <w:vAlign w:val="center"/>
          </w:tcPr>
          <w:p w14:paraId="77506E87"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63AD230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0424E83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16ED02F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23CE6E46" w14:textId="77777777" w:rsidTr="00EE302D">
        <w:trPr>
          <w:trHeight w:hRule="exact" w:val="331"/>
          <w:jc w:val="center"/>
        </w:trPr>
        <w:tc>
          <w:tcPr>
            <w:tcW w:w="2635" w:type="dxa"/>
            <w:tcBorders>
              <w:top w:val="single" w:sz="4" w:space="0" w:color="auto"/>
            </w:tcBorders>
            <w:shd w:val="clear" w:color="auto" w:fill="FFFFFF"/>
            <w:vAlign w:val="center"/>
          </w:tcPr>
          <w:p w14:paraId="76D65439"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1769FF7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234,710,938.84</w:t>
            </w:r>
          </w:p>
        </w:tc>
        <w:tc>
          <w:tcPr>
            <w:tcW w:w="1843" w:type="dxa"/>
            <w:tcBorders>
              <w:top w:val="single" w:sz="4" w:space="0" w:color="auto"/>
              <w:left w:val="single" w:sz="4" w:space="0" w:color="auto"/>
            </w:tcBorders>
            <w:shd w:val="clear" w:color="auto" w:fill="FFFFFF"/>
            <w:vAlign w:val="center"/>
          </w:tcPr>
          <w:p w14:paraId="587AAD0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tcBorders>
            <w:shd w:val="clear" w:color="auto" w:fill="FFFFFF"/>
            <w:vAlign w:val="center"/>
          </w:tcPr>
          <w:p w14:paraId="754CF13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226,259,955.01</w:t>
            </w:r>
          </w:p>
        </w:tc>
      </w:tr>
      <w:tr w:rsidR="00967461" w:rsidRPr="00967461" w14:paraId="414636C5"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41693C2F"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bottom w:val="single" w:sz="4" w:space="0" w:color="auto"/>
            </w:tcBorders>
            <w:shd w:val="clear" w:color="auto" w:fill="FFFFFF"/>
            <w:vAlign w:val="center"/>
          </w:tcPr>
          <w:p w14:paraId="7D36BF3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323,547,856.67</w:t>
            </w:r>
          </w:p>
        </w:tc>
        <w:tc>
          <w:tcPr>
            <w:tcW w:w="1843" w:type="dxa"/>
            <w:tcBorders>
              <w:top w:val="single" w:sz="4" w:space="0" w:color="auto"/>
              <w:left w:val="single" w:sz="4" w:space="0" w:color="auto"/>
              <w:bottom w:val="single" w:sz="4" w:space="0" w:color="auto"/>
            </w:tcBorders>
            <w:shd w:val="clear" w:color="auto" w:fill="FFFFFF"/>
            <w:vAlign w:val="center"/>
          </w:tcPr>
          <w:p w14:paraId="3852D9F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bottom w:val="single" w:sz="4" w:space="0" w:color="auto"/>
            </w:tcBorders>
            <w:shd w:val="clear" w:color="auto" w:fill="FFFFFF"/>
            <w:vAlign w:val="center"/>
          </w:tcPr>
          <w:p w14:paraId="5D8137C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315,096,872.84</w:t>
            </w:r>
          </w:p>
        </w:tc>
      </w:tr>
      <w:tr w:rsidR="00967461" w:rsidRPr="00967461" w14:paraId="5273AB21"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3DAFFD1B"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bottom w:val="single" w:sz="4" w:space="0" w:color="auto"/>
            </w:tcBorders>
            <w:shd w:val="clear" w:color="auto" w:fill="FFFFFF"/>
            <w:vAlign w:val="center"/>
          </w:tcPr>
          <w:p w14:paraId="238DD0F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255,339,434.86</w:t>
            </w:r>
          </w:p>
        </w:tc>
        <w:tc>
          <w:tcPr>
            <w:tcW w:w="1843" w:type="dxa"/>
            <w:tcBorders>
              <w:top w:val="single" w:sz="4" w:space="0" w:color="auto"/>
              <w:left w:val="single" w:sz="4" w:space="0" w:color="auto"/>
              <w:bottom w:val="single" w:sz="4" w:space="0" w:color="auto"/>
            </w:tcBorders>
            <w:shd w:val="clear" w:color="auto" w:fill="FFFFFF"/>
            <w:vAlign w:val="center"/>
          </w:tcPr>
          <w:p w14:paraId="1296A3F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bottom w:val="single" w:sz="4" w:space="0" w:color="auto"/>
            </w:tcBorders>
            <w:shd w:val="clear" w:color="auto" w:fill="FFFFFF"/>
            <w:vAlign w:val="center"/>
          </w:tcPr>
          <w:p w14:paraId="381D2DD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246,888,451.03</w:t>
            </w:r>
          </w:p>
        </w:tc>
      </w:tr>
      <w:tr w:rsidR="00967461" w:rsidRPr="00967461" w14:paraId="558B9E8E"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3A78E2A9" w14:textId="77777777" w:rsidR="00967461" w:rsidRPr="00967461" w:rsidRDefault="00967461" w:rsidP="00EE302D">
            <w:pPr>
              <w:textAlignment w:val="center"/>
              <w:rPr>
                <w:rFonts w:ascii="宋体" w:eastAsia="宋体" w:hAnsi="宋体"/>
                <w:sz w:val="17"/>
                <w:szCs w:val="17"/>
              </w:rPr>
            </w:pPr>
            <w:proofErr w:type="gramStart"/>
            <w:r w:rsidRPr="00967461">
              <w:rPr>
                <w:rFonts w:ascii="宋体" w:eastAsia="宋体" w:hAnsi="宋体" w:cs="宋体" w:hint="eastAsia"/>
                <w:sz w:val="17"/>
                <w:szCs w:val="17"/>
                <w:lang w:bidi="ar"/>
              </w:rPr>
              <w:t>归母净利润</w:t>
            </w:r>
            <w:proofErr w:type="gramEnd"/>
          </w:p>
        </w:tc>
        <w:tc>
          <w:tcPr>
            <w:tcW w:w="1842" w:type="dxa"/>
            <w:tcBorders>
              <w:top w:val="single" w:sz="4" w:space="0" w:color="auto"/>
              <w:left w:val="single" w:sz="4" w:space="0" w:color="auto"/>
              <w:bottom w:val="single" w:sz="4" w:space="0" w:color="auto"/>
            </w:tcBorders>
            <w:shd w:val="clear" w:color="auto" w:fill="FFFFFF"/>
            <w:vAlign w:val="center"/>
          </w:tcPr>
          <w:p w14:paraId="4A9C46C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171,676,932.95</w:t>
            </w:r>
          </w:p>
        </w:tc>
        <w:tc>
          <w:tcPr>
            <w:tcW w:w="1843" w:type="dxa"/>
            <w:tcBorders>
              <w:top w:val="single" w:sz="4" w:space="0" w:color="auto"/>
              <w:left w:val="single" w:sz="4" w:space="0" w:color="auto"/>
              <w:bottom w:val="single" w:sz="4" w:space="0" w:color="auto"/>
            </w:tcBorders>
            <w:shd w:val="clear" w:color="auto" w:fill="FFFFFF"/>
            <w:vAlign w:val="center"/>
          </w:tcPr>
          <w:p w14:paraId="68545B3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bottom w:val="single" w:sz="4" w:space="0" w:color="auto"/>
            </w:tcBorders>
            <w:shd w:val="clear" w:color="auto" w:fill="FFFFFF"/>
            <w:vAlign w:val="center"/>
          </w:tcPr>
          <w:p w14:paraId="073D4BA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163,225,949.12</w:t>
            </w:r>
          </w:p>
        </w:tc>
      </w:tr>
      <w:tr w:rsidR="00967461" w:rsidRPr="00967461" w14:paraId="2C1CCE60"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684E8E77" w14:textId="77777777" w:rsidR="00967461" w:rsidRPr="00967461" w:rsidRDefault="00967461" w:rsidP="00EE302D">
            <w:pPr>
              <w:ind w:firstLineChars="300" w:firstLine="510"/>
              <w:textAlignment w:val="center"/>
              <w:rPr>
                <w:rFonts w:ascii="宋体" w:eastAsia="宋体" w:hAnsi="宋体"/>
                <w:sz w:val="17"/>
                <w:szCs w:val="17"/>
              </w:rPr>
            </w:pPr>
            <w:r w:rsidRPr="00967461">
              <w:rPr>
                <w:rFonts w:ascii="宋体" w:eastAsia="宋体" w:hAnsi="宋体" w:cs="宋体" w:hint="eastAsia"/>
                <w:sz w:val="17"/>
                <w:szCs w:val="17"/>
                <w:lang w:bidi="ar"/>
              </w:rPr>
              <w:lastRenderedPageBreak/>
              <w:t>合并所有者权益变动表：</w:t>
            </w:r>
          </w:p>
        </w:tc>
        <w:tc>
          <w:tcPr>
            <w:tcW w:w="1842" w:type="dxa"/>
            <w:tcBorders>
              <w:top w:val="single" w:sz="4" w:space="0" w:color="auto"/>
              <w:left w:val="single" w:sz="4" w:space="0" w:color="auto"/>
              <w:bottom w:val="single" w:sz="4" w:space="0" w:color="auto"/>
            </w:tcBorders>
            <w:shd w:val="clear" w:color="auto" w:fill="FFFFFF"/>
            <w:vAlign w:val="center"/>
          </w:tcPr>
          <w:p w14:paraId="28BC661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5EA63C2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bottom w:val="single" w:sz="4" w:space="0" w:color="auto"/>
            </w:tcBorders>
            <w:shd w:val="clear" w:color="auto" w:fill="FFFFFF"/>
            <w:vAlign w:val="center"/>
          </w:tcPr>
          <w:p w14:paraId="2A5F7BC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10034197"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6825F21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12C6606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1,024,769,462.58</w:t>
            </w:r>
          </w:p>
        </w:tc>
        <w:tc>
          <w:tcPr>
            <w:tcW w:w="1843" w:type="dxa"/>
            <w:tcBorders>
              <w:top w:val="single" w:sz="4" w:space="0" w:color="auto"/>
              <w:left w:val="single" w:sz="4" w:space="0" w:color="auto"/>
              <w:bottom w:val="single" w:sz="4" w:space="0" w:color="auto"/>
            </w:tcBorders>
            <w:shd w:val="clear" w:color="auto" w:fill="FFFFFF"/>
            <w:vAlign w:val="center"/>
          </w:tcPr>
          <w:p w14:paraId="5F6D6B1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98" w:type="dxa"/>
            <w:tcBorders>
              <w:top w:val="single" w:sz="4" w:space="0" w:color="auto"/>
              <w:left w:val="single" w:sz="4" w:space="0" w:color="auto"/>
              <w:bottom w:val="single" w:sz="4" w:space="0" w:color="auto"/>
            </w:tcBorders>
            <w:shd w:val="clear" w:color="auto" w:fill="FFFFFF"/>
            <w:vAlign w:val="center"/>
          </w:tcPr>
          <w:p w14:paraId="03B348F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1,016,318,478.75</w:t>
            </w:r>
          </w:p>
        </w:tc>
      </w:tr>
    </w:tbl>
    <w:p w14:paraId="67F7FC1E" w14:textId="77777777" w:rsidR="00967461" w:rsidRPr="00967461" w:rsidRDefault="00967461" w:rsidP="00967461">
      <w:pPr>
        <w:pStyle w:val="Bodytext10"/>
        <w:spacing w:line="240" w:lineRule="auto"/>
        <w:ind w:firstLine="0"/>
        <w:rPr>
          <w:rFonts w:cs="Arial"/>
          <w:snapToGrid w:val="0"/>
          <w:color w:val="000000"/>
          <w:kern w:val="0"/>
          <w:sz w:val="24"/>
          <w:szCs w:val="24"/>
          <w:lang w:val="en-US" w:eastAsia="zh-CN" w:bidi="ar-SA"/>
        </w:rPr>
      </w:pPr>
    </w:p>
    <w:p w14:paraId="2F9008EE" w14:textId="77777777" w:rsidR="00967461" w:rsidRPr="00967461" w:rsidRDefault="00967461" w:rsidP="00967461">
      <w:pPr>
        <w:pStyle w:val="Bodytext10"/>
        <w:spacing w:line="240" w:lineRule="auto"/>
        <w:ind w:firstLineChars="200" w:firstLine="480"/>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2014</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6511794E" w14:textId="77777777" w:rsidTr="00EE302D">
        <w:trPr>
          <w:trHeight w:hRule="exact" w:val="634"/>
          <w:jc w:val="center"/>
        </w:trPr>
        <w:tc>
          <w:tcPr>
            <w:tcW w:w="2635" w:type="dxa"/>
            <w:tcBorders>
              <w:top w:val="single" w:sz="4" w:space="0" w:color="auto"/>
            </w:tcBorders>
            <w:shd w:val="clear" w:color="auto" w:fill="FFFFFF"/>
            <w:vAlign w:val="center"/>
          </w:tcPr>
          <w:p w14:paraId="43B359DE"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528B7775"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4B72AD3A"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096C6F3A"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1FF3BFCA"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1E6845E9" w14:textId="77777777" w:rsidTr="00EE302D">
        <w:trPr>
          <w:trHeight w:hRule="exact" w:val="355"/>
          <w:jc w:val="center"/>
        </w:trPr>
        <w:tc>
          <w:tcPr>
            <w:tcW w:w="2635" w:type="dxa"/>
            <w:tcBorders>
              <w:top w:val="single" w:sz="4" w:space="0" w:color="auto"/>
            </w:tcBorders>
            <w:shd w:val="clear" w:color="auto" w:fill="FFFFFF"/>
            <w:vAlign w:val="center"/>
          </w:tcPr>
          <w:p w14:paraId="6A6785C4"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2083A7A4"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75C3069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55E07152"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 xml:space="preserve">　</w:t>
            </w:r>
          </w:p>
        </w:tc>
      </w:tr>
      <w:tr w:rsidR="00967461" w:rsidRPr="00967461" w14:paraId="47676F7C" w14:textId="77777777" w:rsidTr="00EE302D">
        <w:trPr>
          <w:trHeight w:hRule="exact" w:val="356"/>
          <w:jc w:val="center"/>
        </w:trPr>
        <w:tc>
          <w:tcPr>
            <w:tcW w:w="2635" w:type="dxa"/>
            <w:tcBorders>
              <w:top w:val="single" w:sz="4" w:space="0" w:color="auto"/>
            </w:tcBorders>
            <w:shd w:val="clear" w:color="auto" w:fill="FFFFFF"/>
            <w:vAlign w:val="center"/>
          </w:tcPr>
          <w:p w14:paraId="214EBD6F"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长期股权投资</w:t>
            </w:r>
          </w:p>
        </w:tc>
        <w:tc>
          <w:tcPr>
            <w:tcW w:w="1842" w:type="dxa"/>
            <w:tcBorders>
              <w:top w:val="single" w:sz="4" w:space="0" w:color="auto"/>
              <w:left w:val="single" w:sz="4" w:space="0" w:color="auto"/>
            </w:tcBorders>
            <w:shd w:val="clear" w:color="auto" w:fill="FFFFFF"/>
            <w:vAlign w:val="center"/>
          </w:tcPr>
          <w:p w14:paraId="64C6113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209,342,267.06</w:t>
            </w:r>
          </w:p>
        </w:tc>
        <w:tc>
          <w:tcPr>
            <w:tcW w:w="1843" w:type="dxa"/>
            <w:tcBorders>
              <w:top w:val="single" w:sz="4" w:space="0" w:color="auto"/>
              <w:left w:val="single" w:sz="4" w:space="0" w:color="auto"/>
            </w:tcBorders>
            <w:shd w:val="clear" w:color="auto" w:fill="FFFFFF"/>
            <w:vAlign w:val="center"/>
          </w:tcPr>
          <w:p w14:paraId="1D8FF05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-25,353,121.46</w:t>
            </w:r>
          </w:p>
        </w:tc>
        <w:tc>
          <w:tcPr>
            <w:tcW w:w="1898" w:type="dxa"/>
            <w:tcBorders>
              <w:top w:val="single" w:sz="4" w:space="0" w:color="auto"/>
              <w:left w:val="single" w:sz="4" w:space="0" w:color="auto"/>
            </w:tcBorders>
            <w:shd w:val="clear" w:color="auto" w:fill="FFFFFF"/>
            <w:vAlign w:val="center"/>
          </w:tcPr>
          <w:p w14:paraId="3603B5E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183,989,145.60</w:t>
            </w:r>
          </w:p>
        </w:tc>
      </w:tr>
      <w:tr w:rsidR="00967461" w:rsidRPr="00967461" w14:paraId="2F16CD9E" w14:textId="77777777" w:rsidTr="00EE302D">
        <w:trPr>
          <w:trHeight w:hRule="exact" w:val="418"/>
          <w:jc w:val="center"/>
        </w:trPr>
        <w:tc>
          <w:tcPr>
            <w:tcW w:w="2635" w:type="dxa"/>
            <w:tcBorders>
              <w:top w:val="single" w:sz="4" w:space="0" w:color="auto"/>
            </w:tcBorders>
            <w:shd w:val="clear" w:color="auto" w:fill="FFFFFF"/>
            <w:vAlign w:val="center"/>
          </w:tcPr>
          <w:p w14:paraId="662CC3D5"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5E61AFC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64A1204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145F824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136B8CF4" w14:textId="77777777" w:rsidTr="00EE302D">
        <w:trPr>
          <w:trHeight w:hRule="exact" w:val="331"/>
          <w:jc w:val="center"/>
        </w:trPr>
        <w:tc>
          <w:tcPr>
            <w:tcW w:w="2635" w:type="dxa"/>
            <w:tcBorders>
              <w:top w:val="single" w:sz="4" w:space="0" w:color="auto"/>
            </w:tcBorders>
            <w:shd w:val="clear" w:color="auto" w:fill="FFFFFF"/>
            <w:vAlign w:val="center"/>
          </w:tcPr>
          <w:p w14:paraId="18DAF3B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22C4EB6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27,754,666.60</w:t>
            </w:r>
          </w:p>
        </w:tc>
        <w:tc>
          <w:tcPr>
            <w:tcW w:w="1843" w:type="dxa"/>
            <w:tcBorders>
              <w:top w:val="single" w:sz="4" w:space="0" w:color="auto"/>
              <w:left w:val="single" w:sz="4" w:space="0" w:color="auto"/>
            </w:tcBorders>
            <w:shd w:val="clear" w:color="auto" w:fill="FFFFFF"/>
            <w:vAlign w:val="center"/>
          </w:tcPr>
          <w:p w14:paraId="7788B20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98" w:type="dxa"/>
            <w:tcBorders>
              <w:top w:val="single" w:sz="4" w:space="0" w:color="auto"/>
              <w:left w:val="single" w:sz="4" w:space="0" w:color="auto"/>
            </w:tcBorders>
            <w:shd w:val="clear" w:color="auto" w:fill="FFFFFF"/>
            <w:vAlign w:val="center"/>
          </w:tcPr>
          <w:p w14:paraId="522292E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10,852,528.97</w:t>
            </w:r>
          </w:p>
        </w:tc>
      </w:tr>
      <w:tr w:rsidR="00967461" w:rsidRPr="00967461" w14:paraId="029489FA" w14:textId="77777777" w:rsidTr="00EE302D">
        <w:trPr>
          <w:trHeight w:hRule="exact" w:val="331"/>
          <w:jc w:val="center"/>
        </w:trPr>
        <w:tc>
          <w:tcPr>
            <w:tcW w:w="2635" w:type="dxa"/>
            <w:tcBorders>
              <w:top w:val="single" w:sz="4" w:space="0" w:color="auto"/>
            </w:tcBorders>
            <w:shd w:val="clear" w:color="auto" w:fill="FFFFFF"/>
            <w:vAlign w:val="center"/>
          </w:tcPr>
          <w:p w14:paraId="200B33F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68D5AE4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361,000,438.42</w:t>
            </w:r>
          </w:p>
        </w:tc>
        <w:tc>
          <w:tcPr>
            <w:tcW w:w="1843" w:type="dxa"/>
            <w:tcBorders>
              <w:top w:val="single" w:sz="4" w:space="0" w:color="auto"/>
              <w:left w:val="single" w:sz="4" w:space="0" w:color="auto"/>
            </w:tcBorders>
            <w:shd w:val="clear" w:color="auto" w:fill="FFFFFF"/>
            <w:vAlign w:val="center"/>
          </w:tcPr>
          <w:p w14:paraId="688C877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98" w:type="dxa"/>
            <w:tcBorders>
              <w:top w:val="single" w:sz="4" w:space="0" w:color="auto"/>
              <w:left w:val="single" w:sz="4" w:space="0" w:color="auto"/>
            </w:tcBorders>
            <w:shd w:val="clear" w:color="auto" w:fill="FFFFFF"/>
            <w:vAlign w:val="center"/>
          </w:tcPr>
          <w:p w14:paraId="723551E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344,098,300.79</w:t>
            </w:r>
          </w:p>
        </w:tc>
      </w:tr>
      <w:tr w:rsidR="00967461" w:rsidRPr="00967461" w14:paraId="716079D0" w14:textId="77777777" w:rsidTr="00EE302D">
        <w:trPr>
          <w:trHeight w:hRule="exact" w:val="591"/>
          <w:jc w:val="center"/>
        </w:trPr>
        <w:tc>
          <w:tcPr>
            <w:tcW w:w="2635" w:type="dxa"/>
            <w:tcBorders>
              <w:top w:val="single" w:sz="4" w:space="0" w:color="auto"/>
            </w:tcBorders>
            <w:shd w:val="clear" w:color="auto" w:fill="FFFFFF"/>
            <w:vAlign w:val="center"/>
          </w:tcPr>
          <w:p w14:paraId="177DFAF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5712741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246,081,184.91</w:t>
            </w:r>
          </w:p>
        </w:tc>
        <w:tc>
          <w:tcPr>
            <w:tcW w:w="1843" w:type="dxa"/>
            <w:tcBorders>
              <w:top w:val="single" w:sz="4" w:space="0" w:color="auto"/>
              <w:left w:val="single" w:sz="4" w:space="0" w:color="auto"/>
            </w:tcBorders>
            <w:shd w:val="clear" w:color="auto" w:fill="FFFFFF"/>
            <w:vAlign w:val="center"/>
          </w:tcPr>
          <w:p w14:paraId="79FD297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98" w:type="dxa"/>
            <w:tcBorders>
              <w:top w:val="single" w:sz="4" w:space="0" w:color="auto"/>
              <w:left w:val="single" w:sz="4" w:space="0" w:color="auto"/>
            </w:tcBorders>
            <w:shd w:val="clear" w:color="auto" w:fill="FFFFFF"/>
            <w:vAlign w:val="center"/>
          </w:tcPr>
          <w:p w14:paraId="002DA0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229,179,047.28</w:t>
            </w:r>
          </w:p>
        </w:tc>
      </w:tr>
      <w:tr w:rsidR="00967461" w:rsidRPr="00967461" w14:paraId="3954B02E"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1D2E21E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bottom w:val="single" w:sz="4" w:space="0" w:color="auto"/>
            </w:tcBorders>
            <w:shd w:val="clear" w:color="auto" w:fill="FFFFFF"/>
            <w:vAlign w:val="center"/>
          </w:tcPr>
          <w:p w14:paraId="0DD6FD5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281,963,587.76</w:t>
            </w:r>
          </w:p>
        </w:tc>
        <w:tc>
          <w:tcPr>
            <w:tcW w:w="1843" w:type="dxa"/>
            <w:tcBorders>
              <w:top w:val="single" w:sz="4" w:space="0" w:color="auto"/>
              <w:left w:val="single" w:sz="4" w:space="0" w:color="auto"/>
              <w:bottom w:val="single" w:sz="4" w:space="0" w:color="auto"/>
            </w:tcBorders>
            <w:shd w:val="clear" w:color="auto" w:fill="FFFFFF"/>
            <w:vAlign w:val="center"/>
          </w:tcPr>
          <w:p w14:paraId="0BC1164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98" w:type="dxa"/>
            <w:tcBorders>
              <w:top w:val="single" w:sz="4" w:space="0" w:color="auto"/>
              <w:left w:val="single" w:sz="4" w:space="0" w:color="auto"/>
              <w:bottom w:val="single" w:sz="4" w:space="0" w:color="auto"/>
            </w:tcBorders>
            <w:shd w:val="clear" w:color="auto" w:fill="FFFFFF"/>
            <w:vAlign w:val="center"/>
          </w:tcPr>
          <w:p w14:paraId="09811D7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265,061,450.13</w:t>
            </w:r>
          </w:p>
        </w:tc>
      </w:tr>
      <w:tr w:rsidR="00967461" w:rsidRPr="00967461" w14:paraId="51C9D4FB"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00F7ACE8" w14:textId="77777777" w:rsidR="00967461" w:rsidRPr="00967461" w:rsidRDefault="00967461" w:rsidP="00EE302D">
            <w:pPr>
              <w:ind w:firstLineChars="300" w:firstLine="510"/>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bottom w:val="single" w:sz="4" w:space="0" w:color="auto"/>
            </w:tcBorders>
            <w:shd w:val="clear" w:color="auto" w:fill="FFFFFF"/>
            <w:vAlign w:val="center"/>
          </w:tcPr>
          <w:p w14:paraId="38B0EBB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765098F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bottom w:val="single" w:sz="4" w:space="0" w:color="auto"/>
            </w:tcBorders>
            <w:shd w:val="clear" w:color="auto" w:fill="FFFFFF"/>
            <w:vAlign w:val="center"/>
          </w:tcPr>
          <w:p w14:paraId="0D09F35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486ACF9A"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46FC82BD"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6030798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1,241,930,541.70</w:t>
            </w:r>
          </w:p>
        </w:tc>
        <w:tc>
          <w:tcPr>
            <w:tcW w:w="1843" w:type="dxa"/>
            <w:tcBorders>
              <w:top w:val="single" w:sz="4" w:space="0" w:color="auto"/>
              <w:left w:val="single" w:sz="4" w:space="0" w:color="auto"/>
              <w:bottom w:val="single" w:sz="4" w:space="0" w:color="auto"/>
            </w:tcBorders>
            <w:shd w:val="clear" w:color="auto" w:fill="FFFFFF"/>
            <w:vAlign w:val="center"/>
          </w:tcPr>
          <w:p w14:paraId="3EB32D5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-25,353,121.46</w:t>
            </w:r>
          </w:p>
        </w:tc>
        <w:tc>
          <w:tcPr>
            <w:tcW w:w="1898" w:type="dxa"/>
            <w:tcBorders>
              <w:top w:val="single" w:sz="4" w:space="0" w:color="auto"/>
              <w:left w:val="single" w:sz="4" w:space="0" w:color="auto"/>
              <w:bottom w:val="single" w:sz="4" w:space="0" w:color="auto"/>
            </w:tcBorders>
            <w:shd w:val="clear" w:color="auto" w:fill="FFFFFF"/>
            <w:vAlign w:val="center"/>
          </w:tcPr>
          <w:p w14:paraId="7ADE979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1,216,577,420.24</w:t>
            </w:r>
          </w:p>
        </w:tc>
      </w:tr>
    </w:tbl>
    <w:p w14:paraId="44AB2D13" w14:textId="77777777" w:rsidR="00967461" w:rsidRPr="00967461" w:rsidRDefault="00967461" w:rsidP="00967461">
      <w:pPr>
        <w:pStyle w:val="Bodytext10"/>
        <w:spacing w:line="240" w:lineRule="auto"/>
        <w:ind w:firstLineChars="200" w:firstLine="480"/>
        <w:rPr>
          <w:rFonts w:cs="Arial"/>
          <w:snapToGrid w:val="0"/>
          <w:color w:val="000000"/>
          <w:kern w:val="0"/>
          <w:sz w:val="24"/>
          <w:szCs w:val="24"/>
          <w:lang w:val="en-US" w:eastAsia="zh-CN" w:bidi="ar-SA"/>
        </w:rPr>
      </w:pPr>
    </w:p>
    <w:p w14:paraId="75ECFB7B" w14:textId="77777777" w:rsidR="00967461" w:rsidRPr="00967461" w:rsidRDefault="00967461" w:rsidP="00967461">
      <w:pPr>
        <w:pStyle w:val="Bodytext10"/>
        <w:spacing w:line="240" w:lineRule="auto"/>
        <w:ind w:firstLineChars="200" w:firstLine="480"/>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2015</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7D4383A6" w14:textId="77777777" w:rsidTr="00EE302D">
        <w:trPr>
          <w:trHeight w:hRule="exact" w:val="634"/>
          <w:jc w:val="center"/>
        </w:trPr>
        <w:tc>
          <w:tcPr>
            <w:tcW w:w="2635" w:type="dxa"/>
            <w:tcBorders>
              <w:top w:val="single" w:sz="4" w:space="0" w:color="auto"/>
            </w:tcBorders>
            <w:shd w:val="clear" w:color="auto" w:fill="FFFFFF"/>
            <w:vAlign w:val="bottom"/>
          </w:tcPr>
          <w:p w14:paraId="1F7885C3" w14:textId="77777777" w:rsidR="00967461" w:rsidRPr="00967461" w:rsidRDefault="00967461" w:rsidP="00EE302D">
            <w:pPr>
              <w:pStyle w:val="Other10"/>
              <w:spacing w:line="302" w:lineRule="exact"/>
              <w:ind w:firstLine="280"/>
              <w:jc w:val="center"/>
              <w:rPr>
                <w:color w:val="000000"/>
                <w:sz w:val="17"/>
                <w:szCs w:val="17"/>
              </w:rPr>
            </w:pPr>
            <w:bookmarkStart w:id="2" w:name="_Hlk131461934"/>
            <w:r w:rsidRPr="00967461">
              <w:rPr>
                <w:color w:val="000000"/>
                <w:sz w:val="17"/>
                <w:szCs w:val="17"/>
              </w:rPr>
              <w:t>受影响的各个比较期间报表</w:t>
            </w:r>
          </w:p>
          <w:p w14:paraId="6DB048DA"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1EE7CA2F"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3D4431A2"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7C30F568"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25F58617" w14:textId="77777777" w:rsidTr="00EE302D">
        <w:trPr>
          <w:trHeight w:hRule="exact" w:val="331"/>
          <w:jc w:val="center"/>
        </w:trPr>
        <w:tc>
          <w:tcPr>
            <w:tcW w:w="2635" w:type="dxa"/>
            <w:tcBorders>
              <w:top w:val="single" w:sz="4" w:space="0" w:color="auto"/>
            </w:tcBorders>
            <w:shd w:val="clear" w:color="auto" w:fill="FFFFFF"/>
            <w:vAlign w:val="center"/>
          </w:tcPr>
          <w:p w14:paraId="221E74A9" w14:textId="77777777" w:rsidR="00967461" w:rsidRPr="00967461" w:rsidRDefault="00967461" w:rsidP="00EE302D">
            <w:pPr>
              <w:jc w:val="center"/>
              <w:textAlignment w:val="center"/>
              <w:rPr>
                <w:rFonts w:ascii="宋体" w:eastAsia="宋体" w:hAnsi="宋体"/>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056E4CE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738883F7"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573BA353"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322CADDE" w14:textId="77777777" w:rsidTr="00EE302D">
        <w:trPr>
          <w:trHeight w:hRule="exact" w:val="331"/>
          <w:jc w:val="center"/>
        </w:trPr>
        <w:tc>
          <w:tcPr>
            <w:tcW w:w="2635" w:type="dxa"/>
            <w:tcBorders>
              <w:top w:val="single" w:sz="4" w:space="0" w:color="auto"/>
            </w:tcBorders>
            <w:shd w:val="clear" w:color="auto" w:fill="FFFFFF"/>
            <w:vAlign w:val="center"/>
          </w:tcPr>
          <w:p w14:paraId="5725D926"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42" w:type="dxa"/>
            <w:tcBorders>
              <w:top w:val="single" w:sz="4" w:space="0" w:color="auto"/>
              <w:left w:val="single" w:sz="4" w:space="0" w:color="auto"/>
            </w:tcBorders>
            <w:shd w:val="clear" w:color="auto" w:fill="FFFFFF"/>
            <w:vAlign w:val="center"/>
          </w:tcPr>
          <w:p w14:paraId="62087AD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202,129,645.59</w:t>
            </w:r>
          </w:p>
        </w:tc>
        <w:tc>
          <w:tcPr>
            <w:tcW w:w="1843" w:type="dxa"/>
            <w:tcBorders>
              <w:top w:val="single" w:sz="4" w:space="0" w:color="auto"/>
              <w:left w:val="single" w:sz="4" w:space="0" w:color="auto"/>
            </w:tcBorders>
            <w:shd w:val="clear" w:color="auto" w:fill="FFFFFF"/>
            <w:vAlign w:val="center"/>
          </w:tcPr>
          <w:p w14:paraId="7A5E7E5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-14,315,185.33</w:t>
            </w:r>
          </w:p>
        </w:tc>
        <w:tc>
          <w:tcPr>
            <w:tcW w:w="1898" w:type="dxa"/>
            <w:tcBorders>
              <w:top w:val="single" w:sz="4" w:space="0" w:color="auto"/>
              <w:left w:val="single" w:sz="4" w:space="0" w:color="auto"/>
            </w:tcBorders>
            <w:shd w:val="clear" w:color="auto" w:fill="FFFFFF"/>
            <w:vAlign w:val="center"/>
          </w:tcPr>
          <w:p w14:paraId="1622052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187,814,460.26</w:t>
            </w:r>
          </w:p>
        </w:tc>
      </w:tr>
      <w:tr w:rsidR="00967461" w:rsidRPr="00967461" w14:paraId="40E69E3B" w14:textId="77777777" w:rsidTr="00EE302D">
        <w:trPr>
          <w:trHeight w:hRule="exact" w:val="331"/>
          <w:jc w:val="center"/>
        </w:trPr>
        <w:tc>
          <w:tcPr>
            <w:tcW w:w="2635" w:type="dxa"/>
            <w:tcBorders>
              <w:top w:val="single" w:sz="4" w:space="0" w:color="auto"/>
            </w:tcBorders>
            <w:shd w:val="clear" w:color="auto" w:fill="FFFFFF"/>
            <w:vAlign w:val="center"/>
          </w:tcPr>
          <w:p w14:paraId="7716EB6C"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45527CE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088E8EB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6005284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4A3A7918" w14:textId="77777777" w:rsidTr="00EE302D">
        <w:trPr>
          <w:trHeight w:hRule="exact" w:val="331"/>
          <w:jc w:val="center"/>
        </w:trPr>
        <w:tc>
          <w:tcPr>
            <w:tcW w:w="2635" w:type="dxa"/>
            <w:tcBorders>
              <w:top w:val="single" w:sz="4" w:space="0" w:color="auto"/>
            </w:tcBorders>
            <w:shd w:val="clear" w:color="auto" w:fill="FFFFFF"/>
            <w:vAlign w:val="center"/>
          </w:tcPr>
          <w:p w14:paraId="6A511BFE" w14:textId="77777777" w:rsidR="00967461" w:rsidRPr="00967461" w:rsidRDefault="00967461" w:rsidP="00EE302D">
            <w:pPr>
              <w:textAlignment w:val="center"/>
              <w:rPr>
                <w:rFonts w:ascii="宋体" w:eastAsia="宋体" w:hAnsi="宋体"/>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44ABC1F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22,866,318.33</w:t>
            </w:r>
          </w:p>
        </w:tc>
        <w:tc>
          <w:tcPr>
            <w:tcW w:w="1843" w:type="dxa"/>
            <w:tcBorders>
              <w:top w:val="single" w:sz="4" w:space="0" w:color="auto"/>
              <w:left w:val="single" w:sz="4" w:space="0" w:color="auto"/>
            </w:tcBorders>
            <w:shd w:val="clear" w:color="auto" w:fill="FFFFFF"/>
            <w:vAlign w:val="center"/>
          </w:tcPr>
          <w:p w14:paraId="0C3C8FF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98" w:type="dxa"/>
            <w:tcBorders>
              <w:top w:val="single" w:sz="4" w:space="0" w:color="auto"/>
              <w:left w:val="single" w:sz="4" w:space="0" w:color="auto"/>
            </w:tcBorders>
            <w:shd w:val="clear" w:color="auto" w:fill="FFFFFF"/>
            <w:vAlign w:val="center"/>
          </w:tcPr>
          <w:p w14:paraId="0A6B1CB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33,904,254.46</w:t>
            </w:r>
          </w:p>
        </w:tc>
      </w:tr>
      <w:tr w:rsidR="00967461" w:rsidRPr="00967461" w14:paraId="1B2193CF" w14:textId="77777777" w:rsidTr="00EE302D">
        <w:trPr>
          <w:trHeight w:hRule="exact" w:val="331"/>
          <w:jc w:val="center"/>
        </w:trPr>
        <w:tc>
          <w:tcPr>
            <w:tcW w:w="2635" w:type="dxa"/>
            <w:tcBorders>
              <w:top w:val="single" w:sz="4" w:space="0" w:color="auto"/>
            </w:tcBorders>
            <w:shd w:val="clear" w:color="auto" w:fill="FFFFFF"/>
            <w:vAlign w:val="center"/>
          </w:tcPr>
          <w:p w14:paraId="40445FE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1A2077D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622,742,222.70</w:t>
            </w:r>
          </w:p>
        </w:tc>
        <w:tc>
          <w:tcPr>
            <w:tcW w:w="1843" w:type="dxa"/>
            <w:tcBorders>
              <w:top w:val="single" w:sz="4" w:space="0" w:color="auto"/>
              <w:left w:val="single" w:sz="4" w:space="0" w:color="auto"/>
            </w:tcBorders>
            <w:shd w:val="clear" w:color="auto" w:fill="FFFFFF"/>
            <w:vAlign w:val="center"/>
          </w:tcPr>
          <w:p w14:paraId="6AA13E4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98" w:type="dxa"/>
            <w:tcBorders>
              <w:top w:val="single" w:sz="4" w:space="0" w:color="auto"/>
              <w:left w:val="single" w:sz="4" w:space="0" w:color="auto"/>
            </w:tcBorders>
            <w:shd w:val="clear" w:color="auto" w:fill="FFFFFF"/>
            <w:vAlign w:val="center"/>
          </w:tcPr>
          <w:p w14:paraId="46E004B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633,780,158.83</w:t>
            </w:r>
          </w:p>
        </w:tc>
      </w:tr>
      <w:tr w:rsidR="00967461" w:rsidRPr="00967461" w14:paraId="4719BEE7" w14:textId="77777777" w:rsidTr="00EE302D">
        <w:trPr>
          <w:trHeight w:hRule="exact" w:val="521"/>
          <w:jc w:val="center"/>
        </w:trPr>
        <w:tc>
          <w:tcPr>
            <w:tcW w:w="2635" w:type="dxa"/>
            <w:tcBorders>
              <w:top w:val="single" w:sz="4" w:space="0" w:color="auto"/>
            </w:tcBorders>
            <w:shd w:val="clear" w:color="auto" w:fill="FFFFFF"/>
            <w:vAlign w:val="center"/>
          </w:tcPr>
          <w:p w14:paraId="72302FEF"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3DABC57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496,154,865.16</w:t>
            </w:r>
          </w:p>
        </w:tc>
        <w:tc>
          <w:tcPr>
            <w:tcW w:w="1843" w:type="dxa"/>
            <w:tcBorders>
              <w:top w:val="single" w:sz="4" w:space="0" w:color="auto"/>
              <w:left w:val="single" w:sz="4" w:space="0" w:color="auto"/>
            </w:tcBorders>
            <w:shd w:val="clear" w:color="auto" w:fill="FFFFFF"/>
            <w:vAlign w:val="center"/>
          </w:tcPr>
          <w:p w14:paraId="01C2E70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98" w:type="dxa"/>
            <w:tcBorders>
              <w:top w:val="single" w:sz="4" w:space="0" w:color="auto"/>
              <w:left w:val="single" w:sz="4" w:space="0" w:color="auto"/>
            </w:tcBorders>
            <w:shd w:val="clear" w:color="auto" w:fill="FFFFFF"/>
            <w:vAlign w:val="center"/>
          </w:tcPr>
          <w:p w14:paraId="2D26DDD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507,192,801.29</w:t>
            </w:r>
          </w:p>
        </w:tc>
      </w:tr>
      <w:tr w:rsidR="00967461" w:rsidRPr="00967461" w14:paraId="48DDCA84" w14:textId="77777777" w:rsidTr="00EE302D">
        <w:trPr>
          <w:trHeight w:hRule="exact" w:val="331"/>
          <w:jc w:val="center"/>
        </w:trPr>
        <w:tc>
          <w:tcPr>
            <w:tcW w:w="2635" w:type="dxa"/>
            <w:tcBorders>
              <w:top w:val="single" w:sz="4" w:space="0" w:color="auto"/>
            </w:tcBorders>
            <w:shd w:val="clear" w:color="auto" w:fill="FFFFFF"/>
            <w:vAlign w:val="center"/>
          </w:tcPr>
          <w:p w14:paraId="41BD7212"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1BCDE15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385,158,665.29</w:t>
            </w:r>
          </w:p>
        </w:tc>
        <w:tc>
          <w:tcPr>
            <w:tcW w:w="1843" w:type="dxa"/>
            <w:tcBorders>
              <w:top w:val="single" w:sz="4" w:space="0" w:color="auto"/>
              <w:left w:val="single" w:sz="4" w:space="0" w:color="auto"/>
            </w:tcBorders>
            <w:shd w:val="clear" w:color="auto" w:fill="FFFFFF"/>
            <w:vAlign w:val="center"/>
          </w:tcPr>
          <w:p w14:paraId="4449FD4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98" w:type="dxa"/>
            <w:tcBorders>
              <w:top w:val="single" w:sz="4" w:space="0" w:color="auto"/>
              <w:left w:val="single" w:sz="4" w:space="0" w:color="auto"/>
            </w:tcBorders>
            <w:shd w:val="clear" w:color="auto" w:fill="FFFFFF"/>
            <w:vAlign w:val="center"/>
          </w:tcPr>
          <w:p w14:paraId="658560C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396,196,601.42</w:t>
            </w:r>
          </w:p>
        </w:tc>
      </w:tr>
      <w:tr w:rsidR="00967461" w:rsidRPr="00967461" w14:paraId="497E9C13" w14:textId="77777777" w:rsidTr="00EE302D">
        <w:trPr>
          <w:trHeight w:hRule="exact" w:val="331"/>
          <w:jc w:val="center"/>
        </w:trPr>
        <w:tc>
          <w:tcPr>
            <w:tcW w:w="2635" w:type="dxa"/>
            <w:tcBorders>
              <w:top w:val="single" w:sz="4" w:space="0" w:color="auto"/>
            </w:tcBorders>
            <w:shd w:val="clear" w:color="auto" w:fill="FFFFFF"/>
            <w:vAlign w:val="center"/>
          </w:tcPr>
          <w:p w14:paraId="7FAF1433"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tcBorders>
            <w:shd w:val="clear" w:color="auto" w:fill="FFFFFF"/>
            <w:vAlign w:val="center"/>
          </w:tcPr>
          <w:p w14:paraId="7AA6D81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6DBCFC6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062B62E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615F52E5"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1936626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566A4A5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1,559,476,136.77</w:t>
            </w:r>
          </w:p>
        </w:tc>
        <w:tc>
          <w:tcPr>
            <w:tcW w:w="1843" w:type="dxa"/>
            <w:tcBorders>
              <w:top w:val="single" w:sz="4" w:space="0" w:color="auto"/>
              <w:left w:val="single" w:sz="4" w:space="0" w:color="auto"/>
              <w:bottom w:val="single" w:sz="4" w:space="0" w:color="auto"/>
            </w:tcBorders>
            <w:shd w:val="clear" w:color="auto" w:fill="FFFFFF"/>
            <w:vAlign w:val="center"/>
          </w:tcPr>
          <w:p w14:paraId="46B37AB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-14,315,185.33</w:t>
            </w:r>
          </w:p>
        </w:tc>
        <w:tc>
          <w:tcPr>
            <w:tcW w:w="1898" w:type="dxa"/>
            <w:tcBorders>
              <w:top w:val="single" w:sz="4" w:space="0" w:color="auto"/>
              <w:left w:val="single" w:sz="4" w:space="0" w:color="auto"/>
              <w:bottom w:val="single" w:sz="4" w:space="0" w:color="auto"/>
            </w:tcBorders>
            <w:shd w:val="clear" w:color="auto" w:fill="FFFFFF"/>
            <w:vAlign w:val="center"/>
          </w:tcPr>
          <w:p w14:paraId="6E76DF3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1,545,160,951.44</w:t>
            </w:r>
          </w:p>
        </w:tc>
      </w:tr>
      <w:bookmarkEnd w:id="2"/>
    </w:tbl>
    <w:p w14:paraId="20FC0152" w14:textId="77777777" w:rsidR="00967461" w:rsidRPr="00967461" w:rsidRDefault="00967461" w:rsidP="00967461">
      <w:pPr>
        <w:pStyle w:val="Bodytext10"/>
        <w:spacing w:line="240" w:lineRule="auto"/>
        <w:ind w:firstLine="0"/>
        <w:rPr>
          <w:rFonts w:cs="Arial"/>
          <w:snapToGrid w:val="0"/>
          <w:color w:val="000000"/>
          <w:kern w:val="0"/>
          <w:sz w:val="24"/>
          <w:szCs w:val="24"/>
          <w:lang w:val="en-US" w:eastAsia="zh-CN" w:bidi="ar-SA"/>
        </w:rPr>
      </w:pPr>
    </w:p>
    <w:p w14:paraId="7ECB705D" w14:textId="77777777" w:rsidR="00967461" w:rsidRPr="00967461" w:rsidRDefault="00967461" w:rsidP="00967461">
      <w:pPr>
        <w:pStyle w:val="Bodytext10"/>
        <w:spacing w:line="240" w:lineRule="auto"/>
        <w:ind w:firstLineChars="200" w:firstLine="480"/>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2016</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37E45DD2" w14:textId="77777777" w:rsidTr="00EE302D">
        <w:trPr>
          <w:trHeight w:hRule="exact" w:val="586"/>
          <w:jc w:val="center"/>
        </w:trPr>
        <w:tc>
          <w:tcPr>
            <w:tcW w:w="2635" w:type="dxa"/>
            <w:tcBorders>
              <w:top w:val="single" w:sz="4" w:space="0" w:color="auto"/>
            </w:tcBorders>
            <w:shd w:val="clear" w:color="auto" w:fill="FFFFFF"/>
            <w:vAlign w:val="center"/>
          </w:tcPr>
          <w:p w14:paraId="5DA2AE39" w14:textId="77777777" w:rsidR="00967461" w:rsidRPr="00967461" w:rsidRDefault="00967461" w:rsidP="00EE302D">
            <w:pPr>
              <w:pStyle w:val="Other10"/>
              <w:spacing w:line="302" w:lineRule="exact"/>
              <w:ind w:firstLine="280"/>
              <w:jc w:val="center"/>
              <w:rPr>
                <w:color w:val="000000"/>
                <w:sz w:val="17"/>
                <w:szCs w:val="17"/>
              </w:rPr>
            </w:pPr>
            <w:bookmarkStart w:id="3" w:name="_Hlk131461213"/>
            <w:r w:rsidRPr="00967461">
              <w:rPr>
                <w:color w:val="000000"/>
                <w:sz w:val="17"/>
                <w:szCs w:val="17"/>
              </w:rPr>
              <w:t>受影响的各个比较期间报表</w:t>
            </w:r>
          </w:p>
          <w:p w14:paraId="4502A616"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11AA6A9E"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51C8F3F5"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2543DF90"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769ABFE" w14:textId="77777777" w:rsidTr="00EE302D">
        <w:trPr>
          <w:trHeight w:hRule="exact" w:val="336"/>
          <w:jc w:val="center"/>
        </w:trPr>
        <w:tc>
          <w:tcPr>
            <w:tcW w:w="2635" w:type="dxa"/>
            <w:tcBorders>
              <w:top w:val="single" w:sz="4" w:space="0" w:color="auto"/>
            </w:tcBorders>
            <w:shd w:val="clear" w:color="auto" w:fill="FFFFFF"/>
            <w:vAlign w:val="center"/>
          </w:tcPr>
          <w:p w14:paraId="4EF0183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6BDD77B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2A46150D"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5DA2537C"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254F858F" w14:textId="77777777" w:rsidTr="00EE302D">
        <w:trPr>
          <w:trHeight w:hRule="exact" w:val="336"/>
          <w:jc w:val="center"/>
        </w:trPr>
        <w:tc>
          <w:tcPr>
            <w:tcW w:w="2635" w:type="dxa"/>
            <w:tcBorders>
              <w:top w:val="single" w:sz="4" w:space="0" w:color="auto"/>
            </w:tcBorders>
            <w:shd w:val="clear" w:color="auto" w:fill="FFFFFF"/>
            <w:vAlign w:val="center"/>
          </w:tcPr>
          <w:p w14:paraId="6BF7F0FC"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其他流动负债</w:t>
            </w:r>
          </w:p>
        </w:tc>
        <w:tc>
          <w:tcPr>
            <w:tcW w:w="1842" w:type="dxa"/>
            <w:tcBorders>
              <w:top w:val="single" w:sz="4" w:space="0" w:color="auto"/>
              <w:left w:val="single" w:sz="4" w:space="0" w:color="auto"/>
            </w:tcBorders>
            <w:shd w:val="clear" w:color="auto" w:fill="FFFFFF"/>
            <w:vAlign w:val="center"/>
          </w:tcPr>
          <w:p w14:paraId="21E4D8D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932,817,231.33</w:t>
            </w:r>
          </w:p>
        </w:tc>
        <w:tc>
          <w:tcPr>
            <w:tcW w:w="1843" w:type="dxa"/>
            <w:tcBorders>
              <w:top w:val="single" w:sz="4" w:space="0" w:color="auto"/>
              <w:left w:val="single" w:sz="4" w:space="0" w:color="auto"/>
            </w:tcBorders>
            <w:shd w:val="clear" w:color="auto" w:fill="FFFFFF"/>
            <w:vAlign w:val="center"/>
          </w:tcPr>
          <w:p w14:paraId="635FECD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165,615,014.46</w:t>
            </w:r>
          </w:p>
        </w:tc>
        <w:tc>
          <w:tcPr>
            <w:tcW w:w="1898" w:type="dxa"/>
            <w:tcBorders>
              <w:top w:val="single" w:sz="4" w:space="0" w:color="auto"/>
              <w:left w:val="single" w:sz="4" w:space="0" w:color="auto"/>
            </w:tcBorders>
            <w:shd w:val="clear" w:color="auto" w:fill="FFFFFF"/>
            <w:vAlign w:val="center"/>
          </w:tcPr>
          <w:p w14:paraId="720E2FD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1,098,432,245.79</w:t>
            </w:r>
          </w:p>
        </w:tc>
      </w:tr>
      <w:tr w:rsidR="00967461" w:rsidRPr="00967461" w14:paraId="46CCA646" w14:textId="77777777" w:rsidTr="00EE302D">
        <w:trPr>
          <w:trHeight w:hRule="exact" w:val="336"/>
          <w:jc w:val="center"/>
        </w:trPr>
        <w:tc>
          <w:tcPr>
            <w:tcW w:w="2635" w:type="dxa"/>
            <w:tcBorders>
              <w:top w:val="single" w:sz="4" w:space="0" w:color="auto"/>
            </w:tcBorders>
            <w:shd w:val="clear" w:color="auto" w:fill="FFFFFF"/>
            <w:vAlign w:val="center"/>
          </w:tcPr>
          <w:p w14:paraId="76C3890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少数股东权益</w:t>
            </w:r>
          </w:p>
        </w:tc>
        <w:tc>
          <w:tcPr>
            <w:tcW w:w="1842" w:type="dxa"/>
            <w:tcBorders>
              <w:top w:val="single" w:sz="4" w:space="0" w:color="auto"/>
              <w:left w:val="single" w:sz="4" w:space="0" w:color="auto"/>
            </w:tcBorders>
            <w:shd w:val="clear" w:color="auto" w:fill="FFFFFF"/>
            <w:vAlign w:val="center"/>
          </w:tcPr>
          <w:p w14:paraId="466DAA3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75,477,462.64</w:t>
            </w:r>
          </w:p>
        </w:tc>
        <w:tc>
          <w:tcPr>
            <w:tcW w:w="1843" w:type="dxa"/>
            <w:tcBorders>
              <w:top w:val="single" w:sz="4" w:space="0" w:color="auto"/>
              <w:left w:val="single" w:sz="4" w:space="0" w:color="auto"/>
            </w:tcBorders>
            <w:shd w:val="clear" w:color="auto" w:fill="FFFFFF"/>
            <w:vAlign w:val="center"/>
          </w:tcPr>
          <w:p w14:paraId="7827C86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-139,204,212.58</w:t>
            </w:r>
          </w:p>
        </w:tc>
        <w:tc>
          <w:tcPr>
            <w:tcW w:w="1898" w:type="dxa"/>
            <w:tcBorders>
              <w:top w:val="single" w:sz="4" w:space="0" w:color="auto"/>
              <w:left w:val="single" w:sz="4" w:space="0" w:color="auto"/>
            </w:tcBorders>
            <w:shd w:val="clear" w:color="auto" w:fill="FFFFFF"/>
            <w:vAlign w:val="center"/>
          </w:tcPr>
          <w:p w14:paraId="29413CF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-63,726,749.94</w:t>
            </w:r>
          </w:p>
        </w:tc>
      </w:tr>
      <w:tr w:rsidR="00967461" w:rsidRPr="00967461" w14:paraId="1704A94A" w14:textId="77777777" w:rsidTr="00EE302D">
        <w:trPr>
          <w:trHeight w:hRule="exact" w:val="331"/>
          <w:jc w:val="center"/>
        </w:trPr>
        <w:tc>
          <w:tcPr>
            <w:tcW w:w="2635" w:type="dxa"/>
            <w:tcBorders>
              <w:top w:val="single" w:sz="4" w:space="0" w:color="auto"/>
            </w:tcBorders>
            <w:shd w:val="clear" w:color="auto" w:fill="FFFFFF"/>
            <w:vAlign w:val="center"/>
          </w:tcPr>
          <w:p w14:paraId="34139D67"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6F8A475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26DED28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4D3F78A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7B672172" w14:textId="77777777" w:rsidTr="00EE302D">
        <w:trPr>
          <w:trHeight w:hRule="exact" w:val="331"/>
          <w:jc w:val="center"/>
        </w:trPr>
        <w:tc>
          <w:tcPr>
            <w:tcW w:w="2635" w:type="dxa"/>
            <w:tcBorders>
              <w:top w:val="single" w:sz="4" w:space="0" w:color="auto"/>
            </w:tcBorders>
            <w:shd w:val="clear" w:color="auto" w:fill="FFFFFF"/>
            <w:vAlign w:val="center"/>
          </w:tcPr>
          <w:p w14:paraId="28DF30B6"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营业收入</w:t>
            </w:r>
          </w:p>
        </w:tc>
        <w:tc>
          <w:tcPr>
            <w:tcW w:w="1842" w:type="dxa"/>
            <w:tcBorders>
              <w:top w:val="single" w:sz="4" w:space="0" w:color="auto"/>
              <w:left w:val="single" w:sz="4" w:space="0" w:color="auto"/>
            </w:tcBorders>
            <w:shd w:val="clear" w:color="auto" w:fill="FFFFFF"/>
            <w:vAlign w:val="center"/>
          </w:tcPr>
          <w:p w14:paraId="155C6BC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10,577,342,845.30</w:t>
            </w:r>
          </w:p>
        </w:tc>
        <w:tc>
          <w:tcPr>
            <w:tcW w:w="1843" w:type="dxa"/>
            <w:tcBorders>
              <w:top w:val="single" w:sz="4" w:space="0" w:color="auto"/>
              <w:left w:val="single" w:sz="4" w:space="0" w:color="auto"/>
            </w:tcBorders>
            <w:shd w:val="clear" w:color="auto" w:fill="FFFFFF"/>
            <w:vAlign w:val="center"/>
          </w:tcPr>
          <w:p w14:paraId="159F1A2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-323,409,881.47</w:t>
            </w:r>
          </w:p>
        </w:tc>
        <w:tc>
          <w:tcPr>
            <w:tcW w:w="1898" w:type="dxa"/>
            <w:tcBorders>
              <w:top w:val="single" w:sz="4" w:space="0" w:color="auto"/>
              <w:left w:val="single" w:sz="4" w:space="0" w:color="auto"/>
            </w:tcBorders>
            <w:shd w:val="clear" w:color="auto" w:fill="FFFFFF"/>
            <w:vAlign w:val="center"/>
          </w:tcPr>
          <w:p w14:paraId="13BAAC0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10,253,932,963.83</w:t>
            </w:r>
          </w:p>
        </w:tc>
      </w:tr>
      <w:tr w:rsidR="00967461" w:rsidRPr="00967461" w14:paraId="369F7528" w14:textId="77777777" w:rsidTr="00EE302D">
        <w:trPr>
          <w:trHeight w:hRule="exact" w:val="331"/>
          <w:jc w:val="center"/>
        </w:trPr>
        <w:tc>
          <w:tcPr>
            <w:tcW w:w="2635" w:type="dxa"/>
            <w:tcBorders>
              <w:top w:val="single" w:sz="4" w:space="0" w:color="auto"/>
            </w:tcBorders>
            <w:shd w:val="clear" w:color="auto" w:fill="FFFFFF"/>
            <w:vAlign w:val="center"/>
          </w:tcPr>
          <w:p w14:paraId="3E7B117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842" w:type="dxa"/>
            <w:tcBorders>
              <w:top w:val="single" w:sz="4" w:space="0" w:color="auto"/>
              <w:left w:val="single" w:sz="4" w:space="0" w:color="auto"/>
            </w:tcBorders>
            <w:shd w:val="clear" w:color="auto" w:fill="FFFFFF"/>
            <w:vAlign w:val="center"/>
          </w:tcPr>
          <w:p w14:paraId="125AEB0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8,435,085,360.48</w:t>
            </w:r>
          </w:p>
        </w:tc>
        <w:tc>
          <w:tcPr>
            <w:tcW w:w="1843" w:type="dxa"/>
            <w:tcBorders>
              <w:top w:val="single" w:sz="4" w:space="0" w:color="auto"/>
              <w:left w:val="single" w:sz="4" w:space="0" w:color="auto"/>
            </w:tcBorders>
            <w:shd w:val="clear" w:color="auto" w:fill="FFFFFF"/>
            <w:vAlign w:val="center"/>
          </w:tcPr>
          <w:p w14:paraId="44F69C9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-182,782,619.44</w:t>
            </w:r>
          </w:p>
        </w:tc>
        <w:tc>
          <w:tcPr>
            <w:tcW w:w="1898" w:type="dxa"/>
            <w:tcBorders>
              <w:top w:val="single" w:sz="4" w:space="0" w:color="auto"/>
              <w:left w:val="single" w:sz="4" w:space="0" w:color="auto"/>
            </w:tcBorders>
            <w:shd w:val="clear" w:color="auto" w:fill="FFFFFF"/>
            <w:vAlign w:val="center"/>
          </w:tcPr>
          <w:p w14:paraId="43E155A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8,252,302,741.04</w:t>
            </w:r>
          </w:p>
        </w:tc>
      </w:tr>
      <w:tr w:rsidR="00967461" w:rsidRPr="00967461" w14:paraId="1AAD40B2" w14:textId="77777777" w:rsidTr="00EE302D">
        <w:trPr>
          <w:trHeight w:hRule="exact" w:val="331"/>
          <w:jc w:val="center"/>
        </w:trPr>
        <w:tc>
          <w:tcPr>
            <w:tcW w:w="2635" w:type="dxa"/>
            <w:tcBorders>
              <w:top w:val="single" w:sz="4" w:space="0" w:color="auto"/>
            </w:tcBorders>
            <w:shd w:val="clear" w:color="auto" w:fill="FFFFFF"/>
            <w:vAlign w:val="center"/>
          </w:tcPr>
          <w:p w14:paraId="1E5E4DAF"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22D6F75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80,520,209.68</w:t>
            </w:r>
          </w:p>
        </w:tc>
        <w:tc>
          <w:tcPr>
            <w:tcW w:w="1843" w:type="dxa"/>
            <w:tcBorders>
              <w:top w:val="single" w:sz="4" w:space="0" w:color="auto"/>
              <w:left w:val="single" w:sz="4" w:space="0" w:color="auto"/>
            </w:tcBorders>
            <w:shd w:val="clear" w:color="auto" w:fill="FFFFFF"/>
            <w:vAlign w:val="center"/>
          </w:tcPr>
          <w:p w14:paraId="2BDC548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67,863,411.61</w:t>
            </w:r>
          </w:p>
        </w:tc>
        <w:tc>
          <w:tcPr>
            <w:tcW w:w="1898" w:type="dxa"/>
            <w:tcBorders>
              <w:top w:val="single" w:sz="4" w:space="0" w:color="auto"/>
              <w:left w:val="single" w:sz="4" w:space="0" w:color="auto"/>
            </w:tcBorders>
            <w:shd w:val="clear" w:color="auto" w:fill="FFFFFF"/>
            <w:vAlign w:val="center"/>
          </w:tcPr>
          <w:p w14:paraId="3EA352D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148,383,621.29</w:t>
            </w:r>
          </w:p>
        </w:tc>
      </w:tr>
      <w:tr w:rsidR="00967461" w:rsidRPr="00967461" w14:paraId="32A4C5E6" w14:textId="77777777" w:rsidTr="00EE302D">
        <w:trPr>
          <w:trHeight w:hRule="exact" w:val="331"/>
          <w:jc w:val="center"/>
        </w:trPr>
        <w:tc>
          <w:tcPr>
            <w:tcW w:w="2635" w:type="dxa"/>
            <w:tcBorders>
              <w:top w:val="single" w:sz="4" w:space="0" w:color="auto"/>
            </w:tcBorders>
            <w:shd w:val="clear" w:color="auto" w:fill="FFFFFF"/>
            <w:vAlign w:val="center"/>
          </w:tcPr>
          <w:p w14:paraId="0397B08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营业外收入</w:t>
            </w:r>
          </w:p>
        </w:tc>
        <w:tc>
          <w:tcPr>
            <w:tcW w:w="1842" w:type="dxa"/>
            <w:tcBorders>
              <w:top w:val="single" w:sz="4" w:space="0" w:color="auto"/>
              <w:left w:val="single" w:sz="4" w:space="0" w:color="auto"/>
            </w:tcBorders>
            <w:shd w:val="clear" w:color="auto" w:fill="FFFFFF"/>
            <w:vAlign w:val="center"/>
          </w:tcPr>
          <w:p w14:paraId="6D5CDA6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82,275,290.69</w:t>
            </w:r>
          </w:p>
        </w:tc>
        <w:tc>
          <w:tcPr>
            <w:tcW w:w="1843" w:type="dxa"/>
            <w:tcBorders>
              <w:top w:val="single" w:sz="4" w:space="0" w:color="auto"/>
              <w:left w:val="single" w:sz="4" w:space="0" w:color="auto"/>
            </w:tcBorders>
            <w:shd w:val="clear" w:color="auto" w:fill="FFFFFF"/>
            <w:vAlign w:val="center"/>
          </w:tcPr>
          <w:p w14:paraId="1E34733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-1,895,384.62</w:t>
            </w:r>
          </w:p>
        </w:tc>
        <w:tc>
          <w:tcPr>
            <w:tcW w:w="1898" w:type="dxa"/>
            <w:tcBorders>
              <w:top w:val="single" w:sz="4" w:space="0" w:color="auto"/>
              <w:left w:val="single" w:sz="4" w:space="0" w:color="auto"/>
            </w:tcBorders>
            <w:shd w:val="clear" w:color="auto" w:fill="FFFFFF"/>
            <w:vAlign w:val="center"/>
          </w:tcPr>
          <w:p w14:paraId="5D3418B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80,379,906.0</w:t>
            </w:r>
            <w:r w:rsidRPr="00967461">
              <w:rPr>
                <w:rFonts w:ascii="宋体" w:eastAsia="宋体" w:hAnsi="宋体" w:hint="eastAsia"/>
                <w:sz w:val="17"/>
                <w:szCs w:val="17"/>
                <w:lang w:bidi="ar"/>
              </w:rPr>
              <w:t>7</w:t>
            </w:r>
          </w:p>
        </w:tc>
      </w:tr>
      <w:tr w:rsidR="00967461" w:rsidRPr="00967461" w14:paraId="23D0D285" w14:textId="77777777" w:rsidTr="00EE302D">
        <w:trPr>
          <w:trHeight w:hRule="exact" w:val="331"/>
          <w:jc w:val="center"/>
        </w:trPr>
        <w:tc>
          <w:tcPr>
            <w:tcW w:w="2635" w:type="dxa"/>
            <w:tcBorders>
              <w:top w:val="single" w:sz="4" w:space="0" w:color="auto"/>
            </w:tcBorders>
            <w:shd w:val="clear" w:color="auto" w:fill="FFFFFF"/>
            <w:vAlign w:val="center"/>
          </w:tcPr>
          <w:p w14:paraId="7648E2D7"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65334D9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29,780,829.83</w:t>
            </w:r>
          </w:p>
        </w:tc>
        <w:tc>
          <w:tcPr>
            <w:tcW w:w="1843" w:type="dxa"/>
            <w:tcBorders>
              <w:top w:val="single" w:sz="4" w:space="0" w:color="auto"/>
              <w:left w:val="single" w:sz="4" w:space="0" w:color="auto"/>
            </w:tcBorders>
            <w:shd w:val="clear" w:color="auto" w:fill="FFFFFF"/>
            <w:vAlign w:val="center"/>
          </w:tcPr>
          <w:p w14:paraId="7C345A8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-74,659,235.04</w:t>
            </w:r>
          </w:p>
        </w:tc>
        <w:tc>
          <w:tcPr>
            <w:tcW w:w="1898" w:type="dxa"/>
            <w:tcBorders>
              <w:top w:val="single" w:sz="4" w:space="0" w:color="auto"/>
              <w:left w:val="single" w:sz="4" w:space="0" w:color="auto"/>
            </w:tcBorders>
            <w:shd w:val="clear" w:color="auto" w:fill="FFFFFF"/>
            <w:vAlign w:val="center"/>
          </w:tcPr>
          <w:p w14:paraId="7F8170C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-44,878,405.21</w:t>
            </w:r>
          </w:p>
        </w:tc>
      </w:tr>
      <w:tr w:rsidR="00967461" w:rsidRPr="00967461" w14:paraId="27CC0007" w14:textId="77777777" w:rsidTr="00EE302D">
        <w:trPr>
          <w:trHeight w:hRule="exact" w:val="660"/>
          <w:jc w:val="center"/>
        </w:trPr>
        <w:tc>
          <w:tcPr>
            <w:tcW w:w="2635" w:type="dxa"/>
            <w:tcBorders>
              <w:top w:val="single" w:sz="4" w:space="0" w:color="auto"/>
            </w:tcBorders>
            <w:shd w:val="clear" w:color="auto" w:fill="FFFFFF"/>
            <w:vAlign w:val="center"/>
          </w:tcPr>
          <w:p w14:paraId="1D2909C4"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lastRenderedPageBreak/>
              <w:t>净利润</w:t>
            </w:r>
          </w:p>
        </w:tc>
        <w:tc>
          <w:tcPr>
            <w:tcW w:w="1842" w:type="dxa"/>
            <w:tcBorders>
              <w:top w:val="single" w:sz="4" w:space="0" w:color="auto"/>
              <w:left w:val="single" w:sz="4" w:space="0" w:color="auto"/>
            </w:tcBorders>
            <w:shd w:val="clear" w:color="auto" w:fill="FFFFFF"/>
            <w:vAlign w:val="center"/>
          </w:tcPr>
          <w:p w14:paraId="4A6868B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9,010,328.38</w:t>
            </w:r>
          </w:p>
        </w:tc>
        <w:tc>
          <w:tcPr>
            <w:tcW w:w="1843" w:type="dxa"/>
            <w:tcBorders>
              <w:top w:val="single" w:sz="4" w:space="0" w:color="auto"/>
              <w:left w:val="single" w:sz="4" w:space="0" w:color="auto"/>
            </w:tcBorders>
            <w:shd w:val="clear" w:color="auto" w:fill="FFFFFF"/>
            <w:vAlign w:val="center"/>
          </w:tcPr>
          <w:p w14:paraId="2285028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-74,659,235.04</w:t>
            </w:r>
          </w:p>
        </w:tc>
        <w:tc>
          <w:tcPr>
            <w:tcW w:w="1898" w:type="dxa"/>
            <w:tcBorders>
              <w:top w:val="single" w:sz="4" w:space="0" w:color="auto"/>
              <w:left w:val="single" w:sz="4" w:space="0" w:color="auto"/>
            </w:tcBorders>
            <w:shd w:val="clear" w:color="auto" w:fill="FFFFFF"/>
            <w:vAlign w:val="center"/>
          </w:tcPr>
          <w:p w14:paraId="63BEBFA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-65,648,906.66</w:t>
            </w:r>
          </w:p>
        </w:tc>
      </w:tr>
      <w:tr w:rsidR="00967461" w:rsidRPr="00967461" w14:paraId="6B827CF5" w14:textId="77777777" w:rsidTr="00EE302D">
        <w:trPr>
          <w:trHeight w:hRule="exact" w:val="331"/>
          <w:jc w:val="center"/>
        </w:trPr>
        <w:tc>
          <w:tcPr>
            <w:tcW w:w="2635" w:type="dxa"/>
            <w:tcBorders>
              <w:top w:val="single" w:sz="4" w:space="0" w:color="auto"/>
            </w:tcBorders>
            <w:shd w:val="clear" w:color="auto" w:fill="FFFFFF"/>
            <w:vAlign w:val="center"/>
          </w:tcPr>
          <w:p w14:paraId="5829DE8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594A3CD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17,383,616.45</w:t>
            </w:r>
          </w:p>
        </w:tc>
        <w:tc>
          <w:tcPr>
            <w:tcW w:w="1843" w:type="dxa"/>
            <w:tcBorders>
              <w:top w:val="single" w:sz="4" w:space="0" w:color="auto"/>
              <w:left w:val="single" w:sz="4" w:space="0" w:color="auto"/>
            </w:tcBorders>
            <w:shd w:val="clear" w:color="auto" w:fill="FFFFFF"/>
            <w:vAlign w:val="center"/>
          </w:tcPr>
          <w:p w14:paraId="100D5B4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-12,095,616.55</w:t>
            </w:r>
          </w:p>
        </w:tc>
        <w:tc>
          <w:tcPr>
            <w:tcW w:w="1898" w:type="dxa"/>
            <w:tcBorders>
              <w:top w:val="single" w:sz="4" w:space="0" w:color="auto"/>
              <w:left w:val="single" w:sz="4" w:space="0" w:color="auto"/>
            </w:tcBorders>
            <w:shd w:val="clear" w:color="auto" w:fill="FFFFFF"/>
            <w:vAlign w:val="center"/>
          </w:tcPr>
          <w:p w14:paraId="6B74663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5,287,999.90</w:t>
            </w:r>
          </w:p>
        </w:tc>
      </w:tr>
      <w:tr w:rsidR="00967461" w:rsidRPr="00967461" w14:paraId="787B239F" w14:textId="77777777" w:rsidTr="00EE302D">
        <w:trPr>
          <w:trHeight w:hRule="exact" w:val="331"/>
          <w:jc w:val="center"/>
        </w:trPr>
        <w:tc>
          <w:tcPr>
            <w:tcW w:w="2635" w:type="dxa"/>
            <w:tcBorders>
              <w:top w:val="single" w:sz="4" w:space="0" w:color="auto"/>
            </w:tcBorders>
            <w:shd w:val="clear" w:color="auto" w:fill="FFFFFF"/>
            <w:vAlign w:val="center"/>
          </w:tcPr>
          <w:p w14:paraId="0800C4B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少数股东损益</w:t>
            </w:r>
          </w:p>
        </w:tc>
        <w:tc>
          <w:tcPr>
            <w:tcW w:w="1842" w:type="dxa"/>
            <w:tcBorders>
              <w:top w:val="single" w:sz="4" w:space="0" w:color="auto"/>
              <w:left w:val="single" w:sz="4" w:space="0" w:color="auto"/>
            </w:tcBorders>
            <w:shd w:val="clear" w:color="auto" w:fill="FFFFFF"/>
            <w:vAlign w:val="center"/>
          </w:tcPr>
          <w:p w14:paraId="2087176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-8,373,288.07</w:t>
            </w:r>
          </w:p>
        </w:tc>
        <w:tc>
          <w:tcPr>
            <w:tcW w:w="1843" w:type="dxa"/>
            <w:tcBorders>
              <w:top w:val="single" w:sz="4" w:space="0" w:color="auto"/>
              <w:left w:val="single" w:sz="4" w:space="0" w:color="auto"/>
            </w:tcBorders>
            <w:shd w:val="clear" w:color="auto" w:fill="FFFFFF"/>
            <w:vAlign w:val="center"/>
          </w:tcPr>
          <w:p w14:paraId="799A182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-62,563,618.49</w:t>
            </w:r>
          </w:p>
        </w:tc>
        <w:tc>
          <w:tcPr>
            <w:tcW w:w="1898" w:type="dxa"/>
            <w:tcBorders>
              <w:top w:val="single" w:sz="4" w:space="0" w:color="auto"/>
              <w:left w:val="single" w:sz="4" w:space="0" w:color="auto"/>
            </w:tcBorders>
            <w:shd w:val="clear" w:color="auto" w:fill="FFFFFF"/>
            <w:vAlign w:val="center"/>
          </w:tcPr>
          <w:p w14:paraId="279E219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-70,936,906.56</w:t>
            </w:r>
          </w:p>
        </w:tc>
      </w:tr>
      <w:tr w:rsidR="00967461" w:rsidRPr="00967461" w14:paraId="505B3FC4" w14:textId="77777777" w:rsidTr="00EE302D">
        <w:trPr>
          <w:trHeight w:hRule="exact" w:val="331"/>
          <w:jc w:val="center"/>
        </w:trPr>
        <w:tc>
          <w:tcPr>
            <w:tcW w:w="2635" w:type="dxa"/>
            <w:tcBorders>
              <w:top w:val="single" w:sz="4" w:space="0" w:color="auto"/>
            </w:tcBorders>
            <w:shd w:val="clear" w:color="auto" w:fill="FFFFFF"/>
            <w:vAlign w:val="center"/>
          </w:tcPr>
          <w:p w14:paraId="27128A71"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tcBorders>
            <w:shd w:val="clear" w:color="auto" w:fill="FFFFFF"/>
            <w:vAlign w:val="center"/>
          </w:tcPr>
          <w:p w14:paraId="0D55D85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31581E9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1C99B90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7A893FF3"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57AA2B54"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364D094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1,502,807,632.44 </w:t>
            </w:r>
          </w:p>
        </w:tc>
        <w:tc>
          <w:tcPr>
            <w:tcW w:w="1843" w:type="dxa"/>
            <w:tcBorders>
              <w:top w:val="single" w:sz="4" w:space="0" w:color="auto"/>
              <w:left w:val="single" w:sz="4" w:space="0" w:color="auto"/>
              <w:bottom w:val="single" w:sz="4" w:space="0" w:color="auto"/>
            </w:tcBorders>
            <w:shd w:val="clear" w:color="auto" w:fill="FFFFFF"/>
            <w:vAlign w:val="center"/>
          </w:tcPr>
          <w:p w14:paraId="446A123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-26,410,801.88 </w:t>
            </w:r>
          </w:p>
        </w:tc>
        <w:tc>
          <w:tcPr>
            <w:tcW w:w="1898" w:type="dxa"/>
            <w:tcBorders>
              <w:top w:val="single" w:sz="4" w:space="0" w:color="auto"/>
              <w:left w:val="single" w:sz="4" w:space="0" w:color="auto"/>
              <w:bottom w:val="single" w:sz="4" w:space="0" w:color="auto"/>
            </w:tcBorders>
            <w:shd w:val="clear" w:color="auto" w:fill="FFFFFF"/>
            <w:vAlign w:val="center"/>
          </w:tcPr>
          <w:p w14:paraId="3449492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1,476,396,830.56 </w:t>
            </w:r>
          </w:p>
        </w:tc>
      </w:tr>
      <w:bookmarkEnd w:id="3"/>
    </w:tbl>
    <w:p w14:paraId="7E675019" w14:textId="77777777" w:rsidR="00967461" w:rsidRPr="00967461" w:rsidRDefault="00967461" w:rsidP="00967461">
      <w:pPr>
        <w:pStyle w:val="Bodytext10"/>
        <w:spacing w:line="240" w:lineRule="auto"/>
        <w:ind w:firstLine="0"/>
        <w:rPr>
          <w:lang w:val="en-US"/>
        </w:rPr>
      </w:pPr>
    </w:p>
    <w:p w14:paraId="228F6B71" w14:textId="77777777" w:rsidR="00967461" w:rsidRPr="00967461" w:rsidRDefault="00967461" w:rsidP="00967461">
      <w:pPr>
        <w:pStyle w:val="Bodytext10"/>
        <w:spacing w:line="240" w:lineRule="auto"/>
        <w:ind w:firstLineChars="200" w:firstLine="480"/>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2017</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54591BE8" w14:textId="77777777" w:rsidTr="00EE302D">
        <w:trPr>
          <w:trHeight w:hRule="exact" w:val="586"/>
          <w:jc w:val="center"/>
        </w:trPr>
        <w:tc>
          <w:tcPr>
            <w:tcW w:w="2635" w:type="dxa"/>
            <w:tcBorders>
              <w:top w:val="single" w:sz="4" w:space="0" w:color="auto"/>
            </w:tcBorders>
            <w:shd w:val="clear" w:color="auto" w:fill="FFFFFF"/>
            <w:vAlign w:val="center"/>
          </w:tcPr>
          <w:p w14:paraId="731981C0" w14:textId="77777777" w:rsidR="00967461" w:rsidRPr="00967461" w:rsidRDefault="00967461" w:rsidP="00EE302D">
            <w:pPr>
              <w:pStyle w:val="Other10"/>
              <w:spacing w:line="302" w:lineRule="exact"/>
              <w:ind w:firstLine="280"/>
              <w:jc w:val="center"/>
              <w:rPr>
                <w:color w:val="000000"/>
                <w:sz w:val="17"/>
                <w:szCs w:val="17"/>
              </w:rPr>
            </w:pPr>
            <w:bookmarkStart w:id="4" w:name="_Hlk131280320"/>
            <w:r w:rsidRPr="00967461">
              <w:rPr>
                <w:color w:val="000000"/>
                <w:sz w:val="17"/>
                <w:szCs w:val="17"/>
              </w:rPr>
              <w:t>受影响的各个比较期间报表</w:t>
            </w:r>
          </w:p>
          <w:p w14:paraId="34938954"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1B08289F"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230B0BB8"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79CD4EE8"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28FA038C" w14:textId="77777777" w:rsidTr="00EE302D">
        <w:trPr>
          <w:trHeight w:hRule="exact" w:val="336"/>
          <w:jc w:val="center"/>
        </w:trPr>
        <w:tc>
          <w:tcPr>
            <w:tcW w:w="2635" w:type="dxa"/>
            <w:tcBorders>
              <w:top w:val="single" w:sz="4" w:space="0" w:color="auto"/>
            </w:tcBorders>
            <w:shd w:val="clear" w:color="auto" w:fill="FFFFFF"/>
            <w:vAlign w:val="center"/>
          </w:tcPr>
          <w:p w14:paraId="79907668"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361B7FE6"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580667CE"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08C92E18"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2D9F295A" w14:textId="77777777" w:rsidTr="00EE302D">
        <w:trPr>
          <w:trHeight w:hRule="exact" w:val="336"/>
          <w:jc w:val="center"/>
        </w:trPr>
        <w:tc>
          <w:tcPr>
            <w:tcW w:w="2635" w:type="dxa"/>
            <w:tcBorders>
              <w:top w:val="single" w:sz="4" w:space="0" w:color="auto"/>
            </w:tcBorders>
            <w:shd w:val="clear" w:color="auto" w:fill="FFFFFF"/>
            <w:vAlign w:val="center"/>
          </w:tcPr>
          <w:p w14:paraId="1A66C78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其他流动负债</w:t>
            </w:r>
          </w:p>
        </w:tc>
        <w:tc>
          <w:tcPr>
            <w:tcW w:w="1842" w:type="dxa"/>
            <w:tcBorders>
              <w:top w:val="single" w:sz="4" w:space="0" w:color="auto"/>
              <w:left w:val="single" w:sz="4" w:space="0" w:color="auto"/>
            </w:tcBorders>
            <w:shd w:val="clear" w:color="auto" w:fill="FFFFFF"/>
            <w:vAlign w:val="center"/>
          </w:tcPr>
          <w:p w14:paraId="7400A22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528,742,594.02</w:t>
            </w:r>
          </w:p>
        </w:tc>
        <w:tc>
          <w:tcPr>
            <w:tcW w:w="1843" w:type="dxa"/>
            <w:tcBorders>
              <w:top w:val="single" w:sz="4" w:space="0" w:color="auto"/>
              <w:left w:val="single" w:sz="4" w:space="0" w:color="auto"/>
            </w:tcBorders>
            <w:shd w:val="clear" w:color="auto" w:fill="FFFFFF"/>
            <w:vAlign w:val="center"/>
          </w:tcPr>
          <w:p w14:paraId="5759FA3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663,367,954.76</w:t>
            </w:r>
          </w:p>
        </w:tc>
        <w:tc>
          <w:tcPr>
            <w:tcW w:w="1898" w:type="dxa"/>
            <w:tcBorders>
              <w:top w:val="single" w:sz="4" w:space="0" w:color="auto"/>
              <w:left w:val="single" w:sz="4" w:space="0" w:color="auto"/>
            </w:tcBorders>
            <w:shd w:val="clear" w:color="auto" w:fill="FFFFFF"/>
            <w:vAlign w:val="center"/>
          </w:tcPr>
          <w:p w14:paraId="31E15C5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1,192,110,548.78</w:t>
            </w:r>
          </w:p>
        </w:tc>
      </w:tr>
      <w:tr w:rsidR="00967461" w:rsidRPr="00967461" w14:paraId="3EB969C4" w14:textId="77777777" w:rsidTr="00EE302D">
        <w:trPr>
          <w:trHeight w:hRule="exact" w:val="336"/>
          <w:jc w:val="center"/>
        </w:trPr>
        <w:tc>
          <w:tcPr>
            <w:tcW w:w="2635" w:type="dxa"/>
            <w:tcBorders>
              <w:top w:val="single" w:sz="4" w:space="0" w:color="auto"/>
            </w:tcBorders>
            <w:shd w:val="clear" w:color="auto" w:fill="FFFFFF"/>
            <w:vAlign w:val="center"/>
          </w:tcPr>
          <w:p w14:paraId="4E0235B0"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少数股东权益</w:t>
            </w:r>
          </w:p>
        </w:tc>
        <w:tc>
          <w:tcPr>
            <w:tcW w:w="1842" w:type="dxa"/>
            <w:tcBorders>
              <w:top w:val="single" w:sz="4" w:space="0" w:color="auto"/>
              <w:left w:val="single" w:sz="4" w:space="0" w:color="auto"/>
            </w:tcBorders>
            <w:shd w:val="clear" w:color="auto" w:fill="FFFFFF"/>
            <w:vAlign w:val="center"/>
          </w:tcPr>
          <w:p w14:paraId="45D2928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180,365,533.50</w:t>
            </w:r>
          </w:p>
        </w:tc>
        <w:tc>
          <w:tcPr>
            <w:tcW w:w="1843" w:type="dxa"/>
            <w:tcBorders>
              <w:top w:val="single" w:sz="4" w:space="0" w:color="auto"/>
              <w:left w:val="single" w:sz="4" w:space="0" w:color="auto"/>
            </w:tcBorders>
            <w:shd w:val="clear" w:color="auto" w:fill="FFFFFF"/>
            <w:vAlign w:val="center"/>
          </w:tcPr>
          <w:p w14:paraId="3A4C2CF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-353,826,338.21</w:t>
            </w:r>
          </w:p>
        </w:tc>
        <w:tc>
          <w:tcPr>
            <w:tcW w:w="1898" w:type="dxa"/>
            <w:tcBorders>
              <w:top w:val="single" w:sz="4" w:space="0" w:color="auto"/>
              <w:left w:val="single" w:sz="4" w:space="0" w:color="auto"/>
            </w:tcBorders>
            <w:shd w:val="clear" w:color="auto" w:fill="FFFFFF"/>
            <w:vAlign w:val="center"/>
          </w:tcPr>
          <w:p w14:paraId="1765FD7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-173,460,804.71</w:t>
            </w:r>
          </w:p>
        </w:tc>
      </w:tr>
      <w:tr w:rsidR="00967461" w:rsidRPr="00967461" w14:paraId="6239717D" w14:textId="77777777" w:rsidTr="00EE302D">
        <w:trPr>
          <w:trHeight w:hRule="exact" w:val="331"/>
          <w:jc w:val="center"/>
        </w:trPr>
        <w:tc>
          <w:tcPr>
            <w:tcW w:w="2635" w:type="dxa"/>
            <w:tcBorders>
              <w:top w:val="single" w:sz="4" w:space="0" w:color="auto"/>
            </w:tcBorders>
            <w:shd w:val="clear" w:color="auto" w:fill="FFFFFF"/>
            <w:vAlign w:val="center"/>
          </w:tcPr>
          <w:p w14:paraId="6A1B4C22"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34449C9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4737A6A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3D00C95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48D9C24B" w14:textId="77777777" w:rsidTr="00EE302D">
        <w:trPr>
          <w:trHeight w:hRule="exact" w:val="331"/>
          <w:jc w:val="center"/>
        </w:trPr>
        <w:tc>
          <w:tcPr>
            <w:tcW w:w="2635" w:type="dxa"/>
            <w:tcBorders>
              <w:top w:val="single" w:sz="4" w:space="0" w:color="auto"/>
            </w:tcBorders>
            <w:shd w:val="clear" w:color="auto" w:fill="FFFFFF"/>
            <w:vAlign w:val="center"/>
          </w:tcPr>
          <w:p w14:paraId="50C3A28C"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营业收入</w:t>
            </w:r>
          </w:p>
        </w:tc>
        <w:tc>
          <w:tcPr>
            <w:tcW w:w="1842" w:type="dxa"/>
            <w:tcBorders>
              <w:top w:val="single" w:sz="4" w:space="0" w:color="auto"/>
              <w:left w:val="single" w:sz="4" w:space="0" w:color="auto"/>
            </w:tcBorders>
            <w:shd w:val="clear" w:color="auto" w:fill="FFFFFF"/>
            <w:vAlign w:val="center"/>
          </w:tcPr>
          <w:p w14:paraId="7C3FC26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17,995,777,309.63</w:t>
            </w:r>
          </w:p>
        </w:tc>
        <w:tc>
          <w:tcPr>
            <w:tcW w:w="1843" w:type="dxa"/>
            <w:tcBorders>
              <w:top w:val="single" w:sz="4" w:space="0" w:color="auto"/>
              <w:left w:val="single" w:sz="4" w:space="0" w:color="auto"/>
            </w:tcBorders>
            <w:shd w:val="clear" w:color="auto" w:fill="FFFFFF"/>
            <w:vAlign w:val="center"/>
          </w:tcPr>
          <w:p w14:paraId="3511D8B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-463,486,209.82</w:t>
            </w:r>
          </w:p>
        </w:tc>
        <w:tc>
          <w:tcPr>
            <w:tcW w:w="1898" w:type="dxa"/>
            <w:tcBorders>
              <w:top w:val="single" w:sz="4" w:space="0" w:color="auto"/>
              <w:left w:val="single" w:sz="4" w:space="0" w:color="auto"/>
            </w:tcBorders>
            <w:shd w:val="clear" w:color="auto" w:fill="FFFFFF"/>
            <w:vAlign w:val="center"/>
          </w:tcPr>
          <w:p w14:paraId="08B2A7B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17,532,291,099.81</w:t>
            </w:r>
          </w:p>
        </w:tc>
      </w:tr>
      <w:tr w:rsidR="00967461" w:rsidRPr="00967461" w14:paraId="393E7FFC" w14:textId="77777777" w:rsidTr="00EE302D">
        <w:trPr>
          <w:trHeight w:hRule="exact" w:val="331"/>
          <w:jc w:val="center"/>
        </w:trPr>
        <w:tc>
          <w:tcPr>
            <w:tcW w:w="2635" w:type="dxa"/>
            <w:tcBorders>
              <w:top w:val="single" w:sz="4" w:space="0" w:color="auto"/>
            </w:tcBorders>
            <w:shd w:val="clear" w:color="auto" w:fill="FFFFFF"/>
            <w:vAlign w:val="center"/>
          </w:tcPr>
          <w:p w14:paraId="64FF9FC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842" w:type="dxa"/>
            <w:tcBorders>
              <w:top w:val="single" w:sz="4" w:space="0" w:color="auto"/>
              <w:left w:val="single" w:sz="4" w:space="0" w:color="auto"/>
            </w:tcBorders>
            <w:shd w:val="clear" w:color="auto" w:fill="FFFFFF"/>
            <w:vAlign w:val="center"/>
          </w:tcPr>
          <w:p w14:paraId="3DA1315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14,628,358,116.18</w:t>
            </w:r>
          </w:p>
        </w:tc>
        <w:tc>
          <w:tcPr>
            <w:tcW w:w="1843" w:type="dxa"/>
            <w:tcBorders>
              <w:top w:val="single" w:sz="4" w:space="0" w:color="auto"/>
              <w:left w:val="single" w:sz="4" w:space="0" w:color="auto"/>
            </w:tcBorders>
            <w:shd w:val="clear" w:color="auto" w:fill="FFFFFF"/>
            <w:vAlign w:val="center"/>
          </w:tcPr>
          <w:p w14:paraId="6BEDC7B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34,266,730.48</w:t>
            </w:r>
          </w:p>
        </w:tc>
        <w:tc>
          <w:tcPr>
            <w:tcW w:w="1898" w:type="dxa"/>
            <w:tcBorders>
              <w:top w:val="single" w:sz="4" w:space="0" w:color="auto"/>
              <w:left w:val="single" w:sz="4" w:space="0" w:color="auto"/>
            </w:tcBorders>
            <w:shd w:val="clear" w:color="auto" w:fill="FFFFFF"/>
            <w:vAlign w:val="center"/>
          </w:tcPr>
          <w:p w14:paraId="1C13A8C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14,662,624,846.66</w:t>
            </w:r>
          </w:p>
        </w:tc>
      </w:tr>
      <w:tr w:rsidR="00967461" w:rsidRPr="00967461" w14:paraId="23C7C99A" w14:textId="77777777" w:rsidTr="00EE302D">
        <w:trPr>
          <w:trHeight w:hRule="exact" w:val="331"/>
          <w:jc w:val="center"/>
        </w:trPr>
        <w:tc>
          <w:tcPr>
            <w:tcW w:w="2635" w:type="dxa"/>
            <w:tcBorders>
              <w:top w:val="single" w:sz="4" w:space="0" w:color="auto"/>
            </w:tcBorders>
            <w:shd w:val="clear" w:color="auto" w:fill="FFFFFF"/>
            <w:vAlign w:val="center"/>
          </w:tcPr>
          <w:p w14:paraId="2DC0A809"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52FB31A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487,670,369.59</w:t>
            </w:r>
          </w:p>
        </w:tc>
        <w:tc>
          <w:tcPr>
            <w:tcW w:w="1843" w:type="dxa"/>
            <w:tcBorders>
              <w:top w:val="single" w:sz="4" w:space="0" w:color="auto"/>
              <w:left w:val="single" w:sz="4" w:space="0" w:color="auto"/>
            </w:tcBorders>
            <w:shd w:val="clear" w:color="auto" w:fill="FFFFFF"/>
            <w:vAlign w:val="center"/>
          </w:tcPr>
          <w:p w14:paraId="09AD432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-497,752,940.30</w:t>
            </w:r>
          </w:p>
        </w:tc>
        <w:tc>
          <w:tcPr>
            <w:tcW w:w="1898" w:type="dxa"/>
            <w:tcBorders>
              <w:top w:val="single" w:sz="4" w:space="0" w:color="auto"/>
              <w:left w:val="single" w:sz="4" w:space="0" w:color="auto"/>
            </w:tcBorders>
            <w:shd w:val="clear" w:color="auto" w:fill="FFFFFF"/>
            <w:vAlign w:val="center"/>
          </w:tcPr>
          <w:p w14:paraId="56F583A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-10,082,570.71</w:t>
            </w:r>
          </w:p>
        </w:tc>
      </w:tr>
      <w:tr w:rsidR="00967461" w:rsidRPr="00967461" w14:paraId="0AED7683" w14:textId="77777777" w:rsidTr="00EE302D">
        <w:trPr>
          <w:trHeight w:hRule="exact" w:val="331"/>
          <w:jc w:val="center"/>
        </w:trPr>
        <w:tc>
          <w:tcPr>
            <w:tcW w:w="2635" w:type="dxa"/>
            <w:tcBorders>
              <w:top w:val="single" w:sz="4" w:space="0" w:color="auto"/>
            </w:tcBorders>
            <w:shd w:val="clear" w:color="auto" w:fill="FFFFFF"/>
            <w:vAlign w:val="center"/>
          </w:tcPr>
          <w:p w14:paraId="428DD410"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560D4FB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466,552,772.54</w:t>
            </w:r>
          </w:p>
        </w:tc>
        <w:tc>
          <w:tcPr>
            <w:tcW w:w="1843" w:type="dxa"/>
            <w:tcBorders>
              <w:top w:val="single" w:sz="4" w:space="0" w:color="auto"/>
              <w:left w:val="single" w:sz="4" w:space="0" w:color="auto"/>
            </w:tcBorders>
            <w:shd w:val="clear" w:color="auto" w:fill="FFFFFF"/>
            <w:vAlign w:val="center"/>
          </w:tcPr>
          <w:p w14:paraId="57B7FA8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-497,752,940.30</w:t>
            </w:r>
          </w:p>
        </w:tc>
        <w:tc>
          <w:tcPr>
            <w:tcW w:w="1898" w:type="dxa"/>
            <w:tcBorders>
              <w:top w:val="single" w:sz="4" w:space="0" w:color="auto"/>
              <w:left w:val="single" w:sz="4" w:space="0" w:color="auto"/>
            </w:tcBorders>
            <w:shd w:val="clear" w:color="auto" w:fill="FFFFFF"/>
            <w:vAlign w:val="center"/>
          </w:tcPr>
          <w:p w14:paraId="48128E6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-31,200,167.76</w:t>
            </w:r>
          </w:p>
        </w:tc>
      </w:tr>
      <w:tr w:rsidR="00967461" w:rsidRPr="00967461" w14:paraId="4DF2BDFA" w14:textId="77777777" w:rsidTr="00EE302D">
        <w:trPr>
          <w:trHeight w:hRule="exact" w:val="331"/>
          <w:jc w:val="center"/>
        </w:trPr>
        <w:tc>
          <w:tcPr>
            <w:tcW w:w="2635" w:type="dxa"/>
            <w:tcBorders>
              <w:top w:val="single" w:sz="4" w:space="0" w:color="auto"/>
            </w:tcBorders>
            <w:shd w:val="clear" w:color="auto" w:fill="FFFFFF"/>
            <w:vAlign w:val="center"/>
          </w:tcPr>
          <w:p w14:paraId="52E82D72"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30244E8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348,597,635.93</w:t>
            </w:r>
          </w:p>
        </w:tc>
        <w:tc>
          <w:tcPr>
            <w:tcW w:w="1843" w:type="dxa"/>
            <w:tcBorders>
              <w:top w:val="single" w:sz="4" w:space="0" w:color="auto"/>
              <w:left w:val="single" w:sz="4" w:space="0" w:color="auto"/>
            </w:tcBorders>
            <w:shd w:val="clear" w:color="auto" w:fill="FFFFFF"/>
            <w:vAlign w:val="center"/>
          </w:tcPr>
          <w:p w14:paraId="7BE62C6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-283,130,814.67</w:t>
            </w:r>
          </w:p>
        </w:tc>
        <w:tc>
          <w:tcPr>
            <w:tcW w:w="1898" w:type="dxa"/>
            <w:tcBorders>
              <w:top w:val="single" w:sz="4" w:space="0" w:color="auto"/>
              <w:left w:val="single" w:sz="4" w:space="0" w:color="auto"/>
            </w:tcBorders>
            <w:shd w:val="clear" w:color="auto" w:fill="FFFFFF"/>
            <w:vAlign w:val="center"/>
          </w:tcPr>
          <w:p w14:paraId="484303B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65,466,821.26</w:t>
            </w:r>
          </w:p>
        </w:tc>
      </w:tr>
      <w:tr w:rsidR="00967461" w:rsidRPr="00967461" w14:paraId="0494211F" w14:textId="77777777" w:rsidTr="00EE302D">
        <w:trPr>
          <w:trHeight w:hRule="exact" w:val="331"/>
          <w:jc w:val="center"/>
        </w:trPr>
        <w:tc>
          <w:tcPr>
            <w:tcW w:w="2635" w:type="dxa"/>
            <w:tcBorders>
              <w:top w:val="single" w:sz="4" w:space="0" w:color="auto"/>
            </w:tcBorders>
            <w:shd w:val="clear" w:color="auto" w:fill="FFFFFF"/>
            <w:vAlign w:val="center"/>
          </w:tcPr>
          <w:p w14:paraId="746EFDA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少数股东损益</w:t>
            </w:r>
          </w:p>
        </w:tc>
        <w:tc>
          <w:tcPr>
            <w:tcW w:w="1842" w:type="dxa"/>
            <w:tcBorders>
              <w:top w:val="single" w:sz="4" w:space="0" w:color="auto"/>
              <w:left w:val="single" w:sz="4" w:space="0" w:color="auto"/>
            </w:tcBorders>
            <w:shd w:val="clear" w:color="auto" w:fill="FFFFFF"/>
            <w:vAlign w:val="center"/>
          </w:tcPr>
          <w:p w14:paraId="6104F33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117,955,136.61</w:t>
            </w:r>
          </w:p>
        </w:tc>
        <w:tc>
          <w:tcPr>
            <w:tcW w:w="1843" w:type="dxa"/>
            <w:tcBorders>
              <w:top w:val="single" w:sz="4" w:space="0" w:color="auto"/>
              <w:left w:val="single" w:sz="4" w:space="0" w:color="auto"/>
            </w:tcBorders>
            <w:shd w:val="clear" w:color="auto" w:fill="FFFFFF"/>
            <w:vAlign w:val="center"/>
          </w:tcPr>
          <w:p w14:paraId="15F343D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-214,622,125.63</w:t>
            </w:r>
          </w:p>
        </w:tc>
        <w:tc>
          <w:tcPr>
            <w:tcW w:w="1898" w:type="dxa"/>
            <w:tcBorders>
              <w:top w:val="single" w:sz="4" w:space="0" w:color="auto"/>
              <w:left w:val="single" w:sz="4" w:space="0" w:color="auto"/>
            </w:tcBorders>
            <w:shd w:val="clear" w:color="auto" w:fill="FFFFFF"/>
            <w:vAlign w:val="center"/>
          </w:tcPr>
          <w:p w14:paraId="307E9E8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-96,666,989.02</w:t>
            </w:r>
          </w:p>
        </w:tc>
      </w:tr>
      <w:tr w:rsidR="00967461" w:rsidRPr="00967461" w14:paraId="3E1E9651" w14:textId="77777777" w:rsidTr="00EE302D">
        <w:trPr>
          <w:trHeight w:hRule="exact" w:val="331"/>
          <w:jc w:val="center"/>
        </w:trPr>
        <w:tc>
          <w:tcPr>
            <w:tcW w:w="2635" w:type="dxa"/>
            <w:tcBorders>
              <w:top w:val="single" w:sz="4" w:space="0" w:color="auto"/>
            </w:tcBorders>
            <w:shd w:val="clear" w:color="auto" w:fill="FFFFFF"/>
            <w:vAlign w:val="center"/>
          </w:tcPr>
          <w:p w14:paraId="41C75CB5"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tcBorders>
            <w:shd w:val="clear" w:color="auto" w:fill="FFFFFF"/>
            <w:vAlign w:val="center"/>
          </w:tcPr>
          <w:p w14:paraId="183C594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5E3ADF1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138DB32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4016920C"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36796F47"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6BAEC61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1,769,747,512.94</w:t>
            </w:r>
          </w:p>
        </w:tc>
        <w:tc>
          <w:tcPr>
            <w:tcW w:w="1843" w:type="dxa"/>
            <w:tcBorders>
              <w:top w:val="single" w:sz="4" w:space="0" w:color="auto"/>
              <w:left w:val="single" w:sz="4" w:space="0" w:color="auto"/>
              <w:bottom w:val="single" w:sz="4" w:space="0" w:color="auto"/>
            </w:tcBorders>
            <w:shd w:val="clear" w:color="auto" w:fill="FFFFFF"/>
            <w:vAlign w:val="center"/>
          </w:tcPr>
          <w:p w14:paraId="2AF15AC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-309,541,616.55</w:t>
            </w:r>
          </w:p>
        </w:tc>
        <w:tc>
          <w:tcPr>
            <w:tcW w:w="1898" w:type="dxa"/>
            <w:tcBorders>
              <w:top w:val="single" w:sz="4" w:space="0" w:color="auto"/>
              <w:left w:val="single" w:sz="4" w:space="0" w:color="auto"/>
              <w:bottom w:val="single" w:sz="4" w:space="0" w:color="auto"/>
            </w:tcBorders>
            <w:shd w:val="clear" w:color="auto" w:fill="FFFFFF"/>
            <w:vAlign w:val="center"/>
          </w:tcPr>
          <w:p w14:paraId="0833A39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1,460,205,896.39</w:t>
            </w:r>
          </w:p>
        </w:tc>
      </w:tr>
    </w:tbl>
    <w:p w14:paraId="3CED9BD2" w14:textId="77777777" w:rsidR="00967461" w:rsidRPr="00967461" w:rsidRDefault="00967461" w:rsidP="00967461">
      <w:pPr>
        <w:pStyle w:val="Bodytext10"/>
        <w:spacing w:line="446" w:lineRule="exact"/>
        <w:ind w:firstLine="0"/>
        <w:jc w:val="both"/>
        <w:rPr>
          <w:rFonts w:cs="Arial"/>
          <w:snapToGrid w:val="0"/>
          <w:color w:val="000000"/>
          <w:kern w:val="0"/>
          <w:sz w:val="24"/>
          <w:szCs w:val="24"/>
          <w:lang w:val="en-US" w:eastAsia="zh-CN" w:bidi="ar-SA"/>
        </w:rPr>
      </w:pPr>
    </w:p>
    <w:p w14:paraId="027F8961" w14:textId="77777777" w:rsidR="00967461" w:rsidRPr="00967461" w:rsidRDefault="00967461" w:rsidP="00967461">
      <w:pPr>
        <w:pStyle w:val="Bodytext10"/>
        <w:spacing w:line="360" w:lineRule="auto"/>
        <w:ind w:firstLine="499"/>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2018</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2E7821F5" w14:textId="77777777" w:rsidTr="00EE302D">
        <w:trPr>
          <w:trHeight w:hRule="exact" w:val="586"/>
          <w:jc w:val="center"/>
        </w:trPr>
        <w:tc>
          <w:tcPr>
            <w:tcW w:w="2635" w:type="dxa"/>
            <w:tcBorders>
              <w:top w:val="single" w:sz="4" w:space="0" w:color="auto"/>
            </w:tcBorders>
            <w:shd w:val="clear" w:color="auto" w:fill="FFFFFF"/>
            <w:vAlign w:val="center"/>
          </w:tcPr>
          <w:p w14:paraId="71C609A7" w14:textId="77777777" w:rsidR="00967461" w:rsidRPr="00967461" w:rsidRDefault="00967461" w:rsidP="00EE302D">
            <w:pPr>
              <w:pStyle w:val="Other10"/>
              <w:spacing w:line="302" w:lineRule="exact"/>
              <w:ind w:firstLine="280"/>
              <w:jc w:val="center"/>
              <w:rPr>
                <w:color w:val="000000"/>
                <w:sz w:val="17"/>
                <w:szCs w:val="17"/>
              </w:rPr>
            </w:pPr>
            <w:bookmarkStart w:id="5" w:name="_Hlk131461777"/>
            <w:r w:rsidRPr="00967461">
              <w:rPr>
                <w:color w:val="000000"/>
                <w:sz w:val="17"/>
                <w:szCs w:val="17"/>
              </w:rPr>
              <w:t>受影响的各个比较期间报表</w:t>
            </w:r>
          </w:p>
          <w:p w14:paraId="556D4D72"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5D40F00B"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1F45C9D6"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535CE989"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5B2A0847" w14:textId="77777777" w:rsidTr="00EE302D">
        <w:trPr>
          <w:trHeight w:hRule="exact" w:val="336"/>
          <w:jc w:val="center"/>
        </w:trPr>
        <w:tc>
          <w:tcPr>
            <w:tcW w:w="2635" w:type="dxa"/>
            <w:tcBorders>
              <w:top w:val="single" w:sz="4" w:space="0" w:color="auto"/>
            </w:tcBorders>
            <w:shd w:val="clear" w:color="auto" w:fill="FFFFFF"/>
            <w:vAlign w:val="center"/>
          </w:tcPr>
          <w:p w14:paraId="51BB9124"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23BBE37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7A1196A7"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0FCD89BE"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1D407CF5" w14:textId="77777777" w:rsidTr="00EE302D">
        <w:trPr>
          <w:trHeight w:hRule="exact" w:val="336"/>
          <w:jc w:val="center"/>
        </w:trPr>
        <w:tc>
          <w:tcPr>
            <w:tcW w:w="2635" w:type="dxa"/>
            <w:tcBorders>
              <w:top w:val="single" w:sz="4" w:space="0" w:color="auto"/>
            </w:tcBorders>
            <w:shd w:val="clear" w:color="auto" w:fill="FFFFFF"/>
            <w:vAlign w:val="center"/>
          </w:tcPr>
          <w:p w14:paraId="768C65DB"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其他流动负债</w:t>
            </w:r>
          </w:p>
        </w:tc>
        <w:tc>
          <w:tcPr>
            <w:tcW w:w="1842" w:type="dxa"/>
            <w:tcBorders>
              <w:top w:val="single" w:sz="4" w:space="0" w:color="auto"/>
              <w:left w:val="single" w:sz="4" w:space="0" w:color="auto"/>
            </w:tcBorders>
            <w:shd w:val="clear" w:color="auto" w:fill="FFFFFF"/>
            <w:vAlign w:val="center"/>
          </w:tcPr>
          <w:p w14:paraId="032C692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41,229,224.75</w:t>
            </w:r>
          </w:p>
        </w:tc>
        <w:tc>
          <w:tcPr>
            <w:tcW w:w="1843" w:type="dxa"/>
            <w:tcBorders>
              <w:top w:val="single" w:sz="4" w:space="0" w:color="auto"/>
              <w:left w:val="single" w:sz="4" w:space="0" w:color="auto"/>
            </w:tcBorders>
            <w:shd w:val="clear" w:color="auto" w:fill="FFFFFF"/>
            <w:vAlign w:val="center"/>
          </w:tcPr>
          <w:p w14:paraId="59CA30D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958,621,001.73</w:t>
            </w:r>
          </w:p>
        </w:tc>
        <w:tc>
          <w:tcPr>
            <w:tcW w:w="1898" w:type="dxa"/>
            <w:tcBorders>
              <w:top w:val="single" w:sz="4" w:space="0" w:color="auto"/>
              <w:left w:val="single" w:sz="4" w:space="0" w:color="auto"/>
            </w:tcBorders>
            <w:shd w:val="clear" w:color="auto" w:fill="FFFFFF"/>
            <w:vAlign w:val="center"/>
          </w:tcPr>
          <w:p w14:paraId="3CBF983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999,850,226.48</w:t>
            </w:r>
          </w:p>
        </w:tc>
      </w:tr>
      <w:tr w:rsidR="00967461" w:rsidRPr="00967461" w14:paraId="1FC25347" w14:textId="77777777" w:rsidTr="00EE302D">
        <w:trPr>
          <w:trHeight w:hRule="exact" w:val="336"/>
          <w:jc w:val="center"/>
        </w:trPr>
        <w:tc>
          <w:tcPr>
            <w:tcW w:w="2635" w:type="dxa"/>
            <w:tcBorders>
              <w:top w:val="single" w:sz="4" w:space="0" w:color="auto"/>
            </w:tcBorders>
            <w:shd w:val="clear" w:color="auto" w:fill="FFFFFF"/>
            <w:vAlign w:val="center"/>
          </w:tcPr>
          <w:p w14:paraId="4E06953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少数股东权益</w:t>
            </w:r>
          </w:p>
        </w:tc>
        <w:tc>
          <w:tcPr>
            <w:tcW w:w="1842" w:type="dxa"/>
            <w:tcBorders>
              <w:top w:val="single" w:sz="4" w:space="0" w:color="auto"/>
              <w:left w:val="single" w:sz="4" w:space="0" w:color="auto"/>
            </w:tcBorders>
            <w:shd w:val="clear" w:color="auto" w:fill="FFFFFF"/>
            <w:vAlign w:val="center"/>
          </w:tcPr>
          <w:p w14:paraId="6D96A95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194,144,851.45</w:t>
            </w:r>
          </w:p>
        </w:tc>
        <w:tc>
          <w:tcPr>
            <w:tcW w:w="1843" w:type="dxa"/>
            <w:tcBorders>
              <w:top w:val="single" w:sz="4" w:space="0" w:color="auto"/>
              <w:left w:val="single" w:sz="4" w:space="0" w:color="auto"/>
            </w:tcBorders>
            <w:shd w:val="clear" w:color="auto" w:fill="FFFFFF"/>
            <w:vAlign w:val="center"/>
          </w:tcPr>
          <w:p w14:paraId="47EAF99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-492,740,467.29</w:t>
            </w:r>
          </w:p>
        </w:tc>
        <w:tc>
          <w:tcPr>
            <w:tcW w:w="1898" w:type="dxa"/>
            <w:tcBorders>
              <w:top w:val="single" w:sz="4" w:space="0" w:color="auto"/>
              <w:left w:val="single" w:sz="4" w:space="0" w:color="auto"/>
            </w:tcBorders>
            <w:shd w:val="clear" w:color="auto" w:fill="FFFFFF"/>
            <w:vAlign w:val="center"/>
          </w:tcPr>
          <w:p w14:paraId="1C77173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-298,595,615.84</w:t>
            </w:r>
          </w:p>
        </w:tc>
      </w:tr>
      <w:tr w:rsidR="00967461" w:rsidRPr="00967461" w14:paraId="5D4271F5" w14:textId="77777777" w:rsidTr="00EE302D">
        <w:trPr>
          <w:trHeight w:hRule="exact" w:val="331"/>
          <w:jc w:val="center"/>
        </w:trPr>
        <w:tc>
          <w:tcPr>
            <w:tcW w:w="2635" w:type="dxa"/>
            <w:tcBorders>
              <w:top w:val="single" w:sz="4" w:space="0" w:color="auto"/>
            </w:tcBorders>
            <w:shd w:val="clear" w:color="auto" w:fill="FFFFFF"/>
            <w:vAlign w:val="center"/>
          </w:tcPr>
          <w:p w14:paraId="7D018A67"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3F2799C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6D43A45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57045BC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5A6CDF32" w14:textId="77777777" w:rsidTr="00EE302D">
        <w:trPr>
          <w:trHeight w:hRule="exact" w:val="331"/>
          <w:jc w:val="center"/>
        </w:trPr>
        <w:tc>
          <w:tcPr>
            <w:tcW w:w="2635" w:type="dxa"/>
            <w:tcBorders>
              <w:top w:val="single" w:sz="4" w:space="0" w:color="auto"/>
            </w:tcBorders>
            <w:shd w:val="clear" w:color="auto" w:fill="FFFFFF"/>
            <w:vAlign w:val="center"/>
          </w:tcPr>
          <w:p w14:paraId="591A9D78"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营业收入</w:t>
            </w:r>
          </w:p>
        </w:tc>
        <w:tc>
          <w:tcPr>
            <w:tcW w:w="1842" w:type="dxa"/>
            <w:tcBorders>
              <w:top w:val="single" w:sz="4" w:space="0" w:color="auto"/>
              <w:left w:val="single" w:sz="4" w:space="0" w:color="auto"/>
            </w:tcBorders>
            <w:shd w:val="clear" w:color="auto" w:fill="FFFFFF"/>
            <w:vAlign w:val="center"/>
          </w:tcPr>
          <w:p w14:paraId="6D17D9C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15,069,554,852.15</w:t>
            </w:r>
          </w:p>
        </w:tc>
        <w:tc>
          <w:tcPr>
            <w:tcW w:w="1843" w:type="dxa"/>
            <w:tcBorders>
              <w:top w:val="single" w:sz="4" w:space="0" w:color="auto"/>
              <w:left w:val="single" w:sz="4" w:space="0" w:color="auto"/>
            </w:tcBorders>
            <w:shd w:val="clear" w:color="auto" w:fill="FFFFFF"/>
            <w:vAlign w:val="center"/>
          </w:tcPr>
          <w:p w14:paraId="470AE2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-268,283,186.09</w:t>
            </w:r>
          </w:p>
        </w:tc>
        <w:tc>
          <w:tcPr>
            <w:tcW w:w="1898" w:type="dxa"/>
            <w:tcBorders>
              <w:top w:val="single" w:sz="4" w:space="0" w:color="auto"/>
              <w:left w:val="single" w:sz="4" w:space="0" w:color="auto"/>
            </w:tcBorders>
            <w:shd w:val="clear" w:color="auto" w:fill="FFFFFF"/>
            <w:vAlign w:val="center"/>
          </w:tcPr>
          <w:p w14:paraId="078D7FC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14,801,271,666.06</w:t>
            </w:r>
          </w:p>
        </w:tc>
      </w:tr>
      <w:tr w:rsidR="00967461" w:rsidRPr="00967461" w14:paraId="0CD2A8EC" w14:textId="77777777" w:rsidTr="00EE302D">
        <w:trPr>
          <w:trHeight w:hRule="exact" w:val="331"/>
          <w:jc w:val="center"/>
        </w:trPr>
        <w:tc>
          <w:tcPr>
            <w:tcW w:w="2635" w:type="dxa"/>
            <w:tcBorders>
              <w:top w:val="single" w:sz="4" w:space="0" w:color="auto"/>
            </w:tcBorders>
            <w:shd w:val="clear" w:color="auto" w:fill="FFFFFF"/>
            <w:vAlign w:val="center"/>
          </w:tcPr>
          <w:p w14:paraId="1DBB6772"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842" w:type="dxa"/>
            <w:tcBorders>
              <w:top w:val="single" w:sz="4" w:space="0" w:color="auto"/>
              <w:left w:val="single" w:sz="4" w:space="0" w:color="auto"/>
            </w:tcBorders>
            <w:shd w:val="clear" w:color="auto" w:fill="FFFFFF"/>
            <w:vAlign w:val="center"/>
          </w:tcPr>
          <w:p w14:paraId="397C319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12,054,017,873.86</w:t>
            </w:r>
          </w:p>
        </w:tc>
        <w:tc>
          <w:tcPr>
            <w:tcW w:w="1843" w:type="dxa"/>
            <w:tcBorders>
              <w:top w:val="single" w:sz="4" w:space="0" w:color="auto"/>
              <w:left w:val="single" w:sz="4" w:space="0" w:color="auto"/>
            </w:tcBorders>
            <w:shd w:val="clear" w:color="auto" w:fill="FFFFFF"/>
            <w:vAlign w:val="center"/>
          </w:tcPr>
          <w:p w14:paraId="6C86678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26,058,002.26</w:t>
            </w:r>
          </w:p>
        </w:tc>
        <w:tc>
          <w:tcPr>
            <w:tcW w:w="1898" w:type="dxa"/>
            <w:tcBorders>
              <w:top w:val="single" w:sz="4" w:space="0" w:color="auto"/>
              <w:left w:val="single" w:sz="4" w:space="0" w:color="auto"/>
            </w:tcBorders>
            <w:shd w:val="clear" w:color="auto" w:fill="FFFFFF"/>
            <w:vAlign w:val="center"/>
          </w:tcPr>
          <w:p w14:paraId="7B3DCC4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12,080,075,876.12</w:t>
            </w:r>
          </w:p>
        </w:tc>
      </w:tr>
      <w:tr w:rsidR="00967461" w:rsidRPr="00967461" w14:paraId="2B615044" w14:textId="77777777" w:rsidTr="00EE302D">
        <w:trPr>
          <w:trHeight w:hRule="exact" w:val="331"/>
          <w:jc w:val="center"/>
        </w:trPr>
        <w:tc>
          <w:tcPr>
            <w:tcW w:w="2635" w:type="dxa"/>
            <w:tcBorders>
              <w:top w:val="single" w:sz="4" w:space="0" w:color="auto"/>
            </w:tcBorders>
            <w:shd w:val="clear" w:color="auto" w:fill="FFFFFF"/>
            <w:vAlign w:val="center"/>
          </w:tcPr>
          <w:p w14:paraId="08A71338"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营业外收入</w:t>
            </w:r>
          </w:p>
        </w:tc>
        <w:tc>
          <w:tcPr>
            <w:tcW w:w="1842" w:type="dxa"/>
            <w:tcBorders>
              <w:top w:val="single" w:sz="4" w:space="0" w:color="auto"/>
              <w:left w:val="single" w:sz="4" w:space="0" w:color="auto"/>
            </w:tcBorders>
            <w:shd w:val="clear" w:color="auto" w:fill="FFFFFF"/>
            <w:vAlign w:val="center"/>
          </w:tcPr>
          <w:p w14:paraId="0C9908A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11,129,784.63</w:t>
            </w:r>
          </w:p>
        </w:tc>
        <w:tc>
          <w:tcPr>
            <w:tcW w:w="1843" w:type="dxa"/>
            <w:tcBorders>
              <w:top w:val="single" w:sz="4" w:space="0" w:color="auto"/>
              <w:left w:val="single" w:sz="4" w:space="0" w:color="auto"/>
            </w:tcBorders>
            <w:shd w:val="clear" w:color="auto" w:fill="FFFFFF"/>
            <w:vAlign w:val="center"/>
          </w:tcPr>
          <w:p w14:paraId="65ED1F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-911,858.62</w:t>
            </w:r>
          </w:p>
        </w:tc>
        <w:tc>
          <w:tcPr>
            <w:tcW w:w="1898" w:type="dxa"/>
            <w:tcBorders>
              <w:top w:val="single" w:sz="4" w:space="0" w:color="auto"/>
              <w:left w:val="single" w:sz="4" w:space="0" w:color="auto"/>
            </w:tcBorders>
            <w:shd w:val="clear" w:color="auto" w:fill="FFFFFF"/>
            <w:vAlign w:val="center"/>
          </w:tcPr>
          <w:p w14:paraId="54CBD96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10,217,926.01</w:t>
            </w:r>
          </w:p>
        </w:tc>
      </w:tr>
      <w:tr w:rsidR="00967461" w:rsidRPr="00967461" w14:paraId="6DCFCE15" w14:textId="77777777" w:rsidTr="00EE302D">
        <w:trPr>
          <w:trHeight w:hRule="exact" w:val="331"/>
          <w:jc w:val="center"/>
        </w:trPr>
        <w:tc>
          <w:tcPr>
            <w:tcW w:w="2635" w:type="dxa"/>
            <w:tcBorders>
              <w:top w:val="single" w:sz="4" w:space="0" w:color="auto"/>
            </w:tcBorders>
            <w:shd w:val="clear" w:color="auto" w:fill="FFFFFF"/>
            <w:vAlign w:val="center"/>
          </w:tcPr>
          <w:p w14:paraId="4F510B7B"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73325229" w14:textId="21E9F020" w:rsidR="00967461" w:rsidRPr="00967461" w:rsidRDefault="00967461" w:rsidP="00EE302D">
            <w:pPr>
              <w:jc w:val="right"/>
              <w:textAlignment w:val="center"/>
              <w:rPr>
                <w:rFonts w:ascii="宋体" w:eastAsia="宋体" w:hAnsi="宋体"/>
                <w:sz w:val="17"/>
                <w:szCs w:val="17"/>
              </w:rPr>
            </w:pPr>
            <w:r>
              <w:rPr>
                <w:rFonts w:ascii="宋体" w:eastAsia="宋体" w:hAnsi="宋体"/>
                <w:sz w:val="17"/>
                <w:szCs w:val="17"/>
                <w:lang w:bidi="ar"/>
              </w:rPr>
              <w:t xml:space="preserve">      </w:t>
            </w:r>
            <w:r w:rsidRPr="00967461">
              <w:rPr>
                <w:rFonts w:ascii="宋体" w:eastAsia="宋体" w:hAnsi="宋体"/>
                <w:sz w:val="17"/>
                <w:szCs w:val="17"/>
                <w:lang w:bidi="ar"/>
              </w:rPr>
              <w:t xml:space="preserve">-324,529,554.24 </w:t>
            </w:r>
          </w:p>
        </w:tc>
        <w:tc>
          <w:tcPr>
            <w:tcW w:w="1843" w:type="dxa"/>
            <w:tcBorders>
              <w:top w:val="single" w:sz="4" w:space="0" w:color="auto"/>
              <w:left w:val="single" w:sz="4" w:space="0" w:color="auto"/>
            </w:tcBorders>
            <w:shd w:val="clear" w:color="auto" w:fill="FFFFFF"/>
            <w:vAlign w:val="center"/>
          </w:tcPr>
          <w:p w14:paraId="6C86DEF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-295,253,046.97 </w:t>
            </w:r>
          </w:p>
        </w:tc>
        <w:tc>
          <w:tcPr>
            <w:tcW w:w="1898" w:type="dxa"/>
            <w:tcBorders>
              <w:top w:val="single" w:sz="4" w:space="0" w:color="auto"/>
              <w:left w:val="single" w:sz="4" w:space="0" w:color="auto"/>
            </w:tcBorders>
            <w:shd w:val="clear" w:color="auto" w:fill="FFFFFF"/>
            <w:vAlign w:val="center"/>
          </w:tcPr>
          <w:p w14:paraId="0D255F9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-619,782,601.21 </w:t>
            </w:r>
          </w:p>
        </w:tc>
      </w:tr>
      <w:tr w:rsidR="00967461" w:rsidRPr="00967461" w14:paraId="371F2A61" w14:textId="77777777" w:rsidTr="00EE302D">
        <w:trPr>
          <w:trHeight w:hRule="exact" w:val="331"/>
          <w:jc w:val="center"/>
        </w:trPr>
        <w:tc>
          <w:tcPr>
            <w:tcW w:w="2635" w:type="dxa"/>
            <w:tcBorders>
              <w:top w:val="single" w:sz="4" w:space="0" w:color="auto"/>
            </w:tcBorders>
            <w:shd w:val="clear" w:color="auto" w:fill="FFFFFF"/>
            <w:vAlign w:val="center"/>
          </w:tcPr>
          <w:p w14:paraId="5821F35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29821AD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-335,244,905.12</w:t>
            </w:r>
          </w:p>
        </w:tc>
        <w:tc>
          <w:tcPr>
            <w:tcW w:w="1843" w:type="dxa"/>
            <w:tcBorders>
              <w:top w:val="single" w:sz="4" w:space="0" w:color="auto"/>
              <w:left w:val="single" w:sz="4" w:space="0" w:color="auto"/>
            </w:tcBorders>
            <w:shd w:val="clear" w:color="auto" w:fill="FFFFFF"/>
            <w:vAlign w:val="center"/>
          </w:tcPr>
          <w:p w14:paraId="7F4B8A3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-295,253,046.97</w:t>
            </w:r>
          </w:p>
        </w:tc>
        <w:tc>
          <w:tcPr>
            <w:tcW w:w="1898" w:type="dxa"/>
            <w:tcBorders>
              <w:top w:val="single" w:sz="4" w:space="0" w:color="auto"/>
              <w:left w:val="single" w:sz="4" w:space="0" w:color="auto"/>
            </w:tcBorders>
            <w:shd w:val="clear" w:color="auto" w:fill="FFFFFF"/>
            <w:vAlign w:val="center"/>
          </w:tcPr>
          <w:p w14:paraId="1001FBA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-630,497,952.09</w:t>
            </w:r>
          </w:p>
        </w:tc>
      </w:tr>
      <w:tr w:rsidR="00967461" w:rsidRPr="00967461" w14:paraId="283E908A" w14:textId="77777777" w:rsidTr="00EE302D">
        <w:trPr>
          <w:trHeight w:hRule="exact" w:val="331"/>
          <w:jc w:val="center"/>
        </w:trPr>
        <w:tc>
          <w:tcPr>
            <w:tcW w:w="2635" w:type="dxa"/>
            <w:tcBorders>
              <w:top w:val="single" w:sz="4" w:space="0" w:color="auto"/>
            </w:tcBorders>
            <w:shd w:val="clear" w:color="auto" w:fill="FFFFFF"/>
            <w:vAlign w:val="center"/>
          </w:tcPr>
          <w:p w14:paraId="41A98B6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2054CE4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-374,362,751.91</w:t>
            </w:r>
          </w:p>
        </w:tc>
        <w:tc>
          <w:tcPr>
            <w:tcW w:w="1843" w:type="dxa"/>
            <w:tcBorders>
              <w:top w:val="single" w:sz="4" w:space="0" w:color="auto"/>
              <w:left w:val="single" w:sz="4" w:space="0" w:color="auto"/>
            </w:tcBorders>
            <w:shd w:val="clear" w:color="auto" w:fill="FFFFFF"/>
            <w:vAlign w:val="center"/>
          </w:tcPr>
          <w:p w14:paraId="707B0D1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-156,338,917.89</w:t>
            </w:r>
          </w:p>
        </w:tc>
        <w:tc>
          <w:tcPr>
            <w:tcW w:w="1898" w:type="dxa"/>
            <w:tcBorders>
              <w:top w:val="single" w:sz="4" w:space="0" w:color="auto"/>
              <w:left w:val="single" w:sz="4" w:space="0" w:color="auto"/>
            </w:tcBorders>
            <w:shd w:val="clear" w:color="auto" w:fill="FFFFFF"/>
            <w:vAlign w:val="center"/>
          </w:tcPr>
          <w:p w14:paraId="3BB19F7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-530,701,669.80</w:t>
            </w:r>
          </w:p>
        </w:tc>
      </w:tr>
      <w:tr w:rsidR="00967461" w:rsidRPr="00967461" w14:paraId="132D9395" w14:textId="77777777" w:rsidTr="00EE302D">
        <w:trPr>
          <w:trHeight w:hRule="exact" w:val="331"/>
          <w:jc w:val="center"/>
        </w:trPr>
        <w:tc>
          <w:tcPr>
            <w:tcW w:w="2635" w:type="dxa"/>
            <w:tcBorders>
              <w:top w:val="single" w:sz="4" w:space="0" w:color="auto"/>
            </w:tcBorders>
            <w:shd w:val="clear" w:color="auto" w:fill="FFFFFF"/>
            <w:vAlign w:val="center"/>
          </w:tcPr>
          <w:p w14:paraId="033BB37C"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少数股东损益</w:t>
            </w:r>
          </w:p>
        </w:tc>
        <w:tc>
          <w:tcPr>
            <w:tcW w:w="1842" w:type="dxa"/>
            <w:tcBorders>
              <w:top w:val="single" w:sz="4" w:space="0" w:color="auto"/>
              <w:left w:val="single" w:sz="4" w:space="0" w:color="auto"/>
            </w:tcBorders>
            <w:shd w:val="clear" w:color="auto" w:fill="FFFFFF"/>
            <w:vAlign w:val="center"/>
          </w:tcPr>
          <w:p w14:paraId="24615C1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39,117,846.79</w:t>
            </w:r>
          </w:p>
        </w:tc>
        <w:tc>
          <w:tcPr>
            <w:tcW w:w="1843" w:type="dxa"/>
            <w:tcBorders>
              <w:top w:val="single" w:sz="4" w:space="0" w:color="auto"/>
              <w:left w:val="single" w:sz="4" w:space="0" w:color="auto"/>
            </w:tcBorders>
            <w:shd w:val="clear" w:color="auto" w:fill="FFFFFF"/>
            <w:vAlign w:val="center"/>
          </w:tcPr>
          <w:p w14:paraId="461783A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-138,914,129.08</w:t>
            </w:r>
          </w:p>
        </w:tc>
        <w:tc>
          <w:tcPr>
            <w:tcW w:w="1898" w:type="dxa"/>
            <w:tcBorders>
              <w:top w:val="single" w:sz="4" w:space="0" w:color="auto"/>
              <w:left w:val="single" w:sz="4" w:space="0" w:color="auto"/>
            </w:tcBorders>
            <w:shd w:val="clear" w:color="auto" w:fill="FFFFFF"/>
            <w:vAlign w:val="center"/>
          </w:tcPr>
          <w:p w14:paraId="0F217FB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-99,796,282.29</w:t>
            </w:r>
          </w:p>
        </w:tc>
      </w:tr>
      <w:tr w:rsidR="00967461" w:rsidRPr="00967461" w14:paraId="60C61526"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56837785"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bottom w:val="single" w:sz="4" w:space="0" w:color="auto"/>
            </w:tcBorders>
            <w:shd w:val="clear" w:color="auto" w:fill="FFFFFF"/>
            <w:vAlign w:val="center"/>
          </w:tcPr>
          <w:p w14:paraId="0C8D129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1B0F0C9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bottom w:val="single" w:sz="4" w:space="0" w:color="auto"/>
            </w:tcBorders>
            <w:shd w:val="clear" w:color="auto" w:fill="FFFFFF"/>
            <w:vAlign w:val="center"/>
          </w:tcPr>
          <w:p w14:paraId="2B61C4C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590C6AEF"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2A26485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19B317C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1,305,977,150.11</w:t>
            </w:r>
          </w:p>
        </w:tc>
        <w:tc>
          <w:tcPr>
            <w:tcW w:w="1843" w:type="dxa"/>
            <w:tcBorders>
              <w:top w:val="single" w:sz="4" w:space="0" w:color="auto"/>
              <w:left w:val="single" w:sz="4" w:space="0" w:color="auto"/>
              <w:bottom w:val="single" w:sz="4" w:space="0" w:color="auto"/>
            </w:tcBorders>
            <w:shd w:val="clear" w:color="auto" w:fill="FFFFFF"/>
            <w:vAlign w:val="center"/>
          </w:tcPr>
          <w:p w14:paraId="06A376F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-465,880,534.44</w:t>
            </w:r>
          </w:p>
        </w:tc>
        <w:tc>
          <w:tcPr>
            <w:tcW w:w="1898" w:type="dxa"/>
            <w:tcBorders>
              <w:top w:val="single" w:sz="4" w:space="0" w:color="auto"/>
              <w:left w:val="single" w:sz="4" w:space="0" w:color="auto"/>
              <w:bottom w:val="single" w:sz="4" w:space="0" w:color="auto"/>
            </w:tcBorders>
            <w:shd w:val="clear" w:color="auto" w:fill="FFFFFF"/>
            <w:vAlign w:val="center"/>
          </w:tcPr>
          <w:p w14:paraId="4817EDD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840,096,615.67</w:t>
            </w:r>
          </w:p>
        </w:tc>
      </w:tr>
      <w:bookmarkEnd w:id="5"/>
    </w:tbl>
    <w:p w14:paraId="4C6F2924" w14:textId="77777777" w:rsidR="00967461" w:rsidRPr="00967461" w:rsidRDefault="00967461" w:rsidP="00967461">
      <w:pPr>
        <w:pStyle w:val="Bodytext10"/>
        <w:spacing w:line="446" w:lineRule="exact"/>
        <w:ind w:firstLine="500"/>
        <w:jc w:val="both"/>
        <w:rPr>
          <w:rFonts w:cs="Arial"/>
          <w:snapToGrid w:val="0"/>
          <w:color w:val="000000"/>
          <w:kern w:val="0"/>
          <w:sz w:val="24"/>
          <w:szCs w:val="24"/>
          <w:lang w:val="en-US" w:eastAsia="zh-CN" w:bidi="ar-SA"/>
        </w:rPr>
      </w:pPr>
    </w:p>
    <w:p w14:paraId="5F8A2D82" w14:textId="77777777" w:rsidR="00967461" w:rsidRPr="00967461" w:rsidRDefault="00967461" w:rsidP="00967461">
      <w:pPr>
        <w:pStyle w:val="Bodytext10"/>
        <w:spacing w:line="446" w:lineRule="exact"/>
        <w:ind w:firstLine="500"/>
        <w:jc w:val="both"/>
        <w:rPr>
          <w:rFonts w:cs="Arial"/>
          <w:snapToGrid w:val="0"/>
          <w:color w:val="000000"/>
          <w:kern w:val="0"/>
          <w:sz w:val="24"/>
          <w:szCs w:val="24"/>
          <w:lang w:val="en-US" w:eastAsia="zh-CN" w:bidi="ar-SA"/>
        </w:rPr>
      </w:pPr>
      <w:bookmarkStart w:id="6" w:name="_Hlk131280492"/>
      <w:r w:rsidRPr="00967461">
        <w:rPr>
          <w:rFonts w:cs="Arial" w:hint="eastAsia"/>
          <w:snapToGrid w:val="0"/>
          <w:color w:val="000000"/>
          <w:kern w:val="0"/>
          <w:sz w:val="24"/>
          <w:szCs w:val="24"/>
          <w:lang w:val="en-US" w:eastAsia="zh-CN" w:bidi="ar-SA"/>
        </w:rPr>
        <w:lastRenderedPageBreak/>
        <w:t>对</w:t>
      </w:r>
      <w:r w:rsidRPr="00967461">
        <w:rPr>
          <w:rFonts w:cs="Arial"/>
          <w:snapToGrid w:val="0"/>
          <w:color w:val="000000"/>
          <w:kern w:val="0"/>
          <w:sz w:val="24"/>
          <w:szCs w:val="24"/>
          <w:lang w:val="en-US" w:eastAsia="zh-CN" w:bidi="ar-SA"/>
        </w:rPr>
        <w:t>2019</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34F68E1E" w14:textId="77777777" w:rsidTr="00EE302D">
        <w:trPr>
          <w:trHeight w:hRule="exact" w:val="586"/>
          <w:jc w:val="center"/>
        </w:trPr>
        <w:tc>
          <w:tcPr>
            <w:tcW w:w="2635" w:type="dxa"/>
            <w:tcBorders>
              <w:top w:val="single" w:sz="4" w:space="0" w:color="auto"/>
            </w:tcBorders>
            <w:shd w:val="clear" w:color="auto" w:fill="FFFFFF"/>
            <w:vAlign w:val="center"/>
          </w:tcPr>
          <w:bookmarkEnd w:id="6"/>
          <w:p w14:paraId="5300AF7D"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5C593164"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64C8A124"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7FDADDC8"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0A7B3D97"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761F5DA0" w14:textId="77777777" w:rsidTr="00EE302D">
        <w:trPr>
          <w:trHeight w:hRule="exact" w:val="336"/>
          <w:jc w:val="center"/>
        </w:trPr>
        <w:tc>
          <w:tcPr>
            <w:tcW w:w="2635" w:type="dxa"/>
            <w:tcBorders>
              <w:top w:val="single" w:sz="4" w:space="0" w:color="auto"/>
            </w:tcBorders>
            <w:shd w:val="clear" w:color="auto" w:fill="FFFFFF"/>
            <w:vAlign w:val="center"/>
          </w:tcPr>
          <w:p w14:paraId="71B6DA94"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0EEC5D20"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1CBD43C2"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23DD269F"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5AC29067" w14:textId="77777777" w:rsidTr="00EE302D">
        <w:trPr>
          <w:trHeight w:hRule="exact" w:val="336"/>
          <w:jc w:val="center"/>
        </w:trPr>
        <w:tc>
          <w:tcPr>
            <w:tcW w:w="2635" w:type="dxa"/>
            <w:tcBorders>
              <w:top w:val="single" w:sz="4" w:space="0" w:color="auto"/>
            </w:tcBorders>
            <w:shd w:val="clear" w:color="auto" w:fill="FFFFFF"/>
            <w:vAlign w:val="center"/>
          </w:tcPr>
          <w:p w14:paraId="2C57C859"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其他流动负债</w:t>
            </w:r>
          </w:p>
        </w:tc>
        <w:tc>
          <w:tcPr>
            <w:tcW w:w="1842" w:type="dxa"/>
            <w:tcBorders>
              <w:top w:val="single" w:sz="4" w:space="0" w:color="auto"/>
              <w:left w:val="single" w:sz="4" w:space="0" w:color="auto"/>
            </w:tcBorders>
            <w:shd w:val="clear" w:color="auto" w:fill="FFFFFF"/>
            <w:vAlign w:val="center"/>
          </w:tcPr>
          <w:p w14:paraId="3EADD6A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34,787,732.15</w:t>
            </w:r>
          </w:p>
        </w:tc>
        <w:tc>
          <w:tcPr>
            <w:tcW w:w="1843" w:type="dxa"/>
            <w:tcBorders>
              <w:top w:val="single" w:sz="4" w:space="0" w:color="auto"/>
              <w:left w:val="single" w:sz="4" w:space="0" w:color="auto"/>
            </w:tcBorders>
            <w:shd w:val="clear" w:color="auto" w:fill="FFFFFF"/>
            <w:vAlign w:val="center"/>
          </w:tcPr>
          <w:p w14:paraId="2E11643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64,703,559.03</w:t>
            </w:r>
          </w:p>
        </w:tc>
        <w:tc>
          <w:tcPr>
            <w:tcW w:w="1898" w:type="dxa"/>
            <w:tcBorders>
              <w:top w:val="single" w:sz="4" w:space="0" w:color="auto"/>
              <w:left w:val="single" w:sz="4" w:space="0" w:color="auto"/>
            </w:tcBorders>
            <w:shd w:val="clear" w:color="auto" w:fill="FFFFFF"/>
            <w:vAlign w:val="center"/>
          </w:tcPr>
          <w:p w14:paraId="6C3F7D9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99,491,291.18</w:t>
            </w:r>
          </w:p>
        </w:tc>
      </w:tr>
      <w:tr w:rsidR="00967461" w:rsidRPr="00967461" w14:paraId="785BC362" w14:textId="77777777" w:rsidTr="00EE302D">
        <w:trPr>
          <w:trHeight w:hRule="exact" w:val="336"/>
          <w:jc w:val="center"/>
        </w:trPr>
        <w:tc>
          <w:tcPr>
            <w:tcW w:w="2635" w:type="dxa"/>
            <w:tcBorders>
              <w:top w:val="single" w:sz="4" w:space="0" w:color="auto"/>
            </w:tcBorders>
            <w:shd w:val="clear" w:color="auto" w:fill="FFFFFF"/>
            <w:vAlign w:val="center"/>
          </w:tcPr>
          <w:p w14:paraId="752AAB3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少数股东权益</w:t>
            </w:r>
          </w:p>
        </w:tc>
        <w:tc>
          <w:tcPr>
            <w:tcW w:w="1842" w:type="dxa"/>
            <w:tcBorders>
              <w:top w:val="single" w:sz="4" w:space="0" w:color="auto"/>
              <w:left w:val="single" w:sz="4" w:space="0" w:color="auto"/>
            </w:tcBorders>
            <w:shd w:val="clear" w:color="auto" w:fill="FFFFFF"/>
            <w:vAlign w:val="center"/>
          </w:tcPr>
          <w:p w14:paraId="00F82B9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-80,865,133.55</w:t>
            </w:r>
          </w:p>
        </w:tc>
        <w:tc>
          <w:tcPr>
            <w:tcW w:w="1843" w:type="dxa"/>
            <w:tcBorders>
              <w:top w:val="single" w:sz="4" w:space="0" w:color="auto"/>
              <w:left w:val="single" w:sz="4" w:space="0" w:color="auto"/>
            </w:tcBorders>
            <w:shd w:val="clear" w:color="auto" w:fill="FFFFFF"/>
            <w:vAlign w:val="center"/>
          </w:tcPr>
          <w:p w14:paraId="4BADE19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84,602,601.72</w:t>
            </w:r>
          </w:p>
        </w:tc>
        <w:tc>
          <w:tcPr>
            <w:tcW w:w="1898" w:type="dxa"/>
            <w:tcBorders>
              <w:top w:val="single" w:sz="4" w:space="0" w:color="auto"/>
              <w:left w:val="single" w:sz="4" w:space="0" w:color="auto"/>
            </w:tcBorders>
            <w:shd w:val="clear" w:color="auto" w:fill="FFFFFF"/>
            <w:vAlign w:val="center"/>
          </w:tcPr>
          <w:p w14:paraId="68B4BA4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3,737,468.17</w:t>
            </w:r>
          </w:p>
        </w:tc>
      </w:tr>
      <w:tr w:rsidR="00967461" w:rsidRPr="00967461" w14:paraId="53201CA0" w14:textId="77777777" w:rsidTr="00EE302D">
        <w:trPr>
          <w:trHeight w:hRule="exact" w:val="331"/>
          <w:jc w:val="center"/>
        </w:trPr>
        <w:tc>
          <w:tcPr>
            <w:tcW w:w="2635" w:type="dxa"/>
            <w:tcBorders>
              <w:top w:val="single" w:sz="4" w:space="0" w:color="auto"/>
            </w:tcBorders>
            <w:shd w:val="clear" w:color="auto" w:fill="FFFFFF"/>
            <w:vAlign w:val="center"/>
          </w:tcPr>
          <w:p w14:paraId="73637545"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4996BCD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36D7902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06C1C7F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7D9F22BC" w14:textId="77777777" w:rsidTr="00EE302D">
        <w:trPr>
          <w:trHeight w:hRule="exact" w:val="331"/>
          <w:jc w:val="center"/>
        </w:trPr>
        <w:tc>
          <w:tcPr>
            <w:tcW w:w="2635" w:type="dxa"/>
            <w:tcBorders>
              <w:top w:val="single" w:sz="4" w:space="0" w:color="auto"/>
            </w:tcBorders>
            <w:shd w:val="clear" w:color="auto" w:fill="FFFFFF"/>
            <w:vAlign w:val="center"/>
          </w:tcPr>
          <w:p w14:paraId="11F7092F"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营业收入</w:t>
            </w:r>
          </w:p>
        </w:tc>
        <w:tc>
          <w:tcPr>
            <w:tcW w:w="1842" w:type="dxa"/>
            <w:tcBorders>
              <w:top w:val="single" w:sz="4" w:space="0" w:color="auto"/>
              <w:left w:val="single" w:sz="4" w:space="0" w:color="auto"/>
            </w:tcBorders>
            <w:shd w:val="clear" w:color="auto" w:fill="FFFFFF"/>
            <w:vAlign w:val="center"/>
          </w:tcPr>
          <w:p w14:paraId="4D28087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10,034,068,892.66</w:t>
            </w:r>
          </w:p>
        </w:tc>
        <w:tc>
          <w:tcPr>
            <w:tcW w:w="1843" w:type="dxa"/>
            <w:tcBorders>
              <w:top w:val="single" w:sz="4" w:space="0" w:color="auto"/>
              <w:left w:val="single" w:sz="4" w:space="0" w:color="auto"/>
            </w:tcBorders>
            <w:shd w:val="clear" w:color="auto" w:fill="FFFFFF"/>
            <w:vAlign w:val="center"/>
          </w:tcPr>
          <w:p w14:paraId="13DAC15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-405,832,115.82</w:t>
            </w:r>
          </w:p>
        </w:tc>
        <w:tc>
          <w:tcPr>
            <w:tcW w:w="1898" w:type="dxa"/>
            <w:tcBorders>
              <w:top w:val="single" w:sz="4" w:space="0" w:color="auto"/>
              <w:left w:val="single" w:sz="4" w:space="0" w:color="auto"/>
            </w:tcBorders>
            <w:shd w:val="clear" w:color="auto" w:fill="FFFFFF"/>
            <w:vAlign w:val="center"/>
          </w:tcPr>
          <w:p w14:paraId="4A38BC5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9,628,236,776.84</w:t>
            </w:r>
          </w:p>
        </w:tc>
      </w:tr>
      <w:tr w:rsidR="00967461" w:rsidRPr="00967461" w14:paraId="517886F5" w14:textId="77777777" w:rsidTr="00EE302D">
        <w:trPr>
          <w:trHeight w:hRule="exact" w:val="331"/>
          <w:jc w:val="center"/>
        </w:trPr>
        <w:tc>
          <w:tcPr>
            <w:tcW w:w="2635" w:type="dxa"/>
            <w:tcBorders>
              <w:top w:val="single" w:sz="4" w:space="0" w:color="auto"/>
            </w:tcBorders>
            <w:shd w:val="clear" w:color="auto" w:fill="FFFFFF"/>
            <w:vAlign w:val="center"/>
          </w:tcPr>
          <w:p w14:paraId="5D04762A"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842" w:type="dxa"/>
            <w:tcBorders>
              <w:top w:val="single" w:sz="4" w:space="0" w:color="auto"/>
              <w:left w:val="single" w:sz="4" w:space="0" w:color="auto"/>
            </w:tcBorders>
            <w:shd w:val="clear" w:color="auto" w:fill="FFFFFF"/>
            <w:vAlign w:val="center"/>
          </w:tcPr>
          <w:p w14:paraId="0F360A7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8,322,404,204.32</w:t>
            </w:r>
          </w:p>
        </w:tc>
        <w:tc>
          <w:tcPr>
            <w:tcW w:w="1843" w:type="dxa"/>
            <w:tcBorders>
              <w:top w:val="single" w:sz="4" w:space="0" w:color="auto"/>
              <w:left w:val="single" w:sz="4" w:space="0" w:color="auto"/>
            </w:tcBorders>
            <w:shd w:val="clear" w:color="auto" w:fill="FFFFFF"/>
            <w:vAlign w:val="center"/>
          </w:tcPr>
          <w:p w14:paraId="273B5B1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33,675,623.11</w:t>
            </w:r>
          </w:p>
        </w:tc>
        <w:tc>
          <w:tcPr>
            <w:tcW w:w="1898" w:type="dxa"/>
            <w:tcBorders>
              <w:top w:val="single" w:sz="4" w:space="0" w:color="auto"/>
              <w:left w:val="single" w:sz="4" w:space="0" w:color="auto"/>
            </w:tcBorders>
            <w:shd w:val="clear" w:color="auto" w:fill="FFFFFF"/>
            <w:vAlign w:val="center"/>
          </w:tcPr>
          <w:p w14:paraId="2B21F9C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8,356,079,827.43</w:t>
            </w:r>
          </w:p>
        </w:tc>
      </w:tr>
      <w:tr w:rsidR="00967461" w:rsidRPr="00967461" w14:paraId="7FE0C755" w14:textId="77777777" w:rsidTr="00EE302D">
        <w:trPr>
          <w:trHeight w:hRule="exact" w:val="331"/>
          <w:jc w:val="center"/>
        </w:trPr>
        <w:tc>
          <w:tcPr>
            <w:tcW w:w="2635" w:type="dxa"/>
            <w:tcBorders>
              <w:top w:val="single" w:sz="4" w:space="0" w:color="auto"/>
            </w:tcBorders>
            <w:shd w:val="clear" w:color="auto" w:fill="FFFFFF"/>
            <w:vAlign w:val="center"/>
          </w:tcPr>
          <w:p w14:paraId="17DE5746"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47C6CBF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479,750,373.36</w:t>
            </w:r>
          </w:p>
        </w:tc>
        <w:tc>
          <w:tcPr>
            <w:tcW w:w="1843" w:type="dxa"/>
            <w:tcBorders>
              <w:top w:val="single" w:sz="4" w:space="0" w:color="auto"/>
              <w:left w:val="single" w:sz="4" w:space="0" w:color="auto"/>
            </w:tcBorders>
            <w:shd w:val="clear" w:color="auto" w:fill="FFFFFF"/>
            <w:vAlign w:val="center"/>
          </w:tcPr>
          <w:p w14:paraId="308C34D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702,931,731.08</w:t>
            </w:r>
          </w:p>
        </w:tc>
        <w:tc>
          <w:tcPr>
            <w:tcW w:w="1898" w:type="dxa"/>
            <w:tcBorders>
              <w:top w:val="single" w:sz="4" w:space="0" w:color="auto"/>
              <w:left w:val="single" w:sz="4" w:space="0" w:color="auto"/>
            </w:tcBorders>
            <w:shd w:val="clear" w:color="auto" w:fill="FFFFFF"/>
            <w:vAlign w:val="center"/>
          </w:tcPr>
          <w:p w14:paraId="0DD357E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1,182,682,104.44</w:t>
            </w:r>
          </w:p>
        </w:tc>
      </w:tr>
      <w:tr w:rsidR="00967461" w:rsidRPr="00967461" w14:paraId="5068112B" w14:textId="77777777" w:rsidTr="00EE302D">
        <w:trPr>
          <w:trHeight w:hRule="exact" w:val="331"/>
          <w:jc w:val="center"/>
        </w:trPr>
        <w:tc>
          <w:tcPr>
            <w:tcW w:w="2635" w:type="dxa"/>
            <w:tcBorders>
              <w:top w:val="single" w:sz="4" w:space="0" w:color="auto"/>
            </w:tcBorders>
            <w:shd w:val="clear" w:color="auto" w:fill="FFFFFF"/>
            <w:vAlign w:val="center"/>
          </w:tcPr>
          <w:p w14:paraId="6D4BF678"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营业外收入</w:t>
            </w:r>
          </w:p>
        </w:tc>
        <w:tc>
          <w:tcPr>
            <w:tcW w:w="1842" w:type="dxa"/>
            <w:tcBorders>
              <w:top w:val="single" w:sz="4" w:space="0" w:color="auto"/>
              <w:left w:val="single" w:sz="4" w:space="0" w:color="auto"/>
            </w:tcBorders>
            <w:shd w:val="clear" w:color="auto" w:fill="FFFFFF"/>
            <w:vAlign w:val="center"/>
          </w:tcPr>
          <w:p w14:paraId="163B5DB2" w14:textId="75506E7F" w:rsidR="00967461" w:rsidRPr="00967461" w:rsidRDefault="00967461" w:rsidP="00EE302D">
            <w:pPr>
              <w:jc w:val="right"/>
              <w:textAlignment w:val="center"/>
              <w:rPr>
                <w:rFonts w:ascii="宋体" w:eastAsia="宋体" w:hAnsi="宋体"/>
                <w:sz w:val="17"/>
                <w:szCs w:val="17"/>
              </w:rPr>
            </w:pPr>
            <w:r>
              <w:rPr>
                <w:rFonts w:ascii="宋体" w:eastAsia="宋体" w:hAnsi="宋体"/>
                <w:sz w:val="17"/>
                <w:szCs w:val="17"/>
                <w:lang w:bidi="ar"/>
              </w:rPr>
              <w:t xml:space="preserve">       </w:t>
            </w:r>
            <w:r w:rsidRPr="00967461">
              <w:rPr>
                <w:rFonts w:ascii="宋体" w:eastAsia="宋体" w:hAnsi="宋体"/>
                <w:sz w:val="17"/>
                <w:szCs w:val="17"/>
                <w:lang w:bidi="ar"/>
              </w:rPr>
              <w:t xml:space="preserve">242,098,347.14 </w:t>
            </w:r>
          </w:p>
        </w:tc>
        <w:tc>
          <w:tcPr>
            <w:tcW w:w="1843" w:type="dxa"/>
            <w:tcBorders>
              <w:top w:val="single" w:sz="4" w:space="0" w:color="auto"/>
              <w:left w:val="single" w:sz="4" w:space="0" w:color="auto"/>
            </w:tcBorders>
            <w:shd w:val="clear" w:color="auto" w:fill="FFFFFF"/>
            <w:vAlign w:val="center"/>
          </w:tcPr>
          <w:p w14:paraId="7E86322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-231,604,126.33 </w:t>
            </w:r>
          </w:p>
        </w:tc>
        <w:tc>
          <w:tcPr>
            <w:tcW w:w="1898" w:type="dxa"/>
            <w:tcBorders>
              <w:top w:val="single" w:sz="4" w:space="0" w:color="auto"/>
              <w:left w:val="single" w:sz="4" w:space="0" w:color="auto"/>
            </w:tcBorders>
            <w:shd w:val="clear" w:color="auto" w:fill="FFFFFF"/>
            <w:vAlign w:val="center"/>
          </w:tcPr>
          <w:p w14:paraId="7D3E0C3A" w14:textId="433864BC" w:rsidR="00967461" w:rsidRPr="00967461" w:rsidRDefault="00967461" w:rsidP="00EE302D">
            <w:pPr>
              <w:jc w:val="right"/>
              <w:textAlignment w:val="center"/>
              <w:rPr>
                <w:rFonts w:ascii="宋体" w:eastAsia="宋体" w:hAnsi="宋体"/>
                <w:sz w:val="17"/>
                <w:szCs w:val="17"/>
              </w:rPr>
            </w:pPr>
            <w:r>
              <w:rPr>
                <w:rFonts w:ascii="宋体" w:eastAsia="宋体" w:hAnsi="宋体"/>
                <w:sz w:val="17"/>
                <w:szCs w:val="17"/>
                <w:lang w:bidi="ar"/>
              </w:rPr>
              <w:t xml:space="preserve">         </w:t>
            </w:r>
            <w:r w:rsidRPr="00967461">
              <w:rPr>
                <w:rFonts w:ascii="宋体" w:eastAsia="宋体" w:hAnsi="宋体"/>
                <w:sz w:val="17"/>
                <w:szCs w:val="17"/>
                <w:lang w:bidi="ar"/>
              </w:rPr>
              <w:t xml:space="preserve">10,494,220.81 </w:t>
            </w:r>
          </w:p>
        </w:tc>
      </w:tr>
      <w:tr w:rsidR="00967461" w:rsidRPr="00967461" w14:paraId="3E6CF52F" w14:textId="77777777" w:rsidTr="00EE302D">
        <w:trPr>
          <w:trHeight w:hRule="exact" w:val="331"/>
          <w:jc w:val="center"/>
        </w:trPr>
        <w:tc>
          <w:tcPr>
            <w:tcW w:w="2635" w:type="dxa"/>
            <w:tcBorders>
              <w:top w:val="single" w:sz="4" w:space="0" w:color="auto"/>
            </w:tcBorders>
            <w:shd w:val="clear" w:color="auto" w:fill="FFFFFF"/>
            <w:vAlign w:val="center"/>
          </w:tcPr>
          <w:p w14:paraId="43678174"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74DE09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355,519,203.71</w:t>
            </w:r>
          </w:p>
        </w:tc>
        <w:tc>
          <w:tcPr>
            <w:tcW w:w="1843" w:type="dxa"/>
            <w:tcBorders>
              <w:top w:val="single" w:sz="4" w:space="0" w:color="auto"/>
              <w:left w:val="single" w:sz="4" w:space="0" w:color="auto"/>
            </w:tcBorders>
            <w:shd w:val="clear" w:color="auto" w:fill="FFFFFF"/>
            <w:vAlign w:val="center"/>
          </w:tcPr>
          <w:p w14:paraId="050CE26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31,819,865.82</w:t>
            </w:r>
          </w:p>
        </w:tc>
        <w:tc>
          <w:tcPr>
            <w:tcW w:w="1898" w:type="dxa"/>
            <w:tcBorders>
              <w:top w:val="single" w:sz="4" w:space="0" w:color="auto"/>
              <w:left w:val="single" w:sz="4" w:space="0" w:color="auto"/>
            </w:tcBorders>
            <w:shd w:val="clear" w:color="auto" w:fill="FFFFFF"/>
            <w:vAlign w:val="center"/>
          </w:tcPr>
          <w:p w14:paraId="5A565E4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387,339,069.53</w:t>
            </w:r>
          </w:p>
        </w:tc>
      </w:tr>
      <w:tr w:rsidR="00967461" w:rsidRPr="00967461" w14:paraId="7965A346" w14:textId="77777777" w:rsidTr="00EE302D">
        <w:trPr>
          <w:trHeight w:hRule="exact" w:val="331"/>
          <w:jc w:val="center"/>
        </w:trPr>
        <w:tc>
          <w:tcPr>
            <w:tcW w:w="2635" w:type="dxa"/>
            <w:tcBorders>
              <w:top w:val="single" w:sz="4" w:space="0" w:color="auto"/>
            </w:tcBorders>
            <w:shd w:val="clear" w:color="auto" w:fill="FFFFFF"/>
            <w:vAlign w:val="center"/>
          </w:tcPr>
          <w:p w14:paraId="7506E8E8"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25220E8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260,429,795.99</w:t>
            </w:r>
          </w:p>
        </w:tc>
        <w:tc>
          <w:tcPr>
            <w:tcW w:w="1843" w:type="dxa"/>
            <w:tcBorders>
              <w:top w:val="single" w:sz="4" w:space="0" w:color="auto"/>
              <w:left w:val="single" w:sz="4" w:space="0" w:color="auto"/>
            </w:tcBorders>
            <w:shd w:val="clear" w:color="auto" w:fill="FFFFFF"/>
            <w:vAlign w:val="center"/>
          </w:tcPr>
          <w:p w14:paraId="26935F6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31,819,865.82</w:t>
            </w:r>
          </w:p>
        </w:tc>
        <w:tc>
          <w:tcPr>
            <w:tcW w:w="1898" w:type="dxa"/>
            <w:tcBorders>
              <w:top w:val="single" w:sz="4" w:space="0" w:color="auto"/>
              <w:left w:val="single" w:sz="4" w:space="0" w:color="auto"/>
            </w:tcBorders>
            <w:shd w:val="clear" w:color="auto" w:fill="FFFFFF"/>
            <w:vAlign w:val="center"/>
          </w:tcPr>
          <w:p w14:paraId="7EBED10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292,249,661.81</w:t>
            </w:r>
          </w:p>
        </w:tc>
      </w:tr>
      <w:tr w:rsidR="00967461" w:rsidRPr="00967461" w14:paraId="0FF1FC5F" w14:textId="77777777" w:rsidTr="00EE302D">
        <w:trPr>
          <w:trHeight w:hRule="exact" w:val="331"/>
          <w:jc w:val="center"/>
        </w:trPr>
        <w:tc>
          <w:tcPr>
            <w:tcW w:w="2635" w:type="dxa"/>
            <w:tcBorders>
              <w:top w:val="single" w:sz="4" w:space="0" w:color="auto"/>
            </w:tcBorders>
            <w:shd w:val="clear" w:color="auto" w:fill="FFFFFF"/>
            <w:vAlign w:val="center"/>
          </w:tcPr>
          <w:p w14:paraId="4B35BB60"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676230F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144,029,275.03</w:t>
            </w:r>
          </w:p>
        </w:tc>
        <w:tc>
          <w:tcPr>
            <w:tcW w:w="1843" w:type="dxa"/>
            <w:tcBorders>
              <w:top w:val="single" w:sz="4" w:space="0" w:color="auto"/>
              <w:left w:val="single" w:sz="4" w:space="0" w:color="auto"/>
            </w:tcBorders>
            <w:shd w:val="clear" w:color="auto" w:fill="FFFFFF"/>
            <w:vAlign w:val="center"/>
          </w:tcPr>
          <w:p w14:paraId="3CFD141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316,574,373.69</w:t>
            </w:r>
          </w:p>
        </w:tc>
        <w:tc>
          <w:tcPr>
            <w:tcW w:w="1898" w:type="dxa"/>
            <w:tcBorders>
              <w:top w:val="single" w:sz="4" w:space="0" w:color="auto"/>
              <w:left w:val="single" w:sz="4" w:space="0" w:color="auto"/>
            </w:tcBorders>
            <w:shd w:val="clear" w:color="auto" w:fill="FFFFFF"/>
            <w:vAlign w:val="center"/>
          </w:tcPr>
          <w:p w14:paraId="53F8EEE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460,603,648.72</w:t>
            </w:r>
          </w:p>
        </w:tc>
      </w:tr>
      <w:tr w:rsidR="00967461" w:rsidRPr="00967461" w14:paraId="4CB0805D" w14:textId="77777777" w:rsidTr="00EE302D">
        <w:trPr>
          <w:trHeight w:hRule="exact" w:val="331"/>
          <w:jc w:val="center"/>
        </w:trPr>
        <w:tc>
          <w:tcPr>
            <w:tcW w:w="2635" w:type="dxa"/>
            <w:tcBorders>
              <w:top w:val="single" w:sz="4" w:space="0" w:color="auto"/>
            </w:tcBorders>
            <w:shd w:val="clear" w:color="auto" w:fill="FFFFFF"/>
            <w:vAlign w:val="center"/>
          </w:tcPr>
          <w:p w14:paraId="516B83EE"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少数股东损益</w:t>
            </w:r>
          </w:p>
        </w:tc>
        <w:tc>
          <w:tcPr>
            <w:tcW w:w="1842" w:type="dxa"/>
            <w:tcBorders>
              <w:top w:val="single" w:sz="4" w:space="0" w:color="auto"/>
              <w:left w:val="single" w:sz="4" w:space="0" w:color="auto"/>
            </w:tcBorders>
            <w:shd w:val="clear" w:color="auto" w:fill="FFFFFF"/>
            <w:vAlign w:val="center"/>
          </w:tcPr>
          <w:p w14:paraId="24B11CE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116,400,520.96</w:t>
            </w:r>
          </w:p>
        </w:tc>
        <w:tc>
          <w:tcPr>
            <w:tcW w:w="1843" w:type="dxa"/>
            <w:tcBorders>
              <w:top w:val="single" w:sz="4" w:space="0" w:color="auto"/>
              <w:left w:val="single" w:sz="4" w:space="0" w:color="auto"/>
            </w:tcBorders>
            <w:shd w:val="clear" w:color="auto" w:fill="FFFFFF"/>
            <w:vAlign w:val="center"/>
          </w:tcPr>
          <w:p w14:paraId="39AD87E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-284,754,507.87</w:t>
            </w:r>
          </w:p>
        </w:tc>
        <w:tc>
          <w:tcPr>
            <w:tcW w:w="1898" w:type="dxa"/>
            <w:tcBorders>
              <w:top w:val="single" w:sz="4" w:space="0" w:color="auto"/>
              <w:left w:val="single" w:sz="4" w:space="0" w:color="auto"/>
            </w:tcBorders>
            <w:shd w:val="clear" w:color="auto" w:fill="FFFFFF"/>
            <w:vAlign w:val="center"/>
          </w:tcPr>
          <w:p w14:paraId="5144850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-168,353,986.91</w:t>
            </w:r>
          </w:p>
        </w:tc>
      </w:tr>
      <w:tr w:rsidR="00967461" w:rsidRPr="00967461" w14:paraId="40DF8159"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2A393E50"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bottom w:val="single" w:sz="4" w:space="0" w:color="auto"/>
            </w:tcBorders>
            <w:shd w:val="clear" w:color="auto" w:fill="FFFFFF"/>
            <w:vAlign w:val="center"/>
          </w:tcPr>
          <w:p w14:paraId="7118445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4B02060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bottom w:val="single" w:sz="4" w:space="0" w:color="auto"/>
            </w:tcBorders>
            <w:shd w:val="clear" w:color="auto" w:fill="FFFFFF"/>
            <w:vAlign w:val="center"/>
          </w:tcPr>
          <w:p w14:paraId="27AD5D4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21322C53" w14:textId="77777777" w:rsidTr="00EE302D">
        <w:trPr>
          <w:trHeight w:hRule="exact" w:val="409"/>
          <w:jc w:val="center"/>
        </w:trPr>
        <w:tc>
          <w:tcPr>
            <w:tcW w:w="2635" w:type="dxa"/>
            <w:tcBorders>
              <w:top w:val="single" w:sz="4" w:space="0" w:color="auto"/>
              <w:bottom w:val="single" w:sz="4" w:space="0" w:color="auto"/>
            </w:tcBorders>
            <w:shd w:val="clear" w:color="auto" w:fill="FFFFFF"/>
            <w:vAlign w:val="center"/>
          </w:tcPr>
          <w:p w14:paraId="5971FB0A" w14:textId="77777777" w:rsidR="00967461" w:rsidRPr="00967461" w:rsidRDefault="00967461" w:rsidP="00EE302D">
            <w:pPr>
              <w:textAlignment w:val="center"/>
              <w:rPr>
                <w:rFonts w:ascii="宋体" w:eastAsia="宋体" w:hAnsi="宋体" w:cs="宋体"/>
                <w:sz w:val="17"/>
                <w:szCs w:val="17"/>
                <w:lang w:bidi="ar"/>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04B881F5"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1,628,111,657.41 </w:t>
            </w:r>
          </w:p>
        </w:tc>
        <w:tc>
          <w:tcPr>
            <w:tcW w:w="1843" w:type="dxa"/>
            <w:tcBorders>
              <w:top w:val="single" w:sz="4" w:space="0" w:color="auto"/>
              <w:left w:val="single" w:sz="4" w:space="0" w:color="auto"/>
              <w:bottom w:val="single" w:sz="4" w:space="0" w:color="auto"/>
            </w:tcBorders>
            <w:shd w:val="clear" w:color="auto" w:fill="FFFFFF"/>
            <w:vAlign w:val="center"/>
          </w:tcPr>
          <w:p w14:paraId="355E46E2"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-149,306,160.75 </w:t>
            </w:r>
          </w:p>
        </w:tc>
        <w:tc>
          <w:tcPr>
            <w:tcW w:w="1898" w:type="dxa"/>
            <w:tcBorders>
              <w:top w:val="single" w:sz="4" w:space="0" w:color="auto"/>
              <w:left w:val="single" w:sz="4" w:space="0" w:color="auto"/>
              <w:bottom w:val="single" w:sz="4" w:space="0" w:color="auto"/>
            </w:tcBorders>
            <w:shd w:val="clear" w:color="auto" w:fill="FFFFFF"/>
            <w:vAlign w:val="center"/>
          </w:tcPr>
          <w:p w14:paraId="7CD20C63"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1,478,805,496.66 </w:t>
            </w:r>
          </w:p>
        </w:tc>
      </w:tr>
    </w:tbl>
    <w:p w14:paraId="1CDB3775" w14:textId="77777777" w:rsidR="00967461" w:rsidRPr="00967461" w:rsidRDefault="00967461" w:rsidP="00967461">
      <w:pPr>
        <w:pStyle w:val="Bodytext10"/>
        <w:spacing w:line="446" w:lineRule="exact"/>
        <w:jc w:val="both"/>
        <w:rPr>
          <w:rFonts w:cs="Arial"/>
          <w:snapToGrid w:val="0"/>
          <w:color w:val="000000"/>
          <w:kern w:val="0"/>
          <w:sz w:val="24"/>
          <w:szCs w:val="24"/>
          <w:lang w:val="en-US" w:eastAsia="zh-CN" w:bidi="ar-SA"/>
        </w:rPr>
      </w:pPr>
    </w:p>
    <w:p w14:paraId="20EB4C09" w14:textId="77777777" w:rsidR="00967461" w:rsidRPr="00967461" w:rsidRDefault="00967461" w:rsidP="00967461">
      <w:pPr>
        <w:pStyle w:val="Bodytext10"/>
        <w:spacing w:line="446" w:lineRule="exact"/>
        <w:ind w:firstLine="50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2020</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3443A24F" w14:textId="77777777" w:rsidTr="00EE302D">
        <w:trPr>
          <w:trHeight w:hRule="exact" w:val="634"/>
          <w:jc w:val="center"/>
        </w:trPr>
        <w:tc>
          <w:tcPr>
            <w:tcW w:w="2635" w:type="dxa"/>
            <w:tcBorders>
              <w:top w:val="single" w:sz="4" w:space="0" w:color="auto"/>
            </w:tcBorders>
            <w:shd w:val="clear" w:color="auto" w:fill="FFFFFF"/>
            <w:vAlign w:val="bottom"/>
          </w:tcPr>
          <w:p w14:paraId="7DD0C883" w14:textId="77777777" w:rsidR="00967461" w:rsidRPr="00967461" w:rsidRDefault="00967461" w:rsidP="00EE302D">
            <w:pPr>
              <w:pStyle w:val="Other10"/>
              <w:spacing w:line="302" w:lineRule="exact"/>
              <w:ind w:firstLine="280"/>
              <w:jc w:val="center"/>
              <w:rPr>
                <w:color w:val="000000"/>
                <w:sz w:val="17"/>
                <w:szCs w:val="17"/>
              </w:rPr>
            </w:pPr>
            <w:bookmarkStart w:id="7" w:name="_Hlk131462339"/>
            <w:r w:rsidRPr="00967461">
              <w:rPr>
                <w:color w:val="000000"/>
                <w:sz w:val="17"/>
                <w:szCs w:val="17"/>
              </w:rPr>
              <w:t>受影响的各个比较期间报表</w:t>
            </w:r>
          </w:p>
          <w:p w14:paraId="4DA94239"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715E6FA1"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4EED550B"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01E47405"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4A4672AD" w14:textId="77777777" w:rsidTr="00EE302D">
        <w:trPr>
          <w:trHeight w:hRule="exact" w:val="331"/>
          <w:jc w:val="center"/>
        </w:trPr>
        <w:tc>
          <w:tcPr>
            <w:tcW w:w="2635" w:type="dxa"/>
            <w:tcBorders>
              <w:top w:val="single" w:sz="4" w:space="0" w:color="auto"/>
            </w:tcBorders>
            <w:shd w:val="clear" w:color="auto" w:fill="FFFFFF"/>
            <w:vAlign w:val="center"/>
          </w:tcPr>
          <w:p w14:paraId="21B676E9" w14:textId="77777777" w:rsidR="00967461" w:rsidRPr="00967461" w:rsidRDefault="00967461" w:rsidP="00EE302D">
            <w:pPr>
              <w:jc w:val="center"/>
              <w:textAlignment w:val="center"/>
              <w:rPr>
                <w:rFonts w:ascii="宋体" w:eastAsia="宋体" w:hAnsi="宋体"/>
              </w:rPr>
            </w:pPr>
            <w:r w:rsidRPr="00967461">
              <w:rPr>
                <w:rFonts w:ascii="宋体" w:eastAsia="宋体" w:hAnsi="宋体" w:cs="宋体" w:hint="eastAsia"/>
                <w:sz w:val="17"/>
                <w:szCs w:val="17"/>
                <w:lang w:bidi="ar"/>
              </w:rPr>
              <w:t>合并资产负债表：</w:t>
            </w:r>
          </w:p>
        </w:tc>
        <w:tc>
          <w:tcPr>
            <w:tcW w:w="1842" w:type="dxa"/>
            <w:tcBorders>
              <w:top w:val="single" w:sz="4" w:space="0" w:color="auto"/>
              <w:left w:val="single" w:sz="4" w:space="0" w:color="auto"/>
            </w:tcBorders>
            <w:shd w:val="clear" w:color="auto" w:fill="FFFFFF"/>
            <w:vAlign w:val="center"/>
          </w:tcPr>
          <w:p w14:paraId="6FFC9AB0"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43" w:type="dxa"/>
            <w:tcBorders>
              <w:top w:val="single" w:sz="4" w:space="0" w:color="auto"/>
              <w:left w:val="single" w:sz="4" w:space="0" w:color="auto"/>
            </w:tcBorders>
            <w:shd w:val="clear" w:color="auto" w:fill="FFFFFF"/>
            <w:vAlign w:val="center"/>
          </w:tcPr>
          <w:p w14:paraId="48C74E2B"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98" w:type="dxa"/>
            <w:tcBorders>
              <w:top w:val="single" w:sz="4" w:space="0" w:color="auto"/>
              <w:left w:val="single" w:sz="4" w:space="0" w:color="auto"/>
            </w:tcBorders>
            <w:shd w:val="clear" w:color="auto" w:fill="FFFFFF"/>
            <w:vAlign w:val="center"/>
          </w:tcPr>
          <w:p w14:paraId="210EA7C2"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168DB9BF" w14:textId="77777777" w:rsidTr="00EE302D">
        <w:trPr>
          <w:trHeight w:hRule="exact" w:val="331"/>
          <w:jc w:val="center"/>
        </w:trPr>
        <w:tc>
          <w:tcPr>
            <w:tcW w:w="2635" w:type="dxa"/>
            <w:tcBorders>
              <w:top w:val="single" w:sz="4" w:space="0" w:color="auto"/>
            </w:tcBorders>
            <w:shd w:val="clear" w:color="auto" w:fill="FFFFFF"/>
            <w:vAlign w:val="center"/>
          </w:tcPr>
          <w:p w14:paraId="0BAA2F57"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42" w:type="dxa"/>
            <w:tcBorders>
              <w:top w:val="single" w:sz="4" w:space="0" w:color="auto"/>
              <w:left w:val="single" w:sz="4" w:space="0" w:color="auto"/>
            </w:tcBorders>
            <w:shd w:val="clear" w:color="auto" w:fill="FFFFFF"/>
            <w:vAlign w:val="center"/>
          </w:tcPr>
          <w:p w14:paraId="1AE6E3F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609,155,652.84</w:t>
            </w:r>
          </w:p>
        </w:tc>
        <w:tc>
          <w:tcPr>
            <w:tcW w:w="1843" w:type="dxa"/>
            <w:tcBorders>
              <w:top w:val="single" w:sz="4" w:space="0" w:color="auto"/>
              <w:left w:val="single" w:sz="4" w:space="0" w:color="auto"/>
            </w:tcBorders>
            <w:shd w:val="clear" w:color="auto" w:fill="FFFFFF"/>
            <w:vAlign w:val="center"/>
          </w:tcPr>
          <w:p w14:paraId="26C3450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-48,875,966.31</w:t>
            </w:r>
          </w:p>
        </w:tc>
        <w:tc>
          <w:tcPr>
            <w:tcW w:w="1898" w:type="dxa"/>
            <w:tcBorders>
              <w:top w:val="single" w:sz="4" w:space="0" w:color="auto"/>
              <w:left w:val="single" w:sz="4" w:space="0" w:color="auto"/>
            </w:tcBorders>
            <w:shd w:val="clear" w:color="auto" w:fill="FFFFFF"/>
            <w:vAlign w:val="center"/>
          </w:tcPr>
          <w:p w14:paraId="2C3C0B6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560,279,686.53</w:t>
            </w:r>
          </w:p>
        </w:tc>
      </w:tr>
      <w:tr w:rsidR="00967461" w:rsidRPr="00967461" w14:paraId="3341F9CC" w14:textId="77777777" w:rsidTr="00EE302D">
        <w:trPr>
          <w:trHeight w:hRule="exact" w:val="331"/>
          <w:jc w:val="center"/>
        </w:trPr>
        <w:tc>
          <w:tcPr>
            <w:tcW w:w="2635" w:type="dxa"/>
            <w:tcBorders>
              <w:top w:val="single" w:sz="4" w:space="0" w:color="auto"/>
            </w:tcBorders>
            <w:shd w:val="clear" w:color="auto" w:fill="FFFFFF"/>
            <w:vAlign w:val="center"/>
          </w:tcPr>
          <w:p w14:paraId="561B93A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其他流动负债</w:t>
            </w:r>
          </w:p>
        </w:tc>
        <w:tc>
          <w:tcPr>
            <w:tcW w:w="1842" w:type="dxa"/>
            <w:tcBorders>
              <w:top w:val="single" w:sz="4" w:space="0" w:color="auto"/>
              <w:left w:val="single" w:sz="4" w:space="0" w:color="auto"/>
            </w:tcBorders>
            <w:shd w:val="clear" w:color="auto" w:fill="FFFFFF"/>
            <w:vAlign w:val="center"/>
          </w:tcPr>
          <w:p w14:paraId="7AFB46A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62,914,027.11</w:t>
            </w:r>
          </w:p>
        </w:tc>
        <w:tc>
          <w:tcPr>
            <w:tcW w:w="1843" w:type="dxa"/>
            <w:tcBorders>
              <w:top w:val="single" w:sz="4" w:space="0" w:color="auto"/>
              <w:left w:val="single" w:sz="4" w:space="0" w:color="auto"/>
            </w:tcBorders>
            <w:shd w:val="clear" w:color="auto" w:fill="FFFFFF"/>
            <w:vAlign w:val="center"/>
          </w:tcPr>
          <w:p w14:paraId="14D2533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265,352,094.78</w:t>
            </w:r>
          </w:p>
        </w:tc>
        <w:tc>
          <w:tcPr>
            <w:tcW w:w="1898" w:type="dxa"/>
            <w:tcBorders>
              <w:top w:val="single" w:sz="4" w:space="0" w:color="auto"/>
              <w:left w:val="single" w:sz="4" w:space="0" w:color="auto"/>
            </w:tcBorders>
            <w:shd w:val="clear" w:color="auto" w:fill="FFFFFF"/>
            <w:vAlign w:val="center"/>
          </w:tcPr>
          <w:p w14:paraId="63CFBAE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328,266,121.89</w:t>
            </w:r>
          </w:p>
        </w:tc>
      </w:tr>
      <w:tr w:rsidR="00967461" w:rsidRPr="00967461" w14:paraId="776FCA88" w14:textId="77777777" w:rsidTr="00EE302D">
        <w:trPr>
          <w:trHeight w:hRule="exact" w:val="331"/>
          <w:jc w:val="center"/>
        </w:trPr>
        <w:tc>
          <w:tcPr>
            <w:tcW w:w="2635" w:type="dxa"/>
            <w:tcBorders>
              <w:top w:val="single" w:sz="4" w:space="0" w:color="auto"/>
            </w:tcBorders>
            <w:shd w:val="clear" w:color="auto" w:fill="FFFFFF"/>
            <w:vAlign w:val="center"/>
          </w:tcPr>
          <w:p w14:paraId="0518E4B3"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270A557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527E413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5098227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6D7922EA" w14:textId="77777777" w:rsidTr="00EE302D">
        <w:trPr>
          <w:trHeight w:hRule="exact" w:val="331"/>
          <w:jc w:val="center"/>
        </w:trPr>
        <w:tc>
          <w:tcPr>
            <w:tcW w:w="2635" w:type="dxa"/>
            <w:tcBorders>
              <w:top w:val="single" w:sz="4" w:space="0" w:color="auto"/>
            </w:tcBorders>
            <w:shd w:val="clear" w:color="auto" w:fill="FFFFFF"/>
            <w:vAlign w:val="center"/>
          </w:tcPr>
          <w:p w14:paraId="16B9BB4B"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营业收入</w:t>
            </w:r>
          </w:p>
        </w:tc>
        <w:tc>
          <w:tcPr>
            <w:tcW w:w="1842" w:type="dxa"/>
            <w:tcBorders>
              <w:top w:val="single" w:sz="4" w:space="0" w:color="auto"/>
              <w:left w:val="single" w:sz="4" w:space="0" w:color="auto"/>
            </w:tcBorders>
            <w:shd w:val="clear" w:color="auto" w:fill="FFFFFF"/>
            <w:vAlign w:val="center"/>
          </w:tcPr>
          <w:p w14:paraId="6E52F7B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8,420,905,206.73</w:t>
            </w:r>
          </w:p>
        </w:tc>
        <w:tc>
          <w:tcPr>
            <w:tcW w:w="1843" w:type="dxa"/>
            <w:tcBorders>
              <w:top w:val="single" w:sz="4" w:space="0" w:color="auto"/>
              <w:left w:val="single" w:sz="4" w:space="0" w:color="auto"/>
            </w:tcBorders>
            <w:shd w:val="clear" w:color="auto" w:fill="FFFFFF"/>
            <w:vAlign w:val="center"/>
          </w:tcPr>
          <w:p w14:paraId="7FF5647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-59,031,022.84</w:t>
            </w:r>
          </w:p>
        </w:tc>
        <w:tc>
          <w:tcPr>
            <w:tcW w:w="1898" w:type="dxa"/>
            <w:tcBorders>
              <w:top w:val="single" w:sz="4" w:space="0" w:color="auto"/>
              <w:left w:val="single" w:sz="4" w:space="0" w:color="auto"/>
            </w:tcBorders>
            <w:shd w:val="clear" w:color="auto" w:fill="FFFFFF"/>
            <w:vAlign w:val="center"/>
          </w:tcPr>
          <w:p w14:paraId="041D274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8,361,874,183.89</w:t>
            </w:r>
          </w:p>
        </w:tc>
      </w:tr>
      <w:tr w:rsidR="00967461" w:rsidRPr="00967461" w14:paraId="248632B3" w14:textId="77777777" w:rsidTr="00EE302D">
        <w:trPr>
          <w:trHeight w:hRule="exact" w:val="331"/>
          <w:jc w:val="center"/>
        </w:trPr>
        <w:tc>
          <w:tcPr>
            <w:tcW w:w="2635" w:type="dxa"/>
            <w:tcBorders>
              <w:top w:val="single" w:sz="4" w:space="0" w:color="auto"/>
            </w:tcBorders>
            <w:shd w:val="clear" w:color="auto" w:fill="FFFFFF"/>
            <w:vAlign w:val="center"/>
          </w:tcPr>
          <w:p w14:paraId="5B3D4D76"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842" w:type="dxa"/>
            <w:tcBorders>
              <w:top w:val="single" w:sz="4" w:space="0" w:color="auto"/>
              <w:left w:val="single" w:sz="4" w:space="0" w:color="auto"/>
            </w:tcBorders>
            <w:shd w:val="clear" w:color="auto" w:fill="FFFFFF"/>
            <w:vAlign w:val="center"/>
          </w:tcPr>
          <w:p w14:paraId="59D19BC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7,730,394,141.16</w:t>
            </w:r>
          </w:p>
        </w:tc>
        <w:tc>
          <w:tcPr>
            <w:tcW w:w="1843" w:type="dxa"/>
            <w:tcBorders>
              <w:top w:val="single" w:sz="4" w:space="0" w:color="auto"/>
              <w:left w:val="single" w:sz="4" w:space="0" w:color="auto"/>
            </w:tcBorders>
            <w:shd w:val="clear" w:color="auto" w:fill="FFFFFF"/>
            <w:vAlign w:val="center"/>
          </w:tcPr>
          <w:p w14:paraId="5952216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-3,603,842.55</w:t>
            </w:r>
          </w:p>
        </w:tc>
        <w:tc>
          <w:tcPr>
            <w:tcW w:w="1898" w:type="dxa"/>
            <w:tcBorders>
              <w:top w:val="single" w:sz="4" w:space="0" w:color="auto"/>
              <w:left w:val="single" w:sz="4" w:space="0" w:color="auto"/>
            </w:tcBorders>
            <w:shd w:val="clear" w:color="auto" w:fill="FFFFFF"/>
            <w:vAlign w:val="center"/>
          </w:tcPr>
          <w:p w14:paraId="3ED8F6F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7,726,790,298.61</w:t>
            </w:r>
          </w:p>
        </w:tc>
      </w:tr>
      <w:tr w:rsidR="00967461" w:rsidRPr="00967461" w14:paraId="517370E6" w14:textId="77777777" w:rsidTr="00EE302D">
        <w:trPr>
          <w:trHeight w:hRule="exact" w:val="521"/>
          <w:jc w:val="center"/>
        </w:trPr>
        <w:tc>
          <w:tcPr>
            <w:tcW w:w="2635" w:type="dxa"/>
            <w:tcBorders>
              <w:top w:val="single" w:sz="4" w:space="0" w:color="auto"/>
            </w:tcBorders>
            <w:shd w:val="clear" w:color="auto" w:fill="FFFFFF"/>
            <w:vAlign w:val="center"/>
          </w:tcPr>
          <w:p w14:paraId="4B53CAE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842" w:type="dxa"/>
            <w:tcBorders>
              <w:top w:val="single" w:sz="4" w:space="0" w:color="auto"/>
              <w:left w:val="single" w:sz="4" w:space="0" w:color="auto"/>
            </w:tcBorders>
            <w:shd w:val="clear" w:color="auto" w:fill="FFFFFF"/>
            <w:vAlign w:val="center"/>
          </w:tcPr>
          <w:p w14:paraId="689AE90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-71,892,125.85</w:t>
            </w:r>
          </w:p>
        </w:tc>
        <w:tc>
          <w:tcPr>
            <w:tcW w:w="1843" w:type="dxa"/>
            <w:tcBorders>
              <w:top w:val="single" w:sz="4" w:space="0" w:color="auto"/>
              <w:left w:val="single" w:sz="4" w:space="0" w:color="auto"/>
            </w:tcBorders>
            <w:shd w:val="clear" w:color="auto" w:fill="FFFFFF"/>
            <w:vAlign w:val="center"/>
          </w:tcPr>
          <w:p w14:paraId="19E9F8A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-102,424,192.59</w:t>
            </w:r>
          </w:p>
        </w:tc>
        <w:tc>
          <w:tcPr>
            <w:tcW w:w="1898" w:type="dxa"/>
            <w:tcBorders>
              <w:top w:val="single" w:sz="4" w:space="0" w:color="auto"/>
              <w:left w:val="single" w:sz="4" w:space="0" w:color="auto"/>
            </w:tcBorders>
            <w:shd w:val="clear" w:color="auto" w:fill="FFFFFF"/>
            <w:vAlign w:val="center"/>
          </w:tcPr>
          <w:p w14:paraId="3FF5BD7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-174,316,318.44</w:t>
            </w:r>
          </w:p>
        </w:tc>
      </w:tr>
      <w:tr w:rsidR="00967461" w:rsidRPr="00967461" w14:paraId="244C4316" w14:textId="77777777" w:rsidTr="00EE302D">
        <w:trPr>
          <w:trHeight w:hRule="exact" w:val="331"/>
          <w:jc w:val="center"/>
        </w:trPr>
        <w:tc>
          <w:tcPr>
            <w:tcW w:w="2635" w:type="dxa"/>
            <w:tcBorders>
              <w:top w:val="single" w:sz="4" w:space="0" w:color="auto"/>
            </w:tcBorders>
            <w:shd w:val="clear" w:color="auto" w:fill="FFFFFF"/>
            <w:vAlign w:val="center"/>
          </w:tcPr>
          <w:p w14:paraId="54BF177F"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营业外收入</w:t>
            </w:r>
          </w:p>
        </w:tc>
        <w:tc>
          <w:tcPr>
            <w:tcW w:w="1842" w:type="dxa"/>
            <w:tcBorders>
              <w:top w:val="single" w:sz="4" w:space="0" w:color="auto"/>
              <w:left w:val="single" w:sz="4" w:space="0" w:color="auto"/>
            </w:tcBorders>
            <w:shd w:val="clear" w:color="auto" w:fill="FFFFFF"/>
            <w:vAlign w:val="center"/>
          </w:tcPr>
          <w:p w14:paraId="41F54B3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20,510,491.52</w:t>
            </w:r>
          </w:p>
        </w:tc>
        <w:tc>
          <w:tcPr>
            <w:tcW w:w="1843" w:type="dxa"/>
            <w:tcBorders>
              <w:top w:val="single" w:sz="4" w:space="0" w:color="auto"/>
              <w:left w:val="single" w:sz="4" w:space="0" w:color="auto"/>
            </w:tcBorders>
            <w:shd w:val="clear" w:color="auto" w:fill="FFFFFF"/>
            <w:vAlign w:val="center"/>
          </w:tcPr>
          <w:p w14:paraId="7A533BE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-29,524,507.01</w:t>
            </w:r>
          </w:p>
        </w:tc>
        <w:tc>
          <w:tcPr>
            <w:tcW w:w="1898" w:type="dxa"/>
            <w:tcBorders>
              <w:top w:val="single" w:sz="4" w:space="0" w:color="auto"/>
              <w:left w:val="single" w:sz="4" w:space="0" w:color="auto"/>
            </w:tcBorders>
            <w:shd w:val="clear" w:color="auto" w:fill="FFFFFF"/>
            <w:vAlign w:val="center"/>
          </w:tcPr>
          <w:p w14:paraId="662E966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-9,014,015.49</w:t>
            </w:r>
          </w:p>
        </w:tc>
      </w:tr>
      <w:tr w:rsidR="00967461" w:rsidRPr="00967461" w14:paraId="2AFBDE25" w14:textId="77777777" w:rsidTr="00EE302D">
        <w:trPr>
          <w:trHeight w:hRule="exact" w:val="331"/>
          <w:jc w:val="center"/>
        </w:trPr>
        <w:tc>
          <w:tcPr>
            <w:tcW w:w="2635" w:type="dxa"/>
            <w:tcBorders>
              <w:top w:val="single" w:sz="4" w:space="0" w:color="auto"/>
            </w:tcBorders>
            <w:shd w:val="clear" w:color="auto" w:fill="FFFFFF"/>
            <w:vAlign w:val="center"/>
          </w:tcPr>
          <w:p w14:paraId="1CB664C8"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1C45129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-2,476,316,231.63</w:t>
            </w:r>
          </w:p>
        </w:tc>
        <w:tc>
          <w:tcPr>
            <w:tcW w:w="1843" w:type="dxa"/>
            <w:tcBorders>
              <w:top w:val="single" w:sz="4" w:space="0" w:color="auto"/>
              <w:left w:val="single" w:sz="4" w:space="0" w:color="auto"/>
            </w:tcBorders>
            <w:shd w:val="clear" w:color="auto" w:fill="FFFFFF"/>
            <w:vAlign w:val="center"/>
          </w:tcPr>
          <w:p w14:paraId="20E60A3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-187,375,879.89</w:t>
            </w:r>
          </w:p>
        </w:tc>
        <w:tc>
          <w:tcPr>
            <w:tcW w:w="1898" w:type="dxa"/>
            <w:tcBorders>
              <w:top w:val="single" w:sz="4" w:space="0" w:color="auto"/>
              <w:left w:val="single" w:sz="4" w:space="0" w:color="auto"/>
            </w:tcBorders>
            <w:shd w:val="clear" w:color="auto" w:fill="FFFFFF"/>
            <w:vAlign w:val="center"/>
          </w:tcPr>
          <w:p w14:paraId="342282A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-2,663,692,111.52</w:t>
            </w:r>
          </w:p>
        </w:tc>
      </w:tr>
      <w:tr w:rsidR="00967461" w:rsidRPr="00967461" w14:paraId="00A3679E" w14:textId="77777777" w:rsidTr="00EE302D">
        <w:trPr>
          <w:trHeight w:hRule="exact" w:val="331"/>
          <w:jc w:val="center"/>
        </w:trPr>
        <w:tc>
          <w:tcPr>
            <w:tcW w:w="2635" w:type="dxa"/>
            <w:tcBorders>
              <w:top w:val="single" w:sz="4" w:space="0" w:color="auto"/>
            </w:tcBorders>
            <w:shd w:val="clear" w:color="auto" w:fill="FFFFFF"/>
            <w:vAlign w:val="center"/>
          </w:tcPr>
          <w:p w14:paraId="1B860D3B"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00B6577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-2,881,518,138.57</w:t>
            </w:r>
          </w:p>
        </w:tc>
        <w:tc>
          <w:tcPr>
            <w:tcW w:w="1843" w:type="dxa"/>
            <w:tcBorders>
              <w:top w:val="single" w:sz="4" w:space="0" w:color="auto"/>
              <w:left w:val="single" w:sz="4" w:space="0" w:color="auto"/>
            </w:tcBorders>
            <w:shd w:val="clear" w:color="auto" w:fill="FFFFFF"/>
            <w:vAlign w:val="center"/>
          </w:tcPr>
          <w:p w14:paraId="6E46518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r w:rsidRPr="00967461">
              <w:rPr>
                <w:rFonts w:ascii="宋体" w:eastAsia="宋体" w:hAnsi="宋体" w:hint="eastAsia"/>
                <w:sz w:val="17"/>
                <w:szCs w:val="17"/>
                <w:lang w:bidi="ar"/>
              </w:rPr>
              <w:t>-</w:t>
            </w:r>
            <w:r w:rsidRPr="00967461">
              <w:rPr>
                <w:rFonts w:ascii="宋体" w:eastAsia="宋体" w:hAnsi="宋体"/>
                <w:sz w:val="17"/>
                <w:szCs w:val="17"/>
                <w:lang w:bidi="ar"/>
              </w:rPr>
              <w:t xml:space="preserve">187,375,879.89 </w:t>
            </w:r>
          </w:p>
        </w:tc>
        <w:tc>
          <w:tcPr>
            <w:tcW w:w="1898" w:type="dxa"/>
            <w:tcBorders>
              <w:top w:val="single" w:sz="4" w:space="0" w:color="auto"/>
              <w:left w:val="single" w:sz="4" w:space="0" w:color="auto"/>
            </w:tcBorders>
            <w:shd w:val="clear" w:color="auto" w:fill="FFFFFF"/>
            <w:vAlign w:val="center"/>
          </w:tcPr>
          <w:p w14:paraId="1AB3D94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hint="eastAsia"/>
                <w:sz w:val="17"/>
                <w:szCs w:val="17"/>
              </w:rPr>
              <w:t xml:space="preserve"> -3,068,894,018.46 </w:t>
            </w:r>
          </w:p>
        </w:tc>
      </w:tr>
      <w:tr w:rsidR="00967461" w:rsidRPr="00967461" w14:paraId="006AA912" w14:textId="77777777" w:rsidTr="00EE302D">
        <w:trPr>
          <w:trHeight w:hRule="exact" w:val="331"/>
          <w:jc w:val="center"/>
        </w:trPr>
        <w:tc>
          <w:tcPr>
            <w:tcW w:w="2635" w:type="dxa"/>
            <w:tcBorders>
              <w:top w:val="single" w:sz="4" w:space="0" w:color="auto"/>
            </w:tcBorders>
            <w:shd w:val="clear" w:color="auto" w:fill="FFFFFF"/>
            <w:vAlign w:val="center"/>
          </w:tcPr>
          <w:p w14:paraId="17CABE51"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tcBorders>
            <w:shd w:val="clear" w:color="auto" w:fill="FFFFFF"/>
            <w:vAlign w:val="center"/>
          </w:tcPr>
          <w:p w14:paraId="57F3D97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-2,877,904,841.66</w:t>
            </w:r>
          </w:p>
        </w:tc>
        <w:tc>
          <w:tcPr>
            <w:tcW w:w="1843" w:type="dxa"/>
            <w:tcBorders>
              <w:top w:val="single" w:sz="4" w:space="0" w:color="auto"/>
              <w:left w:val="single" w:sz="4" w:space="0" w:color="auto"/>
            </w:tcBorders>
            <w:shd w:val="clear" w:color="auto" w:fill="FFFFFF"/>
            <w:vAlign w:val="center"/>
          </w:tcPr>
          <w:p w14:paraId="40EA2D0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-187,375,879.89</w:t>
            </w:r>
          </w:p>
        </w:tc>
        <w:tc>
          <w:tcPr>
            <w:tcW w:w="1898" w:type="dxa"/>
            <w:tcBorders>
              <w:top w:val="single" w:sz="4" w:space="0" w:color="auto"/>
              <w:left w:val="single" w:sz="4" w:space="0" w:color="auto"/>
            </w:tcBorders>
            <w:shd w:val="clear" w:color="auto" w:fill="FFFFFF"/>
            <w:vAlign w:val="center"/>
          </w:tcPr>
          <w:p w14:paraId="72CEBE6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-3,065,280,721.55</w:t>
            </w:r>
          </w:p>
        </w:tc>
      </w:tr>
      <w:tr w:rsidR="00967461" w:rsidRPr="00967461" w14:paraId="0F9FE44B"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16E4C792"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合并所有者权益变动表：</w:t>
            </w:r>
          </w:p>
        </w:tc>
        <w:tc>
          <w:tcPr>
            <w:tcW w:w="1842" w:type="dxa"/>
            <w:tcBorders>
              <w:top w:val="single" w:sz="4" w:space="0" w:color="auto"/>
              <w:left w:val="single" w:sz="4" w:space="0" w:color="auto"/>
              <w:bottom w:val="single" w:sz="4" w:space="0" w:color="auto"/>
            </w:tcBorders>
            <w:shd w:val="clear" w:color="auto" w:fill="FFFFFF"/>
            <w:vAlign w:val="center"/>
          </w:tcPr>
          <w:p w14:paraId="61C8F01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bottom w:val="single" w:sz="4" w:space="0" w:color="auto"/>
            </w:tcBorders>
            <w:shd w:val="clear" w:color="auto" w:fill="FFFFFF"/>
            <w:vAlign w:val="center"/>
          </w:tcPr>
          <w:p w14:paraId="74AEEB8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bottom w:val="single" w:sz="4" w:space="0" w:color="auto"/>
            </w:tcBorders>
            <w:shd w:val="clear" w:color="auto" w:fill="FFFFFF"/>
            <w:vAlign w:val="center"/>
          </w:tcPr>
          <w:p w14:paraId="758F258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39EDE496"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0405DDE7" w14:textId="77777777" w:rsidR="00967461" w:rsidRPr="00967461" w:rsidRDefault="00967461" w:rsidP="00EE302D">
            <w:pPr>
              <w:textAlignment w:val="center"/>
              <w:rPr>
                <w:rFonts w:ascii="宋体" w:eastAsia="宋体" w:hAnsi="宋体" w:cs="宋体"/>
                <w:sz w:val="17"/>
                <w:szCs w:val="17"/>
                <w:lang w:bidi="ar"/>
              </w:rPr>
            </w:pPr>
            <w:r w:rsidRPr="00967461">
              <w:rPr>
                <w:rFonts w:ascii="宋体" w:eastAsia="宋体" w:hAnsi="宋体" w:cs="宋体" w:hint="eastAsia"/>
                <w:sz w:val="17"/>
                <w:szCs w:val="17"/>
                <w:lang w:bidi="ar"/>
              </w:rPr>
              <w:t>未分配利润</w:t>
            </w:r>
          </w:p>
        </w:tc>
        <w:tc>
          <w:tcPr>
            <w:tcW w:w="1842" w:type="dxa"/>
            <w:tcBorders>
              <w:top w:val="single" w:sz="4" w:space="0" w:color="auto"/>
              <w:left w:val="single" w:sz="4" w:space="0" w:color="auto"/>
              <w:bottom w:val="single" w:sz="4" w:space="0" w:color="auto"/>
            </w:tcBorders>
            <w:shd w:val="clear" w:color="auto" w:fill="FFFFFF"/>
            <w:vAlign w:val="center"/>
          </w:tcPr>
          <w:p w14:paraId="701E936C"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-1,272,247,163.80</w:t>
            </w:r>
          </w:p>
        </w:tc>
        <w:tc>
          <w:tcPr>
            <w:tcW w:w="1843" w:type="dxa"/>
            <w:tcBorders>
              <w:top w:val="single" w:sz="4" w:space="0" w:color="auto"/>
              <w:left w:val="single" w:sz="4" w:space="0" w:color="auto"/>
              <w:bottom w:val="single" w:sz="4" w:space="0" w:color="auto"/>
            </w:tcBorders>
            <w:shd w:val="clear" w:color="auto" w:fill="FFFFFF"/>
            <w:vAlign w:val="center"/>
          </w:tcPr>
          <w:p w14:paraId="600A9264"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-314,228,061.09</w:t>
            </w:r>
          </w:p>
        </w:tc>
        <w:tc>
          <w:tcPr>
            <w:tcW w:w="1898" w:type="dxa"/>
            <w:tcBorders>
              <w:top w:val="single" w:sz="4" w:space="0" w:color="auto"/>
              <w:left w:val="single" w:sz="4" w:space="0" w:color="auto"/>
              <w:bottom w:val="single" w:sz="4" w:space="0" w:color="auto"/>
            </w:tcBorders>
            <w:shd w:val="clear" w:color="auto" w:fill="FFFFFF"/>
            <w:vAlign w:val="center"/>
          </w:tcPr>
          <w:p w14:paraId="109EDF6C"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-1,586,475,224.89</w:t>
            </w:r>
          </w:p>
        </w:tc>
      </w:tr>
      <w:bookmarkEnd w:id="4"/>
      <w:bookmarkEnd w:id="7"/>
    </w:tbl>
    <w:p w14:paraId="76672ABA" w14:textId="77777777" w:rsidR="00967461" w:rsidRPr="00967461" w:rsidRDefault="00967461" w:rsidP="00967461">
      <w:pPr>
        <w:pStyle w:val="Bodytext10"/>
        <w:spacing w:line="446" w:lineRule="exact"/>
        <w:ind w:firstLine="0"/>
        <w:jc w:val="both"/>
        <w:rPr>
          <w:rFonts w:cs="Arial"/>
          <w:snapToGrid w:val="0"/>
          <w:color w:val="000000"/>
          <w:kern w:val="0"/>
          <w:sz w:val="24"/>
          <w:szCs w:val="24"/>
          <w:lang w:val="en-US" w:eastAsia="zh-CN" w:bidi="ar-SA"/>
        </w:rPr>
      </w:pPr>
    </w:p>
    <w:p w14:paraId="6EDF1269" w14:textId="77777777" w:rsidR="00967461" w:rsidRPr="00967461" w:rsidRDefault="00967461" w:rsidP="00967461">
      <w:pPr>
        <w:pStyle w:val="Bodytext10"/>
        <w:spacing w:line="446" w:lineRule="exact"/>
        <w:ind w:firstLine="50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2021</w:t>
      </w:r>
      <w:r w:rsidRPr="00967461">
        <w:rPr>
          <w:rFonts w:cs="Arial" w:hint="eastAsia"/>
          <w:snapToGrid w:val="0"/>
          <w:color w:val="000000"/>
          <w:kern w:val="0"/>
          <w:sz w:val="24"/>
          <w:szCs w:val="24"/>
          <w:lang w:val="en-US" w:eastAsia="zh-CN" w:bidi="ar-SA"/>
        </w:rPr>
        <w:t>年度合并财务报表的影响</w:t>
      </w:r>
    </w:p>
    <w:tbl>
      <w:tblPr>
        <w:tblW w:w="0" w:type="auto"/>
        <w:jc w:val="center"/>
        <w:tblLayout w:type="fixed"/>
        <w:tblCellMar>
          <w:left w:w="10" w:type="dxa"/>
          <w:right w:w="10" w:type="dxa"/>
        </w:tblCellMar>
        <w:tblLook w:val="04A0" w:firstRow="1" w:lastRow="0" w:firstColumn="1" w:lastColumn="0" w:noHBand="0" w:noVBand="1"/>
      </w:tblPr>
      <w:tblGrid>
        <w:gridCol w:w="2635"/>
        <w:gridCol w:w="1842"/>
        <w:gridCol w:w="1843"/>
        <w:gridCol w:w="1898"/>
      </w:tblGrid>
      <w:tr w:rsidR="00967461" w:rsidRPr="00967461" w14:paraId="2A08024E" w14:textId="77777777" w:rsidTr="00EE302D">
        <w:trPr>
          <w:trHeight w:hRule="exact" w:val="634"/>
          <w:jc w:val="center"/>
        </w:trPr>
        <w:tc>
          <w:tcPr>
            <w:tcW w:w="2635" w:type="dxa"/>
            <w:tcBorders>
              <w:top w:val="single" w:sz="4" w:space="0" w:color="auto"/>
            </w:tcBorders>
            <w:shd w:val="clear" w:color="auto" w:fill="FFFFFF"/>
            <w:vAlign w:val="bottom"/>
          </w:tcPr>
          <w:p w14:paraId="7ED23542"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61523390"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42" w:type="dxa"/>
            <w:tcBorders>
              <w:top w:val="single" w:sz="4" w:space="0" w:color="auto"/>
              <w:left w:val="single" w:sz="4" w:space="0" w:color="auto"/>
            </w:tcBorders>
            <w:shd w:val="clear" w:color="auto" w:fill="FFFFFF"/>
            <w:vAlign w:val="center"/>
          </w:tcPr>
          <w:p w14:paraId="29910EA1"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43" w:type="dxa"/>
            <w:tcBorders>
              <w:top w:val="single" w:sz="4" w:space="0" w:color="auto"/>
              <w:left w:val="single" w:sz="4" w:space="0" w:color="auto"/>
            </w:tcBorders>
            <w:shd w:val="clear" w:color="auto" w:fill="FFFFFF"/>
            <w:vAlign w:val="center"/>
          </w:tcPr>
          <w:p w14:paraId="3CEAFEDF"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98" w:type="dxa"/>
            <w:tcBorders>
              <w:top w:val="single" w:sz="4" w:space="0" w:color="auto"/>
              <w:left w:val="single" w:sz="4" w:space="0" w:color="auto"/>
            </w:tcBorders>
            <w:shd w:val="clear" w:color="auto" w:fill="FFFFFF"/>
            <w:vAlign w:val="center"/>
          </w:tcPr>
          <w:p w14:paraId="1E407653"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000ED29" w14:textId="77777777" w:rsidTr="00EE302D">
        <w:trPr>
          <w:trHeight w:hRule="exact" w:val="331"/>
          <w:jc w:val="center"/>
        </w:trPr>
        <w:tc>
          <w:tcPr>
            <w:tcW w:w="2635" w:type="dxa"/>
            <w:tcBorders>
              <w:top w:val="single" w:sz="4" w:space="0" w:color="auto"/>
            </w:tcBorders>
            <w:shd w:val="clear" w:color="auto" w:fill="FFFFFF"/>
            <w:vAlign w:val="center"/>
          </w:tcPr>
          <w:p w14:paraId="104D2E00" w14:textId="77777777" w:rsidR="00967461" w:rsidRPr="00967461" w:rsidRDefault="00967461" w:rsidP="00EE302D">
            <w:pPr>
              <w:jc w:val="center"/>
              <w:textAlignment w:val="center"/>
              <w:rPr>
                <w:rFonts w:ascii="宋体" w:eastAsia="宋体" w:hAnsi="宋体"/>
              </w:rPr>
            </w:pPr>
            <w:r w:rsidRPr="00967461">
              <w:rPr>
                <w:rFonts w:ascii="宋体" w:eastAsia="宋体" w:hAnsi="宋体" w:cs="宋体" w:hint="eastAsia"/>
                <w:sz w:val="17"/>
                <w:szCs w:val="17"/>
                <w:lang w:bidi="ar"/>
              </w:rPr>
              <w:t>合并利润表：</w:t>
            </w:r>
          </w:p>
        </w:tc>
        <w:tc>
          <w:tcPr>
            <w:tcW w:w="1842" w:type="dxa"/>
            <w:tcBorders>
              <w:top w:val="single" w:sz="4" w:space="0" w:color="auto"/>
              <w:left w:val="single" w:sz="4" w:space="0" w:color="auto"/>
            </w:tcBorders>
            <w:shd w:val="clear" w:color="auto" w:fill="FFFFFF"/>
            <w:vAlign w:val="center"/>
          </w:tcPr>
          <w:p w14:paraId="7BEA6A4C"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c>
          <w:tcPr>
            <w:tcW w:w="1843" w:type="dxa"/>
            <w:tcBorders>
              <w:top w:val="single" w:sz="4" w:space="0" w:color="auto"/>
              <w:left w:val="single" w:sz="4" w:space="0" w:color="auto"/>
            </w:tcBorders>
            <w:shd w:val="clear" w:color="auto" w:fill="FFFFFF"/>
            <w:vAlign w:val="center"/>
          </w:tcPr>
          <w:p w14:paraId="6AFCDD91"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c>
          <w:tcPr>
            <w:tcW w:w="1898" w:type="dxa"/>
            <w:tcBorders>
              <w:top w:val="single" w:sz="4" w:space="0" w:color="auto"/>
              <w:left w:val="single" w:sz="4" w:space="0" w:color="auto"/>
            </w:tcBorders>
            <w:shd w:val="clear" w:color="auto" w:fill="FFFFFF"/>
            <w:vAlign w:val="center"/>
          </w:tcPr>
          <w:p w14:paraId="01CCFC8A"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r>
      <w:tr w:rsidR="00967461" w:rsidRPr="00967461" w14:paraId="5ADFFB1B" w14:textId="77777777" w:rsidTr="00EE302D">
        <w:trPr>
          <w:trHeight w:hRule="exact" w:val="331"/>
          <w:jc w:val="center"/>
        </w:trPr>
        <w:tc>
          <w:tcPr>
            <w:tcW w:w="2635" w:type="dxa"/>
            <w:tcBorders>
              <w:top w:val="single" w:sz="4" w:space="0" w:color="auto"/>
            </w:tcBorders>
            <w:shd w:val="clear" w:color="auto" w:fill="FFFFFF"/>
            <w:vAlign w:val="center"/>
          </w:tcPr>
          <w:p w14:paraId="2E970C2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lastRenderedPageBreak/>
              <w:t>投资收益</w:t>
            </w:r>
          </w:p>
        </w:tc>
        <w:tc>
          <w:tcPr>
            <w:tcW w:w="1842" w:type="dxa"/>
            <w:tcBorders>
              <w:top w:val="single" w:sz="4" w:space="0" w:color="auto"/>
              <w:left w:val="single" w:sz="4" w:space="0" w:color="auto"/>
            </w:tcBorders>
            <w:shd w:val="clear" w:color="auto" w:fill="FFFFFF"/>
            <w:vAlign w:val="center"/>
          </w:tcPr>
          <w:p w14:paraId="73B8E4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-444,690,829.01</w:t>
            </w:r>
          </w:p>
        </w:tc>
        <w:tc>
          <w:tcPr>
            <w:tcW w:w="1843" w:type="dxa"/>
            <w:tcBorders>
              <w:top w:val="single" w:sz="4" w:space="0" w:color="auto"/>
              <w:left w:val="single" w:sz="4" w:space="0" w:color="auto"/>
            </w:tcBorders>
            <w:shd w:val="clear" w:color="auto" w:fill="FFFFFF"/>
            <w:vAlign w:val="center"/>
          </w:tcPr>
          <w:p w14:paraId="171056B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48,875,966.31</w:t>
            </w:r>
          </w:p>
        </w:tc>
        <w:tc>
          <w:tcPr>
            <w:tcW w:w="1898" w:type="dxa"/>
            <w:tcBorders>
              <w:top w:val="single" w:sz="4" w:space="0" w:color="auto"/>
              <w:left w:val="single" w:sz="4" w:space="0" w:color="auto"/>
            </w:tcBorders>
            <w:shd w:val="clear" w:color="auto" w:fill="FFFFFF"/>
            <w:vAlign w:val="center"/>
          </w:tcPr>
          <w:p w14:paraId="68DBFF5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-395,814,862.70</w:t>
            </w:r>
          </w:p>
        </w:tc>
      </w:tr>
      <w:tr w:rsidR="00967461" w:rsidRPr="00967461" w14:paraId="4E7AF1D1" w14:textId="77777777" w:rsidTr="00EE302D">
        <w:trPr>
          <w:trHeight w:hRule="exact" w:val="331"/>
          <w:jc w:val="center"/>
        </w:trPr>
        <w:tc>
          <w:tcPr>
            <w:tcW w:w="2635" w:type="dxa"/>
            <w:tcBorders>
              <w:top w:val="single" w:sz="4" w:space="0" w:color="auto"/>
            </w:tcBorders>
            <w:shd w:val="clear" w:color="auto" w:fill="FFFFFF"/>
            <w:vAlign w:val="center"/>
          </w:tcPr>
          <w:p w14:paraId="5DB12BB9"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信用减值损失</w:t>
            </w:r>
          </w:p>
        </w:tc>
        <w:tc>
          <w:tcPr>
            <w:tcW w:w="1842" w:type="dxa"/>
            <w:tcBorders>
              <w:top w:val="single" w:sz="4" w:space="0" w:color="auto"/>
              <w:left w:val="single" w:sz="4" w:space="0" w:color="auto"/>
            </w:tcBorders>
            <w:shd w:val="clear" w:color="auto" w:fill="FFFFFF"/>
            <w:vAlign w:val="center"/>
          </w:tcPr>
          <w:p w14:paraId="70E74E2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-1,313,284,774.47</w:t>
            </w:r>
          </w:p>
        </w:tc>
        <w:tc>
          <w:tcPr>
            <w:tcW w:w="1843" w:type="dxa"/>
            <w:tcBorders>
              <w:top w:val="single" w:sz="4" w:space="0" w:color="auto"/>
              <w:left w:val="single" w:sz="4" w:space="0" w:color="auto"/>
            </w:tcBorders>
            <w:shd w:val="clear" w:color="auto" w:fill="FFFFFF"/>
            <w:vAlign w:val="center"/>
          </w:tcPr>
          <w:p w14:paraId="74ADB78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281,534,467.77</w:t>
            </w:r>
          </w:p>
        </w:tc>
        <w:tc>
          <w:tcPr>
            <w:tcW w:w="1898" w:type="dxa"/>
            <w:tcBorders>
              <w:top w:val="single" w:sz="4" w:space="0" w:color="auto"/>
              <w:left w:val="single" w:sz="4" w:space="0" w:color="auto"/>
            </w:tcBorders>
            <w:shd w:val="clear" w:color="auto" w:fill="FFFFFF"/>
            <w:vAlign w:val="center"/>
          </w:tcPr>
          <w:p w14:paraId="4766D15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-1,031,750,306.70</w:t>
            </w:r>
          </w:p>
        </w:tc>
      </w:tr>
      <w:tr w:rsidR="00967461" w:rsidRPr="00967461" w14:paraId="4F66FF4B" w14:textId="77777777" w:rsidTr="00EE302D">
        <w:trPr>
          <w:trHeight w:hRule="exact" w:val="331"/>
          <w:jc w:val="center"/>
        </w:trPr>
        <w:tc>
          <w:tcPr>
            <w:tcW w:w="2635" w:type="dxa"/>
            <w:tcBorders>
              <w:top w:val="single" w:sz="4" w:space="0" w:color="auto"/>
            </w:tcBorders>
            <w:shd w:val="clear" w:color="auto" w:fill="FFFFFF"/>
            <w:vAlign w:val="center"/>
          </w:tcPr>
          <w:p w14:paraId="5D9BC3A1" w14:textId="77777777" w:rsidR="00967461" w:rsidRPr="00967461" w:rsidRDefault="00967461" w:rsidP="00EE302D">
            <w:pPr>
              <w:textAlignment w:val="center"/>
              <w:rPr>
                <w:rFonts w:ascii="宋体" w:eastAsia="宋体" w:hAnsi="宋体"/>
              </w:rPr>
            </w:pPr>
            <w:r w:rsidRPr="00967461">
              <w:rPr>
                <w:rFonts w:ascii="宋体" w:eastAsia="宋体" w:hAnsi="宋体" w:cs="宋体" w:hint="eastAsia"/>
                <w:sz w:val="17"/>
                <w:szCs w:val="17"/>
                <w:lang w:bidi="ar"/>
              </w:rPr>
              <w:t>营业外收入</w:t>
            </w:r>
          </w:p>
        </w:tc>
        <w:tc>
          <w:tcPr>
            <w:tcW w:w="1842" w:type="dxa"/>
            <w:tcBorders>
              <w:top w:val="single" w:sz="4" w:space="0" w:color="auto"/>
              <w:left w:val="single" w:sz="4" w:space="0" w:color="auto"/>
            </w:tcBorders>
            <w:shd w:val="clear" w:color="auto" w:fill="FFFFFF"/>
            <w:vAlign w:val="center"/>
          </w:tcPr>
          <w:p w14:paraId="3BACD62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35,858,695.49</w:t>
            </w:r>
          </w:p>
        </w:tc>
        <w:tc>
          <w:tcPr>
            <w:tcW w:w="1843" w:type="dxa"/>
            <w:tcBorders>
              <w:top w:val="single" w:sz="4" w:space="0" w:color="auto"/>
              <w:left w:val="single" w:sz="4" w:space="0" w:color="auto"/>
            </w:tcBorders>
            <w:shd w:val="clear" w:color="auto" w:fill="FFFFFF"/>
            <w:vAlign w:val="center"/>
          </w:tcPr>
          <w:p w14:paraId="709F4CE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-16,182,372.99</w:t>
            </w:r>
          </w:p>
        </w:tc>
        <w:tc>
          <w:tcPr>
            <w:tcW w:w="1898" w:type="dxa"/>
            <w:tcBorders>
              <w:top w:val="single" w:sz="4" w:space="0" w:color="auto"/>
              <w:left w:val="single" w:sz="4" w:space="0" w:color="auto"/>
            </w:tcBorders>
            <w:shd w:val="clear" w:color="auto" w:fill="FFFFFF"/>
            <w:vAlign w:val="center"/>
          </w:tcPr>
          <w:p w14:paraId="2A5664D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19,676,322.50</w:t>
            </w:r>
          </w:p>
        </w:tc>
      </w:tr>
      <w:tr w:rsidR="00967461" w:rsidRPr="00967461" w14:paraId="182D0039" w14:textId="77777777" w:rsidTr="00EE302D">
        <w:trPr>
          <w:trHeight w:hRule="exact" w:val="331"/>
          <w:jc w:val="center"/>
        </w:trPr>
        <w:tc>
          <w:tcPr>
            <w:tcW w:w="2635" w:type="dxa"/>
            <w:tcBorders>
              <w:top w:val="single" w:sz="4" w:space="0" w:color="auto"/>
            </w:tcBorders>
            <w:shd w:val="clear" w:color="auto" w:fill="FFFFFF"/>
            <w:vAlign w:val="center"/>
          </w:tcPr>
          <w:p w14:paraId="3D5CB7C3"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42" w:type="dxa"/>
            <w:tcBorders>
              <w:top w:val="single" w:sz="4" w:space="0" w:color="auto"/>
              <w:left w:val="single" w:sz="4" w:space="0" w:color="auto"/>
            </w:tcBorders>
            <w:shd w:val="clear" w:color="auto" w:fill="FFFFFF"/>
            <w:vAlign w:val="center"/>
          </w:tcPr>
          <w:p w14:paraId="290293A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-4,175,887,669.66 </w:t>
            </w:r>
          </w:p>
        </w:tc>
        <w:tc>
          <w:tcPr>
            <w:tcW w:w="1843" w:type="dxa"/>
            <w:tcBorders>
              <w:top w:val="single" w:sz="4" w:space="0" w:color="auto"/>
              <w:left w:val="single" w:sz="4" w:space="0" w:color="auto"/>
            </w:tcBorders>
            <w:shd w:val="clear" w:color="auto" w:fill="FFFFFF"/>
            <w:vAlign w:val="center"/>
          </w:tcPr>
          <w:p w14:paraId="62E8138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314,228,061.09 </w:t>
            </w:r>
          </w:p>
        </w:tc>
        <w:tc>
          <w:tcPr>
            <w:tcW w:w="1898" w:type="dxa"/>
            <w:tcBorders>
              <w:top w:val="single" w:sz="4" w:space="0" w:color="auto"/>
              <w:left w:val="single" w:sz="4" w:space="0" w:color="auto"/>
            </w:tcBorders>
            <w:shd w:val="clear" w:color="auto" w:fill="FFFFFF"/>
            <w:vAlign w:val="center"/>
          </w:tcPr>
          <w:p w14:paraId="7C4257B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-3,861,659,608.57 </w:t>
            </w:r>
          </w:p>
        </w:tc>
      </w:tr>
      <w:tr w:rsidR="00967461" w:rsidRPr="00967461" w14:paraId="50B67EAE" w14:textId="77777777" w:rsidTr="00EE302D">
        <w:trPr>
          <w:trHeight w:hRule="exact" w:val="331"/>
          <w:jc w:val="center"/>
        </w:trPr>
        <w:tc>
          <w:tcPr>
            <w:tcW w:w="2635" w:type="dxa"/>
            <w:tcBorders>
              <w:top w:val="single" w:sz="4" w:space="0" w:color="auto"/>
            </w:tcBorders>
            <w:shd w:val="clear" w:color="auto" w:fill="FFFFFF"/>
            <w:vAlign w:val="center"/>
          </w:tcPr>
          <w:p w14:paraId="116E4946"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42" w:type="dxa"/>
            <w:tcBorders>
              <w:top w:val="single" w:sz="4" w:space="0" w:color="auto"/>
              <w:left w:val="single" w:sz="4" w:space="0" w:color="auto"/>
            </w:tcBorders>
            <w:shd w:val="clear" w:color="auto" w:fill="FFFFFF"/>
            <w:vAlign w:val="center"/>
          </w:tcPr>
          <w:p w14:paraId="4EFDCF9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-4,196,429,014.86 </w:t>
            </w:r>
          </w:p>
        </w:tc>
        <w:tc>
          <w:tcPr>
            <w:tcW w:w="1843" w:type="dxa"/>
            <w:tcBorders>
              <w:top w:val="single" w:sz="4" w:space="0" w:color="auto"/>
              <w:left w:val="single" w:sz="4" w:space="0" w:color="auto"/>
            </w:tcBorders>
            <w:shd w:val="clear" w:color="auto" w:fill="FFFFFF"/>
            <w:vAlign w:val="center"/>
          </w:tcPr>
          <w:p w14:paraId="7A124A9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314,228,061.09 </w:t>
            </w:r>
          </w:p>
        </w:tc>
        <w:tc>
          <w:tcPr>
            <w:tcW w:w="1898" w:type="dxa"/>
            <w:tcBorders>
              <w:top w:val="single" w:sz="4" w:space="0" w:color="auto"/>
              <w:left w:val="single" w:sz="4" w:space="0" w:color="auto"/>
            </w:tcBorders>
            <w:shd w:val="clear" w:color="auto" w:fill="FFFFFF"/>
            <w:vAlign w:val="center"/>
          </w:tcPr>
          <w:p w14:paraId="2AC4888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-3,882,200,953.77 </w:t>
            </w:r>
          </w:p>
        </w:tc>
      </w:tr>
      <w:tr w:rsidR="00967461" w:rsidRPr="00967461" w14:paraId="2735CFFD" w14:textId="77777777" w:rsidTr="00EE302D">
        <w:trPr>
          <w:trHeight w:hRule="exact" w:val="331"/>
          <w:jc w:val="center"/>
        </w:trPr>
        <w:tc>
          <w:tcPr>
            <w:tcW w:w="2635" w:type="dxa"/>
            <w:tcBorders>
              <w:top w:val="single" w:sz="4" w:space="0" w:color="auto"/>
              <w:bottom w:val="single" w:sz="4" w:space="0" w:color="auto"/>
            </w:tcBorders>
            <w:shd w:val="clear" w:color="auto" w:fill="FFFFFF"/>
            <w:vAlign w:val="center"/>
          </w:tcPr>
          <w:p w14:paraId="0426B8AC"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归属母公司所有者的净利润</w:t>
            </w:r>
          </w:p>
        </w:tc>
        <w:tc>
          <w:tcPr>
            <w:tcW w:w="1842" w:type="dxa"/>
            <w:tcBorders>
              <w:top w:val="single" w:sz="4" w:space="0" w:color="auto"/>
              <w:left w:val="single" w:sz="4" w:space="0" w:color="auto"/>
              <w:bottom w:val="single" w:sz="4" w:space="0" w:color="auto"/>
            </w:tcBorders>
            <w:shd w:val="clear" w:color="auto" w:fill="FFFFFF"/>
            <w:vAlign w:val="center"/>
          </w:tcPr>
          <w:p w14:paraId="5C8761B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-4,188,446,098.15 </w:t>
            </w:r>
          </w:p>
        </w:tc>
        <w:tc>
          <w:tcPr>
            <w:tcW w:w="1843" w:type="dxa"/>
            <w:tcBorders>
              <w:top w:val="single" w:sz="4" w:space="0" w:color="auto"/>
              <w:left w:val="single" w:sz="4" w:space="0" w:color="auto"/>
              <w:bottom w:val="single" w:sz="4" w:space="0" w:color="auto"/>
            </w:tcBorders>
            <w:shd w:val="clear" w:color="auto" w:fill="FFFFFF"/>
            <w:vAlign w:val="center"/>
          </w:tcPr>
          <w:p w14:paraId="50BBC0E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314,228,061.09 </w:t>
            </w:r>
          </w:p>
        </w:tc>
        <w:tc>
          <w:tcPr>
            <w:tcW w:w="1898" w:type="dxa"/>
            <w:tcBorders>
              <w:top w:val="single" w:sz="4" w:space="0" w:color="auto"/>
              <w:left w:val="single" w:sz="4" w:space="0" w:color="auto"/>
              <w:bottom w:val="single" w:sz="4" w:space="0" w:color="auto"/>
            </w:tcBorders>
            <w:shd w:val="clear" w:color="auto" w:fill="FFFFFF"/>
            <w:vAlign w:val="center"/>
          </w:tcPr>
          <w:p w14:paraId="4DE3621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-3,874,218,037.06 </w:t>
            </w:r>
          </w:p>
        </w:tc>
      </w:tr>
    </w:tbl>
    <w:p w14:paraId="5678DE06" w14:textId="77777777" w:rsidR="00967461" w:rsidRPr="00967461" w:rsidRDefault="00967461" w:rsidP="00967461">
      <w:pPr>
        <w:pStyle w:val="Bodytext10"/>
        <w:spacing w:line="446" w:lineRule="exact"/>
        <w:ind w:firstLine="0"/>
        <w:jc w:val="both"/>
        <w:rPr>
          <w:rFonts w:cs="Arial"/>
          <w:snapToGrid w:val="0"/>
          <w:color w:val="000000"/>
          <w:kern w:val="0"/>
          <w:sz w:val="24"/>
          <w:szCs w:val="24"/>
          <w:lang w:val="en-US" w:eastAsia="zh-CN" w:bidi="ar-SA"/>
        </w:rPr>
      </w:pPr>
    </w:p>
    <w:p w14:paraId="75EA6019" w14:textId="77777777" w:rsidR="00967461" w:rsidRPr="00967461" w:rsidRDefault="00967461" w:rsidP="00967461">
      <w:pPr>
        <w:pStyle w:val="Bodytext10"/>
        <w:spacing w:line="446" w:lineRule="exact"/>
        <w:jc w:val="both"/>
        <w:rPr>
          <w:rFonts w:cs="Arial"/>
          <w:snapToGrid w:val="0"/>
          <w:color w:val="000000"/>
          <w:kern w:val="0"/>
          <w:sz w:val="24"/>
          <w:szCs w:val="24"/>
          <w:lang w:val="en-US" w:eastAsia="zh-CN" w:bidi="ar-SA"/>
        </w:rPr>
      </w:pPr>
      <w:r w:rsidRPr="00967461">
        <w:rPr>
          <w:rFonts w:cs="Arial"/>
          <w:snapToGrid w:val="0"/>
          <w:color w:val="000000"/>
          <w:kern w:val="0"/>
          <w:sz w:val="24"/>
          <w:szCs w:val="24"/>
          <w:lang w:val="en-US" w:eastAsia="zh-CN" w:bidi="ar-SA"/>
        </w:rPr>
        <w:t>2</w:t>
      </w:r>
      <w:r w:rsidRPr="00967461">
        <w:rPr>
          <w:rFonts w:cs="Arial" w:hint="eastAsia"/>
          <w:snapToGrid w:val="0"/>
          <w:color w:val="000000"/>
          <w:kern w:val="0"/>
          <w:sz w:val="24"/>
          <w:szCs w:val="24"/>
          <w:lang w:val="en-US" w:eastAsia="zh-CN" w:bidi="ar-SA"/>
        </w:rPr>
        <w:t>.对母公司财务报表的影响</w:t>
      </w:r>
    </w:p>
    <w:p w14:paraId="3B7589B5"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bookmarkStart w:id="8" w:name="_Hlk131279414"/>
      <w:r w:rsidRPr="00967461">
        <w:rPr>
          <w:rFonts w:cs="Arial" w:hint="eastAsia"/>
          <w:snapToGrid w:val="0"/>
          <w:color w:val="000000"/>
          <w:kern w:val="0"/>
          <w:sz w:val="24"/>
          <w:szCs w:val="24"/>
          <w:lang w:val="en-US" w:eastAsia="zh-CN" w:bidi="ar-SA"/>
        </w:rPr>
        <w:t>对2</w:t>
      </w:r>
      <w:r w:rsidRPr="00967461">
        <w:rPr>
          <w:rFonts w:cs="Arial"/>
          <w:snapToGrid w:val="0"/>
          <w:color w:val="000000"/>
          <w:kern w:val="0"/>
          <w:sz w:val="24"/>
          <w:szCs w:val="24"/>
          <w:lang w:val="en-US" w:eastAsia="zh-CN" w:bidi="ar-SA"/>
        </w:rPr>
        <w:t>01</w:t>
      </w:r>
      <w:r w:rsidRPr="00967461">
        <w:rPr>
          <w:rFonts w:cs="Arial" w:hint="eastAsia"/>
          <w:snapToGrid w:val="0"/>
          <w:color w:val="000000"/>
          <w:kern w:val="0"/>
          <w:sz w:val="24"/>
          <w:szCs w:val="24"/>
          <w:lang w:val="en-US" w:eastAsia="zh-CN" w:bidi="ar-SA"/>
        </w:rPr>
        <w:t>3年度财务报表的影响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49B5FCDF" w14:textId="77777777" w:rsidTr="00EE302D">
        <w:trPr>
          <w:trHeight w:hRule="exact" w:val="634"/>
        </w:trPr>
        <w:tc>
          <w:tcPr>
            <w:tcW w:w="2693" w:type="dxa"/>
            <w:tcBorders>
              <w:top w:val="single" w:sz="4" w:space="0" w:color="auto"/>
            </w:tcBorders>
            <w:shd w:val="clear" w:color="auto" w:fill="FFFFFF"/>
            <w:vAlign w:val="center"/>
          </w:tcPr>
          <w:p w14:paraId="2730AA84"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110A418E"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51818F85"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726BBE3A"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2A6D99E7"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4570D471" w14:textId="77777777" w:rsidTr="00EE302D">
        <w:trPr>
          <w:trHeight w:hRule="exact" w:val="336"/>
        </w:trPr>
        <w:tc>
          <w:tcPr>
            <w:tcW w:w="2693" w:type="dxa"/>
            <w:tcBorders>
              <w:top w:val="single" w:sz="4" w:space="0" w:color="auto"/>
            </w:tcBorders>
            <w:shd w:val="clear" w:color="auto" w:fill="FFFFFF"/>
            <w:vAlign w:val="center"/>
          </w:tcPr>
          <w:p w14:paraId="65B2DB90"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199E1A60"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6166A067"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39246CDB"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3114F71B" w14:textId="77777777" w:rsidTr="00EE302D">
        <w:trPr>
          <w:trHeight w:hRule="exact" w:val="331"/>
        </w:trPr>
        <w:tc>
          <w:tcPr>
            <w:tcW w:w="2693" w:type="dxa"/>
            <w:tcBorders>
              <w:top w:val="single" w:sz="4" w:space="0" w:color="auto"/>
            </w:tcBorders>
            <w:shd w:val="clear" w:color="auto" w:fill="FFFFFF"/>
            <w:vAlign w:val="center"/>
          </w:tcPr>
          <w:p w14:paraId="1492C673"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5DD3E39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2,143,763,405.92</w:t>
            </w:r>
          </w:p>
        </w:tc>
        <w:tc>
          <w:tcPr>
            <w:tcW w:w="1766" w:type="dxa"/>
            <w:tcBorders>
              <w:top w:val="single" w:sz="4" w:space="0" w:color="auto"/>
              <w:left w:val="single" w:sz="4" w:space="0" w:color="auto"/>
            </w:tcBorders>
            <w:shd w:val="clear" w:color="auto" w:fill="FFFFFF"/>
            <w:vAlign w:val="center"/>
          </w:tcPr>
          <w:p w14:paraId="24D02D4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77" w:type="dxa"/>
            <w:tcBorders>
              <w:top w:val="single" w:sz="4" w:space="0" w:color="auto"/>
              <w:left w:val="single" w:sz="4" w:space="0" w:color="auto"/>
            </w:tcBorders>
            <w:shd w:val="clear" w:color="auto" w:fill="FFFFFF"/>
            <w:vAlign w:val="center"/>
          </w:tcPr>
          <w:p w14:paraId="61666A9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2,135,312,422.09</w:t>
            </w:r>
          </w:p>
        </w:tc>
      </w:tr>
      <w:tr w:rsidR="00967461" w:rsidRPr="00967461" w14:paraId="14690F1F" w14:textId="77777777" w:rsidTr="00EE302D">
        <w:trPr>
          <w:trHeight w:hRule="exact" w:val="331"/>
        </w:trPr>
        <w:tc>
          <w:tcPr>
            <w:tcW w:w="2693" w:type="dxa"/>
            <w:tcBorders>
              <w:top w:val="single" w:sz="4" w:space="0" w:color="auto"/>
            </w:tcBorders>
            <w:shd w:val="clear" w:color="auto" w:fill="FFFFFF"/>
            <w:vAlign w:val="center"/>
          </w:tcPr>
          <w:p w14:paraId="0C589A22"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3E1DBD3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15F140B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634CCD3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7EB6D85E" w14:textId="77777777" w:rsidTr="00EE302D">
        <w:trPr>
          <w:trHeight w:hRule="exact" w:val="331"/>
        </w:trPr>
        <w:tc>
          <w:tcPr>
            <w:tcW w:w="2693" w:type="dxa"/>
            <w:tcBorders>
              <w:top w:val="single" w:sz="4" w:space="0" w:color="auto"/>
            </w:tcBorders>
            <w:shd w:val="clear" w:color="auto" w:fill="FFFFFF"/>
            <w:vAlign w:val="center"/>
          </w:tcPr>
          <w:p w14:paraId="1D75D9D4"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4D324B0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219,583,602.06</w:t>
            </w:r>
          </w:p>
        </w:tc>
        <w:tc>
          <w:tcPr>
            <w:tcW w:w="1766" w:type="dxa"/>
            <w:tcBorders>
              <w:top w:val="single" w:sz="4" w:space="0" w:color="auto"/>
              <w:left w:val="single" w:sz="4" w:space="0" w:color="auto"/>
            </w:tcBorders>
            <w:shd w:val="clear" w:color="auto" w:fill="FFFFFF"/>
            <w:vAlign w:val="center"/>
          </w:tcPr>
          <w:p w14:paraId="1D74D0B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77" w:type="dxa"/>
            <w:tcBorders>
              <w:top w:val="single" w:sz="4" w:space="0" w:color="auto"/>
              <w:left w:val="single" w:sz="4" w:space="0" w:color="auto"/>
            </w:tcBorders>
            <w:shd w:val="clear" w:color="auto" w:fill="FFFFFF"/>
            <w:vAlign w:val="center"/>
          </w:tcPr>
          <w:p w14:paraId="2577C46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211,132,618.23</w:t>
            </w:r>
          </w:p>
        </w:tc>
      </w:tr>
      <w:tr w:rsidR="00967461" w:rsidRPr="00967461" w14:paraId="017CD1BF" w14:textId="77777777" w:rsidTr="00EE302D">
        <w:trPr>
          <w:trHeight w:hRule="exact" w:val="331"/>
        </w:trPr>
        <w:tc>
          <w:tcPr>
            <w:tcW w:w="2693" w:type="dxa"/>
            <w:tcBorders>
              <w:top w:val="single" w:sz="4" w:space="0" w:color="auto"/>
            </w:tcBorders>
            <w:shd w:val="clear" w:color="auto" w:fill="FFFFFF"/>
            <w:vAlign w:val="center"/>
          </w:tcPr>
          <w:p w14:paraId="47978163"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1A4B9AE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207,912,714.38</w:t>
            </w:r>
          </w:p>
        </w:tc>
        <w:tc>
          <w:tcPr>
            <w:tcW w:w="1766" w:type="dxa"/>
            <w:tcBorders>
              <w:top w:val="single" w:sz="4" w:space="0" w:color="auto"/>
              <w:left w:val="single" w:sz="4" w:space="0" w:color="auto"/>
            </w:tcBorders>
            <w:shd w:val="clear" w:color="auto" w:fill="FFFFFF"/>
            <w:vAlign w:val="center"/>
          </w:tcPr>
          <w:p w14:paraId="6181F43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77" w:type="dxa"/>
            <w:tcBorders>
              <w:top w:val="single" w:sz="4" w:space="0" w:color="auto"/>
              <w:left w:val="single" w:sz="4" w:space="0" w:color="auto"/>
            </w:tcBorders>
            <w:shd w:val="clear" w:color="auto" w:fill="FFFFFF"/>
            <w:vAlign w:val="center"/>
          </w:tcPr>
          <w:p w14:paraId="5181F40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199,461,730.55</w:t>
            </w:r>
          </w:p>
        </w:tc>
      </w:tr>
      <w:tr w:rsidR="00967461" w:rsidRPr="00967461" w14:paraId="1F6CD220"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2C874E4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5DD1BA2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207,647,917.56</w:t>
            </w:r>
          </w:p>
        </w:tc>
        <w:tc>
          <w:tcPr>
            <w:tcW w:w="1766" w:type="dxa"/>
            <w:tcBorders>
              <w:top w:val="single" w:sz="4" w:space="0" w:color="auto"/>
              <w:left w:val="single" w:sz="4" w:space="0" w:color="auto"/>
              <w:bottom w:val="single" w:sz="4" w:space="0" w:color="auto"/>
            </w:tcBorders>
            <w:shd w:val="clear" w:color="auto" w:fill="FFFFFF"/>
            <w:vAlign w:val="center"/>
          </w:tcPr>
          <w:p w14:paraId="51DE50E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-8,450,983.83</w:t>
            </w:r>
          </w:p>
        </w:tc>
        <w:tc>
          <w:tcPr>
            <w:tcW w:w="1877" w:type="dxa"/>
            <w:tcBorders>
              <w:top w:val="single" w:sz="4" w:space="0" w:color="auto"/>
              <w:left w:val="single" w:sz="4" w:space="0" w:color="auto"/>
              <w:bottom w:val="single" w:sz="4" w:space="0" w:color="auto"/>
            </w:tcBorders>
            <w:shd w:val="clear" w:color="auto" w:fill="FFFFFF"/>
            <w:vAlign w:val="center"/>
          </w:tcPr>
          <w:p w14:paraId="58D2860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199,196,933.73</w:t>
            </w:r>
          </w:p>
        </w:tc>
      </w:tr>
    </w:tbl>
    <w:p w14:paraId="2CC5DAB6"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p>
    <w:p w14:paraId="3D643DBA"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对2</w:t>
      </w:r>
      <w:r w:rsidRPr="00967461">
        <w:rPr>
          <w:rFonts w:cs="Arial"/>
          <w:snapToGrid w:val="0"/>
          <w:color w:val="000000"/>
          <w:kern w:val="0"/>
          <w:sz w:val="24"/>
          <w:szCs w:val="24"/>
          <w:lang w:val="en-US" w:eastAsia="zh-CN" w:bidi="ar-SA"/>
        </w:rPr>
        <w:t>01</w:t>
      </w:r>
      <w:r w:rsidRPr="00967461">
        <w:rPr>
          <w:rFonts w:cs="Arial" w:hint="eastAsia"/>
          <w:snapToGrid w:val="0"/>
          <w:color w:val="000000"/>
          <w:kern w:val="0"/>
          <w:sz w:val="24"/>
          <w:szCs w:val="24"/>
          <w:lang w:val="en-US" w:eastAsia="zh-CN" w:bidi="ar-SA"/>
        </w:rPr>
        <w:t>4年度财务报表的影响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2D9F4F57" w14:textId="77777777" w:rsidTr="00EE302D">
        <w:trPr>
          <w:trHeight w:hRule="exact" w:val="634"/>
        </w:trPr>
        <w:tc>
          <w:tcPr>
            <w:tcW w:w="2693" w:type="dxa"/>
            <w:tcBorders>
              <w:top w:val="single" w:sz="4" w:space="0" w:color="auto"/>
            </w:tcBorders>
            <w:shd w:val="clear" w:color="auto" w:fill="FFFFFF"/>
            <w:vAlign w:val="center"/>
          </w:tcPr>
          <w:p w14:paraId="49A0D898"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3AA218C2"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779CA6A3"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4FB1A517"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6D173028"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2FB00741" w14:textId="77777777" w:rsidTr="00EE302D">
        <w:trPr>
          <w:trHeight w:hRule="exact" w:val="336"/>
        </w:trPr>
        <w:tc>
          <w:tcPr>
            <w:tcW w:w="2693" w:type="dxa"/>
            <w:tcBorders>
              <w:top w:val="single" w:sz="4" w:space="0" w:color="auto"/>
            </w:tcBorders>
            <w:shd w:val="clear" w:color="auto" w:fill="FFFFFF"/>
            <w:vAlign w:val="center"/>
          </w:tcPr>
          <w:p w14:paraId="53B38A28"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29C7FA4C"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77DA004F"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014ADA9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1DFA2390" w14:textId="77777777" w:rsidTr="00EE302D">
        <w:trPr>
          <w:trHeight w:hRule="exact" w:val="331"/>
        </w:trPr>
        <w:tc>
          <w:tcPr>
            <w:tcW w:w="2693" w:type="dxa"/>
            <w:tcBorders>
              <w:top w:val="single" w:sz="4" w:space="0" w:color="auto"/>
            </w:tcBorders>
            <w:shd w:val="clear" w:color="auto" w:fill="FFFFFF"/>
            <w:vAlign w:val="center"/>
          </w:tcPr>
          <w:p w14:paraId="0F1317E4"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6A884B8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3,805,059,849.76</w:t>
            </w:r>
          </w:p>
        </w:tc>
        <w:tc>
          <w:tcPr>
            <w:tcW w:w="1766" w:type="dxa"/>
            <w:tcBorders>
              <w:top w:val="single" w:sz="4" w:space="0" w:color="auto"/>
              <w:left w:val="single" w:sz="4" w:space="0" w:color="auto"/>
            </w:tcBorders>
            <w:shd w:val="clear" w:color="auto" w:fill="FFFFFF"/>
            <w:vAlign w:val="center"/>
          </w:tcPr>
          <w:p w14:paraId="09C7278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-25,353,121.46</w:t>
            </w:r>
          </w:p>
        </w:tc>
        <w:tc>
          <w:tcPr>
            <w:tcW w:w="1877" w:type="dxa"/>
            <w:tcBorders>
              <w:top w:val="single" w:sz="4" w:space="0" w:color="auto"/>
              <w:left w:val="single" w:sz="4" w:space="0" w:color="auto"/>
            </w:tcBorders>
            <w:shd w:val="clear" w:color="auto" w:fill="FFFFFF"/>
            <w:vAlign w:val="center"/>
          </w:tcPr>
          <w:p w14:paraId="3843D97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3,779,706,728.30</w:t>
            </w:r>
          </w:p>
        </w:tc>
      </w:tr>
      <w:tr w:rsidR="00967461" w:rsidRPr="00967461" w14:paraId="2B00D22D" w14:textId="77777777" w:rsidTr="00EE302D">
        <w:trPr>
          <w:trHeight w:hRule="exact" w:val="331"/>
        </w:trPr>
        <w:tc>
          <w:tcPr>
            <w:tcW w:w="2693" w:type="dxa"/>
            <w:tcBorders>
              <w:top w:val="single" w:sz="4" w:space="0" w:color="auto"/>
            </w:tcBorders>
            <w:shd w:val="clear" w:color="auto" w:fill="FFFFFF"/>
            <w:vAlign w:val="center"/>
          </w:tcPr>
          <w:p w14:paraId="20331EC9"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6430C5D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3E225AC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4701CC2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0218BC50" w14:textId="77777777" w:rsidTr="00EE302D">
        <w:trPr>
          <w:trHeight w:hRule="exact" w:val="331"/>
        </w:trPr>
        <w:tc>
          <w:tcPr>
            <w:tcW w:w="2693" w:type="dxa"/>
            <w:tcBorders>
              <w:top w:val="single" w:sz="4" w:space="0" w:color="auto"/>
            </w:tcBorders>
            <w:shd w:val="clear" w:color="auto" w:fill="FFFFFF"/>
            <w:vAlign w:val="center"/>
          </w:tcPr>
          <w:p w14:paraId="598BC71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62608BE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76,882,695.83</w:t>
            </w:r>
          </w:p>
        </w:tc>
        <w:tc>
          <w:tcPr>
            <w:tcW w:w="1766" w:type="dxa"/>
            <w:tcBorders>
              <w:top w:val="single" w:sz="4" w:space="0" w:color="auto"/>
              <w:left w:val="single" w:sz="4" w:space="0" w:color="auto"/>
            </w:tcBorders>
            <w:shd w:val="clear" w:color="auto" w:fill="FFFFFF"/>
            <w:vAlign w:val="center"/>
          </w:tcPr>
          <w:p w14:paraId="2CE4D82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77" w:type="dxa"/>
            <w:tcBorders>
              <w:top w:val="single" w:sz="4" w:space="0" w:color="auto"/>
              <w:left w:val="single" w:sz="4" w:space="0" w:color="auto"/>
            </w:tcBorders>
            <w:shd w:val="clear" w:color="auto" w:fill="FFFFFF"/>
            <w:vAlign w:val="center"/>
          </w:tcPr>
          <w:p w14:paraId="6244BD2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59,980,558.20</w:t>
            </w:r>
          </w:p>
        </w:tc>
      </w:tr>
      <w:tr w:rsidR="00967461" w:rsidRPr="00967461" w14:paraId="7DA03D42" w14:textId="77777777" w:rsidTr="00EE302D">
        <w:trPr>
          <w:trHeight w:hRule="exact" w:val="331"/>
        </w:trPr>
        <w:tc>
          <w:tcPr>
            <w:tcW w:w="2693" w:type="dxa"/>
            <w:tcBorders>
              <w:top w:val="single" w:sz="4" w:space="0" w:color="auto"/>
            </w:tcBorders>
            <w:shd w:val="clear" w:color="auto" w:fill="FFFFFF"/>
            <w:vAlign w:val="center"/>
          </w:tcPr>
          <w:p w14:paraId="09FCFF5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49DB670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77,816,948.37</w:t>
            </w:r>
          </w:p>
        </w:tc>
        <w:tc>
          <w:tcPr>
            <w:tcW w:w="1766" w:type="dxa"/>
            <w:tcBorders>
              <w:top w:val="single" w:sz="4" w:space="0" w:color="auto"/>
              <w:left w:val="single" w:sz="4" w:space="0" w:color="auto"/>
            </w:tcBorders>
            <w:shd w:val="clear" w:color="auto" w:fill="FFFFFF"/>
            <w:vAlign w:val="center"/>
          </w:tcPr>
          <w:p w14:paraId="010C1C2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77" w:type="dxa"/>
            <w:tcBorders>
              <w:top w:val="single" w:sz="4" w:space="0" w:color="auto"/>
              <w:left w:val="single" w:sz="4" w:space="0" w:color="auto"/>
            </w:tcBorders>
            <w:shd w:val="clear" w:color="auto" w:fill="FFFFFF"/>
            <w:vAlign w:val="center"/>
          </w:tcPr>
          <w:p w14:paraId="48A1AE1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60,914,810.74</w:t>
            </w:r>
          </w:p>
        </w:tc>
      </w:tr>
      <w:tr w:rsidR="00967461" w:rsidRPr="00967461" w14:paraId="0479CB08"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075B0C49"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4AF2F10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76,116,853.18</w:t>
            </w:r>
          </w:p>
        </w:tc>
        <w:tc>
          <w:tcPr>
            <w:tcW w:w="1766" w:type="dxa"/>
            <w:tcBorders>
              <w:top w:val="single" w:sz="4" w:space="0" w:color="auto"/>
              <w:left w:val="single" w:sz="4" w:space="0" w:color="auto"/>
              <w:bottom w:val="single" w:sz="4" w:space="0" w:color="auto"/>
            </w:tcBorders>
            <w:shd w:val="clear" w:color="auto" w:fill="FFFFFF"/>
            <w:vAlign w:val="center"/>
          </w:tcPr>
          <w:p w14:paraId="6514C52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-16,902,137.63</w:t>
            </w:r>
          </w:p>
        </w:tc>
        <w:tc>
          <w:tcPr>
            <w:tcW w:w="1877" w:type="dxa"/>
            <w:tcBorders>
              <w:top w:val="single" w:sz="4" w:space="0" w:color="auto"/>
              <w:left w:val="single" w:sz="4" w:space="0" w:color="auto"/>
              <w:bottom w:val="single" w:sz="4" w:space="0" w:color="auto"/>
            </w:tcBorders>
            <w:shd w:val="clear" w:color="auto" w:fill="FFFFFF"/>
            <w:vAlign w:val="center"/>
          </w:tcPr>
          <w:p w14:paraId="68DD14F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59,214,715.55</w:t>
            </w:r>
          </w:p>
        </w:tc>
      </w:tr>
    </w:tbl>
    <w:p w14:paraId="4F6EA515"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p>
    <w:p w14:paraId="62BFF2CA"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对2</w:t>
      </w:r>
      <w:r w:rsidRPr="00967461">
        <w:rPr>
          <w:rFonts w:cs="Arial"/>
          <w:snapToGrid w:val="0"/>
          <w:color w:val="000000"/>
          <w:kern w:val="0"/>
          <w:sz w:val="24"/>
          <w:szCs w:val="24"/>
          <w:lang w:val="en-US" w:eastAsia="zh-CN" w:bidi="ar-SA"/>
        </w:rPr>
        <w:t>01</w:t>
      </w:r>
      <w:r w:rsidRPr="00967461">
        <w:rPr>
          <w:rFonts w:cs="Arial" w:hint="eastAsia"/>
          <w:snapToGrid w:val="0"/>
          <w:color w:val="000000"/>
          <w:kern w:val="0"/>
          <w:sz w:val="24"/>
          <w:szCs w:val="24"/>
          <w:lang w:val="en-US" w:eastAsia="zh-CN" w:bidi="ar-SA"/>
        </w:rPr>
        <w:t>5年度财务报表的影响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39D4087F" w14:textId="77777777" w:rsidTr="00EE302D">
        <w:trPr>
          <w:trHeight w:hRule="exact" w:val="634"/>
        </w:trPr>
        <w:tc>
          <w:tcPr>
            <w:tcW w:w="2693" w:type="dxa"/>
            <w:tcBorders>
              <w:top w:val="single" w:sz="4" w:space="0" w:color="auto"/>
            </w:tcBorders>
            <w:shd w:val="clear" w:color="auto" w:fill="FFFFFF"/>
            <w:vAlign w:val="center"/>
          </w:tcPr>
          <w:p w14:paraId="78D21941"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2F1FC5B4"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70F0643A"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5141FD1B"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6B97CE58"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4AB9C494" w14:textId="77777777" w:rsidTr="00EE302D">
        <w:trPr>
          <w:trHeight w:hRule="exact" w:val="336"/>
        </w:trPr>
        <w:tc>
          <w:tcPr>
            <w:tcW w:w="2693" w:type="dxa"/>
            <w:tcBorders>
              <w:top w:val="single" w:sz="4" w:space="0" w:color="auto"/>
            </w:tcBorders>
            <w:shd w:val="clear" w:color="auto" w:fill="FFFFFF"/>
            <w:vAlign w:val="center"/>
          </w:tcPr>
          <w:p w14:paraId="1656B3CD"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173C73C7"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05324488"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747BC176"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0225CE66" w14:textId="77777777" w:rsidTr="00EE302D">
        <w:trPr>
          <w:trHeight w:hRule="exact" w:val="331"/>
        </w:trPr>
        <w:tc>
          <w:tcPr>
            <w:tcW w:w="2693" w:type="dxa"/>
            <w:tcBorders>
              <w:top w:val="single" w:sz="4" w:space="0" w:color="auto"/>
            </w:tcBorders>
            <w:shd w:val="clear" w:color="auto" w:fill="FFFFFF"/>
            <w:vAlign w:val="center"/>
          </w:tcPr>
          <w:p w14:paraId="53B72D38"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354E93D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4,045,601,180.31</w:t>
            </w:r>
          </w:p>
        </w:tc>
        <w:tc>
          <w:tcPr>
            <w:tcW w:w="1766" w:type="dxa"/>
            <w:tcBorders>
              <w:top w:val="single" w:sz="4" w:space="0" w:color="auto"/>
              <w:left w:val="single" w:sz="4" w:space="0" w:color="auto"/>
            </w:tcBorders>
            <w:shd w:val="clear" w:color="auto" w:fill="FFFFFF"/>
            <w:vAlign w:val="center"/>
          </w:tcPr>
          <w:p w14:paraId="22895D9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-14,315,185.33</w:t>
            </w:r>
          </w:p>
        </w:tc>
        <w:tc>
          <w:tcPr>
            <w:tcW w:w="1877" w:type="dxa"/>
            <w:tcBorders>
              <w:top w:val="single" w:sz="4" w:space="0" w:color="auto"/>
              <w:left w:val="single" w:sz="4" w:space="0" w:color="auto"/>
            </w:tcBorders>
            <w:shd w:val="clear" w:color="auto" w:fill="FFFFFF"/>
            <w:vAlign w:val="center"/>
          </w:tcPr>
          <w:p w14:paraId="0AD756B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4,031,285,994.98</w:t>
            </w:r>
          </w:p>
        </w:tc>
      </w:tr>
      <w:tr w:rsidR="00967461" w:rsidRPr="00967461" w14:paraId="7A7B1883" w14:textId="77777777" w:rsidTr="00EE302D">
        <w:trPr>
          <w:trHeight w:hRule="exact" w:val="331"/>
        </w:trPr>
        <w:tc>
          <w:tcPr>
            <w:tcW w:w="2693" w:type="dxa"/>
            <w:tcBorders>
              <w:top w:val="single" w:sz="4" w:space="0" w:color="auto"/>
            </w:tcBorders>
            <w:shd w:val="clear" w:color="auto" w:fill="FFFFFF"/>
            <w:vAlign w:val="center"/>
          </w:tcPr>
          <w:p w14:paraId="7F6BC976"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651CACB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181B4BE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6A3B28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35859B07" w14:textId="77777777" w:rsidTr="00EE302D">
        <w:trPr>
          <w:trHeight w:hRule="exact" w:val="331"/>
        </w:trPr>
        <w:tc>
          <w:tcPr>
            <w:tcW w:w="2693" w:type="dxa"/>
            <w:tcBorders>
              <w:top w:val="single" w:sz="4" w:space="0" w:color="auto"/>
            </w:tcBorders>
            <w:shd w:val="clear" w:color="auto" w:fill="FFFFFF"/>
            <w:vAlign w:val="center"/>
          </w:tcPr>
          <w:p w14:paraId="5F684B7B"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3F248B1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140,042,218.89</w:t>
            </w:r>
          </w:p>
        </w:tc>
        <w:tc>
          <w:tcPr>
            <w:tcW w:w="1766" w:type="dxa"/>
            <w:tcBorders>
              <w:top w:val="single" w:sz="4" w:space="0" w:color="auto"/>
              <w:left w:val="single" w:sz="4" w:space="0" w:color="auto"/>
            </w:tcBorders>
            <w:shd w:val="clear" w:color="auto" w:fill="FFFFFF"/>
            <w:vAlign w:val="center"/>
          </w:tcPr>
          <w:p w14:paraId="77F9EB2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77" w:type="dxa"/>
            <w:tcBorders>
              <w:top w:val="single" w:sz="4" w:space="0" w:color="auto"/>
              <w:left w:val="single" w:sz="4" w:space="0" w:color="auto"/>
            </w:tcBorders>
            <w:shd w:val="clear" w:color="auto" w:fill="FFFFFF"/>
            <w:vAlign w:val="center"/>
          </w:tcPr>
          <w:p w14:paraId="49BEBDD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151,080,155.02</w:t>
            </w:r>
          </w:p>
        </w:tc>
      </w:tr>
      <w:tr w:rsidR="00967461" w:rsidRPr="00967461" w14:paraId="27C468E7" w14:textId="77777777" w:rsidTr="00EE302D">
        <w:trPr>
          <w:trHeight w:hRule="exact" w:val="331"/>
        </w:trPr>
        <w:tc>
          <w:tcPr>
            <w:tcW w:w="2693" w:type="dxa"/>
            <w:tcBorders>
              <w:top w:val="single" w:sz="4" w:space="0" w:color="auto"/>
            </w:tcBorders>
            <w:shd w:val="clear" w:color="auto" w:fill="FFFFFF"/>
            <w:vAlign w:val="center"/>
          </w:tcPr>
          <w:p w14:paraId="61991EAD"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4A3AC97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67,467,010.87</w:t>
            </w:r>
          </w:p>
        </w:tc>
        <w:tc>
          <w:tcPr>
            <w:tcW w:w="1766" w:type="dxa"/>
            <w:tcBorders>
              <w:top w:val="single" w:sz="4" w:space="0" w:color="auto"/>
              <w:left w:val="single" w:sz="4" w:space="0" w:color="auto"/>
            </w:tcBorders>
            <w:shd w:val="clear" w:color="auto" w:fill="FFFFFF"/>
            <w:vAlign w:val="center"/>
          </w:tcPr>
          <w:p w14:paraId="4C4F7BF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77" w:type="dxa"/>
            <w:tcBorders>
              <w:top w:val="single" w:sz="4" w:space="0" w:color="auto"/>
              <w:left w:val="single" w:sz="4" w:space="0" w:color="auto"/>
            </w:tcBorders>
            <w:shd w:val="clear" w:color="auto" w:fill="FFFFFF"/>
            <w:vAlign w:val="center"/>
          </w:tcPr>
          <w:p w14:paraId="2052E91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78,504,947.00</w:t>
            </w:r>
          </w:p>
        </w:tc>
      </w:tr>
      <w:tr w:rsidR="00967461" w:rsidRPr="00967461" w14:paraId="032E917B"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34F9281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558370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77,742,068.74</w:t>
            </w:r>
          </w:p>
        </w:tc>
        <w:tc>
          <w:tcPr>
            <w:tcW w:w="1766" w:type="dxa"/>
            <w:tcBorders>
              <w:top w:val="single" w:sz="4" w:space="0" w:color="auto"/>
              <w:left w:val="single" w:sz="4" w:space="0" w:color="auto"/>
              <w:bottom w:val="single" w:sz="4" w:space="0" w:color="auto"/>
            </w:tcBorders>
            <w:shd w:val="clear" w:color="auto" w:fill="FFFFFF"/>
            <w:vAlign w:val="center"/>
          </w:tcPr>
          <w:p w14:paraId="2E6D20B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11,037,936.13</w:t>
            </w:r>
          </w:p>
        </w:tc>
        <w:tc>
          <w:tcPr>
            <w:tcW w:w="1877" w:type="dxa"/>
            <w:tcBorders>
              <w:top w:val="single" w:sz="4" w:space="0" w:color="auto"/>
              <w:left w:val="single" w:sz="4" w:space="0" w:color="auto"/>
              <w:bottom w:val="single" w:sz="4" w:space="0" w:color="auto"/>
            </w:tcBorders>
            <w:shd w:val="clear" w:color="auto" w:fill="FFFFFF"/>
            <w:vAlign w:val="center"/>
          </w:tcPr>
          <w:p w14:paraId="2B8E0A5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88,780,004.87</w:t>
            </w:r>
          </w:p>
        </w:tc>
      </w:tr>
    </w:tbl>
    <w:p w14:paraId="2C8FDD2C" w14:textId="77777777" w:rsidR="00967461" w:rsidRPr="00967461" w:rsidRDefault="00967461" w:rsidP="00967461">
      <w:pPr>
        <w:pStyle w:val="Bodytext10"/>
        <w:spacing w:line="446" w:lineRule="exact"/>
        <w:ind w:firstLine="0"/>
        <w:jc w:val="both"/>
        <w:rPr>
          <w:rFonts w:cs="Arial"/>
          <w:snapToGrid w:val="0"/>
          <w:color w:val="000000"/>
          <w:kern w:val="0"/>
          <w:sz w:val="24"/>
          <w:szCs w:val="24"/>
          <w:lang w:val="en-US" w:eastAsia="zh-CN" w:bidi="ar-SA"/>
        </w:rPr>
      </w:pPr>
    </w:p>
    <w:p w14:paraId="2624B163" w14:textId="77777777" w:rsidR="00967461" w:rsidRP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lastRenderedPageBreak/>
        <w:t>对2</w:t>
      </w:r>
      <w:r w:rsidRPr="00967461">
        <w:rPr>
          <w:rFonts w:cs="Arial"/>
          <w:snapToGrid w:val="0"/>
          <w:color w:val="000000"/>
          <w:kern w:val="0"/>
          <w:sz w:val="24"/>
          <w:szCs w:val="24"/>
          <w:lang w:val="en-US" w:eastAsia="zh-CN" w:bidi="ar-SA"/>
        </w:rPr>
        <w:t>016</w:t>
      </w:r>
      <w:r w:rsidRPr="00967461">
        <w:rPr>
          <w:rFonts w:cs="Arial" w:hint="eastAsia"/>
          <w:snapToGrid w:val="0"/>
          <w:color w:val="000000"/>
          <w:kern w:val="0"/>
          <w:sz w:val="24"/>
          <w:szCs w:val="24"/>
          <w:lang w:val="en-US" w:eastAsia="zh-CN" w:bidi="ar-SA"/>
        </w:rPr>
        <w:t>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2F3F5FAB" w14:textId="77777777" w:rsidTr="00EE302D">
        <w:trPr>
          <w:trHeight w:hRule="exact" w:val="634"/>
        </w:trPr>
        <w:tc>
          <w:tcPr>
            <w:tcW w:w="2693" w:type="dxa"/>
            <w:tcBorders>
              <w:top w:val="single" w:sz="4" w:space="0" w:color="auto"/>
            </w:tcBorders>
            <w:shd w:val="clear" w:color="auto" w:fill="FFFFFF"/>
            <w:vAlign w:val="center"/>
          </w:tcPr>
          <w:p w14:paraId="68B5E99F" w14:textId="77777777" w:rsidR="00967461" w:rsidRPr="00967461" w:rsidRDefault="00967461" w:rsidP="00EE302D">
            <w:pPr>
              <w:pStyle w:val="Other10"/>
              <w:spacing w:line="302" w:lineRule="exact"/>
              <w:ind w:firstLine="280"/>
              <w:jc w:val="center"/>
              <w:rPr>
                <w:color w:val="000000"/>
                <w:sz w:val="17"/>
                <w:szCs w:val="17"/>
              </w:rPr>
            </w:pPr>
            <w:bookmarkStart w:id="9" w:name="_Hlk129621089"/>
            <w:bookmarkEnd w:id="8"/>
            <w:r w:rsidRPr="00967461">
              <w:rPr>
                <w:color w:val="000000"/>
                <w:sz w:val="17"/>
                <w:szCs w:val="17"/>
              </w:rPr>
              <w:t>受影响的各个比较期间报表</w:t>
            </w:r>
          </w:p>
          <w:p w14:paraId="25D05D9E"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45A43C9B"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48B5E7B7"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0587366B"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73963A1" w14:textId="77777777" w:rsidTr="00EE302D">
        <w:trPr>
          <w:trHeight w:hRule="exact" w:val="336"/>
        </w:trPr>
        <w:tc>
          <w:tcPr>
            <w:tcW w:w="2693" w:type="dxa"/>
            <w:tcBorders>
              <w:top w:val="single" w:sz="4" w:space="0" w:color="auto"/>
            </w:tcBorders>
            <w:shd w:val="clear" w:color="auto" w:fill="FFFFFF"/>
            <w:vAlign w:val="center"/>
          </w:tcPr>
          <w:p w14:paraId="2D45F0D3"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6F348FFD"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4E84C5BC"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56A29BA1"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7E8C43ED" w14:textId="77777777" w:rsidTr="00EE302D">
        <w:trPr>
          <w:trHeight w:hRule="exact" w:val="331"/>
        </w:trPr>
        <w:tc>
          <w:tcPr>
            <w:tcW w:w="2693" w:type="dxa"/>
            <w:tcBorders>
              <w:top w:val="single" w:sz="4" w:space="0" w:color="auto"/>
            </w:tcBorders>
            <w:shd w:val="clear" w:color="auto" w:fill="FFFFFF"/>
            <w:vAlign w:val="center"/>
          </w:tcPr>
          <w:p w14:paraId="2FAFDFCC"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0929537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5,408,128,702.21</w:t>
            </w:r>
          </w:p>
        </w:tc>
        <w:tc>
          <w:tcPr>
            <w:tcW w:w="1766" w:type="dxa"/>
            <w:tcBorders>
              <w:top w:val="single" w:sz="4" w:space="0" w:color="auto"/>
              <w:left w:val="single" w:sz="4" w:space="0" w:color="auto"/>
            </w:tcBorders>
            <w:shd w:val="clear" w:color="auto" w:fill="FFFFFF"/>
            <w:vAlign w:val="center"/>
          </w:tcPr>
          <w:p w14:paraId="1173416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-872,899.77</w:t>
            </w:r>
          </w:p>
        </w:tc>
        <w:tc>
          <w:tcPr>
            <w:tcW w:w="1877" w:type="dxa"/>
            <w:tcBorders>
              <w:top w:val="single" w:sz="4" w:space="0" w:color="auto"/>
              <w:left w:val="single" w:sz="4" w:space="0" w:color="auto"/>
            </w:tcBorders>
            <w:shd w:val="clear" w:color="auto" w:fill="FFFFFF"/>
            <w:vAlign w:val="center"/>
          </w:tcPr>
          <w:p w14:paraId="0DA142C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5,407,255,802.44</w:t>
            </w:r>
          </w:p>
        </w:tc>
      </w:tr>
      <w:tr w:rsidR="00967461" w:rsidRPr="00967461" w14:paraId="39042372" w14:textId="77777777" w:rsidTr="00EE302D">
        <w:trPr>
          <w:trHeight w:hRule="exact" w:val="331"/>
        </w:trPr>
        <w:tc>
          <w:tcPr>
            <w:tcW w:w="2693" w:type="dxa"/>
            <w:tcBorders>
              <w:top w:val="single" w:sz="4" w:space="0" w:color="auto"/>
            </w:tcBorders>
            <w:shd w:val="clear" w:color="auto" w:fill="FFFFFF"/>
            <w:vAlign w:val="center"/>
          </w:tcPr>
          <w:p w14:paraId="6616E7A9"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其他流动负债</w:t>
            </w:r>
          </w:p>
        </w:tc>
        <w:tc>
          <w:tcPr>
            <w:tcW w:w="1882" w:type="dxa"/>
            <w:tcBorders>
              <w:top w:val="single" w:sz="4" w:space="0" w:color="auto"/>
              <w:left w:val="single" w:sz="4" w:space="0" w:color="auto"/>
            </w:tcBorders>
            <w:shd w:val="clear" w:color="auto" w:fill="FFFFFF"/>
            <w:vAlign w:val="center"/>
          </w:tcPr>
          <w:p w14:paraId="17C2354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900,000,000.00</w:t>
            </w:r>
          </w:p>
        </w:tc>
        <w:tc>
          <w:tcPr>
            <w:tcW w:w="1766" w:type="dxa"/>
            <w:tcBorders>
              <w:top w:val="single" w:sz="4" w:space="0" w:color="auto"/>
              <w:left w:val="single" w:sz="4" w:space="0" w:color="auto"/>
            </w:tcBorders>
            <w:shd w:val="clear" w:color="auto" w:fill="FFFFFF"/>
            <w:vAlign w:val="center"/>
          </w:tcPr>
          <w:p w14:paraId="1083D54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15,205,555.70</w:t>
            </w:r>
          </w:p>
        </w:tc>
        <w:tc>
          <w:tcPr>
            <w:tcW w:w="1877" w:type="dxa"/>
            <w:tcBorders>
              <w:top w:val="single" w:sz="4" w:space="0" w:color="auto"/>
              <w:left w:val="single" w:sz="4" w:space="0" w:color="auto"/>
            </w:tcBorders>
            <w:shd w:val="clear" w:color="auto" w:fill="FFFFFF"/>
            <w:vAlign w:val="center"/>
          </w:tcPr>
          <w:p w14:paraId="2C9A5D9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915,205,555.70</w:t>
            </w:r>
          </w:p>
        </w:tc>
      </w:tr>
      <w:tr w:rsidR="00967461" w:rsidRPr="00967461" w14:paraId="1DC3BF80" w14:textId="77777777" w:rsidTr="00EE302D">
        <w:trPr>
          <w:trHeight w:hRule="exact" w:val="331"/>
        </w:trPr>
        <w:tc>
          <w:tcPr>
            <w:tcW w:w="2693" w:type="dxa"/>
            <w:tcBorders>
              <w:top w:val="single" w:sz="4" w:space="0" w:color="auto"/>
            </w:tcBorders>
            <w:shd w:val="clear" w:color="auto" w:fill="FFFFFF"/>
            <w:vAlign w:val="center"/>
          </w:tcPr>
          <w:p w14:paraId="6ED0A6DA"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559DDC4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2417623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301E843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1E8541F5" w14:textId="77777777" w:rsidTr="00EE302D">
        <w:trPr>
          <w:trHeight w:hRule="exact" w:val="331"/>
        </w:trPr>
        <w:tc>
          <w:tcPr>
            <w:tcW w:w="2693" w:type="dxa"/>
            <w:tcBorders>
              <w:top w:val="single" w:sz="4" w:space="0" w:color="auto"/>
            </w:tcBorders>
            <w:shd w:val="clear" w:color="auto" w:fill="FFFFFF"/>
            <w:vAlign w:val="center"/>
          </w:tcPr>
          <w:p w14:paraId="799652D6"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营业收入</w:t>
            </w:r>
          </w:p>
        </w:tc>
        <w:tc>
          <w:tcPr>
            <w:tcW w:w="1882" w:type="dxa"/>
            <w:tcBorders>
              <w:top w:val="single" w:sz="4" w:space="0" w:color="auto"/>
              <w:left w:val="single" w:sz="4" w:space="0" w:color="auto"/>
            </w:tcBorders>
            <w:shd w:val="clear" w:color="auto" w:fill="FFFFFF"/>
            <w:vAlign w:val="center"/>
          </w:tcPr>
          <w:p w14:paraId="16F4C49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2,523,155,232.17 </w:t>
            </w:r>
          </w:p>
        </w:tc>
        <w:tc>
          <w:tcPr>
            <w:tcW w:w="1766" w:type="dxa"/>
            <w:tcBorders>
              <w:top w:val="single" w:sz="4" w:space="0" w:color="auto"/>
              <w:left w:val="single" w:sz="4" w:space="0" w:color="auto"/>
            </w:tcBorders>
            <w:shd w:val="clear" w:color="auto" w:fill="FFFFFF"/>
            <w:vAlign w:val="center"/>
          </w:tcPr>
          <w:p w14:paraId="4725CD0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-15,205,555.70 </w:t>
            </w:r>
          </w:p>
        </w:tc>
        <w:tc>
          <w:tcPr>
            <w:tcW w:w="1877" w:type="dxa"/>
            <w:tcBorders>
              <w:top w:val="single" w:sz="4" w:space="0" w:color="auto"/>
              <w:left w:val="single" w:sz="4" w:space="0" w:color="auto"/>
            </w:tcBorders>
            <w:shd w:val="clear" w:color="auto" w:fill="FFFFFF"/>
            <w:vAlign w:val="center"/>
          </w:tcPr>
          <w:p w14:paraId="1036B9D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2,507,949,676.47 </w:t>
            </w:r>
          </w:p>
        </w:tc>
      </w:tr>
      <w:tr w:rsidR="00967461" w:rsidRPr="00967461" w14:paraId="44DD4D83" w14:textId="77777777" w:rsidTr="00EE302D">
        <w:trPr>
          <w:trHeight w:hRule="exact" w:val="331"/>
        </w:trPr>
        <w:tc>
          <w:tcPr>
            <w:tcW w:w="2693" w:type="dxa"/>
            <w:tcBorders>
              <w:top w:val="single" w:sz="4" w:space="0" w:color="auto"/>
            </w:tcBorders>
            <w:shd w:val="clear" w:color="auto" w:fill="FFFFFF"/>
            <w:vAlign w:val="center"/>
          </w:tcPr>
          <w:p w14:paraId="79401257"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2A0C989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216,563,008.43</w:t>
            </w:r>
          </w:p>
        </w:tc>
        <w:tc>
          <w:tcPr>
            <w:tcW w:w="1766" w:type="dxa"/>
            <w:tcBorders>
              <w:top w:val="single" w:sz="4" w:space="0" w:color="auto"/>
              <w:left w:val="single" w:sz="4" w:space="0" w:color="auto"/>
            </w:tcBorders>
            <w:shd w:val="clear" w:color="auto" w:fill="FFFFFF"/>
            <w:vAlign w:val="center"/>
          </w:tcPr>
          <w:p w14:paraId="404735A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13,442,285.56</w:t>
            </w:r>
          </w:p>
        </w:tc>
        <w:tc>
          <w:tcPr>
            <w:tcW w:w="1877" w:type="dxa"/>
            <w:tcBorders>
              <w:top w:val="single" w:sz="4" w:space="0" w:color="auto"/>
              <w:left w:val="single" w:sz="4" w:space="0" w:color="auto"/>
            </w:tcBorders>
            <w:shd w:val="clear" w:color="auto" w:fill="FFFFFF"/>
            <w:vAlign w:val="center"/>
          </w:tcPr>
          <w:p w14:paraId="06E2C64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230,005,293.99</w:t>
            </w:r>
          </w:p>
        </w:tc>
      </w:tr>
      <w:tr w:rsidR="00967461" w:rsidRPr="00967461" w14:paraId="4130EB7C" w14:textId="77777777" w:rsidTr="00EE302D">
        <w:trPr>
          <w:trHeight w:hRule="exact" w:val="331"/>
        </w:trPr>
        <w:tc>
          <w:tcPr>
            <w:tcW w:w="2693" w:type="dxa"/>
            <w:tcBorders>
              <w:top w:val="single" w:sz="4" w:space="0" w:color="auto"/>
            </w:tcBorders>
            <w:shd w:val="clear" w:color="auto" w:fill="FFFFFF"/>
            <w:vAlign w:val="center"/>
          </w:tcPr>
          <w:p w14:paraId="78F36B82"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2D70610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130,473,962.47</w:t>
            </w:r>
          </w:p>
        </w:tc>
        <w:tc>
          <w:tcPr>
            <w:tcW w:w="1766" w:type="dxa"/>
            <w:tcBorders>
              <w:top w:val="single" w:sz="4" w:space="0" w:color="auto"/>
              <w:left w:val="single" w:sz="4" w:space="0" w:color="auto"/>
            </w:tcBorders>
            <w:shd w:val="clear" w:color="auto" w:fill="FFFFFF"/>
            <w:vAlign w:val="center"/>
          </w:tcPr>
          <w:p w14:paraId="4B46F45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-1,763,270.14</w:t>
            </w:r>
          </w:p>
        </w:tc>
        <w:tc>
          <w:tcPr>
            <w:tcW w:w="1877" w:type="dxa"/>
            <w:tcBorders>
              <w:top w:val="single" w:sz="4" w:space="0" w:color="auto"/>
              <w:left w:val="single" w:sz="4" w:space="0" w:color="auto"/>
            </w:tcBorders>
            <w:shd w:val="clear" w:color="auto" w:fill="FFFFFF"/>
            <w:vAlign w:val="center"/>
          </w:tcPr>
          <w:p w14:paraId="7C18097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128,710,692.33</w:t>
            </w:r>
          </w:p>
        </w:tc>
      </w:tr>
      <w:tr w:rsidR="00967461" w:rsidRPr="00967461" w14:paraId="41DDF61B"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0CC6BD41"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3F572BD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139,009,299.27</w:t>
            </w:r>
          </w:p>
        </w:tc>
        <w:tc>
          <w:tcPr>
            <w:tcW w:w="1766" w:type="dxa"/>
            <w:tcBorders>
              <w:top w:val="single" w:sz="4" w:space="0" w:color="auto"/>
              <w:left w:val="single" w:sz="4" w:space="0" w:color="auto"/>
              <w:bottom w:val="single" w:sz="4" w:space="0" w:color="auto"/>
            </w:tcBorders>
            <w:shd w:val="clear" w:color="auto" w:fill="FFFFFF"/>
            <w:vAlign w:val="center"/>
          </w:tcPr>
          <w:p w14:paraId="0E39F76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-1,763,270.14</w:t>
            </w:r>
          </w:p>
        </w:tc>
        <w:tc>
          <w:tcPr>
            <w:tcW w:w="1877" w:type="dxa"/>
            <w:tcBorders>
              <w:top w:val="single" w:sz="4" w:space="0" w:color="auto"/>
              <w:left w:val="single" w:sz="4" w:space="0" w:color="auto"/>
              <w:bottom w:val="single" w:sz="4" w:space="0" w:color="auto"/>
            </w:tcBorders>
            <w:shd w:val="clear" w:color="auto" w:fill="FFFFFF"/>
            <w:vAlign w:val="center"/>
          </w:tcPr>
          <w:p w14:paraId="60D40C0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137,246,029.13</w:t>
            </w:r>
          </w:p>
        </w:tc>
      </w:tr>
    </w:tbl>
    <w:p w14:paraId="7B373EED" w14:textId="77777777" w:rsidR="00967461" w:rsidRPr="00967461" w:rsidRDefault="00967461" w:rsidP="00967461">
      <w:pPr>
        <w:rPr>
          <w:rFonts w:ascii="宋体" w:eastAsia="宋体" w:hAnsi="宋体"/>
        </w:rPr>
      </w:pPr>
      <w:bookmarkStart w:id="10" w:name="_Hlk129621763"/>
      <w:bookmarkEnd w:id="9"/>
    </w:p>
    <w:p w14:paraId="74B0292C" w14:textId="77777777" w:rsidR="00967461" w:rsidRPr="00404B9C" w:rsidRDefault="00967461" w:rsidP="00967461">
      <w:pPr>
        <w:ind w:firstLineChars="200" w:firstLine="480"/>
        <w:rPr>
          <w:rFonts w:ascii="宋体" w:eastAsia="宋体" w:hAnsi="宋体"/>
          <w:sz w:val="24"/>
        </w:rPr>
      </w:pPr>
      <w:r w:rsidRPr="00404B9C">
        <w:rPr>
          <w:rFonts w:ascii="宋体" w:eastAsia="宋体" w:hAnsi="宋体" w:hint="eastAsia"/>
          <w:sz w:val="24"/>
        </w:rPr>
        <w:t>对</w:t>
      </w:r>
      <w:r w:rsidRPr="00404B9C">
        <w:rPr>
          <w:rFonts w:ascii="宋体" w:eastAsia="宋体" w:hAnsi="宋体"/>
          <w:sz w:val="24"/>
        </w:rPr>
        <w:t>2017</w:t>
      </w:r>
      <w:r w:rsidRPr="00404B9C">
        <w:rPr>
          <w:rFonts w:ascii="宋体" w:eastAsia="宋体" w:hAnsi="宋体" w:hint="eastAsia"/>
          <w:sz w:val="24"/>
        </w:rPr>
        <w:t>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35104174" w14:textId="77777777" w:rsidTr="00EE302D">
        <w:trPr>
          <w:trHeight w:hRule="exact" w:val="634"/>
        </w:trPr>
        <w:tc>
          <w:tcPr>
            <w:tcW w:w="2693" w:type="dxa"/>
            <w:tcBorders>
              <w:top w:val="single" w:sz="4" w:space="0" w:color="auto"/>
            </w:tcBorders>
            <w:shd w:val="clear" w:color="auto" w:fill="FFFFFF"/>
            <w:vAlign w:val="center"/>
          </w:tcPr>
          <w:p w14:paraId="252860F1" w14:textId="77777777" w:rsidR="00967461" w:rsidRPr="00967461" w:rsidRDefault="00967461" w:rsidP="00EE302D">
            <w:pPr>
              <w:pStyle w:val="Other10"/>
              <w:spacing w:line="302" w:lineRule="exact"/>
              <w:ind w:firstLine="280"/>
              <w:jc w:val="center"/>
              <w:rPr>
                <w:color w:val="000000"/>
                <w:sz w:val="17"/>
                <w:szCs w:val="17"/>
              </w:rPr>
            </w:pPr>
            <w:bookmarkStart w:id="11" w:name="_Hlk131463331"/>
            <w:r w:rsidRPr="00967461">
              <w:rPr>
                <w:color w:val="000000"/>
                <w:sz w:val="17"/>
                <w:szCs w:val="17"/>
              </w:rPr>
              <w:t>受影响的各个比较期间报表</w:t>
            </w:r>
          </w:p>
          <w:p w14:paraId="191BBD05"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582F1686"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217FE4E1"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427C492E"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AACB929" w14:textId="77777777" w:rsidTr="00EE302D">
        <w:trPr>
          <w:trHeight w:hRule="exact" w:val="336"/>
        </w:trPr>
        <w:tc>
          <w:tcPr>
            <w:tcW w:w="2693" w:type="dxa"/>
            <w:tcBorders>
              <w:top w:val="single" w:sz="4" w:space="0" w:color="auto"/>
            </w:tcBorders>
            <w:shd w:val="clear" w:color="auto" w:fill="FFFFFF"/>
            <w:vAlign w:val="center"/>
          </w:tcPr>
          <w:p w14:paraId="4BABCD84"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18F81AA5"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0122EFAE"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3451A17B" w14:textId="77777777" w:rsidR="00967461" w:rsidRPr="00967461" w:rsidRDefault="00967461" w:rsidP="00EE302D">
            <w:pPr>
              <w:jc w:val="right"/>
              <w:textAlignment w:val="center"/>
              <w:rPr>
                <w:rFonts w:ascii="宋体" w:eastAsia="宋体" w:hAnsi="宋体"/>
                <w:sz w:val="10"/>
                <w:szCs w:val="10"/>
              </w:rPr>
            </w:pPr>
            <w:r w:rsidRPr="00967461">
              <w:rPr>
                <w:rFonts w:ascii="宋体" w:eastAsia="宋体" w:hAnsi="宋体"/>
                <w:sz w:val="17"/>
                <w:szCs w:val="17"/>
                <w:lang w:bidi="ar"/>
              </w:rPr>
              <w:t xml:space="preserve">　</w:t>
            </w:r>
          </w:p>
        </w:tc>
      </w:tr>
      <w:tr w:rsidR="00967461" w:rsidRPr="00967461" w14:paraId="689F65BD" w14:textId="77777777" w:rsidTr="00EE302D">
        <w:trPr>
          <w:trHeight w:hRule="exact" w:val="331"/>
        </w:trPr>
        <w:tc>
          <w:tcPr>
            <w:tcW w:w="2693" w:type="dxa"/>
            <w:tcBorders>
              <w:top w:val="single" w:sz="4" w:space="0" w:color="auto"/>
            </w:tcBorders>
            <w:shd w:val="clear" w:color="auto" w:fill="FFFFFF"/>
            <w:vAlign w:val="center"/>
          </w:tcPr>
          <w:p w14:paraId="0F483832"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60A08D4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5,367,106,135.30</w:t>
            </w:r>
          </w:p>
        </w:tc>
        <w:tc>
          <w:tcPr>
            <w:tcW w:w="1766" w:type="dxa"/>
            <w:tcBorders>
              <w:top w:val="single" w:sz="4" w:space="0" w:color="auto"/>
              <w:left w:val="single" w:sz="4" w:space="0" w:color="auto"/>
            </w:tcBorders>
            <w:shd w:val="clear" w:color="auto" w:fill="FFFFFF"/>
            <w:vAlign w:val="center"/>
          </w:tcPr>
          <w:p w14:paraId="0A5A03E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-872,899.77</w:t>
            </w:r>
          </w:p>
        </w:tc>
        <w:tc>
          <w:tcPr>
            <w:tcW w:w="1877" w:type="dxa"/>
            <w:tcBorders>
              <w:top w:val="single" w:sz="4" w:space="0" w:color="auto"/>
              <w:left w:val="single" w:sz="4" w:space="0" w:color="auto"/>
            </w:tcBorders>
            <w:shd w:val="clear" w:color="auto" w:fill="FFFFFF"/>
            <w:vAlign w:val="center"/>
          </w:tcPr>
          <w:p w14:paraId="3A54F74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5,366,233,235.53</w:t>
            </w:r>
          </w:p>
        </w:tc>
      </w:tr>
      <w:tr w:rsidR="00967461" w:rsidRPr="00967461" w14:paraId="06EFB0AA" w14:textId="77777777" w:rsidTr="00EE302D">
        <w:trPr>
          <w:trHeight w:hRule="exact" w:val="331"/>
        </w:trPr>
        <w:tc>
          <w:tcPr>
            <w:tcW w:w="2693" w:type="dxa"/>
            <w:tcBorders>
              <w:top w:val="single" w:sz="4" w:space="0" w:color="auto"/>
            </w:tcBorders>
            <w:shd w:val="clear" w:color="auto" w:fill="FFFFFF"/>
            <w:vAlign w:val="center"/>
          </w:tcPr>
          <w:p w14:paraId="460EE2AB"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其他流动负债</w:t>
            </w:r>
          </w:p>
        </w:tc>
        <w:tc>
          <w:tcPr>
            <w:tcW w:w="1882" w:type="dxa"/>
            <w:tcBorders>
              <w:top w:val="single" w:sz="4" w:space="0" w:color="auto"/>
              <w:left w:val="single" w:sz="4" w:space="0" w:color="auto"/>
            </w:tcBorders>
            <w:shd w:val="clear" w:color="auto" w:fill="FFFFFF"/>
            <w:vAlign w:val="center"/>
          </w:tcPr>
          <w:p w14:paraId="441AA04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400,000,000.00</w:t>
            </w:r>
          </w:p>
        </w:tc>
        <w:tc>
          <w:tcPr>
            <w:tcW w:w="1766" w:type="dxa"/>
            <w:tcBorders>
              <w:top w:val="single" w:sz="4" w:space="0" w:color="auto"/>
              <w:left w:val="single" w:sz="4" w:space="0" w:color="auto"/>
            </w:tcBorders>
            <w:shd w:val="clear" w:color="auto" w:fill="FFFFFF"/>
            <w:vAlign w:val="center"/>
          </w:tcPr>
          <w:p w14:paraId="4C8280D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76,202,033.59</w:t>
            </w:r>
          </w:p>
        </w:tc>
        <w:tc>
          <w:tcPr>
            <w:tcW w:w="1877" w:type="dxa"/>
            <w:tcBorders>
              <w:top w:val="single" w:sz="4" w:space="0" w:color="auto"/>
              <w:left w:val="single" w:sz="4" w:space="0" w:color="auto"/>
            </w:tcBorders>
            <w:shd w:val="clear" w:color="auto" w:fill="FFFFFF"/>
            <w:vAlign w:val="center"/>
          </w:tcPr>
          <w:p w14:paraId="45952D1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476,202,033.59</w:t>
            </w:r>
          </w:p>
        </w:tc>
      </w:tr>
      <w:tr w:rsidR="00967461" w:rsidRPr="00967461" w14:paraId="05A298FC" w14:textId="77777777" w:rsidTr="00EE302D">
        <w:trPr>
          <w:trHeight w:hRule="exact" w:val="331"/>
        </w:trPr>
        <w:tc>
          <w:tcPr>
            <w:tcW w:w="2693" w:type="dxa"/>
            <w:tcBorders>
              <w:top w:val="single" w:sz="4" w:space="0" w:color="auto"/>
            </w:tcBorders>
            <w:shd w:val="clear" w:color="auto" w:fill="FFFFFF"/>
            <w:vAlign w:val="center"/>
          </w:tcPr>
          <w:p w14:paraId="34590D0D"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5756746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2ABC749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1AD201F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701CB448" w14:textId="77777777" w:rsidTr="00EE302D">
        <w:trPr>
          <w:trHeight w:hRule="exact" w:val="331"/>
        </w:trPr>
        <w:tc>
          <w:tcPr>
            <w:tcW w:w="2693" w:type="dxa"/>
            <w:tcBorders>
              <w:top w:val="single" w:sz="4" w:space="0" w:color="auto"/>
            </w:tcBorders>
            <w:shd w:val="clear" w:color="auto" w:fill="FFFFFF"/>
            <w:vAlign w:val="center"/>
          </w:tcPr>
          <w:p w14:paraId="49D3A1C3"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营业收入</w:t>
            </w:r>
          </w:p>
        </w:tc>
        <w:tc>
          <w:tcPr>
            <w:tcW w:w="1882" w:type="dxa"/>
            <w:tcBorders>
              <w:top w:val="single" w:sz="4" w:space="0" w:color="auto"/>
              <w:left w:val="single" w:sz="4" w:space="0" w:color="auto"/>
            </w:tcBorders>
            <w:shd w:val="clear" w:color="auto" w:fill="FFFFFF"/>
            <w:vAlign w:val="center"/>
          </w:tcPr>
          <w:p w14:paraId="56F181B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3,126,085,069.59</w:t>
            </w:r>
          </w:p>
        </w:tc>
        <w:tc>
          <w:tcPr>
            <w:tcW w:w="1766" w:type="dxa"/>
            <w:tcBorders>
              <w:top w:val="single" w:sz="4" w:space="0" w:color="auto"/>
              <w:left w:val="single" w:sz="4" w:space="0" w:color="auto"/>
            </w:tcBorders>
            <w:shd w:val="clear" w:color="auto" w:fill="FFFFFF"/>
            <w:vAlign w:val="center"/>
          </w:tcPr>
          <w:p w14:paraId="0A0B2FF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-66,712,973.67</w:t>
            </w:r>
          </w:p>
        </w:tc>
        <w:tc>
          <w:tcPr>
            <w:tcW w:w="1877" w:type="dxa"/>
            <w:tcBorders>
              <w:top w:val="single" w:sz="4" w:space="0" w:color="auto"/>
              <w:left w:val="single" w:sz="4" w:space="0" w:color="auto"/>
            </w:tcBorders>
            <w:shd w:val="clear" w:color="auto" w:fill="FFFFFF"/>
            <w:vAlign w:val="center"/>
          </w:tcPr>
          <w:p w14:paraId="6A3AE2D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3,059,372,095.92</w:t>
            </w:r>
          </w:p>
        </w:tc>
      </w:tr>
      <w:tr w:rsidR="00967461" w:rsidRPr="00967461" w14:paraId="427C4AA9" w14:textId="77777777" w:rsidTr="00EE302D">
        <w:trPr>
          <w:trHeight w:hRule="exact" w:val="331"/>
        </w:trPr>
        <w:tc>
          <w:tcPr>
            <w:tcW w:w="2693" w:type="dxa"/>
            <w:tcBorders>
              <w:top w:val="single" w:sz="4" w:space="0" w:color="auto"/>
            </w:tcBorders>
            <w:shd w:val="clear" w:color="auto" w:fill="FFFFFF"/>
            <w:vAlign w:val="center"/>
          </w:tcPr>
          <w:p w14:paraId="183D231F"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7C79249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2,843,059,214.00 </w:t>
            </w:r>
          </w:p>
        </w:tc>
        <w:tc>
          <w:tcPr>
            <w:tcW w:w="1766" w:type="dxa"/>
            <w:tcBorders>
              <w:top w:val="single" w:sz="4" w:space="0" w:color="auto"/>
              <w:left w:val="single" w:sz="4" w:space="0" w:color="auto"/>
            </w:tcBorders>
            <w:shd w:val="clear" w:color="auto" w:fill="FFFFFF"/>
            <w:vAlign w:val="center"/>
          </w:tcPr>
          <w:p w14:paraId="4E7CB36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-5,716,495.78 </w:t>
            </w:r>
          </w:p>
        </w:tc>
        <w:tc>
          <w:tcPr>
            <w:tcW w:w="1877" w:type="dxa"/>
            <w:tcBorders>
              <w:top w:val="single" w:sz="4" w:space="0" w:color="auto"/>
              <w:left w:val="single" w:sz="4" w:space="0" w:color="auto"/>
            </w:tcBorders>
            <w:shd w:val="clear" w:color="auto" w:fill="FFFFFF"/>
            <w:vAlign w:val="center"/>
          </w:tcPr>
          <w:p w14:paraId="20FA6EE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2,837,342,718.22 </w:t>
            </w:r>
          </w:p>
        </w:tc>
      </w:tr>
      <w:tr w:rsidR="00967461" w:rsidRPr="00967461" w14:paraId="2C0BAE16" w14:textId="77777777" w:rsidTr="00EE302D">
        <w:trPr>
          <w:trHeight w:hRule="exact" w:val="331"/>
        </w:trPr>
        <w:tc>
          <w:tcPr>
            <w:tcW w:w="2693" w:type="dxa"/>
            <w:tcBorders>
              <w:top w:val="single" w:sz="4" w:space="0" w:color="auto"/>
            </w:tcBorders>
            <w:shd w:val="clear" w:color="auto" w:fill="FFFFFF"/>
            <w:vAlign w:val="center"/>
          </w:tcPr>
          <w:p w14:paraId="3549139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4F80FAF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136,801,882.73</w:t>
            </w:r>
          </w:p>
        </w:tc>
        <w:tc>
          <w:tcPr>
            <w:tcW w:w="1766" w:type="dxa"/>
            <w:tcBorders>
              <w:top w:val="single" w:sz="4" w:space="0" w:color="auto"/>
              <w:left w:val="single" w:sz="4" w:space="0" w:color="auto"/>
            </w:tcBorders>
            <w:shd w:val="clear" w:color="auto" w:fill="FFFFFF"/>
            <w:vAlign w:val="center"/>
          </w:tcPr>
          <w:p w14:paraId="2228CCA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-60,996,477.89</w:t>
            </w:r>
          </w:p>
        </w:tc>
        <w:tc>
          <w:tcPr>
            <w:tcW w:w="1877" w:type="dxa"/>
            <w:tcBorders>
              <w:top w:val="single" w:sz="4" w:space="0" w:color="auto"/>
              <w:left w:val="single" w:sz="4" w:space="0" w:color="auto"/>
            </w:tcBorders>
            <w:shd w:val="clear" w:color="auto" w:fill="FFFFFF"/>
            <w:vAlign w:val="center"/>
          </w:tcPr>
          <w:p w14:paraId="123F938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75,805,404.84</w:t>
            </w:r>
          </w:p>
        </w:tc>
      </w:tr>
      <w:tr w:rsidR="00967461" w:rsidRPr="00967461" w14:paraId="2436B88D"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5722482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5935CE1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177,381,102.78</w:t>
            </w:r>
          </w:p>
        </w:tc>
        <w:tc>
          <w:tcPr>
            <w:tcW w:w="1766" w:type="dxa"/>
            <w:tcBorders>
              <w:top w:val="single" w:sz="4" w:space="0" w:color="auto"/>
              <w:left w:val="single" w:sz="4" w:space="0" w:color="auto"/>
              <w:bottom w:val="single" w:sz="4" w:space="0" w:color="auto"/>
            </w:tcBorders>
            <w:shd w:val="clear" w:color="auto" w:fill="FFFFFF"/>
            <w:vAlign w:val="center"/>
          </w:tcPr>
          <w:p w14:paraId="002F1ED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-60,996,477.89</w:t>
            </w:r>
          </w:p>
        </w:tc>
        <w:tc>
          <w:tcPr>
            <w:tcW w:w="1877" w:type="dxa"/>
            <w:tcBorders>
              <w:top w:val="single" w:sz="4" w:space="0" w:color="auto"/>
              <w:left w:val="single" w:sz="4" w:space="0" w:color="auto"/>
              <w:bottom w:val="single" w:sz="4" w:space="0" w:color="auto"/>
            </w:tcBorders>
            <w:shd w:val="clear" w:color="auto" w:fill="FFFFFF"/>
            <w:vAlign w:val="center"/>
          </w:tcPr>
          <w:p w14:paraId="2AC0096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116,384,624.89</w:t>
            </w:r>
          </w:p>
        </w:tc>
      </w:tr>
      <w:bookmarkEnd w:id="11"/>
    </w:tbl>
    <w:p w14:paraId="6252B730" w14:textId="77777777" w:rsidR="00967461" w:rsidRPr="00967461" w:rsidRDefault="00967461" w:rsidP="00967461">
      <w:pPr>
        <w:ind w:firstLineChars="200" w:firstLine="420"/>
        <w:rPr>
          <w:rFonts w:ascii="宋体" w:eastAsia="宋体" w:hAnsi="宋体" w:cs="宋体"/>
        </w:rPr>
      </w:pPr>
    </w:p>
    <w:p w14:paraId="61FB4F7B" w14:textId="6EF4D750" w:rsidR="00967461" w:rsidRPr="00404B9C" w:rsidRDefault="00967461" w:rsidP="00404B9C">
      <w:pPr>
        <w:ind w:firstLineChars="200" w:firstLine="480"/>
        <w:rPr>
          <w:rFonts w:ascii="宋体" w:eastAsia="宋体" w:hAnsi="宋体" w:cs="宋体"/>
          <w:sz w:val="24"/>
          <w:szCs w:val="24"/>
        </w:rPr>
      </w:pPr>
      <w:r w:rsidRPr="00404B9C">
        <w:rPr>
          <w:rFonts w:ascii="宋体" w:eastAsia="宋体" w:hAnsi="宋体" w:cs="宋体" w:hint="eastAsia"/>
          <w:sz w:val="24"/>
          <w:szCs w:val="24"/>
        </w:rPr>
        <w:t>对</w:t>
      </w:r>
      <w:r w:rsidRPr="00404B9C">
        <w:rPr>
          <w:rFonts w:ascii="宋体" w:eastAsia="宋体" w:hAnsi="宋体"/>
          <w:sz w:val="24"/>
          <w:szCs w:val="24"/>
        </w:rPr>
        <w:t>2018</w:t>
      </w:r>
      <w:r w:rsidRPr="00404B9C">
        <w:rPr>
          <w:rFonts w:ascii="宋体" w:eastAsia="宋体" w:hAnsi="宋体" w:cs="宋体" w:hint="eastAsia"/>
          <w:sz w:val="24"/>
          <w:szCs w:val="24"/>
        </w:rPr>
        <w:t>年度财务报表的影响</w:t>
      </w:r>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4F6440F7" w14:textId="77777777" w:rsidTr="00EE302D">
        <w:trPr>
          <w:trHeight w:hRule="exact" w:val="634"/>
        </w:trPr>
        <w:tc>
          <w:tcPr>
            <w:tcW w:w="2693" w:type="dxa"/>
            <w:tcBorders>
              <w:top w:val="single" w:sz="4" w:space="0" w:color="auto"/>
            </w:tcBorders>
            <w:shd w:val="clear" w:color="auto" w:fill="FFFFFF"/>
            <w:vAlign w:val="center"/>
          </w:tcPr>
          <w:p w14:paraId="01251980"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074FE1A0"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1E8F6B5B"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7F1631D2"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118250D9"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7FDF0D0C" w14:textId="77777777" w:rsidTr="00EE302D">
        <w:trPr>
          <w:trHeight w:hRule="exact" w:val="336"/>
        </w:trPr>
        <w:tc>
          <w:tcPr>
            <w:tcW w:w="2693" w:type="dxa"/>
            <w:tcBorders>
              <w:top w:val="single" w:sz="4" w:space="0" w:color="auto"/>
            </w:tcBorders>
            <w:shd w:val="clear" w:color="auto" w:fill="FFFFFF"/>
            <w:vAlign w:val="center"/>
          </w:tcPr>
          <w:p w14:paraId="541D1D0B"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7BF01C9D"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4586A946"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5A18AE2E"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7D1DAE25" w14:textId="77777777" w:rsidTr="00EE302D">
        <w:trPr>
          <w:trHeight w:hRule="exact" w:val="331"/>
        </w:trPr>
        <w:tc>
          <w:tcPr>
            <w:tcW w:w="2693" w:type="dxa"/>
            <w:tcBorders>
              <w:top w:val="single" w:sz="4" w:space="0" w:color="auto"/>
            </w:tcBorders>
            <w:shd w:val="clear" w:color="auto" w:fill="FFFFFF"/>
            <w:vAlign w:val="center"/>
          </w:tcPr>
          <w:p w14:paraId="2B048C9B"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6892EAE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7,175,163,585.23</w:t>
            </w:r>
          </w:p>
        </w:tc>
        <w:tc>
          <w:tcPr>
            <w:tcW w:w="1766" w:type="dxa"/>
            <w:tcBorders>
              <w:top w:val="single" w:sz="4" w:space="0" w:color="auto"/>
              <w:left w:val="single" w:sz="4" w:space="0" w:color="auto"/>
            </w:tcBorders>
            <w:shd w:val="clear" w:color="auto" w:fill="FFFFFF"/>
            <w:vAlign w:val="center"/>
          </w:tcPr>
          <w:p w14:paraId="674A7C8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-872,899.77</w:t>
            </w:r>
          </w:p>
        </w:tc>
        <w:tc>
          <w:tcPr>
            <w:tcW w:w="1877" w:type="dxa"/>
            <w:tcBorders>
              <w:top w:val="single" w:sz="4" w:space="0" w:color="auto"/>
              <w:left w:val="single" w:sz="4" w:space="0" w:color="auto"/>
            </w:tcBorders>
            <w:shd w:val="clear" w:color="auto" w:fill="FFFFFF"/>
            <w:vAlign w:val="center"/>
          </w:tcPr>
          <w:p w14:paraId="2F98345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7,174,290,685.46</w:t>
            </w:r>
          </w:p>
        </w:tc>
      </w:tr>
      <w:tr w:rsidR="00967461" w:rsidRPr="00967461" w14:paraId="0C75C092" w14:textId="77777777" w:rsidTr="00EE302D">
        <w:trPr>
          <w:trHeight w:hRule="exact" w:val="331"/>
        </w:trPr>
        <w:tc>
          <w:tcPr>
            <w:tcW w:w="2693" w:type="dxa"/>
            <w:tcBorders>
              <w:top w:val="single" w:sz="4" w:space="0" w:color="auto"/>
            </w:tcBorders>
            <w:shd w:val="clear" w:color="auto" w:fill="FFFFFF"/>
            <w:vAlign w:val="center"/>
          </w:tcPr>
          <w:p w14:paraId="76AEC3E3"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其他流动负债</w:t>
            </w:r>
          </w:p>
        </w:tc>
        <w:tc>
          <w:tcPr>
            <w:tcW w:w="1882" w:type="dxa"/>
            <w:tcBorders>
              <w:top w:val="single" w:sz="4" w:space="0" w:color="auto"/>
              <w:left w:val="single" w:sz="4" w:space="0" w:color="auto"/>
            </w:tcBorders>
            <w:shd w:val="clear" w:color="auto" w:fill="FFFFFF"/>
            <w:vAlign w:val="center"/>
          </w:tcPr>
          <w:p w14:paraId="299DE4C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0.00</w:t>
            </w:r>
          </w:p>
        </w:tc>
        <w:tc>
          <w:tcPr>
            <w:tcW w:w="1766" w:type="dxa"/>
            <w:tcBorders>
              <w:top w:val="single" w:sz="4" w:space="0" w:color="auto"/>
              <w:left w:val="single" w:sz="4" w:space="0" w:color="auto"/>
            </w:tcBorders>
            <w:shd w:val="clear" w:color="auto" w:fill="FFFFFF"/>
            <w:vAlign w:val="center"/>
          </w:tcPr>
          <w:p w14:paraId="295FB11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88,764,545.20</w:t>
            </w:r>
          </w:p>
        </w:tc>
        <w:tc>
          <w:tcPr>
            <w:tcW w:w="1877" w:type="dxa"/>
            <w:tcBorders>
              <w:top w:val="single" w:sz="4" w:space="0" w:color="auto"/>
              <w:left w:val="single" w:sz="4" w:space="0" w:color="auto"/>
            </w:tcBorders>
            <w:shd w:val="clear" w:color="auto" w:fill="FFFFFF"/>
            <w:vAlign w:val="center"/>
          </w:tcPr>
          <w:p w14:paraId="57199BA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88,764,545.20</w:t>
            </w:r>
          </w:p>
        </w:tc>
      </w:tr>
      <w:tr w:rsidR="00967461" w:rsidRPr="00967461" w14:paraId="4672633A" w14:textId="77777777" w:rsidTr="00EE302D">
        <w:trPr>
          <w:trHeight w:hRule="exact" w:val="331"/>
        </w:trPr>
        <w:tc>
          <w:tcPr>
            <w:tcW w:w="2693" w:type="dxa"/>
            <w:tcBorders>
              <w:top w:val="single" w:sz="4" w:space="0" w:color="auto"/>
            </w:tcBorders>
            <w:shd w:val="clear" w:color="auto" w:fill="FFFFFF"/>
            <w:vAlign w:val="center"/>
          </w:tcPr>
          <w:p w14:paraId="1C696587"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利润表：</w:t>
            </w:r>
          </w:p>
        </w:tc>
        <w:tc>
          <w:tcPr>
            <w:tcW w:w="1882" w:type="dxa"/>
            <w:tcBorders>
              <w:top w:val="single" w:sz="4" w:space="0" w:color="auto"/>
              <w:left w:val="single" w:sz="4" w:space="0" w:color="auto"/>
            </w:tcBorders>
            <w:shd w:val="clear" w:color="auto" w:fill="FFFFFF"/>
            <w:vAlign w:val="center"/>
          </w:tcPr>
          <w:p w14:paraId="1268A04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52D941B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73BA203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598EF7C9" w14:textId="77777777" w:rsidTr="00EE302D">
        <w:trPr>
          <w:trHeight w:hRule="exact" w:val="331"/>
        </w:trPr>
        <w:tc>
          <w:tcPr>
            <w:tcW w:w="2693" w:type="dxa"/>
            <w:tcBorders>
              <w:top w:val="single" w:sz="4" w:space="0" w:color="auto"/>
            </w:tcBorders>
            <w:shd w:val="clear" w:color="auto" w:fill="FFFFFF"/>
            <w:vAlign w:val="center"/>
          </w:tcPr>
          <w:p w14:paraId="2D55771F"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营业收入</w:t>
            </w:r>
          </w:p>
        </w:tc>
        <w:tc>
          <w:tcPr>
            <w:tcW w:w="1882" w:type="dxa"/>
            <w:tcBorders>
              <w:top w:val="single" w:sz="4" w:space="0" w:color="auto"/>
              <w:left w:val="single" w:sz="4" w:space="0" w:color="auto"/>
            </w:tcBorders>
            <w:shd w:val="clear" w:color="auto" w:fill="FFFFFF"/>
            <w:vAlign w:val="center"/>
          </w:tcPr>
          <w:p w14:paraId="42C7ABF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2,781,082,222.06</w:t>
            </w:r>
          </w:p>
        </w:tc>
        <w:tc>
          <w:tcPr>
            <w:tcW w:w="1766" w:type="dxa"/>
            <w:tcBorders>
              <w:top w:val="single" w:sz="4" w:space="0" w:color="auto"/>
              <w:left w:val="single" w:sz="4" w:space="0" w:color="auto"/>
            </w:tcBorders>
            <w:shd w:val="clear" w:color="auto" w:fill="FFFFFF"/>
            <w:vAlign w:val="center"/>
          </w:tcPr>
          <w:p w14:paraId="011C019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-13,477,701.56</w:t>
            </w:r>
          </w:p>
        </w:tc>
        <w:tc>
          <w:tcPr>
            <w:tcW w:w="1877" w:type="dxa"/>
            <w:tcBorders>
              <w:top w:val="single" w:sz="4" w:space="0" w:color="auto"/>
              <w:left w:val="single" w:sz="4" w:space="0" w:color="auto"/>
            </w:tcBorders>
            <w:shd w:val="clear" w:color="auto" w:fill="FFFFFF"/>
            <w:vAlign w:val="center"/>
          </w:tcPr>
          <w:p w14:paraId="2A74AFF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2,767,604,520.50</w:t>
            </w:r>
          </w:p>
        </w:tc>
      </w:tr>
      <w:tr w:rsidR="00967461" w:rsidRPr="00967461" w14:paraId="06EC2908" w14:textId="77777777" w:rsidTr="00EE302D">
        <w:trPr>
          <w:trHeight w:hRule="exact" w:val="331"/>
        </w:trPr>
        <w:tc>
          <w:tcPr>
            <w:tcW w:w="2693" w:type="dxa"/>
            <w:tcBorders>
              <w:top w:val="single" w:sz="4" w:space="0" w:color="auto"/>
            </w:tcBorders>
            <w:shd w:val="clear" w:color="auto" w:fill="FFFFFF"/>
            <w:vAlign w:val="center"/>
          </w:tcPr>
          <w:p w14:paraId="5CC4BEAF"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营业成本</w:t>
            </w:r>
          </w:p>
        </w:tc>
        <w:tc>
          <w:tcPr>
            <w:tcW w:w="1882" w:type="dxa"/>
            <w:tcBorders>
              <w:top w:val="single" w:sz="4" w:space="0" w:color="auto"/>
              <w:left w:val="single" w:sz="4" w:space="0" w:color="auto"/>
            </w:tcBorders>
            <w:shd w:val="clear" w:color="auto" w:fill="FFFFFF"/>
            <w:vAlign w:val="center"/>
          </w:tcPr>
          <w:p w14:paraId="02D42DD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2,511,948,311.57</w:t>
            </w:r>
          </w:p>
        </w:tc>
        <w:tc>
          <w:tcPr>
            <w:tcW w:w="1766" w:type="dxa"/>
            <w:tcBorders>
              <w:top w:val="single" w:sz="4" w:space="0" w:color="auto"/>
              <w:left w:val="single" w:sz="4" w:space="0" w:color="auto"/>
            </w:tcBorders>
            <w:shd w:val="clear" w:color="auto" w:fill="FFFFFF"/>
            <w:vAlign w:val="center"/>
          </w:tcPr>
          <w:p w14:paraId="20F085E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-915,189.95</w:t>
            </w:r>
          </w:p>
        </w:tc>
        <w:tc>
          <w:tcPr>
            <w:tcW w:w="1877" w:type="dxa"/>
            <w:tcBorders>
              <w:top w:val="single" w:sz="4" w:space="0" w:color="auto"/>
              <w:left w:val="single" w:sz="4" w:space="0" w:color="auto"/>
            </w:tcBorders>
            <w:shd w:val="clear" w:color="auto" w:fill="FFFFFF"/>
            <w:vAlign w:val="center"/>
          </w:tcPr>
          <w:p w14:paraId="464CAF4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2,511,033,121.62</w:t>
            </w:r>
          </w:p>
        </w:tc>
      </w:tr>
      <w:tr w:rsidR="00967461" w:rsidRPr="00967461" w14:paraId="246D7B2D" w14:textId="77777777" w:rsidTr="00EE302D">
        <w:trPr>
          <w:trHeight w:hRule="exact" w:val="299"/>
        </w:trPr>
        <w:tc>
          <w:tcPr>
            <w:tcW w:w="2693" w:type="dxa"/>
            <w:tcBorders>
              <w:top w:val="single" w:sz="4" w:space="0" w:color="auto"/>
            </w:tcBorders>
            <w:shd w:val="clear" w:color="auto" w:fill="FFFFFF"/>
            <w:vAlign w:val="center"/>
          </w:tcPr>
          <w:p w14:paraId="2CEED84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61EBAA0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hint="eastAsia"/>
                <w:sz w:val="17"/>
                <w:szCs w:val="17"/>
              </w:rPr>
              <w:t xml:space="preserve"> -93,539,096.48 </w:t>
            </w:r>
          </w:p>
        </w:tc>
        <w:tc>
          <w:tcPr>
            <w:tcW w:w="1766" w:type="dxa"/>
            <w:tcBorders>
              <w:top w:val="single" w:sz="4" w:space="0" w:color="auto"/>
              <w:left w:val="single" w:sz="4" w:space="0" w:color="auto"/>
            </w:tcBorders>
            <w:shd w:val="clear" w:color="auto" w:fill="FFFFFF"/>
            <w:vAlign w:val="center"/>
          </w:tcPr>
          <w:p w14:paraId="28E6BC0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-12,562,511.61 </w:t>
            </w:r>
          </w:p>
        </w:tc>
        <w:tc>
          <w:tcPr>
            <w:tcW w:w="1877" w:type="dxa"/>
            <w:tcBorders>
              <w:top w:val="single" w:sz="4" w:space="0" w:color="auto"/>
              <w:left w:val="single" w:sz="4" w:space="0" w:color="auto"/>
            </w:tcBorders>
            <w:shd w:val="clear" w:color="auto" w:fill="FFFFFF"/>
            <w:vAlign w:val="center"/>
          </w:tcPr>
          <w:p w14:paraId="36C7A76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-106,101,608.09</w:t>
            </w:r>
          </w:p>
        </w:tc>
      </w:tr>
      <w:tr w:rsidR="00967461" w:rsidRPr="00967461" w14:paraId="17DD354D"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171B2AA4"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083F9F6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-21,360,533.65</w:t>
            </w:r>
          </w:p>
        </w:tc>
        <w:tc>
          <w:tcPr>
            <w:tcW w:w="1766" w:type="dxa"/>
            <w:tcBorders>
              <w:top w:val="single" w:sz="4" w:space="0" w:color="auto"/>
              <w:left w:val="single" w:sz="4" w:space="0" w:color="auto"/>
              <w:bottom w:val="single" w:sz="4" w:space="0" w:color="auto"/>
            </w:tcBorders>
            <w:shd w:val="clear" w:color="auto" w:fill="FFFFFF"/>
            <w:vAlign w:val="center"/>
          </w:tcPr>
          <w:p w14:paraId="0BD2493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-12,562,511.61</w:t>
            </w:r>
          </w:p>
        </w:tc>
        <w:tc>
          <w:tcPr>
            <w:tcW w:w="1877" w:type="dxa"/>
            <w:tcBorders>
              <w:top w:val="single" w:sz="4" w:space="0" w:color="auto"/>
              <w:left w:val="single" w:sz="4" w:space="0" w:color="auto"/>
              <w:bottom w:val="single" w:sz="4" w:space="0" w:color="auto"/>
            </w:tcBorders>
            <w:shd w:val="clear" w:color="auto" w:fill="FFFFFF"/>
            <w:vAlign w:val="center"/>
          </w:tcPr>
          <w:p w14:paraId="1D4FC24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-33,923,045.26</w:t>
            </w:r>
          </w:p>
        </w:tc>
      </w:tr>
    </w:tbl>
    <w:p w14:paraId="1C528917" w14:textId="77777777" w:rsidR="00967461" w:rsidRPr="00967461" w:rsidRDefault="00967461" w:rsidP="00967461">
      <w:pPr>
        <w:rPr>
          <w:rFonts w:ascii="宋体" w:eastAsia="宋体" w:hAnsi="宋体"/>
        </w:rPr>
      </w:pPr>
      <w:bookmarkStart w:id="12" w:name="_Hlk131279181"/>
      <w:bookmarkEnd w:id="10"/>
    </w:p>
    <w:p w14:paraId="25620116" w14:textId="77777777" w:rsidR="00967461" w:rsidRPr="00967461" w:rsidRDefault="00967461" w:rsidP="00967461">
      <w:pPr>
        <w:pStyle w:val="Other10"/>
        <w:spacing w:line="240" w:lineRule="auto"/>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2019</w:t>
      </w:r>
      <w:r w:rsidRPr="00967461">
        <w:rPr>
          <w:rFonts w:cs="Arial" w:hint="eastAsia"/>
          <w:snapToGrid w:val="0"/>
          <w:color w:val="000000"/>
          <w:kern w:val="0"/>
          <w:sz w:val="24"/>
          <w:szCs w:val="24"/>
          <w:lang w:val="en-US" w:eastAsia="zh-CN" w:bidi="ar-SA"/>
        </w:rPr>
        <w:t>年度财务报表的影响</w:t>
      </w:r>
      <w:bookmarkEnd w:id="12"/>
    </w:p>
    <w:tbl>
      <w:tblPr>
        <w:tblpPr w:leftFromText="180" w:rightFromText="180" w:vertAnchor="text" w:horzAnchor="margin" w:tblpY="51"/>
        <w:tblOverlap w:val="never"/>
        <w:tblW w:w="0" w:type="auto"/>
        <w:tblLayout w:type="fixed"/>
        <w:tblCellMar>
          <w:left w:w="10" w:type="dxa"/>
          <w:right w:w="10" w:type="dxa"/>
        </w:tblCellMar>
        <w:tblLook w:val="04A0" w:firstRow="1" w:lastRow="0" w:firstColumn="1" w:lastColumn="0" w:noHBand="0" w:noVBand="1"/>
      </w:tblPr>
      <w:tblGrid>
        <w:gridCol w:w="2693"/>
        <w:gridCol w:w="1882"/>
        <w:gridCol w:w="1766"/>
        <w:gridCol w:w="1877"/>
      </w:tblGrid>
      <w:tr w:rsidR="00967461" w:rsidRPr="00967461" w14:paraId="68EBF4FE" w14:textId="77777777" w:rsidTr="00EE302D">
        <w:trPr>
          <w:trHeight w:hRule="exact" w:val="634"/>
        </w:trPr>
        <w:tc>
          <w:tcPr>
            <w:tcW w:w="2693" w:type="dxa"/>
            <w:tcBorders>
              <w:top w:val="single" w:sz="4" w:space="0" w:color="auto"/>
            </w:tcBorders>
            <w:shd w:val="clear" w:color="auto" w:fill="FFFFFF"/>
            <w:vAlign w:val="center"/>
          </w:tcPr>
          <w:p w14:paraId="3BD078A4"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47B108A4"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882" w:type="dxa"/>
            <w:tcBorders>
              <w:top w:val="single" w:sz="4" w:space="0" w:color="auto"/>
              <w:left w:val="single" w:sz="4" w:space="0" w:color="auto"/>
            </w:tcBorders>
            <w:shd w:val="clear" w:color="auto" w:fill="FFFFFF"/>
            <w:vAlign w:val="center"/>
          </w:tcPr>
          <w:p w14:paraId="6DA545FB"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766" w:type="dxa"/>
            <w:tcBorders>
              <w:top w:val="single" w:sz="4" w:space="0" w:color="auto"/>
              <w:left w:val="single" w:sz="4" w:space="0" w:color="auto"/>
            </w:tcBorders>
            <w:shd w:val="clear" w:color="auto" w:fill="FFFFFF"/>
            <w:vAlign w:val="center"/>
          </w:tcPr>
          <w:p w14:paraId="787A962E"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877" w:type="dxa"/>
            <w:tcBorders>
              <w:top w:val="single" w:sz="4" w:space="0" w:color="auto"/>
              <w:left w:val="single" w:sz="4" w:space="0" w:color="auto"/>
            </w:tcBorders>
            <w:shd w:val="clear" w:color="auto" w:fill="FFFFFF"/>
            <w:vAlign w:val="center"/>
          </w:tcPr>
          <w:p w14:paraId="11E06769"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37F01D46" w14:textId="77777777" w:rsidTr="00EE302D">
        <w:trPr>
          <w:trHeight w:hRule="exact" w:val="336"/>
        </w:trPr>
        <w:tc>
          <w:tcPr>
            <w:tcW w:w="2693" w:type="dxa"/>
            <w:tcBorders>
              <w:top w:val="single" w:sz="4" w:space="0" w:color="auto"/>
            </w:tcBorders>
            <w:shd w:val="clear" w:color="auto" w:fill="FFFFFF"/>
            <w:vAlign w:val="center"/>
          </w:tcPr>
          <w:p w14:paraId="3F22A9E9"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882" w:type="dxa"/>
            <w:tcBorders>
              <w:top w:val="single" w:sz="4" w:space="0" w:color="auto"/>
              <w:left w:val="single" w:sz="4" w:space="0" w:color="auto"/>
            </w:tcBorders>
            <w:shd w:val="clear" w:color="auto" w:fill="FFFFFF"/>
            <w:vAlign w:val="center"/>
          </w:tcPr>
          <w:p w14:paraId="2FDD303A"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766" w:type="dxa"/>
            <w:tcBorders>
              <w:top w:val="single" w:sz="4" w:space="0" w:color="auto"/>
              <w:left w:val="single" w:sz="4" w:space="0" w:color="auto"/>
            </w:tcBorders>
            <w:shd w:val="clear" w:color="auto" w:fill="FFFFFF"/>
            <w:vAlign w:val="center"/>
          </w:tcPr>
          <w:p w14:paraId="5390001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c>
          <w:tcPr>
            <w:tcW w:w="1877" w:type="dxa"/>
            <w:tcBorders>
              <w:top w:val="single" w:sz="4" w:space="0" w:color="auto"/>
              <w:left w:val="single" w:sz="4" w:space="0" w:color="auto"/>
            </w:tcBorders>
            <w:shd w:val="clear" w:color="auto" w:fill="FFFFFF"/>
            <w:vAlign w:val="center"/>
          </w:tcPr>
          <w:p w14:paraId="565FE564" w14:textId="77777777" w:rsidR="00967461" w:rsidRPr="00967461" w:rsidRDefault="00967461" w:rsidP="00EE302D">
            <w:pPr>
              <w:textAlignment w:val="center"/>
              <w:rPr>
                <w:rFonts w:ascii="宋体" w:eastAsia="宋体" w:hAnsi="宋体"/>
                <w:sz w:val="10"/>
                <w:szCs w:val="10"/>
              </w:rPr>
            </w:pPr>
            <w:r w:rsidRPr="00967461">
              <w:rPr>
                <w:rFonts w:ascii="宋体" w:eastAsia="宋体" w:hAnsi="宋体"/>
                <w:sz w:val="10"/>
                <w:szCs w:val="10"/>
                <w:lang w:bidi="ar"/>
              </w:rPr>
              <w:t xml:space="preserve">　</w:t>
            </w:r>
          </w:p>
        </w:tc>
      </w:tr>
      <w:tr w:rsidR="00967461" w:rsidRPr="00967461" w14:paraId="23E74537" w14:textId="77777777" w:rsidTr="00EE302D">
        <w:trPr>
          <w:trHeight w:hRule="exact" w:val="331"/>
        </w:trPr>
        <w:tc>
          <w:tcPr>
            <w:tcW w:w="2693" w:type="dxa"/>
            <w:tcBorders>
              <w:top w:val="single" w:sz="4" w:space="0" w:color="auto"/>
            </w:tcBorders>
            <w:shd w:val="clear" w:color="auto" w:fill="FFFFFF"/>
            <w:vAlign w:val="center"/>
          </w:tcPr>
          <w:p w14:paraId="119FC82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长期股权投资</w:t>
            </w:r>
          </w:p>
        </w:tc>
        <w:tc>
          <w:tcPr>
            <w:tcW w:w="1882" w:type="dxa"/>
            <w:tcBorders>
              <w:top w:val="single" w:sz="4" w:space="0" w:color="auto"/>
              <w:left w:val="single" w:sz="4" w:space="0" w:color="auto"/>
            </w:tcBorders>
            <w:shd w:val="clear" w:color="auto" w:fill="FFFFFF"/>
            <w:vAlign w:val="center"/>
          </w:tcPr>
          <w:p w14:paraId="39CDF26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7,284,946,074.13</w:t>
            </w:r>
          </w:p>
        </w:tc>
        <w:tc>
          <w:tcPr>
            <w:tcW w:w="1766" w:type="dxa"/>
            <w:tcBorders>
              <w:top w:val="single" w:sz="4" w:space="0" w:color="auto"/>
              <w:left w:val="single" w:sz="4" w:space="0" w:color="auto"/>
            </w:tcBorders>
            <w:shd w:val="clear" w:color="auto" w:fill="FFFFFF"/>
            <w:vAlign w:val="center"/>
          </w:tcPr>
          <w:p w14:paraId="2CD8634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-113,947,035.47</w:t>
            </w:r>
          </w:p>
        </w:tc>
        <w:tc>
          <w:tcPr>
            <w:tcW w:w="1877" w:type="dxa"/>
            <w:tcBorders>
              <w:top w:val="single" w:sz="4" w:space="0" w:color="auto"/>
              <w:left w:val="single" w:sz="4" w:space="0" w:color="auto"/>
            </w:tcBorders>
            <w:shd w:val="clear" w:color="auto" w:fill="FFFFFF"/>
            <w:vAlign w:val="center"/>
          </w:tcPr>
          <w:p w14:paraId="0464A3A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7,170,999,038.66</w:t>
            </w:r>
          </w:p>
        </w:tc>
      </w:tr>
      <w:tr w:rsidR="00967461" w:rsidRPr="00967461" w14:paraId="3DE0E70C" w14:textId="77777777" w:rsidTr="00EE302D">
        <w:trPr>
          <w:trHeight w:hRule="exact" w:val="331"/>
        </w:trPr>
        <w:tc>
          <w:tcPr>
            <w:tcW w:w="2693" w:type="dxa"/>
            <w:tcBorders>
              <w:top w:val="single" w:sz="4" w:space="0" w:color="auto"/>
            </w:tcBorders>
            <w:shd w:val="clear" w:color="auto" w:fill="FFFFFF"/>
            <w:vAlign w:val="center"/>
          </w:tcPr>
          <w:p w14:paraId="7A571902"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其他流动负债</w:t>
            </w:r>
          </w:p>
        </w:tc>
        <w:tc>
          <w:tcPr>
            <w:tcW w:w="1882" w:type="dxa"/>
            <w:tcBorders>
              <w:top w:val="single" w:sz="4" w:space="0" w:color="auto"/>
              <w:left w:val="single" w:sz="4" w:space="0" w:color="auto"/>
            </w:tcBorders>
            <w:shd w:val="clear" w:color="auto" w:fill="FFFFFF"/>
            <w:vAlign w:val="center"/>
          </w:tcPr>
          <w:p w14:paraId="7A674D3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0.00</w:t>
            </w:r>
          </w:p>
        </w:tc>
        <w:tc>
          <w:tcPr>
            <w:tcW w:w="1766" w:type="dxa"/>
            <w:tcBorders>
              <w:top w:val="single" w:sz="4" w:space="0" w:color="auto"/>
              <w:left w:val="single" w:sz="4" w:space="0" w:color="auto"/>
            </w:tcBorders>
            <w:shd w:val="clear" w:color="auto" w:fill="FFFFFF"/>
            <w:vAlign w:val="center"/>
          </w:tcPr>
          <w:p w14:paraId="680B5CE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180,400,407.48</w:t>
            </w:r>
          </w:p>
        </w:tc>
        <w:tc>
          <w:tcPr>
            <w:tcW w:w="1877" w:type="dxa"/>
            <w:tcBorders>
              <w:top w:val="single" w:sz="4" w:space="0" w:color="auto"/>
              <w:left w:val="single" w:sz="4" w:space="0" w:color="auto"/>
            </w:tcBorders>
            <w:shd w:val="clear" w:color="auto" w:fill="FFFFFF"/>
            <w:vAlign w:val="center"/>
          </w:tcPr>
          <w:p w14:paraId="16F7DCD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180,400,407.48</w:t>
            </w:r>
          </w:p>
        </w:tc>
      </w:tr>
      <w:tr w:rsidR="00967461" w:rsidRPr="00967461" w14:paraId="036AD7FC" w14:textId="77777777" w:rsidTr="00EE302D">
        <w:trPr>
          <w:trHeight w:hRule="exact" w:val="331"/>
        </w:trPr>
        <w:tc>
          <w:tcPr>
            <w:tcW w:w="2693" w:type="dxa"/>
            <w:tcBorders>
              <w:top w:val="single" w:sz="4" w:space="0" w:color="auto"/>
            </w:tcBorders>
            <w:shd w:val="clear" w:color="auto" w:fill="FFFFFF"/>
            <w:vAlign w:val="center"/>
          </w:tcPr>
          <w:p w14:paraId="780C8C40" w14:textId="77777777" w:rsidR="00967461" w:rsidRPr="00967461" w:rsidRDefault="00967461" w:rsidP="00EE302D">
            <w:pPr>
              <w:jc w:val="cente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lastRenderedPageBreak/>
              <w:t>利润表：</w:t>
            </w:r>
          </w:p>
        </w:tc>
        <w:tc>
          <w:tcPr>
            <w:tcW w:w="1882" w:type="dxa"/>
            <w:tcBorders>
              <w:top w:val="single" w:sz="4" w:space="0" w:color="auto"/>
              <w:left w:val="single" w:sz="4" w:space="0" w:color="auto"/>
            </w:tcBorders>
            <w:shd w:val="clear" w:color="auto" w:fill="FFFFFF"/>
            <w:vAlign w:val="center"/>
          </w:tcPr>
          <w:p w14:paraId="146D6BB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766" w:type="dxa"/>
            <w:tcBorders>
              <w:top w:val="single" w:sz="4" w:space="0" w:color="auto"/>
              <w:left w:val="single" w:sz="4" w:space="0" w:color="auto"/>
            </w:tcBorders>
            <w:shd w:val="clear" w:color="auto" w:fill="FFFFFF"/>
            <w:vAlign w:val="center"/>
          </w:tcPr>
          <w:p w14:paraId="44CAE82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77" w:type="dxa"/>
            <w:tcBorders>
              <w:top w:val="single" w:sz="4" w:space="0" w:color="auto"/>
              <w:left w:val="single" w:sz="4" w:space="0" w:color="auto"/>
            </w:tcBorders>
            <w:shd w:val="clear" w:color="auto" w:fill="FFFFFF"/>
            <w:vAlign w:val="center"/>
          </w:tcPr>
          <w:p w14:paraId="37383C3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02438B05" w14:textId="77777777" w:rsidTr="00EE302D">
        <w:trPr>
          <w:trHeight w:hRule="exact" w:val="331"/>
        </w:trPr>
        <w:tc>
          <w:tcPr>
            <w:tcW w:w="2693" w:type="dxa"/>
            <w:tcBorders>
              <w:top w:val="single" w:sz="4" w:space="0" w:color="auto"/>
            </w:tcBorders>
            <w:shd w:val="clear" w:color="auto" w:fill="FFFFFF"/>
            <w:vAlign w:val="center"/>
          </w:tcPr>
          <w:p w14:paraId="34EC956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营业收入</w:t>
            </w:r>
          </w:p>
        </w:tc>
        <w:tc>
          <w:tcPr>
            <w:tcW w:w="1882" w:type="dxa"/>
            <w:tcBorders>
              <w:top w:val="single" w:sz="4" w:space="0" w:color="auto"/>
              <w:left w:val="single" w:sz="4" w:space="0" w:color="auto"/>
            </w:tcBorders>
            <w:shd w:val="clear" w:color="auto" w:fill="FFFFFF"/>
            <w:vAlign w:val="center"/>
          </w:tcPr>
          <w:p w14:paraId="732C1C0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2,118,225,856.85</w:t>
            </w:r>
          </w:p>
        </w:tc>
        <w:tc>
          <w:tcPr>
            <w:tcW w:w="1766" w:type="dxa"/>
            <w:tcBorders>
              <w:top w:val="single" w:sz="4" w:space="0" w:color="auto"/>
              <w:left w:val="single" w:sz="4" w:space="0" w:color="auto"/>
            </w:tcBorders>
            <w:shd w:val="clear" w:color="auto" w:fill="FFFFFF"/>
            <w:vAlign w:val="center"/>
          </w:tcPr>
          <w:p w14:paraId="7E3C3EA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-99,410,081.11</w:t>
            </w:r>
          </w:p>
        </w:tc>
        <w:tc>
          <w:tcPr>
            <w:tcW w:w="1877" w:type="dxa"/>
            <w:tcBorders>
              <w:top w:val="single" w:sz="4" w:space="0" w:color="auto"/>
              <w:left w:val="single" w:sz="4" w:space="0" w:color="auto"/>
            </w:tcBorders>
            <w:shd w:val="clear" w:color="auto" w:fill="FFFFFF"/>
            <w:vAlign w:val="center"/>
          </w:tcPr>
          <w:p w14:paraId="683CDEF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2,018,815,775.74</w:t>
            </w:r>
          </w:p>
        </w:tc>
      </w:tr>
      <w:tr w:rsidR="00967461" w:rsidRPr="00967461" w14:paraId="67BAE2CC" w14:textId="77777777" w:rsidTr="00EE302D">
        <w:trPr>
          <w:trHeight w:hRule="exact" w:val="331"/>
        </w:trPr>
        <w:tc>
          <w:tcPr>
            <w:tcW w:w="2693" w:type="dxa"/>
            <w:tcBorders>
              <w:top w:val="single" w:sz="4" w:space="0" w:color="auto"/>
            </w:tcBorders>
            <w:shd w:val="clear" w:color="auto" w:fill="FFFFFF"/>
            <w:vAlign w:val="center"/>
          </w:tcPr>
          <w:p w14:paraId="74390300"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营业成本</w:t>
            </w:r>
          </w:p>
        </w:tc>
        <w:tc>
          <w:tcPr>
            <w:tcW w:w="1882" w:type="dxa"/>
            <w:tcBorders>
              <w:top w:val="single" w:sz="4" w:space="0" w:color="auto"/>
              <w:left w:val="single" w:sz="4" w:space="0" w:color="auto"/>
            </w:tcBorders>
            <w:shd w:val="clear" w:color="auto" w:fill="FFFFFF"/>
            <w:vAlign w:val="center"/>
          </w:tcPr>
          <w:p w14:paraId="4A34FC1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1,741,133,651.57 </w:t>
            </w:r>
          </w:p>
        </w:tc>
        <w:tc>
          <w:tcPr>
            <w:tcW w:w="1766" w:type="dxa"/>
            <w:tcBorders>
              <w:top w:val="single" w:sz="4" w:space="0" w:color="auto"/>
              <w:left w:val="single" w:sz="4" w:space="0" w:color="auto"/>
            </w:tcBorders>
            <w:shd w:val="clear" w:color="auto" w:fill="FFFFFF"/>
            <w:vAlign w:val="center"/>
          </w:tcPr>
          <w:p w14:paraId="6DB77D6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-7,774,218.83 </w:t>
            </w:r>
          </w:p>
        </w:tc>
        <w:tc>
          <w:tcPr>
            <w:tcW w:w="1877" w:type="dxa"/>
            <w:tcBorders>
              <w:top w:val="single" w:sz="4" w:space="0" w:color="auto"/>
              <w:left w:val="single" w:sz="4" w:space="0" w:color="auto"/>
            </w:tcBorders>
            <w:shd w:val="clear" w:color="auto" w:fill="FFFFFF"/>
            <w:vAlign w:val="center"/>
          </w:tcPr>
          <w:p w14:paraId="3351E494"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1,733,359,432.74 </w:t>
            </w:r>
          </w:p>
        </w:tc>
      </w:tr>
      <w:tr w:rsidR="00967461" w:rsidRPr="00967461" w14:paraId="63522E84" w14:textId="77777777" w:rsidTr="00EE302D">
        <w:trPr>
          <w:trHeight w:hRule="exact" w:val="331"/>
        </w:trPr>
        <w:tc>
          <w:tcPr>
            <w:tcW w:w="2693" w:type="dxa"/>
            <w:tcBorders>
              <w:top w:val="single" w:sz="4" w:space="0" w:color="auto"/>
            </w:tcBorders>
            <w:shd w:val="clear" w:color="auto" w:fill="FFFFFF"/>
            <w:vAlign w:val="center"/>
          </w:tcPr>
          <w:p w14:paraId="079B8E92"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投资收益</w:t>
            </w:r>
          </w:p>
        </w:tc>
        <w:tc>
          <w:tcPr>
            <w:tcW w:w="1882" w:type="dxa"/>
            <w:tcBorders>
              <w:top w:val="single" w:sz="4" w:space="0" w:color="auto"/>
              <w:left w:val="single" w:sz="4" w:space="0" w:color="auto"/>
            </w:tcBorders>
            <w:shd w:val="clear" w:color="auto" w:fill="FFFFFF"/>
            <w:vAlign w:val="center"/>
          </w:tcPr>
          <w:p w14:paraId="75B91E1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617,623,521.52 </w:t>
            </w:r>
          </w:p>
        </w:tc>
        <w:tc>
          <w:tcPr>
            <w:tcW w:w="1766" w:type="dxa"/>
            <w:tcBorders>
              <w:top w:val="single" w:sz="4" w:space="0" w:color="auto"/>
              <w:left w:val="single" w:sz="4" w:space="0" w:color="auto"/>
            </w:tcBorders>
            <w:shd w:val="clear" w:color="auto" w:fill="FFFFFF"/>
            <w:vAlign w:val="center"/>
          </w:tcPr>
          <w:p w14:paraId="59C3B11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-113,074,135.70 </w:t>
            </w:r>
          </w:p>
        </w:tc>
        <w:tc>
          <w:tcPr>
            <w:tcW w:w="1877" w:type="dxa"/>
            <w:tcBorders>
              <w:top w:val="single" w:sz="4" w:space="0" w:color="auto"/>
              <w:left w:val="single" w:sz="4" w:space="0" w:color="auto"/>
            </w:tcBorders>
            <w:shd w:val="clear" w:color="auto" w:fill="FFFFFF"/>
            <w:vAlign w:val="center"/>
          </w:tcPr>
          <w:p w14:paraId="436DB8A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504,549,385.82 </w:t>
            </w:r>
          </w:p>
        </w:tc>
      </w:tr>
      <w:tr w:rsidR="00967461" w:rsidRPr="00967461" w14:paraId="2B04DF01" w14:textId="77777777" w:rsidTr="00EE302D">
        <w:trPr>
          <w:trHeight w:hRule="exact" w:val="331"/>
        </w:trPr>
        <w:tc>
          <w:tcPr>
            <w:tcW w:w="2693" w:type="dxa"/>
            <w:tcBorders>
              <w:top w:val="single" w:sz="4" w:space="0" w:color="auto"/>
            </w:tcBorders>
            <w:shd w:val="clear" w:color="auto" w:fill="FFFFFF"/>
            <w:vAlign w:val="center"/>
          </w:tcPr>
          <w:p w14:paraId="62CF793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利润总额</w:t>
            </w:r>
          </w:p>
        </w:tc>
        <w:tc>
          <w:tcPr>
            <w:tcW w:w="1882" w:type="dxa"/>
            <w:tcBorders>
              <w:top w:val="single" w:sz="4" w:space="0" w:color="auto"/>
              <w:left w:val="single" w:sz="4" w:space="0" w:color="auto"/>
            </w:tcBorders>
            <w:shd w:val="clear" w:color="auto" w:fill="FFFFFF"/>
            <w:vAlign w:val="center"/>
          </w:tcPr>
          <w:p w14:paraId="4C69DEB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517,413,043.24</w:t>
            </w:r>
          </w:p>
        </w:tc>
        <w:tc>
          <w:tcPr>
            <w:tcW w:w="1766" w:type="dxa"/>
            <w:tcBorders>
              <w:top w:val="single" w:sz="4" w:space="0" w:color="auto"/>
              <w:left w:val="single" w:sz="4" w:space="0" w:color="auto"/>
            </w:tcBorders>
            <w:shd w:val="clear" w:color="auto" w:fill="FFFFFF"/>
            <w:vAlign w:val="center"/>
          </w:tcPr>
          <w:p w14:paraId="1492D58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-204,709,997.98</w:t>
            </w:r>
          </w:p>
        </w:tc>
        <w:tc>
          <w:tcPr>
            <w:tcW w:w="1877" w:type="dxa"/>
            <w:tcBorders>
              <w:top w:val="single" w:sz="4" w:space="0" w:color="auto"/>
              <w:left w:val="single" w:sz="4" w:space="0" w:color="auto"/>
            </w:tcBorders>
            <w:shd w:val="clear" w:color="auto" w:fill="FFFFFF"/>
            <w:vAlign w:val="center"/>
          </w:tcPr>
          <w:p w14:paraId="601544F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312,703,045.26</w:t>
            </w:r>
          </w:p>
        </w:tc>
      </w:tr>
      <w:tr w:rsidR="00967461" w:rsidRPr="00967461" w14:paraId="41AA60B9" w14:textId="77777777" w:rsidTr="00EE302D">
        <w:trPr>
          <w:trHeight w:hRule="exact" w:val="331"/>
        </w:trPr>
        <w:tc>
          <w:tcPr>
            <w:tcW w:w="2693" w:type="dxa"/>
            <w:tcBorders>
              <w:top w:val="single" w:sz="4" w:space="0" w:color="auto"/>
              <w:bottom w:val="single" w:sz="4" w:space="0" w:color="auto"/>
            </w:tcBorders>
            <w:shd w:val="clear" w:color="auto" w:fill="FFFFFF"/>
            <w:vAlign w:val="center"/>
          </w:tcPr>
          <w:p w14:paraId="74EBE035" w14:textId="77777777" w:rsidR="00967461" w:rsidRPr="00967461" w:rsidRDefault="00967461" w:rsidP="00EE302D">
            <w:pPr>
              <w:textAlignment w:val="center"/>
              <w:rPr>
                <w:rFonts w:ascii="宋体" w:eastAsia="宋体" w:hAnsi="宋体" w:cs="宋体"/>
                <w:snapToGrid/>
                <w:kern w:val="2"/>
                <w:sz w:val="17"/>
                <w:szCs w:val="17"/>
                <w:lang w:val="zh-TW" w:eastAsia="zh-TW" w:bidi="zh-TW"/>
              </w:rPr>
            </w:pPr>
            <w:r w:rsidRPr="00967461">
              <w:rPr>
                <w:rFonts w:ascii="宋体" w:eastAsia="宋体" w:hAnsi="宋体" w:cs="宋体" w:hint="eastAsia"/>
                <w:sz w:val="17"/>
                <w:szCs w:val="17"/>
                <w:lang w:bidi="ar"/>
              </w:rPr>
              <w:t>净利润</w:t>
            </w:r>
          </w:p>
        </w:tc>
        <w:tc>
          <w:tcPr>
            <w:tcW w:w="1882" w:type="dxa"/>
            <w:tcBorders>
              <w:top w:val="single" w:sz="4" w:space="0" w:color="auto"/>
              <w:left w:val="single" w:sz="4" w:space="0" w:color="auto"/>
              <w:bottom w:val="single" w:sz="4" w:space="0" w:color="auto"/>
            </w:tcBorders>
            <w:shd w:val="clear" w:color="auto" w:fill="FFFFFF"/>
            <w:vAlign w:val="center"/>
          </w:tcPr>
          <w:p w14:paraId="18054FF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451,193,433.74</w:t>
            </w:r>
          </w:p>
        </w:tc>
        <w:tc>
          <w:tcPr>
            <w:tcW w:w="1766" w:type="dxa"/>
            <w:tcBorders>
              <w:top w:val="single" w:sz="4" w:space="0" w:color="auto"/>
              <w:left w:val="single" w:sz="4" w:space="0" w:color="auto"/>
              <w:bottom w:val="single" w:sz="4" w:space="0" w:color="auto"/>
            </w:tcBorders>
            <w:shd w:val="clear" w:color="auto" w:fill="FFFFFF"/>
            <w:vAlign w:val="center"/>
          </w:tcPr>
          <w:p w14:paraId="1ED949D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-204,709,997.98</w:t>
            </w:r>
          </w:p>
        </w:tc>
        <w:tc>
          <w:tcPr>
            <w:tcW w:w="1877" w:type="dxa"/>
            <w:tcBorders>
              <w:top w:val="single" w:sz="4" w:space="0" w:color="auto"/>
              <w:left w:val="single" w:sz="4" w:space="0" w:color="auto"/>
              <w:bottom w:val="single" w:sz="4" w:space="0" w:color="auto"/>
            </w:tcBorders>
            <w:shd w:val="clear" w:color="auto" w:fill="FFFFFF"/>
            <w:vAlign w:val="center"/>
          </w:tcPr>
          <w:p w14:paraId="10F27CC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246,483,435.76</w:t>
            </w:r>
          </w:p>
        </w:tc>
      </w:tr>
    </w:tbl>
    <w:p w14:paraId="404D5F0A" w14:textId="77777777" w:rsidR="00967461" w:rsidRPr="00967461" w:rsidRDefault="00967461" w:rsidP="00967461">
      <w:pPr>
        <w:rPr>
          <w:rFonts w:ascii="宋体" w:eastAsia="宋体" w:hAnsi="宋体"/>
          <w:sz w:val="24"/>
          <w:szCs w:val="24"/>
        </w:rPr>
      </w:pPr>
    </w:p>
    <w:p w14:paraId="7343E78F" w14:textId="77777777" w:rsidR="00967461" w:rsidRPr="00967461" w:rsidRDefault="00967461" w:rsidP="00967461">
      <w:pPr>
        <w:pStyle w:val="Other10"/>
        <w:spacing w:line="240" w:lineRule="auto"/>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2020</w:t>
      </w:r>
      <w:r w:rsidRPr="00967461">
        <w:rPr>
          <w:rFonts w:cs="Arial" w:hint="eastAsia"/>
          <w:snapToGrid w:val="0"/>
          <w:color w:val="000000"/>
          <w:kern w:val="0"/>
          <w:sz w:val="24"/>
          <w:szCs w:val="24"/>
          <w:lang w:val="en-US" w:eastAsia="zh-CN" w:bidi="ar-SA"/>
        </w:rPr>
        <w:t>年度财务报表的影响</w:t>
      </w:r>
    </w:p>
    <w:tbl>
      <w:tblPr>
        <w:tblpPr w:leftFromText="180" w:rightFromText="180" w:vertAnchor="text" w:horzAnchor="margin" w:tblpY="51"/>
        <w:tblOverlap w:val="never"/>
        <w:tblW w:w="8438" w:type="dxa"/>
        <w:tblLayout w:type="fixed"/>
        <w:tblCellMar>
          <w:left w:w="10" w:type="dxa"/>
          <w:right w:w="10" w:type="dxa"/>
        </w:tblCellMar>
        <w:tblLook w:val="04A0" w:firstRow="1" w:lastRow="0" w:firstColumn="1" w:lastColumn="0" w:noHBand="0" w:noVBand="1"/>
      </w:tblPr>
      <w:tblGrid>
        <w:gridCol w:w="2764"/>
        <w:gridCol w:w="1931"/>
        <w:gridCol w:w="1812"/>
        <w:gridCol w:w="1931"/>
      </w:tblGrid>
      <w:tr w:rsidR="00967461" w:rsidRPr="00967461" w14:paraId="3CB3A5A9" w14:textId="77777777" w:rsidTr="00EE302D">
        <w:trPr>
          <w:trHeight w:hRule="exact" w:val="614"/>
        </w:trPr>
        <w:tc>
          <w:tcPr>
            <w:tcW w:w="2764" w:type="dxa"/>
            <w:tcBorders>
              <w:top w:val="single" w:sz="4" w:space="0" w:color="auto"/>
            </w:tcBorders>
            <w:shd w:val="clear" w:color="auto" w:fill="FFFFFF"/>
            <w:vAlign w:val="bottom"/>
          </w:tcPr>
          <w:p w14:paraId="0F174C7E" w14:textId="77777777" w:rsidR="00967461" w:rsidRPr="00967461" w:rsidRDefault="00967461" w:rsidP="00EE302D">
            <w:pPr>
              <w:pStyle w:val="Other10"/>
              <w:spacing w:line="302" w:lineRule="exact"/>
              <w:ind w:firstLine="280"/>
              <w:jc w:val="center"/>
              <w:rPr>
                <w:color w:val="000000"/>
                <w:sz w:val="17"/>
                <w:szCs w:val="17"/>
              </w:rPr>
            </w:pPr>
            <w:r w:rsidRPr="00967461">
              <w:rPr>
                <w:color w:val="000000"/>
                <w:sz w:val="17"/>
                <w:szCs w:val="17"/>
              </w:rPr>
              <w:t>受影响的各个比较期间报表</w:t>
            </w:r>
          </w:p>
          <w:p w14:paraId="0BDE34D9"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931" w:type="dxa"/>
            <w:tcBorders>
              <w:top w:val="single" w:sz="4" w:space="0" w:color="auto"/>
              <w:left w:val="single" w:sz="4" w:space="0" w:color="auto"/>
            </w:tcBorders>
            <w:shd w:val="clear" w:color="auto" w:fill="FFFFFF"/>
            <w:vAlign w:val="center"/>
          </w:tcPr>
          <w:p w14:paraId="669E2FB6"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12" w:type="dxa"/>
            <w:tcBorders>
              <w:top w:val="single" w:sz="4" w:space="0" w:color="auto"/>
              <w:left w:val="single" w:sz="4" w:space="0" w:color="auto"/>
            </w:tcBorders>
            <w:shd w:val="clear" w:color="auto" w:fill="FFFFFF"/>
            <w:vAlign w:val="center"/>
          </w:tcPr>
          <w:p w14:paraId="5D9952E0"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931" w:type="dxa"/>
            <w:tcBorders>
              <w:top w:val="single" w:sz="4" w:space="0" w:color="auto"/>
              <w:left w:val="single" w:sz="4" w:space="0" w:color="auto"/>
            </w:tcBorders>
            <w:shd w:val="clear" w:color="auto" w:fill="FFFFFF"/>
            <w:vAlign w:val="center"/>
          </w:tcPr>
          <w:p w14:paraId="5E0D3B95"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6DD0B7BE" w14:textId="77777777" w:rsidTr="00EE302D">
        <w:trPr>
          <w:trHeight w:hRule="exact" w:val="300"/>
        </w:trPr>
        <w:tc>
          <w:tcPr>
            <w:tcW w:w="2764" w:type="dxa"/>
            <w:tcBorders>
              <w:top w:val="single" w:sz="4" w:space="0" w:color="auto"/>
            </w:tcBorders>
            <w:shd w:val="clear" w:color="auto" w:fill="FFFFFF"/>
            <w:vAlign w:val="center"/>
          </w:tcPr>
          <w:p w14:paraId="52E718C3"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资产负债表：</w:t>
            </w:r>
          </w:p>
        </w:tc>
        <w:tc>
          <w:tcPr>
            <w:tcW w:w="1931" w:type="dxa"/>
            <w:tcBorders>
              <w:top w:val="single" w:sz="4" w:space="0" w:color="auto"/>
              <w:left w:val="single" w:sz="4" w:space="0" w:color="auto"/>
            </w:tcBorders>
            <w:shd w:val="clear" w:color="auto" w:fill="FFFFFF"/>
            <w:vAlign w:val="center"/>
          </w:tcPr>
          <w:p w14:paraId="06ADDEEA"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c>
          <w:tcPr>
            <w:tcW w:w="1812" w:type="dxa"/>
            <w:tcBorders>
              <w:top w:val="single" w:sz="4" w:space="0" w:color="auto"/>
              <w:left w:val="single" w:sz="4" w:space="0" w:color="auto"/>
            </w:tcBorders>
            <w:shd w:val="clear" w:color="auto" w:fill="FFFFFF"/>
            <w:vAlign w:val="center"/>
          </w:tcPr>
          <w:p w14:paraId="574D63F7"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c>
          <w:tcPr>
            <w:tcW w:w="1931" w:type="dxa"/>
            <w:tcBorders>
              <w:top w:val="single" w:sz="4" w:space="0" w:color="auto"/>
              <w:left w:val="single" w:sz="4" w:space="0" w:color="auto"/>
            </w:tcBorders>
            <w:shd w:val="clear" w:color="auto" w:fill="FFFFFF"/>
            <w:vAlign w:val="center"/>
          </w:tcPr>
          <w:p w14:paraId="4F00D3F8"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r>
      <w:tr w:rsidR="00967461" w:rsidRPr="00967461" w14:paraId="7068033B" w14:textId="77777777" w:rsidTr="00EE302D">
        <w:trPr>
          <w:trHeight w:hRule="exact" w:val="321"/>
        </w:trPr>
        <w:tc>
          <w:tcPr>
            <w:tcW w:w="2764" w:type="dxa"/>
            <w:tcBorders>
              <w:top w:val="single" w:sz="4" w:space="0" w:color="auto"/>
            </w:tcBorders>
            <w:shd w:val="clear" w:color="auto" w:fill="FFFFFF"/>
            <w:vAlign w:val="center"/>
          </w:tcPr>
          <w:p w14:paraId="7B25EE6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长期股权投资</w:t>
            </w:r>
          </w:p>
        </w:tc>
        <w:tc>
          <w:tcPr>
            <w:tcW w:w="1931" w:type="dxa"/>
            <w:tcBorders>
              <w:top w:val="single" w:sz="4" w:space="0" w:color="auto"/>
              <w:left w:val="single" w:sz="4" w:space="0" w:color="auto"/>
            </w:tcBorders>
            <w:shd w:val="clear" w:color="auto" w:fill="FFFFFF"/>
            <w:vAlign w:val="center"/>
          </w:tcPr>
          <w:p w14:paraId="7936F0E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7,405,472,350.51</w:t>
            </w:r>
          </w:p>
        </w:tc>
        <w:tc>
          <w:tcPr>
            <w:tcW w:w="1812" w:type="dxa"/>
            <w:tcBorders>
              <w:top w:val="single" w:sz="4" w:space="0" w:color="auto"/>
              <w:left w:val="single" w:sz="4" w:space="0" w:color="auto"/>
            </w:tcBorders>
            <w:shd w:val="clear" w:color="auto" w:fill="FFFFFF"/>
            <w:vAlign w:val="center"/>
          </w:tcPr>
          <w:p w14:paraId="4BC4BCE3"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-171,282,778.16</w:t>
            </w:r>
          </w:p>
        </w:tc>
        <w:tc>
          <w:tcPr>
            <w:tcW w:w="1931" w:type="dxa"/>
            <w:tcBorders>
              <w:top w:val="single" w:sz="4" w:space="0" w:color="auto"/>
              <w:left w:val="single" w:sz="4" w:space="0" w:color="auto"/>
            </w:tcBorders>
            <w:shd w:val="clear" w:color="auto" w:fill="FFFFFF"/>
            <w:vAlign w:val="center"/>
          </w:tcPr>
          <w:p w14:paraId="558F2AC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7,234,189,572.35</w:t>
            </w:r>
          </w:p>
        </w:tc>
      </w:tr>
      <w:tr w:rsidR="00967461" w:rsidRPr="00967461" w14:paraId="61821ACF" w14:textId="77777777" w:rsidTr="00EE302D">
        <w:trPr>
          <w:trHeight w:hRule="exact" w:val="321"/>
        </w:trPr>
        <w:tc>
          <w:tcPr>
            <w:tcW w:w="2764" w:type="dxa"/>
            <w:tcBorders>
              <w:top w:val="single" w:sz="4" w:space="0" w:color="auto"/>
            </w:tcBorders>
            <w:shd w:val="clear" w:color="auto" w:fill="FFFFFF"/>
            <w:vAlign w:val="center"/>
          </w:tcPr>
          <w:p w14:paraId="6150D57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其他流动负债</w:t>
            </w:r>
          </w:p>
        </w:tc>
        <w:tc>
          <w:tcPr>
            <w:tcW w:w="1931" w:type="dxa"/>
            <w:tcBorders>
              <w:top w:val="single" w:sz="4" w:space="0" w:color="auto"/>
              <w:left w:val="single" w:sz="4" w:space="0" w:color="auto"/>
            </w:tcBorders>
            <w:shd w:val="clear" w:color="auto" w:fill="FFFFFF"/>
            <w:vAlign w:val="center"/>
          </w:tcPr>
          <w:p w14:paraId="7519E06A"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23,784,439.78</w:t>
            </w:r>
          </w:p>
        </w:tc>
        <w:tc>
          <w:tcPr>
            <w:tcW w:w="1812" w:type="dxa"/>
            <w:tcBorders>
              <w:top w:val="single" w:sz="4" w:space="0" w:color="auto"/>
              <w:left w:val="single" w:sz="4" w:space="0" w:color="auto"/>
            </w:tcBorders>
            <w:shd w:val="clear" w:color="auto" w:fill="FFFFFF"/>
            <w:vAlign w:val="center"/>
          </w:tcPr>
          <w:p w14:paraId="7CC32675"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265,352,094.78</w:t>
            </w:r>
          </w:p>
        </w:tc>
        <w:tc>
          <w:tcPr>
            <w:tcW w:w="1931" w:type="dxa"/>
            <w:tcBorders>
              <w:top w:val="single" w:sz="4" w:space="0" w:color="auto"/>
              <w:left w:val="single" w:sz="4" w:space="0" w:color="auto"/>
            </w:tcBorders>
            <w:shd w:val="clear" w:color="auto" w:fill="FFFFFF"/>
            <w:vAlign w:val="center"/>
          </w:tcPr>
          <w:p w14:paraId="65A762B1"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289,136,534.56</w:t>
            </w:r>
          </w:p>
        </w:tc>
      </w:tr>
      <w:tr w:rsidR="00967461" w:rsidRPr="00967461" w14:paraId="0D04EB8B"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574B505D"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利润表：</w:t>
            </w:r>
          </w:p>
        </w:tc>
        <w:tc>
          <w:tcPr>
            <w:tcW w:w="1931" w:type="dxa"/>
            <w:tcBorders>
              <w:top w:val="single" w:sz="4" w:space="0" w:color="auto"/>
              <w:left w:val="single" w:sz="4" w:space="0" w:color="auto"/>
              <w:bottom w:val="single" w:sz="4" w:space="0" w:color="auto"/>
            </w:tcBorders>
            <w:shd w:val="clear" w:color="auto" w:fill="FFFFFF"/>
            <w:vAlign w:val="center"/>
          </w:tcPr>
          <w:p w14:paraId="7F56DF7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812" w:type="dxa"/>
            <w:tcBorders>
              <w:top w:val="single" w:sz="4" w:space="0" w:color="auto"/>
              <w:left w:val="single" w:sz="4" w:space="0" w:color="auto"/>
              <w:bottom w:val="single" w:sz="4" w:space="0" w:color="auto"/>
            </w:tcBorders>
            <w:shd w:val="clear" w:color="auto" w:fill="FFFFFF"/>
            <w:vAlign w:val="center"/>
          </w:tcPr>
          <w:p w14:paraId="42C7D6B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c>
          <w:tcPr>
            <w:tcW w:w="1931" w:type="dxa"/>
            <w:tcBorders>
              <w:top w:val="single" w:sz="4" w:space="0" w:color="auto"/>
              <w:left w:val="single" w:sz="4" w:space="0" w:color="auto"/>
              <w:bottom w:val="single" w:sz="4" w:space="0" w:color="auto"/>
            </w:tcBorders>
            <w:shd w:val="clear" w:color="auto" w:fill="FFFFFF"/>
            <w:vAlign w:val="center"/>
          </w:tcPr>
          <w:p w14:paraId="0784CEF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 xml:space="preserve">　</w:t>
            </w:r>
          </w:p>
        </w:tc>
      </w:tr>
      <w:tr w:rsidR="00967461" w:rsidRPr="00967461" w14:paraId="4036A648"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10CCF91C"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营业收入</w:t>
            </w:r>
          </w:p>
        </w:tc>
        <w:tc>
          <w:tcPr>
            <w:tcW w:w="1931" w:type="dxa"/>
            <w:tcBorders>
              <w:top w:val="single" w:sz="4" w:space="0" w:color="auto"/>
              <w:left w:val="single" w:sz="4" w:space="0" w:color="auto"/>
              <w:bottom w:val="single" w:sz="4" w:space="0" w:color="auto"/>
            </w:tcBorders>
            <w:shd w:val="clear" w:color="auto" w:fill="FFFFFF"/>
            <w:vAlign w:val="center"/>
          </w:tcPr>
          <w:p w14:paraId="227D50D6"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1,742,360,799.00</w:t>
            </w:r>
          </w:p>
        </w:tc>
        <w:tc>
          <w:tcPr>
            <w:tcW w:w="1812" w:type="dxa"/>
            <w:tcBorders>
              <w:top w:val="single" w:sz="4" w:space="0" w:color="auto"/>
              <w:left w:val="single" w:sz="4" w:space="0" w:color="auto"/>
              <w:bottom w:val="single" w:sz="4" w:space="0" w:color="auto"/>
            </w:tcBorders>
            <w:shd w:val="clear" w:color="auto" w:fill="FFFFFF"/>
            <w:vAlign w:val="center"/>
          </w:tcPr>
          <w:p w14:paraId="3C92D4EB"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-59,031,022.84</w:t>
            </w:r>
          </w:p>
        </w:tc>
        <w:tc>
          <w:tcPr>
            <w:tcW w:w="1931" w:type="dxa"/>
            <w:tcBorders>
              <w:top w:val="single" w:sz="4" w:space="0" w:color="auto"/>
              <w:left w:val="single" w:sz="4" w:space="0" w:color="auto"/>
              <w:bottom w:val="single" w:sz="4" w:space="0" w:color="auto"/>
            </w:tcBorders>
            <w:shd w:val="clear" w:color="auto" w:fill="FFFFFF"/>
            <w:vAlign w:val="center"/>
          </w:tcPr>
          <w:p w14:paraId="67FF178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1,683,329,776.17</w:t>
            </w:r>
          </w:p>
        </w:tc>
      </w:tr>
      <w:tr w:rsidR="00967461" w:rsidRPr="00967461" w14:paraId="09893F50"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0B95E4E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营业成本</w:t>
            </w:r>
          </w:p>
        </w:tc>
        <w:tc>
          <w:tcPr>
            <w:tcW w:w="1931" w:type="dxa"/>
            <w:tcBorders>
              <w:top w:val="single" w:sz="4" w:space="0" w:color="auto"/>
              <w:left w:val="single" w:sz="4" w:space="0" w:color="auto"/>
              <w:bottom w:val="single" w:sz="4" w:space="0" w:color="auto"/>
            </w:tcBorders>
            <w:shd w:val="clear" w:color="auto" w:fill="FFFFFF"/>
            <w:vAlign w:val="center"/>
          </w:tcPr>
          <w:p w14:paraId="107A8BF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1,476,895,778.86</w:t>
            </w:r>
          </w:p>
        </w:tc>
        <w:tc>
          <w:tcPr>
            <w:tcW w:w="1812" w:type="dxa"/>
            <w:tcBorders>
              <w:top w:val="single" w:sz="4" w:space="0" w:color="auto"/>
              <w:left w:val="single" w:sz="4" w:space="0" w:color="auto"/>
              <w:bottom w:val="single" w:sz="4" w:space="0" w:color="auto"/>
            </w:tcBorders>
            <w:shd w:val="clear" w:color="auto" w:fill="FFFFFF"/>
            <w:vAlign w:val="center"/>
          </w:tcPr>
          <w:p w14:paraId="48576E39"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-3,603,842.55</w:t>
            </w:r>
          </w:p>
        </w:tc>
        <w:tc>
          <w:tcPr>
            <w:tcW w:w="1931" w:type="dxa"/>
            <w:tcBorders>
              <w:top w:val="single" w:sz="4" w:space="0" w:color="auto"/>
              <w:left w:val="single" w:sz="4" w:space="0" w:color="auto"/>
              <w:bottom w:val="single" w:sz="4" w:space="0" w:color="auto"/>
            </w:tcBorders>
            <w:shd w:val="clear" w:color="auto" w:fill="FFFFFF"/>
            <w:vAlign w:val="center"/>
          </w:tcPr>
          <w:p w14:paraId="5D2C5A18"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1,473,291,936.31</w:t>
            </w:r>
          </w:p>
        </w:tc>
      </w:tr>
      <w:tr w:rsidR="00967461" w:rsidRPr="00967461" w14:paraId="6388D2A4"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714E857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931" w:type="dxa"/>
            <w:tcBorders>
              <w:top w:val="single" w:sz="4" w:space="0" w:color="auto"/>
              <w:left w:val="single" w:sz="4" w:space="0" w:color="auto"/>
              <w:bottom w:val="single" w:sz="4" w:space="0" w:color="auto"/>
            </w:tcBorders>
            <w:shd w:val="clear" w:color="auto" w:fill="FFFFFF"/>
            <w:vAlign w:val="center"/>
          </w:tcPr>
          <w:p w14:paraId="6C627F1E"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63,289,498.11</w:t>
            </w:r>
          </w:p>
        </w:tc>
        <w:tc>
          <w:tcPr>
            <w:tcW w:w="1812" w:type="dxa"/>
            <w:tcBorders>
              <w:top w:val="single" w:sz="4" w:space="0" w:color="auto"/>
              <w:left w:val="single" w:sz="4" w:space="0" w:color="auto"/>
              <w:bottom w:val="single" w:sz="4" w:space="0" w:color="auto"/>
            </w:tcBorders>
            <w:shd w:val="clear" w:color="auto" w:fill="FFFFFF"/>
            <w:vAlign w:val="center"/>
          </w:tcPr>
          <w:p w14:paraId="19B382E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-57,335,742.69</w:t>
            </w:r>
          </w:p>
        </w:tc>
        <w:tc>
          <w:tcPr>
            <w:tcW w:w="1931" w:type="dxa"/>
            <w:tcBorders>
              <w:top w:val="single" w:sz="4" w:space="0" w:color="auto"/>
              <w:left w:val="single" w:sz="4" w:space="0" w:color="auto"/>
              <w:bottom w:val="single" w:sz="4" w:space="0" w:color="auto"/>
            </w:tcBorders>
            <w:shd w:val="clear" w:color="auto" w:fill="FFFFFF"/>
            <w:vAlign w:val="center"/>
          </w:tcPr>
          <w:p w14:paraId="16B2C6FF"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5,953,755.42</w:t>
            </w:r>
          </w:p>
        </w:tc>
      </w:tr>
      <w:tr w:rsidR="00967461" w:rsidRPr="00967461" w14:paraId="1D4E3FAF"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1305CBA7"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营业外收入</w:t>
            </w:r>
          </w:p>
        </w:tc>
        <w:tc>
          <w:tcPr>
            <w:tcW w:w="1931" w:type="dxa"/>
            <w:tcBorders>
              <w:top w:val="single" w:sz="4" w:space="0" w:color="auto"/>
              <w:left w:val="single" w:sz="4" w:space="0" w:color="auto"/>
              <w:bottom w:val="single" w:sz="4" w:space="0" w:color="auto"/>
            </w:tcBorders>
            <w:shd w:val="clear" w:color="auto" w:fill="FFFFFF"/>
            <w:vAlign w:val="center"/>
          </w:tcPr>
          <w:p w14:paraId="606272A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7,451,032.31</w:t>
            </w:r>
          </w:p>
        </w:tc>
        <w:tc>
          <w:tcPr>
            <w:tcW w:w="1812" w:type="dxa"/>
            <w:tcBorders>
              <w:top w:val="single" w:sz="4" w:space="0" w:color="auto"/>
              <w:left w:val="single" w:sz="4" w:space="0" w:color="auto"/>
              <w:bottom w:val="single" w:sz="4" w:space="0" w:color="auto"/>
            </w:tcBorders>
            <w:shd w:val="clear" w:color="auto" w:fill="FFFFFF"/>
            <w:vAlign w:val="center"/>
          </w:tcPr>
          <w:p w14:paraId="3BD43D5D"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-29,524,507.01</w:t>
            </w:r>
          </w:p>
        </w:tc>
        <w:tc>
          <w:tcPr>
            <w:tcW w:w="1931" w:type="dxa"/>
            <w:tcBorders>
              <w:top w:val="single" w:sz="4" w:space="0" w:color="auto"/>
              <w:left w:val="single" w:sz="4" w:space="0" w:color="auto"/>
              <w:bottom w:val="single" w:sz="4" w:space="0" w:color="auto"/>
            </w:tcBorders>
            <w:shd w:val="clear" w:color="auto" w:fill="FFFFFF"/>
            <w:vAlign w:val="center"/>
          </w:tcPr>
          <w:p w14:paraId="5842FF70"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-22,073,474.70</w:t>
            </w:r>
          </w:p>
        </w:tc>
      </w:tr>
      <w:tr w:rsidR="00967461" w:rsidRPr="00967461" w14:paraId="737B1448"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5DEDE7C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931" w:type="dxa"/>
            <w:tcBorders>
              <w:top w:val="single" w:sz="4" w:space="0" w:color="auto"/>
              <w:left w:val="single" w:sz="4" w:space="0" w:color="auto"/>
              <w:bottom w:val="single" w:sz="4" w:space="0" w:color="auto"/>
            </w:tcBorders>
            <w:shd w:val="clear" w:color="auto" w:fill="FFFFFF"/>
            <w:vAlign w:val="center"/>
          </w:tcPr>
          <w:p w14:paraId="0AE28B67"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-58,886,873.84</w:t>
            </w:r>
          </w:p>
        </w:tc>
        <w:tc>
          <w:tcPr>
            <w:tcW w:w="1812" w:type="dxa"/>
            <w:tcBorders>
              <w:top w:val="single" w:sz="4" w:space="0" w:color="auto"/>
              <w:left w:val="single" w:sz="4" w:space="0" w:color="auto"/>
              <w:bottom w:val="single" w:sz="4" w:space="0" w:color="auto"/>
            </w:tcBorders>
            <w:shd w:val="clear" w:color="auto" w:fill="FFFFFF"/>
            <w:vAlign w:val="center"/>
          </w:tcPr>
          <w:p w14:paraId="300A9F6C"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-142,287,429.99</w:t>
            </w:r>
          </w:p>
        </w:tc>
        <w:tc>
          <w:tcPr>
            <w:tcW w:w="1931" w:type="dxa"/>
            <w:tcBorders>
              <w:top w:val="single" w:sz="4" w:space="0" w:color="auto"/>
              <w:left w:val="single" w:sz="4" w:space="0" w:color="auto"/>
              <w:bottom w:val="single" w:sz="4" w:space="0" w:color="auto"/>
            </w:tcBorders>
            <w:shd w:val="clear" w:color="auto" w:fill="FFFFFF"/>
            <w:vAlign w:val="center"/>
          </w:tcPr>
          <w:p w14:paraId="2292C422" w14:textId="77777777" w:rsidR="00967461" w:rsidRPr="00967461" w:rsidRDefault="00967461" w:rsidP="00EE302D">
            <w:pPr>
              <w:jc w:val="right"/>
              <w:textAlignment w:val="center"/>
              <w:rPr>
                <w:rFonts w:ascii="宋体" w:eastAsia="宋体" w:hAnsi="宋体"/>
                <w:sz w:val="17"/>
                <w:szCs w:val="17"/>
              </w:rPr>
            </w:pPr>
            <w:r w:rsidRPr="00967461">
              <w:rPr>
                <w:rFonts w:ascii="宋体" w:eastAsia="宋体" w:hAnsi="宋体"/>
                <w:sz w:val="17"/>
                <w:szCs w:val="17"/>
                <w:lang w:bidi="ar"/>
              </w:rPr>
              <w:t>-201,174,303.83</w:t>
            </w:r>
          </w:p>
        </w:tc>
      </w:tr>
      <w:tr w:rsidR="00967461" w:rsidRPr="00967461" w14:paraId="0891E5C0" w14:textId="77777777" w:rsidTr="00EE302D">
        <w:trPr>
          <w:trHeight w:hRule="exact" w:val="321"/>
        </w:trPr>
        <w:tc>
          <w:tcPr>
            <w:tcW w:w="2764" w:type="dxa"/>
            <w:tcBorders>
              <w:top w:val="single" w:sz="4" w:space="0" w:color="auto"/>
              <w:bottom w:val="single" w:sz="4" w:space="0" w:color="auto"/>
            </w:tcBorders>
            <w:shd w:val="clear" w:color="auto" w:fill="FFFFFF"/>
            <w:vAlign w:val="center"/>
          </w:tcPr>
          <w:p w14:paraId="53C5F661" w14:textId="77777777" w:rsidR="00967461" w:rsidRPr="00967461" w:rsidRDefault="00967461" w:rsidP="00EE302D">
            <w:pPr>
              <w:textAlignment w:val="center"/>
              <w:rPr>
                <w:rFonts w:ascii="宋体" w:eastAsia="宋体" w:hAnsi="宋体" w:cs="宋体"/>
                <w:sz w:val="17"/>
                <w:szCs w:val="17"/>
                <w:lang w:bidi="ar"/>
              </w:rPr>
            </w:pPr>
            <w:r w:rsidRPr="00967461">
              <w:rPr>
                <w:rFonts w:ascii="宋体" w:eastAsia="宋体" w:hAnsi="宋体" w:cs="宋体" w:hint="eastAsia"/>
                <w:sz w:val="17"/>
                <w:szCs w:val="17"/>
                <w:lang w:bidi="ar"/>
              </w:rPr>
              <w:t>净利润</w:t>
            </w:r>
          </w:p>
        </w:tc>
        <w:tc>
          <w:tcPr>
            <w:tcW w:w="1931" w:type="dxa"/>
            <w:tcBorders>
              <w:top w:val="single" w:sz="4" w:space="0" w:color="auto"/>
              <w:left w:val="single" w:sz="4" w:space="0" w:color="auto"/>
              <w:bottom w:val="single" w:sz="4" w:space="0" w:color="auto"/>
            </w:tcBorders>
            <w:shd w:val="clear" w:color="auto" w:fill="FFFFFF"/>
            <w:vAlign w:val="center"/>
          </w:tcPr>
          <w:p w14:paraId="6C89DA8D"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-145,834,098.82</w:t>
            </w:r>
          </w:p>
        </w:tc>
        <w:tc>
          <w:tcPr>
            <w:tcW w:w="1812" w:type="dxa"/>
            <w:tcBorders>
              <w:top w:val="single" w:sz="4" w:space="0" w:color="auto"/>
              <w:left w:val="single" w:sz="4" w:space="0" w:color="auto"/>
              <w:bottom w:val="single" w:sz="4" w:space="0" w:color="auto"/>
            </w:tcBorders>
            <w:shd w:val="clear" w:color="auto" w:fill="FFFFFF"/>
            <w:vAlign w:val="center"/>
          </w:tcPr>
          <w:p w14:paraId="7F9241F7"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-142,287,429.99</w:t>
            </w:r>
          </w:p>
        </w:tc>
        <w:tc>
          <w:tcPr>
            <w:tcW w:w="1931" w:type="dxa"/>
            <w:tcBorders>
              <w:top w:val="single" w:sz="4" w:space="0" w:color="auto"/>
              <w:left w:val="single" w:sz="4" w:space="0" w:color="auto"/>
              <w:bottom w:val="single" w:sz="4" w:space="0" w:color="auto"/>
            </w:tcBorders>
            <w:shd w:val="clear" w:color="auto" w:fill="FFFFFF"/>
            <w:vAlign w:val="center"/>
          </w:tcPr>
          <w:p w14:paraId="28F98C8E"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-288,121,528.81</w:t>
            </w:r>
          </w:p>
        </w:tc>
      </w:tr>
    </w:tbl>
    <w:p w14:paraId="6027B923" w14:textId="77777777" w:rsidR="00967461" w:rsidRPr="00967461" w:rsidRDefault="00967461" w:rsidP="00967461">
      <w:pPr>
        <w:pStyle w:val="Other10"/>
        <w:spacing w:line="240" w:lineRule="auto"/>
        <w:ind w:firstLine="0"/>
        <w:jc w:val="both"/>
        <w:rPr>
          <w:rFonts w:cs="Arial"/>
          <w:snapToGrid w:val="0"/>
          <w:color w:val="000000"/>
          <w:kern w:val="0"/>
          <w:sz w:val="24"/>
          <w:szCs w:val="24"/>
          <w:lang w:val="en-US" w:eastAsia="zh-CN" w:bidi="ar-SA"/>
        </w:rPr>
      </w:pPr>
    </w:p>
    <w:p w14:paraId="6EF64B01" w14:textId="77777777" w:rsidR="00967461" w:rsidRPr="00967461" w:rsidRDefault="00967461" w:rsidP="00967461">
      <w:pPr>
        <w:pStyle w:val="Other10"/>
        <w:spacing w:line="240" w:lineRule="auto"/>
        <w:ind w:firstLineChars="200" w:firstLine="480"/>
        <w:jc w:val="both"/>
        <w:rPr>
          <w:rFonts w:cs="Arial"/>
          <w:snapToGrid w:val="0"/>
          <w:color w:val="000000"/>
          <w:kern w:val="0"/>
          <w:sz w:val="24"/>
          <w:szCs w:val="24"/>
          <w:lang w:val="en-US" w:eastAsia="zh-CN" w:bidi="ar-SA"/>
        </w:rPr>
      </w:pPr>
      <w:r w:rsidRPr="00967461">
        <w:rPr>
          <w:rFonts w:cs="Arial" w:hint="eastAsia"/>
          <w:snapToGrid w:val="0"/>
          <w:color w:val="000000"/>
          <w:kern w:val="0"/>
          <w:sz w:val="24"/>
          <w:szCs w:val="24"/>
          <w:lang w:val="en-US" w:eastAsia="zh-CN" w:bidi="ar-SA"/>
        </w:rPr>
        <w:t>对</w:t>
      </w:r>
      <w:r w:rsidRPr="00967461">
        <w:rPr>
          <w:rFonts w:cs="Arial"/>
          <w:snapToGrid w:val="0"/>
          <w:color w:val="000000"/>
          <w:kern w:val="0"/>
          <w:sz w:val="24"/>
          <w:szCs w:val="24"/>
          <w:lang w:val="en-US" w:eastAsia="zh-CN" w:bidi="ar-SA"/>
        </w:rPr>
        <w:t>2021</w:t>
      </w:r>
      <w:r w:rsidRPr="00967461">
        <w:rPr>
          <w:rFonts w:cs="Arial" w:hint="eastAsia"/>
          <w:snapToGrid w:val="0"/>
          <w:color w:val="000000"/>
          <w:kern w:val="0"/>
          <w:sz w:val="24"/>
          <w:szCs w:val="24"/>
          <w:lang w:val="en-US" w:eastAsia="zh-CN" w:bidi="ar-SA"/>
        </w:rPr>
        <w:t>年度财务报表的影响</w:t>
      </w:r>
    </w:p>
    <w:tbl>
      <w:tblPr>
        <w:tblpPr w:leftFromText="180" w:rightFromText="180" w:vertAnchor="text" w:horzAnchor="margin" w:tblpY="51"/>
        <w:tblOverlap w:val="never"/>
        <w:tblW w:w="8397" w:type="dxa"/>
        <w:tblLayout w:type="fixed"/>
        <w:tblCellMar>
          <w:left w:w="10" w:type="dxa"/>
          <w:right w:w="10" w:type="dxa"/>
        </w:tblCellMar>
        <w:tblLook w:val="04A0" w:firstRow="1" w:lastRow="0" w:firstColumn="1" w:lastColumn="0" w:noHBand="0" w:noVBand="1"/>
      </w:tblPr>
      <w:tblGrid>
        <w:gridCol w:w="2752"/>
        <w:gridCol w:w="1923"/>
        <w:gridCol w:w="1804"/>
        <w:gridCol w:w="1918"/>
      </w:tblGrid>
      <w:tr w:rsidR="00967461" w:rsidRPr="00967461" w14:paraId="3E34C610" w14:textId="77777777" w:rsidTr="00EE302D">
        <w:trPr>
          <w:trHeight w:hRule="exact" w:val="615"/>
        </w:trPr>
        <w:tc>
          <w:tcPr>
            <w:tcW w:w="2752" w:type="dxa"/>
            <w:tcBorders>
              <w:top w:val="single" w:sz="4" w:space="0" w:color="auto"/>
            </w:tcBorders>
            <w:shd w:val="clear" w:color="auto" w:fill="FFFFFF"/>
            <w:vAlign w:val="bottom"/>
          </w:tcPr>
          <w:p w14:paraId="79A856A7" w14:textId="77777777" w:rsidR="00967461" w:rsidRPr="00967461" w:rsidRDefault="00967461" w:rsidP="00EE302D">
            <w:pPr>
              <w:pStyle w:val="Other10"/>
              <w:spacing w:line="302" w:lineRule="exact"/>
              <w:ind w:firstLine="280"/>
              <w:jc w:val="center"/>
              <w:rPr>
                <w:color w:val="000000"/>
                <w:sz w:val="17"/>
                <w:szCs w:val="17"/>
              </w:rPr>
            </w:pPr>
            <w:bookmarkStart w:id="13" w:name="_Hlk129622056"/>
            <w:r w:rsidRPr="00967461">
              <w:rPr>
                <w:color w:val="000000"/>
                <w:sz w:val="17"/>
                <w:szCs w:val="17"/>
              </w:rPr>
              <w:t>受影响的各个比较期间报表</w:t>
            </w:r>
          </w:p>
          <w:p w14:paraId="4A113715" w14:textId="77777777" w:rsidR="00967461" w:rsidRPr="00967461" w:rsidRDefault="00967461" w:rsidP="00EE302D">
            <w:pPr>
              <w:pStyle w:val="Other10"/>
              <w:spacing w:line="302" w:lineRule="exact"/>
              <w:ind w:firstLine="280"/>
              <w:jc w:val="center"/>
              <w:rPr>
                <w:sz w:val="17"/>
                <w:szCs w:val="17"/>
              </w:rPr>
            </w:pPr>
            <w:r w:rsidRPr="00967461">
              <w:rPr>
                <w:color w:val="000000"/>
                <w:sz w:val="17"/>
                <w:szCs w:val="17"/>
              </w:rPr>
              <w:t>项目名称</w:t>
            </w:r>
          </w:p>
        </w:tc>
        <w:tc>
          <w:tcPr>
            <w:tcW w:w="1923" w:type="dxa"/>
            <w:tcBorders>
              <w:top w:val="single" w:sz="4" w:space="0" w:color="auto"/>
              <w:left w:val="single" w:sz="4" w:space="0" w:color="auto"/>
            </w:tcBorders>
            <w:shd w:val="clear" w:color="auto" w:fill="FFFFFF"/>
            <w:vAlign w:val="center"/>
          </w:tcPr>
          <w:p w14:paraId="117B088F"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更正前金额</w:t>
            </w:r>
          </w:p>
        </w:tc>
        <w:tc>
          <w:tcPr>
            <w:tcW w:w="1804" w:type="dxa"/>
            <w:tcBorders>
              <w:top w:val="single" w:sz="4" w:space="0" w:color="auto"/>
              <w:left w:val="single" w:sz="4" w:space="0" w:color="auto"/>
            </w:tcBorders>
            <w:shd w:val="clear" w:color="auto" w:fill="FFFFFF"/>
            <w:vAlign w:val="center"/>
          </w:tcPr>
          <w:p w14:paraId="380406F4" w14:textId="77777777" w:rsidR="00967461" w:rsidRPr="00967461" w:rsidRDefault="00967461" w:rsidP="00EE302D">
            <w:pPr>
              <w:pStyle w:val="Other10"/>
              <w:spacing w:line="240" w:lineRule="auto"/>
              <w:ind w:firstLine="500"/>
              <w:rPr>
                <w:sz w:val="17"/>
                <w:szCs w:val="17"/>
              </w:rPr>
            </w:pPr>
            <w:r w:rsidRPr="00967461">
              <w:rPr>
                <w:color w:val="000000"/>
                <w:sz w:val="17"/>
                <w:szCs w:val="17"/>
              </w:rPr>
              <w:t>更正金额</w:t>
            </w:r>
          </w:p>
        </w:tc>
        <w:tc>
          <w:tcPr>
            <w:tcW w:w="1918" w:type="dxa"/>
            <w:tcBorders>
              <w:top w:val="single" w:sz="4" w:space="0" w:color="auto"/>
              <w:left w:val="single" w:sz="4" w:space="0" w:color="auto"/>
            </w:tcBorders>
            <w:shd w:val="clear" w:color="auto" w:fill="FFFFFF"/>
            <w:vAlign w:val="center"/>
          </w:tcPr>
          <w:p w14:paraId="0D8B908A" w14:textId="77777777" w:rsidR="00967461" w:rsidRPr="00967461" w:rsidRDefault="00967461" w:rsidP="00EE302D">
            <w:pPr>
              <w:pStyle w:val="Other10"/>
              <w:spacing w:line="240" w:lineRule="auto"/>
              <w:ind w:firstLine="440"/>
              <w:rPr>
                <w:sz w:val="17"/>
                <w:szCs w:val="17"/>
              </w:rPr>
            </w:pPr>
            <w:r w:rsidRPr="00967461">
              <w:rPr>
                <w:color w:val="000000"/>
                <w:sz w:val="17"/>
                <w:szCs w:val="17"/>
              </w:rPr>
              <w:t>更正后金额</w:t>
            </w:r>
          </w:p>
        </w:tc>
      </w:tr>
      <w:tr w:rsidR="00967461" w:rsidRPr="00967461" w14:paraId="2FA84BE3" w14:textId="77777777" w:rsidTr="00EE302D">
        <w:trPr>
          <w:trHeight w:hRule="exact" w:val="321"/>
        </w:trPr>
        <w:tc>
          <w:tcPr>
            <w:tcW w:w="2752" w:type="dxa"/>
            <w:tcBorders>
              <w:top w:val="single" w:sz="4" w:space="0" w:color="auto"/>
            </w:tcBorders>
            <w:shd w:val="clear" w:color="auto" w:fill="FFFFFF"/>
            <w:vAlign w:val="center"/>
          </w:tcPr>
          <w:p w14:paraId="099F3C0B" w14:textId="77777777" w:rsidR="00967461" w:rsidRPr="00967461" w:rsidRDefault="00967461" w:rsidP="00EE302D">
            <w:pPr>
              <w:jc w:val="center"/>
              <w:textAlignment w:val="center"/>
              <w:rPr>
                <w:rFonts w:ascii="宋体" w:eastAsia="宋体" w:hAnsi="宋体"/>
                <w:sz w:val="17"/>
                <w:szCs w:val="17"/>
              </w:rPr>
            </w:pPr>
            <w:r w:rsidRPr="00967461">
              <w:rPr>
                <w:rFonts w:ascii="宋体" w:eastAsia="宋体" w:hAnsi="宋体" w:cs="宋体" w:hint="eastAsia"/>
                <w:sz w:val="17"/>
                <w:szCs w:val="17"/>
                <w:lang w:bidi="ar"/>
              </w:rPr>
              <w:t>利润表：</w:t>
            </w:r>
          </w:p>
        </w:tc>
        <w:tc>
          <w:tcPr>
            <w:tcW w:w="1923" w:type="dxa"/>
            <w:tcBorders>
              <w:top w:val="single" w:sz="4" w:space="0" w:color="auto"/>
              <w:left w:val="single" w:sz="4" w:space="0" w:color="auto"/>
            </w:tcBorders>
            <w:shd w:val="clear" w:color="auto" w:fill="FFFFFF"/>
            <w:vAlign w:val="center"/>
          </w:tcPr>
          <w:p w14:paraId="3CCF1882"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c>
          <w:tcPr>
            <w:tcW w:w="1804" w:type="dxa"/>
            <w:tcBorders>
              <w:top w:val="single" w:sz="4" w:space="0" w:color="auto"/>
              <w:left w:val="single" w:sz="4" w:space="0" w:color="auto"/>
            </w:tcBorders>
            <w:shd w:val="clear" w:color="auto" w:fill="FFFFFF"/>
            <w:vAlign w:val="center"/>
          </w:tcPr>
          <w:p w14:paraId="6FEC1B00"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c>
          <w:tcPr>
            <w:tcW w:w="1918" w:type="dxa"/>
            <w:tcBorders>
              <w:top w:val="single" w:sz="4" w:space="0" w:color="auto"/>
              <w:left w:val="single" w:sz="4" w:space="0" w:color="auto"/>
            </w:tcBorders>
            <w:shd w:val="clear" w:color="auto" w:fill="FFFFFF"/>
            <w:vAlign w:val="center"/>
          </w:tcPr>
          <w:p w14:paraId="4FD4BECB" w14:textId="77777777" w:rsidR="00967461" w:rsidRPr="00967461" w:rsidRDefault="00967461" w:rsidP="00EE302D">
            <w:pPr>
              <w:jc w:val="right"/>
              <w:textAlignment w:val="center"/>
              <w:rPr>
                <w:rFonts w:ascii="宋体" w:eastAsia="宋体" w:hAnsi="宋体" w:cs="Times New Roman"/>
                <w:b/>
                <w:bCs/>
                <w:sz w:val="17"/>
                <w:szCs w:val="17"/>
              </w:rPr>
            </w:pPr>
            <w:r w:rsidRPr="00967461">
              <w:rPr>
                <w:rFonts w:ascii="宋体" w:eastAsia="宋体" w:hAnsi="宋体" w:cs="Times New Roman"/>
                <w:b/>
                <w:bCs/>
                <w:sz w:val="17"/>
                <w:szCs w:val="17"/>
                <w:lang w:bidi="ar"/>
              </w:rPr>
              <w:t xml:space="preserve">　</w:t>
            </w:r>
          </w:p>
        </w:tc>
      </w:tr>
      <w:tr w:rsidR="00967461" w:rsidRPr="00967461" w14:paraId="2B392280" w14:textId="77777777" w:rsidTr="00967461">
        <w:trPr>
          <w:trHeight w:hRule="exact" w:val="495"/>
        </w:trPr>
        <w:tc>
          <w:tcPr>
            <w:tcW w:w="2752" w:type="dxa"/>
            <w:tcBorders>
              <w:top w:val="single" w:sz="4" w:space="0" w:color="auto"/>
            </w:tcBorders>
            <w:shd w:val="clear" w:color="auto" w:fill="FFFFFF"/>
            <w:vAlign w:val="center"/>
          </w:tcPr>
          <w:p w14:paraId="66740AA5"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投资收益</w:t>
            </w:r>
          </w:p>
        </w:tc>
        <w:tc>
          <w:tcPr>
            <w:tcW w:w="1923" w:type="dxa"/>
            <w:tcBorders>
              <w:top w:val="single" w:sz="4" w:space="0" w:color="auto"/>
              <w:left w:val="single" w:sz="4" w:space="0" w:color="auto"/>
            </w:tcBorders>
            <w:shd w:val="clear" w:color="auto" w:fill="FFFFFF"/>
            <w:vAlign w:val="center"/>
          </w:tcPr>
          <w:p w14:paraId="0CC94B37"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137,799,890.20 </w:t>
            </w:r>
          </w:p>
        </w:tc>
        <w:tc>
          <w:tcPr>
            <w:tcW w:w="1804" w:type="dxa"/>
            <w:tcBorders>
              <w:top w:val="single" w:sz="4" w:space="0" w:color="auto"/>
              <w:left w:val="single" w:sz="4" w:space="0" w:color="auto"/>
            </w:tcBorders>
            <w:shd w:val="clear" w:color="auto" w:fill="FFFFFF"/>
            <w:vAlign w:val="center"/>
          </w:tcPr>
          <w:p w14:paraId="21572658" w14:textId="5D7DDBB7" w:rsidR="00967461" w:rsidRPr="00967461" w:rsidRDefault="00967461" w:rsidP="00EE302D">
            <w:pPr>
              <w:jc w:val="right"/>
              <w:textAlignment w:val="center"/>
              <w:rPr>
                <w:rFonts w:ascii="宋体" w:eastAsia="宋体" w:hAnsi="宋体"/>
                <w:sz w:val="17"/>
                <w:szCs w:val="17"/>
                <w:lang w:bidi="ar"/>
              </w:rPr>
            </w:pPr>
            <w:r>
              <w:rPr>
                <w:rFonts w:ascii="宋体" w:eastAsia="宋体" w:hAnsi="宋体"/>
                <w:sz w:val="17"/>
                <w:szCs w:val="17"/>
                <w:lang w:bidi="ar"/>
              </w:rPr>
              <w:t xml:space="preserve">      </w:t>
            </w:r>
            <w:r w:rsidRPr="00967461">
              <w:rPr>
                <w:rFonts w:ascii="宋体" w:eastAsia="宋体" w:hAnsi="宋体"/>
                <w:sz w:val="17"/>
                <w:szCs w:val="17"/>
                <w:lang w:bidi="ar"/>
              </w:rPr>
              <w:t xml:space="preserve">171,282,778.16 </w:t>
            </w:r>
          </w:p>
        </w:tc>
        <w:tc>
          <w:tcPr>
            <w:tcW w:w="1918" w:type="dxa"/>
            <w:tcBorders>
              <w:top w:val="single" w:sz="4" w:space="0" w:color="auto"/>
              <w:left w:val="single" w:sz="4" w:space="0" w:color="auto"/>
            </w:tcBorders>
            <w:shd w:val="clear" w:color="auto" w:fill="FFFFFF"/>
            <w:vAlign w:val="center"/>
          </w:tcPr>
          <w:p w14:paraId="2766BBA3"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309,082,668.36 </w:t>
            </w:r>
          </w:p>
        </w:tc>
      </w:tr>
      <w:tr w:rsidR="00967461" w:rsidRPr="00967461" w14:paraId="60471162" w14:textId="77777777" w:rsidTr="00EE302D">
        <w:trPr>
          <w:trHeight w:hRule="exact" w:val="321"/>
        </w:trPr>
        <w:tc>
          <w:tcPr>
            <w:tcW w:w="2752" w:type="dxa"/>
            <w:tcBorders>
              <w:top w:val="single" w:sz="4" w:space="0" w:color="auto"/>
              <w:bottom w:val="single" w:sz="4" w:space="0" w:color="auto"/>
            </w:tcBorders>
            <w:shd w:val="clear" w:color="auto" w:fill="FFFFFF"/>
            <w:vAlign w:val="center"/>
          </w:tcPr>
          <w:p w14:paraId="49ED4A83"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信用减值损失</w:t>
            </w:r>
          </w:p>
        </w:tc>
        <w:tc>
          <w:tcPr>
            <w:tcW w:w="1923" w:type="dxa"/>
            <w:tcBorders>
              <w:top w:val="single" w:sz="4" w:space="0" w:color="auto"/>
              <w:left w:val="single" w:sz="4" w:space="0" w:color="auto"/>
              <w:bottom w:val="single" w:sz="4" w:space="0" w:color="auto"/>
            </w:tcBorders>
            <w:shd w:val="clear" w:color="auto" w:fill="FFFFFF"/>
            <w:vAlign w:val="center"/>
          </w:tcPr>
          <w:p w14:paraId="2F505E67"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hint="eastAsia"/>
                <w:sz w:val="17"/>
                <w:szCs w:val="17"/>
                <w:lang w:bidi="ar"/>
              </w:rPr>
              <w:t>-</w:t>
            </w:r>
            <w:r w:rsidRPr="00967461">
              <w:rPr>
                <w:rFonts w:ascii="宋体" w:eastAsia="宋体" w:hAnsi="宋体"/>
                <w:sz w:val="17"/>
                <w:szCs w:val="17"/>
                <w:lang w:bidi="ar"/>
              </w:rPr>
              <w:t>667,569,916.10</w:t>
            </w:r>
          </w:p>
        </w:tc>
        <w:tc>
          <w:tcPr>
            <w:tcW w:w="1804" w:type="dxa"/>
            <w:tcBorders>
              <w:top w:val="single" w:sz="4" w:space="0" w:color="auto"/>
              <w:left w:val="single" w:sz="4" w:space="0" w:color="auto"/>
              <w:bottom w:val="single" w:sz="4" w:space="0" w:color="auto"/>
            </w:tcBorders>
            <w:shd w:val="clear" w:color="auto" w:fill="FFFFFF"/>
            <w:vAlign w:val="center"/>
          </w:tcPr>
          <w:p w14:paraId="394274F4" w14:textId="2ABB3B2B" w:rsidR="00967461" w:rsidRPr="00967461" w:rsidRDefault="00967461" w:rsidP="00EE302D">
            <w:pPr>
              <w:jc w:val="right"/>
              <w:textAlignment w:val="center"/>
              <w:rPr>
                <w:rFonts w:ascii="宋体" w:eastAsia="宋体" w:hAnsi="宋体"/>
                <w:sz w:val="17"/>
                <w:szCs w:val="17"/>
                <w:lang w:bidi="ar"/>
              </w:rPr>
            </w:pPr>
            <w:r>
              <w:rPr>
                <w:rFonts w:ascii="宋体" w:eastAsia="宋体" w:hAnsi="宋体"/>
                <w:sz w:val="17"/>
                <w:szCs w:val="17"/>
                <w:lang w:bidi="ar"/>
              </w:rPr>
              <w:t xml:space="preserve">      </w:t>
            </w:r>
            <w:r w:rsidRPr="00967461">
              <w:rPr>
                <w:rFonts w:ascii="宋体" w:eastAsia="宋体" w:hAnsi="宋体"/>
                <w:sz w:val="17"/>
                <w:szCs w:val="17"/>
                <w:lang w:bidi="ar"/>
              </w:rPr>
              <w:t xml:space="preserve">281,534,467.77 </w:t>
            </w:r>
          </w:p>
        </w:tc>
        <w:tc>
          <w:tcPr>
            <w:tcW w:w="1918" w:type="dxa"/>
            <w:tcBorders>
              <w:top w:val="single" w:sz="4" w:space="0" w:color="auto"/>
              <w:left w:val="single" w:sz="4" w:space="0" w:color="auto"/>
              <w:bottom w:val="single" w:sz="4" w:space="0" w:color="auto"/>
            </w:tcBorders>
            <w:shd w:val="clear" w:color="auto" w:fill="FFFFFF"/>
            <w:vAlign w:val="center"/>
          </w:tcPr>
          <w:p w14:paraId="458D7ED2"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hint="eastAsia"/>
                <w:sz w:val="17"/>
                <w:szCs w:val="17"/>
                <w:lang w:bidi="ar"/>
              </w:rPr>
              <w:t>-</w:t>
            </w:r>
            <w:r w:rsidRPr="00967461">
              <w:rPr>
                <w:rFonts w:ascii="宋体" w:eastAsia="宋体" w:hAnsi="宋体"/>
                <w:sz w:val="17"/>
                <w:szCs w:val="17"/>
                <w:lang w:bidi="ar"/>
              </w:rPr>
              <w:t>386,035,448.33</w:t>
            </w:r>
          </w:p>
        </w:tc>
      </w:tr>
      <w:tr w:rsidR="00967461" w:rsidRPr="00967461" w14:paraId="086001FB" w14:textId="77777777" w:rsidTr="00EE302D">
        <w:trPr>
          <w:trHeight w:hRule="exact" w:val="321"/>
        </w:trPr>
        <w:tc>
          <w:tcPr>
            <w:tcW w:w="2752" w:type="dxa"/>
            <w:tcBorders>
              <w:top w:val="single" w:sz="4" w:space="0" w:color="auto"/>
              <w:bottom w:val="single" w:sz="4" w:space="0" w:color="auto"/>
            </w:tcBorders>
            <w:shd w:val="clear" w:color="auto" w:fill="FFFFFF"/>
            <w:vAlign w:val="center"/>
          </w:tcPr>
          <w:p w14:paraId="2172C74D"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营业外收入</w:t>
            </w:r>
          </w:p>
        </w:tc>
        <w:tc>
          <w:tcPr>
            <w:tcW w:w="1923" w:type="dxa"/>
            <w:tcBorders>
              <w:top w:val="single" w:sz="4" w:space="0" w:color="auto"/>
              <w:left w:val="single" w:sz="4" w:space="0" w:color="auto"/>
              <w:bottom w:val="single" w:sz="4" w:space="0" w:color="auto"/>
            </w:tcBorders>
            <w:shd w:val="clear" w:color="auto" w:fill="FFFFFF"/>
            <w:vAlign w:val="center"/>
          </w:tcPr>
          <w:p w14:paraId="4B54A1A0"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8,626,503.75 </w:t>
            </w:r>
          </w:p>
        </w:tc>
        <w:tc>
          <w:tcPr>
            <w:tcW w:w="1804" w:type="dxa"/>
            <w:tcBorders>
              <w:top w:val="single" w:sz="4" w:space="0" w:color="auto"/>
              <w:left w:val="single" w:sz="4" w:space="0" w:color="auto"/>
              <w:bottom w:val="single" w:sz="4" w:space="0" w:color="auto"/>
            </w:tcBorders>
            <w:shd w:val="clear" w:color="auto" w:fill="FFFFFF"/>
            <w:vAlign w:val="center"/>
          </w:tcPr>
          <w:p w14:paraId="08C94A00"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hint="eastAsia"/>
                <w:sz w:val="17"/>
                <w:szCs w:val="17"/>
                <w:lang w:bidi="ar"/>
              </w:rPr>
              <w:t>-</w:t>
            </w:r>
            <w:r w:rsidRPr="00967461">
              <w:rPr>
                <w:rFonts w:ascii="宋体" w:eastAsia="宋体" w:hAnsi="宋体"/>
                <w:sz w:val="17"/>
                <w:szCs w:val="17"/>
                <w:lang w:bidi="ar"/>
              </w:rPr>
              <w:t>16,182,372.99</w:t>
            </w:r>
          </w:p>
        </w:tc>
        <w:tc>
          <w:tcPr>
            <w:tcW w:w="1918" w:type="dxa"/>
            <w:tcBorders>
              <w:top w:val="single" w:sz="4" w:space="0" w:color="auto"/>
              <w:left w:val="single" w:sz="4" w:space="0" w:color="auto"/>
              <w:bottom w:val="single" w:sz="4" w:space="0" w:color="auto"/>
            </w:tcBorders>
            <w:shd w:val="clear" w:color="auto" w:fill="FFFFFF"/>
            <w:vAlign w:val="center"/>
          </w:tcPr>
          <w:p w14:paraId="2D28916E"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hint="eastAsia"/>
                <w:sz w:val="17"/>
                <w:szCs w:val="17"/>
                <w:lang w:bidi="ar"/>
              </w:rPr>
              <w:t>-</w:t>
            </w:r>
            <w:r w:rsidRPr="00967461">
              <w:rPr>
                <w:rFonts w:ascii="宋体" w:eastAsia="宋体" w:hAnsi="宋体"/>
                <w:sz w:val="17"/>
                <w:szCs w:val="17"/>
                <w:lang w:bidi="ar"/>
              </w:rPr>
              <w:t>7,555,869.24</w:t>
            </w:r>
          </w:p>
        </w:tc>
      </w:tr>
      <w:tr w:rsidR="00967461" w:rsidRPr="00967461" w14:paraId="783E38D1" w14:textId="77777777" w:rsidTr="00EE302D">
        <w:trPr>
          <w:trHeight w:hRule="exact" w:val="321"/>
        </w:trPr>
        <w:tc>
          <w:tcPr>
            <w:tcW w:w="2752" w:type="dxa"/>
            <w:tcBorders>
              <w:top w:val="single" w:sz="4" w:space="0" w:color="auto"/>
              <w:bottom w:val="single" w:sz="4" w:space="0" w:color="auto"/>
            </w:tcBorders>
            <w:shd w:val="clear" w:color="auto" w:fill="FFFFFF"/>
            <w:vAlign w:val="center"/>
          </w:tcPr>
          <w:p w14:paraId="6638A591"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利润总额</w:t>
            </w:r>
          </w:p>
        </w:tc>
        <w:tc>
          <w:tcPr>
            <w:tcW w:w="1923" w:type="dxa"/>
            <w:tcBorders>
              <w:top w:val="single" w:sz="4" w:space="0" w:color="auto"/>
              <w:left w:val="single" w:sz="4" w:space="0" w:color="auto"/>
              <w:bottom w:val="single" w:sz="4" w:space="0" w:color="auto"/>
            </w:tcBorders>
            <w:shd w:val="clear" w:color="auto" w:fill="FFFFFF"/>
            <w:vAlign w:val="center"/>
          </w:tcPr>
          <w:p w14:paraId="26348C09"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-1,976,193,117.33 </w:t>
            </w:r>
          </w:p>
        </w:tc>
        <w:tc>
          <w:tcPr>
            <w:tcW w:w="1804" w:type="dxa"/>
            <w:tcBorders>
              <w:top w:val="single" w:sz="4" w:space="0" w:color="auto"/>
              <w:left w:val="single" w:sz="4" w:space="0" w:color="auto"/>
              <w:bottom w:val="single" w:sz="4" w:space="0" w:color="auto"/>
            </w:tcBorders>
            <w:shd w:val="clear" w:color="auto" w:fill="FFFFFF"/>
            <w:vAlign w:val="center"/>
          </w:tcPr>
          <w:p w14:paraId="48ECFF60" w14:textId="62155CC4" w:rsidR="00967461" w:rsidRPr="00967461" w:rsidRDefault="00967461" w:rsidP="00EE302D">
            <w:pPr>
              <w:jc w:val="right"/>
              <w:textAlignment w:val="center"/>
              <w:rPr>
                <w:rFonts w:ascii="宋体" w:eastAsia="宋体" w:hAnsi="宋体"/>
                <w:sz w:val="17"/>
                <w:szCs w:val="17"/>
                <w:lang w:bidi="ar"/>
              </w:rPr>
            </w:pPr>
            <w:r>
              <w:rPr>
                <w:rFonts w:ascii="宋体" w:eastAsia="宋体" w:hAnsi="宋体"/>
                <w:sz w:val="17"/>
                <w:szCs w:val="17"/>
                <w:lang w:bidi="ar"/>
              </w:rPr>
              <w:t xml:space="preserve">      </w:t>
            </w:r>
            <w:r w:rsidRPr="00967461">
              <w:rPr>
                <w:rFonts w:ascii="宋体" w:eastAsia="宋体" w:hAnsi="宋体"/>
                <w:sz w:val="17"/>
                <w:szCs w:val="17"/>
                <w:lang w:bidi="ar"/>
              </w:rPr>
              <w:t xml:space="preserve">436,634,872.94 </w:t>
            </w:r>
          </w:p>
        </w:tc>
        <w:tc>
          <w:tcPr>
            <w:tcW w:w="1918" w:type="dxa"/>
            <w:tcBorders>
              <w:top w:val="single" w:sz="4" w:space="0" w:color="auto"/>
              <w:left w:val="single" w:sz="4" w:space="0" w:color="auto"/>
              <w:bottom w:val="single" w:sz="4" w:space="0" w:color="auto"/>
            </w:tcBorders>
            <w:shd w:val="clear" w:color="auto" w:fill="FFFFFF"/>
            <w:vAlign w:val="center"/>
          </w:tcPr>
          <w:p w14:paraId="470DD201"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 xml:space="preserve">     -1,539,558,244.39 </w:t>
            </w:r>
          </w:p>
        </w:tc>
      </w:tr>
      <w:tr w:rsidR="00967461" w:rsidRPr="00967461" w14:paraId="7AC8D554" w14:textId="77777777" w:rsidTr="00EE302D">
        <w:trPr>
          <w:trHeight w:hRule="exact" w:val="321"/>
        </w:trPr>
        <w:tc>
          <w:tcPr>
            <w:tcW w:w="2752" w:type="dxa"/>
            <w:tcBorders>
              <w:top w:val="single" w:sz="4" w:space="0" w:color="auto"/>
              <w:bottom w:val="single" w:sz="4" w:space="0" w:color="auto"/>
            </w:tcBorders>
            <w:shd w:val="clear" w:color="auto" w:fill="FFFFFF"/>
            <w:vAlign w:val="center"/>
          </w:tcPr>
          <w:p w14:paraId="06169C92" w14:textId="77777777" w:rsidR="00967461" w:rsidRPr="00967461" w:rsidRDefault="00967461" w:rsidP="00EE302D">
            <w:pPr>
              <w:textAlignment w:val="center"/>
              <w:rPr>
                <w:rFonts w:ascii="宋体" w:eastAsia="宋体" w:hAnsi="宋体"/>
                <w:sz w:val="17"/>
                <w:szCs w:val="17"/>
              </w:rPr>
            </w:pPr>
            <w:r w:rsidRPr="00967461">
              <w:rPr>
                <w:rFonts w:ascii="宋体" w:eastAsia="宋体" w:hAnsi="宋体" w:cs="宋体" w:hint="eastAsia"/>
                <w:sz w:val="17"/>
                <w:szCs w:val="17"/>
                <w:lang w:bidi="ar"/>
              </w:rPr>
              <w:t>净利润</w:t>
            </w:r>
          </w:p>
        </w:tc>
        <w:tc>
          <w:tcPr>
            <w:tcW w:w="1923" w:type="dxa"/>
            <w:tcBorders>
              <w:top w:val="single" w:sz="4" w:space="0" w:color="auto"/>
              <w:left w:val="single" w:sz="4" w:space="0" w:color="auto"/>
              <w:bottom w:val="single" w:sz="4" w:space="0" w:color="auto"/>
            </w:tcBorders>
            <w:shd w:val="clear" w:color="auto" w:fill="FFFFFF"/>
            <w:vAlign w:val="center"/>
          </w:tcPr>
          <w:p w14:paraId="2C813D38"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-1,976,193,117.33</w:t>
            </w:r>
          </w:p>
        </w:tc>
        <w:tc>
          <w:tcPr>
            <w:tcW w:w="1804" w:type="dxa"/>
            <w:tcBorders>
              <w:top w:val="single" w:sz="4" w:space="0" w:color="auto"/>
              <w:left w:val="single" w:sz="4" w:space="0" w:color="auto"/>
              <w:bottom w:val="single" w:sz="4" w:space="0" w:color="auto"/>
            </w:tcBorders>
            <w:shd w:val="clear" w:color="auto" w:fill="FFFFFF"/>
            <w:vAlign w:val="center"/>
          </w:tcPr>
          <w:p w14:paraId="75165F50"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436,634,872.94</w:t>
            </w:r>
          </w:p>
        </w:tc>
        <w:tc>
          <w:tcPr>
            <w:tcW w:w="1918" w:type="dxa"/>
            <w:tcBorders>
              <w:top w:val="single" w:sz="4" w:space="0" w:color="auto"/>
              <w:left w:val="single" w:sz="4" w:space="0" w:color="auto"/>
              <w:bottom w:val="single" w:sz="4" w:space="0" w:color="auto"/>
            </w:tcBorders>
            <w:shd w:val="clear" w:color="auto" w:fill="FFFFFF"/>
            <w:vAlign w:val="center"/>
          </w:tcPr>
          <w:p w14:paraId="76537553" w14:textId="77777777" w:rsidR="00967461" w:rsidRPr="00967461" w:rsidRDefault="00967461" w:rsidP="00EE302D">
            <w:pPr>
              <w:jc w:val="right"/>
              <w:textAlignment w:val="center"/>
              <w:rPr>
                <w:rFonts w:ascii="宋体" w:eastAsia="宋体" w:hAnsi="宋体"/>
                <w:sz w:val="17"/>
                <w:szCs w:val="17"/>
                <w:lang w:bidi="ar"/>
              </w:rPr>
            </w:pPr>
            <w:r w:rsidRPr="00967461">
              <w:rPr>
                <w:rFonts w:ascii="宋体" w:eastAsia="宋体" w:hAnsi="宋体"/>
                <w:sz w:val="17"/>
                <w:szCs w:val="17"/>
                <w:lang w:bidi="ar"/>
              </w:rPr>
              <w:t>-1,539,558,244.39</w:t>
            </w:r>
          </w:p>
        </w:tc>
      </w:tr>
      <w:bookmarkEnd w:id="13"/>
    </w:tbl>
    <w:p w14:paraId="05ACF22D" w14:textId="77777777" w:rsidR="00967461" w:rsidRDefault="00967461" w:rsidP="00967461">
      <w:pPr>
        <w:pStyle w:val="Bodytext10"/>
        <w:spacing w:line="446" w:lineRule="exact"/>
        <w:ind w:firstLineChars="200" w:firstLine="480"/>
        <w:jc w:val="both"/>
        <w:rPr>
          <w:rFonts w:cs="Arial"/>
          <w:snapToGrid w:val="0"/>
          <w:color w:val="000000"/>
          <w:kern w:val="0"/>
          <w:sz w:val="24"/>
          <w:szCs w:val="24"/>
          <w:lang w:val="en-US" w:eastAsia="zh-CN" w:bidi="ar-SA"/>
        </w:rPr>
      </w:pPr>
    </w:p>
    <w:p w14:paraId="077DDE2D" w14:textId="42876D40" w:rsidR="00B97D10" w:rsidRPr="00306355" w:rsidRDefault="00B97D10" w:rsidP="00306355">
      <w:pPr>
        <w:spacing w:beforeLines="50" w:before="156" w:afterLines="50" w:after="156" w:line="360" w:lineRule="auto"/>
        <w:rPr>
          <w:rFonts w:asciiTheme="minorEastAsia" w:eastAsiaTheme="minorEastAsia" w:hAnsiTheme="minorEastAsia" w:cs="宋体"/>
          <w:b/>
          <w:sz w:val="24"/>
          <w:szCs w:val="24"/>
        </w:rPr>
      </w:pPr>
      <w:r w:rsidRPr="00306355">
        <w:rPr>
          <w:rFonts w:asciiTheme="minorEastAsia" w:eastAsiaTheme="minorEastAsia" w:hAnsiTheme="minorEastAsia" w:cs="宋体" w:hint="eastAsia"/>
          <w:b/>
          <w:sz w:val="24"/>
          <w:szCs w:val="24"/>
        </w:rPr>
        <w:t xml:space="preserve">三、会计事务所就前期会计差错更正事项的专项说明 </w:t>
      </w:r>
    </w:p>
    <w:p w14:paraId="02C10698" w14:textId="595CFD23" w:rsidR="00B97D10" w:rsidRPr="00083390" w:rsidRDefault="00B97D10" w:rsidP="002A39FE">
      <w:pPr>
        <w:kinsoku/>
        <w:overflowPunct w:val="0"/>
        <w:topLinePunct/>
        <w:spacing w:before="155" w:line="360" w:lineRule="auto"/>
        <w:ind w:left="11" w:right="108" w:firstLine="482"/>
        <w:jc w:val="both"/>
        <w:rPr>
          <w:rFonts w:asciiTheme="minorEastAsia" w:eastAsiaTheme="minorEastAsia" w:hAnsiTheme="minorEastAsia" w:cs="宋体"/>
          <w:spacing w:val="1"/>
          <w:sz w:val="24"/>
        </w:rPr>
      </w:pPr>
      <w:r w:rsidRPr="00083390">
        <w:rPr>
          <w:rFonts w:asciiTheme="minorEastAsia" w:eastAsiaTheme="minorEastAsia" w:hAnsiTheme="minorEastAsia" w:cs="宋体" w:hint="eastAsia"/>
          <w:sz w:val="24"/>
        </w:rPr>
        <w:t>公司聘请的2</w:t>
      </w:r>
      <w:r w:rsidRPr="00083390">
        <w:rPr>
          <w:rFonts w:asciiTheme="minorEastAsia" w:eastAsiaTheme="minorEastAsia" w:hAnsiTheme="minorEastAsia" w:cs="宋体"/>
          <w:sz w:val="24"/>
        </w:rPr>
        <w:t>02</w:t>
      </w:r>
      <w:r w:rsidR="00D713A0">
        <w:rPr>
          <w:rFonts w:asciiTheme="minorEastAsia" w:eastAsiaTheme="minorEastAsia" w:hAnsiTheme="minorEastAsia" w:cs="宋体"/>
          <w:sz w:val="24"/>
        </w:rPr>
        <w:t>4</w:t>
      </w:r>
      <w:r w:rsidRPr="00083390">
        <w:rPr>
          <w:rFonts w:asciiTheme="minorEastAsia" w:eastAsiaTheme="minorEastAsia" w:hAnsiTheme="minorEastAsia" w:cs="宋体" w:hint="eastAsia"/>
          <w:sz w:val="24"/>
        </w:rPr>
        <w:t>年度报告审计机构苏亚金诚会计师事务所（特殊普通合伙）就会计差错更正事项出具了《关于江苏中利集团股份有限公司前期会计差错更正及追溯调整专项说明的审核报告》，并发表专项意见认为：</w:t>
      </w:r>
      <w:r w:rsidR="00C77BD8" w:rsidRPr="00C77BD8">
        <w:rPr>
          <w:rFonts w:asciiTheme="minorEastAsia" w:eastAsiaTheme="minorEastAsia" w:hAnsiTheme="minorEastAsia" w:cs="宋体" w:hint="eastAsia"/>
          <w:spacing w:val="1"/>
          <w:sz w:val="24"/>
        </w:rPr>
        <w:t>中利集团管理层编制的专项说明如实反映了中利集团前期会计差错更正情况。中利集团对上述信息的披露符合《企业会计准则第</w:t>
      </w:r>
      <w:r w:rsidR="00C77BD8" w:rsidRPr="00C77BD8">
        <w:rPr>
          <w:rFonts w:asciiTheme="minorEastAsia" w:eastAsiaTheme="minorEastAsia" w:hAnsiTheme="minorEastAsia" w:cs="宋体"/>
          <w:spacing w:val="1"/>
          <w:sz w:val="24"/>
        </w:rPr>
        <w:t>28</w:t>
      </w:r>
      <w:r w:rsidR="00C77BD8" w:rsidRPr="00C77BD8">
        <w:rPr>
          <w:rFonts w:asciiTheme="minorEastAsia" w:eastAsiaTheme="minorEastAsia" w:hAnsiTheme="minorEastAsia" w:cs="宋体" w:hint="eastAsia"/>
          <w:spacing w:val="1"/>
          <w:sz w:val="24"/>
        </w:rPr>
        <w:t>号—会计政策、会计估计变更和差错更</w:t>
      </w:r>
      <w:r w:rsidR="00C77BD8" w:rsidRPr="00C77BD8">
        <w:rPr>
          <w:rFonts w:asciiTheme="minorEastAsia" w:eastAsiaTheme="minorEastAsia" w:hAnsiTheme="minorEastAsia" w:cs="宋体" w:hint="eastAsia"/>
          <w:spacing w:val="1"/>
          <w:sz w:val="24"/>
        </w:rPr>
        <w:lastRenderedPageBreak/>
        <w:t>正》、中国证券监督管理委员会《公开发行证券的公司信息披露编制规则第</w:t>
      </w:r>
      <w:r w:rsidR="00C77BD8" w:rsidRPr="00C77BD8">
        <w:rPr>
          <w:rFonts w:asciiTheme="minorEastAsia" w:eastAsiaTheme="minorEastAsia" w:hAnsiTheme="minorEastAsia" w:cs="宋体"/>
          <w:spacing w:val="1"/>
          <w:sz w:val="24"/>
        </w:rPr>
        <w:t>19</w:t>
      </w:r>
      <w:r w:rsidR="00C77BD8" w:rsidRPr="00C77BD8">
        <w:rPr>
          <w:rFonts w:asciiTheme="minorEastAsia" w:eastAsiaTheme="minorEastAsia" w:hAnsiTheme="minorEastAsia" w:cs="宋体" w:hint="eastAsia"/>
          <w:spacing w:val="1"/>
          <w:sz w:val="24"/>
        </w:rPr>
        <w:t>号</w:t>
      </w:r>
      <w:r w:rsidR="00C77BD8" w:rsidRPr="00C77BD8">
        <w:rPr>
          <w:rFonts w:asciiTheme="minorEastAsia" w:eastAsiaTheme="minorEastAsia" w:hAnsiTheme="minorEastAsia" w:cs="宋体"/>
          <w:spacing w:val="1"/>
          <w:sz w:val="24"/>
        </w:rPr>
        <w:t>-</w:t>
      </w:r>
      <w:r w:rsidR="00C77BD8" w:rsidRPr="00C77BD8">
        <w:rPr>
          <w:rFonts w:asciiTheme="minorEastAsia" w:eastAsiaTheme="minorEastAsia" w:hAnsiTheme="minorEastAsia" w:cs="宋体" w:hint="eastAsia"/>
          <w:spacing w:val="1"/>
          <w:sz w:val="24"/>
        </w:rPr>
        <w:t>财务信息的更正及相关披露（</w:t>
      </w:r>
      <w:r w:rsidR="00C77BD8" w:rsidRPr="00C77BD8">
        <w:rPr>
          <w:rFonts w:asciiTheme="minorEastAsia" w:eastAsiaTheme="minorEastAsia" w:hAnsiTheme="minorEastAsia" w:cs="宋体"/>
          <w:spacing w:val="1"/>
          <w:sz w:val="24"/>
        </w:rPr>
        <w:t>2018</w:t>
      </w:r>
      <w:r w:rsidR="00C77BD8" w:rsidRPr="00C77BD8">
        <w:rPr>
          <w:rFonts w:asciiTheme="minorEastAsia" w:eastAsiaTheme="minorEastAsia" w:hAnsiTheme="minorEastAsia" w:cs="宋体" w:hint="eastAsia"/>
          <w:spacing w:val="1"/>
          <w:sz w:val="24"/>
        </w:rPr>
        <w:t>年修订）》等相关文件的规定。</w:t>
      </w:r>
    </w:p>
    <w:p w14:paraId="4C562D2A" w14:textId="7F930BF4" w:rsidR="0094520C" w:rsidRPr="00083390" w:rsidRDefault="0094520C" w:rsidP="002A39FE">
      <w:pPr>
        <w:kinsoku/>
        <w:spacing w:beforeLines="50" w:before="156" w:afterLines="50" w:after="156" w:line="360" w:lineRule="auto"/>
        <w:ind w:firstLineChars="200" w:firstLine="482"/>
        <w:jc w:val="both"/>
        <w:outlineLvl w:val="1"/>
        <w:rPr>
          <w:rFonts w:asciiTheme="minorEastAsia" w:eastAsiaTheme="minorEastAsia" w:hAnsiTheme="minorEastAsia"/>
          <w:b/>
          <w:sz w:val="24"/>
        </w:rPr>
      </w:pPr>
      <w:r>
        <w:rPr>
          <w:rFonts w:asciiTheme="minorEastAsia" w:eastAsiaTheme="minorEastAsia" w:hAnsiTheme="minorEastAsia" w:hint="eastAsia"/>
          <w:b/>
          <w:sz w:val="24"/>
        </w:rPr>
        <w:t>四、董事会审计委员会</w:t>
      </w:r>
      <w:r w:rsidRPr="00083390">
        <w:rPr>
          <w:rFonts w:asciiTheme="minorEastAsia" w:eastAsiaTheme="minorEastAsia" w:hAnsiTheme="minorEastAsia" w:hint="eastAsia"/>
          <w:b/>
          <w:sz w:val="24"/>
        </w:rPr>
        <w:t>意见</w:t>
      </w:r>
    </w:p>
    <w:p w14:paraId="210F7FBF" w14:textId="7B9757EC" w:rsidR="0094520C" w:rsidRPr="00083390" w:rsidRDefault="0094520C" w:rsidP="002A39FE">
      <w:pPr>
        <w:kinsoku/>
        <w:spacing w:line="360" w:lineRule="auto"/>
        <w:ind w:firstLineChars="200" w:firstLine="480"/>
        <w:jc w:val="both"/>
        <w:rPr>
          <w:rFonts w:asciiTheme="minorEastAsia" w:eastAsiaTheme="minorEastAsia" w:hAnsiTheme="minorEastAsia" w:cs="宋体"/>
          <w:b/>
          <w:sz w:val="24"/>
        </w:rPr>
      </w:pPr>
      <w:r w:rsidRPr="00DD686C">
        <w:rPr>
          <w:rFonts w:asciiTheme="minorEastAsia" w:eastAsiaTheme="minorEastAsia" w:hAnsiTheme="minorEastAsia" w:cs="宋体" w:hint="eastAsia"/>
          <w:sz w:val="24"/>
        </w:rPr>
        <w:t>董事会审计委员会</w:t>
      </w:r>
      <w:r w:rsidRPr="00083390">
        <w:rPr>
          <w:rFonts w:asciiTheme="minorEastAsia" w:eastAsiaTheme="minorEastAsia" w:hAnsiTheme="minorEastAsia" w:cs="宋体" w:hint="eastAsia"/>
          <w:sz w:val="24"/>
        </w:rPr>
        <w:t>认为：公司本次关于前期会计差错更正及追溯调整是基于公司实际经营情况，符合《企业会计准则第28号——会计政策、会计估计变更和差错更正》《公开发行证券的公司信息披露编报规则第19号——财务信息的更正及相关披露》等相关文件的规定，能够更加客观、公允地反映公司的财务状况和经营成果，本次关于前期会计差错更正及追溯调整的相关决策程序符合法律、法规及《公司章程》等的规定，同意公司本次关于前期会计差错更正及追溯调整</w:t>
      </w:r>
      <w:r>
        <w:rPr>
          <w:rFonts w:asciiTheme="minorEastAsia" w:eastAsiaTheme="minorEastAsia" w:hAnsiTheme="minorEastAsia" w:cs="宋体" w:hint="eastAsia"/>
          <w:sz w:val="24"/>
        </w:rPr>
        <w:t>，并将该议案提交董事会审议</w:t>
      </w:r>
      <w:r w:rsidRPr="00083390">
        <w:rPr>
          <w:rFonts w:asciiTheme="minorEastAsia" w:eastAsiaTheme="minorEastAsia" w:hAnsiTheme="minorEastAsia" w:cs="宋体" w:hint="eastAsia"/>
          <w:sz w:val="24"/>
        </w:rPr>
        <w:t>。</w:t>
      </w:r>
    </w:p>
    <w:p w14:paraId="4226A912" w14:textId="210C97D0" w:rsidR="00B97D10" w:rsidRPr="00083390" w:rsidRDefault="0094520C" w:rsidP="002A39FE">
      <w:pPr>
        <w:kinsoku/>
        <w:spacing w:beforeLines="50" w:before="156" w:afterLines="50" w:after="156" w:line="360" w:lineRule="auto"/>
        <w:ind w:firstLineChars="200" w:firstLine="482"/>
        <w:jc w:val="both"/>
        <w:outlineLvl w:val="1"/>
        <w:rPr>
          <w:rFonts w:asciiTheme="minorEastAsia" w:eastAsiaTheme="minorEastAsia" w:hAnsiTheme="minorEastAsia"/>
          <w:b/>
          <w:sz w:val="24"/>
        </w:rPr>
      </w:pPr>
      <w:r>
        <w:rPr>
          <w:rFonts w:asciiTheme="minorEastAsia" w:eastAsiaTheme="minorEastAsia" w:hAnsiTheme="minorEastAsia" w:hint="eastAsia"/>
          <w:b/>
          <w:sz w:val="24"/>
        </w:rPr>
        <w:t>五</w:t>
      </w:r>
      <w:r w:rsidR="00B97D10" w:rsidRPr="00083390">
        <w:rPr>
          <w:rFonts w:asciiTheme="minorEastAsia" w:eastAsiaTheme="minorEastAsia" w:hAnsiTheme="minorEastAsia" w:hint="eastAsia"/>
          <w:b/>
          <w:sz w:val="24"/>
        </w:rPr>
        <w:t>、董事会意见</w:t>
      </w:r>
    </w:p>
    <w:p w14:paraId="6030E5B1" w14:textId="7814E6CD" w:rsidR="00B97D10" w:rsidRDefault="00B97D10" w:rsidP="002A39FE">
      <w:pPr>
        <w:kinsoku/>
        <w:spacing w:line="360" w:lineRule="auto"/>
        <w:ind w:firstLineChars="200" w:firstLine="480"/>
        <w:jc w:val="both"/>
        <w:rPr>
          <w:rFonts w:asciiTheme="minorEastAsia" w:eastAsiaTheme="minorEastAsia" w:hAnsiTheme="minorEastAsia" w:cs="宋体"/>
          <w:sz w:val="24"/>
        </w:rPr>
      </w:pPr>
      <w:r w:rsidRPr="00083390">
        <w:rPr>
          <w:rFonts w:asciiTheme="minorEastAsia" w:eastAsiaTheme="minorEastAsia" w:hAnsiTheme="minorEastAsia" w:cs="宋体" w:hint="eastAsia"/>
          <w:sz w:val="24"/>
        </w:rPr>
        <w:t>董事会认为：公司本次关于前期会计差错更正及追溯调整是基于公司实际经营情况，符合《企业会计准则第28号——会计政策、会计估计变更和差错更正》《公开发行证券的公司信息披露编报规则第19号——财务信息的更正及相关披露》等相关文件的规定，能够更加客观、公允地反映公司的财务状况和经营成果，本次关于前期会计差错更正及追溯调整的相关决策程序符合法律、法规及《公司章程》等的规定，同意公司本次关于前期会计差错更正及追溯调整。</w:t>
      </w:r>
    </w:p>
    <w:p w14:paraId="4B809126" w14:textId="3DE904D9" w:rsidR="00B673F6" w:rsidRPr="00B673F6" w:rsidRDefault="00B673F6" w:rsidP="002A39FE">
      <w:pPr>
        <w:kinsoku/>
        <w:spacing w:beforeLines="50" w:before="156" w:afterLines="50" w:after="156" w:line="360" w:lineRule="auto"/>
        <w:ind w:firstLineChars="200" w:firstLine="482"/>
        <w:jc w:val="both"/>
        <w:outlineLvl w:val="1"/>
        <w:rPr>
          <w:rFonts w:asciiTheme="minorEastAsia" w:eastAsiaTheme="minorEastAsia" w:hAnsiTheme="minorEastAsia"/>
          <w:b/>
          <w:sz w:val="24"/>
        </w:rPr>
      </w:pPr>
      <w:r w:rsidRPr="00B673F6">
        <w:rPr>
          <w:rFonts w:asciiTheme="minorEastAsia" w:eastAsiaTheme="minorEastAsia" w:hAnsiTheme="minorEastAsia" w:hint="eastAsia"/>
          <w:b/>
          <w:sz w:val="24"/>
        </w:rPr>
        <w:t>六、监事会意见</w:t>
      </w:r>
    </w:p>
    <w:p w14:paraId="0BBF175C" w14:textId="2BF89368" w:rsidR="00B97D10" w:rsidRPr="004437DC" w:rsidRDefault="00B673F6" w:rsidP="004437DC">
      <w:pPr>
        <w:kinsoku/>
        <w:spacing w:line="360" w:lineRule="auto"/>
        <w:ind w:firstLineChars="200" w:firstLine="480"/>
        <w:jc w:val="both"/>
        <w:rPr>
          <w:rFonts w:asciiTheme="minorEastAsia" w:eastAsiaTheme="minorEastAsia" w:hAnsiTheme="minorEastAsia" w:cs="宋体"/>
          <w:sz w:val="24"/>
        </w:rPr>
      </w:pPr>
      <w:r>
        <w:rPr>
          <w:rFonts w:asciiTheme="minorEastAsia" w:eastAsiaTheme="minorEastAsia" w:hAnsiTheme="minorEastAsia" w:cs="宋体" w:hint="eastAsia"/>
          <w:sz w:val="24"/>
        </w:rPr>
        <w:t>监事会认为：</w:t>
      </w:r>
      <w:r w:rsidRPr="00B673F6">
        <w:rPr>
          <w:rFonts w:asciiTheme="minorEastAsia" w:eastAsiaTheme="minorEastAsia" w:hAnsiTheme="minorEastAsia" w:cs="宋体" w:hint="eastAsia"/>
          <w:sz w:val="24"/>
        </w:rPr>
        <w:t>公司本次关于前期会计差错更正及追溯调整符合《企业会计准则第</w:t>
      </w:r>
      <w:r w:rsidRPr="00B673F6">
        <w:rPr>
          <w:rFonts w:asciiTheme="minorEastAsia" w:eastAsiaTheme="minorEastAsia" w:hAnsiTheme="minorEastAsia" w:cs="宋体"/>
          <w:sz w:val="24"/>
        </w:rPr>
        <w:t>28</w:t>
      </w:r>
      <w:r>
        <w:rPr>
          <w:rFonts w:asciiTheme="minorEastAsia" w:eastAsiaTheme="minorEastAsia" w:hAnsiTheme="minorEastAsia" w:cs="宋体" w:hint="eastAsia"/>
          <w:sz w:val="24"/>
        </w:rPr>
        <w:t>号——会计政策、会计估计变更和差错更正》</w:t>
      </w:r>
      <w:r w:rsidRPr="00B673F6">
        <w:rPr>
          <w:rFonts w:asciiTheme="minorEastAsia" w:eastAsiaTheme="minorEastAsia" w:hAnsiTheme="minorEastAsia" w:cs="宋体" w:hint="eastAsia"/>
          <w:sz w:val="24"/>
        </w:rPr>
        <w:t>《公开发行证券的公司信息披露编报规则第</w:t>
      </w:r>
      <w:r w:rsidRPr="00B673F6">
        <w:rPr>
          <w:rFonts w:asciiTheme="minorEastAsia" w:eastAsiaTheme="minorEastAsia" w:hAnsiTheme="minorEastAsia" w:cs="宋体"/>
          <w:sz w:val="24"/>
        </w:rPr>
        <w:t>19</w:t>
      </w:r>
      <w:r w:rsidRPr="00B673F6">
        <w:rPr>
          <w:rFonts w:asciiTheme="minorEastAsia" w:eastAsiaTheme="minorEastAsia" w:hAnsiTheme="minorEastAsia" w:cs="宋体" w:hint="eastAsia"/>
          <w:sz w:val="24"/>
        </w:rPr>
        <w:t>号——财务信息的更正及相关披露》等相关文件的规定，能够更加客观、公允地反映公司的财务状况和经营成果，本次关于前期会计差错更正及追溯调整的相关决策程序符合法律、法规及《公司章程》等的规定，同意公司本次关于前期会计差错更正及追溯调整。</w:t>
      </w:r>
    </w:p>
    <w:p w14:paraId="3CEFDC8B" w14:textId="77777777" w:rsidR="00B97D10" w:rsidRPr="00083390" w:rsidRDefault="00B97D10" w:rsidP="002A39FE">
      <w:pPr>
        <w:kinsoku/>
        <w:spacing w:line="360" w:lineRule="auto"/>
        <w:ind w:firstLineChars="200" w:firstLine="480"/>
        <w:jc w:val="both"/>
        <w:rPr>
          <w:rStyle w:val="fontstyle01"/>
          <w:rFonts w:asciiTheme="minorEastAsia" w:eastAsiaTheme="minorEastAsia" w:hAnsiTheme="minorEastAsia" w:hint="default"/>
          <w:sz w:val="24"/>
        </w:rPr>
      </w:pPr>
      <w:r w:rsidRPr="00083390">
        <w:rPr>
          <w:rStyle w:val="fontstyle01"/>
          <w:rFonts w:asciiTheme="minorEastAsia" w:eastAsiaTheme="minorEastAsia" w:hAnsiTheme="minorEastAsia" w:hint="default"/>
          <w:sz w:val="24"/>
        </w:rPr>
        <w:t>特此公告。</w:t>
      </w:r>
    </w:p>
    <w:p w14:paraId="083183AF" w14:textId="77777777" w:rsidR="00B97D10" w:rsidRPr="00083390" w:rsidRDefault="00B97D10" w:rsidP="00083390">
      <w:pPr>
        <w:spacing w:line="360" w:lineRule="auto"/>
        <w:ind w:firstLineChars="200" w:firstLine="480"/>
        <w:jc w:val="right"/>
        <w:rPr>
          <w:rFonts w:asciiTheme="minorEastAsia" w:eastAsiaTheme="minorEastAsia" w:hAnsiTheme="minorEastAsia"/>
          <w:sz w:val="24"/>
          <w:szCs w:val="28"/>
        </w:rPr>
      </w:pPr>
      <w:r w:rsidRPr="00083390">
        <w:rPr>
          <w:rStyle w:val="fontstyle01"/>
          <w:rFonts w:asciiTheme="minorEastAsia" w:eastAsiaTheme="minorEastAsia" w:hAnsiTheme="minorEastAsia" w:hint="default"/>
          <w:sz w:val="24"/>
        </w:rPr>
        <w:t>江苏中利集团股份有限公司董事会</w:t>
      </w:r>
    </w:p>
    <w:p w14:paraId="4DD20B09" w14:textId="4F0710FB" w:rsidR="000932B0" w:rsidRPr="004437DC" w:rsidRDefault="002141D5" w:rsidP="004437DC">
      <w:pPr>
        <w:spacing w:line="360" w:lineRule="auto"/>
        <w:ind w:right="480" w:firstLineChars="2300" w:firstLine="5520"/>
        <w:jc w:val="both"/>
        <w:rPr>
          <w:rFonts w:asciiTheme="minorEastAsia" w:eastAsiaTheme="minorEastAsia" w:hAnsiTheme="minorEastAsia"/>
          <w:sz w:val="24"/>
          <w:szCs w:val="28"/>
        </w:rPr>
      </w:pPr>
      <w:r>
        <w:rPr>
          <w:rStyle w:val="fontstyle01"/>
          <w:rFonts w:asciiTheme="minorEastAsia" w:eastAsiaTheme="minorEastAsia" w:hAnsiTheme="minorEastAsia" w:hint="default"/>
          <w:sz w:val="24"/>
        </w:rPr>
        <w:t>2025</w:t>
      </w:r>
      <w:r w:rsidR="00B97D10" w:rsidRPr="00083390">
        <w:rPr>
          <w:rStyle w:val="fontstyle01"/>
          <w:rFonts w:asciiTheme="minorEastAsia" w:eastAsiaTheme="minorEastAsia" w:hAnsiTheme="minorEastAsia" w:hint="default"/>
          <w:sz w:val="24"/>
        </w:rPr>
        <w:t>年4月</w:t>
      </w:r>
      <w:r w:rsidR="00191ECA">
        <w:rPr>
          <w:rStyle w:val="fontstyle01"/>
          <w:rFonts w:asciiTheme="minorEastAsia" w:eastAsiaTheme="minorEastAsia" w:hAnsiTheme="minorEastAsia" w:hint="default"/>
          <w:sz w:val="24"/>
        </w:rPr>
        <w:t>22</w:t>
      </w:r>
      <w:r w:rsidR="00B97D10" w:rsidRPr="00083390">
        <w:rPr>
          <w:rStyle w:val="fontstyle01"/>
          <w:rFonts w:asciiTheme="minorEastAsia" w:eastAsiaTheme="minorEastAsia" w:hAnsiTheme="minorEastAsia" w:hint="default"/>
          <w:sz w:val="24"/>
        </w:rPr>
        <w:t>日</w:t>
      </w:r>
    </w:p>
    <w:sectPr w:rsidR="000932B0" w:rsidRPr="004437DC" w:rsidSect="001C3645">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62362" w14:textId="77777777" w:rsidR="00784763" w:rsidRDefault="00784763" w:rsidP="0004559D">
      <w:r>
        <w:separator/>
      </w:r>
    </w:p>
  </w:endnote>
  <w:endnote w:type="continuationSeparator" w:id="0">
    <w:p w14:paraId="4A60A7B1" w14:textId="77777777" w:rsidR="00784763" w:rsidRDefault="00784763" w:rsidP="0004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30F2F" w14:textId="77777777" w:rsidR="005F09CD" w:rsidRDefault="005F09CD">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531D4" w14:textId="77777777" w:rsidR="00784763" w:rsidRDefault="00784763" w:rsidP="0004559D">
      <w:r>
        <w:separator/>
      </w:r>
    </w:p>
  </w:footnote>
  <w:footnote w:type="continuationSeparator" w:id="0">
    <w:p w14:paraId="677952B6" w14:textId="77777777" w:rsidR="00784763" w:rsidRDefault="00784763" w:rsidP="0004559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B6286"/>
    <w:multiLevelType w:val="hybridMultilevel"/>
    <w:tmpl w:val="690ECEC8"/>
    <w:lvl w:ilvl="0" w:tplc="4BE4BB3C">
      <w:start w:val="1"/>
      <w:numFmt w:val="japaneseCounting"/>
      <w:lvlText w:val="%1、"/>
      <w:lvlJc w:val="left"/>
      <w:pPr>
        <w:ind w:left="971" w:hanging="480"/>
      </w:pPr>
      <w:rPr>
        <w:rFonts w:hint="default"/>
      </w:rPr>
    </w:lvl>
    <w:lvl w:ilvl="1" w:tplc="04090019" w:tentative="1">
      <w:start w:val="1"/>
      <w:numFmt w:val="lowerLetter"/>
      <w:lvlText w:val="%2)"/>
      <w:lvlJc w:val="left"/>
      <w:pPr>
        <w:ind w:left="1371" w:hanging="440"/>
      </w:pPr>
    </w:lvl>
    <w:lvl w:ilvl="2" w:tplc="0409001B" w:tentative="1">
      <w:start w:val="1"/>
      <w:numFmt w:val="lowerRoman"/>
      <w:lvlText w:val="%3."/>
      <w:lvlJc w:val="right"/>
      <w:pPr>
        <w:ind w:left="1811" w:hanging="440"/>
      </w:pPr>
    </w:lvl>
    <w:lvl w:ilvl="3" w:tplc="0409000F" w:tentative="1">
      <w:start w:val="1"/>
      <w:numFmt w:val="decimal"/>
      <w:lvlText w:val="%4."/>
      <w:lvlJc w:val="left"/>
      <w:pPr>
        <w:ind w:left="2251" w:hanging="440"/>
      </w:pPr>
    </w:lvl>
    <w:lvl w:ilvl="4" w:tplc="04090019" w:tentative="1">
      <w:start w:val="1"/>
      <w:numFmt w:val="lowerLetter"/>
      <w:lvlText w:val="%5)"/>
      <w:lvlJc w:val="left"/>
      <w:pPr>
        <w:ind w:left="2691" w:hanging="440"/>
      </w:pPr>
    </w:lvl>
    <w:lvl w:ilvl="5" w:tplc="0409001B" w:tentative="1">
      <w:start w:val="1"/>
      <w:numFmt w:val="lowerRoman"/>
      <w:lvlText w:val="%6."/>
      <w:lvlJc w:val="right"/>
      <w:pPr>
        <w:ind w:left="3131" w:hanging="440"/>
      </w:pPr>
    </w:lvl>
    <w:lvl w:ilvl="6" w:tplc="0409000F" w:tentative="1">
      <w:start w:val="1"/>
      <w:numFmt w:val="decimal"/>
      <w:lvlText w:val="%7."/>
      <w:lvlJc w:val="left"/>
      <w:pPr>
        <w:ind w:left="3571" w:hanging="440"/>
      </w:pPr>
    </w:lvl>
    <w:lvl w:ilvl="7" w:tplc="04090019" w:tentative="1">
      <w:start w:val="1"/>
      <w:numFmt w:val="lowerLetter"/>
      <w:lvlText w:val="%8)"/>
      <w:lvlJc w:val="left"/>
      <w:pPr>
        <w:ind w:left="4011" w:hanging="440"/>
      </w:pPr>
    </w:lvl>
    <w:lvl w:ilvl="8" w:tplc="0409001B" w:tentative="1">
      <w:start w:val="1"/>
      <w:numFmt w:val="lowerRoman"/>
      <w:lvlText w:val="%9."/>
      <w:lvlJc w:val="right"/>
      <w:pPr>
        <w:ind w:left="4451" w:hanging="440"/>
      </w:pPr>
    </w:lvl>
  </w:abstractNum>
  <w:abstractNum w:abstractNumId="1" w15:restartNumberingAfterBreak="0">
    <w:nsid w:val="39FE003A"/>
    <w:multiLevelType w:val="hybridMultilevel"/>
    <w:tmpl w:val="65E6BB04"/>
    <w:lvl w:ilvl="0" w:tplc="0AEEA3B2">
      <w:start w:val="1"/>
      <w:numFmt w:val="japaneseCounting"/>
      <w:lvlText w:val="%1、"/>
      <w:lvlJc w:val="left"/>
      <w:pPr>
        <w:ind w:left="720" w:hanging="720"/>
      </w:pPr>
      <w:rPr>
        <w:rFonts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E5"/>
    <w:rsid w:val="00002569"/>
    <w:rsid w:val="00010D2E"/>
    <w:rsid w:val="00011DAC"/>
    <w:rsid w:val="000121A9"/>
    <w:rsid w:val="00015F66"/>
    <w:rsid w:val="00020626"/>
    <w:rsid w:val="00024D8A"/>
    <w:rsid w:val="00025BEA"/>
    <w:rsid w:val="00027AF7"/>
    <w:rsid w:val="00033822"/>
    <w:rsid w:val="000346D4"/>
    <w:rsid w:val="00045267"/>
    <w:rsid w:val="0004559D"/>
    <w:rsid w:val="000514F9"/>
    <w:rsid w:val="00052C7E"/>
    <w:rsid w:val="00054BD4"/>
    <w:rsid w:val="00057321"/>
    <w:rsid w:val="00060FB8"/>
    <w:rsid w:val="000642BE"/>
    <w:rsid w:val="00066B28"/>
    <w:rsid w:val="000755AC"/>
    <w:rsid w:val="0007615A"/>
    <w:rsid w:val="000762F5"/>
    <w:rsid w:val="00077836"/>
    <w:rsid w:val="00083390"/>
    <w:rsid w:val="000860CF"/>
    <w:rsid w:val="00090B92"/>
    <w:rsid w:val="0009180D"/>
    <w:rsid w:val="000932B0"/>
    <w:rsid w:val="00094DAC"/>
    <w:rsid w:val="000A3F20"/>
    <w:rsid w:val="000A4281"/>
    <w:rsid w:val="000A6179"/>
    <w:rsid w:val="000A6936"/>
    <w:rsid w:val="000B4A7F"/>
    <w:rsid w:val="000B4F04"/>
    <w:rsid w:val="000B5B1F"/>
    <w:rsid w:val="000C16BB"/>
    <w:rsid w:val="000C26FA"/>
    <w:rsid w:val="000C4377"/>
    <w:rsid w:val="000D013C"/>
    <w:rsid w:val="000D134C"/>
    <w:rsid w:val="000D24D9"/>
    <w:rsid w:val="000D3223"/>
    <w:rsid w:val="000E3481"/>
    <w:rsid w:val="000E6396"/>
    <w:rsid w:val="000E6F7F"/>
    <w:rsid w:val="000E7A99"/>
    <w:rsid w:val="000F258C"/>
    <w:rsid w:val="000F37AC"/>
    <w:rsid w:val="000F5F86"/>
    <w:rsid w:val="000F7BDA"/>
    <w:rsid w:val="001030F5"/>
    <w:rsid w:val="00107AD3"/>
    <w:rsid w:val="00107F29"/>
    <w:rsid w:val="00112638"/>
    <w:rsid w:val="00112EE5"/>
    <w:rsid w:val="001133AB"/>
    <w:rsid w:val="00113C11"/>
    <w:rsid w:val="00115D16"/>
    <w:rsid w:val="00116614"/>
    <w:rsid w:val="00120FB1"/>
    <w:rsid w:val="0012109E"/>
    <w:rsid w:val="001225C4"/>
    <w:rsid w:val="00124EAE"/>
    <w:rsid w:val="00125743"/>
    <w:rsid w:val="00126E1A"/>
    <w:rsid w:val="0012785D"/>
    <w:rsid w:val="0013094F"/>
    <w:rsid w:val="00132FBB"/>
    <w:rsid w:val="0013315A"/>
    <w:rsid w:val="00135D2F"/>
    <w:rsid w:val="00140610"/>
    <w:rsid w:val="0014099E"/>
    <w:rsid w:val="00141090"/>
    <w:rsid w:val="00143CBD"/>
    <w:rsid w:val="001478C9"/>
    <w:rsid w:val="00155CDC"/>
    <w:rsid w:val="00157976"/>
    <w:rsid w:val="00163A15"/>
    <w:rsid w:val="00163EC5"/>
    <w:rsid w:val="0016762E"/>
    <w:rsid w:val="0017018F"/>
    <w:rsid w:val="001710C7"/>
    <w:rsid w:val="001853FD"/>
    <w:rsid w:val="001854FA"/>
    <w:rsid w:val="0018585E"/>
    <w:rsid w:val="0018793A"/>
    <w:rsid w:val="00191791"/>
    <w:rsid w:val="00191ECA"/>
    <w:rsid w:val="00196066"/>
    <w:rsid w:val="001A23C5"/>
    <w:rsid w:val="001A5DF3"/>
    <w:rsid w:val="001A78F1"/>
    <w:rsid w:val="001B069B"/>
    <w:rsid w:val="001B28B8"/>
    <w:rsid w:val="001B3216"/>
    <w:rsid w:val="001B5791"/>
    <w:rsid w:val="001B6D6B"/>
    <w:rsid w:val="001C0007"/>
    <w:rsid w:val="001C0206"/>
    <w:rsid w:val="001C0550"/>
    <w:rsid w:val="001C0FF8"/>
    <w:rsid w:val="001C3645"/>
    <w:rsid w:val="001D2BD8"/>
    <w:rsid w:val="001D56E7"/>
    <w:rsid w:val="001D6D2F"/>
    <w:rsid w:val="001E0351"/>
    <w:rsid w:val="001E072A"/>
    <w:rsid w:val="001E128F"/>
    <w:rsid w:val="001E254C"/>
    <w:rsid w:val="001E446C"/>
    <w:rsid w:val="001E4535"/>
    <w:rsid w:val="001E6869"/>
    <w:rsid w:val="001F2D4B"/>
    <w:rsid w:val="001F6351"/>
    <w:rsid w:val="00200FFB"/>
    <w:rsid w:val="00202420"/>
    <w:rsid w:val="00204D6C"/>
    <w:rsid w:val="002076F6"/>
    <w:rsid w:val="00212496"/>
    <w:rsid w:val="002141D5"/>
    <w:rsid w:val="00215901"/>
    <w:rsid w:val="00216C40"/>
    <w:rsid w:val="002336AA"/>
    <w:rsid w:val="002376DC"/>
    <w:rsid w:val="00240951"/>
    <w:rsid w:val="0024121F"/>
    <w:rsid w:val="0024442D"/>
    <w:rsid w:val="00246F57"/>
    <w:rsid w:val="00247CE5"/>
    <w:rsid w:val="00253E10"/>
    <w:rsid w:val="00253E92"/>
    <w:rsid w:val="00255302"/>
    <w:rsid w:val="002572C3"/>
    <w:rsid w:val="0026039D"/>
    <w:rsid w:val="002617F6"/>
    <w:rsid w:val="00264DE0"/>
    <w:rsid w:val="00270D0B"/>
    <w:rsid w:val="00270F08"/>
    <w:rsid w:val="00274BBE"/>
    <w:rsid w:val="0028345F"/>
    <w:rsid w:val="002849C7"/>
    <w:rsid w:val="0028508D"/>
    <w:rsid w:val="002857DC"/>
    <w:rsid w:val="00285CEA"/>
    <w:rsid w:val="002878A7"/>
    <w:rsid w:val="002935BC"/>
    <w:rsid w:val="00294C22"/>
    <w:rsid w:val="00295519"/>
    <w:rsid w:val="002A0B1D"/>
    <w:rsid w:val="002A39FE"/>
    <w:rsid w:val="002A573E"/>
    <w:rsid w:val="002A6A61"/>
    <w:rsid w:val="002B67C7"/>
    <w:rsid w:val="002B67E0"/>
    <w:rsid w:val="002C0110"/>
    <w:rsid w:val="002C26F2"/>
    <w:rsid w:val="002C57E7"/>
    <w:rsid w:val="002C7C09"/>
    <w:rsid w:val="002D262D"/>
    <w:rsid w:val="002D5D0A"/>
    <w:rsid w:val="002E04B5"/>
    <w:rsid w:val="002E3B22"/>
    <w:rsid w:val="002E4C97"/>
    <w:rsid w:val="002F2EE5"/>
    <w:rsid w:val="002F34A2"/>
    <w:rsid w:val="0030175B"/>
    <w:rsid w:val="00301ECC"/>
    <w:rsid w:val="003055BC"/>
    <w:rsid w:val="00306355"/>
    <w:rsid w:val="00306B08"/>
    <w:rsid w:val="003107E4"/>
    <w:rsid w:val="0031166A"/>
    <w:rsid w:val="003137BF"/>
    <w:rsid w:val="00314257"/>
    <w:rsid w:val="0031539C"/>
    <w:rsid w:val="0032227B"/>
    <w:rsid w:val="00322332"/>
    <w:rsid w:val="00324B57"/>
    <w:rsid w:val="00331C14"/>
    <w:rsid w:val="0034343F"/>
    <w:rsid w:val="0034498E"/>
    <w:rsid w:val="00351E0D"/>
    <w:rsid w:val="003555CE"/>
    <w:rsid w:val="003615B3"/>
    <w:rsid w:val="003643ED"/>
    <w:rsid w:val="003666F1"/>
    <w:rsid w:val="003723DA"/>
    <w:rsid w:val="00375532"/>
    <w:rsid w:val="003773F1"/>
    <w:rsid w:val="003775F6"/>
    <w:rsid w:val="003803C4"/>
    <w:rsid w:val="00381A4A"/>
    <w:rsid w:val="00385883"/>
    <w:rsid w:val="00393939"/>
    <w:rsid w:val="00396356"/>
    <w:rsid w:val="003A5C0E"/>
    <w:rsid w:val="003B0311"/>
    <w:rsid w:val="003B0B60"/>
    <w:rsid w:val="003B33BE"/>
    <w:rsid w:val="003B3D4A"/>
    <w:rsid w:val="003B4D70"/>
    <w:rsid w:val="003B6594"/>
    <w:rsid w:val="003B6751"/>
    <w:rsid w:val="003B75BB"/>
    <w:rsid w:val="003C05CD"/>
    <w:rsid w:val="003C0DF8"/>
    <w:rsid w:val="003C2CF6"/>
    <w:rsid w:val="003C5BE2"/>
    <w:rsid w:val="003D199B"/>
    <w:rsid w:val="003D3C5A"/>
    <w:rsid w:val="003D52B8"/>
    <w:rsid w:val="003D5366"/>
    <w:rsid w:val="003D7300"/>
    <w:rsid w:val="003E3BB0"/>
    <w:rsid w:val="003E406B"/>
    <w:rsid w:val="003E675A"/>
    <w:rsid w:val="003E7934"/>
    <w:rsid w:val="003E7BA5"/>
    <w:rsid w:val="003F128C"/>
    <w:rsid w:val="003F324F"/>
    <w:rsid w:val="003F499A"/>
    <w:rsid w:val="003F5DB7"/>
    <w:rsid w:val="003F5F59"/>
    <w:rsid w:val="003F6EAD"/>
    <w:rsid w:val="00404B9C"/>
    <w:rsid w:val="0040672F"/>
    <w:rsid w:val="00407C5F"/>
    <w:rsid w:val="00407EA8"/>
    <w:rsid w:val="00412C36"/>
    <w:rsid w:val="00412D07"/>
    <w:rsid w:val="004137D3"/>
    <w:rsid w:val="00413F4A"/>
    <w:rsid w:val="004158CE"/>
    <w:rsid w:val="00415947"/>
    <w:rsid w:val="004205A5"/>
    <w:rsid w:val="00422EC6"/>
    <w:rsid w:val="004334BD"/>
    <w:rsid w:val="004437DC"/>
    <w:rsid w:val="0044742F"/>
    <w:rsid w:val="00447714"/>
    <w:rsid w:val="00447BBD"/>
    <w:rsid w:val="00450910"/>
    <w:rsid w:val="004512F1"/>
    <w:rsid w:val="00451437"/>
    <w:rsid w:val="00453468"/>
    <w:rsid w:val="00453C6D"/>
    <w:rsid w:val="004562EC"/>
    <w:rsid w:val="00456C78"/>
    <w:rsid w:val="0045796C"/>
    <w:rsid w:val="0046674E"/>
    <w:rsid w:val="00466CA4"/>
    <w:rsid w:val="0047207D"/>
    <w:rsid w:val="00474928"/>
    <w:rsid w:val="00480112"/>
    <w:rsid w:val="00481229"/>
    <w:rsid w:val="00482BE7"/>
    <w:rsid w:val="00483495"/>
    <w:rsid w:val="0048644C"/>
    <w:rsid w:val="00486C47"/>
    <w:rsid w:val="0049176F"/>
    <w:rsid w:val="00491788"/>
    <w:rsid w:val="00495CA2"/>
    <w:rsid w:val="00496E89"/>
    <w:rsid w:val="004A4C34"/>
    <w:rsid w:val="004A5AEE"/>
    <w:rsid w:val="004A7470"/>
    <w:rsid w:val="004A76E0"/>
    <w:rsid w:val="004B0D47"/>
    <w:rsid w:val="004B3723"/>
    <w:rsid w:val="004B57C2"/>
    <w:rsid w:val="004B5AE7"/>
    <w:rsid w:val="004C125C"/>
    <w:rsid w:val="004C1609"/>
    <w:rsid w:val="004C17B3"/>
    <w:rsid w:val="004C46EE"/>
    <w:rsid w:val="004C66C3"/>
    <w:rsid w:val="004D6033"/>
    <w:rsid w:val="004D7F47"/>
    <w:rsid w:val="004E1113"/>
    <w:rsid w:val="004F1448"/>
    <w:rsid w:val="004F571E"/>
    <w:rsid w:val="005027CC"/>
    <w:rsid w:val="005052B7"/>
    <w:rsid w:val="00511B62"/>
    <w:rsid w:val="00516067"/>
    <w:rsid w:val="00520F67"/>
    <w:rsid w:val="00523248"/>
    <w:rsid w:val="005279CE"/>
    <w:rsid w:val="00533178"/>
    <w:rsid w:val="00537102"/>
    <w:rsid w:val="005378F3"/>
    <w:rsid w:val="00540C6D"/>
    <w:rsid w:val="0054177D"/>
    <w:rsid w:val="00545C3C"/>
    <w:rsid w:val="005469AA"/>
    <w:rsid w:val="00547CCC"/>
    <w:rsid w:val="00552664"/>
    <w:rsid w:val="0055701E"/>
    <w:rsid w:val="00557FDF"/>
    <w:rsid w:val="00560994"/>
    <w:rsid w:val="00563063"/>
    <w:rsid w:val="00565F23"/>
    <w:rsid w:val="0057109B"/>
    <w:rsid w:val="00571FD7"/>
    <w:rsid w:val="00575187"/>
    <w:rsid w:val="00581208"/>
    <w:rsid w:val="00584DDE"/>
    <w:rsid w:val="00591685"/>
    <w:rsid w:val="005917B6"/>
    <w:rsid w:val="005921BA"/>
    <w:rsid w:val="00592DC5"/>
    <w:rsid w:val="00593294"/>
    <w:rsid w:val="005940B3"/>
    <w:rsid w:val="00594FAF"/>
    <w:rsid w:val="005A1EF3"/>
    <w:rsid w:val="005A63AD"/>
    <w:rsid w:val="005B180F"/>
    <w:rsid w:val="005B4901"/>
    <w:rsid w:val="005B5C16"/>
    <w:rsid w:val="005D1807"/>
    <w:rsid w:val="005D579A"/>
    <w:rsid w:val="005D5CFD"/>
    <w:rsid w:val="005E1D1E"/>
    <w:rsid w:val="005E452F"/>
    <w:rsid w:val="005E78B7"/>
    <w:rsid w:val="005F09CD"/>
    <w:rsid w:val="005F5B31"/>
    <w:rsid w:val="006005F2"/>
    <w:rsid w:val="0060511F"/>
    <w:rsid w:val="006062BF"/>
    <w:rsid w:val="006075D4"/>
    <w:rsid w:val="0061017F"/>
    <w:rsid w:val="00610449"/>
    <w:rsid w:val="00611334"/>
    <w:rsid w:val="00612EBD"/>
    <w:rsid w:val="00614E65"/>
    <w:rsid w:val="006155E0"/>
    <w:rsid w:val="006227F9"/>
    <w:rsid w:val="00622B76"/>
    <w:rsid w:val="00623EAE"/>
    <w:rsid w:val="0062595D"/>
    <w:rsid w:val="00634479"/>
    <w:rsid w:val="0063681D"/>
    <w:rsid w:val="00640C49"/>
    <w:rsid w:val="00642E85"/>
    <w:rsid w:val="006456CD"/>
    <w:rsid w:val="0065111F"/>
    <w:rsid w:val="006511A2"/>
    <w:rsid w:val="00652A5C"/>
    <w:rsid w:val="00652B4E"/>
    <w:rsid w:val="00653D77"/>
    <w:rsid w:val="00664B16"/>
    <w:rsid w:val="00665078"/>
    <w:rsid w:val="006669A4"/>
    <w:rsid w:val="006743BD"/>
    <w:rsid w:val="00675DD7"/>
    <w:rsid w:val="00676019"/>
    <w:rsid w:val="0068098A"/>
    <w:rsid w:val="00681C32"/>
    <w:rsid w:val="006851EC"/>
    <w:rsid w:val="00686780"/>
    <w:rsid w:val="00686939"/>
    <w:rsid w:val="00686EB9"/>
    <w:rsid w:val="00687609"/>
    <w:rsid w:val="00693E0B"/>
    <w:rsid w:val="0069457A"/>
    <w:rsid w:val="0069517B"/>
    <w:rsid w:val="00697557"/>
    <w:rsid w:val="006A5C3A"/>
    <w:rsid w:val="006A70FF"/>
    <w:rsid w:val="006A7A9A"/>
    <w:rsid w:val="006B5614"/>
    <w:rsid w:val="006C5F33"/>
    <w:rsid w:val="006D4C3F"/>
    <w:rsid w:val="006D5A3C"/>
    <w:rsid w:val="006E1078"/>
    <w:rsid w:val="006E2F04"/>
    <w:rsid w:val="006E37C4"/>
    <w:rsid w:val="006E5CD9"/>
    <w:rsid w:val="006E6362"/>
    <w:rsid w:val="006F057A"/>
    <w:rsid w:val="006F191A"/>
    <w:rsid w:val="006F39D7"/>
    <w:rsid w:val="006F56E1"/>
    <w:rsid w:val="006F73B6"/>
    <w:rsid w:val="006F73CC"/>
    <w:rsid w:val="007009BF"/>
    <w:rsid w:val="007116D8"/>
    <w:rsid w:val="00712EA6"/>
    <w:rsid w:val="00714B95"/>
    <w:rsid w:val="00714D51"/>
    <w:rsid w:val="00717D1D"/>
    <w:rsid w:val="00724791"/>
    <w:rsid w:val="00725682"/>
    <w:rsid w:val="007301E6"/>
    <w:rsid w:val="007317CC"/>
    <w:rsid w:val="007342DD"/>
    <w:rsid w:val="00744C21"/>
    <w:rsid w:val="007461B1"/>
    <w:rsid w:val="00746FFF"/>
    <w:rsid w:val="00750D14"/>
    <w:rsid w:val="00751593"/>
    <w:rsid w:val="007523D9"/>
    <w:rsid w:val="0075327C"/>
    <w:rsid w:val="00755366"/>
    <w:rsid w:val="0075545D"/>
    <w:rsid w:val="0075561E"/>
    <w:rsid w:val="00755DBB"/>
    <w:rsid w:val="00756F5B"/>
    <w:rsid w:val="00757494"/>
    <w:rsid w:val="0076137E"/>
    <w:rsid w:val="007620FC"/>
    <w:rsid w:val="00762E7A"/>
    <w:rsid w:val="00764C6B"/>
    <w:rsid w:val="007805C3"/>
    <w:rsid w:val="0078120A"/>
    <w:rsid w:val="007822B0"/>
    <w:rsid w:val="007829A8"/>
    <w:rsid w:val="00782AE3"/>
    <w:rsid w:val="00784763"/>
    <w:rsid w:val="007861EC"/>
    <w:rsid w:val="00787293"/>
    <w:rsid w:val="00787659"/>
    <w:rsid w:val="00792ACA"/>
    <w:rsid w:val="007A1C9E"/>
    <w:rsid w:val="007A2D41"/>
    <w:rsid w:val="007A2F7B"/>
    <w:rsid w:val="007A2FF8"/>
    <w:rsid w:val="007A4EB3"/>
    <w:rsid w:val="007A6D3D"/>
    <w:rsid w:val="007B2DA6"/>
    <w:rsid w:val="007C0FAB"/>
    <w:rsid w:val="007C226B"/>
    <w:rsid w:val="007C23AA"/>
    <w:rsid w:val="007C3741"/>
    <w:rsid w:val="007C6C36"/>
    <w:rsid w:val="007C73BA"/>
    <w:rsid w:val="007D0F9F"/>
    <w:rsid w:val="007D19AD"/>
    <w:rsid w:val="007D1D25"/>
    <w:rsid w:val="007E102F"/>
    <w:rsid w:val="007E189C"/>
    <w:rsid w:val="007E53C7"/>
    <w:rsid w:val="007E72BF"/>
    <w:rsid w:val="007E7417"/>
    <w:rsid w:val="007E7E01"/>
    <w:rsid w:val="007F3593"/>
    <w:rsid w:val="00800052"/>
    <w:rsid w:val="00801343"/>
    <w:rsid w:val="00801AE2"/>
    <w:rsid w:val="00801EDE"/>
    <w:rsid w:val="008055A8"/>
    <w:rsid w:val="008068D3"/>
    <w:rsid w:val="00820720"/>
    <w:rsid w:val="00820BAA"/>
    <w:rsid w:val="00820CEA"/>
    <w:rsid w:val="0082145F"/>
    <w:rsid w:val="008219FA"/>
    <w:rsid w:val="00822A02"/>
    <w:rsid w:val="00825A19"/>
    <w:rsid w:val="0083413F"/>
    <w:rsid w:val="008355DB"/>
    <w:rsid w:val="00837C85"/>
    <w:rsid w:val="00842F60"/>
    <w:rsid w:val="00844CDC"/>
    <w:rsid w:val="008464E0"/>
    <w:rsid w:val="008561D5"/>
    <w:rsid w:val="00861734"/>
    <w:rsid w:val="00864C63"/>
    <w:rsid w:val="00871FC1"/>
    <w:rsid w:val="00880853"/>
    <w:rsid w:val="00882567"/>
    <w:rsid w:val="00882810"/>
    <w:rsid w:val="008854A1"/>
    <w:rsid w:val="008876BA"/>
    <w:rsid w:val="00887962"/>
    <w:rsid w:val="008A14D9"/>
    <w:rsid w:val="008A1B66"/>
    <w:rsid w:val="008A1D1D"/>
    <w:rsid w:val="008A21E1"/>
    <w:rsid w:val="008A2B9D"/>
    <w:rsid w:val="008A482D"/>
    <w:rsid w:val="008A5881"/>
    <w:rsid w:val="008A6292"/>
    <w:rsid w:val="008B09D9"/>
    <w:rsid w:val="008B5C18"/>
    <w:rsid w:val="008C190E"/>
    <w:rsid w:val="008C2CD6"/>
    <w:rsid w:val="008C7DD5"/>
    <w:rsid w:val="008D117D"/>
    <w:rsid w:val="008D207C"/>
    <w:rsid w:val="008D2D0B"/>
    <w:rsid w:val="008D3E05"/>
    <w:rsid w:val="008D53F7"/>
    <w:rsid w:val="008E5056"/>
    <w:rsid w:val="008E56E6"/>
    <w:rsid w:val="008E757E"/>
    <w:rsid w:val="008F0112"/>
    <w:rsid w:val="008F39EC"/>
    <w:rsid w:val="008F78E5"/>
    <w:rsid w:val="0090189B"/>
    <w:rsid w:val="00901A21"/>
    <w:rsid w:val="00901BF4"/>
    <w:rsid w:val="00902801"/>
    <w:rsid w:val="00903085"/>
    <w:rsid w:val="00906BD0"/>
    <w:rsid w:val="009155B3"/>
    <w:rsid w:val="009202BB"/>
    <w:rsid w:val="00922CE6"/>
    <w:rsid w:val="00925466"/>
    <w:rsid w:val="00926366"/>
    <w:rsid w:val="009324F7"/>
    <w:rsid w:val="0093392C"/>
    <w:rsid w:val="00936CC0"/>
    <w:rsid w:val="0094243D"/>
    <w:rsid w:val="0094520C"/>
    <w:rsid w:val="00957671"/>
    <w:rsid w:val="00966B74"/>
    <w:rsid w:val="00966C07"/>
    <w:rsid w:val="00967461"/>
    <w:rsid w:val="00967811"/>
    <w:rsid w:val="00975230"/>
    <w:rsid w:val="00980628"/>
    <w:rsid w:val="0098459B"/>
    <w:rsid w:val="00984BDC"/>
    <w:rsid w:val="00993D93"/>
    <w:rsid w:val="00994404"/>
    <w:rsid w:val="00995643"/>
    <w:rsid w:val="009956B0"/>
    <w:rsid w:val="00996A3E"/>
    <w:rsid w:val="00996E5B"/>
    <w:rsid w:val="009A21DD"/>
    <w:rsid w:val="009A612D"/>
    <w:rsid w:val="009B28E8"/>
    <w:rsid w:val="009B5D8E"/>
    <w:rsid w:val="009B621D"/>
    <w:rsid w:val="009B78E2"/>
    <w:rsid w:val="009C0D09"/>
    <w:rsid w:val="009C18EF"/>
    <w:rsid w:val="009C3D42"/>
    <w:rsid w:val="009C4934"/>
    <w:rsid w:val="009C4A41"/>
    <w:rsid w:val="009C679C"/>
    <w:rsid w:val="009D20E1"/>
    <w:rsid w:val="009D3152"/>
    <w:rsid w:val="009D3247"/>
    <w:rsid w:val="009D7ADF"/>
    <w:rsid w:val="009E0E9D"/>
    <w:rsid w:val="009E11C8"/>
    <w:rsid w:val="009E3058"/>
    <w:rsid w:val="009E779C"/>
    <w:rsid w:val="009F0255"/>
    <w:rsid w:val="00A015AE"/>
    <w:rsid w:val="00A01D49"/>
    <w:rsid w:val="00A02F79"/>
    <w:rsid w:val="00A115A2"/>
    <w:rsid w:val="00A1386F"/>
    <w:rsid w:val="00A15B8B"/>
    <w:rsid w:val="00A2014E"/>
    <w:rsid w:val="00A20E1F"/>
    <w:rsid w:val="00A23D45"/>
    <w:rsid w:val="00A244EA"/>
    <w:rsid w:val="00A26902"/>
    <w:rsid w:val="00A26D58"/>
    <w:rsid w:val="00A316AE"/>
    <w:rsid w:val="00A32E4D"/>
    <w:rsid w:val="00A343CB"/>
    <w:rsid w:val="00A4087E"/>
    <w:rsid w:val="00A409A3"/>
    <w:rsid w:val="00A45163"/>
    <w:rsid w:val="00A54F20"/>
    <w:rsid w:val="00A5504C"/>
    <w:rsid w:val="00A555E6"/>
    <w:rsid w:val="00A560EA"/>
    <w:rsid w:val="00A5709F"/>
    <w:rsid w:val="00A6062F"/>
    <w:rsid w:val="00A63225"/>
    <w:rsid w:val="00A64189"/>
    <w:rsid w:val="00A67183"/>
    <w:rsid w:val="00A70F4D"/>
    <w:rsid w:val="00A71094"/>
    <w:rsid w:val="00A72B7E"/>
    <w:rsid w:val="00A76EB4"/>
    <w:rsid w:val="00A800E3"/>
    <w:rsid w:val="00A81F06"/>
    <w:rsid w:val="00A83E5E"/>
    <w:rsid w:val="00A90404"/>
    <w:rsid w:val="00A920C9"/>
    <w:rsid w:val="00A9486B"/>
    <w:rsid w:val="00A95CFA"/>
    <w:rsid w:val="00AA192D"/>
    <w:rsid w:val="00AA2E59"/>
    <w:rsid w:val="00AA56D3"/>
    <w:rsid w:val="00AA5EB7"/>
    <w:rsid w:val="00AA6F87"/>
    <w:rsid w:val="00AB63EC"/>
    <w:rsid w:val="00AB6447"/>
    <w:rsid w:val="00AB739D"/>
    <w:rsid w:val="00AC3A46"/>
    <w:rsid w:val="00AD0485"/>
    <w:rsid w:val="00AD0EB0"/>
    <w:rsid w:val="00AD4608"/>
    <w:rsid w:val="00AD5D02"/>
    <w:rsid w:val="00AD7987"/>
    <w:rsid w:val="00AE306D"/>
    <w:rsid w:val="00AE3555"/>
    <w:rsid w:val="00AE5F8D"/>
    <w:rsid w:val="00AE7840"/>
    <w:rsid w:val="00AF102F"/>
    <w:rsid w:val="00AF3698"/>
    <w:rsid w:val="00AF398A"/>
    <w:rsid w:val="00AF4765"/>
    <w:rsid w:val="00AF5343"/>
    <w:rsid w:val="00AF5467"/>
    <w:rsid w:val="00AF5E65"/>
    <w:rsid w:val="00AF6C0A"/>
    <w:rsid w:val="00AF6F8E"/>
    <w:rsid w:val="00AF7493"/>
    <w:rsid w:val="00B06188"/>
    <w:rsid w:val="00B07621"/>
    <w:rsid w:val="00B1172E"/>
    <w:rsid w:val="00B128F3"/>
    <w:rsid w:val="00B14421"/>
    <w:rsid w:val="00B23CD0"/>
    <w:rsid w:val="00B265B0"/>
    <w:rsid w:val="00B31877"/>
    <w:rsid w:val="00B35D02"/>
    <w:rsid w:val="00B42008"/>
    <w:rsid w:val="00B4332A"/>
    <w:rsid w:val="00B436A6"/>
    <w:rsid w:val="00B442A5"/>
    <w:rsid w:val="00B4706F"/>
    <w:rsid w:val="00B5073D"/>
    <w:rsid w:val="00B6085F"/>
    <w:rsid w:val="00B627E7"/>
    <w:rsid w:val="00B673F6"/>
    <w:rsid w:val="00B67CE4"/>
    <w:rsid w:val="00B70C41"/>
    <w:rsid w:val="00B736D2"/>
    <w:rsid w:val="00B76F47"/>
    <w:rsid w:val="00B81461"/>
    <w:rsid w:val="00B81CD0"/>
    <w:rsid w:val="00B8301D"/>
    <w:rsid w:val="00B83509"/>
    <w:rsid w:val="00B85C8A"/>
    <w:rsid w:val="00B925F1"/>
    <w:rsid w:val="00B93386"/>
    <w:rsid w:val="00B96668"/>
    <w:rsid w:val="00B97174"/>
    <w:rsid w:val="00B97D10"/>
    <w:rsid w:val="00BA0E8E"/>
    <w:rsid w:val="00BA2D86"/>
    <w:rsid w:val="00BA587C"/>
    <w:rsid w:val="00BC05ED"/>
    <w:rsid w:val="00BC0E42"/>
    <w:rsid w:val="00BC3F8B"/>
    <w:rsid w:val="00BC6E26"/>
    <w:rsid w:val="00BD2BA0"/>
    <w:rsid w:val="00BE0060"/>
    <w:rsid w:val="00BF1D11"/>
    <w:rsid w:val="00C01462"/>
    <w:rsid w:val="00C0167D"/>
    <w:rsid w:val="00C071D9"/>
    <w:rsid w:val="00C07E00"/>
    <w:rsid w:val="00C111D5"/>
    <w:rsid w:val="00C11940"/>
    <w:rsid w:val="00C221C8"/>
    <w:rsid w:val="00C231C2"/>
    <w:rsid w:val="00C252E6"/>
    <w:rsid w:val="00C27809"/>
    <w:rsid w:val="00C27BE4"/>
    <w:rsid w:val="00C324F1"/>
    <w:rsid w:val="00C3350E"/>
    <w:rsid w:val="00C40CFD"/>
    <w:rsid w:val="00C4300F"/>
    <w:rsid w:val="00C43878"/>
    <w:rsid w:val="00C44838"/>
    <w:rsid w:val="00C47BA2"/>
    <w:rsid w:val="00C50908"/>
    <w:rsid w:val="00C51898"/>
    <w:rsid w:val="00C61379"/>
    <w:rsid w:val="00C6482F"/>
    <w:rsid w:val="00C6783C"/>
    <w:rsid w:val="00C7230E"/>
    <w:rsid w:val="00C755A2"/>
    <w:rsid w:val="00C75DE7"/>
    <w:rsid w:val="00C77BD8"/>
    <w:rsid w:val="00C8444C"/>
    <w:rsid w:val="00C8507C"/>
    <w:rsid w:val="00C850A2"/>
    <w:rsid w:val="00C85EE9"/>
    <w:rsid w:val="00C911D5"/>
    <w:rsid w:val="00C9127B"/>
    <w:rsid w:val="00C961C4"/>
    <w:rsid w:val="00CA1522"/>
    <w:rsid w:val="00CA20BE"/>
    <w:rsid w:val="00CA22DC"/>
    <w:rsid w:val="00CA4C0A"/>
    <w:rsid w:val="00CA6EE1"/>
    <w:rsid w:val="00CB0A3E"/>
    <w:rsid w:val="00CB2C5F"/>
    <w:rsid w:val="00CB382D"/>
    <w:rsid w:val="00CB443E"/>
    <w:rsid w:val="00CB4FCA"/>
    <w:rsid w:val="00CB5DD6"/>
    <w:rsid w:val="00CC26EC"/>
    <w:rsid w:val="00CC2777"/>
    <w:rsid w:val="00CD0867"/>
    <w:rsid w:val="00CD099B"/>
    <w:rsid w:val="00CD6DE5"/>
    <w:rsid w:val="00CE384B"/>
    <w:rsid w:val="00CE7808"/>
    <w:rsid w:val="00CF160D"/>
    <w:rsid w:val="00CF3E84"/>
    <w:rsid w:val="00CF462B"/>
    <w:rsid w:val="00CF6A1F"/>
    <w:rsid w:val="00CF7893"/>
    <w:rsid w:val="00D01EEC"/>
    <w:rsid w:val="00D0227D"/>
    <w:rsid w:val="00D0252B"/>
    <w:rsid w:val="00D02BF6"/>
    <w:rsid w:val="00D03CBA"/>
    <w:rsid w:val="00D05913"/>
    <w:rsid w:val="00D06AA0"/>
    <w:rsid w:val="00D06CEA"/>
    <w:rsid w:val="00D109D9"/>
    <w:rsid w:val="00D10FF3"/>
    <w:rsid w:val="00D15800"/>
    <w:rsid w:val="00D15C22"/>
    <w:rsid w:val="00D164D0"/>
    <w:rsid w:val="00D21B8B"/>
    <w:rsid w:val="00D24270"/>
    <w:rsid w:val="00D24E05"/>
    <w:rsid w:val="00D2503B"/>
    <w:rsid w:val="00D2674C"/>
    <w:rsid w:val="00D27DEA"/>
    <w:rsid w:val="00D32D1F"/>
    <w:rsid w:val="00D36A3C"/>
    <w:rsid w:val="00D40EB3"/>
    <w:rsid w:val="00D42C0B"/>
    <w:rsid w:val="00D4584B"/>
    <w:rsid w:val="00D5038D"/>
    <w:rsid w:val="00D51207"/>
    <w:rsid w:val="00D55144"/>
    <w:rsid w:val="00D55806"/>
    <w:rsid w:val="00D56A23"/>
    <w:rsid w:val="00D7117C"/>
    <w:rsid w:val="00D713A0"/>
    <w:rsid w:val="00D7797A"/>
    <w:rsid w:val="00D77E8A"/>
    <w:rsid w:val="00D82E96"/>
    <w:rsid w:val="00D855D3"/>
    <w:rsid w:val="00D90C12"/>
    <w:rsid w:val="00D97D05"/>
    <w:rsid w:val="00DA5133"/>
    <w:rsid w:val="00DA5B9E"/>
    <w:rsid w:val="00DB216E"/>
    <w:rsid w:val="00DB2D8A"/>
    <w:rsid w:val="00DC04FB"/>
    <w:rsid w:val="00DC3397"/>
    <w:rsid w:val="00DC352E"/>
    <w:rsid w:val="00DC491E"/>
    <w:rsid w:val="00DC59B2"/>
    <w:rsid w:val="00DD4E57"/>
    <w:rsid w:val="00DD686C"/>
    <w:rsid w:val="00DE45D5"/>
    <w:rsid w:val="00DE6A96"/>
    <w:rsid w:val="00DF03CE"/>
    <w:rsid w:val="00DF2D29"/>
    <w:rsid w:val="00DF3385"/>
    <w:rsid w:val="00DF355E"/>
    <w:rsid w:val="00E0034C"/>
    <w:rsid w:val="00E036D6"/>
    <w:rsid w:val="00E04824"/>
    <w:rsid w:val="00E13B86"/>
    <w:rsid w:val="00E13D47"/>
    <w:rsid w:val="00E15A73"/>
    <w:rsid w:val="00E15E51"/>
    <w:rsid w:val="00E20804"/>
    <w:rsid w:val="00E2262F"/>
    <w:rsid w:val="00E22AB9"/>
    <w:rsid w:val="00E2411B"/>
    <w:rsid w:val="00E2648B"/>
    <w:rsid w:val="00E267A9"/>
    <w:rsid w:val="00E35685"/>
    <w:rsid w:val="00E36122"/>
    <w:rsid w:val="00E408F8"/>
    <w:rsid w:val="00E41ED0"/>
    <w:rsid w:val="00E43555"/>
    <w:rsid w:val="00E4491B"/>
    <w:rsid w:val="00E51F9B"/>
    <w:rsid w:val="00E52047"/>
    <w:rsid w:val="00E53E79"/>
    <w:rsid w:val="00E556B7"/>
    <w:rsid w:val="00E57B57"/>
    <w:rsid w:val="00E63091"/>
    <w:rsid w:val="00E64098"/>
    <w:rsid w:val="00E651C5"/>
    <w:rsid w:val="00E71712"/>
    <w:rsid w:val="00E7282E"/>
    <w:rsid w:val="00E745AB"/>
    <w:rsid w:val="00E82946"/>
    <w:rsid w:val="00E90195"/>
    <w:rsid w:val="00E93B2C"/>
    <w:rsid w:val="00E94863"/>
    <w:rsid w:val="00EA05D5"/>
    <w:rsid w:val="00EA22C0"/>
    <w:rsid w:val="00EA3090"/>
    <w:rsid w:val="00EA6962"/>
    <w:rsid w:val="00EB4A36"/>
    <w:rsid w:val="00EB4DDC"/>
    <w:rsid w:val="00ED33C7"/>
    <w:rsid w:val="00EE0636"/>
    <w:rsid w:val="00EF3BCF"/>
    <w:rsid w:val="00EF4F0E"/>
    <w:rsid w:val="00F02A4B"/>
    <w:rsid w:val="00F03965"/>
    <w:rsid w:val="00F04233"/>
    <w:rsid w:val="00F06118"/>
    <w:rsid w:val="00F103FA"/>
    <w:rsid w:val="00F10B6C"/>
    <w:rsid w:val="00F121E9"/>
    <w:rsid w:val="00F12884"/>
    <w:rsid w:val="00F15BBF"/>
    <w:rsid w:val="00F20304"/>
    <w:rsid w:val="00F25967"/>
    <w:rsid w:val="00F27C43"/>
    <w:rsid w:val="00F422BC"/>
    <w:rsid w:val="00F4299E"/>
    <w:rsid w:val="00F44934"/>
    <w:rsid w:val="00F4631A"/>
    <w:rsid w:val="00F46528"/>
    <w:rsid w:val="00F506FD"/>
    <w:rsid w:val="00F543AE"/>
    <w:rsid w:val="00F606B9"/>
    <w:rsid w:val="00F61A3A"/>
    <w:rsid w:val="00F642C3"/>
    <w:rsid w:val="00F661AD"/>
    <w:rsid w:val="00F70674"/>
    <w:rsid w:val="00F709AF"/>
    <w:rsid w:val="00F8522B"/>
    <w:rsid w:val="00F852A8"/>
    <w:rsid w:val="00F85F00"/>
    <w:rsid w:val="00F90B3D"/>
    <w:rsid w:val="00F91F53"/>
    <w:rsid w:val="00F95DA7"/>
    <w:rsid w:val="00F97E78"/>
    <w:rsid w:val="00FA0A2A"/>
    <w:rsid w:val="00FA123B"/>
    <w:rsid w:val="00FA1EB8"/>
    <w:rsid w:val="00FA76C3"/>
    <w:rsid w:val="00FB3344"/>
    <w:rsid w:val="00FB40E2"/>
    <w:rsid w:val="00FB5379"/>
    <w:rsid w:val="00FB6AE3"/>
    <w:rsid w:val="00FC1C14"/>
    <w:rsid w:val="00FC543C"/>
    <w:rsid w:val="00FD0CD5"/>
    <w:rsid w:val="00FD2B91"/>
    <w:rsid w:val="00FD4429"/>
    <w:rsid w:val="00FD66E2"/>
    <w:rsid w:val="00FE27C9"/>
    <w:rsid w:val="00FE318E"/>
    <w:rsid w:val="00FE690B"/>
    <w:rsid w:val="00FE78BF"/>
    <w:rsid w:val="00FF293D"/>
    <w:rsid w:val="00FF3A1C"/>
    <w:rsid w:val="00FF4F71"/>
    <w:rsid w:val="00FF51FF"/>
    <w:rsid w:val="00FF5C0A"/>
    <w:rsid w:val="00FF7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98C3EE"/>
  <w15:docId w15:val="{DD824F7A-0328-466B-9F00-6BBDDDFB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1D5"/>
    <w:pPr>
      <w:kinsoku w:val="0"/>
      <w:autoSpaceDE w:val="0"/>
      <w:autoSpaceDN w:val="0"/>
      <w:adjustRightInd w:val="0"/>
      <w:snapToGrid w:val="0"/>
      <w:textAlignment w:val="baseline"/>
    </w:pPr>
    <w:rPr>
      <w:rFonts w:ascii="Arial" w:eastAsia="Arial" w:hAnsi="Arial" w:cs="Arial"/>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04559D"/>
    <w:pPr>
      <w:widowControl w:val="0"/>
      <w:pBdr>
        <w:bottom w:val="single" w:sz="6" w:space="1" w:color="auto"/>
      </w:pBdr>
      <w:tabs>
        <w:tab w:val="center" w:pos="4153"/>
        <w:tab w:val="right" w:pos="8306"/>
      </w:tabs>
      <w:kinsoku/>
      <w:autoSpaceDE/>
      <w:autoSpaceDN/>
      <w:adjustRightInd/>
      <w:jc w:val="center"/>
      <w:textAlignment w:val="auto"/>
    </w:pPr>
    <w:rPr>
      <w:rFonts w:asciiTheme="minorHAnsi" w:eastAsiaTheme="minorEastAsia" w:hAnsiTheme="minorHAnsi" w:cstheme="minorBidi"/>
      <w:snapToGrid/>
      <w:color w:val="auto"/>
      <w:kern w:val="2"/>
      <w:sz w:val="18"/>
      <w:szCs w:val="18"/>
    </w:rPr>
  </w:style>
  <w:style w:type="character" w:customStyle="1" w:styleId="a4">
    <w:name w:val="页眉 字符"/>
    <w:basedOn w:val="a0"/>
    <w:link w:val="a3"/>
    <w:uiPriority w:val="99"/>
    <w:qFormat/>
    <w:rsid w:val="0004559D"/>
    <w:rPr>
      <w:sz w:val="18"/>
      <w:szCs w:val="18"/>
    </w:rPr>
  </w:style>
  <w:style w:type="paragraph" w:styleId="a5">
    <w:name w:val="footer"/>
    <w:basedOn w:val="a"/>
    <w:link w:val="a6"/>
    <w:uiPriority w:val="99"/>
    <w:unhideWhenUsed/>
    <w:qFormat/>
    <w:rsid w:val="0004559D"/>
    <w:pPr>
      <w:widowControl w:val="0"/>
      <w:tabs>
        <w:tab w:val="center" w:pos="4153"/>
        <w:tab w:val="right" w:pos="8306"/>
      </w:tabs>
      <w:kinsoku/>
      <w:autoSpaceDE/>
      <w:autoSpaceDN/>
      <w:adjustRightInd/>
      <w:textAlignment w:val="auto"/>
    </w:pPr>
    <w:rPr>
      <w:rFonts w:asciiTheme="minorHAnsi" w:eastAsiaTheme="minorEastAsia" w:hAnsiTheme="minorHAnsi" w:cstheme="minorBidi"/>
      <w:snapToGrid/>
      <w:color w:val="auto"/>
      <w:kern w:val="2"/>
      <w:sz w:val="18"/>
      <w:szCs w:val="18"/>
    </w:rPr>
  </w:style>
  <w:style w:type="character" w:customStyle="1" w:styleId="a6">
    <w:name w:val="页脚 字符"/>
    <w:basedOn w:val="a0"/>
    <w:link w:val="a5"/>
    <w:uiPriority w:val="99"/>
    <w:qFormat/>
    <w:rsid w:val="0004559D"/>
    <w:rPr>
      <w:sz w:val="18"/>
      <w:szCs w:val="18"/>
    </w:rPr>
  </w:style>
  <w:style w:type="paragraph" w:styleId="a7">
    <w:name w:val="Balloon Text"/>
    <w:basedOn w:val="a"/>
    <w:link w:val="a8"/>
    <w:uiPriority w:val="99"/>
    <w:semiHidden/>
    <w:unhideWhenUsed/>
    <w:qFormat/>
    <w:rsid w:val="0004559D"/>
    <w:rPr>
      <w:sz w:val="18"/>
      <w:szCs w:val="18"/>
    </w:rPr>
  </w:style>
  <w:style w:type="character" w:customStyle="1" w:styleId="a8">
    <w:name w:val="批注框文本 字符"/>
    <w:basedOn w:val="a0"/>
    <w:link w:val="a7"/>
    <w:uiPriority w:val="99"/>
    <w:semiHidden/>
    <w:qFormat/>
    <w:rsid w:val="0004559D"/>
    <w:rPr>
      <w:rFonts w:ascii="Arial" w:eastAsia="Arial" w:hAnsi="Arial" w:cs="Arial"/>
      <w:snapToGrid w:val="0"/>
      <w:color w:val="000000"/>
      <w:kern w:val="0"/>
      <w:sz w:val="18"/>
      <w:szCs w:val="18"/>
    </w:rPr>
  </w:style>
  <w:style w:type="table" w:styleId="a9">
    <w:name w:val="Table Grid"/>
    <w:basedOn w:val="a1"/>
    <w:uiPriority w:val="59"/>
    <w:qFormat/>
    <w:rsid w:val="0080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90B92"/>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rPr>
  </w:style>
  <w:style w:type="character" w:customStyle="1" w:styleId="Heading11">
    <w:name w:val="Heading #1|1_"/>
    <w:basedOn w:val="a0"/>
    <w:link w:val="Heading110"/>
    <w:qFormat/>
    <w:rsid w:val="005F09CD"/>
    <w:rPr>
      <w:rFonts w:ascii="宋体" w:eastAsia="宋体" w:hAnsi="宋体" w:cs="宋体"/>
      <w:sz w:val="26"/>
      <w:szCs w:val="26"/>
      <w:lang w:val="zh-TW" w:eastAsia="zh-TW" w:bidi="zh-TW"/>
    </w:rPr>
  </w:style>
  <w:style w:type="character" w:customStyle="1" w:styleId="Bodytext5">
    <w:name w:val="Body text|5_"/>
    <w:basedOn w:val="a0"/>
    <w:link w:val="Bodytext50"/>
    <w:qFormat/>
    <w:rsid w:val="005F09CD"/>
    <w:rPr>
      <w:sz w:val="22"/>
      <w:lang w:val="zh-TW" w:eastAsia="zh-TW" w:bidi="zh-TW"/>
    </w:rPr>
  </w:style>
  <w:style w:type="character" w:customStyle="1" w:styleId="Picturecaption1">
    <w:name w:val="Picture caption|1_"/>
    <w:basedOn w:val="a0"/>
    <w:link w:val="Picturecaption10"/>
    <w:qFormat/>
    <w:rsid w:val="005F09CD"/>
    <w:rPr>
      <w:sz w:val="20"/>
      <w:szCs w:val="20"/>
      <w:lang w:val="zh-TW" w:eastAsia="zh-TW" w:bidi="zh-TW"/>
    </w:rPr>
  </w:style>
  <w:style w:type="character" w:customStyle="1" w:styleId="Bodytext1">
    <w:name w:val="Body text|1_"/>
    <w:basedOn w:val="a0"/>
    <w:link w:val="Bodytext10"/>
    <w:qFormat/>
    <w:rsid w:val="005F09CD"/>
    <w:rPr>
      <w:rFonts w:ascii="宋体" w:eastAsia="宋体" w:hAnsi="宋体" w:cs="宋体"/>
      <w:sz w:val="19"/>
      <w:szCs w:val="19"/>
      <w:lang w:val="zh-TW" w:eastAsia="zh-TW" w:bidi="zh-TW"/>
    </w:rPr>
  </w:style>
  <w:style w:type="character" w:customStyle="1" w:styleId="Bodytext3">
    <w:name w:val="Body text|3_"/>
    <w:basedOn w:val="a0"/>
    <w:link w:val="Bodytext30"/>
    <w:qFormat/>
    <w:rsid w:val="005F09CD"/>
    <w:rPr>
      <w:rFonts w:ascii="宋体" w:eastAsia="宋体" w:hAnsi="宋体" w:cs="宋体"/>
      <w:sz w:val="22"/>
      <w:lang w:val="zh-TW" w:eastAsia="zh-TW" w:bidi="zh-TW"/>
    </w:rPr>
  </w:style>
  <w:style w:type="character" w:customStyle="1" w:styleId="Bodytext7">
    <w:name w:val="Body text|7_"/>
    <w:basedOn w:val="a0"/>
    <w:link w:val="Bodytext70"/>
    <w:qFormat/>
    <w:rsid w:val="005F09CD"/>
    <w:rPr>
      <w:b/>
      <w:bCs/>
      <w:w w:val="60"/>
      <w:sz w:val="32"/>
      <w:szCs w:val="32"/>
      <w:lang w:val="zh-TW" w:eastAsia="zh-TW" w:bidi="zh-TW"/>
    </w:rPr>
  </w:style>
  <w:style w:type="character" w:customStyle="1" w:styleId="Bodytext4">
    <w:name w:val="Body text|4_"/>
    <w:basedOn w:val="a0"/>
    <w:link w:val="Bodytext40"/>
    <w:qFormat/>
    <w:rsid w:val="005F09CD"/>
    <w:rPr>
      <w:sz w:val="17"/>
      <w:szCs w:val="17"/>
    </w:rPr>
  </w:style>
  <w:style w:type="character" w:customStyle="1" w:styleId="Other1">
    <w:name w:val="Other|1_"/>
    <w:basedOn w:val="a0"/>
    <w:link w:val="Other10"/>
    <w:qFormat/>
    <w:rsid w:val="005F09CD"/>
    <w:rPr>
      <w:rFonts w:ascii="宋体" w:eastAsia="宋体" w:hAnsi="宋体" w:cs="宋体"/>
      <w:sz w:val="19"/>
      <w:szCs w:val="19"/>
      <w:lang w:val="zh-TW" w:eastAsia="zh-TW" w:bidi="zh-TW"/>
    </w:rPr>
  </w:style>
  <w:style w:type="character" w:customStyle="1" w:styleId="Headerorfooter2">
    <w:name w:val="Header or footer|2_"/>
    <w:basedOn w:val="a0"/>
    <w:link w:val="Headerorfooter20"/>
    <w:qFormat/>
    <w:rsid w:val="005F09CD"/>
    <w:rPr>
      <w:sz w:val="20"/>
      <w:szCs w:val="20"/>
      <w:lang w:val="zh-CN" w:bidi="zh-CN"/>
    </w:rPr>
  </w:style>
  <w:style w:type="character" w:customStyle="1" w:styleId="Headerorfooter1">
    <w:name w:val="Header or footer|1_"/>
    <w:basedOn w:val="a0"/>
    <w:link w:val="Headerorfooter10"/>
    <w:qFormat/>
    <w:rsid w:val="005F09CD"/>
    <w:rPr>
      <w:sz w:val="17"/>
      <w:szCs w:val="17"/>
      <w:lang w:val="zh-TW" w:eastAsia="zh-TW" w:bidi="zh-TW"/>
    </w:rPr>
  </w:style>
  <w:style w:type="character" w:customStyle="1" w:styleId="Heading21">
    <w:name w:val="Heading #2|1_"/>
    <w:basedOn w:val="a0"/>
    <w:link w:val="Heading210"/>
    <w:qFormat/>
    <w:rsid w:val="005F09CD"/>
    <w:rPr>
      <w:rFonts w:ascii="宋体" w:eastAsia="宋体" w:hAnsi="宋体" w:cs="宋体"/>
      <w:sz w:val="19"/>
      <w:szCs w:val="19"/>
      <w:lang w:val="zh-TW" w:eastAsia="zh-TW" w:bidi="zh-TW"/>
    </w:rPr>
  </w:style>
  <w:style w:type="character" w:customStyle="1" w:styleId="Heading31">
    <w:name w:val="Heading #3|1_"/>
    <w:basedOn w:val="a0"/>
    <w:link w:val="Heading310"/>
    <w:qFormat/>
    <w:rsid w:val="005F09CD"/>
    <w:rPr>
      <w:sz w:val="20"/>
      <w:szCs w:val="20"/>
      <w:lang w:val="zh-TW" w:eastAsia="zh-TW" w:bidi="zh-TW"/>
    </w:rPr>
  </w:style>
  <w:style w:type="character" w:customStyle="1" w:styleId="Bodytext2">
    <w:name w:val="Body text|2_"/>
    <w:basedOn w:val="a0"/>
    <w:link w:val="Bodytext20"/>
    <w:qFormat/>
    <w:rsid w:val="005F09CD"/>
    <w:rPr>
      <w:rFonts w:ascii="宋体" w:eastAsia="宋体" w:hAnsi="宋体" w:cs="宋体"/>
      <w:sz w:val="18"/>
      <w:szCs w:val="18"/>
      <w:lang w:val="zh-TW" w:eastAsia="zh-TW" w:bidi="zh-TW"/>
    </w:rPr>
  </w:style>
  <w:style w:type="character" w:customStyle="1" w:styleId="Bodytext6">
    <w:name w:val="Body text|6_"/>
    <w:basedOn w:val="a0"/>
    <w:link w:val="Bodytext60"/>
    <w:qFormat/>
    <w:rsid w:val="005F09CD"/>
    <w:rPr>
      <w:rFonts w:ascii="宋体" w:eastAsia="宋体" w:hAnsi="宋体" w:cs="宋体"/>
      <w:sz w:val="13"/>
      <w:szCs w:val="13"/>
      <w:lang w:val="zh-TW" w:eastAsia="zh-TW" w:bidi="zh-TW"/>
    </w:rPr>
  </w:style>
  <w:style w:type="character" w:customStyle="1" w:styleId="Heading41">
    <w:name w:val="Heading #4|1_"/>
    <w:basedOn w:val="a0"/>
    <w:link w:val="Heading410"/>
    <w:qFormat/>
    <w:rsid w:val="005F09CD"/>
    <w:rPr>
      <w:rFonts w:ascii="宋体" w:eastAsia="宋体" w:hAnsi="宋体" w:cs="宋体"/>
      <w:sz w:val="26"/>
      <w:szCs w:val="26"/>
      <w:lang w:val="zh-TW" w:eastAsia="zh-TW" w:bidi="zh-TW"/>
    </w:rPr>
  </w:style>
  <w:style w:type="character" w:customStyle="1" w:styleId="Heading42">
    <w:name w:val="Heading #4|2_"/>
    <w:basedOn w:val="a0"/>
    <w:link w:val="Heading420"/>
    <w:qFormat/>
    <w:rsid w:val="005F09CD"/>
    <w:rPr>
      <w:rFonts w:ascii="宋体" w:eastAsia="宋体" w:hAnsi="宋体" w:cs="宋体"/>
      <w:sz w:val="22"/>
      <w:lang w:val="zh-TW" w:eastAsia="zh-TW" w:bidi="zh-TW"/>
    </w:rPr>
  </w:style>
  <w:style w:type="character" w:customStyle="1" w:styleId="Heading52">
    <w:name w:val="Heading #5|2_"/>
    <w:basedOn w:val="a0"/>
    <w:link w:val="Heading520"/>
    <w:qFormat/>
    <w:rsid w:val="005F09CD"/>
    <w:rPr>
      <w:rFonts w:ascii="宋体" w:eastAsia="宋体" w:hAnsi="宋体" w:cs="宋体"/>
      <w:sz w:val="20"/>
      <w:szCs w:val="20"/>
    </w:rPr>
  </w:style>
  <w:style w:type="character" w:customStyle="1" w:styleId="Other2">
    <w:name w:val="Other|2_"/>
    <w:basedOn w:val="a0"/>
    <w:link w:val="Other20"/>
    <w:qFormat/>
    <w:rsid w:val="005F09CD"/>
    <w:rPr>
      <w:rFonts w:ascii="宋体" w:eastAsia="宋体" w:hAnsi="宋体" w:cs="宋体"/>
      <w:sz w:val="12"/>
      <w:szCs w:val="12"/>
    </w:rPr>
  </w:style>
  <w:style w:type="character" w:customStyle="1" w:styleId="Heading51">
    <w:name w:val="Heading #5|1_"/>
    <w:basedOn w:val="a0"/>
    <w:link w:val="Heading510"/>
    <w:qFormat/>
    <w:rsid w:val="005F09CD"/>
    <w:rPr>
      <w:sz w:val="20"/>
      <w:szCs w:val="20"/>
    </w:rPr>
  </w:style>
  <w:style w:type="paragraph" w:customStyle="1" w:styleId="Heading110">
    <w:name w:val="Heading #1|1"/>
    <w:basedOn w:val="a"/>
    <w:link w:val="Heading11"/>
    <w:qFormat/>
    <w:rsid w:val="005F09CD"/>
    <w:pPr>
      <w:widowControl w:val="0"/>
      <w:kinsoku/>
      <w:autoSpaceDE/>
      <w:autoSpaceDN/>
      <w:adjustRightInd/>
      <w:snapToGrid/>
      <w:spacing w:after="380"/>
      <w:jc w:val="center"/>
      <w:textAlignment w:val="auto"/>
      <w:outlineLvl w:val="0"/>
    </w:pPr>
    <w:rPr>
      <w:rFonts w:ascii="宋体" w:eastAsia="宋体" w:hAnsi="宋体" w:cs="宋体"/>
      <w:snapToGrid/>
      <w:color w:val="auto"/>
      <w:kern w:val="2"/>
      <w:sz w:val="26"/>
      <w:szCs w:val="26"/>
      <w:lang w:val="zh-TW" w:eastAsia="zh-TW" w:bidi="zh-TW"/>
    </w:rPr>
  </w:style>
  <w:style w:type="paragraph" w:customStyle="1" w:styleId="Bodytext50">
    <w:name w:val="Body text|5"/>
    <w:basedOn w:val="a"/>
    <w:link w:val="Bodytext5"/>
    <w:qFormat/>
    <w:rsid w:val="005F09CD"/>
    <w:pPr>
      <w:widowControl w:val="0"/>
      <w:kinsoku/>
      <w:autoSpaceDE/>
      <w:autoSpaceDN/>
      <w:adjustRightInd/>
      <w:snapToGrid/>
      <w:spacing w:after="2300"/>
      <w:jc w:val="center"/>
      <w:textAlignment w:val="auto"/>
    </w:pPr>
    <w:rPr>
      <w:rFonts w:asciiTheme="minorHAnsi" w:eastAsiaTheme="minorEastAsia" w:hAnsiTheme="minorHAnsi" w:cstheme="minorBidi"/>
      <w:snapToGrid/>
      <w:color w:val="auto"/>
      <w:kern w:val="2"/>
      <w:sz w:val="22"/>
      <w:szCs w:val="22"/>
      <w:lang w:val="zh-TW" w:eastAsia="zh-TW" w:bidi="zh-TW"/>
    </w:rPr>
  </w:style>
  <w:style w:type="paragraph" w:customStyle="1" w:styleId="Picturecaption10">
    <w:name w:val="Picture caption|1"/>
    <w:basedOn w:val="a"/>
    <w:link w:val="Picturecaption1"/>
    <w:qFormat/>
    <w:rsid w:val="005F09CD"/>
    <w:pPr>
      <w:widowControl w:val="0"/>
      <w:kinsoku/>
      <w:autoSpaceDE/>
      <w:autoSpaceDN/>
      <w:adjustRightInd/>
      <w:snapToGrid/>
      <w:textAlignment w:val="auto"/>
    </w:pPr>
    <w:rPr>
      <w:rFonts w:asciiTheme="minorHAnsi" w:eastAsiaTheme="minorEastAsia" w:hAnsiTheme="minorHAnsi" w:cstheme="minorBidi"/>
      <w:snapToGrid/>
      <w:color w:val="auto"/>
      <w:kern w:val="2"/>
      <w:sz w:val="20"/>
      <w:szCs w:val="20"/>
      <w:lang w:val="zh-TW" w:eastAsia="zh-TW" w:bidi="zh-TW"/>
    </w:rPr>
  </w:style>
  <w:style w:type="paragraph" w:customStyle="1" w:styleId="Bodytext10">
    <w:name w:val="Body text|1"/>
    <w:basedOn w:val="a"/>
    <w:link w:val="Bodytext1"/>
    <w:qFormat/>
    <w:rsid w:val="005F09CD"/>
    <w:pPr>
      <w:widowControl w:val="0"/>
      <w:kinsoku/>
      <w:autoSpaceDE/>
      <w:autoSpaceDN/>
      <w:adjustRightInd/>
      <w:snapToGrid/>
      <w:spacing w:line="437" w:lineRule="auto"/>
      <w:ind w:firstLine="400"/>
      <w:textAlignment w:val="auto"/>
    </w:pPr>
    <w:rPr>
      <w:rFonts w:ascii="宋体" w:eastAsia="宋体" w:hAnsi="宋体" w:cs="宋体"/>
      <w:snapToGrid/>
      <w:color w:val="auto"/>
      <w:kern w:val="2"/>
      <w:sz w:val="19"/>
      <w:szCs w:val="19"/>
      <w:lang w:val="zh-TW" w:eastAsia="zh-TW" w:bidi="zh-TW"/>
    </w:rPr>
  </w:style>
  <w:style w:type="paragraph" w:customStyle="1" w:styleId="Bodytext30">
    <w:name w:val="Body text|3"/>
    <w:basedOn w:val="a"/>
    <w:link w:val="Bodytext3"/>
    <w:qFormat/>
    <w:rsid w:val="005F09CD"/>
    <w:pPr>
      <w:widowControl w:val="0"/>
      <w:kinsoku/>
      <w:autoSpaceDE/>
      <w:autoSpaceDN/>
      <w:adjustRightInd/>
      <w:snapToGrid/>
      <w:spacing w:line="275" w:lineRule="exact"/>
      <w:jc w:val="center"/>
      <w:textAlignment w:val="auto"/>
    </w:pPr>
    <w:rPr>
      <w:rFonts w:ascii="宋体" w:eastAsia="宋体" w:hAnsi="宋体" w:cs="宋体"/>
      <w:snapToGrid/>
      <w:color w:val="auto"/>
      <w:kern w:val="2"/>
      <w:sz w:val="22"/>
      <w:szCs w:val="22"/>
      <w:lang w:val="zh-TW" w:eastAsia="zh-TW" w:bidi="zh-TW"/>
    </w:rPr>
  </w:style>
  <w:style w:type="paragraph" w:customStyle="1" w:styleId="Bodytext70">
    <w:name w:val="Body text|7"/>
    <w:basedOn w:val="a"/>
    <w:link w:val="Bodytext7"/>
    <w:qFormat/>
    <w:rsid w:val="005F09CD"/>
    <w:pPr>
      <w:widowControl w:val="0"/>
      <w:kinsoku/>
      <w:autoSpaceDE/>
      <w:autoSpaceDN/>
      <w:adjustRightInd/>
      <w:snapToGrid/>
      <w:spacing w:line="320" w:lineRule="exact"/>
      <w:jc w:val="center"/>
      <w:textAlignment w:val="auto"/>
    </w:pPr>
    <w:rPr>
      <w:rFonts w:asciiTheme="minorHAnsi" w:eastAsiaTheme="minorEastAsia" w:hAnsiTheme="minorHAnsi" w:cstheme="minorBidi"/>
      <w:b/>
      <w:bCs/>
      <w:snapToGrid/>
      <w:color w:val="auto"/>
      <w:w w:val="60"/>
      <w:kern w:val="2"/>
      <w:sz w:val="32"/>
      <w:szCs w:val="32"/>
      <w:lang w:val="zh-TW" w:eastAsia="zh-TW" w:bidi="zh-TW"/>
    </w:rPr>
  </w:style>
  <w:style w:type="paragraph" w:customStyle="1" w:styleId="Bodytext40">
    <w:name w:val="Body text|4"/>
    <w:basedOn w:val="a"/>
    <w:link w:val="Bodytext4"/>
    <w:qFormat/>
    <w:rsid w:val="005F09CD"/>
    <w:pPr>
      <w:widowControl w:val="0"/>
      <w:kinsoku/>
      <w:autoSpaceDE/>
      <w:autoSpaceDN/>
      <w:adjustRightInd/>
      <w:snapToGrid/>
      <w:spacing w:after="140"/>
      <w:jc w:val="center"/>
      <w:textAlignment w:val="auto"/>
    </w:pPr>
    <w:rPr>
      <w:rFonts w:asciiTheme="minorHAnsi" w:eastAsiaTheme="minorEastAsia" w:hAnsiTheme="minorHAnsi" w:cstheme="minorBidi"/>
      <w:snapToGrid/>
      <w:color w:val="auto"/>
      <w:kern w:val="2"/>
      <w:sz w:val="17"/>
      <w:szCs w:val="17"/>
    </w:rPr>
  </w:style>
  <w:style w:type="paragraph" w:customStyle="1" w:styleId="Other10">
    <w:name w:val="Other|1"/>
    <w:basedOn w:val="a"/>
    <w:link w:val="Other1"/>
    <w:qFormat/>
    <w:rsid w:val="005F09CD"/>
    <w:pPr>
      <w:widowControl w:val="0"/>
      <w:kinsoku/>
      <w:autoSpaceDE/>
      <w:autoSpaceDN/>
      <w:adjustRightInd/>
      <w:snapToGrid/>
      <w:spacing w:line="437" w:lineRule="auto"/>
      <w:ind w:firstLine="400"/>
      <w:textAlignment w:val="auto"/>
    </w:pPr>
    <w:rPr>
      <w:rFonts w:ascii="宋体" w:eastAsia="宋体" w:hAnsi="宋体" w:cs="宋体"/>
      <w:snapToGrid/>
      <w:color w:val="auto"/>
      <w:kern w:val="2"/>
      <w:sz w:val="19"/>
      <w:szCs w:val="19"/>
      <w:lang w:val="zh-TW" w:eastAsia="zh-TW" w:bidi="zh-TW"/>
    </w:rPr>
  </w:style>
  <w:style w:type="paragraph" w:customStyle="1" w:styleId="Headerorfooter20">
    <w:name w:val="Header or footer|2"/>
    <w:basedOn w:val="a"/>
    <w:link w:val="Headerorfooter2"/>
    <w:qFormat/>
    <w:rsid w:val="005F09CD"/>
    <w:pPr>
      <w:widowControl w:val="0"/>
      <w:kinsoku/>
      <w:autoSpaceDE/>
      <w:autoSpaceDN/>
      <w:adjustRightInd/>
      <w:snapToGrid/>
      <w:textAlignment w:val="auto"/>
    </w:pPr>
    <w:rPr>
      <w:rFonts w:asciiTheme="minorHAnsi" w:eastAsiaTheme="minorEastAsia" w:hAnsiTheme="minorHAnsi" w:cstheme="minorBidi"/>
      <w:snapToGrid/>
      <w:color w:val="auto"/>
      <w:kern w:val="2"/>
      <w:sz w:val="20"/>
      <w:szCs w:val="20"/>
      <w:lang w:val="zh-CN" w:bidi="zh-CN"/>
    </w:rPr>
  </w:style>
  <w:style w:type="paragraph" w:customStyle="1" w:styleId="Headerorfooter10">
    <w:name w:val="Header or footer|1"/>
    <w:basedOn w:val="a"/>
    <w:link w:val="Headerorfooter1"/>
    <w:qFormat/>
    <w:rsid w:val="005F09CD"/>
    <w:pPr>
      <w:widowControl w:val="0"/>
      <w:kinsoku/>
      <w:autoSpaceDE/>
      <w:autoSpaceDN/>
      <w:adjustRightInd/>
      <w:snapToGrid/>
      <w:textAlignment w:val="auto"/>
    </w:pPr>
    <w:rPr>
      <w:rFonts w:asciiTheme="minorHAnsi" w:eastAsiaTheme="minorEastAsia" w:hAnsiTheme="minorHAnsi" w:cstheme="minorBidi"/>
      <w:snapToGrid/>
      <w:color w:val="auto"/>
      <w:kern w:val="2"/>
      <w:sz w:val="17"/>
      <w:szCs w:val="17"/>
      <w:lang w:val="zh-TW" w:eastAsia="zh-TW" w:bidi="zh-TW"/>
    </w:rPr>
  </w:style>
  <w:style w:type="paragraph" w:customStyle="1" w:styleId="Heading210">
    <w:name w:val="Heading #2|1"/>
    <w:basedOn w:val="a"/>
    <w:link w:val="Heading21"/>
    <w:qFormat/>
    <w:rsid w:val="005F09CD"/>
    <w:pPr>
      <w:widowControl w:val="0"/>
      <w:kinsoku/>
      <w:autoSpaceDE/>
      <w:autoSpaceDN/>
      <w:adjustRightInd/>
      <w:snapToGrid/>
      <w:spacing w:after="120"/>
      <w:ind w:firstLine="520"/>
      <w:textAlignment w:val="auto"/>
      <w:outlineLvl w:val="1"/>
    </w:pPr>
    <w:rPr>
      <w:rFonts w:ascii="宋体" w:eastAsia="宋体" w:hAnsi="宋体" w:cs="宋体"/>
      <w:snapToGrid/>
      <w:color w:val="auto"/>
      <w:kern w:val="2"/>
      <w:sz w:val="19"/>
      <w:szCs w:val="19"/>
      <w:lang w:val="zh-TW" w:eastAsia="zh-TW" w:bidi="zh-TW"/>
    </w:rPr>
  </w:style>
  <w:style w:type="paragraph" w:customStyle="1" w:styleId="Heading310">
    <w:name w:val="Heading #3|1"/>
    <w:basedOn w:val="a"/>
    <w:link w:val="Heading31"/>
    <w:qFormat/>
    <w:rsid w:val="005F09CD"/>
    <w:pPr>
      <w:widowControl w:val="0"/>
      <w:kinsoku/>
      <w:autoSpaceDE/>
      <w:autoSpaceDN/>
      <w:adjustRightInd/>
      <w:snapToGrid/>
      <w:ind w:right="70"/>
      <w:textAlignment w:val="auto"/>
      <w:outlineLvl w:val="2"/>
    </w:pPr>
    <w:rPr>
      <w:rFonts w:asciiTheme="minorHAnsi" w:eastAsiaTheme="minorEastAsia" w:hAnsiTheme="minorHAnsi" w:cstheme="minorBidi"/>
      <w:snapToGrid/>
      <w:color w:val="auto"/>
      <w:kern w:val="2"/>
      <w:sz w:val="20"/>
      <w:szCs w:val="20"/>
      <w:lang w:val="zh-TW" w:eastAsia="zh-TW" w:bidi="zh-TW"/>
    </w:rPr>
  </w:style>
  <w:style w:type="paragraph" w:customStyle="1" w:styleId="Bodytext20">
    <w:name w:val="Body text|2"/>
    <w:basedOn w:val="a"/>
    <w:link w:val="Bodytext2"/>
    <w:qFormat/>
    <w:rsid w:val="005F09CD"/>
    <w:pPr>
      <w:widowControl w:val="0"/>
      <w:kinsoku/>
      <w:autoSpaceDE/>
      <w:autoSpaceDN/>
      <w:adjustRightInd/>
      <w:snapToGrid/>
      <w:spacing w:line="196" w:lineRule="exact"/>
      <w:textAlignment w:val="auto"/>
    </w:pPr>
    <w:rPr>
      <w:rFonts w:ascii="宋体" w:eastAsia="宋体" w:hAnsi="宋体" w:cs="宋体"/>
      <w:snapToGrid/>
      <w:color w:val="auto"/>
      <w:kern w:val="2"/>
      <w:sz w:val="18"/>
      <w:szCs w:val="18"/>
      <w:lang w:val="zh-TW" w:eastAsia="zh-TW" w:bidi="zh-TW"/>
    </w:rPr>
  </w:style>
  <w:style w:type="paragraph" w:customStyle="1" w:styleId="Bodytext60">
    <w:name w:val="Body text|6"/>
    <w:basedOn w:val="a"/>
    <w:link w:val="Bodytext6"/>
    <w:qFormat/>
    <w:rsid w:val="005F09CD"/>
    <w:pPr>
      <w:widowControl w:val="0"/>
      <w:kinsoku/>
      <w:autoSpaceDE/>
      <w:autoSpaceDN/>
      <w:adjustRightInd/>
      <w:snapToGrid/>
      <w:spacing w:line="178" w:lineRule="exact"/>
      <w:textAlignment w:val="auto"/>
    </w:pPr>
    <w:rPr>
      <w:rFonts w:ascii="宋体" w:eastAsia="宋体" w:hAnsi="宋体" w:cs="宋体"/>
      <w:snapToGrid/>
      <w:color w:val="auto"/>
      <w:kern w:val="2"/>
      <w:sz w:val="13"/>
      <w:szCs w:val="13"/>
      <w:lang w:val="zh-TW" w:eastAsia="zh-TW" w:bidi="zh-TW"/>
    </w:rPr>
  </w:style>
  <w:style w:type="paragraph" w:customStyle="1" w:styleId="Heading410">
    <w:name w:val="Heading #4|1"/>
    <w:basedOn w:val="a"/>
    <w:link w:val="Heading41"/>
    <w:qFormat/>
    <w:rsid w:val="005F09CD"/>
    <w:pPr>
      <w:widowControl w:val="0"/>
      <w:kinsoku/>
      <w:autoSpaceDE/>
      <w:autoSpaceDN/>
      <w:adjustRightInd/>
      <w:snapToGrid/>
      <w:textAlignment w:val="auto"/>
      <w:outlineLvl w:val="3"/>
    </w:pPr>
    <w:rPr>
      <w:rFonts w:ascii="宋体" w:eastAsia="宋体" w:hAnsi="宋体" w:cs="宋体"/>
      <w:snapToGrid/>
      <w:color w:val="auto"/>
      <w:kern w:val="2"/>
      <w:sz w:val="26"/>
      <w:szCs w:val="26"/>
      <w:lang w:val="zh-TW" w:eastAsia="zh-TW" w:bidi="zh-TW"/>
    </w:rPr>
  </w:style>
  <w:style w:type="paragraph" w:customStyle="1" w:styleId="Heading420">
    <w:name w:val="Heading #4|2"/>
    <w:basedOn w:val="a"/>
    <w:link w:val="Heading42"/>
    <w:rsid w:val="005F09CD"/>
    <w:pPr>
      <w:widowControl w:val="0"/>
      <w:kinsoku/>
      <w:autoSpaceDE/>
      <w:autoSpaceDN/>
      <w:adjustRightInd/>
      <w:snapToGrid/>
      <w:spacing w:line="557" w:lineRule="exact"/>
      <w:jc w:val="right"/>
      <w:textAlignment w:val="auto"/>
      <w:outlineLvl w:val="3"/>
    </w:pPr>
    <w:rPr>
      <w:rFonts w:ascii="宋体" w:eastAsia="宋体" w:hAnsi="宋体" w:cs="宋体"/>
      <w:snapToGrid/>
      <w:color w:val="auto"/>
      <w:kern w:val="2"/>
      <w:sz w:val="22"/>
      <w:szCs w:val="22"/>
      <w:shd w:val="clear" w:color="auto" w:fill="FFFFFF"/>
      <w:lang w:val="zh-TW" w:eastAsia="zh-TW" w:bidi="zh-TW"/>
    </w:rPr>
  </w:style>
  <w:style w:type="paragraph" w:customStyle="1" w:styleId="Heading520">
    <w:name w:val="Heading #5|2"/>
    <w:basedOn w:val="a"/>
    <w:link w:val="Heading52"/>
    <w:qFormat/>
    <w:rsid w:val="005F09CD"/>
    <w:pPr>
      <w:widowControl w:val="0"/>
      <w:kinsoku/>
      <w:autoSpaceDE/>
      <w:autoSpaceDN/>
      <w:adjustRightInd/>
      <w:snapToGrid/>
      <w:spacing w:line="874" w:lineRule="exact"/>
      <w:ind w:left="1660"/>
      <w:jc w:val="right"/>
      <w:textAlignment w:val="auto"/>
      <w:outlineLvl w:val="4"/>
    </w:pPr>
    <w:rPr>
      <w:rFonts w:ascii="宋体" w:eastAsia="宋体" w:hAnsi="宋体" w:cs="宋体"/>
      <w:snapToGrid/>
      <w:color w:val="auto"/>
      <w:kern w:val="2"/>
      <w:sz w:val="20"/>
      <w:szCs w:val="20"/>
    </w:rPr>
  </w:style>
  <w:style w:type="paragraph" w:customStyle="1" w:styleId="Other20">
    <w:name w:val="Other|2"/>
    <w:basedOn w:val="a"/>
    <w:link w:val="Other2"/>
    <w:qFormat/>
    <w:rsid w:val="005F09CD"/>
    <w:pPr>
      <w:widowControl w:val="0"/>
      <w:kinsoku/>
      <w:autoSpaceDE/>
      <w:autoSpaceDN/>
      <w:adjustRightInd/>
      <w:snapToGrid/>
      <w:spacing w:line="267" w:lineRule="exact"/>
      <w:textAlignment w:val="auto"/>
    </w:pPr>
    <w:rPr>
      <w:rFonts w:ascii="宋体" w:eastAsia="宋体" w:hAnsi="宋体" w:cs="宋体"/>
      <w:snapToGrid/>
      <w:color w:val="auto"/>
      <w:kern w:val="2"/>
      <w:sz w:val="12"/>
      <w:szCs w:val="12"/>
    </w:rPr>
  </w:style>
  <w:style w:type="paragraph" w:customStyle="1" w:styleId="Heading510">
    <w:name w:val="Heading #5|1"/>
    <w:basedOn w:val="a"/>
    <w:link w:val="Heading51"/>
    <w:qFormat/>
    <w:rsid w:val="005F09CD"/>
    <w:pPr>
      <w:widowControl w:val="0"/>
      <w:kinsoku/>
      <w:autoSpaceDE/>
      <w:autoSpaceDN/>
      <w:adjustRightInd/>
      <w:snapToGrid/>
      <w:spacing w:line="238" w:lineRule="exact"/>
      <w:textAlignment w:val="auto"/>
      <w:outlineLvl w:val="4"/>
    </w:pPr>
    <w:rPr>
      <w:rFonts w:asciiTheme="minorHAnsi" w:eastAsiaTheme="minorEastAsia" w:hAnsiTheme="minorHAnsi" w:cstheme="minorBidi"/>
      <w:snapToGrid/>
      <w:color w:val="auto"/>
      <w:kern w:val="2"/>
      <w:sz w:val="20"/>
      <w:szCs w:val="20"/>
    </w:rPr>
  </w:style>
  <w:style w:type="table" w:customStyle="1" w:styleId="1">
    <w:name w:val="网格型1"/>
    <w:basedOn w:val="a1"/>
    <w:next w:val="a9"/>
    <w:uiPriority w:val="59"/>
    <w:qFormat/>
    <w:rsid w:val="00B97D1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B97D10"/>
    <w:rPr>
      <w:rFonts w:ascii="宋体" w:eastAsia="宋体" w:hAnsi="宋体" w:hint="eastAsia"/>
      <w:b w:val="0"/>
      <w:bCs w:val="0"/>
      <w:i w:val="0"/>
      <w:iCs w:val="0"/>
      <w:color w:val="000000"/>
      <w:sz w:val="28"/>
      <w:szCs w:val="28"/>
    </w:rPr>
  </w:style>
  <w:style w:type="character" w:styleId="ab">
    <w:name w:val="annotation reference"/>
    <w:basedOn w:val="a0"/>
    <w:uiPriority w:val="99"/>
    <w:semiHidden/>
    <w:unhideWhenUsed/>
    <w:rsid w:val="009E11C8"/>
    <w:rPr>
      <w:sz w:val="21"/>
      <w:szCs w:val="21"/>
    </w:rPr>
  </w:style>
  <w:style w:type="paragraph" w:styleId="ac">
    <w:name w:val="annotation text"/>
    <w:basedOn w:val="a"/>
    <w:link w:val="ad"/>
    <w:uiPriority w:val="99"/>
    <w:semiHidden/>
    <w:unhideWhenUsed/>
    <w:rsid w:val="009E11C8"/>
  </w:style>
  <w:style w:type="character" w:customStyle="1" w:styleId="ad">
    <w:name w:val="批注文字 字符"/>
    <w:basedOn w:val="a0"/>
    <w:link w:val="ac"/>
    <w:uiPriority w:val="99"/>
    <w:semiHidden/>
    <w:rsid w:val="009E11C8"/>
    <w:rPr>
      <w:rFonts w:ascii="Arial" w:eastAsia="Arial" w:hAnsi="Arial" w:cs="Arial"/>
      <w:snapToGrid w:val="0"/>
      <w:color w:val="000000"/>
      <w:kern w:val="0"/>
      <w:szCs w:val="21"/>
    </w:rPr>
  </w:style>
  <w:style w:type="paragraph" w:styleId="ae">
    <w:name w:val="annotation subject"/>
    <w:basedOn w:val="ac"/>
    <w:next w:val="ac"/>
    <w:link w:val="af"/>
    <w:uiPriority w:val="99"/>
    <w:semiHidden/>
    <w:unhideWhenUsed/>
    <w:rsid w:val="009E11C8"/>
    <w:rPr>
      <w:b/>
      <w:bCs/>
    </w:rPr>
  </w:style>
  <w:style w:type="character" w:customStyle="1" w:styleId="af">
    <w:name w:val="批注主题 字符"/>
    <w:basedOn w:val="ad"/>
    <w:link w:val="ae"/>
    <w:uiPriority w:val="99"/>
    <w:semiHidden/>
    <w:rsid w:val="009E11C8"/>
    <w:rPr>
      <w:rFonts w:ascii="Arial" w:eastAsia="Arial" w:hAnsi="Arial" w:cs="Arial"/>
      <w:b/>
      <w:bCs/>
      <w:snapToGrid w:val="0"/>
      <w:color w:val="000000"/>
      <w:kern w:val="0"/>
      <w:szCs w:val="21"/>
    </w:rPr>
  </w:style>
  <w:style w:type="paragraph" w:styleId="af0">
    <w:name w:val="Revision"/>
    <w:hidden/>
    <w:uiPriority w:val="99"/>
    <w:unhideWhenUsed/>
    <w:rsid w:val="00967461"/>
    <w:rPr>
      <w:rFonts w:ascii="Arial" w:eastAsia="Arial" w:hAnsi="Arial" w:cs="Arial"/>
      <w:snapToGrid w:val="0"/>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97">
      <w:bodyDiv w:val="1"/>
      <w:marLeft w:val="0"/>
      <w:marRight w:val="0"/>
      <w:marTop w:val="0"/>
      <w:marBottom w:val="0"/>
      <w:divBdr>
        <w:top w:val="none" w:sz="0" w:space="0" w:color="auto"/>
        <w:left w:val="none" w:sz="0" w:space="0" w:color="auto"/>
        <w:bottom w:val="none" w:sz="0" w:space="0" w:color="auto"/>
        <w:right w:val="none" w:sz="0" w:space="0" w:color="auto"/>
      </w:divBdr>
    </w:div>
    <w:div w:id="15928140">
      <w:bodyDiv w:val="1"/>
      <w:marLeft w:val="0"/>
      <w:marRight w:val="0"/>
      <w:marTop w:val="0"/>
      <w:marBottom w:val="0"/>
      <w:divBdr>
        <w:top w:val="none" w:sz="0" w:space="0" w:color="auto"/>
        <w:left w:val="none" w:sz="0" w:space="0" w:color="auto"/>
        <w:bottom w:val="none" w:sz="0" w:space="0" w:color="auto"/>
        <w:right w:val="none" w:sz="0" w:space="0" w:color="auto"/>
      </w:divBdr>
    </w:div>
    <w:div w:id="17321129">
      <w:bodyDiv w:val="1"/>
      <w:marLeft w:val="0"/>
      <w:marRight w:val="0"/>
      <w:marTop w:val="0"/>
      <w:marBottom w:val="0"/>
      <w:divBdr>
        <w:top w:val="none" w:sz="0" w:space="0" w:color="auto"/>
        <w:left w:val="none" w:sz="0" w:space="0" w:color="auto"/>
        <w:bottom w:val="none" w:sz="0" w:space="0" w:color="auto"/>
        <w:right w:val="none" w:sz="0" w:space="0" w:color="auto"/>
      </w:divBdr>
    </w:div>
    <w:div w:id="56898771">
      <w:bodyDiv w:val="1"/>
      <w:marLeft w:val="0"/>
      <w:marRight w:val="0"/>
      <w:marTop w:val="0"/>
      <w:marBottom w:val="0"/>
      <w:divBdr>
        <w:top w:val="none" w:sz="0" w:space="0" w:color="auto"/>
        <w:left w:val="none" w:sz="0" w:space="0" w:color="auto"/>
        <w:bottom w:val="none" w:sz="0" w:space="0" w:color="auto"/>
        <w:right w:val="none" w:sz="0" w:space="0" w:color="auto"/>
      </w:divBdr>
    </w:div>
    <w:div w:id="66660857">
      <w:bodyDiv w:val="1"/>
      <w:marLeft w:val="0"/>
      <w:marRight w:val="0"/>
      <w:marTop w:val="0"/>
      <w:marBottom w:val="0"/>
      <w:divBdr>
        <w:top w:val="none" w:sz="0" w:space="0" w:color="auto"/>
        <w:left w:val="none" w:sz="0" w:space="0" w:color="auto"/>
        <w:bottom w:val="none" w:sz="0" w:space="0" w:color="auto"/>
        <w:right w:val="none" w:sz="0" w:space="0" w:color="auto"/>
      </w:divBdr>
    </w:div>
    <w:div w:id="80421155">
      <w:bodyDiv w:val="1"/>
      <w:marLeft w:val="0"/>
      <w:marRight w:val="0"/>
      <w:marTop w:val="0"/>
      <w:marBottom w:val="0"/>
      <w:divBdr>
        <w:top w:val="none" w:sz="0" w:space="0" w:color="auto"/>
        <w:left w:val="none" w:sz="0" w:space="0" w:color="auto"/>
        <w:bottom w:val="none" w:sz="0" w:space="0" w:color="auto"/>
        <w:right w:val="none" w:sz="0" w:space="0" w:color="auto"/>
      </w:divBdr>
    </w:div>
    <w:div w:id="102313871">
      <w:bodyDiv w:val="1"/>
      <w:marLeft w:val="0"/>
      <w:marRight w:val="0"/>
      <w:marTop w:val="0"/>
      <w:marBottom w:val="0"/>
      <w:divBdr>
        <w:top w:val="none" w:sz="0" w:space="0" w:color="auto"/>
        <w:left w:val="none" w:sz="0" w:space="0" w:color="auto"/>
        <w:bottom w:val="none" w:sz="0" w:space="0" w:color="auto"/>
        <w:right w:val="none" w:sz="0" w:space="0" w:color="auto"/>
      </w:divBdr>
    </w:div>
    <w:div w:id="149175701">
      <w:bodyDiv w:val="1"/>
      <w:marLeft w:val="0"/>
      <w:marRight w:val="0"/>
      <w:marTop w:val="0"/>
      <w:marBottom w:val="0"/>
      <w:divBdr>
        <w:top w:val="none" w:sz="0" w:space="0" w:color="auto"/>
        <w:left w:val="none" w:sz="0" w:space="0" w:color="auto"/>
        <w:bottom w:val="none" w:sz="0" w:space="0" w:color="auto"/>
        <w:right w:val="none" w:sz="0" w:space="0" w:color="auto"/>
      </w:divBdr>
    </w:div>
    <w:div w:id="194467849">
      <w:bodyDiv w:val="1"/>
      <w:marLeft w:val="0"/>
      <w:marRight w:val="0"/>
      <w:marTop w:val="0"/>
      <w:marBottom w:val="0"/>
      <w:divBdr>
        <w:top w:val="none" w:sz="0" w:space="0" w:color="auto"/>
        <w:left w:val="none" w:sz="0" w:space="0" w:color="auto"/>
        <w:bottom w:val="none" w:sz="0" w:space="0" w:color="auto"/>
        <w:right w:val="none" w:sz="0" w:space="0" w:color="auto"/>
      </w:divBdr>
    </w:div>
    <w:div w:id="245655543">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60265923">
      <w:bodyDiv w:val="1"/>
      <w:marLeft w:val="0"/>
      <w:marRight w:val="0"/>
      <w:marTop w:val="0"/>
      <w:marBottom w:val="0"/>
      <w:divBdr>
        <w:top w:val="none" w:sz="0" w:space="0" w:color="auto"/>
        <w:left w:val="none" w:sz="0" w:space="0" w:color="auto"/>
        <w:bottom w:val="none" w:sz="0" w:space="0" w:color="auto"/>
        <w:right w:val="none" w:sz="0" w:space="0" w:color="auto"/>
      </w:divBdr>
    </w:div>
    <w:div w:id="272127893">
      <w:bodyDiv w:val="1"/>
      <w:marLeft w:val="0"/>
      <w:marRight w:val="0"/>
      <w:marTop w:val="0"/>
      <w:marBottom w:val="0"/>
      <w:divBdr>
        <w:top w:val="none" w:sz="0" w:space="0" w:color="auto"/>
        <w:left w:val="none" w:sz="0" w:space="0" w:color="auto"/>
        <w:bottom w:val="none" w:sz="0" w:space="0" w:color="auto"/>
        <w:right w:val="none" w:sz="0" w:space="0" w:color="auto"/>
      </w:divBdr>
    </w:div>
    <w:div w:id="294919828">
      <w:bodyDiv w:val="1"/>
      <w:marLeft w:val="0"/>
      <w:marRight w:val="0"/>
      <w:marTop w:val="0"/>
      <w:marBottom w:val="0"/>
      <w:divBdr>
        <w:top w:val="none" w:sz="0" w:space="0" w:color="auto"/>
        <w:left w:val="none" w:sz="0" w:space="0" w:color="auto"/>
        <w:bottom w:val="none" w:sz="0" w:space="0" w:color="auto"/>
        <w:right w:val="none" w:sz="0" w:space="0" w:color="auto"/>
      </w:divBdr>
    </w:div>
    <w:div w:id="311636944">
      <w:bodyDiv w:val="1"/>
      <w:marLeft w:val="0"/>
      <w:marRight w:val="0"/>
      <w:marTop w:val="0"/>
      <w:marBottom w:val="0"/>
      <w:divBdr>
        <w:top w:val="none" w:sz="0" w:space="0" w:color="auto"/>
        <w:left w:val="none" w:sz="0" w:space="0" w:color="auto"/>
        <w:bottom w:val="none" w:sz="0" w:space="0" w:color="auto"/>
        <w:right w:val="none" w:sz="0" w:space="0" w:color="auto"/>
      </w:divBdr>
    </w:div>
    <w:div w:id="359015257">
      <w:bodyDiv w:val="1"/>
      <w:marLeft w:val="0"/>
      <w:marRight w:val="0"/>
      <w:marTop w:val="0"/>
      <w:marBottom w:val="0"/>
      <w:divBdr>
        <w:top w:val="none" w:sz="0" w:space="0" w:color="auto"/>
        <w:left w:val="none" w:sz="0" w:space="0" w:color="auto"/>
        <w:bottom w:val="none" w:sz="0" w:space="0" w:color="auto"/>
        <w:right w:val="none" w:sz="0" w:space="0" w:color="auto"/>
      </w:divBdr>
    </w:div>
    <w:div w:id="391317038">
      <w:bodyDiv w:val="1"/>
      <w:marLeft w:val="0"/>
      <w:marRight w:val="0"/>
      <w:marTop w:val="0"/>
      <w:marBottom w:val="0"/>
      <w:divBdr>
        <w:top w:val="none" w:sz="0" w:space="0" w:color="auto"/>
        <w:left w:val="none" w:sz="0" w:space="0" w:color="auto"/>
        <w:bottom w:val="none" w:sz="0" w:space="0" w:color="auto"/>
        <w:right w:val="none" w:sz="0" w:space="0" w:color="auto"/>
      </w:divBdr>
    </w:div>
    <w:div w:id="397438798">
      <w:bodyDiv w:val="1"/>
      <w:marLeft w:val="0"/>
      <w:marRight w:val="0"/>
      <w:marTop w:val="0"/>
      <w:marBottom w:val="0"/>
      <w:divBdr>
        <w:top w:val="none" w:sz="0" w:space="0" w:color="auto"/>
        <w:left w:val="none" w:sz="0" w:space="0" w:color="auto"/>
        <w:bottom w:val="none" w:sz="0" w:space="0" w:color="auto"/>
        <w:right w:val="none" w:sz="0" w:space="0" w:color="auto"/>
      </w:divBdr>
    </w:div>
    <w:div w:id="417673909">
      <w:bodyDiv w:val="1"/>
      <w:marLeft w:val="0"/>
      <w:marRight w:val="0"/>
      <w:marTop w:val="0"/>
      <w:marBottom w:val="0"/>
      <w:divBdr>
        <w:top w:val="none" w:sz="0" w:space="0" w:color="auto"/>
        <w:left w:val="none" w:sz="0" w:space="0" w:color="auto"/>
        <w:bottom w:val="none" w:sz="0" w:space="0" w:color="auto"/>
        <w:right w:val="none" w:sz="0" w:space="0" w:color="auto"/>
      </w:divBdr>
    </w:div>
    <w:div w:id="444689102">
      <w:bodyDiv w:val="1"/>
      <w:marLeft w:val="0"/>
      <w:marRight w:val="0"/>
      <w:marTop w:val="0"/>
      <w:marBottom w:val="0"/>
      <w:divBdr>
        <w:top w:val="none" w:sz="0" w:space="0" w:color="auto"/>
        <w:left w:val="none" w:sz="0" w:space="0" w:color="auto"/>
        <w:bottom w:val="none" w:sz="0" w:space="0" w:color="auto"/>
        <w:right w:val="none" w:sz="0" w:space="0" w:color="auto"/>
      </w:divBdr>
    </w:div>
    <w:div w:id="536426567">
      <w:bodyDiv w:val="1"/>
      <w:marLeft w:val="0"/>
      <w:marRight w:val="0"/>
      <w:marTop w:val="0"/>
      <w:marBottom w:val="0"/>
      <w:divBdr>
        <w:top w:val="none" w:sz="0" w:space="0" w:color="auto"/>
        <w:left w:val="none" w:sz="0" w:space="0" w:color="auto"/>
        <w:bottom w:val="none" w:sz="0" w:space="0" w:color="auto"/>
        <w:right w:val="none" w:sz="0" w:space="0" w:color="auto"/>
      </w:divBdr>
    </w:div>
    <w:div w:id="604726175">
      <w:bodyDiv w:val="1"/>
      <w:marLeft w:val="0"/>
      <w:marRight w:val="0"/>
      <w:marTop w:val="0"/>
      <w:marBottom w:val="0"/>
      <w:divBdr>
        <w:top w:val="none" w:sz="0" w:space="0" w:color="auto"/>
        <w:left w:val="none" w:sz="0" w:space="0" w:color="auto"/>
        <w:bottom w:val="none" w:sz="0" w:space="0" w:color="auto"/>
        <w:right w:val="none" w:sz="0" w:space="0" w:color="auto"/>
      </w:divBdr>
    </w:div>
    <w:div w:id="674848149">
      <w:bodyDiv w:val="1"/>
      <w:marLeft w:val="0"/>
      <w:marRight w:val="0"/>
      <w:marTop w:val="0"/>
      <w:marBottom w:val="0"/>
      <w:divBdr>
        <w:top w:val="none" w:sz="0" w:space="0" w:color="auto"/>
        <w:left w:val="none" w:sz="0" w:space="0" w:color="auto"/>
        <w:bottom w:val="none" w:sz="0" w:space="0" w:color="auto"/>
        <w:right w:val="none" w:sz="0" w:space="0" w:color="auto"/>
      </w:divBdr>
    </w:div>
    <w:div w:id="681123072">
      <w:bodyDiv w:val="1"/>
      <w:marLeft w:val="0"/>
      <w:marRight w:val="0"/>
      <w:marTop w:val="0"/>
      <w:marBottom w:val="0"/>
      <w:divBdr>
        <w:top w:val="none" w:sz="0" w:space="0" w:color="auto"/>
        <w:left w:val="none" w:sz="0" w:space="0" w:color="auto"/>
        <w:bottom w:val="none" w:sz="0" w:space="0" w:color="auto"/>
        <w:right w:val="none" w:sz="0" w:space="0" w:color="auto"/>
      </w:divBdr>
    </w:div>
    <w:div w:id="696656709">
      <w:bodyDiv w:val="1"/>
      <w:marLeft w:val="0"/>
      <w:marRight w:val="0"/>
      <w:marTop w:val="0"/>
      <w:marBottom w:val="0"/>
      <w:divBdr>
        <w:top w:val="none" w:sz="0" w:space="0" w:color="auto"/>
        <w:left w:val="none" w:sz="0" w:space="0" w:color="auto"/>
        <w:bottom w:val="none" w:sz="0" w:space="0" w:color="auto"/>
        <w:right w:val="none" w:sz="0" w:space="0" w:color="auto"/>
      </w:divBdr>
    </w:div>
    <w:div w:id="750080638">
      <w:bodyDiv w:val="1"/>
      <w:marLeft w:val="0"/>
      <w:marRight w:val="0"/>
      <w:marTop w:val="0"/>
      <w:marBottom w:val="0"/>
      <w:divBdr>
        <w:top w:val="none" w:sz="0" w:space="0" w:color="auto"/>
        <w:left w:val="none" w:sz="0" w:space="0" w:color="auto"/>
        <w:bottom w:val="none" w:sz="0" w:space="0" w:color="auto"/>
        <w:right w:val="none" w:sz="0" w:space="0" w:color="auto"/>
      </w:divBdr>
    </w:div>
    <w:div w:id="763696295">
      <w:bodyDiv w:val="1"/>
      <w:marLeft w:val="0"/>
      <w:marRight w:val="0"/>
      <w:marTop w:val="0"/>
      <w:marBottom w:val="0"/>
      <w:divBdr>
        <w:top w:val="none" w:sz="0" w:space="0" w:color="auto"/>
        <w:left w:val="none" w:sz="0" w:space="0" w:color="auto"/>
        <w:bottom w:val="none" w:sz="0" w:space="0" w:color="auto"/>
        <w:right w:val="none" w:sz="0" w:space="0" w:color="auto"/>
      </w:divBdr>
    </w:div>
    <w:div w:id="785393554">
      <w:bodyDiv w:val="1"/>
      <w:marLeft w:val="0"/>
      <w:marRight w:val="0"/>
      <w:marTop w:val="0"/>
      <w:marBottom w:val="0"/>
      <w:divBdr>
        <w:top w:val="none" w:sz="0" w:space="0" w:color="auto"/>
        <w:left w:val="none" w:sz="0" w:space="0" w:color="auto"/>
        <w:bottom w:val="none" w:sz="0" w:space="0" w:color="auto"/>
        <w:right w:val="none" w:sz="0" w:space="0" w:color="auto"/>
      </w:divBdr>
    </w:div>
    <w:div w:id="818838852">
      <w:bodyDiv w:val="1"/>
      <w:marLeft w:val="0"/>
      <w:marRight w:val="0"/>
      <w:marTop w:val="0"/>
      <w:marBottom w:val="0"/>
      <w:divBdr>
        <w:top w:val="none" w:sz="0" w:space="0" w:color="auto"/>
        <w:left w:val="none" w:sz="0" w:space="0" w:color="auto"/>
        <w:bottom w:val="none" w:sz="0" w:space="0" w:color="auto"/>
        <w:right w:val="none" w:sz="0" w:space="0" w:color="auto"/>
      </w:divBdr>
    </w:div>
    <w:div w:id="870386542">
      <w:bodyDiv w:val="1"/>
      <w:marLeft w:val="0"/>
      <w:marRight w:val="0"/>
      <w:marTop w:val="0"/>
      <w:marBottom w:val="0"/>
      <w:divBdr>
        <w:top w:val="none" w:sz="0" w:space="0" w:color="auto"/>
        <w:left w:val="none" w:sz="0" w:space="0" w:color="auto"/>
        <w:bottom w:val="none" w:sz="0" w:space="0" w:color="auto"/>
        <w:right w:val="none" w:sz="0" w:space="0" w:color="auto"/>
      </w:divBdr>
    </w:div>
    <w:div w:id="893125746">
      <w:bodyDiv w:val="1"/>
      <w:marLeft w:val="0"/>
      <w:marRight w:val="0"/>
      <w:marTop w:val="0"/>
      <w:marBottom w:val="0"/>
      <w:divBdr>
        <w:top w:val="none" w:sz="0" w:space="0" w:color="auto"/>
        <w:left w:val="none" w:sz="0" w:space="0" w:color="auto"/>
        <w:bottom w:val="none" w:sz="0" w:space="0" w:color="auto"/>
        <w:right w:val="none" w:sz="0" w:space="0" w:color="auto"/>
      </w:divBdr>
    </w:div>
    <w:div w:id="900091270">
      <w:bodyDiv w:val="1"/>
      <w:marLeft w:val="0"/>
      <w:marRight w:val="0"/>
      <w:marTop w:val="0"/>
      <w:marBottom w:val="0"/>
      <w:divBdr>
        <w:top w:val="none" w:sz="0" w:space="0" w:color="auto"/>
        <w:left w:val="none" w:sz="0" w:space="0" w:color="auto"/>
        <w:bottom w:val="none" w:sz="0" w:space="0" w:color="auto"/>
        <w:right w:val="none" w:sz="0" w:space="0" w:color="auto"/>
      </w:divBdr>
    </w:div>
    <w:div w:id="904149391">
      <w:bodyDiv w:val="1"/>
      <w:marLeft w:val="0"/>
      <w:marRight w:val="0"/>
      <w:marTop w:val="0"/>
      <w:marBottom w:val="0"/>
      <w:divBdr>
        <w:top w:val="none" w:sz="0" w:space="0" w:color="auto"/>
        <w:left w:val="none" w:sz="0" w:space="0" w:color="auto"/>
        <w:bottom w:val="none" w:sz="0" w:space="0" w:color="auto"/>
        <w:right w:val="none" w:sz="0" w:space="0" w:color="auto"/>
      </w:divBdr>
    </w:div>
    <w:div w:id="951859899">
      <w:bodyDiv w:val="1"/>
      <w:marLeft w:val="0"/>
      <w:marRight w:val="0"/>
      <w:marTop w:val="0"/>
      <w:marBottom w:val="0"/>
      <w:divBdr>
        <w:top w:val="none" w:sz="0" w:space="0" w:color="auto"/>
        <w:left w:val="none" w:sz="0" w:space="0" w:color="auto"/>
        <w:bottom w:val="none" w:sz="0" w:space="0" w:color="auto"/>
        <w:right w:val="none" w:sz="0" w:space="0" w:color="auto"/>
      </w:divBdr>
    </w:div>
    <w:div w:id="962072951">
      <w:bodyDiv w:val="1"/>
      <w:marLeft w:val="0"/>
      <w:marRight w:val="0"/>
      <w:marTop w:val="0"/>
      <w:marBottom w:val="0"/>
      <w:divBdr>
        <w:top w:val="none" w:sz="0" w:space="0" w:color="auto"/>
        <w:left w:val="none" w:sz="0" w:space="0" w:color="auto"/>
        <w:bottom w:val="none" w:sz="0" w:space="0" w:color="auto"/>
        <w:right w:val="none" w:sz="0" w:space="0" w:color="auto"/>
      </w:divBdr>
    </w:div>
    <w:div w:id="963124562">
      <w:bodyDiv w:val="1"/>
      <w:marLeft w:val="0"/>
      <w:marRight w:val="0"/>
      <w:marTop w:val="0"/>
      <w:marBottom w:val="0"/>
      <w:divBdr>
        <w:top w:val="none" w:sz="0" w:space="0" w:color="auto"/>
        <w:left w:val="none" w:sz="0" w:space="0" w:color="auto"/>
        <w:bottom w:val="none" w:sz="0" w:space="0" w:color="auto"/>
        <w:right w:val="none" w:sz="0" w:space="0" w:color="auto"/>
      </w:divBdr>
    </w:div>
    <w:div w:id="988637288">
      <w:bodyDiv w:val="1"/>
      <w:marLeft w:val="0"/>
      <w:marRight w:val="0"/>
      <w:marTop w:val="0"/>
      <w:marBottom w:val="0"/>
      <w:divBdr>
        <w:top w:val="none" w:sz="0" w:space="0" w:color="auto"/>
        <w:left w:val="none" w:sz="0" w:space="0" w:color="auto"/>
        <w:bottom w:val="none" w:sz="0" w:space="0" w:color="auto"/>
        <w:right w:val="none" w:sz="0" w:space="0" w:color="auto"/>
      </w:divBdr>
    </w:div>
    <w:div w:id="1043481264">
      <w:bodyDiv w:val="1"/>
      <w:marLeft w:val="0"/>
      <w:marRight w:val="0"/>
      <w:marTop w:val="0"/>
      <w:marBottom w:val="0"/>
      <w:divBdr>
        <w:top w:val="none" w:sz="0" w:space="0" w:color="auto"/>
        <w:left w:val="none" w:sz="0" w:space="0" w:color="auto"/>
        <w:bottom w:val="none" w:sz="0" w:space="0" w:color="auto"/>
        <w:right w:val="none" w:sz="0" w:space="0" w:color="auto"/>
      </w:divBdr>
    </w:div>
    <w:div w:id="1045328827">
      <w:bodyDiv w:val="1"/>
      <w:marLeft w:val="0"/>
      <w:marRight w:val="0"/>
      <w:marTop w:val="0"/>
      <w:marBottom w:val="0"/>
      <w:divBdr>
        <w:top w:val="none" w:sz="0" w:space="0" w:color="auto"/>
        <w:left w:val="none" w:sz="0" w:space="0" w:color="auto"/>
        <w:bottom w:val="none" w:sz="0" w:space="0" w:color="auto"/>
        <w:right w:val="none" w:sz="0" w:space="0" w:color="auto"/>
      </w:divBdr>
    </w:div>
    <w:div w:id="1062824231">
      <w:bodyDiv w:val="1"/>
      <w:marLeft w:val="0"/>
      <w:marRight w:val="0"/>
      <w:marTop w:val="0"/>
      <w:marBottom w:val="0"/>
      <w:divBdr>
        <w:top w:val="none" w:sz="0" w:space="0" w:color="auto"/>
        <w:left w:val="none" w:sz="0" w:space="0" w:color="auto"/>
        <w:bottom w:val="none" w:sz="0" w:space="0" w:color="auto"/>
        <w:right w:val="none" w:sz="0" w:space="0" w:color="auto"/>
      </w:divBdr>
    </w:div>
    <w:div w:id="1062873447">
      <w:bodyDiv w:val="1"/>
      <w:marLeft w:val="0"/>
      <w:marRight w:val="0"/>
      <w:marTop w:val="0"/>
      <w:marBottom w:val="0"/>
      <w:divBdr>
        <w:top w:val="none" w:sz="0" w:space="0" w:color="auto"/>
        <w:left w:val="none" w:sz="0" w:space="0" w:color="auto"/>
        <w:bottom w:val="none" w:sz="0" w:space="0" w:color="auto"/>
        <w:right w:val="none" w:sz="0" w:space="0" w:color="auto"/>
      </w:divBdr>
    </w:div>
    <w:div w:id="1124809271">
      <w:bodyDiv w:val="1"/>
      <w:marLeft w:val="0"/>
      <w:marRight w:val="0"/>
      <w:marTop w:val="0"/>
      <w:marBottom w:val="0"/>
      <w:divBdr>
        <w:top w:val="none" w:sz="0" w:space="0" w:color="auto"/>
        <w:left w:val="none" w:sz="0" w:space="0" w:color="auto"/>
        <w:bottom w:val="none" w:sz="0" w:space="0" w:color="auto"/>
        <w:right w:val="none" w:sz="0" w:space="0" w:color="auto"/>
      </w:divBdr>
    </w:div>
    <w:div w:id="1170683632">
      <w:bodyDiv w:val="1"/>
      <w:marLeft w:val="0"/>
      <w:marRight w:val="0"/>
      <w:marTop w:val="0"/>
      <w:marBottom w:val="0"/>
      <w:divBdr>
        <w:top w:val="none" w:sz="0" w:space="0" w:color="auto"/>
        <w:left w:val="none" w:sz="0" w:space="0" w:color="auto"/>
        <w:bottom w:val="none" w:sz="0" w:space="0" w:color="auto"/>
        <w:right w:val="none" w:sz="0" w:space="0" w:color="auto"/>
      </w:divBdr>
    </w:div>
    <w:div w:id="1175994060">
      <w:bodyDiv w:val="1"/>
      <w:marLeft w:val="0"/>
      <w:marRight w:val="0"/>
      <w:marTop w:val="0"/>
      <w:marBottom w:val="0"/>
      <w:divBdr>
        <w:top w:val="none" w:sz="0" w:space="0" w:color="auto"/>
        <w:left w:val="none" w:sz="0" w:space="0" w:color="auto"/>
        <w:bottom w:val="none" w:sz="0" w:space="0" w:color="auto"/>
        <w:right w:val="none" w:sz="0" w:space="0" w:color="auto"/>
      </w:divBdr>
    </w:div>
    <w:div w:id="1186291880">
      <w:bodyDiv w:val="1"/>
      <w:marLeft w:val="0"/>
      <w:marRight w:val="0"/>
      <w:marTop w:val="0"/>
      <w:marBottom w:val="0"/>
      <w:divBdr>
        <w:top w:val="none" w:sz="0" w:space="0" w:color="auto"/>
        <w:left w:val="none" w:sz="0" w:space="0" w:color="auto"/>
        <w:bottom w:val="none" w:sz="0" w:space="0" w:color="auto"/>
        <w:right w:val="none" w:sz="0" w:space="0" w:color="auto"/>
      </w:divBdr>
    </w:div>
    <w:div w:id="1207793347">
      <w:bodyDiv w:val="1"/>
      <w:marLeft w:val="0"/>
      <w:marRight w:val="0"/>
      <w:marTop w:val="0"/>
      <w:marBottom w:val="0"/>
      <w:divBdr>
        <w:top w:val="none" w:sz="0" w:space="0" w:color="auto"/>
        <w:left w:val="none" w:sz="0" w:space="0" w:color="auto"/>
        <w:bottom w:val="none" w:sz="0" w:space="0" w:color="auto"/>
        <w:right w:val="none" w:sz="0" w:space="0" w:color="auto"/>
      </w:divBdr>
    </w:div>
    <w:div w:id="1214930084">
      <w:bodyDiv w:val="1"/>
      <w:marLeft w:val="0"/>
      <w:marRight w:val="0"/>
      <w:marTop w:val="0"/>
      <w:marBottom w:val="0"/>
      <w:divBdr>
        <w:top w:val="none" w:sz="0" w:space="0" w:color="auto"/>
        <w:left w:val="none" w:sz="0" w:space="0" w:color="auto"/>
        <w:bottom w:val="none" w:sz="0" w:space="0" w:color="auto"/>
        <w:right w:val="none" w:sz="0" w:space="0" w:color="auto"/>
      </w:divBdr>
    </w:div>
    <w:div w:id="1242761838">
      <w:bodyDiv w:val="1"/>
      <w:marLeft w:val="0"/>
      <w:marRight w:val="0"/>
      <w:marTop w:val="0"/>
      <w:marBottom w:val="0"/>
      <w:divBdr>
        <w:top w:val="none" w:sz="0" w:space="0" w:color="auto"/>
        <w:left w:val="none" w:sz="0" w:space="0" w:color="auto"/>
        <w:bottom w:val="none" w:sz="0" w:space="0" w:color="auto"/>
        <w:right w:val="none" w:sz="0" w:space="0" w:color="auto"/>
      </w:divBdr>
    </w:div>
    <w:div w:id="1263341655">
      <w:bodyDiv w:val="1"/>
      <w:marLeft w:val="0"/>
      <w:marRight w:val="0"/>
      <w:marTop w:val="0"/>
      <w:marBottom w:val="0"/>
      <w:divBdr>
        <w:top w:val="none" w:sz="0" w:space="0" w:color="auto"/>
        <w:left w:val="none" w:sz="0" w:space="0" w:color="auto"/>
        <w:bottom w:val="none" w:sz="0" w:space="0" w:color="auto"/>
        <w:right w:val="none" w:sz="0" w:space="0" w:color="auto"/>
      </w:divBdr>
    </w:div>
    <w:div w:id="1277100474">
      <w:bodyDiv w:val="1"/>
      <w:marLeft w:val="0"/>
      <w:marRight w:val="0"/>
      <w:marTop w:val="0"/>
      <w:marBottom w:val="0"/>
      <w:divBdr>
        <w:top w:val="none" w:sz="0" w:space="0" w:color="auto"/>
        <w:left w:val="none" w:sz="0" w:space="0" w:color="auto"/>
        <w:bottom w:val="none" w:sz="0" w:space="0" w:color="auto"/>
        <w:right w:val="none" w:sz="0" w:space="0" w:color="auto"/>
      </w:divBdr>
    </w:div>
    <w:div w:id="1277908951">
      <w:bodyDiv w:val="1"/>
      <w:marLeft w:val="0"/>
      <w:marRight w:val="0"/>
      <w:marTop w:val="0"/>
      <w:marBottom w:val="0"/>
      <w:divBdr>
        <w:top w:val="none" w:sz="0" w:space="0" w:color="auto"/>
        <w:left w:val="none" w:sz="0" w:space="0" w:color="auto"/>
        <w:bottom w:val="none" w:sz="0" w:space="0" w:color="auto"/>
        <w:right w:val="none" w:sz="0" w:space="0" w:color="auto"/>
      </w:divBdr>
    </w:div>
    <w:div w:id="1291782038">
      <w:bodyDiv w:val="1"/>
      <w:marLeft w:val="0"/>
      <w:marRight w:val="0"/>
      <w:marTop w:val="0"/>
      <w:marBottom w:val="0"/>
      <w:divBdr>
        <w:top w:val="none" w:sz="0" w:space="0" w:color="auto"/>
        <w:left w:val="none" w:sz="0" w:space="0" w:color="auto"/>
        <w:bottom w:val="none" w:sz="0" w:space="0" w:color="auto"/>
        <w:right w:val="none" w:sz="0" w:space="0" w:color="auto"/>
      </w:divBdr>
    </w:div>
    <w:div w:id="1300695556">
      <w:bodyDiv w:val="1"/>
      <w:marLeft w:val="0"/>
      <w:marRight w:val="0"/>
      <w:marTop w:val="0"/>
      <w:marBottom w:val="0"/>
      <w:divBdr>
        <w:top w:val="none" w:sz="0" w:space="0" w:color="auto"/>
        <w:left w:val="none" w:sz="0" w:space="0" w:color="auto"/>
        <w:bottom w:val="none" w:sz="0" w:space="0" w:color="auto"/>
        <w:right w:val="none" w:sz="0" w:space="0" w:color="auto"/>
      </w:divBdr>
    </w:div>
    <w:div w:id="1383793467">
      <w:bodyDiv w:val="1"/>
      <w:marLeft w:val="0"/>
      <w:marRight w:val="0"/>
      <w:marTop w:val="0"/>
      <w:marBottom w:val="0"/>
      <w:divBdr>
        <w:top w:val="none" w:sz="0" w:space="0" w:color="auto"/>
        <w:left w:val="none" w:sz="0" w:space="0" w:color="auto"/>
        <w:bottom w:val="none" w:sz="0" w:space="0" w:color="auto"/>
        <w:right w:val="none" w:sz="0" w:space="0" w:color="auto"/>
      </w:divBdr>
    </w:div>
    <w:div w:id="1414476456">
      <w:bodyDiv w:val="1"/>
      <w:marLeft w:val="0"/>
      <w:marRight w:val="0"/>
      <w:marTop w:val="0"/>
      <w:marBottom w:val="0"/>
      <w:divBdr>
        <w:top w:val="none" w:sz="0" w:space="0" w:color="auto"/>
        <w:left w:val="none" w:sz="0" w:space="0" w:color="auto"/>
        <w:bottom w:val="none" w:sz="0" w:space="0" w:color="auto"/>
        <w:right w:val="none" w:sz="0" w:space="0" w:color="auto"/>
      </w:divBdr>
    </w:div>
    <w:div w:id="1435907217">
      <w:bodyDiv w:val="1"/>
      <w:marLeft w:val="0"/>
      <w:marRight w:val="0"/>
      <w:marTop w:val="0"/>
      <w:marBottom w:val="0"/>
      <w:divBdr>
        <w:top w:val="none" w:sz="0" w:space="0" w:color="auto"/>
        <w:left w:val="none" w:sz="0" w:space="0" w:color="auto"/>
        <w:bottom w:val="none" w:sz="0" w:space="0" w:color="auto"/>
        <w:right w:val="none" w:sz="0" w:space="0" w:color="auto"/>
      </w:divBdr>
    </w:div>
    <w:div w:id="1474522750">
      <w:bodyDiv w:val="1"/>
      <w:marLeft w:val="0"/>
      <w:marRight w:val="0"/>
      <w:marTop w:val="0"/>
      <w:marBottom w:val="0"/>
      <w:divBdr>
        <w:top w:val="none" w:sz="0" w:space="0" w:color="auto"/>
        <w:left w:val="none" w:sz="0" w:space="0" w:color="auto"/>
        <w:bottom w:val="none" w:sz="0" w:space="0" w:color="auto"/>
        <w:right w:val="none" w:sz="0" w:space="0" w:color="auto"/>
      </w:divBdr>
    </w:div>
    <w:div w:id="1503545018">
      <w:bodyDiv w:val="1"/>
      <w:marLeft w:val="0"/>
      <w:marRight w:val="0"/>
      <w:marTop w:val="0"/>
      <w:marBottom w:val="0"/>
      <w:divBdr>
        <w:top w:val="none" w:sz="0" w:space="0" w:color="auto"/>
        <w:left w:val="none" w:sz="0" w:space="0" w:color="auto"/>
        <w:bottom w:val="none" w:sz="0" w:space="0" w:color="auto"/>
        <w:right w:val="none" w:sz="0" w:space="0" w:color="auto"/>
      </w:divBdr>
    </w:div>
    <w:div w:id="1509901254">
      <w:bodyDiv w:val="1"/>
      <w:marLeft w:val="0"/>
      <w:marRight w:val="0"/>
      <w:marTop w:val="0"/>
      <w:marBottom w:val="0"/>
      <w:divBdr>
        <w:top w:val="none" w:sz="0" w:space="0" w:color="auto"/>
        <w:left w:val="none" w:sz="0" w:space="0" w:color="auto"/>
        <w:bottom w:val="none" w:sz="0" w:space="0" w:color="auto"/>
        <w:right w:val="none" w:sz="0" w:space="0" w:color="auto"/>
      </w:divBdr>
    </w:div>
    <w:div w:id="1533567352">
      <w:bodyDiv w:val="1"/>
      <w:marLeft w:val="0"/>
      <w:marRight w:val="0"/>
      <w:marTop w:val="0"/>
      <w:marBottom w:val="0"/>
      <w:divBdr>
        <w:top w:val="none" w:sz="0" w:space="0" w:color="auto"/>
        <w:left w:val="none" w:sz="0" w:space="0" w:color="auto"/>
        <w:bottom w:val="none" w:sz="0" w:space="0" w:color="auto"/>
        <w:right w:val="none" w:sz="0" w:space="0" w:color="auto"/>
      </w:divBdr>
    </w:div>
    <w:div w:id="1547789584">
      <w:bodyDiv w:val="1"/>
      <w:marLeft w:val="0"/>
      <w:marRight w:val="0"/>
      <w:marTop w:val="0"/>
      <w:marBottom w:val="0"/>
      <w:divBdr>
        <w:top w:val="none" w:sz="0" w:space="0" w:color="auto"/>
        <w:left w:val="none" w:sz="0" w:space="0" w:color="auto"/>
        <w:bottom w:val="none" w:sz="0" w:space="0" w:color="auto"/>
        <w:right w:val="none" w:sz="0" w:space="0" w:color="auto"/>
      </w:divBdr>
    </w:div>
    <w:div w:id="1578127385">
      <w:bodyDiv w:val="1"/>
      <w:marLeft w:val="0"/>
      <w:marRight w:val="0"/>
      <w:marTop w:val="0"/>
      <w:marBottom w:val="0"/>
      <w:divBdr>
        <w:top w:val="none" w:sz="0" w:space="0" w:color="auto"/>
        <w:left w:val="none" w:sz="0" w:space="0" w:color="auto"/>
        <w:bottom w:val="none" w:sz="0" w:space="0" w:color="auto"/>
        <w:right w:val="none" w:sz="0" w:space="0" w:color="auto"/>
      </w:divBdr>
    </w:div>
    <w:div w:id="1647279699">
      <w:bodyDiv w:val="1"/>
      <w:marLeft w:val="0"/>
      <w:marRight w:val="0"/>
      <w:marTop w:val="0"/>
      <w:marBottom w:val="0"/>
      <w:divBdr>
        <w:top w:val="none" w:sz="0" w:space="0" w:color="auto"/>
        <w:left w:val="none" w:sz="0" w:space="0" w:color="auto"/>
        <w:bottom w:val="none" w:sz="0" w:space="0" w:color="auto"/>
        <w:right w:val="none" w:sz="0" w:space="0" w:color="auto"/>
      </w:divBdr>
    </w:div>
    <w:div w:id="1648439525">
      <w:bodyDiv w:val="1"/>
      <w:marLeft w:val="0"/>
      <w:marRight w:val="0"/>
      <w:marTop w:val="0"/>
      <w:marBottom w:val="0"/>
      <w:divBdr>
        <w:top w:val="none" w:sz="0" w:space="0" w:color="auto"/>
        <w:left w:val="none" w:sz="0" w:space="0" w:color="auto"/>
        <w:bottom w:val="none" w:sz="0" w:space="0" w:color="auto"/>
        <w:right w:val="none" w:sz="0" w:space="0" w:color="auto"/>
      </w:divBdr>
    </w:div>
    <w:div w:id="1692030674">
      <w:bodyDiv w:val="1"/>
      <w:marLeft w:val="0"/>
      <w:marRight w:val="0"/>
      <w:marTop w:val="0"/>
      <w:marBottom w:val="0"/>
      <w:divBdr>
        <w:top w:val="none" w:sz="0" w:space="0" w:color="auto"/>
        <w:left w:val="none" w:sz="0" w:space="0" w:color="auto"/>
        <w:bottom w:val="none" w:sz="0" w:space="0" w:color="auto"/>
        <w:right w:val="none" w:sz="0" w:space="0" w:color="auto"/>
      </w:divBdr>
    </w:div>
    <w:div w:id="1709065947">
      <w:bodyDiv w:val="1"/>
      <w:marLeft w:val="0"/>
      <w:marRight w:val="0"/>
      <w:marTop w:val="0"/>
      <w:marBottom w:val="0"/>
      <w:divBdr>
        <w:top w:val="none" w:sz="0" w:space="0" w:color="auto"/>
        <w:left w:val="none" w:sz="0" w:space="0" w:color="auto"/>
        <w:bottom w:val="none" w:sz="0" w:space="0" w:color="auto"/>
        <w:right w:val="none" w:sz="0" w:space="0" w:color="auto"/>
      </w:divBdr>
    </w:div>
    <w:div w:id="1724064580">
      <w:bodyDiv w:val="1"/>
      <w:marLeft w:val="0"/>
      <w:marRight w:val="0"/>
      <w:marTop w:val="0"/>
      <w:marBottom w:val="0"/>
      <w:divBdr>
        <w:top w:val="none" w:sz="0" w:space="0" w:color="auto"/>
        <w:left w:val="none" w:sz="0" w:space="0" w:color="auto"/>
        <w:bottom w:val="none" w:sz="0" w:space="0" w:color="auto"/>
        <w:right w:val="none" w:sz="0" w:space="0" w:color="auto"/>
      </w:divBdr>
    </w:div>
    <w:div w:id="1860705209">
      <w:bodyDiv w:val="1"/>
      <w:marLeft w:val="0"/>
      <w:marRight w:val="0"/>
      <w:marTop w:val="0"/>
      <w:marBottom w:val="0"/>
      <w:divBdr>
        <w:top w:val="none" w:sz="0" w:space="0" w:color="auto"/>
        <w:left w:val="none" w:sz="0" w:space="0" w:color="auto"/>
        <w:bottom w:val="none" w:sz="0" w:space="0" w:color="auto"/>
        <w:right w:val="none" w:sz="0" w:space="0" w:color="auto"/>
      </w:divBdr>
    </w:div>
    <w:div w:id="1883592851">
      <w:bodyDiv w:val="1"/>
      <w:marLeft w:val="0"/>
      <w:marRight w:val="0"/>
      <w:marTop w:val="0"/>
      <w:marBottom w:val="0"/>
      <w:divBdr>
        <w:top w:val="none" w:sz="0" w:space="0" w:color="auto"/>
        <w:left w:val="none" w:sz="0" w:space="0" w:color="auto"/>
        <w:bottom w:val="none" w:sz="0" w:space="0" w:color="auto"/>
        <w:right w:val="none" w:sz="0" w:space="0" w:color="auto"/>
      </w:divBdr>
    </w:div>
    <w:div w:id="1921058886">
      <w:bodyDiv w:val="1"/>
      <w:marLeft w:val="0"/>
      <w:marRight w:val="0"/>
      <w:marTop w:val="0"/>
      <w:marBottom w:val="0"/>
      <w:divBdr>
        <w:top w:val="none" w:sz="0" w:space="0" w:color="auto"/>
        <w:left w:val="none" w:sz="0" w:space="0" w:color="auto"/>
        <w:bottom w:val="none" w:sz="0" w:space="0" w:color="auto"/>
        <w:right w:val="none" w:sz="0" w:space="0" w:color="auto"/>
      </w:divBdr>
    </w:div>
    <w:div w:id="1944459642">
      <w:bodyDiv w:val="1"/>
      <w:marLeft w:val="0"/>
      <w:marRight w:val="0"/>
      <w:marTop w:val="0"/>
      <w:marBottom w:val="0"/>
      <w:divBdr>
        <w:top w:val="none" w:sz="0" w:space="0" w:color="auto"/>
        <w:left w:val="none" w:sz="0" w:space="0" w:color="auto"/>
        <w:bottom w:val="none" w:sz="0" w:space="0" w:color="auto"/>
        <w:right w:val="none" w:sz="0" w:space="0" w:color="auto"/>
      </w:divBdr>
    </w:div>
    <w:div w:id="1976334288">
      <w:bodyDiv w:val="1"/>
      <w:marLeft w:val="0"/>
      <w:marRight w:val="0"/>
      <w:marTop w:val="0"/>
      <w:marBottom w:val="0"/>
      <w:divBdr>
        <w:top w:val="none" w:sz="0" w:space="0" w:color="auto"/>
        <w:left w:val="none" w:sz="0" w:space="0" w:color="auto"/>
        <w:bottom w:val="none" w:sz="0" w:space="0" w:color="auto"/>
        <w:right w:val="none" w:sz="0" w:space="0" w:color="auto"/>
      </w:divBdr>
    </w:div>
    <w:div w:id="1992829673">
      <w:bodyDiv w:val="1"/>
      <w:marLeft w:val="0"/>
      <w:marRight w:val="0"/>
      <w:marTop w:val="0"/>
      <w:marBottom w:val="0"/>
      <w:divBdr>
        <w:top w:val="none" w:sz="0" w:space="0" w:color="auto"/>
        <w:left w:val="none" w:sz="0" w:space="0" w:color="auto"/>
        <w:bottom w:val="none" w:sz="0" w:space="0" w:color="auto"/>
        <w:right w:val="none" w:sz="0" w:space="0" w:color="auto"/>
      </w:divBdr>
    </w:div>
    <w:div w:id="2015918636">
      <w:bodyDiv w:val="1"/>
      <w:marLeft w:val="0"/>
      <w:marRight w:val="0"/>
      <w:marTop w:val="0"/>
      <w:marBottom w:val="0"/>
      <w:divBdr>
        <w:top w:val="none" w:sz="0" w:space="0" w:color="auto"/>
        <w:left w:val="none" w:sz="0" w:space="0" w:color="auto"/>
        <w:bottom w:val="none" w:sz="0" w:space="0" w:color="auto"/>
        <w:right w:val="none" w:sz="0" w:space="0" w:color="auto"/>
      </w:divBdr>
    </w:div>
    <w:div w:id="2084065444">
      <w:bodyDiv w:val="1"/>
      <w:marLeft w:val="0"/>
      <w:marRight w:val="0"/>
      <w:marTop w:val="0"/>
      <w:marBottom w:val="0"/>
      <w:divBdr>
        <w:top w:val="none" w:sz="0" w:space="0" w:color="auto"/>
        <w:left w:val="none" w:sz="0" w:space="0" w:color="auto"/>
        <w:bottom w:val="none" w:sz="0" w:space="0" w:color="auto"/>
        <w:right w:val="none" w:sz="0" w:space="0" w:color="auto"/>
      </w:divBdr>
    </w:div>
    <w:div w:id="21174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B93B-D1B5-4DD4-AFBA-229DBA9B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LJY</cp:lastModifiedBy>
  <cp:revision>5</cp:revision>
  <cp:lastPrinted>2025-04-18T08:47:00Z</cp:lastPrinted>
  <dcterms:created xsi:type="dcterms:W3CDTF">2025-04-21T10:39:00Z</dcterms:created>
  <dcterms:modified xsi:type="dcterms:W3CDTF">2025-04-21T11:26:00Z</dcterms:modified>
</cp:coreProperties>
</file>