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A8BF" w14:textId="3D641C37" w:rsidR="006A0AAB" w:rsidRPr="00181D2A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181D2A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181D2A">
        <w:rPr>
          <w:rFonts w:asciiTheme="minorEastAsia" w:eastAsiaTheme="minorEastAsia" w:hAnsiTheme="minorEastAsia" w:cs="宋体"/>
          <w:b/>
          <w:kern w:val="0"/>
        </w:rPr>
        <w:t>002309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证券简称：</w:t>
      </w:r>
      <w:r w:rsidR="0058395F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58395F">
        <w:rPr>
          <w:rFonts w:asciiTheme="minorEastAsia" w:eastAsiaTheme="minorEastAsia" w:hAnsiTheme="minorEastAsia" w:cs="宋体"/>
          <w:b/>
          <w:kern w:val="0"/>
        </w:rPr>
        <w:t>ST</w:t>
      </w:r>
      <w:r w:rsidR="0058395F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181D2A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306D2A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Pr="00FA64D3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FA64D3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58395F">
        <w:rPr>
          <w:rFonts w:asciiTheme="minorEastAsia" w:eastAsiaTheme="minorEastAsia" w:hAnsiTheme="minorEastAsia" w:cs="宋体"/>
          <w:b/>
          <w:kern w:val="0"/>
        </w:rPr>
        <w:t>5</w:t>
      </w:r>
      <w:r w:rsidR="007F40E6" w:rsidRPr="00FA64D3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FB4E9D">
        <w:rPr>
          <w:rFonts w:asciiTheme="minorEastAsia" w:eastAsiaTheme="minorEastAsia" w:hAnsiTheme="minorEastAsia" w:cs="宋体"/>
          <w:b/>
          <w:kern w:val="0"/>
        </w:rPr>
        <w:t>0</w:t>
      </w:r>
      <w:r w:rsidR="00B92555">
        <w:rPr>
          <w:rFonts w:asciiTheme="minorEastAsia" w:eastAsiaTheme="minorEastAsia" w:hAnsiTheme="minorEastAsia" w:cs="宋体"/>
          <w:b/>
          <w:kern w:val="0"/>
        </w:rPr>
        <w:t>59</w:t>
      </w:r>
    </w:p>
    <w:p w14:paraId="5050558B" w14:textId="77777777" w:rsidR="006A2333" w:rsidRPr="006A2333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34EE8B24" w14:textId="77777777"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E5CAF28" w14:textId="559D2325" w:rsidR="00365AAE" w:rsidRPr="00722D1B" w:rsidRDefault="003E12C3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621D7F" w:rsidRPr="00C50706">
        <w:rPr>
          <w:rFonts w:asciiTheme="minorEastAsia" w:eastAsiaTheme="minorEastAsia" w:hAnsiTheme="minorEastAsia" w:hint="eastAsia"/>
          <w:b/>
          <w:sz w:val="32"/>
          <w:szCs w:val="32"/>
        </w:rPr>
        <w:t>2024</w:t>
      </w:r>
      <w:r w:rsidR="00621D7F">
        <w:rPr>
          <w:rFonts w:asciiTheme="minorEastAsia" w:eastAsiaTheme="minorEastAsia" w:hAnsiTheme="minorEastAsia" w:hint="eastAsia"/>
          <w:b/>
          <w:sz w:val="32"/>
          <w:szCs w:val="32"/>
        </w:rPr>
        <w:t>年度各类资产减值及核销的公告</w:t>
      </w:r>
    </w:p>
    <w:p w14:paraId="04B86B86" w14:textId="77777777" w:rsidR="00722D1B" w:rsidRPr="005D5267" w:rsidRDefault="00722D1B" w:rsidP="000E77A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14:paraId="0553D140" w14:textId="77777777" w:rsidTr="000D093A">
        <w:tc>
          <w:tcPr>
            <w:tcW w:w="8522" w:type="dxa"/>
          </w:tcPr>
          <w:p w14:paraId="3201ACED" w14:textId="77777777"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DB7985" w14:textId="2B0F64FA" w:rsidR="00621D7F" w:rsidRPr="00771EE8" w:rsidRDefault="00621D7F" w:rsidP="00621D7F">
      <w:pPr>
        <w:autoSpaceDE w:val="0"/>
        <w:autoSpaceDN w:val="0"/>
        <w:spacing w:beforeLines="100" w:before="312"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71EE8">
        <w:rPr>
          <w:rFonts w:asciiTheme="minorEastAsia" w:eastAsiaTheme="minorEastAsia" w:hAnsiTheme="minorEastAsia" w:hint="eastAsia"/>
          <w:sz w:val="24"/>
        </w:rPr>
        <w:t>江苏中利集团股份有限公司（以下简称“公司”）于</w:t>
      </w:r>
      <w:r>
        <w:rPr>
          <w:rFonts w:asciiTheme="minorEastAsia" w:eastAsiaTheme="minorEastAsia" w:hAnsiTheme="minorEastAsia" w:hint="eastAsia"/>
          <w:sz w:val="24"/>
        </w:rPr>
        <w:t>2025</w:t>
      </w:r>
      <w:r w:rsidRPr="00771EE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771EE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1</w:t>
      </w:r>
      <w:r w:rsidR="00E86701">
        <w:rPr>
          <w:rFonts w:asciiTheme="minorEastAsia" w:eastAsiaTheme="minorEastAsia" w:hAnsiTheme="minorEastAsia"/>
          <w:sz w:val="24"/>
        </w:rPr>
        <w:t>8</w:t>
      </w:r>
      <w:r w:rsidRPr="00771EE8">
        <w:rPr>
          <w:rFonts w:asciiTheme="minorEastAsia" w:eastAsiaTheme="minorEastAsia" w:hAnsiTheme="minorEastAsia" w:hint="eastAsia"/>
          <w:sz w:val="24"/>
        </w:rPr>
        <w:t>日召开的</w:t>
      </w:r>
      <w:r>
        <w:rPr>
          <w:rFonts w:asciiTheme="minorEastAsia" w:eastAsiaTheme="minorEastAsia" w:hAnsiTheme="minorEastAsia" w:hint="eastAsia"/>
          <w:sz w:val="24"/>
        </w:rPr>
        <w:t>第七届董事会第一次会议及第七届监事会第一次会议</w:t>
      </w:r>
      <w:r w:rsidRPr="00771EE8">
        <w:rPr>
          <w:rFonts w:asciiTheme="minorEastAsia" w:eastAsiaTheme="minorEastAsia" w:hAnsiTheme="minorEastAsia" w:hint="eastAsia"/>
          <w:sz w:val="24"/>
        </w:rPr>
        <w:t>，审议通过了《</w:t>
      </w:r>
      <w:r w:rsidRPr="00FE757E">
        <w:rPr>
          <w:rFonts w:asciiTheme="minorEastAsia" w:eastAsiaTheme="minorEastAsia" w:hAnsiTheme="minorEastAsia" w:hint="eastAsia"/>
          <w:sz w:val="24"/>
        </w:rPr>
        <w:t>关于2024</w:t>
      </w:r>
      <w:r>
        <w:rPr>
          <w:rFonts w:asciiTheme="minorEastAsia" w:eastAsiaTheme="minorEastAsia" w:hAnsiTheme="minorEastAsia" w:hint="eastAsia"/>
          <w:sz w:val="24"/>
        </w:rPr>
        <w:t>年度各类资产减值及核销</w:t>
      </w:r>
      <w:r w:rsidRPr="00D31779"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议案》。</w:t>
      </w:r>
      <w:r w:rsidRPr="00771EE8">
        <w:rPr>
          <w:rFonts w:asciiTheme="minorEastAsia" w:eastAsiaTheme="minorEastAsia" w:hAnsiTheme="minorEastAsia" w:hint="eastAsia"/>
          <w:sz w:val="24"/>
        </w:rPr>
        <w:t>现将相关情况公告如下：</w:t>
      </w:r>
    </w:p>
    <w:p w14:paraId="7BCAC9F6" w14:textId="0E1A4C6B" w:rsidR="002D15B5" w:rsidRDefault="008C5D05" w:rsidP="00401EB8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一</w:t>
      </w:r>
      <w:r w:rsidR="00A728DC" w:rsidRPr="00A728DC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、</w:t>
      </w:r>
      <w:r w:rsid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本次</w:t>
      </w:r>
      <w:r w:rsidR="00257D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计提</w:t>
      </w:r>
      <w:r w:rsid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各类</w:t>
      </w:r>
      <w:r w:rsidR="00257D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资产减值准备</w:t>
      </w:r>
      <w:r w:rsid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及核销资产</w:t>
      </w:r>
      <w:r w:rsidR="0014218A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概述</w:t>
      </w:r>
    </w:p>
    <w:p w14:paraId="3B25F083" w14:textId="21F2538E" w:rsidR="00257D5F" w:rsidRDefault="00257D5F" w:rsidP="00257D5F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（一）计</w:t>
      </w:r>
      <w:r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提</w:t>
      </w: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各类</w:t>
      </w:r>
      <w:r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资产减值准备</w:t>
      </w:r>
    </w:p>
    <w:p w14:paraId="23FF8C72" w14:textId="17A3F7DD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</w:t>
      </w:r>
      <w:r w:rsidR="001A3FB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.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本次计提减值准备的原因</w:t>
      </w:r>
    </w:p>
    <w:p w14:paraId="1DBBB514" w14:textId="77777777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根据《企业会计准则》《深圳证券交易所股票上市规则》相关规定的要求，基于真实、准确、完整地反映公司截至2024年12月31日的资产状况和2024年度的经营情况，公司对合并报表中各类资产进行了全面清查和减值测试，根据测试结果，基于谨慎性原则，公司对可能发生减值损失的资产计提相应的减值准备。</w:t>
      </w:r>
    </w:p>
    <w:p w14:paraId="451E7491" w14:textId="107C4772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</w:t>
      </w:r>
      <w:r w:rsidR="001A3FB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．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本次计提减值准备的资产范围、总金额和计入的报告期间</w:t>
      </w:r>
    </w:p>
    <w:p w14:paraId="2B556A8B" w14:textId="33988485" w:rsidR="00506182" w:rsidRPr="0050618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公司对截至2024年12月31日合并报表范围内的各类资产进行全面清查和资产减值测试后，本期（2024年1月1日至2024年12月31日）计入各项减值1</w:t>
      </w:r>
      <w:r w:rsidR="00A37B8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4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.</w:t>
      </w:r>
      <w:r w:rsidR="00C77DF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52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亿元，明细如下：</w:t>
      </w:r>
    </w:p>
    <w:tbl>
      <w:tblPr>
        <w:tblStyle w:val="a9"/>
        <w:tblW w:w="9214" w:type="dxa"/>
        <w:tblInd w:w="-572" w:type="dxa"/>
        <w:tblLook w:val="04A0" w:firstRow="1" w:lastRow="0" w:firstColumn="1" w:lastColumn="0" w:noHBand="0" w:noVBand="1"/>
      </w:tblPr>
      <w:tblGrid>
        <w:gridCol w:w="3261"/>
        <w:gridCol w:w="1701"/>
        <w:gridCol w:w="4252"/>
      </w:tblGrid>
      <w:tr w:rsidR="00C10CEE" w:rsidRPr="007E0FE7" w14:paraId="0B600A0E" w14:textId="337803AD" w:rsidTr="007E0FE7">
        <w:tc>
          <w:tcPr>
            <w:tcW w:w="3261" w:type="dxa"/>
          </w:tcPr>
          <w:p w14:paraId="06E52B18" w14:textId="2DCCF680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701" w:type="dxa"/>
          </w:tcPr>
          <w:p w14:paraId="20B2EDF8" w14:textId="045618E0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4252" w:type="dxa"/>
          </w:tcPr>
          <w:p w14:paraId="1E31E123" w14:textId="593F4CE4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b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C10CEE" w:rsidRPr="007E0FE7" w14:paraId="7386913E" w14:textId="7A96B4A8" w:rsidTr="007E0FE7">
        <w:tc>
          <w:tcPr>
            <w:tcW w:w="3261" w:type="dxa"/>
            <w:vAlign w:val="center"/>
          </w:tcPr>
          <w:p w14:paraId="7E6E6F15" w14:textId="35A1E8AF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E0FE7">
              <w:rPr>
                <w:rFonts w:hint="eastAsia"/>
                <w:szCs w:val="21"/>
              </w:rPr>
              <w:t>资产减值损失</w:t>
            </w:r>
          </w:p>
        </w:tc>
        <w:tc>
          <w:tcPr>
            <w:tcW w:w="1701" w:type="dxa"/>
            <w:vAlign w:val="center"/>
          </w:tcPr>
          <w:p w14:paraId="6DA87B14" w14:textId="1ADF4191" w:rsidR="00C10CEE" w:rsidRPr="007E0FE7" w:rsidRDefault="00C10CEE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E0FE7">
              <w:rPr>
                <w:szCs w:val="21"/>
              </w:rPr>
              <w:t>88,988.89</w:t>
            </w:r>
          </w:p>
        </w:tc>
        <w:tc>
          <w:tcPr>
            <w:tcW w:w="4252" w:type="dxa"/>
          </w:tcPr>
          <w:p w14:paraId="029D9309" w14:textId="23FEDC39" w:rsidR="00C10CEE" w:rsidRPr="007E0FE7" w:rsidRDefault="007E0FE7" w:rsidP="00A37B87">
            <w:pPr>
              <w:tabs>
                <w:tab w:val="num" w:pos="150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  <w:tr w:rsidR="00C10CEE" w:rsidRPr="007E0FE7" w14:paraId="250B7EA1" w14:textId="721E7970" w:rsidTr="007E0FE7">
        <w:tc>
          <w:tcPr>
            <w:tcW w:w="3261" w:type="dxa"/>
            <w:vAlign w:val="center"/>
          </w:tcPr>
          <w:p w14:paraId="0C7EF5C8" w14:textId="6D91D7EA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7E0FE7">
              <w:rPr>
                <w:rFonts w:hint="eastAsia"/>
                <w:szCs w:val="21"/>
              </w:rPr>
              <w:t>其中：存货跌价损失</w:t>
            </w:r>
          </w:p>
        </w:tc>
        <w:tc>
          <w:tcPr>
            <w:tcW w:w="1701" w:type="dxa"/>
            <w:vAlign w:val="center"/>
          </w:tcPr>
          <w:p w14:paraId="7DA7AFAD" w14:textId="276BFB00" w:rsidR="00C10CEE" w:rsidRPr="007E0FE7" w:rsidRDefault="00C10CEE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0FE7">
              <w:rPr>
                <w:szCs w:val="21"/>
              </w:rPr>
              <w:t>9</w:t>
            </w:r>
            <w:r w:rsidRPr="007E0FE7">
              <w:rPr>
                <w:rFonts w:hint="eastAsia"/>
                <w:szCs w:val="21"/>
              </w:rPr>
              <w:t>,</w:t>
            </w:r>
            <w:r w:rsidRPr="007E0FE7">
              <w:rPr>
                <w:szCs w:val="21"/>
              </w:rPr>
              <w:t>730.51</w:t>
            </w:r>
          </w:p>
        </w:tc>
        <w:tc>
          <w:tcPr>
            <w:tcW w:w="4252" w:type="dxa"/>
          </w:tcPr>
          <w:p w14:paraId="1625AE3C" w14:textId="511F3AA1" w:rsidR="00C10CEE" w:rsidRPr="007E0FE7" w:rsidRDefault="00C10CEE" w:rsidP="007E0FE7">
            <w:pPr>
              <w:tabs>
                <w:tab w:val="num" w:pos="1500"/>
              </w:tabs>
              <w:jc w:val="left"/>
              <w:rPr>
                <w:szCs w:val="21"/>
              </w:rPr>
            </w:pPr>
            <w:r w:rsidRPr="007E0FE7">
              <w:rPr>
                <w:rFonts w:hint="eastAsia"/>
                <w:szCs w:val="21"/>
              </w:rPr>
              <w:t>原材料、半成品、</w:t>
            </w:r>
            <w:r w:rsidR="007E0FE7">
              <w:rPr>
                <w:rFonts w:hint="eastAsia"/>
                <w:szCs w:val="21"/>
              </w:rPr>
              <w:t>产成品</w:t>
            </w:r>
            <w:r w:rsidRPr="007E0FE7">
              <w:rPr>
                <w:rFonts w:hint="eastAsia"/>
                <w:szCs w:val="21"/>
              </w:rPr>
              <w:t>价格下降</w:t>
            </w:r>
            <w:r w:rsidR="007E0FE7">
              <w:rPr>
                <w:rFonts w:hint="eastAsia"/>
                <w:szCs w:val="21"/>
              </w:rPr>
              <w:t>等</w:t>
            </w:r>
            <w:r w:rsidRPr="007E0FE7">
              <w:rPr>
                <w:rFonts w:hint="eastAsia"/>
                <w:szCs w:val="21"/>
              </w:rPr>
              <w:t>原因，存货可变现净值低于账面价值</w:t>
            </w:r>
            <w:r w:rsidR="007E0FE7">
              <w:rPr>
                <w:rFonts w:hint="eastAsia"/>
                <w:szCs w:val="21"/>
              </w:rPr>
              <w:t>。</w:t>
            </w:r>
          </w:p>
        </w:tc>
      </w:tr>
      <w:tr w:rsidR="00C10CEE" w:rsidRPr="007E0FE7" w14:paraId="737DF000" w14:textId="3E99F79B" w:rsidTr="007E0FE7">
        <w:tc>
          <w:tcPr>
            <w:tcW w:w="3261" w:type="dxa"/>
            <w:vAlign w:val="center"/>
          </w:tcPr>
          <w:p w14:paraId="4505A6DA" w14:textId="60F7958A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rFonts w:asciiTheme="minorEastAsia" w:eastAsiaTheme="minorEastAsia" w:hAnsiTheme="minorEastAsia"/>
                <w:b/>
                <w:szCs w:val="21"/>
              </w:rPr>
            </w:pPr>
            <w:r w:rsidRPr="007E0FE7">
              <w:rPr>
                <w:rFonts w:hint="eastAsia"/>
                <w:szCs w:val="21"/>
              </w:rPr>
              <w:t>固定资产减值损失</w:t>
            </w:r>
          </w:p>
        </w:tc>
        <w:tc>
          <w:tcPr>
            <w:tcW w:w="1701" w:type="dxa"/>
            <w:vAlign w:val="center"/>
          </w:tcPr>
          <w:p w14:paraId="04DED42A" w14:textId="53A50F97" w:rsidR="00C10CEE" w:rsidRPr="007E0FE7" w:rsidRDefault="00C10CEE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0FE7">
              <w:rPr>
                <w:szCs w:val="21"/>
              </w:rPr>
              <w:t>56,285.22</w:t>
            </w:r>
          </w:p>
        </w:tc>
        <w:tc>
          <w:tcPr>
            <w:tcW w:w="4252" w:type="dxa"/>
          </w:tcPr>
          <w:p w14:paraId="33BCDDE9" w14:textId="455C324D" w:rsidR="00C10CEE" w:rsidRPr="007E0FE7" w:rsidRDefault="00C10CEE" w:rsidP="007E0FE7">
            <w:pPr>
              <w:tabs>
                <w:tab w:val="num" w:pos="1500"/>
              </w:tabs>
              <w:jc w:val="left"/>
              <w:rPr>
                <w:szCs w:val="21"/>
              </w:rPr>
            </w:pPr>
            <w:r w:rsidRPr="007E0FE7">
              <w:rPr>
                <w:rFonts w:hint="eastAsia"/>
                <w:szCs w:val="21"/>
              </w:rPr>
              <w:t>对产能落后、停工状态</w:t>
            </w:r>
            <w:r w:rsidR="007E0FE7">
              <w:rPr>
                <w:rFonts w:hint="eastAsia"/>
                <w:szCs w:val="21"/>
              </w:rPr>
              <w:t>等</w:t>
            </w:r>
            <w:r w:rsidRPr="007E0FE7">
              <w:rPr>
                <w:rFonts w:hint="eastAsia"/>
                <w:szCs w:val="21"/>
              </w:rPr>
              <w:t>低效资产计提减值准备。</w:t>
            </w:r>
          </w:p>
        </w:tc>
      </w:tr>
      <w:tr w:rsidR="00C10CEE" w:rsidRPr="007E0FE7" w14:paraId="4426ABA6" w14:textId="6F99FCFF" w:rsidTr="007E0FE7">
        <w:tc>
          <w:tcPr>
            <w:tcW w:w="3261" w:type="dxa"/>
            <w:vAlign w:val="center"/>
          </w:tcPr>
          <w:p w14:paraId="4683546C" w14:textId="530CE24A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 w:rsidRPr="007E0FE7">
              <w:rPr>
                <w:rFonts w:hint="eastAsia"/>
                <w:szCs w:val="21"/>
              </w:rPr>
              <w:t>在建工程减值损失</w:t>
            </w:r>
          </w:p>
        </w:tc>
        <w:tc>
          <w:tcPr>
            <w:tcW w:w="1701" w:type="dxa"/>
            <w:vAlign w:val="center"/>
          </w:tcPr>
          <w:p w14:paraId="374A9AF0" w14:textId="3523786D" w:rsidR="00C10CEE" w:rsidRPr="007E0FE7" w:rsidRDefault="00C10CEE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E0FE7">
              <w:rPr>
                <w:rFonts w:hint="eastAsia"/>
                <w:szCs w:val="21"/>
              </w:rPr>
              <w:t>2</w:t>
            </w:r>
            <w:r w:rsidRPr="007E0FE7">
              <w:rPr>
                <w:szCs w:val="21"/>
              </w:rPr>
              <w:t>1,581.36</w:t>
            </w:r>
          </w:p>
        </w:tc>
        <w:tc>
          <w:tcPr>
            <w:tcW w:w="4252" w:type="dxa"/>
          </w:tcPr>
          <w:p w14:paraId="018BBC2D" w14:textId="3391FF46" w:rsidR="00C10CEE" w:rsidRPr="007E0FE7" w:rsidRDefault="006C1F94" w:rsidP="007E0FE7">
            <w:pPr>
              <w:tabs>
                <w:tab w:val="num" w:pos="1500"/>
              </w:tabs>
              <w:spacing w:line="360" w:lineRule="auto"/>
              <w:jc w:val="left"/>
              <w:rPr>
                <w:szCs w:val="21"/>
              </w:rPr>
            </w:pPr>
            <w:r w:rsidRPr="007E0FE7">
              <w:rPr>
                <w:rFonts w:hint="eastAsia"/>
                <w:szCs w:val="21"/>
              </w:rPr>
              <w:t>市场环境发生变化</w:t>
            </w:r>
            <w:r w:rsidR="007B2DFE">
              <w:rPr>
                <w:rFonts w:hint="eastAsia"/>
                <w:szCs w:val="21"/>
              </w:rPr>
              <w:t>，</w:t>
            </w:r>
            <w:r w:rsidR="007B2DFE" w:rsidRPr="007E0FE7">
              <w:rPr>
                <w:rFonts w:hint="eastAsia"/>
                <w:szCs w:val="21"/>
              </w:rPr>
              <w:t>调试未达预期</w:t>
            </w:r>
            <w:r w:rsidR="007B2DFE">
              <w:rPr>
                <w:rFonts w:hint="eastAsia"/>
                <w:szCs w:val="21"/>
              </w:rPr>
              <w:t>。</w:t>
            </w:r>
          </w:p>
        </w:tc>
      </w:tr>
      <w:tr w:rsidR="00C10CEE" w:rsidRPr="007E0FE7" w14:paraId="35DD9613" w14:textId="68BEAF6F" w:rsidTr="007E0FE7">
        <w:tc>
          <w:tcPr>
            <w:tcW w:w="3261" w:type="dxa"/>
            <w:vAlign w:val="center"/>
          </w:tcPr>
          <w:p w14:paraId="478A8B36" w14:textId="12F0F348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szCs w:val="21"/>
              </w:rPr>
            </w:pPr>
            <w:r w:rsidRPr="007E0FE7">
              <w:rPr>
                <w:rFonts w:hint="eastAsia"/>
                <w:szCs w:val="21"/>
              </w:rPr>
              <w:lastRenderedPageBreak/>
              <w:t>长期股权投资减值损失</w:t>
            </w:r>
          </w:p>
        </w:tc>
        <w:tc>
          <w:tcPr>
            <w:tcW w:w="1701" w:type="dxa"/>
            <w:vAlign w:val="center"/>
          </w:tcPr>
          <w:p w14:paraId="290B6991" w14:textId="35FBE1FA" w:rsidR="00C10CEE" w:rsidRPr="007E0FE7" w:rsidRDefault="00C10CEE" w:rsidP="00C77DF7">
            <w:pPr>
              <w:tabs>
                <w:tab w:val="num" w:pos="1500"/>
              </w:tabs>
              <w:spacing w:line="360" w:lineRule="auto"/>
              <w:jc w:val="center"/>
              <w:rPr>
                <w:szCs w:val="21"/>
              </w:rPr>
            </w:pPr>
            <w:r w:rsidRPr="007E0FE7">
              <w:rPr>
                <w:szCs w:val="21"/>
              </w:rPr>
              <w:t>1</w:t>
            </w:r>
            <w:r w:rsidRPr="007E0FE7">
              <w:rPr>
                <w:rFonts w:hint="eastAsia"/>
                <w:szCs w:val="21"/>
              </w:rPr>
              <w:t>,</w:t>
            </w:r>
            <w:r w:rsidRPr="007E0FE7">
              <w:rPr>
                <w:szCs w:val="21"/>
              </w:rPr>
              <w:t>391.81</w:t>
            </w:r>
          </w:p>
        </w:tc>
        <w:tc>
          <w:tcPr>
            <w:tcW w:w="4252" w:type="dxa"/>
          </w:tcPr>
          <w:p w14:paraId="765D3227" w14:textId="588A9087" w:rsidR="00C10CEE" w:rsidRPr="007E0FE7" w:rsidRDefault="006C1F94" w:rsidP="007E0FE7">
            <w:pPr>
              <w:tabs>
                <w:tab w:val="num" w:pos="1500"/>
              </w:tabs>
              <w:spacing w:line="360" w:lineRule="auto"/>
              <w:jc w:val="left"/>
              <w:rPr>
                <w:szCs w:val="21"/>
              </w:rPr>
            </w:pPr>
            <w:r w:rsidRPr="007E0FE7">
              <w:rPr>
                <w:rFonts w:hint="eastAsia"/>
                <w:szCs w:val="21"/>
              </w:rPr>
              <w:t>参股公司已资不抵债</w:t>
            </w:r>
          </w:p>
        </w:tc>
      </w:tr>
      <w:tr w:rsidR="00C10CEE" w:rsidRPr="007E0FE7" w14:paraId="6AC4694A" w14:textId="7059FEFF" w:rsidTr="007E0FE7">
        <w:tc>
          <w:tcPr>
            <w:tcW w:w="3261" w:type="dxa"/>
            <w:vAlign w:val="center"/>
          </w:tcPr>
          <w:p w14:paraId="4945E9CC" w14:textId="1C1FF524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E0FE7">
              <w:rPr>
                <w:rFonts w:hint="eastAsia"/>
                <w:szCs w:val="21"/>
              </w:rPr>
              <w:t>信用减值损失</w:t>
            </w:r>
          </w:p>
        </w:tc>
        <w:tc>
          <w:tcPr>
            <w:tcW w:w="1701" w:type="dxa"/>
            <w:vAlign w:val="center"/>
          </w:tcPr>
          <w:p w14:paraId="1A272508" w14:textId="7C28F1F6" w:rsidR="00C10CEE" w:rsidRPr="007E0FE7" w:rsidRDefault="00C10CEE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0FE7">
              <w:rPr>
                <w:szCs w:val="21"/>
              </w:rPr>
              <w:t>56,252.40</w:t>
            </w:r>
          </w:p>
        </w:tc>
        <w:tc>
          <w:tcPr>
            <w:tcW w:w="4252" w:type="dxa"/>
          </w:tcPr>
          <w:p w14:paraId="47986E27" w14:textId="09826683" w:rsidR="00C10CEE" w:rsidRPr="007E0FE7" w:rsidRDefault="007B2DFE" w:rsidP="007B2DFE">
            <w:pPr>
              <w:tabs>
                <w:tab w:val="num" w:pos="150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  <w:tr w:rsidR="00C10CEE" w:rsidRPr="007E0FE7" w14:paraId="6084506E" w14:textId="3DC6AF33" w:rsidTr="007E0FE7">
        <w:tc>
          <w:tcPr>
            <w:tcW w:w="3261" w:type="dxa"/>
          </w:tcPr>
          <w:p w14:paraId="0CF02385" w14:textId="186A4632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1701" w:type="dxa"/>
          </w:tcPr>
          <w:p w14:paraId="738F6E38" w14:textId="168EFADE" w:rsidR="00C10CEE" w:rsidRPr="007E0FE7" w:rsidRDefault="00C10CEE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E0FE7">
              <w:rPr>
                <w:rFonts w:asciiTheme="minorEastAsia" w:eastAsiaTheme="minorEastAsia" w:hAnsiTheme="minorEastAsia" w:hint="eastAsia"/>
                <w:b/>
                <w:szCs w:val="21"/>
              </w:rPr>
              <w:fldChar w:fldCharType="begin"/>
            </w:r>
            <w:r w:rsidRPr="007E0FE7">
              <w:rPr>
                <w:rFonts w:asciiTheme="minorEastAsia" w:eastAsiaTheme="minorEastAsia" w:hAnsiTheme="minorEastAsia" w:hint="eastAsia"/>
                <w:b/>
                <w:szCs w:val="21"/>
              </w:rPr>
              <w:instrText xml:space="preserve"> =SUM(ABOVE) </w:instrText>
            </w:r>
            <w:r w:rsidRPr="007E0FE7">
              <w:rPr>
                <w:rFonts w:asciiTheme="minorEastAsia" w:eastAsiaTheme="minorEastAsia" w:hAnsiTheme="minorEastAsia" w:hint="eastAsia"/>
                <w:b/>
                <w:szCs w:val="21"/>
              </w:rPr>
              <w:fldChar w:fldCharType="separate"/>
            </w:r>
            <w:r w:rsidRPr="007E0FE7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14</w:t>
            </w:r>
            <w:r w:rsidRPr="007E0FE7">
              <w:rPr>
                <w:rFonts w:asciiTheme="minorEastAsia" w:eastAsiaTheme="minorEastAsia" w:hAnsiTheme="minorEastAsia"/>
                <w:b/>
                <w:noProof/>
                <w:szCs w:val="21"/>
              </w:rPr>
              <w:t>5</w:t>
            </w:r>
            <w:r w:rsidRPr="007E0FE7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,</w:t>
            </w:r>
            <w:r w:rsidRPr="007E0FE7">
              <w:rPr>
                <w:rFonts w:asciiTheme="minorEastAsia" w:eastAsiaTheme="minorEastAsia" w:hAnsiTheme="minorEastAsia"/>
                <w:b/>
                <w:noProof/>
                <w:szCs w:val="21"/>
              </w:rPr>
              <w:t>241</w:t>
            </w:r>
            <w:r w:rsidRPr="007E0FE7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.</w:t>
            </w:r>
            <w:r w:rsidRPr="007E0FE7">
              <w:rPr>
                <w:rFonts w:asciiTheme="minorEastAsia" w:eastAsiaTheme="minorEastAsia" w:hAnsiTheme="minorEastAsia"/>
                <w:b/>
                <w:noProof/>
                <w:szCs w:val="21"/>
              </w:rPr>
              <w:t>29</w:t>
            </w:r>
            <w:r w:rsidRPr="007E0FE7">
              <w:rPr>
                <w:rFonts w:asciiTheme="minorEastAsia" w:eastAsiaTheme="minorEastAsia" w:hAnsiTheme="minorEastAsia" w:hint="eastAsia"/>
                <w:b/>
                <w:szCs w:val="21"/>
              </w:rPr>
              <w:fldChar w:fldCharType="end"/>
            </w:r>
          </w:p>
        </w:tc>
        <w:tc>
          <w:tcPr>
            <w:tcW w:w="4252" w:type="dxa"/>
          </w:tcPr>
          <w:p w14:paraId="0A3C19FD" w14:textId="03533F78" w:rsidR="00C10CEE" w:rsidRPr="007E0FE7" w:rsidRDefault="007E0FE7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</w:tr>
    </w:tbl>
    <w:p w14:paraId="205BA159" w14:textId="0AF9D23D" w:rsidR="00FE55D8" w:rsidRPr="007E0FE7" w:rsidRDefault="00697678" w:rsidP="00C40CA8">
      <w:pPr>
        <w:spacing w:line="360" w:lineRule="auto"/>
        <w:ind w:firstLineChars="200" w:firstLine="420"/>
        <w:rPr>
          <w:rStyle w:val="fontstyle01"/>
          <w:rFonts w:asciiTheme="minorEastAsia" w:eastAsiaTheme="minorEastAsia" w:hAnsiTheme="minorEastAsia" w:hint="default"/>
          <w:sz w:val="21"/>
          <w:szCs w:val="21"/>
        </w:rPr>
      </w:pPr>
      <w:r w:rsidRPr="007E0FE7">
        <w:rPr>
          <w:rStyle w:val="fontstyle01"/>
          <w:rFonts w:asciiTheme="minorEastAsia" w:eastAsiaTheme="minorEastAsia" w:hAnsiTheme="minorEastAsia" w:hint="default"/>
          <w:sz w:val="21"/>
          <w:szCs w:val="21"/>
        </w:rPr>
        <w:t>注：尾数差异系小数点四舍五入造成。</w:t>
      </w:r>
    </w:p>
    <w:p w14:paraId="3FB9708D" w14:textId="5C93777B" w:rsidR="00801706" w:rsidRDefault="00801706" w:rsidP="00FE55D8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（</w:t>
      </w: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二</w:t>
      </w: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）</w:t>
      </w: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核销资产情况</w:t>
      </w:r>
      <w:bookmarkStart w:id="0" w:name="_GoBack"/>
      <w:bookmarkEnd w:id="0"/>
    </w:p>
    <w:p w14:paraId="479927CB" w14:textId="1CE2F27A" w:rsidR="00FE55D8" w:rsidRDefault="00D05162" w:rsidP="0032452B">
      <w:pPr>
        <w:spacing w:beforeLines="50" w:before="156" w:afterLines="50" w:after="156" w:line="360" w:lineRule="auto"/>
        <w:ind w:firstLineChars="200" w:firstLine="480"/>
        <w:rPr>
          <w:sz w:val="24"/>
          <w:szCs w:val="21"/>
        </w:rPr>
      </w:pPr>
      <w:r w:rsidRPr="00D05162">
        <w:rPr>
          <w:rFonts w:hint="eastAsia"/>
          <w:sz w:val="24"/>
          <w:szCs w:val="21"/>
        </w:rPr>
        <w:t>根据《企业会计准则》《深圳证券交易所股票上市规则》及公司会计政策等相关规定，为真实、准确地反映公司的财务状况和经营成果，有效防范和化解公司资产损失风险，公司对合并范围内各</w:t>
      </w:r>
      <w:r w:rsidRPr="00CD79BF">
        <w:rPr>
          <w:rFonts w:ascii="宋体" w:hAnsi="宋体" w:hint="eastAsia"/>
          <w:sz w:val="24"/>
          <w:szCs w:val="21"/>
        </w:rPr>
        <w:t>类资产截至2024年12月31日符合财务核销确认条件的经审慎核查后，核销应收账款5.</w:t>
      </w:r>
      <w:r w:rsidR="003412B2">
        <w:rPr>
          <w:rFonts w:ascii="宋体" w:hAnsi="宋体"/>
          <w:sz w:val="24"/>
          <w:szCs w:val="21"/>
        </w:rPr>
        <w:t>72</w:t>
      </w:r>
      <w:r w:rsidRPr="00CD79BF">
        <w:rPr>
          <w:rFonts w:ascii="宋体" w:hAnsi="宋体" w:hint="eastAsia"/>
          <w:sz w:val="24"/>
          <w:szCs w:val="21"/>
        </w:rPr>
        <w:t>亿元，核销其他应收款</w:t>
      </w:r>
      <w:r w:rsidR="003369D4" w:rsidRPr="00CD79BF">
        <w:rPr>
          <w:rFonts w:ascii="宋体" w:hAnsi="宋体"/>
          <w:sz w:val="24"/>
          <w:szCs w:val="21"/>
        </w:rPr>
        <w:t>20.</w:t>
      </w:r>
      <w:r w:rsidR="003412B2">
        <w:rPr>
          <w:rFonts w:ascii="宋体" w:hAnsi="宋体"/>
          <w:sz w:val="24"/>
          <w:szCs w:val="21"/>
        </w:rPr>
        <w:t>8</w:t>
      </w:r>
      <w:r w:rsidR="003369D4" w:rsidRPr="00CD79BF">
        <w:rPr>
          <w:rFonts w:ascii="宋体" w:hAnsi="宋体"/>
          <w:sz w:val="24"/>
          <w:szCs w:val="21"/>
        </w:rPr>
        <w:t>9</w:t>
      </w:r>
      <w:r w:rsidRPr="00CD79BF">
        <w:rPr>
          <w:rFonts w:ascii="宋体" w:hAnsi="宋体" w:hint="eastAsia"/>
          <w:sz w:val="24"/>
          <w:szCs w:val="21"/>
        </w:rPr>
        <w:t>亿元，合计金额</w:t>
      </w:r>
      <w:r w:rsidR="003369D4" w:rsidRPr="00CD79BF">
        <w:rPr>
          <w:rFonts w:ascii="宋体" w:hAnsi="宋体"/>
          <w:sz w:val="24"/>
          <w:szCs w:val="21"/>
        </w:rPr>
        <w:t>26.6</w:t>
      </w:r>
      <w:r w:rsidR="003412B2">
        <w:rPr>
          <w:rFonts w:ascii="宋体" w:hAnsi="宋体"/>
          <w:sz w:val="24"/>
          <w:szCs w:val="21"/>
        </w:rPr>
        <w:t>1</w:t>
      </w:r>
      <w:r w:rsidRPr="00CD79BF">
        <w:rPr>
          <w:rFonts w:ascii="宋体" w:hAnsi="宋体" w:hint="eastAsia"/>
          <w:sz w:val="24"/>
          <w:szCs w:val="21"/>
        </w:rPr>
        <w:t>亿元。本次核销应收账款的主要原因是：公司原大股东资金占用金额及已100%计提减值准备并已经过相关</w:t>
      </w:r>
      <w:r w:rsidRPr="00D05162">
        <w:rPr>
          <w:rFonts w:hint="eastAsia"/>
          <w:sz w:val="24"/>
          <w:szCs w:val="21"/>
        </w:rPr>
        <w:t>程序确认无法回收的金额。本次核销后，公司对前述款项仍保留继续追索的权利。</w:t>
      </w:r>
    </w:p>
    <w:p w14:paraId="62CF8C0D" w14:textId="71BF0113" w:rsidR="00506182" w:rsidRPr="0032452B" w:rsidRDefault="00D74840" w:rsidP="0032452B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二、</w:t>
      </w:r>
      <w:r w:rsidR="0032452B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本次</w:t>
      </w:r>
      <w:r w:rsidR="005839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计提</w:t>
      </w:r>
      <w:r w:rsidR="00084452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各类</w:t>
      </w:r>
      <w:r w:rsidR="005839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资产减值准备</w:t>
      </w:r>
      <w:r w:rsidR="00084452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及核销资产</w:t>
      </w:r>
      <w:r w:rsidR="00506182" w:rsidRPr="0032452B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对公司的影响</w:t>
      </w:r>
    </w:p>
    <w:p w14:paraId="4F3CB333" w14:textId="77817016" w:rsidR="00506182" w:rsidRPr="00934747" w:rsidRDefault="00D21FF1" w:rsidP="00506182">
      <w:pPr>
        <w:spacing w:line="360" w:lineRule="auto"/>
        <w:ind w:firstLine="420"/>
        <w:rPr>
          <w:rStyle w:val="fontstyle01"/>
          <w:rFonts w:hint="default"/>
          <w:sz w:val="24"/>
        </w:rPr>
      </w:pPr>
      <w:r w:rsidRPr="00D82711">
        <w:rPr>
          <w:rStyle w:val="fontstyle01"/>
          <w:rFonts w:hint="default"/>
          <w:sz w:val="24"/>
        </w:rPr>
        <w:t>本期</w:t>
      </w:r>
      <w:r w:rsidR="00B400D2" w:rsidRPr="00D82711">
        <w:rPr>
          <w:rStyle w:val="fontstyle01"/>
          <w:rFonts w:hint="default"/>
          <w:sz w:val="24"/>
        </w:rPr>
        <w:t>计提</w:t>
      </w:r>
      <w:r w:rsidR="00084452">
        <w:rPr>
          <w:rStyle w:val="fontstyle01"/>
          <w:rFonts w:hint="default"/>
          <w:sz w:val="24"/>
        </w:rPr>
        <w:t>各类</w:t>
      </w:r>
      <w:r w:rsidR="00555FE5" w:rsidRPr="00555FE5">
        <w:rPr>
          <w:rStyle w:val="fontstyle01"/>
          <w:rFonts w:hint="default"/>
          <w:sz w:val="24"/>
        </w:rPr>
        <w:t>资产减值准备</w:t>
      </w:r>
      <w:r w:rsidR="00084452">
        <w:rPr>
          <w:rStyle w:val="fontstyle01"/>
          <w:rFonts w:hint="default"/>
          <w:sz w:val="24"/>
        </w:rPr>
        <w:t>及核销资产</w:t>
      </w:r>
      <w:r w:rsidR="00B400D2" w:rsidRPr="00D82711">
        <w:rPr>
          <w:rStyle w:val="fontstyle01"/>
          <w:rFonts w:hint="default"/>
          <w:sz w:val="24"/>
        </w:rPr>
        <w:t>导</w:t>
      </w:r>
      <w:r w:rsidR="00B400D2" w:rsidRPr="00934747">
        <w:rPr>
          <w:rStyle w:val="fontstyle01"/>
          <w:rFonts w:hint="default"/>
          <w:sz w:val="24"/>
        </w:rPr>
        <w:t>致</w:t>
      </w:r>
      <w:r w:rsidR="0058395F">
        <w:rPr>
          <w:rStyle w:val="fontstyle01"/>
          <w:rFonts w:hint="default"/>
          <w:sz w:val="24"/>
        </w:rPr>
        <w:t>2024</w:t>
      </w:r>
      <w:r w:rsidR="00B400D2" w:rsidRPr="00934747">
        <w:rPr>
          <w:rStyle w:val="fontstyle01"/>
          <w:rFonts w:hint="default"/>
          <w:sz w:val="24"/>
        </w:rPr>
        <w:t>年度归属上市公司股东净</w:t>
      </w:r>
      <w:r w:rsidR="00B400D2" w:rsidRPr="00870282">
        <w:rPr>
          <w:rStyle w:val="fontstyle01"/>
          <w:rFonts w:hint="default"/>
          <w:sz w:val="24"/>
        </w:rPr>
        <w:t>利润减少</w:t>
      </w:r>
      <w:r w:rsidR="00100E43" w:rsidRPr="00100E43">
        <w:rPr>
          <w:rStyle w:val="fontstyle01"/>
          <w:rFonts w:hint="default"/>
          <w:sz w:val="24"/>
        </w:rPr>
        <w:t>14.51</w:t>
      </w:r>
      <w:r w:rsidR="00A15B43" w:rsidRPr="00100E43">
        <w:rPr>
          <w:rStyle w:val="fontstyle01"/>
          <w:rFonts w:hint="default"/>
          <w:sz w:val="24"/>
        </w:rPr>
        <w:t>亿</w:t>
      </w:r>
      <w:r w:rsidR="00B400D2" w:rsidRPr="00100E43">
        <w:rPr>
          <w:rStyle w:val="fontstyle01"/>
          <w:rFonts w:hint="default"/>
          <w:sz w:val="24"/>
        </w:rPr>
        <w:t>元，</w:t>
      </w:r>
      <w:r w:rsidR="0058395F" w:rsidRPr="00100E43">
        <w:rPr>
          <w:rStyle w:val="fontstyle01"/>
          <w:rFonts w:hint="default"/>
          <w:sz w:val="24"/>
        </w:rPr>
        <w:t>2024</w:t>
      </w:r>
      <w:r w:rsidR="00B400D2" w:rsidRPr="00100E43">
        <w:rPr>
          <w:rStyle w:val="fontstyle01"/>
          <w:rFonts w:hint="default"/>
          <w:sz w:val="24"/>
        </w:rPr>
        <w:t>年末所有者权益</w:t>
      </w:r>
      <w:r w:rsidR="00555FE5" w:rsidRPr="00100E43">
        <w:rPr>
          <w:rStyle w:val="fontstyle01"/>
          <w:rFonts w:hint="default"/>
          <w:sz w:val="24"/>
        </w:rPr>
        <w:t>减少</w:t>
      </w:r>
      <w:r w:rsidR="00100E43" w:rsidRPr="00100E43">
        <w:rPr>
          <w:rStyle w:val="fontstyle01"/>
          <w:rFonts w:hint="default"/>
          <w:sz w:val="24"/>
        </w:rPr>
        <w:t>14.51</w:t>
      </w:r>
      <w:r w:rsidR="00A15B43" w:rsidRPr="00100E43">
        <w:rPr>
          <w:rStyle w:val="fontstyle01"/>
          <w:rFonts w:hint="default"/>
          <w:sz w:val="24"/>
        </w:rPr>
        <w:t>亿</w:t>
      </w:r>
      <w:r w:rsidR="00A5792C" w:rsidRPr="00100E43">
        <w:rPr>
          <w:rStyle w:val="fontstyle01"/>
          <w:rFonts w:hint="default"/>
          <w:sz w:val="24"/>
        </w:rPr>
        <w:t>元</w:t>
      </w:r>
      <w:r w:rsidR="00B400D2" w:rsidRPr="00870282">
        <w:rPr>
          <w:rStyle w:val="fontstyle01"/>
          <w:rFonts w:hint="default"/>
          <w:sz w:val="24"/>
        </w:rPr>
        <w:t>，均已体</w:t>
      </w:r>
      <w:r w:rsidR="00B400D2" w:rsidRPr="00304C91">
        <w:rPr>
          <w:rStyle w:val="fontstyle01"/>
          <w:rFonts w:hint="default"/>
          <w:sz w:val="24"/>
        </w:rPr>
        <w:t>现在公司</w:t>
      </w:r>
      <w:r w:rsidR="0058395F">
        <w:rPr>
          <w:rStyle w:val="fontstyle01"/>
          <w:rFonts w:hint="default"/>
          <w:sz w:val="24"/>
        </w:rPr>
        <w:t>2024</w:t>
      </w:r>
      <w:r w:rsidR="00E74FC2">
        <w:rPr>
          <w:rStyle w:val="fontstyle01"/>
          <w:rFonts w:hint="default"/>
          <w:sz w:val="24"/>
        </w:rPr>
        <w:t>年度财务报告中，</w:t>
      </w:r>
      <w:r w:rsidR="00B400D2">
        <w:rPr>
          <w:rStyle w:val="fontstyle01"/>
          <w:rFonts w:hint="default"/>
          <w:sz w:val="24"/>
        </w:rPr>
        <w:t>符合</w:t>
      </w:r>
      <w:r w:rsidR="00716591">
        <w:rPr>
          <w:rStyle w:val="fontstyle01"/>
          <w:rFonts w:hint="default"/>
          <w:sz w:val="24"/>
        </w:rPr>
        <w:t>《</w:t>
      </w:r>
      <w:r w:rsidR="00B400D2">
        <w:rPr>
          <w:rStyle w:val="fontstyle01"/>
          <w:rFonts w:hint="default"/>
          <w:sz w:val="24"/>
        </w:rPr>
        <w:t>企业会计准则</w:t>
      </w:r>
      <w:r w:rsidR="00716591">
        <w:rPr>
          <w:rStyle w:val="fontstyle01"/>
          <w:rFonts w:hint="default"/>
          <w:sz w:val="24"/>
        </w:rPr>
        <w:t>》</w:t>
      </w:r>
      <w:r w:rsidR="00B400D2">
        <w:rPr>
          <w:rStyle w:val="fontstyle01"/>
          <w:rFonts w:hint="default"/>
          <w:sz w:val="24"/>
        </w:rPr>
        <w:t>和公司制度</w:t>
      </w:r>
      <w:r w:rsidR="00001F5D">
        <w:rPr>
          <w:rStyle w:val="fontstyle01"/>
          <w:rFonts w:hint="default"/>
          <w:sz w:val="24"/>
        </w:rPr>
        <w:t>等相关规定，符合谨慎性原则，从公司</w:t>
      </w:r>
      <w:r w:rsidR="00506182" w:rsidRPr="00934747">
        <w:rPr>
          <w:rStyle w:val="fontstyle01"/>
          <w:rFonts w:hint="default"/>
          <w:sz w:val="24"/>
        </w:rPr>
        <w:t>的实际情况</w:t>
      </w:r>
      <w:r w:rsidR="00001F5D">
        <w:rPr>
          <w:rStyle w:val="fontstyle01"/>
          <w:rFonts w:hint="default"/>
          <w:sz w:val="24"/>
        </w:rPr>
        <w:t>考虑</w:t>
      </w:r>
      <w:r w:rsidR="00506182" w:rsidRPr="00934747">
        <w:rPr>
          <w:rStyle w:val="fontstyle01"/>
          <w:rFonts w:hint="default"/>
          <w:sz w:val="24"/>
        </w:rPr>
        <w:t>，能够更加公允</w:t>
      </w:r>
      <w:r w:rsidR="00001F5D">
        <w:rPr>
          <w:rStyle w:val="fontstyle01"/>
          <w:rFonts w:hint="default"/>
          <w:sz w:val="24"/>
        </w:rPr>
        <w:t>、客观、真实地反映</w:t>
      </w:r>
      <w:r w:rsidR="0058395F">
        <w:rPr>
          <w:rStyle w:val="fontstyle01"/>
          <w:rFonts w:hint="default"/>
          <w:sz w:val="24"/>
        </w:rPr>
        <w:t>2024</w:t>
      </w:r>
      <w:r w:rsidR="00001F5D">
        <w:rPr>
          <w:rStyle w:val="fontstyle01"/>
          <w:rFonts w:hint="default"/>
          <w:sz w:val="24"/>
        </w:rPr>
        <w:t>年度公司资产状况和经营情况</w:t>
      </w:r>
      <w:r w:rsidR="00506182" w:rsidRPr="00934747">
        <w:rPr>
          <w:rStyle w:val="fontstyle01"/>
          <w:rFonts w:hint="default"/>
          <w:sz w:val="24"/>
        </w:rPr>
        <w:t>。</w:t>
      </w:r>
    </w:p>
    <w:p w14:paraId="2C03499D" w14:textId="2A71CE4B" w:rsidR="00621D7F" w:rsidRPr="008873B0" w:rsidRDefault="0038017F" w:rsidP="00621D7F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三</w:t>
      </w:r>
      <w:r w:rsidR="00A728DC" w:rsidRPr="0093474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、</w:t>
      </w:r>
      <w:r w:rsidR="00621D7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董事会审计委员会</w:t>
      </w:r>
      <w:r w:rsidR="007E0FE7" w:rsidRPr="007E0FE7">
        <w:rPr>
          <w:rFonts w:asciiTheme="minorEastAsia" w:eastAsiaTheme="minorEastAsia" w:hAnsiTheme="minorEastAsia"/>
          <w:b/>
          <w:color w:val="000000"/>
          <w:sz w:val="24"/>
        </w:rPr>
        <w:t>关于本次计提资产减值准备</w:t>
      </w:r>
      <w:r w:rsid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及核销资产</w:t>
      </w:r>
      <w:r w:rsidR="007E0FE7" w:rsidRPr="007E0FE7">
        <w:rPr>
          <w:rFonts w:asciiTheme="minorEastAsia" w:eastAsiaTheme="minorEastAsia" w:hAnsiTheme="minorEastAsia"/>
          <w:b/>
          <w:color w:val="000000"/>
          <w:sz w:val="24"/>
        </w:rPr>
        <w:t>的说明</w:t>
      </w:r>
    </w:p>
    <w:p w14:paraId="152BE8F3" w14:textId="79886BF1" w:rsidR="00621D7F" w:rsidRDefault="00621D7F" w:rsidP="00621D7F">
      <w:pPr>
        <w:widowControl/>
        <w:spacing w:beforeLines="50" w:before="156" w:afterLines="50" w:after="156" w:line="360" w:lineRule="auto"/>
        <w:ind w:firstLineChars="177" w:firstLine="425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58395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董事会审计委员会意见</w:t>
      </w:r>
      <w:r w:rsidRPr="008873B0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认为：</w:t>
      </w:r>
      <w:r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公司根据《企业会计准则》等相关规定，本次计提</w:t>
      </w:r>
      <w:r>
        <w:rPr>
          <w:rStyle w:val="fontstyle01"/>
          <w:rFonts w:hint="default"/>
          <w:sz w:val="24"/>
        </w:rPr>
        <w:t>各类</w:t>
      </w:r>
      <w:r w:rsidRPr="00555FE5">
        <w:rPr>
          <w:rStyle w:val="fontstyle01"/>
          <w:rFonts w:hint="default"/>
          <w:sz w:val="24"/>
        </w:rPr>
        <w:t>资产减值准备</w:t>
      </w:r>
      <w:r>
        <w:rPr>
          <w:rStyle w:val="fontstyle01"/>
          <w:rFonts w:hint="default"/>
          <w:sz w:val="24"/>
        </w:rPr>
        <w:t>及核销资产</w:t>
      </w:r>
      <w:r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事项遵循谨慎性、合理性原则，符合公司的实际情况。能够公允的反映截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至</w:t>
      </w:r>
      <w:r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4</w:t>
      </w:r>
      <w:r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年12月31日公司财务状况、资产价值及经营情况，使公司关于资产价值的会计信息更加真实可靠，更具合理性。</w:t>
      </w:r>
    </w:p>
    <w:p w14:paraId="53AE1F46" w14:textId="6B03EF08" w:rsidR="00A728DC" w:rsidRPr="00934747" w:rsidRDefault="00621D7F" w:rsidP="00984B3C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四、</w:t>
      </w:r>
      <w:r w:rsidR="00A728DC" w:rsidRPr="0093474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董事会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关于本次计提资产减值准备</w:t>
      </w:r>
      <w:r w:rsid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及核销资产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的说明</w:t>
      </w:r>
    </w:p>
    <w:p w14:paraId="3B58717A" w14:textId="41274E86" w:rsidR="00AE14C5" w:rsidRPr="00934747" w:rsidRDefault="00A728DC" w:rsidP="00135357">
      <w:pPr>
        <w:widowControl/>
        <w:spacing w:beforeLines="50" w:before="156" w:afterLines="50" w:after="156" w:line="360" w:lineRule="auto"/>
        <w:ind w:firstLineChars="227" w:firstLine="545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董事会认为：本次</w:t>
      </w:r>
      <w:r w:rsidR="006D1282" w:rsidRPr="00934747">
        <w:rPr>
          <w:rFonts w:asciiTheme="minorEastAsia" w:eastAsiaTheme="minorEastAsia" w:hAnsiTheme="minorEastAsia" w:hint="eastAsia"/>
          <w:sz w:val="24"/>
        </w:rPr>
        <w:t>计提</w:t>
      </w:r>
      <w:r w:rsidR="00084452">
        <w:rPr>
          <w:rStyle w:val="fontstyle01"/>
          <w:rFonts w:hint="default"/>
          <w:sz w:val="24"/>
        </w:rPr>
        <w:t>各类</w:t>
      </w:r>
      <w:r w:rsidR="00084452" w:rsidRPr="00555FE5">
        <w:rPr>
          <w:rStyle w:val="fontstyle01"/>
          <w:rFonts w:hint="default"/>
          <w:sz w:val="24"/>
        </w:rPr>
        <w:t>资产减值准备</w:t>
      </w:r>
      <w:r w:rsidR="00084452">
        <w:rPr>
          <w:rStyle w:val="fontstyle01"/>
          <w:rFonts w:hint="default"/>
          <w:sz w:val="24"/>
        </w:rPr>
        <w:t>及核销资产</w:t>
      </w:r>
      <w:r w:rsidR="00A825A5">
        <w:rPr>
          <w:rStyle w:val="fontstyle01"/>
          <w:rFonts w:hint="default"/>
          <w:sz w:val="24"/>
        </w:rPr>
        <w:t>事项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是根据公司资产的实际情况，按照《企业会计准则》和公司相关会计政策进行的</w:t>
      </w: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，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符合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谨慎性原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lastRenderedPageBreak/>
        <w:t>则，依据充分，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能够客观、公允地反映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截至</w:t>
      </w:r>
      <w:r w:rsidR="0058395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2024</w:t>
      </w:r>
      <w:r w:rsidR="00AE14C5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年12月31日公司财务状况、资产价值及经营</w:t>
      </w:r>
      <w:r w:rsidR="00AB1778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情况</w:t>
      </w:r>
      <w:r w:rsidR="00135357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。</w:t>
      </w:r>
    </w:p>
    <w:p w14:paraId="2DA3605A" w14:textId="10F5F34E" w:rsidR="00621D7F" w:rsidRPr="00C50706" w:rsidRDefault="00621D7F" w:rsidP="00621D7F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五</w:t>
      </w:r>
      <w:r w:rsidR="00A728DC" w:rsidRPr="008873B0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、</w:t>
      </w:r>
      <w:r w:rsidRPr="00C50706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监事会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关于本次计提资产减值准备</w:t>
      </w:r>
      <w:r w:rsid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及核销资产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的说明</w:t>
      </w:r>
    </w:p>
    <w:p w14:paraId="6FB431BD" w14:textId="69F199CC" w:rsidR="00621D7F" w:rsidRPr="00C50706" w:rsidRDefault="00621D7F" w:rsidP="00621D7F">
      <w:pPr>
        <w:widowControl/>
        <w:spacing w:beforeLines="50" w:before="156" w:afterLines="50" w:after="156" w:line="360" w:lineRule="auto"/>
        <w:ind w:firstLineChars="177" w:firstLine="425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监事会认为：本次</w:t>
      </w:r>
      <w:r w:rsidR="00883B4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计提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各类资产减值</w:t>
      </w:r>
      <w:r w:rsidR="00883B4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准备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及核销</w:t>
      </w:r>
      <w:r w:rsidR="00883B4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资产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事项是根据公司资产的实际情况，按照《企业会计准则》和公司相关会计政策进行的</w:t>
      </w: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，</w:t>
      </w: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符合谨慎性原则，依据充分，能够客观、公允地反映截至2024</w:t>
      </w: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年12月31日公司财务状况、资产价值及经营情况。</w:t>
      </w:r>
    </w:p>
    <w:p w14:paraId="510DD8A2" w14:textId="77777777" w:rsidR="00350CAB" w:rsidRDefault="00350CAB" w:rsidP="004C10DA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</w:p>
    <w:p w14:paraId="581C55F7" w14:textId="465BF68A" w:rsidR="006A2333" w:rsidRPr="00984B3C" w:rsidRDefault="006A2333" w:rsidP="004C10DA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984B3C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特此公告。</w:t>
      </w:r>
    </w:p>
    <w:p w14:paraId="521ACDDB" w14:textId="77777777" w:rsidR="00BB47C5" w:rsidRPr="00984B3C" w:rsidRDefault="00BB47C5" w:rsidP="004C10DA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</w:p>
    <w:p w14:paraId="69581E54" w14:textId="77777777" w:rsidR="006A2333" w:rsidRPr="00984B3C" w:rsidRDefault="006A2333" w:rsidP="004C10DA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984B3C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江苏中利集团股份有限公司董事会</w:t>
      </w:r>
    </w:p>
    <w:p w14:paraId="74905933" w14:textId="00BDB05E" w:rsidR="00425037" w:rsidRPr="00984B3C" w:rsidRDefault="0058395F" w:rsidP="002F3228">
      <w:pPr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2025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</w:t>
      </w:r>
      <w:r w:rsidR="002D15B5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4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月</w:t>
      </w:r>
      <w:r w:rsidR="00E8670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22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日</w:t>
      </w:r>
    </w:p>
    <w:sectPr w:rsidR="00425037" w:rsidRPr="00984B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A01E8" w14:textId="77777777" w:rsidR="00D32BF9" w:rsidRDefault="00D32BF9" w:rsidP="00365AAE">
      <w:r>
        <w:separator/>
      </w:r>
    </w:p>
  </w:endnote>
  <w:endnote w:type="continuationSeparator" w:id="0">
    <w:p w14:paraId="1027A81E" w14:textId="77777777" w:rsidR="00D32BF9" w:rsidRDefault="00D32BF9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8FC855" w14:textId="58AAFA63" w:rsidR="00B44234" w:rsidRDefault="00B4423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2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2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054BE8" w14:textId="77777777" w:rsidR="00B44234" w:rsidRDefault="00B44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95C1F" w14:textId="77777777" w:rsidR="00D32BF9" w:rsidRDefault="00D32BF9" w:rsidP="00365AAE">
      <w:r>
        <w:separator/>
      </w:r>
    </w:p>
  </w:footnote>
  <w:footnote w:type="continuationSeparator" w:id="0">
    <w:p w14:paraId="121CECAE" w14:textId="77777777" w:rsidR="00D32BF9" w:rsidRDefault="00D32BF9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5DF"/>
    <w:multiLevelType w:val="hybridMultilevel"/>
    <w:tmpl w:val="EC286464"/>
    <w:lvl w:ilvl="0" w:tplc="3498F9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6734C"/>
    <w:multiLevelType w:val="hybridMultilevel"/>
    <w:tmpl w:val="DCE4A9D8"/>
    <w:lvl w:ilvl="0" w:tplc="267CA8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2EE3D9F"/>
    <w:multiLevelType w:val="hybridMultilevel"/>
    <w:tmpl w:val="A1D4BE78"/>
    <w:lvl w:ilvl="0" w:tplc="7C125A4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33E0675"/>
    <w:multiLevelType w:val="hybridMultilevel"/>
    <w:tmpl w:val="AE5CB002"/>
    <w:lvl w:ilvl="0" w:tplc="E4EE4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92708"/>
    <w:multiLevelType w:val="hybridMultilevel"/>
    <w:tmpl w:val="E5C8AB8E"/>
    <w:lvl w:ilvl="0" w:tplc="25DCAF92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432A37"/>
    <w:multiLevelType w:val="hybridMultilevel"/>
    <w:tmpl w:val="3EA82448"/>
    <w:lvl w:ilvl="0" w:tplc="DEB2E5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73BB1A53"/>
    <w:multiLevelType w:val="hybridMultilevel"/>
    <w:tmpl w:val="089EE748"/>
    <w:lvl w:ilvl="0" w:tplc="9F9C98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3962CE"/>
    <w:multiLevelType w:val="hybridMultilevel"/>
    <w:tmpl w:val="970C10BC"/>
    <w:lvl w:ilvl="0" w:tplc="F190E924">
      <w:numFmt w:val="bullet"/>
      <w:lvlText w:val="-"/>
      <w:lvlJc w:val="left"/>
      <w:pPr>
        <w:ind w:left="46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CA17B16"/>
    <w:multiLevelType w:val="hybridMultilevel"/>
    <w:tmpl w:val="4A04F48E"/>
    <w:lvl w:ilvl="0" w:tplc="BA40A06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7"/>
  </w:num>
  <w:num w:numId="6">
    <w:abstractNumId w:val="18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2"/>
  </w:num>
  <w:num w:numId="12">
    <w:abstractNumId w:val="17"/>
  </w:num>
  <w:num w:numId="13">
    <w:abstractNumId w:val="16"/>
  </w:num>
  <w:num w:numId="14">
    <w:abstractNumId w:val="19"/>
  </w:num>
  <w:num w:numId="15">
    <w:abstractNumId w:val="3"/>
  </w:num>
  <w:num w:numId="16">
    <w:abstractNumId w:val="6"/>
  </w:num>
  <w:num w:numId="17">
    <w:abstractNumId w:val="9"/>
  </w:num>
  <w:num w:numId="18">
    <w:abstractNumId w:val="0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F5D"/>
    <w:rsid w:val="00002C7D"/>
    <w:rsid w:val="00010C63"/>
    <w:rsid w:val="00013D55"/>
    <w:rsid w:val="00023512"/>
    <w:rsid w:val="000250AB"/>
    <w:rsid w:val="00027DE7"/>
    <w:rsid w:val="0003162D"/>
    <w:rsid w:val="00033D76"/>
    <w:rsid w:val="0003425A"/>
    <w:rsid w:val="00042B92"/>
    <w:rsid w:val="000432B0"/>
    <w:rsid w:val="00043CD6"/>
    <w:rsid w:val="0004509A"/>
    <w:rsid w:val="000640E1"/>
    <w:rsid w:val="0007458A"/>
    <w:rsid w:val="00081FBE"/>
    <w:rsid w:val="00083194"/>
    <w:rsid w:val="00083A4B"/>
    <w:rsid w:val="00084452"/>
    <w:rsid w:val="00084B34"/>
    <w:rsid w:val="00092C07"/>
    <w:rsid w:val="000A03CD"/>
    <w:rsid w:val="000A54F9"/>
    <w:rsid w:val="000A5BC1"/>
    <w:rsid w:val="000B0A8F"/>
    <w:rsid w:val="000B40E7"/>
    <w:rsid w:val="000B5F0F"/>
    <w:rsid w:val="000B7639"/>
    <w:rsid w:val="000C294D"/>
    <w:rsid w:val="000C78A7"/>
    <w:rsid w:val="000C7A1F"/>
    <w:rsid w:val="000D093A"/>
    <w:rsid w:val="000D3ED4"/>
    <w:rsid w:val="000D63C8"/>
    <w:rsid w:val="000E1BB7"/>
    <w:rsid w:val="000E36CD"/>
    <w:rsid w:val="000E3C80"/>
    <w:rsid w:val="000E77A2"/>
    <w:rsid w:val="000E7B4E"/>
    <w:rsid w:val="000F02D8"/>
    <w:rsid w:val="000F0C41"/>
    <w:rsid w:val="000F1686"/>
    <w:rsid w:val="000F2A8F"/>
    <w:rsid w:val="000F6981"/>
    <w:rsid w:val="00100E43"/>
    <w:rsid w:val="00102E93"/>
    <w:rsid w:val="001079D0"/>
    <w:rsid w:val="00111582"/>
    <w:rsid w:val="00113E4C"/>
    <w:rsid w:val="00116A1D"/>
    <w:rsid w:val="00123252"/>
    <w:rsid w:val="00125ABF"/>
    <w:rsid w:val="001262AE"/>
    <w:rsid w:val="00135357"/>
    <w:rsid w:val="001353B4"/>
    <w:rsid w:val="00135B1D"/>
    <w:rsid w:val="00135DDD"/>
    <w:rsid w:val="0014218A"/>
    <w:rsid w:val="001424F2"/>
    <w:rsid w:val="0014430B"/>
    <w:rsid w:val="00147364"/>
    <w:rsid w:val="001560DE"/>
    <w:rsid w:val="0016031C"/>
    <w:rsid w:val="0017016D"/>
    <w:rsid w:val="0017044A"/>
    <w:rsid w:val="0017049B"/>
    <w:rsid w:val="00171252"/>
    <w:rsid w:val="00171377"/>
    <w:rsid w:val="00175239"/>
    <w:rsid w:val="00175CAA"/>
    <w:rsid w:val="00180456"/>
    <w:rsid w:val="00181D2A"/>
    <w:rsid w:val="00183995"/>
    <w:rsid w:val="00184D8F"/>
    <w:rsid w:val="00185894"/>
    <w:rsid w:val="00190275"/>
    <w:rsid w:val="001907FC"/>
    <w:rsid w:val="001975BA"/>
    <w:rsid w:val="001A042B"/>
    <w:rsid w:val="001A1A4D"/>
    <w:rsid w:val="001A2EA4"/>
    <w:rsid w:val="001A2F57"/>
    <w:rsid w:val="001A3FB8"/>
    <w:rsid w:val="001A5847"/>
    <w:rsid w:val="001A6D6C"/>
    <w:rsid w:val="001A717C"/>
    <w:rsid w:val="001A7602"/>
    <w:rsid w:val="001B07C8"/>
    <w:rsid w:val="001B6D91"/>
    <w:rsid w:val="001C204F"/>
    <w:rsid w:val="001C4D36"/>
    <w:rsid w:val="001C5F3F"/>
    <w:rsid w:val="001C7443"/>
    <w:rsid w:val="001D10D8"/>
    <w:rsid w:val="001D1A33"/>
    <w:rsid w:val="001D3541"/>
    <w:rsid w:val="001D6E0E"/>
    <w:rsid w:val="001D6FC5"/>
    <w:rsid w:val="001E4333"/>
    <w:rsid w:val="001F1160"/>
    <w:rsid w:val="001F3399"/>
    <w:rsid w:val="001F462A"/>
    <w:rsid w:val="0020292B"/>
    <w:rsid w:val="002042FC"/>
    <w:rsid w:val="0020589D"/>
    <w:rsid w:val="00206D30"/>
    <w:rsid w:val="00207A9E"/>
    <w:rsid w:val="00210D61"/>
    <w:rsid w:val="002128D3"/>
    <w:rsid w:val="00216D16"/>
    <w:rsid w:val="00220627"/>
    <w:rsid w:val="00223330"/>
    <w:rsid w:val="002253DA"/>
    <w:rsid w:val="00231B4B"/>
    <w:rsid w:val="00232EFA"/>
    <w:rsid w:val="00233725"/>
    <w:rsid w:val="002347DA"/>
    <w:rsid w:val="00242EDA"/>
    <w:rsid w:val="002447FC"/>
    <w:rsid w:val="00247C7C"/>
    <w:rsid w:val="00251CE4"/>
    <w:rsid w:val="00257D5F"/>
    <w:rsid w:val="00261488"/>
    <w:rsid w:val="00261F77"/>
    <w:rsid w:val="002628EC"/>
    <w:rsid w:val="00263AA3"/>
    <w:rsid w:val="00263CE1"/>
    <w:rsid w:val="002656AA"/>
    <w:rsid w:val="00265F49"/>
    <w:rsid w:val="002675C8"/>
    <w:rsid w:val="00267AE0"/>
    <w:rsid w:val="0027032A"/>
    <w:rsid w:val="00281706"/>
    <w:rsid w:val="00282651"/>
    <w:rsid w:val="00285A21"/>
    <w:rsid w:val="0028705D"/>
    <w:rsid w:val="0028775C"/>
    <w:rsid w:val="002959A1"/>
    <w:rsid w:val="00295F28"/>
    <w:rsid w:val="00296343"/>
    <w:rsid w:val="0029653C"/>
    <w:rsid w:val="00296B69"/>
    <w:rsid w:val="00297EAF"/>
    <w:rsid w:val="002A347E"/>
    <w:rsid w:val="002A49D3"/>
    <w:rsid w:val="002B57AC"/>
    <w:rsid w:val="002B5A13"/>
    <w:rsid w:val="002B7DB7"/>
    <w:rsid w:val="002C06A9"/>
    <w:rsid w:val="002C0D97"/>
    <w:rsid w:val="002C114A"/>
    <w:rsid w:val="002C1B5E"/>
    <w:rsid w:val="002C23A4"/>
    <w:rsid w:val="002C6A07"/>
    <w:rsid w:val="002C7DDE"/>
    <w:rsid w:val="002D1090"/>
    <w:rsid w:val="002D15B5"/>
    <w:rsid w:val="002D3F73"/>
    <w:rsid w:val="002D4238"/>
    <w:rsid w:val="002D49AE"/>
    <w:rsid w:val="002D6A76"/>
    <w:rsid w:val="002E10D4"/>
    <w:rsid w:val="002E2071"/>
    <w:rsid w:val="002E2DD4"/>
    <w:rsid w:val="002E2DF9"/>
    <w:rsid w:val="002E5615"/>
    <w:rsid w:val="002F0108"/>
    <w:rsid w:val="002F1BC5"/>
    <w:rsid w:val="002F3228"/>
    <w:rsid w:val="002F4803"/>
    <w:rsid w:val="002F5075"/>
    <w:rsid w:val="00302106"/>
    <w:rsid w:val="003036A5"/>
    <w:rsid w:val="00303963"/>
    <w:rsid w:val="00304C91"/>
    <w:rsid w:val="00306D2A"/>
    <w:rsid w:val="0031077F"/>
    <w:rsid w:val="00311383"/>
    <w:rsid w:val="003120B0"/>
    <w:rsid w:val="0031417B"/>
    <w:rsid w:val="00317191"/>
    <w:rsid w:val="00317A0D"/>
    <w:rsid w:val="00323C84"/>
    <w:rsid w:val="0032452B"/>
    <w:rsid w:val="003258CF"/>
    <w:rsid w:val="003263E3"/>
    <w:rsid w:val="003264EB"/>
    <w:rsid w:val="003303A2"/>
    <w:rsid w:val="00331F45"/>
    <w:rsid w:val="003328C8"/>
    <w:rsid w:val="003338F8"/>
    <w:rsid w:val="00333C15"/>
    <w:rsid w:val="003369D4"/>
    <w:rsid w:val="003412B2"/>
    <w:rsid w:val="003439C2"/>
    <w:rsid w:val="0035017A"/>
    <w:rsid w:val="003508B9"/>
    <w:rsid w:val="00350CAB"/>
    <w:rsid w:val="00350E8E"/>
    <w:rsid w:val="003600BD"/>
    <w:rsid w:val="00360D16"/>
    <w:rsid w:val="003612B2"/>
    <w:rsid w:val="00361439"/>
    <w:rsid w:val="00362D7F"/>
    <w:rsid w:val="00362EB3"/>
    <w:rsid w:val="00365AAE"/>
    <w:rsid w:val="003669F8"/>
    <w:rsid w:val="003717CB"/>
    <w:rsid w:val="0037269D"/>
    <w:rsid w:val="00372A34"/>
    <w:rsid w:val="003735E9"/>
    <w:rsid w:val="00376005"/>
    <w:rsid w:val="0038017F"/>
    <w:rsid w:val="003824C2"/>
    <w:rsid w:val="00382CF2"/>
    <w:rsid w:val="00383A17"/>
    <w:rsid w:val="003863B3"/>
    <w:rsid w:val="003872DB"/>
    <w:rsid w:val="00387427"/>
    <w:rsid w:val="00396590"/>
    <w:rsid w:val="00397A2B"/>
    <w:rsid w:val="003A21BD"/>
    <w:rsid w:val="003A3252"/>
    <w:rsid w:val="003A63F5"/>
    <w:rsid w:val="003B1946"/>
    <w:rsid w:val="003B694E"/>
    <w:rsid w:val="003C06D2"/>
    <w:rsid w:val="003C26BE"/>
    <w:rsid w:val="003C37FD"/>
    <w:rsid w:val="003C4C47"/>
    <w:rsid w:val="003C50BC"/>
    <w:rsid w:val="003C66C1"/>
    <w:rsid w:val="003D3122"/>
    <w:rsid w:val="003D5D63"/>
    <w:rsid w:val="003D7408"/>
    <w:rsid w:val="003E00E0"/>
    <w:rsid w:val="003E12C3"/>
    <w:rsid w:val="003E3DBE"/>
    <w:rsid w:val="003E5D48"/>
    <w:rsid w:val="003E7506"/>
    <w:rsid w:val="003E7635"/>
    <w:rsid w:val="003F20BA"/>
    <w:rsid w:val="003F2578"/>
    <w:rsid w:val="003F514C"/>
    <w:rsid w:val="003F6060"/>
    <w:rsid w:val="003F686D"/>
    <w:rsid w:val="00400398"/>
    <w:rsid w:val="004019AF"/>
    <w:rsid w:val="00401EB8"/>
    <w:rsid w:val="00406CE2"/>
    <w:rsid w:val="004117E2"/>
    <w:rsid w:val="004146F9"/>
    <w:rsid w:val="00421674"/>
    <w:rsid w:val="00423E11"/>
    <w:rsid w:val="00424C8D"/>
    <w:rsid w:val="00425037"/>
    <w:rsid w:val="00431292"/>
    <w:rsid w:val="00432071"/>
    <w:rsid w:val="00433E2E"/>
    <w:rsid w:val="004364BA"/>
    <w:rsid w:val="0043709A"/>
    <w:rsid w:val="00452620"/>
    <w:rsid w:val="00455E72"/>
    <w:rsid w:val="00461993"/>
    <w:rsid w:val="004658F6"/>
    <w:rsid w:val="00465F50"/>
    <w:rsid w:val="00467DB6"/>
    <w:rsid w:val="0047792B"/>
    <w:rsid w:val="0048029E"/>
    <w:rsid w:val="0048043A"/>
    <w:rsid w:val="00483860"/>
    <w:rsid w:val="004854F1"/>
    <w:rsid w:val="0049187F"/>
    <w:rsid w:val="00493CF1"/>
    <w:rsid w:val="004945A9"/>
    <w:rsid w:val="00494CAA"/>
    <w:rsid w:val="00495D28"/>
    <w:rsid w:val="004A2250"/>
    <w:rsid w:val="004B5B71"/>
    <w:rsid w:val="004B6CA8"/>
    <w:rsid w:val="004B792E"/>
    <w:rsid w:val="004C10DA"/>
    <w:rsid w:val="004C45C2"/>
    <w:rsid w:val="004C4AC8"/>
    <w:rsid w:val="004C7109"/>
    <w:rsid w:val="004E0C71"/>
    <w:rsid w:val="004E1AD7"/>
    <w:rsid w:val="004E2052"/>
    <w:rsid w:val="004F41FE"/>
    <w:rsid w:val="004F568C"/>
    <w:rsid w:val="004F5C8A"/>
    <w:rsid w:val="004F7E42"/>
    <w:rsid w:val="0050135F"/>
    <w:rsid w:val="00502C45"/>
    <w:rsid w:val="00503EEC"/>
    <w:rsid w:val="00506182"/>
    <w:rsid w:val="00511442"/>
    <w:rsid w:val="005143AA"/>
    <w:rsid w:val="005170A2"/>
    <w:rsid w:val="00521719"/>
    <w:rsid w:val="00527F7D"/>
    <w:rsid w:val="00531DA8"/>
    <w:rsid w:val="00541F8A"/>
    <w:rsid w:val="00544418"/>
    <w:rsid w:val="00544B41"/>
    <w:rsid w:val="0055390F"/>
    <w:rsid w:val="00554347"/>
    <w:rsid w:val="00555D97"/>
    <w:rsid w:val="00555FE5"/>
    <w:rsid w:val="00557511"/>
    <w:rsid w:val="0056237D"/>
    <w:rsid w:val="0056257D"/>
    <w:rsid w:val="00563CB0"/>
    <w:rsid w:val="00565C2E"/>
    <w:rsid w:val="005734FD"/>
    <w:rsid w:val="0057398E"/>
    <w:rsid w:val="00573A22"/>
    <w:rsid w:val="00574161"/>
    <w:rsid w:val="00576526"/>
    <w:rsid w:val="005824BB"/>
    <w:rsid w:val="0058395F"/>
    <w:rsid w:val="00583A37"/>
    <w:rsid w:val="005856D8"/>
    <w:rsid w:val="00586BBC"/>
    <w:rsid w:val="00586C20"/>
    <w:rsid w:val="00587C53"/>
    <w:rsid w:val="005914AD"/>
    <w:rsid w:val="005922DC"/>
    <w:rsid w:val="00592612"/>
    <w:rsid w:val="00592C1A"/>
    <w:rsid w:val="005933BD"/>
    <w:rsid w:val="00596412"/>
    <w:rsid w:val="005A028A"/>
    <w:rsid w:val="005A1F32"/>
    <w:rsid w:val="005A329E"/>
    <w:rsid w:val="005A3806"/>
    <w:rsid w:val="005A6018"/>
    <w:rsid w:val="005A7801"/>
    <w:rsid w:val="005B015E"/>
    <w:rsid w:val="005C0ECE"/>
    <w:rsid w:val="005C2693"/>
    <w:rsid w:val="005C3043"/>
    <w:rsid w:val="005C5878"/>
    <w:rsid w:val="005C643A"/>
    <w:rsid w:val="005C6A4F"/>
    <w:rsid w:val="005C71C1"/>
    <w:rsid w:val="005D00DA"/>
    <w:rsid w:val="005D43E1"/>
    <w:rsid w:val="005D5267"/>
    <w:rsid w:val="005E0C1A"/>
    <w:rsid w:val="005E15CF"/>
    <w:rsid w:val="005E79A8"/>
    <w:rsid w:val="005F5FCB"/>
    <w:rsid w:val="005F6D86"/>
    <w:rsid w:val="0060503F"/>
    <w:rsid w:val="00606F1A"/>
    <w:rsid w:val="00613102"/>
    <w:rsid w:val="00614287"/>
    <w:rsid w:val="0061535A"/>
    <w:rsid w:val="0061664C"/>
    <w:rsid w:val="00621D7F"/>
    <w:rsid w:val="0062480B"/>
    <w:rsid w:val="0063103E"/>
    <w:rsid w:val="00631B8C"/>
    <w:rsid w:val="0063282F"/>
    <w:rsid w:val="00633034"/>
    <w:rsid w:val="00633B11"/>
    <w:rsid w:val="00634469"/>
    <w:rsid w:val="00640373"/>
    <w:rsid w:val="00643B05"/>
    <w:rsid w:val="00644570"/>
    <w:rsid w:val="006451DF"/>
    <w:rsid w:val="00646F3F"/>
    <w:rsid w:val="00651304"/>
    <w:rsid w:val="00651E1E"/>
    <w:rsid w:val="00655658"/>
    <w:rsid w:val="00655EA3"/>
    <w:rsid w:val="006571EA"/>
    <w:rsid w:val="0066063C"/>
    <w:rsid w:val="006651B8"/>
    <w:rsid w:val="00672AF9"/>
    <w:rsid w:val="00672D57"/>
    <w:rsid w:val="0068570B"/>
    <w:rsid w:val="00690238"/>
    <w:rsid w:val="00690297"/>
    <w:rsid w:val="006931A5"/>
    <w:rsid w:val="00697678"/>
    <w:rsid w:val="0069791A"/>
    <w:rsid w:val="006A0AAB"/>
    <w:rsid w:val="006A1BB6"/>
    <w:rsid w:val="006A2333"/>
    <w:rsid w:val="006A23F4"/>
    <w:rsid w:val="006B032A"/>
    <w:rsid w:val="006B5553"/>
    <w:rsid w:val="006B607D"/>
    <w:rsid w:val="006C151C"/>
    <w:rsid w:val="006C1F94"/>
    <w:rsid w:val="006C2579"/>
    <w:rsid w:val="006C4815"/>
    <w:rsid w:val="006C49AA"/>
    <w:rsid w:val="006D05E6"/>
    <w:rsid w:val="006D088A"/>
    <w:rsid w:val="006D094F"/>
    <w:rsid w:val="006D1282"/>
    <w:rsid w:val="006D25B5"/>
    <w:rsid w:val="006E00E2"/>
    <w:rsid w:val="006E49C3"/>
    <w:rsid w:val="006E5914"/>
    <w:rsid w:val="006F0D32"/>
    <w:rsid w:val="006F173C"/>
    <w:rsid w:val="006F217F"/>
    <w:rsid w:val="006F49DD"/>
    <w:rsid w:val="006F68E8"/>
    <w:rsid w:val="00702905"/>
    <w:rsid w:val="00703A1C"/>
    <w:rsid w:val="00704317"/>
    <w:rsid w:val="00704637"/>
    <w:rsid w:val="007107F7"/>
    <w:rsid w:val="00715BCC"/>
    <w:rsid w:val="00716150"/>
    <w:rsid w:val="00716591"/>
    <w:rsid w:val="00717013"/>
    <w:rsid w:val="007200D3"/>
    <w:rsid w:val="00722D1B"/>
    <w:rsid w:val="0072630A"/>
    <w:rsid w:val="00726997"/>
    <w:rsid w:val="00730DEB"/>
    <w:rsid w:val="00731D8F"/>
    <w:rsid w:val="00732B66"/>
    <w:rsid w:val="00742EC1"/>
    <w:rsid w:val="00743696"/>
    <w:rsid w:val="007545F2"/>
    <w:rsid w:val="00754E0D"/>
    <w:rsid w:val="0075521A"/>
    <w:rsid w:val="007558C5"/>
    <w:rsid w:val="00756C26"/>
    <w:rsid w:val="00761359"/>
    <w:rsid w:val="00762BF1"/>
    <w:rsid w:val="00763328"/>
    <w:rsid w:val="007647A4"/>
    <w:rsid w:val="0076630D"/>
    <w:rsid w:val="00766BB2"/>
    <w:rsid w:val="00771EE8"/>
    <w:rsid w:val="0078142F"/>
    <w:rsid w:val="007816EC"/>
    <w:rsid w:val="00784784"/>
    <w:rsid w:val="00785F83"/>
    <w:rsid w:val="00790360"/>
    <w:rsid w:val="00793B14"/>
    <w:rsid w:val="00795045"/>
    <w:rsid w:val="007950D7"/>
    <w:rsid w:val="007A17D9"/>
    <w:rsid w:val="007A2295"/>
    <w:rsid w:val="007A4512"/>
    <w:rsid w:val="007A47A8"/>
    <w:rsid w:val="007B0BB9"/>
    <w:rsid w:val="007B2DFE"/>
    <w:rsid w:val="007B4416"/>
    <w:rsid w:val="007B6A30"/>
    <w:rsid w:val="007C4CE6"/>
    <w:rsid w:val="007C5AE7"/>
    <w:rsid w:val="007C5E5F"/>
    <w:rsid w:val="007C5E99"/>
    <w:rsid w:val="007D792E"/>
    <w:rsid w:val="007E0625"/>
    <w:rsid w:val="007E0FE7"/>
    <w:rsid w:val="007E3E7E"/>
    <w:rsid w:val="007E433E"/>
    <w:rsid w:val="007E6771"/>
    <w:rsid w:val="007F0509"/>
    <w:rsid w:val="007F40E6"/>
    <w:rsid w:val="007F5D6B"/>
    <w:rsid w:val="007F77B6"/>
    <w:rsid w:val="007F7B88"/>
    <w:rsid w:val="00801706"/>
    <w:rsid w:val="008043E7"/>
    <w:rsid w:val="008054D5"/>
    <w:rsid w:val="0081125B"/>
    <w:rsid w:val="008119D5"/>
    <w:rsid w:val="008153EC"/>
    <w:rsid w:val="00817880"/>
    <w:rsid w:val="008217E8"/>
    <w:rsid w:val="00821965"/>
    <w:rsid w:val="00822AC4"/>
    <w:rsid w:val="008254F2"/>
    <w:rsid w:val="0082639B"/>
    <w:rsid w:val="00826B8E"/>
    <w:rsid w:val="00827C32"/>
    <w:rsid w:val="008342AD"/>
    <w:rsid w:val="008354FE"/>
    <w:rsid w:val="0083694D"/>
    <w:rsid w:val="00842494"/>
    <w:rsid w:val="00842B47"/>
    <w:rsid w:val="00843792"/>
    <w:rsid w:val="00844F81"/>
    <w:rsid w:val="00845B50"/>
    <w:rsid w:val="0085064B"/>
    <w:rsid w:val="00854E78"/>
    <w:rsid w:val="00855D81"/>
    <w:rsid w:val="00861738"/>
    <w:rsid w:val="00862308"/>
    <w:rsid w:val="00865D4B"/>
    <w:rsid w:val="00865D7F"/>
    <w:rsid w:val="00866007"/>
    <w:rsid w:val="00870282"/>
    <w:rsid w:val="0087270A"/>
    <w:rsid w:val="00873313"/>
    <w:rsid w:val="0087428D"/>
    <w:rsid w:val="00881A28"/>
    <w:rsid w:val="00883B48"/>
    <w:rsid w:val="008873B0"/>
    <w:rsid w:val="00891ACF"/>
    <w:rsid w:val="0089746C"/>
    <w:rsid w:val="008A0049"/>
    <w:rsid w:val="008A2701"/>
    <w:rsid w:val="008A30E5"/>
    <w:rsid w:val="008A4DBB"/>
    <w:rsid w:val="008A79C5"/>
    <w:rsid w:val="008B36F4"/>
    <w:rsid w:val="008B5FDF"/>
    <w:rsid w:val="008C0BC1"/>
    <w:rsid w:val="008C11A6"/>
    <w:rsid w:val="008C1DA1"/>
    <w:rsid w:val="008C5D05"/>
    <w:rsid w:val="008C5E4E"/>
    <w:rsid w:val="008C756F"/>
    <w:rsid w:val="008D0BFE"/>
    <w:rsid w:val="008D1D9F"/>
    <w:rsid w:val="008D278A"/>
    <w:rsid w:val="008D37C6"/>
    <w:rsid w:val="008E1EC2"/>
    <w:rsid w:val="008E3B54"/>
    <w:rsid w:val="008E3F8B"/>
    <w:rsid w:val="008F00D9"/>
    <w:rsid w:val="008F276B"/>
    <w:rsid w:val="00902319"/>
    <w:rsid w:val="00903D2B"/>
    <w:rsid w:val="009124B8"/>
    <w:rsid w:val="009148DF"/>
    <w:rsid w:val="00915875"/>
    <w:rsid w:val="009165A3"/>
    <w:rsid w:val="009176A0"/>
    <w:rsid w:val="009307B8"/>
    <w:rsid w:val="009311E9"/>
    <w:rsid w:val="00931494"/>
    <w:rsid w:val="00932D42"/>
    <w:rsid w:val="00933A7D"/>
    <w:rsid w:val="00934747"/>
    <w:rsid w:val="009358D7"/>
    <w:rsid w:val="00942048"/>
    <w:rsid w:val="00942C54"/>
    <w:rsid w:val="00943825"/>
    <w:rsid w:val="00943C83"/>
    <w:rsid w:val="00952504"/>
    <w:rsid w:val="00953A82"/>
    <w:rsid w:val="00956DF0"/>
    <w:rsid w:val="009570C5"/>
    <w:rsid w:val="0096220E"/>
    <w:rsid w:val="009632AF"/>
    <w:rsid w:val="00963B44"/>
    <w:rsid w:val="009661FE"/>
    <w:rsid w:val="009746CF"/>
    <w:rsid w:val="009747BF"/>
    <w:rsid w:val="00974BC8"/>
    <w:rsid w:val="00977E68"/>
    <w:rsid w:val="00984B3C"/>
    <w:rsid w:val="00985CB4"/>
    <w:rsid w:val="009940BC"/>
    <w:rsid w:val="009B1370"/>
    <w:rsid w:val="009B247E"/>
    <w:rsid w:val="009B7D8C"/>
    <w:rsid w:val="009C0924"/>
    <w:rsid w:val="009C319E"/>
    <w:rsid w:val="009C376C"/>
    <w:rsid w:val="009C3952"/>
    <w:rsid w:val="009C596C"/>
    <w:rsid w:val="009D0189"/>
    <w:rsid w:val="009D2F47"/>
    <w:rsid w:val="009D3440"/>
    <w:rsid w:val="009D52B6"/>
    <w:rsid w:val="009D7CB9"/>
    <w:rsid w:val="009E56D2"/>
    <w:rsid w:val="009E61F8"/>
    <w:rsid w:val="009E697C"/>
    <w:rsid w:val="009F14E6"/>
    <w:rsid w:val="009F5D3A"/>
    <w:rsid w:val="009F7C2C"/>
    <w:rsid w:val="009F7C3E"/>
    <w:rsid w:val="009F7D7F"/>
    <w:rsid w:val="00A015D6"/>
    <w:rsid w:val="00A05DD6"/>
    <w:rsid w:val="00A12A8E"/>
    <w:rsid w:val="00A15B43"/>
    <w:rsid w:val="00A24957"/>
    <w:rsid w:val="00A24BE8"/>
    <w:rsid w:val="00A26F28"/>
    <w:rsid w:val="00A3223A"/>
    <w:rsid w:val="00A37B87"/>
    <w:rsid w:val="00A4625A"/>
    <w:rsid w:val="00A46714"/>
    <w:rsid w:val="00A5096C"/>
    <w:rsid w:val="00A54BF0"/>
    <w:rsid w:val="00A54DB1"/>
    <w:rsid w:val="00A55448"/>
    <w:rsid w:val="00A55B49"/>
    <w:rsid w:val="00A56E2C"/>
    <w:rsid w:val="00A576F5"/>
    <w:rsid w:val="00A57793"/>
    <w:rsid w:val="00A5792C"/>
    <w:rsid w:val="00A60865"/>
    <w:rsid w:val="00A60A9D"/>
    <w:rsid w:val="00A65904"/>
    <w:rsid w:val="00A672E8"/>
    <w:rsid w:val="00A67636"/>
    <w:rsid w:val="00A67DC4"/>
    <w:rsid w:val="00A71C02"/>
    <w:rsid w:val="00A721AF"/>
    <w:rsid w:val="00A728DC"/>
    <w:rsid w:val="00A825A5"/>
    <w:rsid w:val="00A83D66"/>
    <w:rsid w:val="00A83E61"/>
    <w:rsid w:val="00A8477D"/>
    <w:rsid w:val="00A85130"/>
    <w:rsid w:val="00A85BB4"/>
    <w:rsid w:val="00A86A09"/>
    <w:rsid w:val="00A94669"/>
    <w:rsid w:val="00A94A44"/>
    <w:rsid w:val="00A9534D"/>
    <w:rsid w:val="00A96C4F"/>
    <w:rsid w:val="00A978B6"/>
    <w:rsid w:val="00A97ADF"/>
    <w:rsid w:val="00AA4149"/>
    <w:rsid w:val="00AA6E8A"/>
    <w:rsid w:val="00AB1778"/>
    <w:rsid w:val="00AB37C7"/>
    <w:rsid w:val="00AB487A"/>
    <w:rsid w:val="00AB4CC8"/>
    <w:rsid w:val="00AC2C52"/>
    <w:rsid w:val="00AC2D50"/>
    <w:rsid w:val="00AC3FBE"/>
    <w:rsid w:val="00AC5D0E"/>
    <w:rsid w:val="00AD1DBC"/>
    <w:rsid w:val="00AD39A9"/>
    <w:rsid w:val="00AD3AD2"/>
    <w:rsid w:val="00AE0AAF"/>
    <w:rsid w:val="00AE14C5"/>
    <w:rsid w:val="00AE1502"/>
    <w:rsid w:val="00AE4703"/>
    <w:rsid w:val="00AE6807"/>
    <w:rsid w:val="00AE740B"/>
    <w:rsid w:val="00AF0843"/>
    <w:rsid w:val="00AF1454"/>
    <w:rsid w:val="00AF1850"/>
    <w:rsid w:val="00AF3D51"/>
    <w:rsid w:val="00AF4062"/>
    <w:rsid w:val="00AF6EC1"/>
    <w:rsid w:val="00AF78DF"/>
    <w:rsid w:val="00B02168"/>
    <w:rsid w:val="00B10E94"/>
    <w:rsid w:val="00B15356"/>
    <w:rsid w:val="00B160FE"/>
    <w:rsid w:val="00B165BE"/>
    <w:rsid w:val="00B2269F"/>
    <w:rsid w:val="00B22DA7"/>
    <w:rsid w:val="00B26B6D"/>
    <w:rsid w:val="00B30E06"/>
    <w:rsid w:val="00B3519F"/>
    <w:rsid w:val="00B400D2"/>
    <w:rsid w:val="00B404E6"/>
    <w:rsid w:val="00B44234"/>
    <w:rsid w:val="00B44726"/>
    <w:rsid w:val="00B5048F"/>
    <w:rsid w:val="00B53151"/>
    <w:rsid w:val="00B54E54"/>
    <w:rsid w:val="00B5539B"/>
    <w:rsid w:val="00B605B4"/>
    <w:rsid w:val="00B614C1"/>
    <w:rsid w:val="00B65549"/>
    <w:rsid w:val="00B716EF"/>
    <w:rsid w:val="00B76143"/>
    <w:rsid w:val="00B77D58"/>
    <w:rsid w:val="00B841D4"/>
    <w:rsid w:val="00B864F9"/>
    <w:rsid w:val="00B911F6"/>
    <w:rsid w:val="00B92555"/>
    <w:rsid w:val="00BA7BF9"/>
    <w:rsid w:val="00BB3940"/>
    <w:rsid w:val="00BB47C5"/>
    <w:rsid w:val="00BC0112"/>
    <w:rsid w:val="00BC53B6"/>
    <w:rsid w:val="00BC67EB"/>
    <w:rsid w:val="00BC6EBF"/>
    <w:rsid w:val="00BC7643"/>
    <w:rsid w:val="00BD0220"/>
    <w:rsid w:val="00BD0B3F"/>
    <w:rsid w:val="00BD0BEB"/>
    <w:rsid w:val="00BD0EA3"/>
    <w:rsid w:val="00BD2A5E"/>
    <w:rsid w:val="00BD613A"/>
    <w:rsid w:val="00BD7067"/>
    <w:rsid w:val="00BD70F4"/>
    <w:rsid w:val="00BD71E3"/>
    <w:rsid w:val="00BE0D43"/>
    <w:rsid w:val="00BE140D"/>
    <w:rsid w:val="00BE5158"/>
    <w:rsid w:val="00BE5BA4"/>
    <w:rsid w:val="00BE5CD2"/>
    <w:rsid w:val="00BE7F4E"/>
    <w:rsid w:val="00BF178A"/>
    <w:rsid w:val="00BF24A9"/>
    <w:rsid w:val="00BF2A49"/>
    <w:rsid w:val="00BF3D68"/>
    <w:rsid w:val="00BF43D2"/>
    <w:rsid w:val="00BF60F9"/>
    <w:rsid w:val="00BF7989"/>
    <w:rsid w:val="00C049C3"/>
    <w:rsid w:val="00C052CE"/>
    <w:rsid w:val="00C06A05"/>
    <w:rsid w:val="00C07E56"/>
    <w:rsid w:val="00C07F42"/>
    <w:rsid w:val="00C10CEE"/>
    <w:rsid w:val="00C11B1D"/>
    <w:rsid w:val="00C15A52"/>
    <w:rsid w:val="00C1605D"/>
    <w:rsid w:val="00C2086F"/>
    <w:rsid w:val="00C27D8D"/>
    <w:rsid w:val="00C324FC"/>
    <w:rsid w:val="00C40435"/>
    <w:rsid w:val="00C406C4"/>
    <w:rsid w:val="00C40984"/>
    <w:rsid w:val="00C40CA8"/>
    <w:rsid w:val="00C42301"/>
    <w:rsid w:val="00C529B7"/>
    <w:rsid w:val="00C559C1"/>
    <w:rsid w:val="00C56138"/>
    <w:rsid w:val="00C563BD"/>
    <w:rsid w:val="00C73A84"/>
    <w:rsid w:val="00C74D4B"/>
    <w:rsid w:val="00C77DF7"/>
    <w:rsid w:val="00C832A9"/>
    <w:rsid w:val="00C86B77"/>
    <w:rsid w:val="00C86C28"/>
    <w:rsid w:val="00C877C7"/>
    <w:rsid w:val="00C93D19"/>
    <w:rsid w:val="00CA1299"/>
    <w:rsid w:val="00CA3E46"/>
    <w:rsid w:val="00CA4278"/>
    <w:rsid w:val="00CA73F1"/>
    <w:rsid w:val="00CA7A78"/>
    <w:rsid w:val="00CB242B"/>
    <w:rsid w:val="00CB65AF"/>
    <w:rsid w:val="00CC22FA"/>
    <w:rsid w:val="00CC2D16"/>
    <w:rsid w:val="00CC5DCA"/>
    <w:rsid w:val="00CC70FA"/>
    <w:rsid w:val="00CC7DB1"/>
    <w:rsid w:val="00CD3295"/>
    <w:rsid w:val="00CD5AE5"/>
    <w:rsid w:val="00CD79BF"/>
    <w:rsid w:val="00CD7B0B"/>
    <w:rsid w:val="00CD7B90"/>
    <w:rsid w:val="00CE2064"/>
    <w:rsid w:val="00CE475B"/>
    <w:rsid w:val="00CF267D"/>
    <w:rsid w:val="00CF26BF"/>
    <w:rsid w:val="00CF3596"/>
    <w:rsid w:val="00CF3F26"/>
    <w:rsid w:val="00CF5B5E"/>
    <w:rsid w:val="00CF645A"/>
    <w:rsid w:val="00CF728D"/>
    <w:rsid w:val="00CF7298"/>
    <w:rsid w:val="00D0020A"/>
    <w:rsid w:val="00D00C3B"/>
    <w:rsid w:val="00D05162"/>
    <w:rsid w:val="00D07032"/>
    <w:rsid w:val="00D10940"/>
    <w:rsid w:val="00D14247"/>
    <w:rsid w:val="00D15370"/>
    <w:rsid w:val="00D16DC5"/>
    <w:rsid w:val="00D211B3"/>
    <w:rsid w:val="00D21FF1"/>
    <w:rsid w:val="00D273BC"/>
    <w:rsid w:val="00D27481"/>
    <w:rsid w:val="00D27499"/>
    <w:rsid w:val="00D313C2"/>
    <w:rsid w:val="00D31779"/>
    <w:rsid w:val="00D32BF9"/>
    <w:rsid w:val="00D43057"/>
    <w:rsid w:val="00D51AED"/>
    <w:rsid w:val="00D5205B"/>
    <w:rsid w:val="00D53901"/>
    <w:rsid w:val="00D60195"/>
    <w:rsid w:val="00D617AF"/>
    <w:rsid w:val="00D620AE"/>
    <w:rsid w:val="00D73335"/>
    <w:rsid w:val="00D7340A"/>
    <w:rsid w:val="00D74840"/>
    <w:rsid w:val="00D81223"/>
    <w:rsid w:val="00D824A1"/>
    <w:rsid w:val="00D82711"/>
    <w:rsid w:val="00D848E1"/>
    <w:rsid w:val="00D86D51"/>
    <w:rsid w:val="00D929C9"/>
    <w:rsid w:val="00D947A9"/>
    <w:rsid w:val="00D95F96"/>
    <w:rsid w:val="00DA1C71"/>
    <w:rsid w:val="00DA3F6E"/>
    <w:rsid w:val="00DA40D5"/>
    <w:rsid w:val="00DA434D"/>
    <w:rsid w:val="00DB4A3C"/>
    <w:rsid w:val="00DB7F13"/>
    <w:rsid w:val="00DC013A"/>
    <w:rsid w:val="00DC326B"/>
    <w:rsid w:val="00DC3FF0"/>
    <w:rsid w:val="00DC5D03"/>
    <w:rsid w:val="00DC63DF"/>
    <w:rsid w:val="00DC68DB"/>
    <w:rsid w:val="00DC6FE0"/>
    <w:rsid w:val="00DC73A3"/>
    <w:rsid w:val="00DD7335"/>
    <w:rsid w:val="00DD7696"/>
    <w:rsid w:val="00DD77B5"/>
    <w:rsid w:val="00DD7880"/>
    <w:rsid w:val="00DE3552"/>
    <w:rsid w:val="00DE37DE"/>
    <w:rsid w:val="00DE5FB5"/>
    <w:rsid w:val="00E0122E"/>
    <w:rsid w:val="00E050B5"/>
    <w:rsid w:val="00E06892"/>
    <w:rsid w:val="00E1013B"/>
    <w:rsid w:val="00E1088D"/>
    <w:rsid w:val="00E13D01"/>
    <w:rsid w:val="00E147BC"/>
    <w:rsid w:val="00E15561"/>
    <w:rsid w:val="00E1638F"/>
    <w:rsid w:val="00E168D7"/>
    <w:rsid w:val="00E17E25"/>
    <w:rsid w:val="00E20A2F"/>
    <w:rsid w:val="00E22D59"/>
    <w:rsid w:val="00E30BF7"/>
    <w:rsid w:val="00E35317"/>
    <w:rsid w:val="00E36BA5"/>
    <w:rsid w:val="00E37208"/>
    <w:rsid w:val="00E413BD"/>
    <w:rsid w:val="00E444EE"/>
    <w:rsid w:val="00E50A19"/>
    <w:rsid w:val="00E54A0F"/>
    <w:rsid w:val="00E60883"/>
    <w:rsid w:val="00E615AF"/>
    <w:rsid w:val="00E616A2"/>
    <w:rsid w:val="00E61F31"/>
    <w:rsid w:val="00E62DEC"/>
    <w:rsid w:val="00E6661F"/>
    <w:rsid w:val="00E66F65"/>
    <w:rsid w:val="00E67077"/>
    <w:rsid w:val="00E671CE"/>
    <w:rsid w:val="00E67D35"/>
    <w:rsid w:val="00E7312A"/>
    <w:rsid w:val="00E74E90"/>
    <w:rsid w:val="00E74FC2"/>
    <w:rsid w:val="00E754CA"/>
    <w:rsid w:val="00E82081"/>
    <w:rsid w:val="00E86701"/>
    <w:rsid w:val="00E87151"/>
    <w:rsid w:val="00E871CA"/>
    <w:rsid w:val="00E87EE9"/>
    <w:rsid w:val="00E91C90"/>
    <w:rsid w:val="00E955EB"/>
    <w:rsid w:val="00EA2446"/>
    <w:rsid w:val="00EA32ED"/>
    <w:rsid w:val="00EB0689"/>
    <w:rsid w:val="00EB4C86"/>
    <w:rsid w:val="00EB5439"/>
    <w:rsid w:val="00EB7F7E"/>
    <w:rsid w:val="00EC4E77"/>
    <w:rsid w:val="00EC5C63"/>
    <w:rsid w:val="00ED4AC8"/>
    <w:rsid w:val="00ED692C"/>
    <w:rsid w:val="00EE00AD"/>
    <w:rsid w:val="00EE04A3"/>
    <w:rsid w:val="00EE1B66"/>
    <w:rsid w:val="00EE4BA0"/>
    <w:rsid w:val="00EE58BB"/>
    <w:rsid w:val="00EF1FFB"/>
    <w:rsid w:val="00EF2600"/>
    <w:rsid w:val="00EF26CA"/>
    <w:rsid w:val="00EF3557"/>
    <w:rsid w:val="00EF3770"/>
    <w:rsid w:val="00EF3F12"/>
    <w:rsid w:val="00EF4514"/>
    <w:rsid w:val="00EF4B90"/>
    <w:rsid w:val="00F007E7"/>
    <w:rsid w:val="00F0137E"/>
    <w:rsid w:val="00F02945"/>
    <w:rsid w:val="00F04DFB"/>
    <w:rsid w:val="00F06600"/>
    <w:rsid w:val="00F0730A"/>
    <w:rsid w:val="00F1117B"/>
    <w:rsid w:val="00F11941"/>
    <w:rsid w:val="00F11A6F"/>
    <w:rsid w:val="00F11F1A"/>
    <w:rsid w:val="00F12604"/>
    <w:rsid w:val="00F12A9D"/>
    <w:rsid w:val="00F12CB3"/>
    <w:rsid w:val="00F200DD"/>
    <w:rsid w:val="00F21B81"/>
    <w:rsid w:val="00F21E8A"/>
    <w:rsid w:val="00F3046E"/>
    <w:rsid w:val="00F318B2"/>
    <w:rsid w:val="00F31F15"/>
    <w:rsid w:val="00F33A60"/>
    <w:rsid w:val="00F34F28"/>
    <w:rsid w:val="00F35C7E"/>
    <w:rsid w:val="00F36048"/>
    <w:rsid w:val="00F43A78"/>
    <w:rsid w:val="00F44700"/>
    <w:rsid w:val="00F44C98"/>
    <w:rsid w:val="00F461A4"/>
    <w:rsid w:val="00F520B7"/>
    <w:rsid w:val="00F530D2"/>
    <w:rsid w:val="00F531EB"/>
    <w:rsid w:val="00F54BB3"/>
    <w:rsid w:val="00F56A5C"/>
    <w:rsid w:val="00F56D95"/>
    <w:rsid w:val="00F57E38"/>
    <w:rsid w:val="00F608EE"/>
    <w:rsid w:val="00F60C37"/>
    <w:rsid w:val="00F713A5"/>
    <w:rsid w:val="00F71BC7"/>
    <w:rsid w:val="00F71DA0"/>
    <w:rsid w:val="00F748A2"/>
    <w:rsid w:val="00F74ECD"/>
    <w:rsid w:val="00F75670"/>
    <w:rsid w:val="00F77EAC"/>
    <w:rsid w:val="00F8275E"/>
    <w:rsid w:val="00F82FAF"/>
    <w:rsid w:val="00F8719E"/>
    <w:rsid w:val="00F9058B"/>
    <w:rsid w:val="00F95ED2"/>
    <w:rsid w:val="00F9623E"/>
    <w:rsid w:val="00F96CD6"/>
    <w:rsid w:val="00F977BF"/>
    <w:rsid w:val="00FA0278"/>
    <w:rsid w:val="00FA2C99"/>
    <w:rsid w:val="00FA2F30"/>
    <w:rsid w:val="00FA3B27"/>
    <w:rsid w:val="00FA5203"/>
    <w:rsid w:val="00FA5693"/>
    <w:rsid w:val="00FA64D3"/>
    <w:rsid w:val="00FB0A8D"/>
    <w:rsid w:val="00FB4E9D"/>
    <w:rsid w:val="00FB5B42"/>
    <w:rsid w:val="00FB6A74"/>
    <w:rsid w:val="00FC234B"/>
    <w:rsid w:val="00FC2C18"/>
    <w:rsid w:val="00FC3A03"/>
    <w:rsid w:val="00FC7E9F"/>
    <w:rsid w:val="00FD066F"/>
    <w:rsid w:val="00FE55D8"/>
    <w:rsid w:val="00FE7E62"/>
    <w:rsid w:val="00FF01FD"/>
    <w:rsid w:val="00FF1946"/>
    <w:rsid w:val="00FF2D03"/>
    <w:rsid w:val="00FF552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7C365"/>
  <w15:docId w15:val="{AA569D41-17B6-48F5-BDBA-1601A2FF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039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039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03963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39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03963"/>
    <w:rPr>
      <w:rFonts w:ascii="Times New Roman" w:eastAsia="宋体" w:hAnsi="Times New Roman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35017A"/>
    <w:rPr>
      <w:color w:val="808080"/>
    </w:rPr>
  </w:style>
  <w:style w:type="paragraph" w:styleId="af2">
    <w:name w:val="Revision"/>
    <w:hidden/>
    <w:uiPriority w:val="99"/>
    <w:semiHidden/>
    <w:rsid w:val="009C596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AEEB-41DC-41E8-A335-887DD4E1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宋泽林</dc:creator>
  <cp:lastModifiedBy>LJY</cp:lastModifiedBy>
  <cp:revision>5</cp:revision>
  <cp:lastPrinted>2025-04-18T08:46:00Z</cp:lastPrinted>
  <dcterms:created xsi:type="dcterms:W3CDTF">2025-04-21T09:00:00Z</dcterms:created>
  <dcterms:modified xsi:type="dcterms:W3CDTF">2025-04-21T10:17:00Z</dcterms:modified>
</cp:coreProperties>
</file>