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6D92D" w14:textId="77777777" w:rsidR="006556E8" w:rsidRDefault="006556E8" w:rsidP="006556E8">
      <w:pPr>
        <w:autoSpaceDE w:val="0"/>
        <w:autoSpaceDN w:val="0"/>
        <w:adjustRightInd w:val="0"/>
        <w:jc w:val="center"/>
        <w:rPr>
          <w:rFonts w:ascii="宋体" w:cs="宋体"/>
          <w:b/>
          <w:kern w:val="0"/>
          <w:sz w:val="30"/>
          <w:szCs w:val="30"/>
        </w:rPr>
      </w:pPr>
      <w:r>
        <w:rPr>
          <w:rFonts w:ascii="宋体" w:cs="宋体" w:hint="eastAsia"/>
          <w:b/>
          <w:kern w:val="0"/>
          <w:sz w:val="30"/>
          <w:szCs w:val="30"/>
        </w:rPr>
        <w:t>江苏中利集团股份有限公司</w:t>
      </w:r>
      <w:r w:rsidRPr="004E500B">
        <w:rPr>
          <w:rFonts w:ascii="宋体" w:cs="宋体" w:hint="eastAsia"/>
          <w:b/>
          <w:kern w:val="0"/>
          <w:sz w:val="30"/>
          <w:szCs w:val="30"/>
        </w:rPr>
        <w:t>董事会</w:t>
      </w:r>
    </w:p>
    <w:p w14:paraId="76D8DC34" w14:textId="1BB92D14" w:rsidR="00B853D0" w:rsidRDefault="00B853D0" w:rsidP="00562C7E">
      <w:pPr>
        <w:autoSpaceDE w:val="0"/>
        <w:autoSpaceDN w:val="0"/>
        <w:adjustRightInd w:val="0"/>
        <w:jc w:val="center"/>
        <w:rPr>
          <w:rFonts w:ascii="宋体" w:cs="宋体"/>
          <w:b/>
          <w:kern w:val="0"/>
          <w:sz w:val="30"/>
          <w:szCs w:val="30"/>
        </w:rPr>
      </w:pPr>
      <w:r w:rsidRPr="00B853D0">
        <w:rPr>
          <w:rFonts w:ascii="宋体" w:cs="宋体" w:hint="eastAsia"/>
          <w:b/>
          <w:kern w:val="0"/>
          <w:sz w:val="30"/>
          <w:szCs w:val="30"/>
        </w:rPr>
        <w:t>关于</w:t>
      </w:r>
      <w:r w:rsidR="00D045B5" w:rsidRPr="00D045B5">
        <w:rPr>
          <w:rFonts w:ascii="宋体" w:cs="宋体" w:hint="eastAsia"/>
          <w:b/>
          <w:kern w:val="0"/>
          <w:sz w:val="30"/>
          <w:szCs w:val="30"/>
        </w:rPr>
        <w:t>2023年</w:t>
      </w:r>
      <w:r w:rsidR="00205F47">
        <w:rPr>
          <w:rFonts w:ascii="宋体" w:cs="宋体" w:hint="eastAsia"/>
          <w:b/>
          <w:kern w:val="0"/>
          <w:sz w:val="30"/>
          <w:szCs w:val="30"/>
        </w:rPr>
        <w:t>度审计报告</w:t>
      </w:r>
      <w:proofErr w:type="gramStart"/>
      <w:r w:rsidR="00205F47">
        <w:rPr>
          <w:rFonts w:ascii="宋体" w:cs="宋体" w:hint="eastAsia"/>
          <w:b/>
          <w:kern w:val="0"/>
          <w:sz w:val="30"/>
          <w:szCs w:val="30"/>
        </w:rPr>
        <w:t>带持续</w:t>
      </w:r>
      <w:proofErr w:type="gramEnd"/>
      <w:r w:rsidR="00205F47">
        <w:rPr>
          <w:rFonts w:ascii="宋体" w:cs="宋体" w:hint="eastAsia"/>
          <w:b/>
          <w:kern w:val="0"/>
          <w:sz w:val="30"/>
          <w:szCs w:val="30"/>
        </w:rPr>
        <w:t>经营相关的重大不确定性与强调事项段的无保留意见</w:t>
      </w:r>
      <w:r w:rsidR="00D045B5" w:rsidRPr="00D045B5">
        <w:rPr>
          <w:rFonts w:ascii="宋体" w:cs="宋体" w:hint="eastAsia"/>
          <w:b/>
          <w:kern w:val="0"/>
          <w:sz w:val="30"/>
          <w:szCs w:val="30"/>
        </w:rPr>
        <w:t>涉及事项</w:t>
      </w:r>
      <w:r w:rsidRPr="00B853D0">
        <w:rPr>
          <w:rFonts w:ascii="宋体" w:cs="宋体" w:hint="eastAsia"/>
          <w:b/>
          <w:kern w:val="0"/>
          <w:sz w:val="30"/>
          <w:szCs w:val="30"/>
        </w:rPr>
        <w:t>影响已消除的专项说明</w:t>
      </w:r>
    </w:p>
    <w:p w14:paraId="2A03078C" w14:textId="77777777" w:rsidR="006556E8" w:rsidRPr="006556E8" w:rsidRDefault="006556E8" w:rsidP="00562C7E">
      <w:pPr>
        <w:autoSpaceDE w:val="0"/>
        <w:autoSpaceDN w:val="0"/>
        <w:adjustRightInd w:val="0"/>
        <w:jc w:val="center"/>
        <w:rPr>
          <w:rFonts w:ascii="宋体" w:cs="宋体" w:hint="eastAsia"/>
          <w:b/>
          <w:kern w:val="0"/>
          <w:sz w:val="30"/>
          <w:szCs w:val="30"/>
        </w:rPr>
      </w:pPr>
    </w:p>
    <w:p w14:paraId="348A592F" w14:textId="63AE8C08" w:rsidR="00B74BCD" w:rsidRDefault="0036673C" w:rsidP="00094B1A">
      <w:pPr>
        <w:spacing w:line="360" w:lineRule="auto"/>
        <w:ind w:firstLineChars="200" w:firstLine="480"/>
        <w:rPr>
          <w:rFonts w:ascii="宋体" w:hAnsi="宋体"/>
          <w:sz w:val="24"/>
        </w:rPr>
      </w:pPr>
      <w:r>
        <w:rPr>
          <w:rFonts w:ascii="宋体" w:hAnsi="宋体" w:hint="eastAsia"/>
          <w:sz w:val="24"/>
        </w:rPr>
        <w:t>江苏中利集团股份有限公司</w:t>
      </w:r>
      <w:r w:rsidR="00705FE8" w:rsidRPr="00094B1A">
        <w:rPr>
          <w:rFonts w:ascii="宋体" w:hAnsi="宋体" w:hint="eastAsia"/>
          <w:sz w:val="24"/>
        </w:rPr>
        <w:t>（以下简称“</w:t>
      </w:r>
      <w:r w:rsidR="00705FE8">
        <w:rPr>
          <w:rFonts w:ascii="宋体" w:hAnsi="宋体" w:hint="eastAsia"/>
          <w:sz w:val="24"/>
        </w:rPr>
        <w:t>江苏中利</w:t>
      </w:r>
      <w:r w:rsidR="00705FE8" w:rsidRPr="00094B1A">
        <w:rPr>
          <w:rFonts w:ascii="宋体" w:hAnsi="宋体" w:hint="eastAsia"/>
          <w:sz w:val="24"/>
        </w:rPr>
        <w:t>”或“公司”）</w:t>
      </w:r>
      <w:r w:rsidR="00094B1A" w:rsidRPr="00094B1A">
        <w:rPr>
          <w:rFonts w:ascii="宋体" w:hAnsi="宋体" w:hint="eastAsia"/>
          <w:sz w:val="24"/>
        </w:rPr>
        <w:t>聘请的苏亚金诚会计师事务所（特殊普通合伙）</w:t>
      </w:r>
      <w:r w:rsidR="00D045B5" w:rsidRPr="00F35145">
        <w:rPr>
          <w:rFonts w:ascii="宋体" w:cs="宋体"/>
          <w:color w:val="000000"/>
          <w:kern w:val="0"/>
          <w:sz w:val="24"/>
        </w:rPr>
        <w:t>对公司</w:t>
      </w:r>
      <w:r w:rsidR="00D045B5" w:rsidRPr="00F35145">
        <w:rPr>
          <w:rFonts w:ascii="宋体" w:cs="宋体" w:hint="eastAsia"/>
          <w:color w:val="000000"/>
          <w:kern w:val="0"/>
          <w:sz w:val="24"/>
        </w:rPr>
        <w:t>202</w:t>
      </w:r>
      <w:r w:rsidR="00D045B5">
        <w:rPr>
          <w:rFonts w:ascii="宋体" w:cs="宋体"/>
          <w:color w:val="000000"/>
          <w:kern w:val="0"/>
          <w:sz w:val="24"/>
        </w:rPr>
        <w:t>3</w:t>
      </w:r>
      <w:r w:rsidR="00D045B5" w:rsidRPr="00F35145">
        <w:rPr>
          <w:rFonts w:ascii="宋体" w:cs="宋体" w:hint="eastAsia"/>
          <w:color w:val="000000"/>
          <w:kern w:val="0"/>
          <w:sz w:val="24"/>
        </w:rPr>
        <w:t>年度财务报表进行了审计，并出具了</w:t>
      </w:r>
      <w:proofErr w:type="gramStart"/>
      <w:r w:rsidR="00D045B5" w:rsidRPr="000B0CF0">
        <w:rPr>
          <w:rFonts w:ascii="宋体" w:cs="宋体" w:hint="eastAsia"/>
          <w:color w:val="000000"/>
          <w:kern w:val="0"/>
          <w:sz w:val="24"/>
        </w:rPr>
        <w:t>带持续</w:t>
      </w:r>
      <w:proofErr w:type="gramEnd"/>
      <w:r w:rsidR="00D045B5" w:rsidRPr="000B0CF0">
        <w:rPr>
          <w:rFonts w:ascii="宋体" w:cs="宋体" w:hint="eastAsia"/>
          <w:color w:val="000000"/>
          <w:kern w:val="0"/>
          <w:sz w:val="24"/>
        </w:rPr>
        <w:t>经营相关的重大不确定性与强调事项段的无保留意见</w:t>
      </w:r>
      <w:r w:rsidR="00D045B5" w:rsidRPr="002F7E7F">
        <w:rPr>
          <w:rFonts w:ascii="宋体" w:cs="宋体" w:hint="eastAsia"/>
          <w:color w:val="000000"/>
          <w:kern w:val="0"/>
          <w:sz w:val="24"/>
        </w:rPr>
        <w:t>审计报告。</w:t>
      </w:r>
      <w:r w:rsidR="00B74BCD" w:rsidRPr="00C313C1">
        <w:rPr>
          <w:rFonts w:ascii="宋体" w:hAnsi="宋体" w:hint="eastAsia"/>
          <w:sz w:val="24"/>
        </w:rPr>
        <w:t>公司董事会现就202</w:t>
      </w:r>
      <w:r w:rsidR="00C313C1" w:rsidRPr="00C313C1">
        <w:rPr>
          <w:rFonts w:ascii="宋体" w:hAnsi="宋体"/>
          <w:sz w:val="24"/>
        </w:rPr>
        <w:t>3</w:t>
      </w:r>
      <w:r w:rsidR="00B74BCD" w:rsidRPr="00C313C1">
        <w:rPr>
          <w:rFonts w:ascii="宋体" w:hAnsi="宋体" w:hint="eastAsia"/>
          <w:sz w:val="24"/>
        </w:rPr>
        <w:t>年度</w:t>
      </w:r>
      <w:r w:rsidR="003604B5">
        <w:rPr>
          <w:rFonts w:ascii="宋体" w:hAnsi="宋体" w:hint="eastAsia"/>
          <w:sz w:val="24"/>
        </w:rPr>
        <w:t>非标意见</w:t>
      </w:r>
      <w:r w:rsidR="00B74BCD" w:rsidRPr="00C313C1">
        <w:rPr>
          <w:rFonts w:ascii="宋体" w:hAnsi="宋体" w:hint="eastAsia"/>
          <w:sz w:val="24"/>
        </w:rPr>
        <w:t>审计报告涉及事项已</w:t>
      </w:r>
      <w:r w:rsidR="00B74BCD" w:rsidRPr="00B74BCD">
        <w:rPr>
          <w:rFonts w:ascii="宋体" w:hAnsi="宋体" w:hint="eastAsia"/>
          <w:sz w:val="24"/>
        </w:rPr>
        <w:t>消除的情况说明如下：</w:t>
      </w:r>
    </w:p>
    <w:p w14:paraId="1A254370" w14:textId="21407A4D" w:rsidR="00094B1A" w:rsidRPr="000C107A" w:rsidRDefault="00094B1A" w:rsidP="00094B1A">
      <w:pPr>
        <w:tabs>
          <w:tab w:val="left" w:pos="4635"/>
        </w:tabs>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w:t>
      </w:r>
      <w:r w:rsidR="00D045B5">
        <w:rPr>
          <w:rFonts w:ascii="宋体" w:cs="宋体" w:hint="eastAsia"/>
          <w:b/>
          <w:color w:val="000000"/>
          <w:kern w:val="0"/>
          <w:sz w:val="24"/>
        </w:rPr>
        <w:t>发表</w:t>
      </w:r>
      <w:r w:rsidR="00D600CB">
        <w:rPr>
          <w:rFonts w:ascii="宋体" w:cs="宋体" w:hint="eastAsia"/>
          <w:b/>
          <w:color w:val="000000"/>
          <w:kern w:val="0"/>
          <w:sz w:val="24"/>
        </w:rPr>
        <w:t>非标</w:t>
      </w:r>
      <w:r w:rsidR="00D045B5">
        <w:rPr>
          <w:rFonts w:ascii="宋体" w:cs="宋体" w:hint="eastAsia"/>
          <w:b/>
          <w:color w:val="000000"/>
          <w:kern w:val="0"/>
          <w:sz w:val="24"/>
        </w:rPr>
        <w:t>审计意见</w:t>
      </w:r>
      <w:r w:rsidR="00D600CB">
        <w:rPr>
          <w:rFonts w:ascii="宋体" w:cs="宋体" w:hint="eastAsia"/>
          <w:b/>
          <w:color w:val="000000"/>
          <w:kern w:val="0"/>
          <w:sz w:val="24"/>
        </w:rPr>
        <w:t>涉及事项</w:t>
      </w:r>
    </w:p>
    <w:p w14:paraId="61F7C33E" w14:textId="632B04FE" w:rsidR="00E27423" w:rsidRPr="00705FE8" w:rsidRDefault="00EE59D0" w:rsidP="00D045B5">
      <w:pPr>
        <w:spacing w:line="360" w:lineRule="auto"/>
        <w:ind w:firstLineChars="200" w:firstLine="480"/>
        <w:rPr>
          <w:rFonts w:ascii="宋体" w:hAnsi="宋体"/>
          <w:sz w:val="24"/>
        </w:rPr>
      </w:pPr>
      <w:r w:rsidRPr="00705FE8">
        <w:rPr>
          <w:rFonts w:ascii="宋体" w:cs="宋体" w:hint="eastAsia"/>
          <w:color w:val="000000"/>
          <w:kern w:val="0"/>
          <w:sz w:val="24"/>
        </w:rPr>
        <w:t>（一）</w:t>
      </w:r>
      <w:r w:rsidR="00E27423" w:rsidRPr="00705FE8">
        <w:rPr>
          <w:rFonts w:ascii="宋体" w:cs="宋体" w:hint="eastAsia"/>
          <w:color w:val="000000"/>
          <w:kern w:val="0"/>
          <w:sz w:val="24"/>
        </w:rPr>
        <w:t>与持续经营相关的重大不确定性</w:t>
      </w:r>
    </w:p>
    <w:p w14:paraId="66DFBBBB" w14:textId="77777777" w:rsidR="00D02934" w:rsidRPr="00D02934" w:rsidRDefault="00D02934" w:rsidP="00705FE8">
      <w:pPr>
        <w:spacing w:line="360" w:lineRule="auto"/>
        <w:ind w:firstLineChars="200" w:firstLine="480"/>
        <w:rPr>
          <w:rFonts w:ascii="宋体" w:hAnsi="宋体"/>
          <w:sz w:val="24"/>
          <w:szCs w:val="20"/>
        </w:rPr>
      </w:pPr>
      <w:r w:rsidRPr="00D02934">
        <w:rPr>
          <w:rFonts w:ascii="宋体" w:hAnsi="宋体" w:hint="eastAsia"/>
          <w:sz w:val="24"/>
          <w:szCs w:val="20"/>
        </w:rPr>
        <w:t>我们提醒财务报表使用者关注，如财务报表附注二、二所述，截至2023年12月31日，江苏中利归属于母公司的所有者权益为</w:t>
      </w:r>
      <w:r w:rsidRPr="00D02934">
        <w:rPr>
          <w:rFonts w:ascii="宋体" w:hAnsi="宋体"/>
          <w:sz w:val="24"/>
          <w:szCs w:val="20"/>
        </w:rPr>
        <w:t xml:space="preserve">-55,830.33 </w:t>
      </w:r>
      <w:r w:rsidRPr="00D02934">
        <w:rPr>
          <w:rFonts w:ascii="宋体" w:hAnsi="宋体" w:hint="eastAsia"/>
          <w:sz w:val="24"/>
          <w:szCs w:val="20"/>
        </w:rPr>
        <w:t>万元，流动负债高于流动资产</w:t>
      </w:r>
      <w:r w:rsidRPr="00D02934">
        <w:rPr>
          <w:rFonts w:ascii="宋体" w:hAnsi="宋体"/>
          <w:sz w:val="24"/>
          <w:szCs w:val="20"/>
        </w:rPr>
        <w:t xml:space="preserve">301,411.71 </w:t>
      </w:r>
      <w:r w:rsidRPr="00D02934">
        <w:rPr>
          <w:rFonts w:ascii="宋体" w:hAnsi="宋体" w:hint="eastAsia"/>
          <w:sz w:val="24"/>
          <w:szCs w:val="20"/>
        </w:rPr>
        <w:t>万元。受江苏中利及其子公司非经营性资金占用和江苏中利债务危机问题的影响，江苏中利在资金流动性方面出现困难，短期借款逾期</w:t>
      </w:r>
      <w:r w:rsidRPr="00D02934">
        <w:rPr>
          <w:rFonts w:ascii="宋体" w:hAnsi="宋体"/>
          <w:sz w:val="24"/>
          <w:szCs w:val="20"/>
        </w:rPr>
        <w:t>261,110.77</w:t>
      </w:r>
      <w:r w:rsidRPr="00D02934">
        <w:rPr>
          <w:rFonts w:ascii="宋体" w:hAnsi="宋体" w:hint="eastAsia"/>
          <w:sz w:val="24"/>
          <w:szCs w:val="20"/>
        </w:rPr>
        <w:t>万元未能办理展期，部分银行账户被司法冻结，可用资金余额仅为</w:t>
      </w:r>
      <w:r w:rsidRPr="00D02934">
        <w:rPr>
          <w:rFonts w:ascii="宋体" w:hAnsi="宋体"/>
          <w:sz w:val="24"/>
          <w:szCs w:val="20"/>
        </w:rPr>
        <w:t>32,418.19</w:t>
      </w:r>
      <w:r w:rsidRPr="00D02934">
        <w:rPr>
          <w:rFonts w:ascii="宋体" w:hAnsi="宋体" w:hint="eastAsia"/>
          <w:sz w:val="24"/>
          <w:szCs w:val="20"/>
        </w:rPr>
        <w:t>万元，融资能力下降，流动性风险较高。2023年1月18日，债权人江苏欣意装饰工程有限公司以公司不能清偿到期债务且已经明显缺乏清偿能力，但具有重整价值为由，向苏州市中级人民法院（以下简称“苏州中院”）提交了对公司的重整及预重整申请。法院同意受理债权人对公司的预重整申请并指定临时管理人。同时公司子公司常熟市中联光电新材料有限责任公司（以下简称“中联光电”）、苏州腾晖光伏技术有限公司（以下简称“苏州腾晖”）尚在预重整程序中，公司子公司</w:t>
      </w:r>
      <w:proofErr w:type="gramStart"/>
      <w:r w:rsidRPr="00D02934">
        <w:rPr>
          <w:rFonts w:ascii="宋体" w:hAnsi="宋体" w:hint="eastAsia"/>
          <w:sz w:val="24"/>
          <w:szCs w:val="20"/>
        </w:rPr>
        <w:t>宿迁腾晖新能源</w:t>
      </w:r>
      <w:proofErr w:type="gramEnd"/>
      <w:r w:rsidRPr="00D02934">
        <w:rPr>
          <w:rFonts w:ascii="宋体" w:hAnsi="宋体" w:hint="eastAsia"/>
          <w:sz w:val="24"/>
          <w:szCs w:val="20"/>
        </w:rPr>
        <w:t>技术有限公司、常州船用电缆有限责任公司、</w:t>
      </w:r>
      <w:proofErr w:type="gramStart"/>
      <w:r w:rsidRPr="00D02934">
        <w:rPr>
          <w:rFonts w:ascii="宋体" w:hAnsi="宋体" w:hint="eastAsia"/>
          <w:sz w:val="24"/>
          <w:szCs w:val="20"/>
        </w:rPr>
        <w:t>沛县腾晖新能源</w:t>
      </w:r>
      <w:proofErr w:type="gramEnd"/>
      <w:r w:rsidRPr="00D02934">
        <w:rPr>
          <w:rFonts w:ascii="宋体" w:hAnsi="宋体" w:hint="eastAsia"/>
          <w:sz w:val="24"/>
          <w:szCs w:val="20"/>
        </w:rPr>
        <w:t>技术有限公司、</w:t>
      </w:r>
      <w:proofErr w:type="gramStart"/>
      <w:r w:rsidRPr="00D02934">
        <w:rPr>
          <w:rFonts w:ascii="宋体" w:hAnsi="宋体" w:hint="eastAsia"/>
          <w:sz w:val="24"/>
          <w:szCs w:val="20"/>
        </w:rPr>
        <w:t>泗阳腾晖新能源</w:t>
      </w:r>
      <w:proofErr w:type="gramEnd"/>
      <w:r w:rsidRPr="00D02934">
        <w:rPr>
          <w:rFonts w:ascii="宋体" w:hAnsi="宋体" w:hint="eastAsia"/>
          <w:sz w:val="24"/>
          <w:szCs w:val="20"/>
        </w:rPr>
        <w:t>技术有限公司、</w:t>
      </w:r>
      <w:proofErr w:type="gramStart"/>
      <w:r w:rsidRPr="00D02934">
        <w:rPr>
          <w:rFonts w:ascii="宋体" w:hAnsi="宋体" w:hint="eastAsia"/>
          <w:sz w:val="24"/>
          <w:szCs w:val="20"/>
        </w:rPr>
        <w:t>泗阳腾晖光电</w:t>
      </w:r>
      <w:proofErr w:type="gramEnd"/>
      <w:r w:rsidRPr="00D02934">
        <w:rPr>
          <w:rFonts w:ascii="宋体" w:hAnsi="宋体" w:hint="eastAsia"/>
          <w:sz w:val="24"/>
          <w:szCs w:val="20"/>
        </w:rPr>
        <w:t>有限公司尚在重整程序中。截至本报告日，预重整程序尚在进行中，江苏</w:t>
      </w:r>
      <w:proofErr w:type="gramStart"/>
      <w:r w:rsidRPr="00D02934">
        <w:rPr>
          <w:rFonts w:ascii="宋体" w:hAnsi="宋体" w:hint="eastAsia"/>
          <w:sz w:val="24"/>
          <w:szCs w:val="20"/>
        </w:rPr>
        <w:t>中利预重整</w:t>
      </w:r>
      <w:proofErr w:type="gramEnd"/>
      <w:r w:rsidRPr="00D02934">
        <w:rPr>
          <w:rFonts w:ascii="宋体" w:hAnsi="宋体" w:hint="eastAsia"/>
          <w:sz w:val="24"/>
          <w:szCs w:val="20"/>
        </w:rPr>
        <w:t>是否能转为正式重整以及正式重整最终能否成功具有重大不确定性。</w:t>
      </w:r>
    </w:p>
    <w:p w14:paraId="3031DA2A" w14:textId="77777777" w:rsidR="00D02934" w:rsidRPr="00D02934" w:rsidRDefault="00D02934" w:rsidP="00705FE8">
      <w:pPr>
        <w:spacing w:line="360" w:lineRule="auto"/>
        <w:ind w:firstLineChars="200" w:firstLine="480"/>
        <w:rPr>
          <w:rFonts w:ascii="宋体" w:hAnsi="宋体"/>
          <w:sz w:val="24"/>
          <w:szCs w:val="20"/>
        </w:rPr>
      </w:pPr>
      <w:r w:rsidRPr="00D02934">
        <w:rPr>
          <w:rFonts w:ascii="宋体" w:hAnsi="宋体" w:hint="eastAsia"/>
          <w:sz w:val="24"/>
          <w:szCs w:val="20"/>
        </w:rPr>
        <w:t>如财务报表附注十三、2.（4）所述，截至2023年12月31日，江苏中利母公司报表对子公司苏州</w:t>
      </w:r>
      <w:proofErr w:type="gramStart"/>
      <w:r w:rsidRPr="00D02934">
        <w:rPr>
          <w:rFonts w:ascii="宋体" w:hAnsi="宋体" w:hint="eastAsia"/>
          <w:sz w:val="24"/>
          <w:szCs w:val="20"/>
        </w:rPr>
        <w:t>腾晖长期</w:t>
      </w:r>
      <w:proofErr w:type="gramEnd"/>
      <w:r w:rsidRPr="00D02934">
        <w:rPr>
          <w:rFonts w:ascii="宋体" w:hAnsi="宋体" w:hint="eastAsia"/>
          <w:sz w:val="24"/>
          <w:szCs w:val="20"/>
        </w:rPr>
        <w:t>股权投资余额</w:t>
      </w:r>
      <w:r w:rsidRPr="00D02934">
        <w:rPr>
          <w:rFonts w:ascii="宋体" w:hAnsi="宋体"/>
          <w:sz w:val="24"/>
          <w:szCs w:val="20"/>
        </w:rPr>
        <w:t>152,276.63万元，</w:t>
      </w:r>
      <w:proofErr w:type="gramStart"/>
      <w:r w:rsidRPr="00D02934">
        <w:rPr>
          <w:rFonts w:ascii="宋体" w:hAnsi="宋体"/>
          <w:sz w:val="24"/>
          <w:szCs w:val="20"/>
        </w:rPr>
        <w:t>苏州腾晖</w:t>
      </w:r>
      <w:r w:rsidRPr="00D02934">
        <w:rPr>
          <w:rFonts w:ascii="宋体" w:hAnsi="宋体" w:hint="eastAsia"/>
          <w:sz w:val="24"/>
          <w:szCs w:val="20"/>
        </w:rPr>
        <w:t>归属</w:t>
      </w:r>
      <w:proofErr w:type="gramEnd"/>
      <w:r w:rsidRPr="00D02934">
        <w:rPr>
          <w:rFonts w:ascii="宋体" w:hAnsi="宋体" w:hint="eastAsia"/>
          <w:sz w:val="24"/>
          <w:szCs w:val="20"/>
        </w:rPr>
        <w:lastRenderedPageBreak/>
        <w:t>于母公司所有者的净资产为-87,103.13万元，由于苏州</w:t>
      </w:r>
      <w:proofErr w:type="gramStart"/>
      <w:r w:rsidRPr="00D02934">
        <w:rPr>
          <w:rFonts w:ascii="宋体" w:hAnsi="宋体" w:hint="eastAsia"/>
          <w:sz w:val="24"/>
          <w:szCs w:val="20"/>
        </w:rPr>
        <w:t>腾晖目前</w:t>
      </w:r>
      <w:proofErr w:type="gramEnd"/>
      <w:r w:rsidRPr="00D02934">
        <w:rPr>
          <w:rFonts w:ascii="宋体" w:hAnsi="宋体" w:hint="eastAsia"/>
          <w:sz w:val="24"/>
          <w:szCs w:val="20"/>
        </w:rPr>
        <w:t>仍在正常生产经营中，江苏中利预计通过预重整程序能够解除目前子公司的债务困境，江苏中利母公司报表未对</w:t>
      </w:r>
      <w:proofErr w:type="gramStart"/>
      <w:r w:rsidRPr="00D02934">
        <w:rPr>
          <w:rFonts w:ascii="宋体" w:hAnsi="宋体" w:hint="eastAsia"/>
          <w:sz w:val="24"/>
          <w:szCs w:val="20"/>
        </w:rPr>
        <w:t>苏州腾晖的</w:t>
      </w:r>
      <w:proofErr w:type="gramEnd"/>
      <w:r w:rsidRPr="00D02934">
        <w:rPr>
          <w:rFonts w:ascii="宋体" w:hAnsi="宋体" w:hint="eastAsia"/>
          <w:sz w:val="24"/>
          <w:szCs w:val="20"/>
        </w:rPr>
        <w:t>长期股权投资计提减值准备。</w:t>
      </w:r>
    </w:p>
    <w:p w14:paraId="038B3FF3" w14:textId="77777777" w:rsidR="00D02934" w:rsidRPr="00D02934" w:rsidRDefault="00D02934" w:rsidP="00705FE8">
      <w:pPr>
        <w:spacing w:line="360" w:lineRule="auto"/>
        <w:ind w:firstLineChars="200" w:firstLine="480"/>
        <w:rPr>
          <w:rFonts w:ascii="宋体" w:hAnsi="宋体"/>
          <w:sz w:val="24"/>
          <w:szCs w:val="20"/>
        </w:rPr>
      </w:pPr>
      <w:r w:rsidRPr="00D02934">
        <w:rPr>
          <w:rFonts w:ascii="宋体" w:hAnsi="宋体" w:hint="eastAsia"/>
          <w:sz w:val="24"/>
          <w:szCs w:val="20"/>
        </w:rPr>
        <w:t>这些事项或情况表明存在可能导致对江苏中</w:t>
      </w:r>
      <w:proofErr w:type="gramStart"/>
      <w:r w:rsidRPr="00D02934">
        <w:rPr>
          <w:rFonts w:ascii="宋体" w:hAnsi="宋体" w:hint="eastAsia"/>
          <w:sz w:val="24"/>
          <w:szCs w:val="20"/>
        </w:rPr>
        <w:t>利持续</w:t>
      </w:r>
      <w:proofErr w:type="gramEnd"/>
      <w:r w:rsidRPr="00D02934">
        <w:rPr>
          <w:rFonts w:ascii="宋体" w:hAnsi="宋体" w:hint="eastAsia"/>
          <w:sz w:val="24"/>
          <w:szCs w:val="20"/>
        </w:rPr>
        <w:t>经营能力产生重大疑虑的重大不确定性。江苏中利已在附注中披露了改善措施，该事项不影响已经发表的审计意见。</w:t>
      </w:r>
    </w:p>
    <w:p w14:paraId="5EF4682B" w14:textId="554CF43D" w:rsidR="00F4201D" w:rsidRPr="00705FE8" w:rsidRDefault="00EE59D0" w:rsidP="00F4201D">
      <w:pPr>
        <w:spacing w:line="360" w:lineRule="auto"/>
        <w:ind w:left="482"/>
        <w:rPr>
          <w:rFonts w:ascii="宋体" w:cs="宋体"/>
          <w:color w:val="000000"/>
          <w:kern w:val="0"/>
          <w:sz w:val="24"/>
        </w:rPr>
      </w:pPr>
      <w:r w:rsidRPr="00705FE8">
        <w:rPr>
          <w:rFonts w:ascii="宋体" w:cs="宋体" w:hint="eastAsia"/>
          <w:color w:val="000000"/>
          <w:kern w:val="0"/>
          <w:sz w:val="24"/>
        </w:rPr>
        <w:t>（二）</w:t>
      </w:r>
      <w:r w:rsidR="00F4201D" w:rsidRPr="00705FE8">
        <w:rPr>
          <w:rFonts w:ascii="宋体" w:cs="宋体" w:hint="eastAsia"/>
          <w:color w:val="000000"/>
          <w:kern w:val="0"/>
          <w:sz w:val="24"/>
        </w:rPr>
        <w:t>强调事项</w:t>
      </w:r>
    </w:p>
    <w:p w14:paraId="2A0752D7" w14:textId="77777777" w:rsidR="00D02934" w:rsidRDefault="00D02934" w:rsidP="00705FE8">
      <w:pPr>
        <w:spacing w:line="360" w:lineRule="auto"/>
        <w:ind w:firstLineChars="200" w:firstLine="480"/>
        <w:rPr>
          <w:rFonts w:ascii="宋体" w:hAnsi="宋体"/>
          <w:sz w:val="24"/>
        </w:rPr>
      </w:pPr>
      <w:r>
        <w:rPr>
          <w:rFonts w:ascii="宋体" w:hAnsi="宋体" w:hint="eastAsia"/>
          <w:sz w:val="24"/>
        </w:rPr>
        <w:t>我们提醒财务报表使用者关注，如财务报表附注十、5.（4）所述：</w:t>
      </w:r>
    </w:p>
    <w:p w14:paraId="7601DC04" w14:textId="77777777" w:rsidR="00D02934" w:rsidRDefault="00D02934" w:rsidP="00705FE8">
      <w:pPr>
        <w:spacing w:line="360" w:lineRule="auto"/>
        <w:ind w:firstLineChars="200" w:firstLine="480"/>
        <w:rPr>
          <w:rFonts w:ascii="宋体" w:hAnsi="宋体"/>
          <w:sz w:val="24"/>
        </w:rPr>
      </w:pPr>
      <w:r>
        <w:rPr>
          <w:rFonts w:ascii="宋体" w:hAnsi="宋体" w:hint="eastAsia"/>
          <w:sz w:val="24"/>
        </w:rPr>
        <w:t>截至2023年12月31日</w:t>
      </w:r>
      <w:r w:rsidRPr="00846A01">
        <w:rPr>
          <w:rFonts w:ascii="宋体" w:hAnsi="宋体" w:hint="eastAsia"/>
          <w:sz w:val="24"/>
        </w:rPr>
        <w:t>，</w:t>
      </w:r>
      <w:r>
        <w:rPr>
          <w:rFonts w:ascii="宋体" w:hAnsi="宋体" w:hint="eastAsia"/>
          <w:sz w:val="24"/>
        </w:rPr>
        <w:t>实际控制人及其</w:t>
      </w:r>
      <w:r w:rsidRPr="00846A01">
        <w:rPr>
          <w:rFonts w:ascii="宋体" w:hAnsi="宋体" w:hint="eastAsia"/>
          <w:sz w:val="24"/>
        </w:rPr>
        <w:t>关联方非经营性占用</w:t>
      </w:r>
      <w:r>
        <w:rPr>
          <w:rFonts w:ascii="宋体" w:hAnsi="宋体" w:hint="eastAsia"/>
          <w:sz w:val="24"/>
        </w:rPr>
        <w:t>江苏中利</w:t>
      </w:r>
      <w:r>
        <w:rPr>
          <w:rFonts w:ascii="宋体" w:hAnsi="宋体"/>
          <w:sz w:val="24"/>
        </w:rPr>
        <w:t>169,297.9</w:t>
      </w:r>
      <w:r>
        <w:rPr>
          <w:rFonts w:ascii="宋体" w:hAnsi="宋体" w:hint="eastAsia"/>
          <w:sz w:val="24"/>
        </w:rPr>
        <w:t>2</w:t>
      </w:r>
      <w:r w:rsidRPr="00846A01">
        <w:rPr>
          <w:rFonts w:ascii="宋体" w:hAnsi="宋体" w:hint="eastAsia"/>
          <w:sz w:val="24"/>
        </w:rPr>
        <w:t>万元资金(不含担保)，</w:t>
      </w:r>
      <w:r>
        <w:rPr>
          <w:rFonts w:ascii="宋体" w:hAnsi="宋体" w:hint="eastAsia"/>
          <w:sz w:val="24"/>
        </w:rPr>
        <w:t>对</w:t>
      </w:r>
      <w:r w:rsidRPr="00846A01">
        <w:rPr>
          <w:rFonts w:ascii="宋体" w:hAnsi="宋体" w:hint="eastAsia"/>
          <w:sz w:val="24"/>
        </w:rPr>
        <w:t>实际控制人及其关联方</w:t>
      </w:r>
      <w:r>
        <w:rPr>
          <w:rFonts w:ascii="宋体" w:hAnsi="宋体" w:hint="eastAsia"/>
          <w:sz w:val="24"/>
        </w:rPr>
        <w:t>违规担保计提预计负债余额为11,221.27万元,合计180,519.19万元。</w:t>
      </w:r>
    </w:p>
    <w:p w14:paraId="40628475" w14:textId="77777777" w:rsidR="00D02934" w:rsidRPr="00BC0CDC" w:rsidRDefault="00D02934" w:rsidP="00705FE8">
      <w:pPr>
        <w:spacing w:line="360" w:lineRule="auto"/>
        <w:ind w:firstLineChars="200" w:firstLine="480"/>
        <w:rPr>
          <w:rFonts w:ascii="宋体" w:hAnsi="宋体"/>
          <w:sz w:val="24"/>
        </w:rPr>
      </w:pPr>
      <w:r>
        <w:rPr>
          <w:rFonts w:ascii="宋体" w:hAnsi="宋体" w:hint="eastAsia"/>
          <w:sz w:val="24"/>
        </w:rPr>
        <w:t>如财务报表附注十三、2.（3）所述：</w:t>
      </w:r>
    </w:p>
    <w:p w14:paraId="1E8051D9" w14:textId="77777777" w:rsidR="00D02934" w:rsidRDefault="00D02934" w:rsidP="00705FE8">
      <w:pPr>
        <w:spacing w:line="360" w:lineRule="auto"/>
        <w:ind w:firstLineChars="200" w:firstLine="480"/>
        <w:rPr>
          <w:rFonts w:ascii="宋体" w:hAnsi="宋体"/>
          <w:sz w:val="24"/>
        </w:rPr>
      </w:pPr>
      <w:r>
        <w:rPr>
          <w:rFonts w:ascii="宋体" w:hAnsi="宋体" w:hint="eastAsia"/>
          <w:sz w:val="24"/>
        </w:rPr>
        <w:t>江苏中利及控股股东王柏兴先生于2022年11月8日收到中国证券监督管理委员会下发的《立案告知书》（编号分别为：证监立案字 0382022048 号、证监立案字 0382022049 号），因涉嫌信息披露违法违规，根据《中华人民共和国证券法》、《中华人民共和国行政处罚法》等法律法规，中国证券监督管理委员会决定对江苏中利及控股股东立案。</w:t>
      </w:r>
    </w:p>
    <w:p w14:paraId="3BD0C767" w14:textId="77777777" w:rsidR="00D02934" w:rsidRDefault="00D02934" w:rsidP="00705FE8">
      <w:pPr>
        <w:spacing w:line="360" w:lineRule="auto"/>
        <w:ind w:firstLineChars="200" w:firstLine="480"/>
        <w:rPr>
          <w:rFonts w:ascii="宋体" w:hAnsi="宋体"/>
          <w:sz w:val="24"/>
        </w:rPr>
      </w:pPr>
      <w:r>
        <w:rPr>
          <w:rFonts w:ascii="宋体" w:hAnsi="宋体" w:hint="eastAsia"/>
          <w:sz w:val="24"/>
        </w:rPr>
        <w:t xml:space="preserve">本段内容不影响已发表的审计意见。 </w:t>
      </w:r>
    </w:p>
    <w:p w14:paraId="20F27DE4" w14:textId="671D7F53" w:rsidR="00094B1A" w:rsidRPr="002F7E7F" w:rsidRDefault="00094B1A" w:rsidP="00094B1A">
      <w:pPr>
        <w:spacing w:beforeLines="50" w:before="156" w:afterLines="50" w:after="156" w:line="360" w:lineRule="auto"/>
        <w:ind w:firstLineChars="200" w:firstLine="482"/>
        <w:rPr>
          <w:rFonts w:ascii="宋体" w:cs="宋体"/>
          <w:color w:val="000000"/>
          <w:kern w:val="0"/>
          <w:sz w:val="24"/>
        </w:rPr>
      </w:pPr>
      <w:r w:rsidRPr="00901C23">
        <w:rPr>
          <w:rFonts w:ascii="宋体" w:cs="宋体" w:hint="eastAsia"/>
          <w:b/>
          <w:color w:val="000000"/>
          <w:kern w:val="0"/>
          <w:sz w:val="24"/>
        </w:rPr>
        <w:t>二、公司董事会对</w:t>
      </w:r>
      <w:r w:rsidR="00885BBA" w:rsidRPr="00901C23">
        <w:rPr>
          <w:rFonts w:ascii="宋体" w:cs="宋体" w:hint="eastAsia"/>
          <w:b/>
          <w:color w:val="000000"/>
          <w:kern w:val="0"/>
          <w:sz w:val="24"/>
        </w:rPr>
        <w:t>2023年度审计报告</w:t>
      </w:r>
      <w:r w:rsidRPr="00901C23">
        <w:rPr>
          <w:rFonts w:ascii="宋体" w:cs="宋体" w:hint="eastAsia"/>
          <w:b/>
          <w:color w:val="000000"/>
          <w:kern w:val="0"/>
          <w:sz w:val="24"/>
        </w:rPr>
        <w:t>涉及事项</w:t>
      </w:r>
      <w:r w:rsidR="009C0C99" w:rsidRPr="00901C23">
        <w:rPr>
          <w:rFonts w:ascii="宋体" w:cs="宋体" w:hint="eastAsia"/>
          <w:b/>
          <w:color w:val="000000"/>
          <w:kern w:val="0"/>
          <w:sz w:val="24"/>
        </w:rPr>
        <w:t>影响</w:t>
      </w:r>
      <w:r w:rsidRPr="00901C23">
        <w:rPr>
          <w:rFonts w:ascii="宋体" w:cs="宋体" w:hint="eastAsia"/>
          <w:b/>
          <w:color w:val="000000"/>
          <w:kern w:val="0"/>
          <w:sz w:val="24"/>
        </w:rPr>
        <w:t>已消除的专项说明</w:t>
      </w:r>
    </w:p>
    <w:p w14:paraId="5CA95628" w14:textId="22081D32" w:rsidR="002F7B2D" w:rsidRPr="00414CB4" w:rsidRDefault="00CE0987" w:rsidP="002F7B2D">
      <w:pPr>
        <w:spacing w:line="360" w:lineRule="auto"/>
        <w:ind w:firstLineChars="200" w:firstLine="480"/>
        <w:rPr>
          <w:rFonts w:ascii="宋体" w:hAnsi="宋体"/>
          <w:sz w:val="24"/>
        </w:rPr>
      </w:pPr>
      <w:r w:rsidRPr="00414CB4">
        <w:rPr>
          <w:rFonts w:ascii="宋体" w:cs="宋体" w:hint="eastAsia"/>
          <w:color w:val="000000"/>
          <w:kern w:val="0"/>
          <w:sz w:val="24"/>
        </w:rPr>
        <w:t>（一）</w:t>
      </w:r>
      <w:r w:rsidR="002F7B2D" w:rsidRPr="00414CB4">
        <w:rPr>
          <w:rFonts w:ascii="宋体" w:cs="宋体" w:hint="eastAsia"/>
          <w:color w:val="000000"/>
          <w:kern w:val="0"/>
          <w:sz w:val="24"/>
        </w:rPr>
        <w:t>与持续经营相关的重大不确定性</w:t>
      </w:r>
    </w:p>
    <w:p w14:paraId="5D00E1EE" w14:textId="13B7C275" w:rsidR="002F7B2D" w:rsidRDefault="002F7B2D" w:rsidP="002F7B2D">
      <w:pPr>
        <w:spacing w:line="360" w:lineRule="auto"/>
        <w:ind w:firstLineChars="200" w:firstLine="480"/>
        <w:rPr>
          <w:rFonts w:ascii="宋体" w:hAnsi="宋体"/>
          <w:sz w:val="24"/>
        </w:rPr>
      </w:pPr>
      <w:r>
        <w:rPr>
          <w:rFonts w:ascii="宋体" w:hAnsi="宋体" w:hint="eastAsia"/>
          <w:sz w:val="24"/>
        </w:rPr>
        <w:t>2</w:t>
      </w:r>
      <w:r>
        <w:rPr>
          <w:rFonts w:ascii="宋体" w:hAnsi="宋体"/>
          <w:sz w:val="24"/>
        </w:rPr>
        <w:t>024</w:t>
      </w:r>
      <w:r>
        <w:rPr>
          <w:rFonts w:ascii="宋体" w:hAnsi="宋体" w:hint="eastAsia"/>
          <w:sz w:val="24"/>
        </w:rPr>
        <w:t>年1</w:t>
      </w:r>
      <w:r>
        <w:rPr>
          <w:rFonts w:ascii="宋体" w:hAnsi="宋体"/>
          <w:sz w:val="24"/>
        </w:rPr>
        <w:t>2</w:t>
      </w:r>
      <w:r>
        <w:rPr>
          <w:rFonts w:ascii="宋体" w:hAnsi="宋体" w:hint="eastAsia"/>
          <w:sz w:val="24"/>
        </w:rPr>
        <w:t>月</w:t>
      </w:r>
      <w:r w:rsidRPr="002F7B2D">
        <w:rPr>
          <w:rFonts w:ascii="宋体" w:hAnsi="宋体" w:hint="eastAsia"/>
          <w:sz w:val="24"/>
        </w:rPr>
        <w:t>27日，公司收到</w:t>
      </w:r>
      <w:r w:rsidR="00B80AEF">
        <w:rPr>
          <w:rFonts w:ascii="宋体" w:hAnsi="宋体" w:hint="eastAsia"/>
          <w:sz w:val="24"/>
        </w:rPr>
        <w:t>苏州中院</w:t>
      </w:r>
      <w:r w:rsidRPr="002F7B2D">
        <w:rPr>
          <w:rFonts w:ascii="宋体" w:hAnsi="宋体" w:hint="eastAsia"/>
          <w:sz w:val="24"/>
        </w:rPr>
        <w:t>送达的（2024）苏05破50号之四《民事裁定书》，苏州中院裁定公司重整计划执行完毕，终结公司重整程序。公司通过执行重整计划，引入重整投资人，已实现债务化解和历史遗留问题的解决，优化了公司资产负债结构，公司净资产由负转正，从根本上重建公司经营信用，改变经营困局，恢复经营秩序和经营能力，实现轻装上阵。本次重整成功后，</w:t>
      </w:r>
      <w:r>
        <w:rPr>
          <w:rFonts w:ascii="宋体" w:hAnsi="宋体" w:hint="eastAsia"/>
          <w:sz w:val="24"/>
        </w:rPr>
        <w:t>公司</w:t>
      </w:r>
      <w:r w:rsidRPr="002F7B2D">
        <w:rPr>
          <w:rFonts w:ascii="宋体" w:hAnsi="宋体" w:hint="eastAsia"/>
          <w:sz w:val="24"/>
        </w:rPr>
        <w:t>与产业投资人将立足良好合作基础，充分利用深度协同优势，</w:t>
      </w:r>
      <w:r w:rsidR="00FA5A29">
        <w:rPr>
          <w:rFonts w:asciiTheme="minorEastAsia" w:hAnsiTheme="minorEastAsia" w:cs="仿宋_GB2312" w:hint="eastAsia"/>
          <w:kern w:val="0"/>
          <w:sz w:val="24"/>
        </w:rPr>
        <w:t>聚焦线缆、</w:t>
      </w:r>
      <w:proofErr w:type="gramStart"/>
      <w:r w:rsidR="00FA5A29">
        <w:rPr>
          <w:rFonts w:asciiTheme="minorEastAsia" w:hAnsiTheme="minorEastAsia" w:cs="仿宋_GB2312" w:hint="eastAsia"/>
          <w:kern w:val="0"/>
          <w:sz w:val="24"/>
        </w:rPr>
        <w:t>光伏双主业</w:t>
      </w:r>
      <w:proofErr w:type="gramEnd"/>
      <w:r w:rsidR="00FA5A29">
        <w:rPr>
          <w:rFonts w:asciiTheme="minorEastAsia" w:hAnsiTheme="minorEastAsia" w:cs="仿宋_GB2312" w:hint="eastAsia"/>
          <w:kern w:val="0"/>
          <w:sz w:val="24"/>
        </w:rPr>
        <w:t>共同发展。</w:t>
      </w:r>
      <w:r w:rsidR="00CE0987">
        <w:rPr>
          <w:rFonts w:ascii="宋体" w:hAnsi="宋体" w:hint="eastAsia"/>
          <w:sz w:val="24"/>
        </w:rPr>
        <w:t>公司未来经营发展规划如下：</w:t>
      </w:r>
    </w:p>
    <w:p w14:paraId="401AD639" w14:textId="594DA9A3" w:rsidR="00FA5A29" w:rsidRPr="0054224C" w:rsidRDefault="0054224C" w:rsidP="0054224C">
      <w:pPr>
        <w:spacing w:line="360" w:lineRule="auto"/>
        <w:ind w:firstLineChars="200" w:firstLine="480"/>
        <w:rPr>
          <w:rFonts w:ascii="宋体" w:hAnsi="宋体"/>
          <w:sz w:val="24"/>
        </w:rPr>
      </w:pPr>
      <w:r w:rsidRPr="0054224C">
        <w:rPr>
          <w:rFonts w:ascii="宋体" w:hAnsi="宋体" w:hint="eastAsia"/>
          <w:sz w:val="24"/>
        </w:rPr>
        <w:t>1</w:t>
      </w:r>
      <w:r w:rsidR="00414CB4">
        <w:rPr>
          <w:rFonts w:ascii="宋体" w:hAnsi="宋体" w:hint="eastAsia"/>
          <w:sz w:val="24"/>
        </w:rPr>
        <w:t>.</w:t>
      </w:r>
      <w:r w:rsidR="00FA5A29" w:rsidRPr="0054224C">
        <w:rPr>
          <w:rFonts w:ascii="宋体" w:hAnsi="宋体" w:hint="eastAsia"/>
          <w:sz w:val="24"/>
        </w:rPr>
        <w:t>线缆业务</w:t>
      </w:r>
    </w:p>
    <w:p w14:paraId="60990D0A" w14:textId="59EDE3BD" w:rsidR="00FA5A29" w:rsidRPr="00C508B9" w:rsidRDefault="0054224C" w:rsidP="00FA5A29">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（1）</w:t>
      </w:r>
      <w:r w:rsidR="00FA5A29">
        <w:rPr>
          <w:rFonts w:asciiTheme="minorEastAsia" w:hAnsiTheme="minorEastAsia" w:cs="仿宋_GB2312" w:hint="eastAsia"/>
          <w:kern w:val="0"/>
          <w:sz w:val="24"/>
        </w:rPr>
        <w:t>融入国内国际双循环。强化国内</w:t>
      </w:r>
      <w:r w:rsidR="00FA5A29" w:rsidRPr="00827C68">
        <w:rPr>
          <w:rFonts w:asciiTheme="minorEastAsia" w:hAnsiTheme="minorEastAsia" w:cs="仿宋_GB2312" w:hint="eastAsia"/>
          <w:kern w:val="0"/>
          <w:sz w:val="24"/>
        </w:rPr>
        <w:t>市场拓展，</w:t>
      </w:r>
      <w:r w:rsidR="00FA5A29" w:rsidRPr="00A71731">
        <w:rPr>
          <w:rFonts w:asciiTheme="minorEastAsia" w:hAnsiTheme="minorEastAsia" w:cs="仿宋_GB2312" w:hint="eastAsia"/>
          <w:kern w:val="0"/>
          <w:sz w:val="24"/>
        </w:rPr>
        <w:t>加强与现有</w:t>
      </w:r>
      <w:r w:rsidR="00FA5A29">
        <w:rPr>
          <w:rFonts w:asciiTheme="minorEastAsia" w:hAnsiTheme="minorEastAsia" w:cs="仿宋_GB2312" w:hint="eastAsia"/>
          <w:kern w:val="0"/>
          <w:sz w:val="24"/>
        </w:rPr>
        <w:t>国内优质客户</w:t>
      </w:r>
      <w:r w:rsidR="00FA5A29">
        <w:rPr>
          <w:rFonts w:asciiTheme="minorEastAsia" w:hAnsiTheme="minorEastAsia" w:cs="仿宋_GB2312" w:hint="eastAsia"/>
          <w:kern w:val="0"/>
          <w:sz w:val="24"/>
        </w:rPr>
        <w:lastRenderedPageBreak/>
        <w:t>的</w:t>
      </w:r>
      <w:r w:rsidR="00FA5A29" w:rsidRPr="00A71731">
        <w:rPr>
          <w:rFonts w:asciiTheme="minorEastAsia" w:hAnsiTheme="minorEastAsia" w:cs="仿宋_GB2312" w:hint="eastAsia"/>
          <w:kern w:val="0"/>
          <w:sz w:val="24"/>
        </w:rPr>
        <w:t>业务联系，</w:t>
      </w:r>
      <w:r w:rsidR="00FA5A29">
        <w:rPr>
          <w:rFonts w:asciiTheme="minorEastAsia" w:hAnsiTheme="minorEastAsia" w:cs="仿宋_GB2312" w:hint="eastAsia"/>
          <w:kern w:val="0"/>
          <w:sz w:val="24"/>
        </w:rPr>
        <w:t>同时发挥与控股股东的业务协同优势，开发</w:t>
      </w:r>
      <w:r w:rsidR="00FA5A29" w:rsidRPr="00A71731">
        <w:rPr>
          <w:rFonts w:asciiTheme="minorEastAsia" w:hAnsiTheme="minorEastAsia" w:cs="仿宋_GB2312" w:hint="eastAsia"/>
          <w:kern w:val="0"/>
          <w:sz w:val="24"/>
        </w:rPr>
        <w:t>新客户群</w:t>
      </w:r>
      <w:r w:rsidR="00FA5A29">
        <w:rPr>
          <w:rFonts w:asciiTheme="minorEastAsia" w:hAnsiTheme="minorEastAsia" w:cs="仿宋_GB2312" w:hint="eastAsia"/>
          <w:kern w:val="0"/>
          <w:sz w:val="24"/>
        </w:rPr>
        <w:t>体，恢复并扩大市场份额；加快海外业务布局，组建国际化人才团队，推进线缆品牌国际化。</w:t>
      </w:r>
    </w:p>
    <w:p w14:paraId="6A962BA5" w14:textId="08B6AE08" w:rsidR="00FA5A29" w:rsidRPr="00C508B9" w:rsidRDefault="0054224C" w:rsidP="00FA5A29">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w:t>
      </w:r>
      <w:r>
        <w:rPr>
          <w:rFonts w:ascii="宋体" w:hAnsi="宋体" w:cs="仿宋_GB2312"/>
          <w:kern w:val="0"/>
          <w:sz w:val="24"/>
        </w:rPr>
        <w:t>2</w:t>
      </w:r>
      <w:r>
        <w:rPr>
          <w:rFonts w:ascii="宋体" w:hAnsi="宋体" w:cs="仿宋_GB2312" w:hint="eastAsia"/>
          <w:kern w:val="0"/>
          <w:sz w:val="24"/>
        </w:rPr>
        <w:t>）</w:t>
      </w:r>
      <w:proofErr w:type="gramStart"/>
      <w:r w:rsidR="00FA5A29" w:rsidRPr="00E12891">
        <w:rPr>
          <w:rFonts w:asciiTheme="minorEastAsia" w:hAnsiTheme="minorEastAsia" w:cs="仿宋_GB2312" w:hint="eastAsia"/>
          <w:kern w:val="0"/>
          <w:sz w:val="24"/>
        </w:rPr>
        <w:t>提升风控管理</w:t>
      </w:r>
      <w:proofErr w:type="gramEnd"/>
      <w:r w:rsidR="00FA5A29" w:rsidRPr="00E12891">
        <w:rPr>
          <w:rFonts w:asciiTheme="minorEastAsia" w:hAnsiTheme="minorEastAsia" w:cs="仿宋_GB2312" w:hint="eastAsia"/>
          <w:kern w:val="0"/>
          <w:sz w:val="24"/>
        </w:rPr>
        <w:t>，</w:t>
      </w:r>
      <w:r w:rsidR="00FA5A29">
        <w:rPr>
          <w:rFonts w:asciiTheme="minorEastAsia" w:hAnsiTheme="minorEastAsia" w:cs="仿宋_GB2312" w:hint="eastAsia"/>
          <w:kern w:val="0"/>
          <w:sz w:val="24"/>
        </w:rPr>
        <w:t>强化合</w:t>
      </w:r>
      <w:proofErr w:type="gramStart"/>
      <w:r w:rsidR="00FA5A29">
        <w:rPr>
          <w:rFonts w:asciiTheme="minorEastAsia" w:hAnsiTheme="minorEastAsia" w:cs="仿宋_GB2312" w:hint="eastAsia"/>
          <w:kern w:val="0"/>
          <w:sz w:val="24"/>
        </w:rPr>
        <w:t>规</w:t>
      </w:r>
      <w:proofErr w:type="gramEnd"/>
      <w:r w:rsidR="00FA5A29">
        <w:rPr>
          <w:rFonts w:asciiTheme="minorEastAsia" w:hAnsiTheme="minorEastAsia" w:cs="仿宋_GB2312" w:hint="eastAsia"/>
          <w:kern w:val="0"/>
          <w:sz w:val="24"/>
        </w:rPr>
        <w:t>经营</w:t>
      </w:r>
      <w:r w:rsidR="00FA5A29" w:rsidRPr="00E12891">
        <w:rPr>
          <w:rFonts w:asciiTheme="minorEastAsia" w:hAnsiTheme="minorEastAsia" w:cs="仿宋_GB2312"/>
          <w:kern w:val="0"/>
          <w:sz w:val="24"/>
        </w:rPr>
        <w:t>。</w:t>
      </w:r>
      <w:r w:rsidR="00FA5A29">
        <w:rPr>
          <w:rFonts w:asciiTheme="minorEastAsia" w:hAnsiTheme="minorEastAsia" w:cs="仿宋_GB2312" w:hint="eastAsia"/>
          <w:kern w:val="0"/>
          <w:sz w:val="24"/>
        </w:rPr>
        <w:t>通过科技赋能整合线缆板块产能</w:t>
      </w:r>
      <w:r w:rsidR="00FA5A29" w:rsidRPr="00C35ADE">
        <w:rPr>
          <w:rFonts w:asciiTheme="minorEastAsia" w:hAnsiTheme="minorEastAsia" w:cs="仿宋_GB2312" w:hint="eastAsia"/>
          <w:kern w:val="0"/>
          <w:sz w:val="24"/>
        </w:rPr>
        <w:t>，</w:t>
      </w:r>
      <w:r w:rsidR="00FA5A29">
        <w:rPr>
          <w:rFonts w:asciiTheme="minorEastAsia" w:hAnsiTheme="minorEastAsia" w:cs="仿宋_GB2312" w:hint="eastAsia"/>
          <w:kern w:val="0"/>
          <w:sz w:val="24"/>
        </w:rPr>
        <w:t>实现对各个生产基地的采、产、销全流程的风险识别</w:t>
      </w:r>
      <w:r w:rsidR="00FA5A29" w:rsidRPr="00C35ADE">
        <w:rPr>
          <w:rFonts w:asciiTheme="minorEastAsia" w:hAnsiTheme="minorEastAsia" w:cs="仿宋_GB2312" w:hint="eastAsia"/>
          <w:kern w:val="0"/>
          <w:sz w:val="24"/>
        </w:rPr>
        <w:t>，</w:t>
      </w:r>
      <w:r w:rsidR="00FA5A29">
        <w:rPr>
          <w:rFonts w:asciiTheme="minorEastAsia" w:hAnsiTheme="minorEastAsia" w:cs="仿宋_GB2312" w:hint="eastAsia"/>
          <w:kern w:val="0"/>
          <w:sz w:val="24"/>
        </w:rPr>
        <w:t>有效防范和降低</w:t>
      </w:r>
      <w:r w:rsidR="00FA5A29">
        <w:rPr>
          <w:rFonts w:asciiTheme="minorEastAsia" w:hAnsiTheme="minorEastAsia" w:cs="仿宋_GB2312"/>
          <w:kern w:val="0"/>
          <w:sz w:val="24"/>
        </w:rPr>
        <w:t>业务风险</w:t>
      </w:r>
      <w:r w:rsidR="00FA5A29">
        <w:rPr>
          <w:rFonts w:asciiTheme="minorEastAsia" w:hAnsiTheme="minorEastAsia" w:cs="仿宋_GB2312" w:hint="eastAsia"/>
          <w:kern w:val="0"/>
          <w:sz w:val="24"/>
        </w:rPr>
        <w:t>；强化合</w:t>
      </w:r>
      <w:proofErr w:type="gramStart"/>
      <w:r w:rsidR="00FA5A29">
        <w:rPr>
          <w:rFonts w:asciiTheme="minorEastAsia" w:hAnsiTheme="minorEastAsia" w:cs="仿宋_GB2312" w:hint="eastAsia"/>
          <w:kern w:val="0"/>
          <w:sz w:val="24"/>
        </w:rPr>
        <w:t>规</w:t>
      </w:r>
      <w:proofErr w:type="gramEnd"/>
      <w:r w:rsidR="00FA5A29">
        <w:rPr>
          <w:rFonts w:asciiTheme="minorEastAsia" w:hAnsiTheme="minorEastAsia" w:cs="仿宋_GB2312" w:hint="eastAsia"/>
          <w:kern w:val="0"/>
          <w:sz w:val="24"/>
        </w:rPr>
        <w:t>经营意识，加强采购成本、相关费用的管控力度，努力降低生产成本，提高经营效益</w:t>
      </w:r>
      <w:r w:rsidR="00FA5A29" w:rsidRPr="00C35ADE">
        <w:rPr>
          <w:rFonts w:asciiTheme="minorEastAsia" w:hAnsiTheme="minorEastAsia" w:cs="仿宋_GB2312" w:hint="eastAsia"/>
          <w:kern w:val="0"/>
          <w:sz w:val="24"/>
        </w:rPr>
        <w:t>。</w:t>
      </w:r>
      <w:r w:rsidR="00FA5A29">
        <w:rPr>
          <w:rFonts w:asciiTheme="minorEastAsia" w:hAnsiTheme="minorEastAsia" w:cs="仿宋_GB2312" w:hint="eastAsia"/>
          <w:kern w:val="0"/>
          <w:sz w:val="24"/>
        </w:rPr>
        <w:t xml:space="preserve">  </w:t>
      </w:r>
    </w:p>
    <w:p w14:paraId="1E15522E" w14:textId="2D9E82DD" w:rsidR="00FA5A29" w:rsidRPr="00C508B9" w:rsidRDefault="0054224C" w:rsidP="0054224C">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w:t>
      </w:r>
      <w:r>
        <w:rPr>
          <w:rFonts w:ascii="宋体" w:hAnsi="宋体" w:cs="仿宋_GB2312"/>
          <w:kern w:val="0"/>
          <w:sz w:val="24"/>
        </w:rPr>
        <w:t>3</w:t>
      </w:r>
      <w:r>
        <w:rPr>
          <w:rFonts w:ascii="宋体" w:hAnsi="宋体" w:cs="仿宋_GB2312" w:hint="eastAsia"/>
          <w:kern w:val="0"/>
          <w:sz w:val="24"/>
        </w:rPr>
        <w:t>）</w:t>
      </w:r>
      <w:r w:rsidR="00FA5A29">
        <w:rPr>
          <w:rFonts w:asciiTheme="minorEastAsia" w:hAnsiTheme="minorEastAsia" w:cs="仿宋_GB2312" w:hint="eastAsia"/>
          <w:kern w:val="0"/>
          <w:sz w:val="24"/>
        </w:rPr>
        <w:t>加强</w:t>
      </w:r>
      <w:r w:rsidR="00FA5A29" w:rsidRPr="00B80362">
        <w:rPr>
          <w:rFonts w:asciiTheme="minorEastAsia" w:hAnsiTheme="minorEastAsia" w:cs="仿宋_GB2312" w:hint="eastAsia"/>
          <w:kern w:val="0"/>
          <w:sz w:val="24"/>
        </w:rPr>
        <w:t>金融</w:t>
      </w:r>
      <w:r w:rsidR="00FA5A29">
        <w:rPr>
          <w:rFonts w:asciiTheme="minorEastAsia" w:hAnsiTheme="minorEastAsia" w:cs="仿宋_GB2312" w:hint="eastAsia"/>
          <w:kern w:val="0"/>
          <w:sz w:val="24"/>
        </w:rPr>
        <w:t>赋能，做好套期保值。建立金融工具管理制度，加强对金融工具的理解与运用，合理使用金融工具对冲原材料、产成品的价格波动风险，做好套期保值工作，稳定盈利水平。</w:t>
      </w:r>
    </w:p>
    <w:p w14:paraId="32FE5E24" w14:textId="3AFA575D" w:rsidR="00FA5A29" w:rsidRPr="0054224C" w:rsidRDefault="0054224C" w:rsidP="0054224C">
      <w:pPr>
        <w:spacing w:line="360" w:lineRule="auto"/>
        <w:ind w:firstLineChars="200" w:firstLine="480"/>
        <w:rPr>
          <w:rFonts w:ascii="宋体" w:hAnsi="宋体"/>
          <w:sz w:val="24"/>
        </w:rPr>
      </w:pPr>
      <w:r w:rsidRPr="0054224C">
        <w:rPr>
          <w:rFonts w:ascii="宋体" w:hAnsi="宋体" w:hint="eastAsia"/>
          <w:sz w:val="24"/>
        </w:rPr>
        <w:t>2</w:t>
      </w:r>
      <w:r w:rsidR="00414CB4">
        <w:rPr>
          <w:rFonts w:ascii="宋体" w:hAnsi="宋体" w:hint="eastAsia"/>
          <w:sz w:val="24"/>
        </w:rPr>
        <w:t>．</w:t>
      </w:r>
      <w:r w:rsidR="00FA5A29" w:rsidRPr="0054224C">
        <w:rPr>
          <w:rFonts w:ascii="宋体" w:hAnsi="宋体" w:hint="eastAsia"/>
          <w:sz w:val="24"/>
        </w:rPr>
        <w:t>光伏业务</w:t>
      </w:r>
    </w:p>
    <w:p w14:paraId="636E6417" w14:textId="1E2BDF0A" w:rsidR="00FA5A29" w:rsidRPr="00563BA8" w:rsidRDefault="0054224C" w:rsidP="00414CB4">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（1）</w:t>
      </w:r>
      <w:r w:rsidR="00FA5A29" w:rsidRPr="00563BA8">
        <w:rPr>
          <w:rFonts w:asciiTheme="minorEastAsia" w:hAnsiTheme="minorEastAsia" w:cs="仿宋_GB2312" w:hint="eastAsia"/>
          <w:kern w:val="0"/>
          <w:sz w:val="24"/>
        </w:rPr>
        <w:t>加强品牌</w:t>
      </w:r>
      <w:r w:rsidR="00FA5A29">
        <w:rPr>
          <w:rFonts w:asciiTheme="minorEastAsia" w:hAnsiTheme="minorEastAsia" w:cs="仿宋_GB2312" w:hint="eastAsia"/>
          <w:kern w:val="0"/>
          <w:sz w:val="24"/>
        </w:rPr>
        <w:t>影响力</w:t>
      </w:r>
      <w:r w:rsidR="00FA5A29" w:rsidRPr="00563BA8">
        <w:rPr>
          <w:rFonts w:asciiTheme="minorEastAsia" w:hAnsiTheme="minorEastAsia" w:cs="仿宋_GB2312" w:hint="eastAsia"/>
          <w:kern w:val="0"/>
          <w:sz w:val="24"/>
        </w:rPr>
        <w:t>，强化全球布局。</w:t>
      </w:r>
      <w:proofErr w:type="gramStart"/>
      <w:r w:rsidR="00FA5A29">
        <w:rPr>
          <w:rFonts w:asciiTheme="minorEastAsia" w:hAnsiTheme="minorEastAsia" w:cs="仿宋_GB2312" w:hint="eastAsia"/>
          <w:kern w:val="0"/>
          <w:sz w:val="24"/>
        </w:rPr>
        <w:t>以腾晖</w:t>
      </w:r>
      <w:proofErr w:type="gramEnd"/>
      <w:r w:rsidR="00FA5A29">
        <w:rPr>
          <w:rFonts w:asciiTheme="minorEastAsia" w:hAnsiTheme="minorEastAsia" w:cs="仿宋_GB2312" w:hint="eastAsia"/>
          <w:kern w:val="0"/>
          <w:sz w:val="24"/>
        </w:rPr>
        <w:t>光伏</w:t>
      </w:r>
      <w:r w:rsidR="00FA5A29" w:rsidRPr="00563BA8">
        <w:rPr>
          <w:rFonts w:asciiTheme="minorEastAsia" w:hAnsiTheme="minorEastAsia" w:cs="仿宋_GB2312" w:hint="eastAsia"/>
          <w:kern w:val="0"/>
          <w:sz w:val="24"/>
        </w:rPr>
        <w:t>重回彭博新能源</w:t>
      </w:r>
      <w:r w:rsidR="00FA5A29">
        <w:rPr>
          <w:rFonts w:asciiTheme="minorEastAsia" w:hAnsiTheme="minorEastAsia" w:cs="仿宋_GB2312" w:hint="eastAsia"/>
          <w:kern w:val="0"/>
          <w:sz w:val="24"/>
        </w:rPr>
        <w:t>财经</w:t>
      </w:r>
      <w:r w:rsidR="00FA5A29" w:rsidRPr="00563BA8">
        <w:rPr>
          <w:rFonts w:asciiTheme="minorEastAsia" w:hAnsiTheme="minorEastAsia" w:cs="仿宋_GB2312" w:hint="eastAsia"/>
          <w:kern w:val="0"/>
          <w:sz w:val="24"/>
        </w:rPr>
        <w:t>Tier1</w:t>
      </w:r>
      <w:r w:rsidR="00FA5A29" w:rsidRPr="00563BA8">
        <w:rPr>
          <w:rFonts w:asciiTheme="minorEastAsia" w:hAnsiTheme="minorEastAsia" w:cs="仿宋_GB2312" w:hint="eastAsia"/>
          <w:kern w:val="0"/>
          <w:sz w:val="24"/>
        </w:rPr>
        <w:t>名单</w:t>
      </w:r>
      <w:r w:rsidR="00FA5A29">
        <w:rPr>
          <w:rFonts w:asciiTheme="minorEastAsia" w:hAnsiTheme="minorEastAsia" w:cs="仿宋_GB2312" w:hint="eastAsia"/>
          <w:kern w:val="0"/>
          <w:sz w:val="24"/>
        </w:rPr>
        <w:t>为契机，加速品牌出海，增强全球</w:t>
      </w:r>
      <w:r w:rsidR="00FA5A29" w:rsidRPr="00563BA8">
        <w:rPr>
          <w:rFonts w:asciiTheme="minorEastAsia" w:hAnsiTheme="minorEastAsia" w:cs="仿宋_GB2312" w:hint="eastAsia"/>
          <w:kern w:val="0"/>
          <w:sz w:val="24"/>
        </w:rPr>
        <w:t>客户</w:t>
      </w:r>
      <w:proofErr w:type="gramStart"/>
      <w:r w:rsidR="00FA5A29" w:rsidRPr="00563BA8">
        <w:rPr>
          <w:rFonts w:asciiTheme="minorEastAsia" w:hAnsiTheme="minorEastAsia" w:cs="仿宋_GB2312" w:hint="eastAsia"/>
          <w:kern w:val="0"/>
          <w:sz w:val="24"/>
        </w:rPr>
        <w:t>对</w:t>
      </w:r>
      <w:r w:rsidR="00FA5A29">
        <w:rPr>
          <w:rFonts w:asciiTheme="minorEastAsia" w:hAnsiTheme="minorEastAsia" w:cs="仿宋_GB2312" w:hint="eastAsia"/>
          <w:kern w:val="0"/>
          <w:sz w:val="24"/>
        </w:rPr>
        <w:t>腾晖</w:t>
      </w:r>
      <w:proofErr w:type="gramEnd"/>
      <w:r w:rsidR="00FA5A29">
        <w:rPr>
          <w:rFonts w:asciiTheme="minorEastAsia" w:hAnsiTheme="minorEastAsia" w:cs="仿宋_GB2312" w:hint="eastAsia"/>
          <w:kern w:val="0"/>
          <w:sz w:val="24"/>
        </w:rPr>
        <w:t>光伏的认知度与信心。面对复杂多变的海外贸易环境，逐步完善海外配套产业链，强化海外高价值市场供应链稳定性。推动光</w:t>
      </w:r>
      <w:proofErr w:type="gramStart"/>
      <w:r w:rsidR="00FA5A29">
        <w:rPr>
          <w:rFonts w:asciiTheme="minorEastAsia" w:hAnsiTheme="minorEastAsia" w:cs="仿宋_GB2312" w:hint="eastAsia"/>
          <w:kern w:val="0"/>
          <w:sz w:val="24"/>
        </w:rPr>
        <w:t>伏海外</w:t>
      </w:r>
      <w:proofErr w:type="gramEnd"/>
      <w:r w:rsidR="00FA5A29">
        <w:rPr>
          <w:rFonts w:asciiTheme="minorEastAsia" w:hAnsiTheme="minorEastAsia" w:cs="仿宋_GB2312" w:hint="eastAsia"/>
          <w:kern w:val="0"/>
          <w:sz w:val="24"/>
        </w:rPr>
        <w:t>制造本土化，响应海外贸易政策，避免贸易壁垒、关税制裁等风险。</w:t>
      </w:r>
    </w:p>
    <w:p w14:paraId="1D02BE78" w14:textId="72D237F4" w:rsidR="00FA5A29" w:rsidRDefault="0054224C" w:rsidP="00414CB4">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w:t>
      </w:r>
      <w:r>
        <w:rPr>
          <w:rFonts w:ascii="宋体" w:hAnsi="宋体" w:cs="仿宋_GB2312"/>
          <w:kern w:val="0"/>
          <w:sz w:val="24"/>
        </w:rPr>
        <w:t>2</w:t>
      </w:r>
      <w:r>
        <w:rPr>
          <w:rFonts w:ascii="宋体" w:hAnsi="宋体" w:cs="仿宋_GB2312" w:hint="eastAsia"/>
          <w:kern w:val="0"/>
          <w:sz w:val="24"/>
        </w:rPr>
        <w:t>）</w:t>
      </w:r>
      <w:r w:rsidR="00FA5A29">
        <w:rPr>
          <w:rFonts w:asciiTheme="minorEastAsia" w:hAnsiTheme="minorEastAsia" w:cs="仿宋_GB2312" w:hint="eastAsia"/>
          <w:kern w:val="0"/>
          <w:sz w:val="24"/>
        </w:rPr>
        <w:t>坚持技术开发与</w:t>
      </w:r>
      <w:r w:rsidR="00FA5A29" w:rsidRPr="004C66E3">
        <w:rPr>
          <w:rFonts w:asciiTheme="minorEastAsia" w:hAnsiTheme="minorEastAsia" w:cs="仿宋_GB2312" w:hint="eastAsia"/>
          <w:kern w:val="0"/>
          <w:sz w:val="24"/>
        </w:rPr>
        <w:t>产品创新</w:t>
      </w:r>
      <w:r w:rsidR="00FA5A29">
        <w:rPr>
          <w:rFonts w:asciiTheme="minorEastAsia" w:hAnsiTheme="minorEastAsia" w:cs="仿宋_GB2312" w:hint="eastAsia"/>
          <w:kern w:val="0"/>
          <w:sz w:val="24"/>
        </w:rPr>
        <w:t>。</w:t>
      </w:r>
      <w:r w:rsidR="00FA5A29" w:rsidRPr="00AD7C93">
        <w:rPr>
          <w:rFonts w:asciiTheme="minorEastAsia" w:hAnsiTheme="minorEastAsia" w:cs="仿宋_GB2312" w:hint="eastAsia"/>
          <w:kern w:val="0"/>
          <w:sz w:val="24"/>
        </w:rPr>
        <w:t>密切关注国内外技术发展的前沿和趋势，</w:t>
      </w:r>
      <w:r w:rsidR="00FA5A29">
        <w:rPr>
          <w:rFonts w:asciiTheme="minorEastAsia" w:hAnsiTheme="minorEastAsia" w:cs="仿宋_GB2312" w:hint="eastAsia"/>
          <w:kern w:val="0"/>
          <w:sz w:val="24"/>
        </w:rPr>
        <w:t>在技术开发和产品创新方面保持合理投入，</w:t>
      </w:r>
      <w:r w:rsidR="00FA5A29" w:rsidRPr="00C3362F">
        <w:rPr>
          <w:rFonts w:asciiTheme="minorEastAsia" w:hAnsiTheme="minorEastAsia" w:cs="仿宋_GB2312" w:hint="eastAsia"/>
          <w:kern w:val="0"/>
          <w:sz w:val="24"/>
        </w:rPr>
        <w:t>聚焦构建长期可持续发展能力和技术优势</w:t>
      </w:r>
      <w:r w:rsidR="00FA5A29">
        <w:rPr>
          <w:rFonts w:asciiTheme="minorEastAsia" w:hAnsiTheme="minorEastAsia" w:cs="仿宋_GB2312" w:hint="eastAsia"/>
          <w:kern w:val="0"/>
          <w:sz w:val="24"/>
        </w:rPr>
        <w:t>。</w:t>
      </w:r>
    </w:p>
    <w:p w14:paraId="0D51BB97" w14:textId="21C2846D" w:rsidR="00FA5A29" w:rsidRDefault="0054224C" w:rsidP="00414CB4">
      <w:pPr>
        <w:spacing w:line="360" w:lineRule="auto"/>
        <w:ind w:firstLineChars="200" w:firstLine="480"/>
        <w:rPr>
          <w:rFonts w:asciiTheme="minorEastAsia" w:hAnsiTheme="minorEastAsia" w:cs="仿宋_GB2312"/>
          <w:kern w:val="0"/>
          <w:sz w:val="24"/>
        </w:rPr>
      </w:pPr>
      <w:r>
        <w:rPr>
          <w:rFonts w:ascii="宋体" w:hAnsi="宋体" w:cs="仿宋_GB2312" w:hint="eastAsia"/>
          <w:kern w:val="0"/>
          <w:sz w:val="24"/>
        </w:rPr>
        <w:t>（</w:t>
      </w:r>
      <w:r>
        <w:rPr>
          <w:rFonts w:ascii="宋体" w:hAnsi="宋体" w:cs="仿宋_GB2312"/>
          <w:kern w:val="0"/>
          <w:sz w:val="24"/>
        </w:rPr>
        <w:t>3</w:t>
      </w:r>
      <w:r>
        <w:rPr>
          <w:rFonts w:ascii="宋体" w:hAnsi="宋体" w:cs="仿宋_GB2312" w:hint="eastAsia"/>
          <w:kern w:val="0"/>
          <w:sz w:val="24"/>
        </w:rPr>
        <w:t>）</w:t>
      </w:r>
      <w:r w:rsidR="00FA5A29">
        <w:rPr>
          <w:rFonts w:asciiTheme="minorEastAsia" w:hAnsiTheme="minorEastAsia" w:cs="仿宋_GB2312" w:hint="eastAsia"/>
          <w:kern w:val="0"/>
          <w:sz w:val="24"/>
        </w:rPr>
        <w:t>科技赋能业务。</w:t>
      </w:r>
      <w:proofErr w:type="gramStart"/>
      <w:r w:rsidR="00FA5A29">
        <w:rPr>
          <w:rFonts w:asciiTheme="minorEastAsia" w:hAnsiTheme="minorEastAsia" w:cs="仿宋_GB2312" w:hint="eastAsia"/>
          <w:kern w:val="0"/>
          <w:sz w:val="24"/>
        </w:rPr>
        <w:t>推进业财</w:t>
      </w:r>
      <w:proofErr w:type="gramEnd"/>
      <w:r w:rsidR="00FA5A29">
        <w:rPr>
          <w:rFonts w:asciiTheme="minorEastAsia" w:hAnsiTheme="minorEastAsia" w:cs="仿宋_GB2312" w:hint="eastAsia"/>
          <w:kern w:val="0"/>
          <w:sz w:val="24"/>
        </w:rPr>
        <w:t>一体化新系统建设</w:t>
      </w:r>
      <w:r w:rsidR="00FA5A29" w:rsidRPr="00B146CA">
        <w:rPr>
          <w:rFonts w:asciiTheme="minorEastAsia" w:hAnsiTheme="minorEastAsia" w:cs="仿宋_GB2312" w:hint="eastAsia"/>
          <w:kern w:val="0"/>
          <w:sz w:val="24"/>
        </w:rPr>
        <w:t>，构建统一数字化管理平台</w:t>
      </w:r>
      <w:r w:rsidR="00FA5A29">
        <w:rPr>
          <w:rFonts w:asciiTheme="minorEastAsia" w:hAnsiTheme="minorEastAsia" w:cs="仿宋_GB2312" w:hint="eastAsia"/>
          <w:kern w:val="0"/>
          <w:sz w:val="24"/>
        </w:rPr>
        <w:t>，实现流程标准化，</w:t>
      </w:r>
      <w:r w:rsidR="00FA5A29" w:rsidRPr="00B146CA">
        <w:rPr>
          <w:rFonts w:asciiTheme="minorEastAsia" w:hAnsiTheme="minorEastAsia" w:cs="仿宋_GB2312" w:hint="eastAsia"/>
          <w:kern w:val="0"/>
          <w:sz w:val="24"/>
        </w:rPr>
        <w:t>强化风险</w:t>
      </w:r>
      <w:r w:rsidR="00FA5A29">
        <w:rPr>
          <w:rFonts w:asciiTheme="minorEastAsia" w:hAnsiTheme="minorEastAsia" w:cs="仿宋_GB2312" w:hint="eastAsia"/>
          <w:kern w:val="0"/>
          <w:sz w:val="24"/>
        </w:rPr>
        <w:t>识别、管控能力</w:t>
      </w:r>
      <w:r w:rsidR="00FA5A29" w:rsidRPr="00B146CA">
        <w:rPr>
          <w:rFonts w:asciiTheme="minorEastAsia" w:hAnsiTheme="minorEastAsia" w:cs="仿宋_GB2312" w:hint="eastAsia"/>
          <w:kern w:val="0"/>
          <w:sz w:val="24"/>
        </w:rPr>
        <w:t>。推进</w:t>
      </w:r>
      <w:proofErr w:type="gramStart"/>
      <w:r w:rsidR="00FA5A29" w:rsidRPr="00B146CA">
        <w:rPr>
          <w:rFonts w:asciiTheme="minorEastAsia" w:hAnsiTheme="minorEastAsia" w:cs="仿宋_GB2312" w:hint="eastAsia"/>
          <w:kern w:val="0"/>
          <w:sz w:val="24"/>
        </w:rPr>
        <w:t>主数据</w:t>
      </w:r>
      <w:proofErr w:type="gramEnd"/>
      <w:r w:rsidR="00FA5A29" w:rsidRPr="00B146CA">
        <w:rPr>
          <w:rFonts w:asciiTheme="minorEastAsia" w:hAnsiTheme="minorEastAsia" w:cs="仿宋_GB2312" w:hint="eastAsia"/>
          <w:kern w:val="0"/>
          <w:sz w:val="24"/>
        </w:rPr>
        <w:t>治理，</w:t>
      </w:r>
      <w:r w:rsidR="00FA5A29">
        <w:rPr>
          <w:rFonts w:asciiTheme="minorEastAsia" w:hAnsiTheme="minorEastAsia" w:cs="仿宋_GB2312" w:hint="eastAsia"/>
          <w:kern w:val="0"/>
          <w:sz w:val="24"/>
        </w:rPr>
        <w:t>提高管理精细度，提升业务核心竞争力</w:t>
      </w:r>
      <w:r w:rsidR="00FA5A29" w:rsidRPr="00B146CA">
        <w:rPr>
          <w:rFonts w:asciiTheme="minorEastAsia" w:hAnsiTheme="minorEastAsia" w:cs="仿宋_GB2312" w:hint="eastAsia"/>
          <w:kern w:val="0"/>
          <w:sz w:val="24"/>
        </w:rPr>
        <w:t>。</w:t>
      </w:r>
    </w:p>
    <w:p w14:paraId="2FA5D7EB" w14:textId="2C54C103" w:rsidR="00527898" w:rsidRDefault="00527898" w:rsidP="00414CB4">
      <w:pPr>
        <w:spacing w:line="360" w:lineRule="auto"/>
        <w:ind w:firstLineChars="200" w:firstLine="480"/>
        <w:rPr>
          <w:rStyle w:val="fontstyle01"/>
          <w:rFonts w:hint="default"/>
        </w:rPr>
      </w:pPr>
      <w:r>
        <w:rPr>
          <w:rStyle w:val="fontstyle01"/>
          <w:rFonts w:hint="default"/>
        </w:rPr>
        <w:t>目前公司日常运营管理和生产经营正常，已不存在影响持续经营的重大不利事项。因此，与持续经营相关的重大不确定性事项影响已经消除。</w:t>
      </w:r>
    </w:p>
    <w:p w14:paraId="4A7D4C42" w14:textId="79D8F50F" w:rsidR="00527898" w:rsidRPr="00414CB4" w:rsidRDefault="00527898" w:rsidP="00C313C1">
      <w:pPr>
        <w:spacing w:line="360" w:lineRule="auto"/>
        <w:ind w:firstLineChars="200" w:firstLine="420"/>
        <w:rPr>
          <w:rFonts w:ascii="宋体" w:cs="宋体"/>
          <w:color w:val="000000"/>
          <w:kern w:val="0"/>
          <w:sz w:val="24"/>
        </w:rPr>
      </w:pPr>
      <w:r w:rsidRPr="00414CB4">
        <w:rPr>
          <w:rFonts w:cs="宋体"/>
          <w:kern w:val="0"/>
        </w:rPr>
        <w:t>（二）</w:t>
      </w:r>
      <w:r w:rsidRPr="00414CB4">
        <w:rPr>
          <w:rFonts w:ascii="宋体" w:cs="宋体" w:hint="eastAsia"/>
          <w:color w:val="000000"/>
          <w:kern w:val="0"/>
          <w:sz w:val="24"/>
        </w:rPr>
        <w:t>强调事项</w:t>
      </w:r>
    </w:p>
    <w:p w14:paraId="0849768C" w14:textId="11F43D03" w:rsidR="00187CD7" w:rsidRDefault="00071FC7" w:rsidP="00EE59D0">
      <w:pPr>
        <w:spacing w:line="360" w:lineRule="auto"/>
        <w:ind w:firstLineChars="200" w:firstLine="480"/>
        <w:rPr>
          <w:rFonts w:ascii="宋体" w:cs="宋体"/>
          <w:color w:val="000000"/>
          <w:kern w:val="0"/>
          <w:sz w:val="24"/>
        </w:rPr>
      </w:pPr>
      <w:r>
        <w:rPr>
          <w:rFonts w:ascii="宋体" w:cs="宋体" w:hint="eastAsia"/>
          <w:color w:val="000000"/>
          <w:kern w:val="0"/>
          <w:sz w:val="24"/>
        </w:rPr>
        <w:t>1</w:t>
      </w:r>
      <w:r w:rsidR="00414CB4">
        <w:rPr>
          <w:rFonts w:ascii="宋体" w:cs="宋体" w:hint="eastAsia"/>
          <w:color w:val="000000"/>
          <w:kern w:val="0"/>
          <w:sz w:val="24"/>
        </w:rPr>
        <w:t>．</w:t>
      </w:r>
      <w:r w:rsidR="0027022E">
        <w:rPr>
          <w:rFonts w:ascii="宋体" w:cs="宋体" w:hint="eastAsia"/>
          <w:color w:val="000000"/>
          <w:kern w:val="0"/>
          <w:sz w:val="24"/>
        </w:rPr>
        <w:t>非经营性资金占用</w:t>
      </w:r>
      <w:r>
        <w:rPr>
          <w:rFonts w:ascii="宋体" w:cs="宋体" w:hint="eastAsia"/>
          <w:color w:val="000000"/>
          <w:kern w:val="0"/>
          <w:sz w:val="24"/>
        </w:rPr>
        <w:t>及违规担保事项</w:t>
      </w:r>
    </w:p>
    <w:p w14:paraId="361F3B6B" w14:textId="43C173F7" w:rsidR="00071FC7" w:rsidRPr="00071FC7" w:rsidRDefault="00071FC7" w:rsidP="00071FC7">
      <w:pPr>
        <w:spacing w:line="360" w:lineRule="auto"/>
        <w:ind w:firstLineChars="200" w:firstLine="480"/>
        <w:rPr>
          <w:rFonts w:ascii="宋体" w:cs="宋体"/>
          <w:color w:val="000000"/>
          <w:kern w:val="0"/>
          <w:sz w:val="24"/>
        </w:rPr>
      </w:pPr>
      <w:r>
        <w:rPr>
          <w:rFonts w:ascii="宋体" w:cs="宋体" w:hint="eastAsia"/>
          <w:color w:val="000000"/>
          <w:kern w:val="0"/>
          <w:sz w:val="24"/>
        </w:rPr>
        <w:t>（1）</w:t>
      </w:r>
      <w:r w:rsidRPr="00071FC7">
        <w:rPr>
          <w:rFonts w:ascii="宋体" w:cs="宋体" w:hint="eastAsia"/>
          <w:color w:val="000000"/>
          <w:kern w:val="0"/>
          <w:sz w:val="24"/>
        </w:rPr>
        <w:t>2024年11月8日，公司收到苏州中院送达的（2024）苏05破50号《民事裁定书》，受理申请人对公司的重整申请并指定管理人。</w:t>
      </w:r>
    </w:p>
    <w:p w14:paraId="67374472" w14:textId="77777777" w:rsidR="00071FC7" w:rsidRPr="00071FC7"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2024年12月12日，公司披露了《关于公司重整计划获得法院裁定批准的公告》和《江苏中利集团股份有限公司重整计划》，苏州中院裁定批准公司重整</w:t>
      </w:r>
      <w:r w:rsidRPr="00071FC7">
        <w:rPr>
          <w:rFonts w:ascii="宋体" w:cs="宋体" w:hint="eastAsia"/>
          <w:color w:val="000000"/>
          <w:kern w:val="0"/>
          <w:sz w:val="24"/>
        </w:rPr>
        <w:lastRenderedPageBreak/>
        <w:t>计划，并终止公司重整程序。</w:t>
      </w:r>
    </w:p>
    <w:p w14:paraId="4E49BBAE" w14:textId="77777777" w:rsidR="00071FC7" w:rsidRPr="00071FC7"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2024年12月27日，公司收到苏州中院送达的（2024）苏 05破50号之四《民事裁定书》，裁定确认公司重整计划执行完毕，终结公司重整程序。</w:t>
      </w:r>
    </w:p>
    <w:p w14:paraId="7DB1DC1F" w14:textId="4863B0A3" w:rsidR="00071FC7" w:rsidRPr="00071FC7"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公司、公司子公司分别与相关债权人签署了代为履行协议，同时签署了确认函，确认单方豁免标的债权，该协议</w:t>
      </w:r>
      <w:proofErr w:type="gramStart"/>
      <w:r w:rsidRPr="00071FC7">
        <w:rPr>
          <w:rFonts w:ascii="宋体" w:cs="宋体" w:hint="eastAsia"/>
          <w:color w:val="000000"/>
          <w:kern w:val="0"/>
          <w:sz w:val="24"/>
        </w:rPr>
        <w:t>自法院</w:t>
      </w:r>
      <w:proofErr w:type="gramEnd"/>
      <w:r w:rsidRPr="00071FC7">
        <w:rPr>
          <w:rFonts w:ascii="宋体" w:cs="宋体" w:hint="eastAsia"/>
          <w:color w:val="000000"/>
          <w:kern w:val="0"/>
          <w:sz w:val="24"/>
        </w:rPr>
        <w:t>裁定受理公司</w:t>
      </w:r>
      <w:proofErr w:type="gramStart"/>
      <w:r w:rsidRPr="00071FC7">
        <w:rPr>
          <w:rFonts w:ascii="宋体" w:cs="宋体" w:hint="eastAsia"/>
          <w:color w:val="000000"/>
          <w:kern w:val="0"/>
          <w:sz w:val="24"/>
        </w:rPr>
        <w:t>重整日</w:t>
      </w:r>
      <w:proofErr w:type="gramEnd"/>
      <w:r w:rsidRPr="00071FC7">
        <w:rPr>
          <w:rFonts w:ascii="宋体" w:cs="宋体" w:hint="eastAsia"/>
          <w:color w:val="000000"/>
          <w:kern w:val="0"/>
          <w:sz w:val="24"/>
        </w:rPr>
        <w:t>起生效。豁免目的旨在增厚江苏中利公司权益、填补江苏中利因非经营性资金占用而产生的损失，涉及的金额及相关利息共计112,483.48万元</w:t>
      </w:r>
      <w:r w:rsidR="00DB0142">
        <w:rPr>
          <w:rFonts w:ascii="宋体" w:cs="宋体" w:hint="eastAsia"/>
          <w:color w:val="000000"/>
          <w:kern w:val="0"/>
          <w:sz w:val="24"/>
        </w:rPr>
        <w:t>。</w:t>
      </w:r>
    </w:p>
    <w:p w14:paraId="2B569044" w14:textId="77777777" w:rsidR="00071FC7" w:rsidRPr="00071FC7"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全体财务投资人对江苏中利捐赠款项68,035.71万元，全额以现金形式汇入管理人银行账户。如新发现除已公告并解决的180,519.19万元非经营性资金占用问题，且在重整受理日前已发生的，则由全体财务投资人在各自投资份额内负责解决。</w:t>
      </w:r>
    </w:p>
    <w:p w14:paraId="7B20C29B" w14:textId="1A40D276" w:rsidR="00071FC7"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2025年1月9日，容诚会计师事务所（特殊普通合伙）出具了《关于江苏中利集团股份有限公司大股东及其附属企业非经营性资金占用清偿情况的专项说明》，说明公司大股东及其附属企业非经营性资金占用已于2024年6月1日至2024年12月16日期间已全部得到了清偿。</w:t>
      </w:r>
    </w:p>
    <w:p w14:paraId="4F3FF405" w14:textId="77018BAA" w:rsidR="00071FC7" w:rsidRDefault="00071FC7" w:rsidP="00071FC7">
      <w:pPr>
        <w:spacing w:line="360" w:lineRule="auto"/>
        <w:ind w:firstLineChars="200" w:firstLine="480"/>
        <w:rPr>
          <w:rFonts w:ascii="宋体" w:cs="宋体"/>
          <w:color w:val="000000"/>
          <w:kern w:val="0"/>
          <w:sz w:val="24"/>
        </w:rPr>
      </w:pPr>
      <w:r>
        <w:rPr>
          <w:rFonts w:ascii="宋体" w:cs="宋体" w:hint="eastAsia"/>
          <w:color w:val="000000"/>
          <w:kern w:val="0"/>
          <w:sz w:val="24"/>
        </w:rPr>
        <w:t>（2）</w:t>
      </w:r>
      <w:r w:rsidRPr="00071FC7">
        <w:rPr>
          <w:rFonts w:ascii="宋体" w:cs="宋体" w:hint="eastAsia"/>
          <w:color w:val="000000"/>
          <w:kern w:val="0"/>
          <w:sz w:val="24"/>
        </w:rPr>
        <w:t>2024年12月24日，公司、管理人及产业投资人签署重整投资协议，产业投资人承诺以现金形式就公司为承担违规担保债权清偿责任所实际付出的偿债资源对公司进行补偿。</w:t>
      </w:r>
    </w:p>
    <w:p w14:paraId="6DBDAA92" w14:textId="17400915" w:rsidR="00875D9B" w:rsidRPr="00071FC7" w:rsidRDefault="00875D9B"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公司违规担保问题已经通过产业投资人按照重整协议约定的兜底方式获得妥善解决。</w:t>
      </w:r>
    </w:p>
    <w:p w14:paraId="16DB0E4F" w14:textId="5153CF2E" w:rsidR="00071FC7" w:rsidRPr="0027022E" w:rsidRDefault="00071FC7" w:rsidP="00071FC7">
      <w:pPr>
        <w:spacing w:line="360" w:lineRule="auto"/>
        <w:ind w:firstLineChars="200" w:firstLine="480"/>
        <w:rPr>
          <w:rFonts w:ascii="宋体" w:cs="宋体"/>
          <w:color w:val="000000"/>
          <w:kern w:val="0"/>
          <w:sz w:val="24"/>
        </w:rPr>
      </w:pPr>
      <w:r w:rsidRPr="00071FC7">
        <w:rPr>
          <w:rFonts w:ascii="宋体" w:cs="宋体" w:hint="eastAsia"/>
          <w:color w:val="000000"/>
          <w:kern w:val="0"/>
          <w:sz w:val="24"/>
        </w:rPr>
        <w:t>2025年1月8日，上海加宁律师事务所出具了《关于江苏中利集团股份有限公司相关事项之法律意见书》，针对公司关联方资金占用和违规担保问题整改情况发表了专项说明。</w:t>
      </w:r>
    </w:p>
    <w:p w14:paraId="4E4DBF33" w14:textId="341CAC2A" w:rsidR="00071FC7" w:rsidRDefault="00071FC7" w:rsidP="00071FC7">
      <w:pPr>
        <w:spacing w:line="360" w:lineRule="auto"/>
        <w:ind w:firstLineChars="200" w:firstLine="480"/>
        <w:rPr>
          <w:rFonts w:ascii="宋体" w:hAnsi="宋体"/>
          <w:sz w:val="24"/>
        </w:rPr>
      </w:pPr>
      <w:r>
        <w:rPr>
          <w:rFonts w:ascii="宋体" w:hAnsi="宋体" w:hint="eastAsia"/>
          <w:sz w:val="24"/>
        </w:rPr>
        <w:t>2</w:t>
      </w:r>
      <w:r w:rsidR="00414CB4">
        <w:rPr>
          <w:rFonts w:ascii="宋体" w:hAnsi="宋体" w:hint="eastAsia"/>
          <w:sz w:val="24"/>
        </w:rPr>
        <w:t>．</w:t>
      </w:r>
      <w:r w:rsidRPr="003C11C9">
        <w:rPr>
          <w:rFonts w:ascii="宋体" w:hAnsi="宋体" w:hint="eastAsia"/>
          <w:sz w:val="24"/>
        </w:rPr>
        <w:t>中国证监会于2024年6月28日下发对公司的《行政处罚</w:t>
      </w:r>
      <w:r>
        <w:rPr>
          <w:rFonts w:ascii="宋体" w:hAnsi="宋体" w:hint="eastAsia"/>
          <w:sz w:val="24"/>
        </w:rPr>
        <w:t>决定</w:t>
      </w:r>
      <w:r w:rsidRPr="003C11C9">
        <w:rPr>
          <w:rFonts w:ascii="宋体" w:hAnsi="宋体" w:hint="eastAsia"/>
          <w:sz w:val="24"/>
        </w:rPr>
        <w:t>书》</w:t>
      </w:r>
      <w:r>
        <w:rPr>
          <w:rFonts w:ascii="宋体" w:hAnsi="宋体" w:hint="eastAsia"/>
          <w:sz w:val="24"/>
        </w:rPr>
        <w:t>，对相关人员进行了处罚。</w:t>
      </w:r>
    </w:p>
    <w:p w14:paraId="7D07FFC3" w14:textId="77777777" w:rsidR="00071FC7" w:rsidRDefault="00071FC7" w:rsidP="00071FC7">
      <w:pPr>
        <w:spacing w:line="360" w:lineRule="auto"/>
        <w:ind w:firstLineChars="200" w:firstLine="480"/>
        <w:rPr>
          <w:rFonts w:ascii="宋体" w:hAnsi="宋体"/>
          <w:sz w:val="24"/>
        </w:rPr>
      </w:pPr>
      <w:r w:rsidRPr="00C313C1">
        <w:rPr>
          <w:rFonts w:ascii="宋体" w:hAnsi="宋体" w:hint="eastAsia"/>
          <w:sz w:val="24"/>
        </w:rPr>
        <w:t>综上所述，公司董事会认为</w:t>
      </w:r>
      <w:r w:rsidRPr="00885BBA">
        <w:rPr>
          <w:rFonts w:ascii="宋体" w:hAnsi="宋体" w:hint="eastAsia"/>
          <w:sz w:val="24"/>
        </w:rPr>
        <w:t>2023年度审计报告</w:t>
      </w:r>
      <w:proofErr w:type="gramStart"/>
      <w:r w:rsidRPr="00885BBA">
        <w:rPr>
          <w:rFonts w:ascii="宋体" w:hAnsi="宋体" w:hint="eastAsia"/>
          <w:sz w:val="24"/>
        </w:rPr>
        <w:t>带持续</w:t>
      </w:r>
      <w:proofErr w:type="gramEnd"/>
      <w:r w:rsidRPr="00885BBA">
        <w:rPr>
          <w:rFonts w:ascii="宋体" w:hAnsi="宋体" w:hint="eastAsia"/>
          <w:sz w:val="24"/>
        </w:rPr>
        <w:t>经营相关的重大不确定性与强调事项段的无保留意见</w:t>
      </w:r>
      <w:r w:rsidRPr="00C313C1">
        <w:rPr>
          <w:rFonts w:ascii="宋体" w:hAnsi="宋体" w:hint="eastAsia"/>
          <w:sz w:val="24"/>
        </w:rPr>
        <w:t>所涉及事项的影响已消除。</w:t>
      </w:r>
    </w:p>
    <w:p w14:paraId="529BA35F" w14:textId="77777777" w:rsidR="002D407D" w:rsidRDefault="002D407D" w:rsidP="002D407D">
      <w:pPr>
        <w:spacing w:line="360" w:lineRule="auto"/>
        <w:ind w:firstLineChars="200" w:firstLine="480"/>
        <w:jc w:val="right"/>
        <w:rPr>
          <w:rFonts w:ascii="宋体" w:hAnsi="宋体"/>
          <w:sz w:val="24"/>
        </w:rPr>
      </w:pPr>
      <w:bookmarkStart w:id="0" w:name="_GoBack"/>
      <w:bookmarkEnd w:id="0"/>
      <w:r>
        <w:rPr>
          <w:rFonts w:ascii="宋体" w:hAnsi="宋体" w:hint="eastAsia"/>
          <w:sz w:val="24"/>
        </w:rPr>
        <w:t>江苏中利集团股份有限公司董事会</w:t>
      </w:r>
    </w:p>
    <w:p w14:paraId="37D74B07" w14:textId="2ED2152D" w:rsidR="000F5C9F" w:rsidRDefault="002D407D" w:rsidP="00A33BCA">
      <w:pPr>
        <w:spacing w:line="360" w:lineRule="auto"/>
        <w:ind w:right="720" w:firstLineChars="200" w:firstLine="480"/>
        <w:jc w:val="right"/>
        <w:rPr>
          <w:rFonts w:hAnsi="宋体"/>
        </w:rPr>
      </w:pPr>
      <w:r>
        <w:rPr>
          <w:rFonts w:ascii="宋体" w:hAnsi="宋体" w:hint="eastAsia"/>
          <w:sz w:val="24"/>
        </w:rPr>
        <w:t>2</w:t>
      </w:r>
      <w:r>
        <w:rPr>
          <w:rFonts w:ascii="宋体" w:hAnsi="宋体"/>
          <w:sz w:val="24"/>
        </w:rPr>
        <w:t>02</w:t>
      </w:r>
      <w:r w:rsidR="001908ED">
        <w:rPr>
          <w:rFonts w:ascii="宋体" w:hAnsi="宋体"/>
          <w:sz w:val="24"/>
        </w:rPr>
        <w:t>5</w:t>
      </w:r>
      <w:r>
        <w:rPr>
          <w:rFonts w:ascii="宋体" w:hAnsi="宋体" w:hint="eastAsia"/>
          <w:sz w:val="24"/>
        </w:rPr>
        <w:t>年</w:t>
      </w:r>
      <w:r>
        <w:rPr>
          <w:rFonts w:ascii="宋体" w:hAnsi="宋体"/>
          <w:sz w:val="24"/>
        </w:rPr>
        <w:t>4</w:t>
      </w:r>
      <w:r>
        <w:rPr>
          <w:rFonts w:ascii="宋体" w:hAnsi="宋体" w:hint="eastAsia"/>
          <w:sz w:val="24"/>
        </w:rPr>
        <w:t>月</w:t>
      </w:r>
      <w:r w:rsidR="006556E8">
        <w:rPr>
          <w:rFonts w:ascii="宋体" w:hAnsi="宋体"/>
          <w:sz w:val="24"/>
        </w:rPr>
        <w:t>22</w:t>
      </w:r>
      <w:r w:rsidR="006856E5">
        <w:rPr>
          <w:rFonts w:ascii="宋体" w:hAnsi="宋体" w:hint="eastAsia"/>
          <w:sz w:val="24"/>
        </w:rPr>
        <w:t>日</w:t>
      </w:r>
    </w:p>
    <w:sectPr w:rsidR="000F5C9F" w:rsidSect="009B19D5">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EC410" w14:textId="77777777" w:rsidR="002E709A" w:rsidRDefault="002E709A">
      <w:r>
        <w:separator/>
      </w:r>
    </w:p>
  </w:endnote>
  <w:endnote w:type="continuationSeparator" w:id="0">
    <w:p w14:paraId="0F88E4F6" w14:textId="77777777" w:rsidR="002E709A" w:rsidRDefault="002E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95356"/>
      <w:docPartObj>
        <w:docPartGallery w:val="Page Numbers (Bottom of Page)"/>
        <w:docPartUnique/>
      </w:docPartObj>
    </w:sdtPr>
    <w:sdtEndPr/>
    <w:sdtContent>
      <w:sdt>
        <w:sdtPr>
          <w:id w:val="-1705238520"/>
          <w:docPartObj>
            <w:docPartGallery w:val="Page Numbers (Top of Page)"/>
            <w:docPartUnique/>
          </w:docPartObj>
        </w:sdtPr>
        <w:sdtEndPr/>
        <w:sdtContent>
          <w:p w14:paraId="51A193CC" w14:textId="76EE8AB3" w:rsidR="00A67F21" w:rsidRDefault="00A67F21" w:rsidP="00A67F2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14CB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14CB4">
              <w:rPr>
                <w:b/>
                <w:bCs/>
                <w:noProof/>
              </w:rPr>
              <w:t>4</w:t>
            </w:r>
            <w:r>
              <w:rPr>
                <w:b/>
                <w:bCs/>
                <w:sz w:val="24"/>
                <w:szCs w:val="24"/>
              </w:rPr>
              <w:fldChar w:fldCharType="end"/>
            </w:r>
          </w:p>
        </w:sdtContent>
      </w:sdt>
    </w:sdtContent>
  </w:sdt>
  <w:p w14:paraId="03D6EA50" w14:textId="77777777" w:rsidR="00A67F21" w:rsidRDefault="00A67F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C8451" w14:textId="77777777" w:rsidR="002E709A" w:rsidRDefault="002E709A">
      <w:r>
        <w:separator/>
      </w:r>
    </w:p>
  </w:footnote>
  <w:footnote w:type="continuationSeparator" w:id="0">
    <w:p w14:paraId="5E70C109" w14:textId="77777777" w:rsidR="002E709A" w:rsidRDefault="002E70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A78"/>
    <w:multiLevelType w:val="hybridMultilevel"/>
    <w:tmpl w:val="CAFCDBE8"/>
    <w:lvl w:ilvl="0" w:tplc="A95E00E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ED66A8"/>
    <w:multiLevelType w:val="hybridMultilevel"/>
    <w:tmpl w:val="070C91DC"/>
    <w:lvl w:ilvl="0" w:tplc="758E22C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F07F4"/>
    <w:multiLevelType w:val="hybridMultilevel"/>
    <w:tmpl w:val="955A0F3E"/>
    <w:lvl w:ilvl="0" w:tplc="F73081D0">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C46478"/>
    <w:multiLevelType w:val="hybridMultilevel"/>
    <w:tmpl w:val="63FAC8A6"/>
    <w:lvl w:ilvl="0" w:tplc="B8C2A27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3225E"/>
    <w:multiLevelType w:val="hybridMultilevel"/>
    <w:tmpl w:val="972264AE"/>
    <w:lvl w:ilvl="0" w:tplc="A4E6BF6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DF1C1B"/>
    <w:multiLevelType w:val="hybridMultilevel"/>
    <w:tmpl w:val="99B67B14"/>
    <w:lvl w:ilvl="0" w:tplc="BD784E9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234FC1"/>
    <w:multiLevelType w:val="hybridMultilevel"/>
    <w:tmpl w:val="38D0DB92"/>
    <w:lvl w:ilvl="0" w:tplc="B3B84458">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28E325A"/>
    <w:multiLevelType w:val="hybridMultilevel"/>
    <w:tmpl w:val="257EB572"/>
    <w:lvl w:ilvl="0" w:tplc="4C023D76">
      <w:start w:val="1"/>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6F4A4AC"/>
    <w:multiLevelType w:val="singleLevel"/>
    <w:tmpl w:val="56F4A4AC"/>
    <w:lvl w:ilvl="0">
      <w:start w:val="1"/>
      <w:numFmt w:val="chineseCounting"/>
      <w:suff w:val="nothing"/>
      <w:lvlText w:val="%1、"/>
      <w:lvlJc w:val="left"/>
    </w:lvl>
  </w:abstractNum>
  <w:abstractNum w:abstractNumId="9" w15:restartNumberingAfterBreak="0">
    <w:nsid w:val="56F4A50F"/>
    <w:multiLevelType w:val="singleLevel"/>
    <w:tmpl w:val="56F4A50F"/>
    <w:lvl w:ilvl="0">
      <w:start w:val="3"/>
      <w:numFmt w:val="chineseCounting"/>
      <w:suff w:val="nothing"/>
      <w:lvlText w:val="%1、"/>
      <w:lvlJc w:val="left"/>
    </w:lvl>
  </w:abstractNum>
  <w:abstractNum w:abstractNumId="10" w15:restartNumberingAfterBreak="0">
    <w:nsid w:val="6B992C70"/>
    <w:multiLevelType w:val="hybridMultilevel"/>
    <w:tmpl w:val="CA48C82C"/>
    <w:lvl w:ilvl="0" w:tplc="1FAC60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9"/>
  </w:num>
  <w:num w:numId="3">
    <w:abstractNumId w:val="4"/>
  </w:num>
  <w:num w:numId="4">
    <w:abstractNumId w:val="5"/>
  </w:num>
  <w:num w:numId="5">
    <w:abstractNumId w:val="2"/>
  </w:num>
  <w:num w:numId="6">
    <w:abstractNumId w:val="3"/>
  </w:num>
  <w:num w:numId="7">
    <w:abstractNumId w:val="10"/>
  </w:num>
  <w:num w:numId="8">
    <w:abstractNumId w:val="0"/>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BE"/>
    <w:rsid w:val="000051CB"/>
    <w:rsid w:val="0001009C"/>
    <w:rsid w:val="00010745"/>
    <w:rsid w:val="00014635"/>
    <w:rsid w:val="00016DF9"/>
    <w:rsid w:val="00017F96"/>
    <w:rsid w:val="0002165D"/>
    <w:rsid w:val="00021E00"/>
    <w:rsid w:val="00024ABC"/>
    <w:rsid w:val="00024DEF"/>
    <w:rsid w:val="000251FF"/>
    <w:rsid w:val="00025E4E"/>
    <w:rsid w:val="000274E2"/>
    <w:rsid w:val="000313E0"/>
    <w:rsid w:val="00040FB2"/>
    <w:rsid w:val="0004440D"/>
    <w:rsid w:val="00044BA2"/>
    <w:rsid w:val="000479B8"/>
    <w:rsid w:val="000567AC"/>
    <w:rsid w:val="00060E83"/>
    <w:rsid w:val="00062F17"/>
    <w:rsid w:val="00071FC7"/>
    <w:rsid w:val="00073DC1"/>
    <w:rsid w:val="000755A8"/>
    <w:rsid w:val="00075923"/>
    <w:rsid w:val="00081887"/>
    <w:rsid w:val="00084393"/>
    <w:rsid w:val="00085DBE"/>
    <w:rsid w:val="0009122A"/>
    <w:rsid w:val="0009302E"/>
    <w:rsid w:val="00094B1A"/>
    <w:rsid w:val="000A020F"/>
    <w:rsid w:val="000A30E5"/>
    <w:rsid w:val="000A430A"/>
    <w:rsid w:val="000A4CE4"/>
    <w:rsid w:val="000A59F3"/>
    <w:rsid w:val="000B3427"/>
    <w:rsid w:val="000B3B3B"/>
    <w:rsid w:val="000C364B"/>
    <w:rsid w:val="000C79CF"/>
    <w:rsid w:val="000D1280"/>
    <w:rsid w:val="000D309F"/>
    <w:rsid w:val="000D31FC"/>
    <w:rsid w:val="000D343E"/>
    <w:rsid w:val="000D4847"/>
    <w:rsid w:val="000D496C"/>
    <w:rsid w:val="000D7F22"/>
    <w:rsid w:val="000E0CD0"/>
    <w:rsid w:val="000E2E0B"/>
    <w:rsid w:val="000F5C9F"/>
    <w:rsid w:val="00101554"/>
    <w:rsid w:val="001029C9"/>
    <w:rsid w:val="00105837"/>
    <w:rsid w:val="00110428"/>
    <w:rsid w:val="0011418F"/>
    <w:rsid w:val="0011512D"/>
    <w:rsid w:val="00115999"/>
    <w:rsid w:val="00115D29"/>
    <w:rsid w:val="001165F1"/>
    <w:rsid w:val="001175E0"/>
    <w:rsid w:val="00122FAD"/>
    <w:rsid w:val="00125B78"/>
    <w:rsid w:val="00125EA2"/>
    <w:rsid w:val="00131566"/>
    <w:rsid w:val="00136C34"/>
    <w:rsid w:val="00140216"/>
    <w:rsid w:val="00147105"/>
    <w:rsid w:val="00152C46"/>
    <w:rsid w:val="0015793E"/>
    <w:rsid w:val="001601E7"/>
    <w:rsid w:val="00167BC1"/>
    <w:rsid w:val="00171D73"/>
    <w:rsid w:val="001727FC"/>
    <w:rsid w:val="00172BC2"/>
    <w:rsid w:val="001748E1"/>
    <w:rsid w:val="00177777"/>
    <w:rsid w:val="00177A5E"/>
    <w:rsid w:val="0018272D"/>
    <w:rsid w:val="00184AE9"/>
    <w:rsid w:val="00186E6E"/>
    <w:rsid w:val="00187CD7"/>
    <w:rsid w:val="00190023"/>
    <w:rsid w:val="001908ED"/>
    <w:rsid w:val="00196A15"/>
    <w:rsid w:val="0019737B"/>
    <w:rsid w:val="001B0C96"/>
    <w:rsid w:val="001B5C4F"/>
    <w:rsid w:val="001B7B5E"/>
    <w:rsid w:val="001C6E00"/>
    <w:rsid w:val="001D30F3"/>
    <w:rsid w:val="001D3E9A"/>
    <w:rsid w:val="001D4897"/>
    <w:rsid w:val="001D5366"/>
    <w:rsid w:val="001E3655"/>
    <w:rsid w:val="001E753F"/>
    <w:rsid w:val="001E7C80"/>
    <w:rsid w:val="001F050B"/>
    <w:rsid w:val="001F3F80"/>
    <w:rsid w:val="001F6FAD"/>
    <w:rsid w:val="00201088"/>
    <w:rsid w:val="00202096"/>
    <w:rsid w:val="0020439E"/>
    <w:rsid w:val="00205F47"/>
    <w:rsid w:val="002075A2"/>
    <w:rsid w:val="00210732"/>
    <w:rsid w:val="002151CA"/>
    <w:rsid w:val="00215448"/>
    <w:rsid w:val="0021672D"/>
    <w:rsid w:val="00220F49"/>
    <w:rsid w:val="002229AC"/>
    <w:rsid w:val="00223776"/>
    <w:rsid w:val="002302F4"/>
    <w:rsid w:val="00230941"/>
    <w:rsid w:val="00231755"/>
    <w:rsid w:val="00233081"/>
    <w:rsid w:val="00235AB7"/>
    <w:rsid w:val="002366B1"/>
    <w:rsid w:val="00243FB3"/>
    <w:rsid w:val="002462BF"/>
    <w:rsid w:val="002503C8"/>
    <w:rsid w:val="00252385"/>
    <w:rsid w:val="0025386D"/>
    <w:rsid w:val="0025439D"/>
    <w:rsid w:val="0025499C"/>
    <w:rsid w:val="00260EB6"/>
    <w:rsid w:val="0026165B"/>
    <w:rsid w:val="00265958"/>
    <w:rsid w:val="0026634B"/>
    <w:rsid w:val="00267C36"/>
    <w:rsid w:val="00267F76"/>
    <w:rsid w:val="0027022E"/>
    <w:rsid w:val="0027179A"/>
    <w:rsid w:val="002762AC"/>
    <w:rsid w:val="00277544"/>
    <w:rsid w:val="00280208"/>
    <w:rsid w:val="00280566"/>
    <w:rsid w:val="00280EE9"/>
    <w:rsid w:val="002830BE"/>
    <w:rsid w:val="00286991"/>
    <w:rsid w:val="00286DA7"/>
    <w:rsid w:val="0029269A"/>
    <w:rsid w:val="00294A8C"/>
    <w:rsid w:val="0029541C"/>
    <w:rsid w:val="00297B78"/>
    <w:rsid w:val="002A6386"/>
    <w:rsid w:val="002A6F64"/>
    <w:rsid w:val="002B22DD"/>
    <w:rsid w:val="002C059B"/>
    <w:rsid w:val="002C05B1"/>
    <w:rsid w:val="002C311E"/>
    <w:rsid w:val="002C7D99"/>
    <w:rsid w:val="002D0D4C"/>
    <w:rsid w:val="002D0F1E"/>
    <w:rsid w:val="002D407D"/>
    <w:rsid w:val="002E10A1"/>
    <w:rsid w:val="002E1868"/>
    <w:rsid w:val="002E6CCD"/>
    <w:rsid w:val="002E709A"/>
    <w:rsid w:val="002F68B1"/>
    <w:rsid w:val="002F7B2D"/>
    <w:rsid w:val="00301BE5"/>
    <w:rsid w:val="00302F19"/>
    <w:rsid w:val="003036DC"/>
    <w:rsid w:val="00304839"/>
    <w:rsid w:val="00307B0A"/>
    <w:rsid w:val="00307FFE"/>
    <w:rsid w:val="003126BC"/>
    <w:rsid w:val="00312F64"/>
    <w:rsid w:val="00313D8A"/>
    <w:rsid w:val="003140B8"/>
    <w:rsid w:val="003201BF"/>
    <w:rsid w:val="00320C18"/>
    <w:rsid w:val="003217AE"/>
    <w:rsid w:val="00322B32"/>
    <w:rsid w:val="00324C9E"/>
    <w:rsid w:val="00331384"/>
    <w:rsid w:val="00334B5B"/>
    <w:rsid w:val="0033735A"/>
    <w:rsid w:val="00337D0C"/>
    <w:rsid w:val="00344687"/>
    <w:rsid w:val="0034516B"/>
    <w:rsid w:val="00347617"/>
    <w:rsid w:val="003476A9"/>
    <w:rsid w:val="0035437D"/>
    <w:rsid w:val="003604B5"/>
    <w:rsid w:val="0036467C"/>
    <w:rsid w:val="0036673C"/>
    <w:rsid w:val="0037693F"/>
    <w:rsid w:val="00377AB4"/>
    <w:rsid w:val="003826E8"/>
    <w:rsid w:val="0039541B"/>
    <w:rsid w:val="003A0F80"/>
    <w:rsid w:val="003A1B68"/>
    <w:rsid w:val="003A6870"/>
    <w:rsid w:val="003A6BB6"/>
    <w:rsid w:val="003B2152"/>
    <w:rsid w:val="003B4DB4"/>
    <w:rsid w:val="003B6B3E"/>
    <w:rsid w:val="003C0875"/>
    <w:rsid w:val="003C11B1"/>
    <w:rsid w:val="003C11C9"/>
    <w:rsid w:val="003C2D17"/>
    <w:rsid w:val="003C38E6"/>
    <w:rsid w:val="003D3F65"/>
    <w:rsid w:val="003E2DCD"/>
    <w:rsid w:val="003E4749"/>
    <w:rsid w:val="003E65C8"/>
    <w:rsid w:val="003E7A84"/>
    <w:rsid w:val="003F012D"/>
    <w:rsid w:val="003F0B44"/>
    <w:rsid w:val="003F0DF2"/>
    <w:rsid w:val="003F4DD5"/>
    <w:rsid w:val="003F532B"/>
    <w:rsid w:val="003F5396"/>
    <w:rsid w:val="004057A5"/>
    <w:rsid w:val="004058BA"/>
    <w:rsid w:val="00405A6E"/>
    <w:rsid w:val="00405A9E"/>
    <w:rsid w:val="00407159"/>
    <w:rsid w:val="004077BD"/>
    <w:rsid w:val="00411BED"/>
    <w:rsid w:val="00414CB4"/>
    <w:rsid w:val="00414D95"/>
    <w:rsid w:val="00415AF5"/>
    <w:rsid w:val="004160D8"/>
    <w:rsid w:val="00420BD0"/>
    <w:rsid w:val="00423DAC"/>
    <w:rsid w:val="00427189"/>
    <w:rsid w:val="004278A1"/>
    <w:rsid w:val="00432048"/>
    <w:rsid w:val="00435195"/>
    <w:rsid w:val="004403C0"/>
    <w:rsid w:val="00441049"/>
    <w:rsid w:val="00445553"/>
    <w:rsid w:val="00446D9B"/>
    <w:rsid w:val="00453D2E"/>
    <w:rsid w:val="0046178D"/>
    <w:rsid w:val="00470F3F"/>
    <w:rsid w:val="004712A8"/>
    <w:rsid w:val="00472C61"/>
    <w:rsid w:val="00473CCE"/>
    <w:rsid w:val="0047752D"/>
    <w:rsid w:val="00481834"/>
    <w:rsid w:val="0048735E"/>
    <w:rsid w:val="00496BBF"/>
    <w:rsid w:val="004A10EC"/>
    <w:rsid w:val="004A1487"/>
    <w:rsid w:val="004A2E0A"/>
    <w:rsid w:val="004A3946"/>
    <w:rsid w:val="004B183A"/>
    <w:rsid w:val="004B1B76"/>
    <w:rsid w:val="004B65FB"/>
    <w:rsid w:val="004D1D60"/>
    <w:rsid w:val="004D31B3"/>
    <w:rsid w:val="004E13F8"/>
    <w:rsid w:val="004E1BE3"/>
    <w:rsid w:val="004E2E30"/>
    <w:rsid w:val="004E32E0"/>
    <w:rsid w:val="004E37E5"/>
    <w:rsid w:val="004E500B"/>
    <w:rsid w:val="004E7DDD"/>
    <w:rsid w:val="004F07AE"/>
    <w:rsid w:val="004F687C"/>
    <w:rsid w:val="005043EF"/>
    <w:rsid w:val="005066F8"/>
    <w:rsid w:val="00507EF6"/>
    <w:rsid w:val="00510311"/>
    <w:rsid w:val="00515E06"/>
    <w:rsid w:val="005238CF"/>
    <w:rsid w:val="00524B5E"/>
    <w:rsid w:val="005250DD"/>
    <w:rsid w:val="00526254"/>
    <w:rsid w:val="00527898"/>
    <w:rsid w:val="00530A2D"/>
    <w:rsid w:val="00530CD2"/>
    <w:rsid w:val="00532EAF"/>
    <w:rsid w:val="00533B9D"/>
    <w:rsid w:val="00540ECA"/>
    <w:rsid w:val="0054224C"/>
    <w:rsid w:val="00543D68"/>
    <w:rsid w:val="00544666"/>
    <w:rsid w:val="00545FB8"/>
    <w:rsid w:val="00546A13"/>
    <w:rsid w:val="0055253C"/>
    <w:rsid w:val="005529FB"/>
    <w:rsid w:val="00555F67"/>
    <w:rsid w:val="00557313"/>
    <w:rsid w:val="005609FC"/>
    <w:rsid w:val="00560E6E"/>
    <w:rsid w:val="00562C7E"/>
    <w:rsid w:val="00564806"/>
    <w:rsid w:val="00565CB4"/>
    <w:rsid w:val="00566CA8"/>
    <w:rsid w:val="00566D11"/>
    <w:rsid w:val="005709DE"/>
    <w:rsid w:val="00573E51"/>
    <w:rsid w:val="00577673"/>
    <w:rsid w:val="00580E62"/>
    <w:rsid w:val="0058179E"/>
    <w:rsid w:val="005861D0"/>
    <w:rsid w:val="00591588"/>
    <w:rsid w:val="005924F9"/>
    <w:rsid w:val="005A1A1B"/>
    <w:rsid w:val="005A2762"/>
    <w:rsid w:val="005A52C3"/>
    <w:rsid w:val="005A6682"/>
    <w:rsid w:val="005B103C"/>
    <w:rsid w:val="005B5793"/>
    <w:rsid w:val="005B5F4F"/>
    <w:rsid w:val="005B7816"/>
    <w:rsid w:val="005C26DF"/>
    <w:rsid w:val="005C5C6F"/>
    <w:rsid w:val="005C661B"/>
    <w:rsid w:val="005C6FA7"/>
    <w:rsid w:val="005C70FE"/>
    <w:rsid w:val="005C7578"/>
    <w:rsid w:val="005C79C9"/>
    <w:rsid w:val="005D498C"/>
    <w:rsid w:val="005D78C2"/>
    <w:rsid w:val="005E308B"/>
    <w:rsid w:val="005E79EA"/>
    <w:rsid w:val="005E7CF8"/>
    <w:rsid w:val="005F2822"/>
    <w:rsid w:val="005F39E2"/>
    <w:rsid w:val="005F4301"/>
    <w:rsid w:val="005F7434"/>
    <w:rsid w:val="005F7981"/>
    <w:rsid w:val="00601771"/>
    <w:rsid w:val="00601D85"/>
    <w:rsid w:val="00603A68"/>
    <w:rsid w:val="00603D6B"/>
    <w:rsid w:val="00607D6C"/>
    <w:rsid w:val="00615328"/>
    <w:rsid w:val="00615F31"/>
    <w:rsid w:val="006167E6"/>
    <w:rsid w:val="00620193"/>
    <w:rsid w:val="00620AB3"/>
    <w:rsid w:val="00620CDF"/>
    <w:rsid w:val="0062268D"/>
    <w:rsid w:val="00622D21"/>
    <w:rsid w:val="00625EF6"/>
    <w:rsid w:val="00652468"/>
    <w:rsid w:val="0065308E"/>
    <w:rsid w:val="00653176"/>
    <w:rsid w:val="00654493"/>
    <w:rsid w:val="006556E8"/>
    <w:rsid w:val="00655DDF"/>
    <w:rsid w:val="0066080E"/>
    <w:rsid w:val="00660B65"/>
    <w:rsid w:val="0066533D"/>
    <w:rsid w:val="0066738A"/>
    <w:rsid w:val="006678F2"/>
    <w:rsid w:val="00670488"/>
    <w:rsid w:val="00673FCA"/>
    <w:rsid w:val="00677926"/>
    <w:rsid w:val="006820DF"/>
    <w:rsid w:val="006848B9"/>
    <w:rsid w:val="006856E5"/>
    <w:rsid w:val="00686813"/>
    <w:rsid w:val="00686E3A"/>
    <w:rsid w:val="00691050"/>
    <w:rsid w:val="00693F4F"/>
    <w:rsid w:val="00694DA7"/>
    <w:rsid w:val="00697788"/>
    <w:rsid w:val="006A10C0"/>
    <w:rsid w:val="006A274C"/>
    <w:rsid w:val="006A3C33"/>
    <w:rsid w:val="006B21D2"/>
    <w:rsid w:val="006B3B40"/>
    <w:rsid w:val="006B3ECC"/>
    <w:rsid w:val="006D1D67"/>
    <w:rsid w:val="006D4CC0"/>
    <w:rsid w:val="006D4D31"/>
    <w:rsid w:val="006E03FE"/>
    <w:rsid w:val="006E1E91"/>
    <w:rsid w:val="006E2B23"/>
    <w:rsid w:val="006F2ABF"/>
    <w:rsid w:val="006F3D2A"/>
    <w:rsid w:val="006F45AC"/>
    <w:rsid w:val="0070534A"/>
    <w:rsid w:val="00705FE8"/>
    <w:rsid w:val="00710041"/>
    <w:rsid w:val="00711474"/>
    <w:rsid w:val="00713C20"/>
    <w:rsid w:val="00715F8C"/>
    <w:rsid w:val="007213BE"/>
    <w:rsid w:val="007251FE"/>
    <w:rsid w:val="0072601F"/>
    <w:rsid w:val="00727396"/>
    <w:rsid w:val="00732BC1"/>
    <w:rsid w:val="00734D12"/>
    <w:rsid w:val="00735B72"/>
    <w:rsid w:val="0073635B"/>
    <w:rsid w:val="00742611"/>
    <w:rsid w:val="007453E2"/>
    <w:rsid w:val="00745B63"/>
    <w:rsid w:val="00745C89"/>
    <w:rsid w:val="00746520"/>
    <w:rsid w:val="00747B7D"/>
    <w:rsid w:val="00750E3C"/>
    <w:rsid w:val="0075401B"/>
    <w:rsid w:val="00754738"/>
    <w:rsid w:val="0075603B"/>
    <w:rsid w:val="007560C8"/>
    <w:rsid w:val="007612BF"/>
    <w:rsid w:val="00761CE1"/>
    <w:rsid w:val="00763E82"/>
    <w:rsid w:val="00765703"/>
    <w:rsid w:val="007760DF"/>
    <w:rsid w:val="00776B05"/>
    <w:rsid w:val="00780974"/>
    <w:rsid w:val="00785DEC"/>
    <w:rsid w:val="007936DF"/>
    <w:rsid w:val="00795012"/>
    <w:rsid w:val="00796CE5"/>
    <w:rsid w:val="007A09B9"/>
    <w:rsid w:val="007A338D"/>
    <w:rsid w:val="007A3A18"/>
    <w:rsid w:val="007A3E9A"/>
    <w:rsid w:val="007A43C9"/>
    <w:rsid w:val="007A69CF"/>
    <w:rsid w:val="007B269D"/>
    <w:rsid w:val="007C26BC"/>
    <w:rsid w:val="007C4181"/>
    <w:rsid w:val="007C4E1B"/>
    <w:rsid w:val="007C5DD9"/>
    <w:rsid w:val="007E1205"/>
    <w:rsid w:val="007E2812"/>
    <w:rsid w:val="007E5FA5"/>
    <w:rsid w:val="007F1645"/>
    <w:rsid w:val="007F6A74"/>
    <w:rsid w:val="007F72B5"/>
    <w:rsid w:val="00802B0C"/>
    <w:rsid w:val="00805819"/>
    <w:rsid w:val="00806B68"/>
    <w:rsid w:val="00807CCA"/>
    <w:rsid w:val="0081619F"/>
    <w:rsid w:val="00820843"/>
    <w:rsid w:val="00821890"/>
    <w:rsid w:val="00822A3E"/>
    <w:rsid w:val="00824908"/>
    <w:rsid w:val="008267B5"/>
    <w:rsid w:val="00830BC0"/>
    <w:rsid w:val="0083194C"/>
    <w:rsid w:val="00834C5C"/>
    <w:rsid w:val="00835B3D"/>
    <w:rsid w:val="00836930"/>
    <w:rsid w:val="00837167"/>
    <w:rsid w:val="00841026"/>
    <w:rsid w:val="008426C6"/>
    <w:rsid w:val="0084311E"/>
    <w:rsid w:val="00844539"/>
    <w:rsid w:val="00847F7B"/>
    <w:rsid w:val="008503BE"/>
    <w:rsid w:val="00863980"/>
    <w:rsid w:val="00865CDB"/>
    <w:rsid w:val="00867791"/>
    <w:rsid w:val="008738DF"/>
    <w:rsid w:val="00874EC2"/>
    <w:rsid w:val="00875D9B"/>
    <w:rsid w:val="008764E9"/>
    <w:rsid w:val="008852B7"/>
    <w:rsid w:val="00885BBA"/>
    <w:rsid w:val="00885C75"/>
    <w:rsid w:val="00895216"/>
    <w:rsid w:val="008B1D2F"/>
    <w:rsid w:val="008B4414"/>
    <w:rsid w:val="008C0568"/>
    <w:rsid w:val="008C4836"/>
    <w:rsid w:val="008C72C3"/>
    <w:rsid w:val="008D04C9"/>
    <w:rsid w:val="008E100F"/>
    <w:rsid w:val="008E1AC3"/>
    <w:rsid w:val="008E254A"/>
    <w:rsid w:val="008E50C6"/>
    <w:rsid w:val="00901C23"/>
    <w:rsid w:val="00904D91"/>
    <w:rsid w:val="009059B2"/>
    <w:rsid w:val="0090763C"/>
    <w:rsid w:val="00907B77"/>
    <w:rsid w:val="00910F6B"/>
    <w:rsid w:val="00911F55"/>
    <w:rsid w:val="00916B7D"/>
    <w:rsid w:val="00925DFE"/>
    <w:rsid w:val="009319BC"/>
    <w:rsid w:val="009328B4"/>
    <w:rsid w:val="00933642"/>
    <w:rsid w:val="00933C2A"/>
    <w:rsid w:val="00936075"/>
    <w:rsid w:val="0093778A"/>
    <w:rsid w:val="00946960"/>
    <w:rsid w:val="0095313C"/>
    <w:rsid w:val="00955776"/>
    <w:rsid w:val="00957A4A"/>
    <w:rsid w:val="00963466"/>
    <w:rsid w:val="00963535"/>
    <w:rsid w:val="00963809"/>
    <w:rsid w:val="0096453C"/>
    <w:rsid w:val="009849FC"/>
    <w:rsid w:val="00985A27"/>
    <w:rsid w:val="00987770"/>
    <w:rsid w:val="00991F2F"/>
    <w:rsid w:val="0099271A"/>
    <w:rsid w:val="00993984"/>
    <w:rsid w:val="00994B1E"/>
    <w:rsid w:val="00996FE6"/>
    <w:rsid w:val="009978CA"/>
    <w:rsid w:val="00997F60"/>
    <w:rsid w:val="009A0E48"/>
    <w:rsid w:val="009A243C"/>
    <w:rsid w:val="009A371F"/>
    <w:rsid w:val="009B19D5"/>
    <w:rsid w:val="009B4CF4"/>
    <w:rsid w:val="009B64C0"/>
    <w:rsid w:val="009B79A3"/>
    <w:rsid w:val="009C0C99"/>
    <w:rsid w:val="009C1B26"/>
    <w:rsid w:val="009C1C66"/>
    <w:rsid w:val="009C4DD5"/>
    <w:rsid w:val="009C61D9"/>
    <w:rsid w:val="009C794F"/>
    <w:rsid w:val="009D6DFE"/>
    <w:rsid w:val="009E0830"/>
    <w:rsid w:val="009E1A5D"/>
    <w:rsid w:val="009E49D1"/>
    <w:rsid w:val="009F4E04"/>
    <w:rsid w:val="009F4E6D"/>
    <w:rsid w:val="00A00681"/>
    <w:rsid w:val="00A01BC6"/>
    <w:rsid w:val="00A0513F"/>
    <w:rsid w:val="00A07CE6"/>
    <w:rsid w:val="00A1146B"/>
    <w:rsid w:val="00A13AA5"/>
    <w:rsid w:val="00A13F29"/>
    <w:rsid w:val="00A1572B"/>
    <w:rsid w:val="00A16468"/>
    <w:rsid w:val="00A17945"/>
    <w:rsid w:val="00A207E7"/>
    <w:rsid w:val="00A20CC0"/>
    <w:rsid w:val="00A23A6A"/>
    <w:rsid w:val="00A241D7"/>
    <w:rsid w:val="00A24400"/>
    <w:rsid w:val="00A25A66"/>
    <w:rsid w:val="00A260A1"/>
    <w:rsid w:val="00A332AB"/>
    <w:rsid w:val="00A3345C"/>
    <w:rsid w:val="00A33BCA"/>
    <w:rsid w:val="00A3408E"/>
    <w:rsid w:val="00A350EC"/>
    <w:rsid w:val="00A37BA6"/>
    <w:rsid w:val="00A41032"/>
    <w:rsid w:val="00A41326"/>
    <w:rsid w:val="00A42840"/>
    <w:rsid w:val="00A50CB7"/>
    <w:rsid w:val="00A519D8"/>
    <w:rsid w:val="00A63369"/>
    <w:rsid w:val="00A64470"/>
    <w:rsid w:val="00A65610"/>
    <w:rsid w:val="00A67F21"/>
    <w:rsid w:val="00A70187"/>
    <w:rsid w:val="00A71885"/>
    <w:rsid w:val="00A745C0"/>
    <w:rsid w:val="00A81007"/>
    <w:rsid w:val="00A86621"/>
    <w:rsid w:val="00A86B06"/>
    <w:rsid w:val="00A917EC"/>
    <w:rsid w:val="00A92C29"/>
    <w:rsid w:val="00A93147"/>
    <w:rsid w:val="00A93327"/>
    <w:rsid w:val="00A95B45"/>
    <w:rsid w:val="00A9600B"/>
    <w:rsid w:val="00A9657A"/>
    <w:rsid w:val="00A96D0D"/>
    <w:rsid w:val="00AA0331"/>
    <w:rsid w:val="00AA10C5"/>
    <w:rsid w:val="00AA323C"/>
    <w:rsid w:val="00AA629F"/>
    <w:rsid w:val="00AB38FC"/>
    <w:rsid w:val="00AB589F"/>
    <w:rsid w:val="00AC11F4"/>
    <w:rsid w:val="00AC2003"/>
    <w:rsid w:val="00AD1302"/>
    <w:rsid w:val="00AD13E9"/>
    <w:rsid w:val="00AD1A2B"/>
    <w:rsid w:val="00AD667B"/>
    <w:rsid w:val="00AE0840"/>
    <w:rsid w:val="00AE1A88"/>
    <w:rsid w:val="00AE38A5"/>
    <w:rsid w:val="00AE3940"/>
    <w:rsid w:val="00AF4872"/>
    <w:rsid w:val="00AF65E7"/>
    <w:rsid w:val="00AF7AC3"/>
    <w:rsid w:val="00B0168E"/>
    <w:rsid w:val="00B02083"/>
    <w:rsid w:val="00B0425F"/>
    <w:rsid w:val="00B13B37"/>
    <w:rsid w:val="00B15D39"/>
    <w:rsid w:val="00B175A2"/>
    <w:rsid w:val="00B20221"/>
    <w:rsid w:val="00B202F4"/>
    <w:rsid w:val="00B21C10"/>
    <w:rsid w:val="00B21FD7"/>
    <w:rsid w:val="00B244D1"/>
    <w:rsid w:val="00B30D2A"/>
    <w:rsid w:val="00B346E3"/>
    <w:rsid w:val="00B360AC"/>
    <w:rsid w:val="00B367F2"/>
    <w:rsid w:val="00B37C4F"/>
    <w:rsid w:val="00B4678F"/>
    <w:rsid w:val="00B47924"/>
    <w:rsid w:val="00B50BEC"/>
    <w:rsid w:val="00B53C13"/>
    <w:rsid w:val="00B55486"/>
    <w:rsid w:val="00B57125"/>
    <w:rsid w:val="00B63D28"/>
    <w:rsid w:val="00B64F57"/>
    <w:rsid w:val="00B71AF3"/>
    <w:rsid w:val="00B7386D"/>
    <w:rsid w:val="00B746F2"/>
    <w:rsid w:val="00B74BCD"/>
    <w:rsid w:val="00B76AB8"/>
    <w:rsid w:val="00B80AEF"/>
    <w:rsid w:val="00B81B21"/>
    <w:rsid w:val="00B853D0"/>
    <w:rsid w:val="00B8614E"/>
    <w:rsid w:val="00B87BDC"/>
    <w:rsid w:val="00B95A14"/>
    <w:rsid w:val="00BA08DC"/>
    <w:rsid w:val="00BA622A"/>
    <w:rsid w:val="00BC273A"/>
    <w:rsid w:val="00BC4686"/>
    <w:rsid w:val="00BC61AE"/>
    <w:rsid w:val="00BD1C95"/>
    <w:rsid w:val="00BD5694"/>
    <w:rsid w:val="00BD6823"/>
    <w:rsid w:val="00BE39FD"/>
    <w:rsid w:val="00BE4803"/>
    <w:rsid w:val="00BE59E8"/>
    <w:rsid w:val="00BE5E70"/>
    <w:rsid w:val="00BF2A49"/>
    <w:rsid w:val="00C00217"/>
    <w:rsid w:val="00C07981"/>
    <w:rsid w:val="00C142A0"/>
    <w:rsid w:val="00C15EE5"/>
    <w:rsid w:val="00C1755F"/>
    <w:rsid w:val="00C203F9"/>
    <w:rsid w:val="00C24CC6"/>
    <w:rsid w:val="00C24CCD"/>
    <w:rsid w:val="00C313C1"/>
    <w:rsid w:val="00C355FE"/>
    <w:rsid w:val="00C405D8"/>
    <w:rsid w:val="00C47058"/>
    <w:rsid w:val="00C522E5"/>
    <w:rsid w:val="00C55814"/>
    <w:rsid w:val="00C56B37"/>
    <w:rsid w:val="00C62854"/>
    <w:rsid w:val="00C637F3"/>
    <w:rsid w:val="00C63DCB"/>
    <w:rsid w:val="00C65ADD"/>
    <w:rsid w:val="00C65C76"/>
    <w:rsid w:val="00C67EA2"/>
    <w:rsid w:val="00C77841"/>
    <w:rsid w:val="00C83D00"/>
    <w:rsid w:val="00C85D37"/>
    <w:rsid w:val="00C87129"/>
    <w:rsid w:val="00C913AB"/>
    <w:rsid w:val="00C91885"/>
    <w:rsid w:val="00C91AEE"/>
    <w:rsid w:val="00C9353A"/>
    <w:rsid w:val="00C96C08"/>
    <w:rsid w:val="00CA1697"/>
    <w:rsid w:val="00CA47E6"/>
    <w:rsid w:val="00CB00DD"/>
    <w:rsid w:val="00CB11D2"/>
    <w:rsid w:val="00CB27F9"/>
    <w:rsid w:val="00CB54B4"/>
    <w:rsid w:val="00CB5830"/>
    <w:rsid w:val="00CB6E0E"/>
    <w:rsid w:val="00CC0A6E"/>
    <w:rsid w:val="00CC134B"/>
    <w:rsid w:val="00CC23B1"/>
    <w:rsid w:val="00CC74DC"/>
    <w:rsid w:val="00CD3985"/>
    <w:rsid w:val="00CD3C42"/>
    <w:rsid w:val="00CD517B"/>
    <w:rsid w:val="00CE0987"/>
    <w:rsid w:val="00CE18D8"/>
    <w:rsid w:val="00CE47A6"/>
    <w:rsid w:val="00CE6F16"/>
    <w:rsid w:val="00CE763B"/>
    <w:rsid w:val="00CF3AA2"/>
    <w:rsid w:val="00D02934"/>
    <w:rsid w:val="00D03502"/>
    <w:rsid w:val="00D04490"/>
    <w:rsid w:val="00D045B5"/>
    <w:rsid w:val="00D07D11"/>
    <w:rsid w:val="00D10EF4"/>
    <w:rsid w:val="00D13CCE"/>
    <w:rsid w:val="00D23646"/>
    <w:rsid w:val="00D2686A"/>
    <w:rsid w:val="00D27AEC"/>
    <w:rsid w:val="00D30C0D"/>
    <w:rsid w:val="00D35139"/>
    <w:rsid w:val="00D421F6"/>
    <w:rsid w:val="00D42D87"/>
    <w:rsid w:val="00D430A1"/>
    <w:rsid w:val="00D456D2"/>
    <w:rsid w:val="00D52561"/>
    <w:rsid w:val="00D576E5"/>
    <w:rsid w:val="00D600CB"/>
    <w:rsid w:val="00D605F4"/>
    <w:rsid w:val="00D6067D"/>
    <w:rsid w:val="00D61831"/>
    <w:rsid w:val="00D64831"/>
    <w:rsid w:val="00D673A1"/>
    <w:rsid w:val="00D67476"/>
    <w:rsid w:val="00D719C7"/>
    <w:rsid w:val="00D739A8"/>
    <w:rsid w:val="00D73EA1"/>
    <w:rsid w:val="00D76A4F"/>
    <w:rsid w:val="00D80532"/>
    <w:rsid w:val="00D811AF"/>
    <w:rsid w:val="00D823AC"/>
    <w:rsid w:val="00D91361"/>
    <w:rsid w:val="00DA266D"/>
    <w:rsid w:val="00DA2F25"/>
    <w:rsid w:val="00DA3348"/>
    <w:rsid w:val="00DA375D"/>
    <w:rsid w:val="00DA5EA6"/>
    <w:rsid w:val="00DB0142"/>
    <w:rsid w:val="00DB17A2"/>
    <w:rsid w:val="00DB1B57"/>
    <w:rsid w:val="00DB29A9"/>
    <w:rsid w:val="00DB3020"/>
    <w:rsid w:val="00DB4CB9"/>
    <w:rsid w:val="00DC0AC1"/>
    <w:rsid w:val="00DC28D8"/>
    <w:rsid w:val="00DC3E78"/>
    <w:rsid w:val="00DC488C"/>
    <w:rsid w:val="00DC48C4"/>
    <w:rsid w:val="00DC5254"/>
    <w:rsid w:val="00DC71E0"/>
    <w:rsid w:val="00DD0696"/>
    <w:rsid w:val="00DD2B69"/>
    <w:rsid w:val="00DD3B52"/>
    <w:rsid w:val="00DD62A6"/>
    <w:rsid w:val="00DE047A"/>
    <w:rsid w:val="00DE20D6"/>
    <w:rsid w:val="00DE2171"/>
    <w:rsid w:val="00DE26CE"/>
    <w:rsid w:val="00DE6EBD"/>
    <w:rsid w:val="00DF32BC"/>
    <w:rsid w:val="00DF36D9"/>
    <w:rsid w:val="00DF391E"/>
    <w:rsid w:val="00DF5417"/>
    <w:rsid w:val="00E00C06"/>
    <w:rsid w:val="00E04D0E"/>
    <w:rsid w:val="00E05DF9"/>
    <w:rsid w:val="00E0704E"/>
    <w:rsid w:val="00E152A8"/>
    <w:rsid w:val="00E15358"/>
    <w:rsid w:val="00E246FB"/>
    <w:rsid w:val="00E263D3"/>
    <w:rsid w:val="00E26FB3"/>
    <w:rsid w:val="00E27423"/>
    <w:rsid w:val="00E30085"/>
    <w:rsid w:val="00E324E0"/>
    <w:rsid w:val="00E33E51"/>
    <w:rsid w:val="00E35C15"/>
    <w:rsid w:val="00E374A0"/>
    <w:rsid w:val="00E408FD"/>
    <w:rsid w:val="00E4250A"/>
    <w:rsid w:val="00E43100"/>
    <w:rsid w:val="00E4644E"/>
    <w:rsid w:val="00E4783E"/>
    <w:rsid w:val="00E501F9"/>
    <w:rsid w:val="00E50940"/>
    <w:rsid w:val="00E5304F"/>
    <w:rsid w:val="00E5368E"/>
    <w:rsid w:val="00E53D3A"/>
    <w:rsid w:val="00E53D4E"/>
    <w:rsid w:val="00E53F90"/>
    <w:rsid w:val="00E61503"/>
    <w:rsid w:val="00E62F96"/>
    <w:rsid w:val="00E65311"/>
    <w:rsid w:val="00E65483"/>
    <w:rsid w:val="00E66CED"/>
    <w:rsid w:val="00E67597"/>
    <w:rsid w:val="00E73408"/>
    <w:rsid w:val="00E73B91"/>
    <w:rsid w:val="00E837EC"/>
    <w:rsid w:val="00E85EC3"/>
    <w:rsid w:val="00E870D0"/>
    <w:rsid w:val="00E93607"/>
    <w:rsid w:val="00E93A09"/>
    <w:rsid w:val="00E95E2B"/>
    <w:rsid w:val="00E967A6"/>
    <w:rsid w:val="00EA1A64"/>
    <w:rsid w:val="00EA2614"/>
    <w:rsid w:val="00EA5472"/>
    <w:rsid w:val="00EB04CF"/>
    <w:rsid w:val="00EB1B15"/>
    <w:rsid w:val="00EB276F"/>
    <w:rsid w:val="00EB2EF1"/>
    <w:rsid w:val="00EB3354"/>
    <w:rsid w:val="00EB7B28"/>
    <w:rsid w:val="00EC1878"/>
    <w:rsid w:val="00EC6073"/>
    <w:rsid w:val="00ED1556"/>
    <w:rsid w:val="00ED624D"/>
    <w:rsid w:val="00EE0049"/>
    <w:rsid w:val="00EE0941"/>
    <w:rsid w:val="00EE59D0"/>
    <w:rsid w:val="00EF0020"/>
    <w:rsid w:val="00EF16E8"/>
    <w:rsid w:val="00F04113"/>
    <w:rsid w:val="00F06B13"/>
    <w:rsid w:val="00F12BBE"/>
    <w:rsid w:val="00F2309B"/>
    <w:rsid w:val="00F242BF"/>
    <w:rsid w:val="00F26B06"/>
    <w:rsid w:val="00F26D4F"/>
    <w:rsid w:val="00F32E12"/>
    <w:rsid w:val="00F3440E"/>
    <w:rsid w:val="00F37B89"/>
    <w:rsid w:val="00F4201D"/>
    <w:rsid w:val="00F430A4"/>
    <w:rsid w:val="00F44950"/>
    <w:rsid w:val="00F466CA"/>
    <w:rsid w:val="00F51034"/>
    <w:rsid w:val="00F512AE"/>
    <w:rsid w:val="00F52634"/>
    <w:rsid w:val="00F600E1"/>
    <w:rsid w:val="00F605CC"/>
    <w:rsid w:val="00F65963"/>
    <w:rsid w:val="00F8221D"/>
    <w:rsid w:val="00F83286"/>
    <w:rsid w:val="00F85CE1"/>
    <w:rsid w:val="00F94297"/>
    <w:rsid w:val="00F9629B"/>
    <w:rsid w:val="00F96604"/>
    <w:rsid w:val="00F970C6"/>
    <w:rsid w:val="00F97368"/>
    <w:rsid w:val="00FA0C44"/>
    <w:rsid w:val="00FA5A29"/>
    <w:rsid w:val="00FA6136"/>
    <w:rsid w:val="00FB41CA"/>
    <w:rsid w:val="00FB51B1"/>
    <w:rsid w:val="00FB6917"/>
    <w:rsid w:val="00FC4941"/>
    <w:rsid w:val="00FC7B22"/>
    <w:rsid w:val="00FD2209"/>
    <w:rsid w:val="00FD3548"/>
    <w:rsid w:val="00FD3995"/>
    <w:rsid w:val="00FD4AE4"/>
    <w:rsid w:val="00FD77DA"/>
    <w:rsid w:val="00FD7A8C"/>
    <w:rsid w:val="00FE4C5F"/>
    <w:rsid w:val="00FE7D0F"/>
    <w:rsid w:val="00FF136D"/>
    <w:rsid w:val="00FF1D71"/>
    <w:rsid w:val="00FF49DC"/>
    <w:rsid w:val="024E4DD5"/>
    <w:rsid w:val="0FD702E3"/>
    <w:rsid w:val="27443575"/>
    <w:rsid w:val="298F0CCE"/>
    <w:rsid w:val="3C604D20"/>
    <w:rsid w:val="43DA2C8F"/>
    <w:rsid w:val="4CBD6087"/>
    <w:rsid w:val="522D21F9"/>
    <w:rsid w:val="572D2AD7"/>
    <w:rsid w:val="66435558"/>
    <w:rsid w:val="6C2D4217"/>
    <w:rsid w:val="7495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2B19"/>
  <w15:chartTrackingRefBased/>
  <w15:docId w15:val="{5EA78DFA-CEC0-4520-8A8F-2BD1CBF7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B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content11">
    <w:name w:val="txtcontent11"/>
    <w:rPr>
      <w:rFonts w:ascii="ˎ̥" w:hAnsi="ˎ̥" w:hint="default"/>
      <w:b w:val="0"/>
      <w:bCs w:val="0"/>
      <w:color w:val="000000"/>
      <w:sz w:val="21"/>
      <w:szCs w:val="21"/>
    </w:rPr>
  </w:style>
  <w:style w:type="paragraph" w:styleId="a3">
    <w:name w:val="Balloon Text"/>
    <w:basedOn w:val="a"/>
    <w:semiHidden/>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CharCharCharChar1CharCharCharCharCharCharCharCharChar1CharCharChar">
    <w:name w:val="Char Char Char Char1 Char Char Char Char Char Char Char Char Char1 Char Char Char"/>
    <w:basedOn w:val="a"/>
    <w:pPr>
      <w:widowControl/>
      <w:spacing w:after="160" w:line="240" w:lineRule="exact"/>
      <w:jc w:val="left"/>
    </w:pPr>
    <w:rPr>
      <w:kern w:val="0"/>
      <w:sz w:val="20"/>
      <w:szCs w:val="20"/>
    </w:rPr>
  </w:style>
  <w:style w:type="paragraph" w:customStyle="1" w:styleId="ParaCharCharCharChar">
    <w:name w:val="默认段落字体 Para Char Char Char Char"/>
    <w:basedOn w:val="a"/>
    <w:rPr>
      <w:szCs w:val="20"/>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pPr>
      <w:widowControl/>
      <w:spacing w:after="160" w:line="240" w:lineRule="exact"/>
      <w:jc w:val="left"/>
    </w:pPr>
    <w:rPr>
      <w:kern w:val="0"/>
      <w:sz w:val="20"/>
      <w:szCs w:val="20"/>
    </w:rPr>
  </w:style>
  <w:style w:type="paragraph" w:customStyle="1" w:styleId="a7">
    <w:name w:val="标准"/>
    <w:basedOn w:val="a"/>
    <w:pPr>
      <w:adjustRightInd w:val="0"/>
      <w:spacing w:line="312" w:lineRule="atLeast"/>
      <w:jc w:val="center"/>
      <w:textAlignment w:val="baseline"/>
    </w:pPr>
    <w:rPr>
      <w:kern w:val="0"/>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591588"/>
    <w:rPr>
      <w:sz w:val="21"/>
      <w:szCs w:val="21"/>
    </w:rPr>
  </w:style>
  <w:style w:type="paragraph" w:styleId="aa">
    <w:name w:val="annotation text"/>
    <w:basedOn w:val="a"/>
    <w:link w:val="ab"/>
    <w:rsid w:val="00591588"/>
    <w:pPr>
      <w:jc w:val="left"/>
    </w:pPr>
  </w:style>
  <w:style w:type="character" w:customStyle="1" w:styleId="ab">
    <w:name w:val="批注文字 字符"/>
    <w:link w:val="aa"/>
    <w:rsid w:val="00591588"/>
    <w:rPr>
      <w:kern w:val="2"/>
      <w:sz w:val="21"/>
      <w:szCs w:val="24"/>
    </w:rPr>
  </w:style>
  <w:style w:type="paragraph" w:styleId="ac">
    <w:name w:val="annotation subject"/>
    <w:basedOn w:val="aa"/>
    <w:next w:val="aa"/>
    <w:link w:val="ad"/>
    <w:rsid w:val="00591588"/>
    <w:rPr>
      <w:b/>
      <w:bCs/>
    </w:rPr>
  </w:style>
  <w:style w:type="character" w:customStyle="1" w:styleId="ad">
    <w:name w:val="批注主题 字符"/>
    <w:link w:val="ac"/>
    <w:rsid w:val="00591588"/>
    <w:rPr>
      <w:b/>
      <w:bCs/>
      <w:kern w:val="2"/>
      <w:sz w:val="21"/>
      <w:szCs w:val="24"/>
    </w:rPr>
  </w:style>
  <w:style w:type="paragraph" w:styleId="ae">
    <w:name w:val="List Paragraph"/>
    <w:basedOn w:val="a"/>
    <w:uiPriority w:val="99"/>
    <w:qFormat/>
    <w:rsid w:val="00C313C1"/>
    <w:pPr>
      <w:ind w:firstLineChars="200" w:firstLine="420"/>
    </w:pPr>
  </w:style>
  <w:style w:type="character" w:customStyle="1" w:styleId="fontstyle01">
    <w:name w:val="fontstyle01"/>
    <w:basedOn w:val="a0"/>
    <w:rsid w:val="00527898"/>
    <w:rPr>
      <w:rFonts w:ascii="宋体" w:eastAsia="宋体" w:hAnsi="宋体" w:hint="eastAsia"/>
      <w:b w:val="0"/>
      <w:bCs w:val="0"/>
      <w:i w:val="0"/>
      <w:iCs w:val="0"/>
      <w:color w:val="000000"/>
      <w:sz w:val="24"/>
      <w:szCs w:val="24"/>
    </w:rPr>
  </w:style>
  <w:style w:type="paragraph" w:styleId="af">
    <w:name w:val="Revision"/>
    <w:hidden/>
    <w:uiPriority w:val="99"/>
    <w:unhideWhenUsed/>
    <w:rsid w:val="00071FC7"/>
    <w:rPr>
      <w:kern w:val="2"/>
      <w:sz w:val="21"/>
      <w:szCs w:val="24"/>
    </w:rPr>
  </w:style>
  <w:style w:type="character" w:customStyle="1" w:styleId="a6">
    <w:name w:val="页脚 字符"/>
    <w:basedOn w:val="a0"/>
    <w:link w:val="a5"/>
    <w:uiPriority w:val="99"/>
    <w:rsid w:val="00A67F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5211">
      <w:bodyDiv w:val="1"/>
      <w:marLeft w:val="0"/>
      <w:marRight w:val="0"/>
      <w:marTop w:val="0"/>
      <w:marBottom w:val="0"/>
      <w:divBdr>
        <w:top w:val="none" w:sz="0" w:space="0" w:color="auto"/>
        <w:left w:val="none" w:sz="0" w:space="0" w:color="auto"/>
        <w:bottom w:val="none" w:sz="0" w:space="0" w:color="auto"/>
        <w:right w:val="none" w:sz="0" w:space="0" w:color="auto"/>
      </w:divBdr>
      <w:divsChild>
        <w:div w:id="1708748978">
          <w:marLeft w:val="0"/>
          <w:marRight w:val="0"/>
          <w:marTop w:val="75"/>
          <w:marBottom w:val="75"/>
          <w:divBdr>
            <w:top w:val="none" w:sz="0" w:space="0" w:color="auto"/>
            <w:left w:val="none" w:sz="0" w:space="0" w:color="auto"/>
            <w:bottom w:val="single" w:sz="12" w:space="0" w:color="8D8D8D"/>
            <w:right w:val="none" w:sz="0" w:space="0" w:color="auto"/>
          </w:divBdr>
          <w:divsChild>
            <w:div w:id="7498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970">
      <w:bodyDiv w:val="1"/>
      <w:marLeft w:val="0"/>
      <w:marRight w:val="0"/>
      <w:marTop w:val="0"/>
      <w:marBottom w:val="0"/>
      <w:divBdr>
        <w:top w:val="none" w:sz="0" w:space="0" w:color="auto"/>
        <w:left w:val="none" w:sz="0" w:space="0" w:color="auto"/>
        <w:bottom w:val="none" w:sz="0" w:space="0" w:color="auto"/>
        <w:right w:val="none" w:sz="0" w:space="0" w:color="auto"/>
      </w:divBdr>
    </w:div>
    <w:div w:id="898784481">
      <w:bodyDiv w:val="1"/>
      <w:marLeft w:val="0"/>
      <w:marRight w:val="0"/>
      <w:marTop w:val="0"/>
      <w:marBottom w:val="0"/>
      <w:divBdr>
        <w:top w:val="none" w:sz="0" w:space="0" w:color="auto"/>
        <w:left w:val="none" w:sz="0" w:space="0" w:color="auto"/>
        <w:bottom w:val="none" w:sz="0" w:space="0" w:color="auto"/>
        <w:right w:val="none" w:sz="0" w:space="0" w:color="auto"/>
      </w:divBdr>
    </w:div>
    <w:div w:id="1016465461">
      <w:bodyDiv w:val="1"/>
      <w:marLeft w:val="0"/>
      <w:marRight w:val="0"/>
      <w:marTop w:val="0"/>
      <w:marBottom w:val="0"/>
      <w:divBdr>
        <w:top w:val="none" w:sz="0" w:space="0" w:color="auto"/>
        <w:left w:val="none" w:sz="0" w:space="0" w:color="auto"/>
        <w:bottom w:val="none" w:sz="0" w:space="0" w:color="auto"/>
        <w:right w:val="none" w:sz="0" w:space="0" w:color="auto"/>
      </w:divBdr>
    </w:div>
    <w:div w:id="1248684296">
      <w:bodyDiv w:val="1"/>
      <w:marLeft w:val="0"/>
      <w:marRight w:val="0"/>
      <w:marTop w:val="0"/>
      <w:marBottom w:val="0"/>
      <w:divBdr>
        <w:top w:val="none" w:sz="0" w:space="0" w:color="auto"/>
        <w:left w:val="none" w:sz="0" w:space="0" w:color="auto"/>
        <w:bottom w:val="none" w:sz="0" w:space="0" w:color="auto"/>
        <w:right w:val="none" w:sz="0" w:space="0" w:color="auto"/>
      </w:divBdr>
    </w:div>
    <w:div w:id="1723359313">
      <w:bodyDiv w:val="1"/>
      <w:marLeft w:val="0"/>
      <w:marRight w:val="0"/>
      <w:marTop w:val="0"/>
      <w:marBottom w:val="0"/>
      <w:divBdr>
        <w:top w:val="none" w:sz="0" w:space="0" w:color="auto"/>
        <w:left w:val="none" w:sz="0" w:space="0" w:color="auto"/>
        <w:bottom w:val="none" w:sz="0" w:space="0" w:color="auto"/>
        <w:right w:val="none" w:sz="0" w:space="0" w:color="auto"/>
      </w:divBdr>
    </w:div>
    <w:div w:id="1758673999">
      <w:bodyDiv w:val="1"/>
      <w:marLeft w:val="0"/>
      <w:marRight w:val="0"/>
      <w:marTop w:val="0"/>
      <w:marBottom w:val="0"/>
      <w:divBdr>
        <w:top w:val="none" w:sz="0" w:space="0" w:color="auto"/>
        <w:left w:val="none" w:sz="0" w:space="0" w:color="auto"/>
        <w:bottom w:val="none" w:sz="0" w:space="0" w:color="auto"/>
        <w:right w:val="none" w:sz="0" w:space="0" w:color="auto"/>
      </w:divBdr>
    </w:div>
    <w:div w:id="1778672920">
      <w:bodyDiv w:val="1"/>
      <w:marLeft w:val="0"/>
      <w:marRight w:val="0"/>
      <w:marTop w:val="0"/>
      <w:marBottom w:val="0"/>
      <w:divBdr>
        <w:top w:val="none" w:sz="0" w:space="0" w:color="auto"/>
        <w:left w:val="none" w:sz="0" w:space="0" w:color="auto"/>
        <w:bottom w:val="none" w:sz="0" w:space="0" w:color="auto"/>
        <w:right w:val="none" w:sz="0" w:space="0" w:color="auto"/>
      </w:divBdr>
    </w:div>
    <w:div w:id="2137291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F957C-BBE7-4B6D-9BEF-A48AD1B4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495</Words>
  <Characters>2822</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证券代码：002309               证券简称：中利科技</dc:title>
  <dc:subject/>
  <dc:creator>user</dc:creator>
  <cp:keywords/>
  <dc:description/>
  <cp:lastModifiedBy>LJY</cp:lastModifiedBy>
  <cp:revision>46</cp:revision>
  <dcterms:created xsi:type="dcterms:W3CDTF">2025-03-25T02:54:00Z</dcterms:created>
  <dcterms:modified xsi:type="dcterms:W3CDTF">2025-04-21T03:27:00Z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