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B5512" w14:textId="77777777" w:rsidR="00B44356" w:rsidRDefault="00E40525">
      <w:pPr>
        <w:pStyle w:val="Default"/>
        <w:jc w:val="center"/>
        <w:rPr>
          <w:rFonts w:asciiTheme="minorEastAsia" w:eastAsiaTheme="minorEastAsia" w:hAnsiTheme="minorEastAsia" w:hint="eastAsia"/>
          <w:b/>
          <w:color w:val="auto"/>
          <w:sz w:val="30"/>
          <w:szCs w:val="30"/>
        </w:rPr>
      </w:pPr>
      <w:r>
        <w:rPr>
          <w:rFonts w:asciiTheme="minorEastAsia" w:eastAsiaTheme="minorEastAsia" w:hAnsiTheme="minorEastAsia" w:hint="eastAsia"/>
          <w:b/>
          <w:color w:val="auto"/>
          <w:sz w:val="30"/>
          <w:szCs w:val="30"/>
        </w:rPr>
        <w:t>江苏中利集团</w:t>
      </w:r>
      <w:r w:rsidR="0058028A">
        <w:rPr>
          <w:rFonts w:asciiTheme="minorEastAsia" w:eastAsiaTheme="minorEastAsia" w:hAnsiTheme="minorEastAsia" w:hint="eastAsia"/>
          <w:b/>
          <w:color w:val="auto"/>
          <w:sz w:val="30"/>
          <w:szCs w:val="30"/>
        </w:rPr>
        <w:t>股份有限公司</w:t>
      </w:r>
    </w:p>
    <w:p w14:paraId="3D8B521B" w14:textId="7D7821C8" w:rsidR="00B44356" w:rsidRDefault="00A30F41">
      <w:pPr>
        <w:pStyle w:val="Default"/>
        <w:jc w:val="center"/>
        <w:rPr>
          <w:rFonts w:asciiTheme="minorEastAsia" w:eastAsiaTheme="minorEastAsia" w:hAnsiTheme="minorEastAsia" w:hint="eastAsia"/>
          <w:b/>
          <w:color w:val="auto"/>
          <w:sz w:val="30"/>
          <w:szCs w:val="30"/>
        </w:rPr>
      </w:pPr>
      <w:r>
        <w:rPr>
          <w:rFonts w:asciiTheme="minorEastAsia" w:eastAsiaTheme="minorEastAsia" w:hAnsiTheme="minorEastAsia" w:cs="Calibri"/>
          <w:b/>
          <w:bCs/>
          <w:color w:val="auto"/>
          <w:sz w:val="30"/>
          <w:szCs w:val="30"/>
        </w:rPr>
        <w:t>2024</w:t>
      </w:r>
      <w:r w:rsidR="0058028A">
        <w:rPr>
          <w:rFonts w:asciiTheme="minorEastAsia" w:eastAsiaTheme="minorEastAsia" w:hAnsiTheme="minorEastAsia" w:hint="eastAsia"/>
          <w:b/>
          <w:color w:val="auto"/>
          <w:sz w:val="30"/>
          <w:szCs w:val="30"/>
        </w:rPr>
        <w:t>年度监事会工作报告</w:t>
      </w:r>
    </w:p>
    <w:p w14:paraId="24D9A2FD" w14:textId="77777777" w:rsidR="00B44356" w:rsidRDefault="00B44356">
      <w:pPr>
        <w:pStyle w:val="Default"/>
        <w:jc w:val="center"/>
        <w:rPr>
          <w:rFonts w:asciiTheme="minorEastAsia" w:eastAsiaTheme="minorEastAsia" w:hAnsiTheme="minorEastAsia" w:hint="eastAsia"/>
          <w:b/>
          <w:color w:val="auto"/>
          <w:sz w:val="30"/>
          <w:szCs w:val="30"/>
        </w:rPr>
      </w:pPr>
    </w:p>
    <w:p w14:paraId="4C4E7AD5" w14:textId="66294847" w:rsidR="00311762" w:rsidRPr="00A06354" w:rsidRDefault="00A30F41" w:rsidP="00100ED0">
      <w:pPr>
        <w:pStyle w:val="Default"/>
        <w:spacing w:line="360" w:lineRule="auto"/>
        <w:ind w:firstLineChars="200" w:firstLine="480"/>
        <w:jc w:val="both"/>
        <w:rPr>
          <w:rFonts w:asciiTheme="minorEastAsia" w:eastAsiaTheme="minorEastAsia" w:hAnsiTheme="minorEastAsia" w:cs="仿宋_GB2312" w:hint="eastAsia"/>
          <w:color w:val="auto"/>
        </w:rPr>
      </w:pPr>
      <w:r>
        <w:rPr>
          <w:rFonts w:asciiTheme="minorEastAsia" w:eastAsiaTheme="minorEastAsia" w:hAnsiTheme="minorEastAsia" w:cs="仿宋_GB2312" w:hint="eastAsia"/>
          <w:color w:val="auto"/>
        </w:rPr>
        <w:t>2024</w:t>
      </w:r>
      <w:r w:rsidR="00377161">
        <w:rPr>
          <w:rFonts w:asciiTheme="minorEastAsia" w:eastAsiaTheme="minorEastAsia" w:hAnsiTheme="minorEastAsia" w:cs="仿宋_GB2312" w:hint="eastAsia"/>
          <w:color w:val="auto"/>
        </w:rPr>
        <w:t>年</w:t>
      </w:r>
      <w:r w:rsidR="007E1C59">
        <w:rPr>
          <w:rFonts w:asciiTheme="minorEastAsia" w:eastAsiaTheme="minorEastAsia" w:hAnsiTheme="minorEastAsia" w:cs="仿宋_GB2312" w:hint="eastAsia"/>
          <w:color w:val="auto"/>
        </w:rPr>
        <w:t>度</w:t>
      </w:r>
      <w:r w:rsidR="00A06354">
        <w:rPr>
          <w:rFonts w:asciiTheme="minorEastAsia" w:eastAsiaTheme="minorEastAsia" w:hAnsiTheme="minorEastAsia" w:cs="仿宋_GB2312" w:hint="eastAsia"/>
          <w:color w:val="auto"/>
        </w:rPr>
        <w:t>，</w:t>
      </w:r>
      <w:r w:rsidR="00E40525" w:rsidRPr="00A06354">
        <w:rPr>
          <w:rFonts w:asciiTheme="minorEastAsia" w:eastAsiaTheme="minorEastAsia" w:hAnsiTheme="minorEastAsia" w:cs="仿宋_GB2312" w:hint="eastAsia"/>
          <w:color w:val="auto"/>
        </w:rPr>
        <w:t>江苏中利集团</w:t>
      </w:r>
      <w:r w:rsidR="0058028A" w:rsidRPr="00A06354">
        <w:rPr>
          <w:rFonts w:asciiTheme="minorEastAsia" w:eastAsiaTheme="minorEastAsia" w:hAnsiTheme="minorEastAsia" w:cs="仿宋_GB2312" w:hint="eastAsia"/>
          <w:color w:val="auto"/>
        </w:rPr>
        <w:t>股份有限公司（以下简称“公司”）监事会</w:t>
      </w:r>
      <w:r w:rsidR="00B65107">
        <w:rPr>
          <w:rFonts w:asciiTheme="minorEastAsia" w:eastAsiaTheme="minorEastAsia" w:hAnsiTheme="minorEastAsia" w:cs="仿宋_GB2312" w:hint="eastAsia"/>
          <w:color w:val="auto"/>
        </w:rPr>
        <w:t>严格按照《公司法》《证券法》</w:t>
      </w:r>
      <w:r w:rsidR="00E40525" w:rsidRPr="00A06354">
        <w:rPr>
          <w:rFonts w:asciiTheme="minorEastAsia" w:eastAsiaTheme="minorEastAsia" w:hAnsiTheme="minorEastAsia" w:cs="仿宋_GB2312" w:hint="eastAsia"/>
          <w:color w:val="auto"/>
        </w:rPr>
        <w:t>《公司章程》及</w:t>
      </w:r>
      <w:r w:rsidR="0058028A" w:rsidRPr="00A06354">
        <w:rPr>
          <w:rFonts w:asciiTheme="minorEastAsia" w:eastAsiaTheme="minorEastAsia" w:hAnsiTheme="minorEastAsia" w:cs="仿宋_GB2312" w:hint="eastAsia"/>
          <w:color w:val="auto"/>
        </w:rPr>
        <w:t>《监事会议事规则》</w:t>
      </w:r>
      <w:r w:rsidR="00E40525" w:rsidRPr="00A06354">
        <w:rPr>
          <w:rFonts w:asciiTheme="minorEastAsia" w:eastAsiaTheme="minorEastAsia" w:hAnsiTheme="minorEastAsia" w:cs="仿宋_GB2312" w:hint="eastAsia"/>
          <w:color w:val="auto"/>
        </w:rPr>
        <w:t>等</w:t>
      </w:r>
      <w:r w:rsidR="00E40525" w:rsidRPr="00A06354">
        <w:rPr>
          <w:rFonts w:asciiTheme="minorEastAsia" w:eastAsiaTheme="minorEastAsia" w:hAnsiTheme="minorEastAsia" w:cs="仿宋_GB2312"/>
          <w:color w:val="auto"/>
        </w:rPr>
        <w:t>相关规定和要求</w:t>
      </w:r>
      <w:r w:rsidR="0058028A" w:rsidRPr="00A06354">
        <w:rPr>
          <w:rFonts w:asciiTheme="minorEastAsia" w:eastAsiaTheme="minorEastAsia" w:hAnsiTheme="minorEastAsia" w:cs="仿宋_GB2312" w:hint="eastAsia"/>
          <w:color w:val="auto"/>
        </w:rPr>
        <w:t>，</w:t>
      </w:r>
      <w:r w:rsidR="007E1C59">
        <w:rPr>
          <w:rFonts w:asciiTheme="minorEastAsia" w:eastAsiaTheme="minorEastAsia" w:hAnsiTheme="minorEastAsia" w:cs="仿宋_GB2312" w:hint="eastAsia"/>
          <w:color w:val="auto"/>
        </w:rPr>
        <w:t>本着对公司全体股东负责的态度，积极依法履行职责，通过</w:t>
      </w:r>
      <w:r w:rsidR="00E40525" w:rsidRPr="00A06354">
        <w:rPr>
          <w:rFonts w:asciiTheme="minorEastAsia" w:eastAsiaTheme="minorEastAsia" w:hAnsiTheme="minorEastAsia" w:cs="仿宋_GB2312"/>
          <w:color w:val="auto"/>
        </w:rPr>
        <w:t>列席</w:t>
      </w:r>
      <w:r w:rsidR="007E1C59">
        <w:rPr>
          <w:rFonts w:asciiTheme="minorEastAsia" w:eastAsiaTheme="minorEastAsia" w:hAnsiTheme="minorEastAsia" w:cs="仿宋_GB2312" w:hint="eastAsia"/>
          <w:color w:val="auto"/>
        </w:rPr>
        <w:t>董事会、出席</w:t>
      </w:r>
      <w:r w:rsidR="007E1C59">
        <w:rPr>
          <w:rFonts w:asciiTheme="minorEastAsia" w:eastAsiaTheme="minorEastAsia" w:hAnsiTheme="minorEastAsia" w:cs="仿宋_GB2312"/>
          <w:color w:val="auto"/>
        </w:rPr>
        <w:t>股东大会</w:t>
      </w:r>
      <w:r w:rsidR="00E40525" w:rsidRPr="00A06354">
        <w:rPr>
          <w:rFonts w:asciiTheme="minorEastAsia" w:eastAsiaTheme="minorEastAsia" w:hAnsiTheme="minorEastAsia" w:cs="仿宋_GB2312"/>
          <w:color w:val="auto"/>
        </w:rPr>
        <w:t>，对公司</w:t>
      </w:r>
      <w:r w:rsidR="007E1C59">
        <w:rPr>
          <w:rFonts w:asciiTheme="minorEastAsia" w:eastAsiaTheme="minorEastAsia" w:hAnsiTheme="minorEastAsia" w:cs="仿宋_GB2312" w:hint="eastAsia"/>
          <w:color w:val="auto"/>
        </w:rPr>
        <w:t>生产经营情况、财务状况以及</w:t>
      </w:r>
      <w:r w:rsidR="00E40525" w:rsidRPr="00A06354">
        <w:rPr>
          <w:rFonts w:asciiTheme="minorEastAsia" w:eastAsiaTheme="minorEastAsia" w:hAnsiTheme="minorEastAsia" w:cs="仿宋_GB2312"/>
          <w:color w:val="auto"/>
        </w:rPr>
        <w:t>董事、高级管理人员</w:t>
      </w:r>
      <w:r w:rsidR="0038686F">
        <w:rPr>
          <w:rFonts w:asciiTheme="minorEastAsia" w:eastAsiaTheme="minorEastAsia" w:hAnsiTheme="minorEastAsia" w:cs="仿宋_GB2312" w:hint="eastAsia"/>
          <w:color w:val="auto"/>
        </w:rPr>
        <w:t>履职</w:t>
      </w:r>
      <w:r w:rsidR="00E40525" w:rsidRPr="00A06354">
        <w:rPr>
          <w:rFonts w:asciiTheme="minorEastAsia" w:eastAsiaTheme="minorEastAsia" w:hAnsiTheme="minorEastAsia" w:cs="仿宋_GB2312"/>
          <w:color w:val="auto"/>
        </w:rPr>
        <w:t>情况进行监督，</w:t>
      </w:r>
      <w:r w:rsidR="007E1C59">
        <w:rPr>
          <w:rFonts w:asciiTheme="minorEastAsia" w:eastAsiaTheme="minorEastAsia" w:hAnsiTheme="minorEastAsia" w:cs="仿宋_GB2312" w:hint="eastAsia"/>
          <w:color w:val="auto"/>
        </w:rPr>
        <w:t>切实</w:t>
      </w:r>
      <w:r w:rsidR="00E40525" w:rsidRPr="00A06354">
        <w:rPr>
          <w:rFonts w:asciiTheme="minorEastAsia" w:eastAsiaTheme="minorEastAsia" w:hAnsiTheme="minorEastAsia" w:cs="仿宋_GB2312"/>
          <w:color w:val="auto"/>
        </w:rPr>
        <w:t>维护了公司</w:t>
      </w:r>
      <w:r w:rsidR="007E1C59">
        <w:rPr>
          <w:rFonts w:asciiTheme="minorEastAsia" w:eastAsiaTheme="minorEastAsia" w:hAnsiTheme="minorEastAsia" w:cs="仿宋_GB2312" w:hint="eastAsia"/>
          <w:color w:val="auto"/>
        </w:rPr>
        <w:t>利益和</w:t>
      </w:r>
      <w:r w:rsidR="00E40525" w:rsidRPr="00A06354">
        <w:rPr>
          <w:rFonts w:asciiTheme="minorEastAsia" w:eastAsiaTheme="minorEastAsia" w:hAnsiTheme="minorEastAsia" w:cs="仿宋_GB2312"/>
          <w:color w:val="auto"/>
        </w:rPr>
        <w:t>股东的合法权益，</w:t>
      </w:r>
      <w:r w:rsidR="00F026CD" w:rsidRPr="00F026CD">
        <w:rPr>
          <w:rFonts w:asciiTheme="minorEastAsia" w:eastAsiaTheme="minorEastAsia" w:hAnsiTheme="minorEastAsia" w:cs="仿宋_GB2312" w:hint="eastAsia"/>
          <w:color w:val="auto"/>
        </w:rPr>
        <w:t>为公司持续健康发展提供了有力保障</w:t>
      </w:r>
      <w:r w:rsidR="00E40525" w:rsidRPr="00A06354">
        <w:rPr>
          <w:rFonts w:asciiTheme="minorEastAsia" w:eastAsiaTheme="minorEastAsia" w:hAnsiTheme="minorEastAsia" w:cs="仿宋_GB2312" w:hint="eastAsia"/>
          <w:color w:val="auto"/>
        </w:rPr>
        <w:t>。</w:t>
      </w:r>
      <w:r w:rsidR="00E40525" w:rsidRPr="00A06354">
        <w:rPr>
          <w:rFonts w:asciiTheme="minorEastAsia" w:eastAsiaTheme="minorEastAsia" w:hAnsiTheme="minorEastAsia" w:cs="仿宋_GB2312"/>
          <w:color w:val="auto"/>
        </w:rPr>
        <w:t>公司监事会</w:t>
      </w:r>
      <w:r>
        <w:rPr>
          <w:rFonts w:asciiTheme="minorEastAsia" w:eastAsiaTheme="minorEastAsia" w:hAnsiTheme="minorEastAsia" w:cs="仿宋_GB2312" w:hint="eastAsia"/>
          <w:color w:val="auto"/>
        </w:rPr>
        <w:t>2024</w:t>
      </w:r>
      <w:r w:rsidR="00377161">
        <w:rPr>
          <w:rFonts w:asciiTheme="minorEastAsia" w:eastAsiaTheme="minorEastAsia" w:hAnsiTheme="minorEastAsia" w:cs="仿宋_GB2312" w:hint="eastAsia"/>
          <w:color w:val="auto"/>
        </w:rPr>
        <w:t>年</w:t>
      </w:r>
      <w:r w:rsidR="00E40525" w:rsidRPr="00A06354">
        <w:rPr>
          <w:rFonts w:asciiTheme="minorEastAsia" w:eastAsiaTheme="minorEastAsia" w:hAnsiTheme="minorEastAsia" w:cs="仿宋_GB2312"/>
          <w:color w:val="auto"/>
        </w:rPr>
        <w:t>度主要工作情况如下：</w:t>
      </w:r>
    </w:p>
    <w:p w14:paraId="79CB1CAF" w14:textId="11B8194D" w:rsidR="00B44356" w:rsidRPr="00311762" w:rsidRDefault="0058028A" w:rsidP="00311762">
      <w:pPr>
        <w:pStyle w:val="Default"/>
        <w:spacing w:afterLines="50" w:after="156" w:line="360" w:lineRule="auto"/>
        <w:ind w:firstLineChars="200" w:firstLine="482"/>
        <w:rPr>
          <w:rFonts w:asciiTheme="minorEastAsia" w:eastAsiaTheme="minorEastAsia" w:hAnsiTheme="minorEastAsia" w:cs="仿宋_GB2312" w:hint="eastAsia"/>
          <w:b/>
          <w:color w:val="auto"/>
        </w:rPr>
      </w:pPr>
      <w:r w:rsidRPr="00311762">
        <w:rPr>
          <w:rFonts w:asciiTheme="minorEastAsia" w:eastAsiaTheme="minorEastAsia" w:hAnsiTheme="minorEastAsia" w:cs="仿宋_GB2312" w:hint="eastAsia"/>
          <w:b/>
          <w:color w:val="auto"/>
        </w:rPr>
        <w:t>一、</w:t>
      </w:r>
      <w:r w:rsidR="00A30F41">
        <w:rPr>
          <w:rFonts w:asciiTheme="minorEastAsia" w:eastAsiaTheme="minorEastAsia" w:hAnsiTheme="minorEastAsia" w:cs="仿宋_GB2312" w:hint="eastAsia"/>
          <w:b/>
          <w:color w:val="auto"/>
        </w:rPr>
        <w:t>2024</w:t>
      </w:r>
      <w:r w:rsidR="00377161">
        <w:rPr>
          <w:rFonts w:asciiTheme="minorEastAsia" w:eastAsiaTheme="minorEastAsia" w:hAnsiTheme="minorEastAsia" w:cs="仿宋_GB2312" w:hint="eastAsia"/>
          <w:b/>
          <w:color w:val="auto"/>
        </w:rPr>
        <w:t>年</w:t>
      </w:r>
      <w:r w:rsidR="00E40525" w:rsidRPr="00311762">
        <w:rPr>
          <w:rFonts w:asciiTheme="minorEastAsia" w:eastAsiaTheme="minorEastAsia" w:hAnsiTheme="minorEastAsia" w:cs="仿宋_GB2312"/>
          <w:b/>
          <w:color w:val="auto"/>
        </w:rPr>
        <w:t>度公司监事会会议召开情况</w:t>
      </w:r>
    </w:p>
    <w:p w14:paraId="00186794" w14:textId="53DC1D56" w:rsidR="00B44356" w:rsidRDefault="0058028A" w:rsidP="00CB0168">
      <w:pPr>
        <w:pStyle w:val="Default"/>
        <w:spacing w:line="360" w:lineRule="auto"/>
        <w:ind w:firstLineChars="200" w:firstLine="480"/>
        <w:jc w:val="both"/>
        <w:rPr>
          <w:rFonts w:asciiTheme="minorEastAsia" w:eastAsiaTheme="minorEastAsia" w:hAnsiTheme="minorEastAsia" w:cs="仿宋_GB2312" w:hint="eastAsia"/>
          <w:color w:val="auto"/>
        </w:rPr>
      </w:pPr>
      <w:r w:rsidRPr="00A06354">
        <w:rPr>
          <w:rFonts w:asciiTheme="minorEastAsia" w:eastAsiaTheme="minorEastAsia" w:hAnsiTheme="minorEastAsia" w:cs="仿宋_GB2312" w:hint="eastAsia"/>
          <w:color w:val="auto"/>
        </w:rPr>
        <w:t>报告期内，公司监事会共召开</w:t>
      </w:r>
      <w:r w:rsidR="00411E9A">
        <w:rPr>
          <w:rFonts w:asciiTheme="minorEastAsia" w:eastAsiaTheme="minorEastAsia" w:hAnsiTheme="minorEastAsia" w:cs="仿宋_GB2312" w:hint="eastAsia"/>
          <w:color w:val="auto"/>
        </w:rPr>
        <w:t>8</w:t>
      </w:r>
      <w:r w:rsidR="00476365">
        <w:rPr>
          <w:rFonts w:asciiTheme="minorEastAsia" w:eastAsiaTheme="minorEastAsia" w:hAnsiTheme="minorEastAsia" w:cs="仿宋_GB2312" w:hint="eastAsia"/>
          <w:color w:val="auto"/>
        </w:rPr>
        <w:t>次会议，</w:t>
      </w:r>
      <w:r w:rsidR="00B65107">
        <w:rPr>
          <w:rFonts w:asciiTheme="minorEastAsia" w:eastAsiaTheme="minorEastAsia" w:hAnsiTheme="minorEastAsia" w:cs="仿宋_GB2312" w:hint="eastAsia"/>
          <w:color w:val="auto"/>
        </w:rPr>
        <w:t>会议的召集、召开程序符合《公司法》</w:t>
      </w:r>
      <w:r w:rsidRPr="00A06354">
        <w:rPr>
          <w:rFonts w:asciiTheme="minorEastAsia" w:eastAsiaTheme="minorEastAsia" w:hAnsiTheme="minorEastAsia" w:cs="仿宋_GB2312" w:hint="eastAsia"/>
          <w:color w:val="auto"/>
        </w:rPr>
        <w:t>《公司章程》及《监事会议事规则》的有关规定。具体情况如下：</w:t>
      </w:r>
    </w:p>
    <w:tbl>
      <w:tblPr>
        <w:tblStyle w:val="af0"/>
        <w:tblW w:w="9209" w:type="dxa"/>
        <w:jc w:val="center"/>
        <w:tblLook w:val="04A0" w:firstRow="1" w:lastRow="0" w:firstColumn="1" w:lastColumn="0" w:noHBand="0" w:noVBand="1"/>
      </w:tblPr>
      <w:tblGrid>
        <w:gridCol w:w="708"/>
        <w:gridCol w:w="1702"/>
        <w:gridCol w:w="1276"/>
        <w:gridCol w:w="5523"/>
      </w:tblGrid>
      <w:tr w:rsidR="00E2604B" w:rsidRPr="0002200B" w14:paraId="35588DD5" w14:textId="77777777" w:rsidTr="00A30690">
        <w:trPr>
          <w:jc w:val="center"/>
        </w:trPr>
        <w:tc>
          <w:tcPr>
            <w:tcW w:w="708" w:type="dxa"/>
            <w:vAlign w:val="center"/>
          </w:tcPr>
          <w:p w14:paraId="5EAC5BBC" w14:textId="7E0F329E" w:rsidR="00E2604B" w:rsidRPr="0002200B" w:rsidRDefault="00E2604B" w:rsidP="00E2604B">
            <w:pPr>
              <w:pStyle w:val="Default"/>
              <w:spacing w:line="312" w:lineRule="auto"/>
              <w:jc w:val="center"/>
              <w:rPr>
                <w:rFonts w:asciiTheme="minorEastAsia" w:eastAsiaTheme="minorEastAsia" w:hAnsiTheme="minorEastAsia" w:cs="仿宋_GB2312" w:hint="eastAsia"/>
                <w:b/>
                <w:color w:val="auto"/>
              </w:rPr>
            </w:pPr>
            <w:r w:rsidRPr="0002200B">
              <w:rPr>
                <w:rFonts w:asciiTheme="minorEastAsia" w:eastAsiaTheme="minorEastAsia" w:hAnsiTheme="minorEastAsia" w:cs="仿宋_GB2312" w:hint="eastAsia"/>
                <w:b/>
                <w:color w:val="auto"/>
              </w:rPr>
              <w:t>序号</w:t>
            </w:r>
          </w:p>
        </w:tc>
        <w:tc>
          <w:tcPr>
            <w:tcW w:w="1702" w:type="dxa"/>
            <w:vAlign w:val="center"/>
          </w:tcPr>
          <w:p w14:paraId="1548271F" w14:textId="6A16B404" w:rsidR="00E2604B" w:rsidRPr="0002200B" w:rsidRDefault="00E2604B" w:rsidP="00E2604B">
            <w:pPr>
              <w:pStyle w:val="Default"/>
              <w:spacing w:line="312" w:lineRule="auto"/>
              <w:jc w:val="center"/>
              <w:rPr>
                <w:rFonts w:asciiTheme="minorEastAsia" w:eastAsiaTheme="minorEastAsia" w:hAnsiTheme="minorEastAsia" w:cs="仿宋_GB2312" w:hint="eastAsia"/>
                <w:b/>
                <w:color w:val="auto"/>
              </w:rPr>
            </w:pPr>
            <w:r w:rsidRPr="0002200B">
              <w:rPr>
                <w:rFonts w:asciiTheme="minorEastAsia" w:eastAsiaTheme="minorEastAsia" w:hAnsiTheme="minorEastAsia" w:cs="仿宋_GB2312" w:hint="eastAsia"/>
                <w:b/>
                <w:color w:val="auto"/>
              </w:rPr>
              <w:t>会议名称</w:t>
            </w:r>
          </w:p>
        </w:tc>
        <w:tc>
          <w:tcPr>
            <w:tcW w:w="1276" w:type="dxa"/>
            <w:vAlign w:val="center"/>
          </w:tcPr>
          <w:p w14:paraId="0C11925A" w14:textId="4ADAF176" w:rsidR="00E2604B" w:rsidRPr="0002200B" w:rsidRDefault="00E2604B" w:rsidP="00E2604B">
            <w:pPr>
              <w:pStyle w:val="Default"/>
              <w:spacing w:line="312" w:lineRule="auto"/>
              <w:jc w:val="center"/>
              <w:rPr>
                <w:rFonts w:asciiTheme="minorEastAsia" w:eastAsiaTheme="minorEastAsia" w:hAnsiTheme="minorEastAsia" w:cs="仿宋_GB2312" w:hint="eastAsia"/>
                <w:b/>
                <w:color w:val="auto"/>
              </w:rPr>
            </w:pPr>
            <w:r w:rsidRPr="0002200B">
              <w:rPr>
                <w:rFonts w:asciiTheme="minorEastAsia" w:eastAsiaTheme="minorEastAsia" w:hAnsiTheme="minorEastAsia" w:cs="仿宋_GB2312" w:hint="eastAsia"/>
                <w:b/>
                <w:color w:val="auto"/>
              </w:rPr>
              <w:t>召开时间</w:t>
            </w:r>
          </w:p>
        </w:tc>
        <w:tc>
          <w:tcPr>
            <w:tcW w:w="5523" w:type="dxa"/>
            <w:vAlign w:val="center"/>
          </w:tcPr>
          <w:p w14:paraId="387D2DF3" w14:textId="088F14EA" w:rsidR="00E2604B" w:rsidRPr="0002200B" w:rsidRDefault="00E2604B" w:rsidP="00E2604B">
            <w:pPr>
              <w:pStyle w:val="Default"/>
              <w:spacing w:line="312" w:lineRule="auto"/>
              <w:jc w:val="center"/>
              <w:rPr>
                <w:rFonts w:asciiTheme="minorEastAsia" w:eastAsiaTheme="minorEastAsia" w:hAnsiTheme="minorEastAsia" w:cs="仿宋_GB2312" w:hint="eastAsia"/>
                <w:b/>
                <w:color w:val="auto"/>
              </w:rPr>
            </w:pPr>
            <w:r w:rsidRPr="0002200B">
              <w:rPr>
                <w:rFonts w:asciiTheme="minorEastAsia" w:eastAsiaTheme="minorEastAsia" w:hAnsiTheme="minorEastAsia" w:cs="仿宋_GB2312" w:hint="eastAsia"/>
                <w:b/>
                <w:color w:val="auto"/>
              </w:rPr>
              <w:t>议题</w:t>
            </w:r>
          </w:p>
        </w:tc>
      </w:tr>
      <w:tr w:rsidR="00E2604B" w14:paraId="552FA0AA" w14:textId="77777777" w:rsidTr="00A30690">
        <w:trPr>
          <w:jc w:val="center"/>
        </w:trPr>
        <w:tc>
          <w:tcPr>
            <w:tcW w:w="708" w:type="dxa"/>
            <w:vAlign w:val="center"/>
          </w:tcPr>
          <w:p w14:paraId="2145F3F4" w14:textId="5826B206" w:rsidR="00E2604B" w:rsidRDefault="00E2604B" w:rsidP="00E2604B">
            <w:pPr>
              <w:pStyle w:val="Default"/>
              <w:spacing w:line="312" w:lineRule="auto"/>
              <w:jc w:val="center"/>
              <w:rPr>
                <w:rFonts w:asciiTheme="minorEastAsia" w:eastAsiaTheme="minorEastAsia" w:hAnsiTheme="minorEastAsia" w:cs="仿宋_GB2312" w:hint="eastAsia"/>
                <w:color w:val="auto"/>
              </w:rPr>
            </w:pPr>
            <w:r>
              <w:rPr>
                <w:rFonts w:asciiTheme="minorEastAsia" w:eastAsiaTheme="minorEastAsia" w:hAnsiTheme="minorEastAsia" w:cs="仿宋_GB2312" w:hint="eastAsia"/>
                <w:color w:val="auto"/>
              </w:rPr>
              <w:t>1</w:t>
            </w:r>
          </w:p>
        </w:tc>
        <w:tc>
          <w:tcPr>
            <w:tcW w:w="1702" w:type="dxa"/>
            <w:vAlign w:val="center"/>
          </w:tcPr>
          <w:p w14:paraId="13ACADBC" w14:textId="03F902EB" w:rsidR="00E2604B" w:rsidRDefault="00A21FA5" w:rsidP="00E2604B">
            <w:pPr>
              <w:pStyle w:val="Default"/>
              <w:spacing w:line="312" w:lineRule="auto"/>
              <w:jc w:val="both"/>
              <w:rPr>
                <w:rFonts w:asciiTheme="minorEastAsia" w:eastAsiaTheme="minorEastAsia" w:hAnsiTheme="minorEastAsia" w:cs="仿宋_GB2312" w:hint="eastAsia"/>
                <w:color w:val="auto"/>
              </w:rPr>
            </w:pPr>
            <w:r w:rsidRPr="00A21FA5">
              <w:rPr>
                <w:rFonts w:hint="eastAsia"/>
              </w:rPr>
              <w:t>第六届监事会第七次会议</w:t>
            </w:r>
          </w:p>
        </w:tc>
        <w:tc>
          <w:tcPr>
            <w:tcW w:w="1276" w:type="dxa"/>
            <w:vAlign w:val="center"/>
          </w:tcPr>
          <w:p w14:paraId="6291D3D2" w14:textId="0CA3FB1E" w:rsidR="00E2604B" w:rsidRDefault="00A30F41" w:rsidP="00A21FA5">
            <w:pPr>
              <w:pStyle w:val="Default"/>
              <w:spacing w:line="312" w:lineRule="auto"/>
              <w:jc w:val="both"/>
              <w:rPr>
                <w:rFonts w:asciiTheme="minorEastAsia" w:eastAsiaTheme="minorEastAsia" w:hAnsiTheme="minorEastAsia" w:cs="仿宋_GB2312" w:hint="eastAsia"/>
                <w:color w:val="auto"/>
              </w:rPr>
            </w:pPr>
            <w:r>
              <w:rPr>
                <w:rFonts w:asciiTheme="minorEastAsia" w:eastAsiaTheme="minorEastAsia" w:hAnsiTheme="minorEastAsia" w:cs="仿宋_GB2312" w:hint="eastAsia"/>
                <w:color w:val="auto"/>
              </w:rPr>
              <w:t>2024</w:t>
            </w:r>
            <w:r w:rsidR="00E2604B">
              <w:rPr>
                <w:rFonts w:asciiTheme="minorEastAsia" w:eastAsiaTheme="minorEastAsia" w:hAnsiTheme="minorEastAsia" w:cs="仿宋_GB2312" w:hint="eastAsia"/>
                <w:color w:val="auto"/>
              </w:rPr>
              <w:t>年</w:t>
            </w:r>
            <w:r w:rsidR="00E2604B">
              <w:rPr>
                <w:rFonts w:asciiTheme="minorEastAsia" w:eastAsiaTheme="minorEastAsia" w:hAnsiTheme="minorEastAsia" w:cs="仿宋_GB2312"/>
                <w:color w:val="auto"/>
              </w:rPr>
              <w:t>4</w:t>
            </w:r>
            <w:r w:rsidR="00E2604B" w:rsidRPr="001E6A11">
              <w:rPr>
                <w:rFonts w:asciiTheme="minorEastAsia" w:eastAsiaTheme="minorEastAsia" w:hAnsiTheme="minorEastAsia" w:cs="仿宋_GB2312" w:hint="eastAsia"/>
                <w:color w:val="auto"/>
              </w:rPr>
              <w:t>月</w:t>
            </w:r>
            <w:r w:rsidR="00E2604B">
              <w:rPr>
                <w:rFonts w:asciiTheme="minorEastAsia" w:eastAsiaTheme="minorEastAsia" w:hAnsiTheme="minorEastAsia" w:cs="仿宋_GB2312"/>
                <w:color w:val="auto"/>
              </w:rPr>
              <w:t>2</w:t>
            </w:r>
            <w:r w:rsidR="00A21FA5">
              <w:rPr>
                <w:rFonts w:asciiTheme="minorEastAsia" w:eastAsiaTheme="minorEastAsia" w:hAnsiTheme="minorEastAsia" w:cs="仿宋_GB2312"/>
                <w:color w:val="auto"/>
              </w:rPr>
              <w:t>3</w:t>
            </w:r>
            <w:r w:rsidR="00E2604B" w:rsidRPr="001E6A11">
              <w:rPr>
                <w:rFonts w:asciiTheme="minorEastAsia" w:eastAsiaTheme="minorEastAsia" w:hAnsiTheme="minorEastAsia" w:cs="仿宋_GB2312" w:hint="eastAsia"/>
                <w:color w:val="auto"/>
              </w:rPr>
              <w:t>日</w:t>
            </w:r>
          </w:p>
        </w:tc>
        <w:tc>
          <w:tcPr>
            <w:tcW w:w="5523" w:type="dxa"/>
            <w:vAlign w:val="center"/>
          </w:tcPr>
          <w:p w14:paraId="772DD516" w14:textId="2FA16E4D" w:rsidR="00E2604B" w:rsidRDefault="00E2604B" w:rsidP="00E2604B">
            <w:pPr>
              <w:pStyle w:val="Default"/>
              <w:spacing w:line="312" w:lineRule="auto"/>
              <w:jc w:val="both"/>
            </w:pPr>
            <w:r>
              <w:rPr>
                <w:rFonts w:hint="eastAsia"/>
              </w:rPr>
              <w:t>1</w:t>
            </w:r>
            <w:r w:rsidR="004B6DE1">
              <w:rPr>
                <w:rFonts w:hint="eastAsia"/>
              </w:rPr>
              <w:t>．</w:t>
            </w:r>
            <w:r w:rsidR="00A21FA5" w:rsidRPr="00A21FA5">
              <w:rPr>
                <w:rFonts w:hint="eastAsia"/>
              </w:rPr>
              <w:t>《2023年度监事会工作报告》</w:t>
            </w:r>
            <w:r>
              <w:rPr>
                <w:rFonts w:hint="eastAsia"/>
              </w:rPr>
              <w:t>；</w:t>
            </w:r>
          </w:p>
          <w:p w14:paraId="28EDCE6E" w14:textId="200BFF0B" w:rsidR="00E2604B" w:rsidRDefault="00E2604B" w:rsidP="00E2604B">
            <w:pPr>
              <w:pStyle w:val="Default"/>
              <w:spacing w:line="312" w:lineRule="auto"/>
              <w:jc w:val="both"/>
            </w:pPr>
            <w:r>
              <w:rPr>
                <w:rFonts w:hint="eastAsia"/>
              </w:rPr>
              <w:t>2</w:t>
            </w:r>
            <w:r w:rsidR="004B6DE1">
              <w:rPr>
                <w:rFonts w:hint="eastAsia"/>
              </w:rPr>
              <w:t>．</w:t>
            </w:r>
            <w:r w:rsidR="00A21FA5" w:rsidRPr="00A21FA5">
              <w:rPr>
                <w:rFonts w:hint="eastAsia"/>
              </w:rPr>
              <w:t>《2023年度财务决算报告的议案》</w:t>
            </w:r>
            <w:r>
              <w:rPr>
                <w:rFonts w:hint="eastAsia"/>
              </w:rPr>
              <w:t>；</w:t>
            </w:r>
          </w:p>
          <w:p w14:paraId="11BAA9A1" w14:textId="43990FF9" w:rsidR="00E2604B" w:rsidRDefault="00E2604B" w:rsidP="00E2604B">
            <w:pPr>
              <w:pStyle w:val="Default"/>
              <w:spacing w:line="312" w:lineRule="auto"/>
              <w:jc w:val="both"/>
            </w:pPr>
            <w:r>
              <w:rPr>
                <w:rFonts w:hint="eastAsia"/>
              </w:rPr>
              <w:t>3</w:t>
            </w:r>
            <w:r w:rsidR="004B6DE1">
              <w:rPr>
                <w:rFonts w:hint="eastAsia"/>
              </w:rPr>
              <w:t>．</w:t>
            </w:r>
            <w:r>
              <w:rPr>
                <w:rFonts w:hint="eastAsia"/>
              </w:rPr>
              <w:t>《关于公司</w:t>
            </w:r>
            <w:r w:rsidR="00A21FA5">
              <w:rPr>
                <w:rFonts w:hint="eastAsia"/>
              </w:rPr>
              <w:t>2023</w:t>
            </w:r>
            <w:r>
              <w:rPr>
                <w:rFonts w:hint="eastAsia"/>
              </w:rPr>
              <w:t>年度利润分配预案的议案》；</w:t>
            </w:r>
          </w:p>
          <w:p w14:paraId="6CBD4AEF" w14:textId="6FFD32F3" w:rsidR="00E2604B" w:rsidRDefault="00E2604B" w:rsidP="00E2604B">
            <w:pPr>
              <w:pStyle w:val="Default"/>
              <w:spacing w:line="312" w:lineRule="auto"/>
              <w:jc w:val="both"/>
            </w:pPr>
            <w:r>
              <w:rPr>
                <w:rFonts w:hint="eastAsia"/>
              </w:rPr>
              <w:t>4</w:t>
            </w:r>
            <w:r w:rsidR="004B6DE1">
              <w:rPr>
                <w:rFonts w:hint="eastAsia"/>
              </w:rPr>
              <w:t>．</w:t>
            </w:r>
            <w:r>
              <w:rPr>
                <w:rFonts w:hint="eastAsia"/>
              </w:rPr>
              <w:t>《关于募集资金</w:t>
            </w:r>
            <w:r w:rsidR="00A21FA5">
              <w:rPr>
                <w:rFonts w:hint="eastAsia"/>
              </w:rPr>
              <w:t>2023</w:t>
            </w:r>
            <w:r>
              <w:rPr>
                <w:rFonts w:hint="eastAsia"/>
              </w:rPr>
              <w:t>年度存放与使用情况的专项报告的议案》；</w:t>
            </w:r>
          </w:p>
          <w:p w14:paraId="2C15444B" w14:textId="783DAA31" w:rsidR="00E2604B" w:rsidRDefault="00E2604B" w:rsidP="00E2604B">
            <w:pPr>
              <w:pStyle w:val="Default"/>
              <w:spacing w:line="312" w:lineRule="auto"/>
              <w:jc w:val="both"/>
            </w:pPr>
            <w:r>
              <w:rPr>
                <w:rFonts w:hint="eastAsia"/>
              </w:rPr>
              <w:t>5</w:t>
            </w:r>
            <w:r w:rsidR="004B6DE1">
              <w:rPr>
                <w:rFonts w:hint="eastAsia"/>
              </w:rPr>
              <w:t>.</w:t>
            </w:r>
            <w:r>
              <w:rPr>
                <w:rFonts w:hint="eastAsia"/>
              </w:rPr>
              <w:t>《</w:t>
            </w:r>
            <w:r w:rsidR="00A21FA5">
              <w:rPr>
                <w:rFonts w:hint="eastAsia"/>
              </w:rPr>
              <w:t>2023</w:t>
            </w:r>
            <w:r>
              <w:rPr>
                <w:rFonts w:hint="eastAsia"/>
              </w:rPr>
              <w:t>年度内部控制自我评价报告》；</w:t>
            </w:r>
          </w:p>
          <w:p w14:paraId="2F0D1747" w14:textId="38C428D6" w:rsidR="00E2604B" w:rsidRDefault="00E2604B" w:rsidP="00E2604B">
            <w:pPr>
              <w:pStyle w:val="Default"/>
              <w:spacing w:line="312" w:lineRule="auto"/>
              <w:jc w:val="both"/>
            </w:pPr>
            <w:r>
              <w:rPr>
                <w:rFonts w:hint="eastAsia"/>
              </w:rPr>
              <w:t>6</w:t>
            </w:r>
            <w:r w:rsidR="004B6DE1">
              <w:rPr>
                <w:rFonts w:hint="eastAsia"/>
              </w:rPr>
              <w:t>.</w:t>
            </w:r>
            <w:r>
              <w:rPr>
                <w:rFonts w:hint="eastAsia"/>
              </w:rPr>
              <w:t>《</w:t>
            </w:r>
            <w:r w:rsidR="00A21FA5">
              <w:rPr>
                <w:rFonts w:hint="eastAsia"/>
              </w:rPr>
              <w:t>2023</w:t>
            </w:r>
            <w:r>
              <w:rPr>
                <w:rFonts w:hint="eastAsia"/>
              </w:rPr>
              <w:t>年年度报告及摘要》；</w:t>
            </w:r>
          </w:p>
          <w:p w14:paraId="661C148C" w14:textId="5FCDF937" w:rsidR="00E2604B" w:rsidRDefault="00E2604B" w:rsidP="00E2604B">
            <w:pPr>
              <w:pStyle w:val="Default"/>
              <w:spacing w:line="312" w:lineRule="auto"/>
              <w:jc w:val="both"/>
            </w:pPr>
            <w:r>
              <w:t>7</w:t>
            </w:r>
            <w:r w:rsidR="004B6DE1">
              <w:rPr>
                <w:rFonts w:hint="eastAsia"/>
              </w:rPr>
              <w:t>.</w:t>
            </w:r>
            <w:r>
              <w:rPr>
                <w:rFonts w:hint="eastAsia"/>
              </w:rPr>
              <w:t>《关于</w:t>
            </w:r>
            <w:r w:rsidR="00A21FA5">
              <w:rPr>
                <w:rFonts w:hint="eastAsia"/>
              </w:rPr>
              <w:t>2023</w:t>
            </w:r>
            <w:r>
              <w:rPr>
                <w:rFonts w:hint="eastAsia"/>
              </w:rPr>
              <w:t>年度日常关联交易执行情况及</w:t>
            </w:r>
            <w:r w:rsidR="00A30F41">
              <w:rPr>
                <w:rFonts w:hint="eastAsia"/>
              </w:rPr>
              <w:t>2024</w:t>
            </w:r>
            <w:r>
              <w:rPr>
                <w:rFonts w:hint="eastAsia"/>
              </w:rPr>
              <w:t>年度预计日常关联交易的议案》；</w:t>
            </w:r>
          </w:p>
          <w:p w14:paraId="73935330" w14:textId="2587D20C" w:rsidR="00E2604B" w:rsidRDefault="00E2604B" w:rsidP="00E2604B">
            <w:pPr>
              <w:pStyle w:val="Default"/>
              <w:spacing w:line="312" w:lineRule="auto"/>
              <w:jc w:val="both"/>
            </w:pPr>
            <w:r>
              <w:rPr>
                <w:rFonts w:hint="eastAsia"/>
              </w:rPr>
              <w:t>8</w:t>
            </w:r>
            <w:r w:rsidR="004B6DE1">
              <w:rPr>
                <w:rFonts w:hint="eastAsia"/>
              </w:rPr>
              <w:t>.</w:t>
            </w:r>
            <w:r>
              <w:rPr>
                <w:rFonts w:hint="eastAsia"/>
              </w:rPr>
              <w:t>《关于</w:t>
            </w:r>
            <w:r w:rsidR="00A21FA5">
              <w:rPr>
                <w:rFonts w:hint="eastAsia"/>
              </w:rPr>
              <w:t>2023</w:t>
            </w:r>
            <w:r>
              <w:rPr>
                <w:rFonts w:hint="eastAsia"/>
              </w:rPr>
              <w:t>年度公司董事、监事及高级管理人员薪酬的议案》；</w:t>
            </w:r>
          </w:p>
          <w:p w14:paraId="68B752C5" w14:textId="04884AEF" w:rsidR="00E2604B" w:rsidRDefault="00E2604B" w:rsidP="00E2604B">
            <w:pPr>
              <w:pStyle w:val="Default"/>
              <w:spacing w:line="312" w:lineRule="auto"/>
              <w:jc w:val="both"/>
            </w:pPr>
            <w:r>
              <w:rPr>
                <w:rFonts w:hint="eastAsia"/>
              </w:rPr>
              <w:t>9</w:t>
            </w:r>
            <w:r w:rsidR="004B6DE1">
              <w:rPr>
                <w:rFonts w:hint="eastAsia"/>
              </w:rPr>
              <w:t>.</w:t>
            </w:r>
            <w:r>
              <w:rPr>
                <w:rFonts w:hint="eastAsia"/>
              </w:rPr>
              <w:t>《关于</w:t>
            </w:r>
            <w:r w:rsidR="00A30F41">
              <w:rPr>
                <w:rFonts w:hint="eastAsia"/>
              </w:rPr>
              <w:t>2024</w:t>
            </w:r>
            <w:r>
              <w:rPr>
                <w:rFonts w:hint="eastAsia"/>
              </w:rPr>
              <w:t>年度公司董事、监事及高级管理人员薪酬方案的议案》；</w:t>
            </w:r>
          </w:p>
          <w:p w14:paraId="35A2FF62" w14:textId="100ECB04" w:rsidR="00E2604B" w:rsidRDefault="00E2604B" w:rsidP="00E2604B">
            <w:pPr>
              <w:pStyle w:val="Default"/>
              <w:spacing w:line="312" w:lineRule="auto"/>
              <w:jc w:val="both"/>
            </w:pPr>
            <w:r>
              <w:rPr>
                <w:rFonts w:hint="eastAsia"/>
              </w:rPr>
              <w:t>1</w:t>
            </w:r>
            <w:r>
              <w:t>0</w:t>
            </w:r>
            <w:r w:rsidR="004B6DE1">
              <w:rPr>
                <w:rFonts w:hint="eastAsia"/>
              </w:rPr>
              <w:t>.</w:t>
            </w:r>
            <w:r>
              <w:rPr>
                <w:rFonts w:hint="eastAsia"/>
              </w:rPr>
              <w:t>《</w:t>
            </w:r>
            <w:r w:rsidR="00A21FA5" w:rsidRPr="00A21FA5">
              <w:rPr>
                <w:rFonts w:hint="eastAsia"/>
              </w:rPr>
              <w:t>关于2023年度计提各项资产减值准备和预计负债的议案</w:t>
            </w:r>
            <w:r>
              <w:rPr>
                <w:rFonts w:hint="eastAsia"/>
              </w:rPr>
              <w:t>》；</w:t>
            </w:r>
          </w:p>
          <w:p w14:paraId="0A96E951" w14:textId="63148ECA" w:rsidR="00E2604B" w:rsidRDefault="00E2604B" w:rsidP="00E2604B">
            <w:pPr>
              <w:pStyle w:val="Default"/>
              <w:spacing w:line="312" w:lineRule="auto"/>
              <w:jc w:val="both"/>
            </w:pPr>
            <w:r>
              <w:rPr>
                <w:rFonts w:hint="eastAsia"/>
              </w:rPr>
              <w:t>1</w:t>
            </w:r>
            <w:r>
              <w:t>1</w:t>
            </w:r>
            <w:r w:rsidR="004B6DE1">
              <w:rPr>
                <w:rFonts w:hint="eastAsia"/>
              </w:rPr>
              <w:t>.</w:t>
            </w:r>
            <w:r>
              <w:rPr>
                <w:rFonts w:hint="eastAsia"/>
              </w:rPr>
              <w:t>《</w:t>
            </w:r>
            <w:r w:rsidR="00A21FA5" w:rsidRPr="00A21FA5">
              <w:rPr>
                <w:rFonts w:hint="eastAsia"/>
              </w:rPr>
              <w:t>关于未弥补亏损达到实收股本总额三分之一的议案</w:t>
            </w:r>
            <w:r>
              <w:rPr>
                <w:rFonts w:hint="eastAsia"/>
              </w:rPr>
              <w:t>》；</w:t>
            </w:r>
          </w:p>
          <w:p w14:paraId="1642CA8B" w14:textId="4C24C86D" w:rsidR="00E2604B" w:rsidRDefault="00E2604B" w:rsidP="00E2604B">
            <w:pPr>
              <w:pStyle w:val="Default"/>
              <w:spacing w:line="312" w:lineRule="auto"/>
              <w:jc w:val="both"/>
            </w:pPr>
            <w:r>
              <w:rPr>
                <w:rFonts w:hint="eastAsia"/>
              </w:rPr>
              <w:lastRenderedPageBreak/>
              <w:t>1</w:t>
            </w:r>
            <w:r>
              <w:t>2</w:t>
            </w:r>
            <w:r w:rsidR="004B6DE1">
              <w:rPr>
                <w:rFonts w:hint="eastAsia"/>
              </w:rPr>
              <w:t>.</w:t>
            </w:r>
            <w:r>
              <w:rPr>
                <w:rFonts w:hint="eastAsia"/>
              </w:rPr>
              <w:t>《</w:t>
            </w:r>
            <w:r w:rsidR="00A21FA5" w:rsidRPr="00A21FA5">
              <w:rPr>
                <w:rFonts w:hint="eastAsia"/>
              </w:rPr>
              <w:t>董事会关于公司2023年度带持续经营相关的重大不确定性与强调事项段的无保留意见审计报告涉及事项的专项说明</w:t>
            </w:r>
            <w:r>
              <w:rPr>
                <w:rFonts w:hint="eastAsia"/>
              </w:rPr>
              <w:t>》；</w:t>
            </w:r>
          </w:p>
          <w:p w14:paraId="0AEEBD0E" w14:textId="75990E8F" w:rsidR="00E2604B" w:rsidRDefault="00E2604B" w:rsidP="00E2604B">
            <w:pPr>
              <w:pStyle w:val="Default"/>
              <w:spacing w:line="312" w:lineRule="auto"/>
              <w:jc w:val="both"/>
            </w:pPr>
            <w:r>
              <w:rPr>
                <w:rFonts w:hint="eastAsia"/>
              </w:rPr>
              <w:t>1</w:t>
            </w:r>
            <w:r>
              <w:t>3</w:t>
            </w:r>
            <w:r w:rsidR="004B6DE1">
              <w:rPr>
                <w:rFonts w:hint="eastAsia"/>
              </w:rPr>
              <w:t>.</w:t>
            </w:r>
            <w:r>
              <w:rPr>
                <w:rFonts w:hint="eastAsia"/>
              </w:rPr>
              <w:t>《</w:t>
            </w:r>
            <w:r w:rsidR="00A21FA5" w:rsidRPr="00A21FA5">
              <w:rPr>
                <w:rFonts w:hint="eastAsia"/>
              </w:rPr>
              <w:t>公司&lt;未来三年（2024年-2026年）股东回报规划&gt;的议案</w:t>
            </w:r>
            <w:r w:rsidR="00A21FA5">
              <w:rPr>
                <w:rFonts w:hint="eastAsia"/>
              </w:rPr>
              <w:t>》；</w:t>
            </w:r>
          </w:p>
          <w:p w14:paraId="0AAE20DE" w14:textId="580BEDB1" w:rsidR="00A21FA5" w:rsidRDefault="00A21FA5" w:rsidP="004B6DE1">
            <w:pPr>
              <w:pStyle w:val="Default"/>
              <w:spacing w:line="312" w:lineRule="auto"/>
              <w:jc w:val="both"/>
              <w:rPr>
                <w:rFonts w:asciiTheme="minorEastAsia" w:eastAsiaTheme="minorEastAsia" w:hAnsiTheme="minorEastAsia" w:cs="仿宋_GB2312" w:hint="eastAsia"/>
                <w:color w:val="auto"/>
              </w:rPr>
            </w:pPr>
            <w:r>
              <w:rPr>
                <w:rFonts w:hint="eastAsia"/>
              </w:rPr>
              <w:t>1</w:t>
            </w:r>
            <w:r>
              <w:t>4</w:t>
            </w:r>
            <w:r w:rsidR="004B6DE1">
              <w:rPr>
                <w:rFonts w:hint="eastAsia"/>
              </w:rPr>
              <w:t>.</w:t>
            </w:r>
            <w:r w:rsidRPr="00A21FA5">
              <w:rPr>
                <w:rFonts w:hint="eastAsia"/>
              </w:rPr>
              <w:t>《关于会计政策变更的议案》</w:t>
            </w:r>
            <w:r>
              <w:rPr>
                <w:rFonts w:hint="eastAsia"/>
              </w:rPr>
              <w:t>。</w:t>
            </w:r>
          </w:p>
        </w:tc>
      </w:tr>
      <w:tr w:rsidR="00E2604B" w14:paraId="00F074FC" w14:textId="77777777" w:rsidTr="00A30690">
        <w:trPr>
          <w:jc w:val="center"/>
        </w:trPr>
        <w:tc>
          <w:tcPr>
            <w:tcW w:w="708" w:type="dxa"/>
            <w:vAlign w:val="center"/>
          </w:tcPr>
          <w:p w14:paraId="1F33868E" w14:textId="77F8F184" w:rsidR="00E2604B" w:rsidRPr="00411E9A" w:rsidRDefault="00E2604B" w:rsidP="00E2604B">
            <w:pPr>
              <w:pStyle w:val="Default"/>
              <w:spacing w:line="312" w:lineRule="auto"/>
              <w:jc w:val="center"/>
              <w:rPr>
                <w:rFonts w:asciiTheme="minorEastAsia" w:eastAsiaTheme="minorEastAsia" w:hAnsiTheme="minorEastAsia" w:cs="仿宋_GB2312" w:hint="eastAsia"/>
                <w:color w:val="auto"/>
              </w:rPr>
            </w:pPr>
            <w:r w:rsidRPr="00411E9A">
              <w:rPr>
                <w:rFonts w:asciiTheme="minorEastAsia" w:eastAsiaTheme="minorEastAsia" w:hAnsiTheme="minorEastAsia" w:cs="仿宋_GB2312" w:hint="eastAsia"/>
                <w:color w:val="auto"/>
              </w:rPr>
              <w:lastRenderedPageBreak/>
              <w:t>2</w:t>
            </w:r>
          </w:p>
        </w:tc>
        <w:tc>
          <w:tcPr>
            <w:tcW w:w="1702" w:type="dxa"/>
            <w:vAlign w:val="center"/>
          </w:tcPr>
          <w:p w14:paraId="16BDC58A" w14:textId="6AC4B420" w:rsidR="00E2604B" w:rsidRPr="00411E9A" w:rsidRDefault="00E2604B" w:rsidP="00E2604B">
            <w:pPr>
              <w:pStyle w:val="Default"/>
              <w:spacing w:line="312" w:lineRule="auto"/>
              <w:jc w:val="both"/>
              <w:rPr>
                <w:rFonts w:asciiTheme="minorEastAsia" w:eastAsiaTheme="minorEastAsia" w:hAnsiTheme="minorEastAsia" w:cs="仿宋_GB2312" w:hint="eastAsia"/>
                <w:color w:val="auto"/>
              </w:rPr>
            </w:pPr>
            <w:r w:rsidRPr="00411E9A">
              <w:rPr>
                <w:rFonts w:hint="eastAsia"/>
              </w:rPr>
              <w:t>第六届监事会第</w:t>
            </w:r>
            <w:r w:rsidR="00411E9A" w:rsidRPr="00411E9A">
              <w:rPr>
                <w:rFonts w:hint="eastAsia"/>
              </w:rPr>
              <w:t>八</w:t>
            </w:r>
            <w:r w:rsidRPr="00411E9A">
              <w:rPr>
                <w:rFonts w:hint="eastAsia"/>
              </w:rPr>
              <w:t>次会议</w:t>
            </w:r>
          </w:p>
        </w:tc>
        <w:tc>
          <w:tcPr>
            <w:tcW w:w="1276" w:type="dxa"/>
            <w:vAlign w:val="center"/>
          </w:tcPr>
          <w:p w14:paraId="094FEB58" w14:textId="6DE6EC16" w:rsidR="00E2604B" w:rsidRPr="00411E9A" w:rsidRDefault="00A30F41" w:rsidP="00411E9A">
            <w:pPr>
              <w:pStyle w:val="Default"/>
              <w:spacing w:line="312" w:lineRule="auto"/>
              <w:jc w:val="both"/>
              <w:rPr>
                <w:rFonts w:asciiTheme="minorEastAsia" w:eastAsiaTheme="minorEastAsia" w:hAnsiTheme="minorEastAsia" w:cs="仿宋_GB2312" w:hint="eastAsia"/>
                <w:color w:val="auto"/>
              </w:rPr>
            </w:pPr>
            <w:r w:rsidRPr="00411E9A">
              <w:rPr>
                <w:rFonts w:asciiTheme="minorEastAsia" w:eastAsiaTheme="minorEastAsia" w:hAnsiTheme="minorEastAsia" w:cs="仿宋_GB2312" w:hint="eastAsia"/>
                <w:color w:val="auto"/>
              </w:rPr>
              <w:t>2024</w:t>
            </w:r>
            <w:r w:rsidR="00E2604B" w:rsidRPr="00411E9A">
              <w:rPr>
                <w:rFonts w:asciiTheme="minorEastAsia" w:eastAsiaTheme="minorEastAsia" w:hAnsiTheme="minorEastAsia" w:cs="仿宋_GB2312" w:hint="eastAsia"/>
                <w:color w:val="auto"/>
              </w:rPr>
              <w:t>年4月</w:t>
            </w:r>
            <w:r w:rsidR="00E2604B" w:rsidRPr="00411E9A">
              <w:rPr>
                <w:rFonts w:asciiTheme="minorEastAsia" w:eastAsiaTheme="minorEastAsia" w:hAnsiTheme="minorEastAsia" w:cs="仿宋_GB2312"/>
                <w:color w:val="auto"/>
              </w:rPr>
              <w:t>2</w:t>
            </w:r>
            <w:r w:rsidR="00411E9A" w:rsidRPr="00411E9A">
              <w:rPr>
                <w:rFonts w:asciiTheme="minorEastAsia" w:eastAsiaTheme="minorEastAsia" w:hAnsiTheme="minorEastAsia" w:cs="仿宋_GB2312"/>
                <w:color w:val="auto"/>
              </w:rPr>
              <w:t>9</w:t>
            </w:r>
            <w:r w:rsidR="00E2604B" w:rsidRPr="00411E9A">
              <w:rPr>
                <w:rFonts w:asciiTheme="minorEastAsia" w:eastAsiaTheme="minorEastAsia" w:hAnsiTheme="minorEastAsia" w:cs="仿宋_GB2312" w:hint="eastAsia"/>
                <w:color w:val="auto"/>
              </w:rPr>
              <w:t>日</w:t>
            </w:r>
          </w:p>
        </w:tc>
        <w:tc>
          <w:tcPr>
            <w:tcW w:w="5523" w:type="dxa"/>
            <w:vAlign w:val="center"/>
          </w:tcPr>
          <w:p w14:paraId="716D15F6" w14:textId="148B7985" w:rsidR="00E2604B" w:rsidRDefault="00E2604B" w:rsidP="004B6DE1">
            <w:pPr>
              <w:pStyle w:val="Default"/>
              <w:spacing w:line="312" w:lineRule="auto"/>
              <w:jc w:val="both"/>
              <w:rPr>
                <w:rFonts w:asciiTheme="minorEastAsia" w:eastAsiaTheme="minorEastAsia" w:hAnsiTheme="minorEastAsia" w:cs="仿宋_GB2312" w:hint="eastAsia"/>
                <w:color w:val="auto"/>
              </w:rPr>
            </w:pPr>
            <w:r w:rsidRPr="00411E9A">
              <w:rPr>
                <w:rFonts w:hint="eastAsia"/>
              </w:rPr>
              <w:t>1</w:t>
            </w:r>
            <w:r w:rsidR="004B6DE1">
              <w:rPr>
                <w:rFonts w:hint="eastAsia"/>
              </w:rPr>
              <w:t>.</w:t>
            </w:r>
            <w:r w:rsidRPr="00411E9A">
              <w:rPr>
                <w:rFonts w:hint="eastAsia"/>
              </w:rPr>
              <w:t>《关于公司</w:t>
            </w:r>
            <w:r w:rsidR="00A30F41" w:rsidRPr="00411E9A">
              <w:rPr>
                <w:rFonts w:hint="eastAsia"/>
              </w:rPr>
              <w:t>2024</w:t>
            </w:r>
            <w:r w:rsidRPr="00411E9A">
              <w:rPr>
                <w:rFonts w:hint="eastAsia"/>
              </w:rPr>
              <w:t>年第一季度报告的议案》。</w:t>
            </w:r>
          </w:p>
        </w:tc>
      </w:tr>
      <w:tr w:rsidR="00E2604B" w14:paraId="736B7FB5" w14:textId="77777777" w:rsidTr="00A30690">
        <w:trPr>
          <w:jc w:val="center"/>
        </w:trPr>
        <w:tc>
          <w:tcPr>
            <w:tcW w:w="708" w:type="dxa"/>
            <w:vAlign w:val="center"/>
          </w:tcPr>
          <w:p w14:paraId="23C48957" w14:textId="24565801" w:rsidR="00E2604B" w:rsidRDefault="00E2604B" w:rsidP="00E2604B">
            <w:pPr>
              <w:pStyle w:val="Default"/>
              <w:spacing w:line="312" w:lineRule="auto"/>
              <w:jc w:val="center"/>
              <w:rPr>
                <w:rFonts w:asciiTheme="minorEastAsia" w:eastAsiaTheme="minorEastAsia" w:hAnsiTheme="minorEastAsia" w:cs="仿宋_GB2312" w:hint="eastAsia"/>
                <w:color w:val="auto"/>
              </w:rPr>
            </w:pPr>
            <w:r>
              <w:rPr>
                <w:rFonts w:asciiTheme="minorEastAsia" w:eastAsiaTheme="minorEastAsia" w:hAnsiTheme="minorEastAsia" w:cs="仿宋_GB2312" w:hint="eastAsia"/>
                <w:color w:val="auto"/>
              </w:rPr>
              <w:t>3</w:t>
            </w:r>
          </w:p>
        </w:tc>
        <w:tc>
          <w:tcPr>
            <w:tcW w:w="1702" w:type="dxa"/>
            <w:vAlign w:val="center"/>
          </w:tcPr>
          <w:p w14:paraId="45D5A560" w14:textId="595AC47B" w:rsidR="00E2604B" w:rsidRDefault="00AA0BF1" w:rsidP="00E2604B">
            <w:pPr>
              <w:pStyle w:val="Default"/>
              <w:spacing w:line="312" w:lineRule="auto"/>
              <w:jc w:val="both"/>
              <w:rPr>
                <w:rFonts w:asciiTheme="minorEastAsia" w:eastAsiaTheme="minorEastAsia" w:hAnsiTheme="minorEastAsia" w:cs="仿宋_GB2312" w:hint="eastAsia"/>
                <w:color w:val="auto"/>
              </w:rPr>
            </w:pPr>
            <w:r w:rsidRPr="00AA0BF1">
              <w:rPr>
                <w:rFonts w:hint="eastAsia"/>
              </w:rPr>
              <w:t>第六届监事会2024年第一次临时会议</w:t>
            </w:r>
          </w:p>
        </w:tc>
        <w:tc>
          <w:tcPr>
            <w:tcW w:w="1276" w:type="dxa"/>
            <w:vAlign w:val="center"/>
          </w:tcPr>
          <w:p w14:paraId="30361FE4" w14:textId="6284CCE8" w:rsidR="00E2604B" w:rsidRDefault="00A30F41" w:rsidP="00AA0BF1">
            <w:pPr>
              <w:pStyle w:val="Default"/>
              <w:spacing w:line="312" w:lineRule="auto"/>
              <w:jc w:val="both"/>
              <w:rPr>
                <w:rFonts w:asciiTheme="minorEastAsia" w:eastAsiaTheme="minorEastAsia" w:hAnsiTheme="minorEastAsia" w:cs="仿宋_GB2312" w:hint="eastAsia"/>
                <w:color w:val="auto"/>
              </w:rPr>
            </w:pPr>
            <w:r>
              <w:rPr>
                <w:rFonts w:asciiTheme="minorEastAsia" w:eastAsiaTheme="minorEastAsia" w:hAnsiTheme="minorEastAsia" w:cs="仿宋_GB2312" w:hint="eastAsia"/>
                <w:color w:val="auto"/>
              </w:rPr>
              <w:t>2024</w:t>
            </w:r>
            <w:r w:rsidR="00E2604B">
              <w:rPr>
                <w:rFonts w:asciiTheme="minorEastAsia" w:eastAsiaTheme="minorEastAsia" w:hAnsiTheme="minorEastAsia" w:cs="仿宋_GB2312" w:hint="eastAsia"/>
                <w:color w:val="auto"/>
              </w:rPr>
              <w:t>年</w:t>
            </w:r>
            <w:r w:rsidR="00AA0BF1">
              <w:rPr>
                <w:rFonts w:asciiTheme="minorEastAsia" w:eastAsiaTheme="minorEastAsia" w:hAnsiTheme="minorEastAsia" w:cs="仿宋_GB2312"/>
                <w:color w:val="auto"/>
              </w:rPr>
              <w:t>6</w:t>
            </w:r>
            <w:r w:rsidR="00E2604B" w:rsidRPr="001E6A11">
              <w:rPr>
                <w:rFonts w:asciiTheme="minorEastAsia" w:eastAsiaTheme="minorEastAsia" w:hAnsiTheme="minorEastAsia" w:cs="仿宋_GB2312" w:hint="eastAsia"/>
                <w:color w:val="auto"/>
              </w:rPr>
              <w:t>月</w:t>
            </w:r>
            <w:r w:rsidR="00AA0BF1">
              <w:rPr>
                <w:rFonts w:asciiTheme="minorEastAsia" w:eastAsiaTheme="minorEastAsia" w:hAnsiTheme="minorEastAsia" w:cs="仿宋_GB2312"/>
                <w:color w:val="auto"/>
              </w:rPr>
              <w:t>17</w:t>
            </w:r>
            <w:r w:rsidR="00E2604B" w:rsidRPr="001E6A11">
              <w:rPr>
                <w:rFonts w:asciiTheme="minorEastAsia" w:eastAsiaTheme="minorEastAsia" w:hAnsiTheme="minorEastAsia" w:cs="仿宋_GB2312" w:hint="eastAsia"/>
                <w:color w:val="auto"/>
              </w:rPr>
              <w:t>日</w:t>
            </w:r>
          </w:p>
        </w:tc>
        <w:tc>
          <w:tcPr>
            <w:tcW w:w="5523" w:type="dxa"/>
            <w:vAlign w:val="center"/>
          </w:tcPr>
          <w:p w14:paraId="64E9ABAA" w14:textId="2DD9E5E5" w:rsidR="00E2604B" w:rsidRDefault="00E2604B" w:rsidP="004B6DE1">
            <w:pPr>
              <w:pStyle w:val="Default"/>
              <w:spacing w:line="312" w:lineRule="auto"/>
              <w:jc w:val="both"/>
              <w:rPr>
                <w:rFonts w:asciiTheme="minorEastAsia" w:eastAsiaTheme="minorEastAsia" w:hAnsiTheme="minorEastAsia" w:cs="仿宋_GB2312" w:hint="eastAsia"/>
                <w:color w:val="auto"/>
              </w:rPr>
            </w:pPr>
            <w:r>
              <w:rPr>
                <w:rFonts w:hint="eastAsia"/>
              </w:rPr>
              <w:t>1</w:t>
            </w:r>
            <w:r w:rsidR="004B6DE1">
              <w:rPr>
                <w:rFonts w:hint="eastAsia"/>
              </w:rPr>
              <w:t>.</w:t>
            </w:r>
            <w:r w:rsidR="00AA0BF1" w:rsidRPr="00AA0BF1">
              <w:rPr>
                <w:rFonts w:hint="eastAsia"/>
              </w:rPr>
              <w:t>《关于与债权人常熟奥杰签订债务代偿协议暨关联交易的议案》</w:t>
            </w:r>
            <w:r>
              <w:rPr>
                <w:rFonts w:hint="eastAsia"/>
              </w:rPr>
              <w:t>。</w:t>
            </w:r>
          </w:p>
        </w:tc>
      </w:tr>
      <w:tr w:rsidR="00E2604B" w:rsidRPr="00A30690" w14:paraId="5EEDBFC2" w14:textId="77777777" w:rsidTr="00A30690">
        <w:trPr>
          <w:jc w:val="center"/>
        </w:trPr>
        <w:tc>
          <w:tcPr>
            <w:tcW w:w="708" w:type="dxa"/>
            <w:vAlign w:val="center"/>
          </w:tcPr>
          <w:p w14:paraId="38F9BA2E" w14:textId="1F7AEC5E" w:rsidR="00E2604B" w:rsidRDefault="00E2604B" w:rsidP="00E2604B">
            <w:pPr>
              <w:pStyle w:val="Default"/>
              <w:spacing w:line="312" w:lineRule="auto"/>
              <w:jc w:val="center"/>
              <w:rPr>
                <w:rFonts w:asciiTheme="minorEastAsia" w:eastAsiaTheme="minorEastAsia" w:hAnsiTheme="minorEastAsia" w:cs="仿宋_GB2312" w:hint="eastAsia"/>
                <w:color w:val="auto"/>
              </w:rPr>
            </w:pPr>
            <w:r>
              <w:rPr>
                <w:rFonts w:asciiTheme="minorEastAsia" w:eastAsiaTheme="minorEastAsia" w:hAnsiTheme="minorEastAsia" w:cs="仿宋_GB2312" w:hint="eastAsia"/>
                <w:color w:val="auto"/>
              </w:rPr>
              <w:t>4</w:t>
            </w:r>
          </w:p>
        </w:tc>
        <w:tc>
          <w:tcPr>
            <w:tcW w:w="1702" w:type="dxa"/>
            <w:vAlign w:val="center"/>
          </w:tcPr>
          <w:p w14:paraId="5F683D38" w14:textId="4827B6FD" w:rsidR="00E2604B" w:rsidRDefault="00AA0BF1" w:rsidP="00E2604B">
            <w:pPr>
              <w:pStyle w:val="Default"/>
              <w:spacing w:line="312" w:lineRule="auto"/>
              <w:jc w:val="both"/>
              <w:rPr>
                <w:rFonts w:asciiTheme="minorEastAsia" w:eastAsiaTheme="minorEastAsia" w:hAnsiTheme="minorEastAsia" w:cs="仿宋_GB2312" w:hint="eastAsia"/>
                <w:color w:val="auto"/>
              </w:rPr>
            </w:pPr>
            <w:r w:rsidRPr="00AA0BF1">
              <w:rPr>
                <w:rFonts w:hint="eastAsia"/>
              </w:rPr>
              <w:t>第六届监事会2024年第二次临时会议</w:t>
            </w:r>
          </w:p>
        </w:tc>
        <w:tc>
          <w:tcPr>
            <w:tcW w:w="1276" w:type="dxa"/>
            <w:vAlign w:val="center"/>
          </w:tcPr>
          <w:p w14:paraId="3D016443" w14:textId="47C70E0B" w:rsidR="00E2604B" w:rsidRDefault="00A30F41" w:rsidP="00AA0BF1">
            <w:pPr>
              <w:pStyle w:val="Default"/>
              <w:spacing w:line="312" w:lineRule="auto"/>
              <w:jc w:val="both"/>
              <w:rPr>
                <w:rFonts w:asciiTheme="minorEastAsia" w:eastAsiaTheme="minorEastAsia" w:hAnsiTheme="minorEastAsia" w:cs="仿宋_GB2312" w:hint="eastAsia"/>
                <w:color w:val="auto"/>
              </w:rPr>
            </w:pPr>
            <w:r>
              <w:rPr>
                <w:rFonts w:asciiTheme="minorEastAsia" w:eastAsiaTheme="minorEastAsia" w:hAnsiTheme="minorEastAsia" w:cs="仿宋_GB2312" w:hint="eastAsia"/>
                <w:color w:val="auto"/>
              </w:rPr>
              <w:t>2024</w:t>
            </w:r>
            <w:r w:rsidR="00E2604B">
              <w:rPr>
                <w:rFonts w:asciiTheme="minorEastAsia" w:eastAsiaTheme="minorEastAsia" w:hAnsiTheme="minorEastAsia" w:cs="仿宋_GB2312" w:hint="eastAsia"/>
                <w:color w:val="auto"/>
              </w:rPr>
              <w:t>年</w:t>
            </w:r>
            <w:r w:rsidR="00AA0BF1">
              <w:rPr>
                <w:rFonts w:asciiTheme="minorEastAsia" w:eastAsiaTheme="minorEastAsia" w:hAnsiTheme="minorEastAsia" w:cs="仿宋_GB2312"/>
                <w:color w:val="auto"/>
              </w:rPr>
              <w:t>8</w:t>
            </w:r>
            <w:r w:rsidR="00E2604B" w:rsidRPr="001E6A11">
              <w:rPr>
                <w:rFonts w:asciiTheme="minorEastAsia" w:eastAsiaTheme="minorEastAsia" w:hAnsiTheme="minorEastAsia" w:cs="仿宋_GB2312" w:hint="eastAsia"/>
                <w:color w:val="auto"/>
              </w:rPr>
              <w:t>月</w:t>
            </w:r>
            <w:r w:rsidR="00AA0BF1">
              <w:rPr>
                <w:rFonts w:asciiTheme="minorEastAsia" w:eastAsiaTheme="minorEastAsia" w:hAnsiTheme="minorEastAsia" w:cs="仿宋_GB2312"/>
                <w:color w:val="auto"/>
              </w:rPr>
              <w:t>12</w:t>
            </w:r>
            <w:r w:rsidR="00E2604B" w:rsidRPr="001E6A11">
              <w:rPr>
                <w:rFonts w:asciiTheme="minorEastAsia" w:eastAsiaTheme="minorEastAsia" w:hAnsiTheme="minorEastAsia" w:cs="仿宋_GB2312" w:hint="eastAsia"/>
                <w:color w:val="auto"/>
              </w:rPr>
              <w:t>日</w:t>
            </w:r>
          </w:p>
        </w:tc>
        <w:tc>
          <w:tcPr>
            <w:tcW w:w="5523" w:type="dxa"/>
            <w:vAlign w:val="center"/>
          </w:tcPr>
          <w:p w14:paraId="5F73220A" w14:textId="32EF6524" w:rsidR="00E2604B" w:rsidRDefault="00E2604B" w:rsidP="004B6DE1">
            <w:pPr>
              <w:pStyle w:val="Default"/>
              <w:spacing w:line="312" w:lineRule="auto"/>
              <w:jc w:val="both"/>
              <w:rPr>
                <w:rFonts w:asciiTheme="minorEastAsia" w:eastAsiaTheme="minorEastAsia" w:hAnsiTheme="minorEastAsia" w:cs="仿宋_GB2312" w:hint="eastAsia"/>
                <w:color w:val="auto"/>
              </w:rPr>
            </w:pPr>
            <w:r>
              <w:rPr>
                <w:rFonts w:hint="eastAsia"/>
              </w:rPr>
              <w:t>1</w:t>
            </w:r>
            <w:r w:rsidR="004B6DE1">
              <w:rPr>
                <w:rFonts w:hint="eastAsia"/>
              </w:rPr>
              <w:t>.</w:t>
            </w:r>
            <w:r w:rsidR="00AA0BF1" w:rsidRPr="00AA0BF1">
              <w:rPr>
                <w:rFonts w:hint="eastAsia"/>
              </w:rPr>
              <w:t>《关于与债权人签订债务代偿协议暨关联交易的议案》</w:t>
            </w:r>
            <w:r>
              <w:rPr>
                <w:rFonts w:hint="eastAsia"/>
              </w:rPr>
              <w:t>。</w:t>
            </w:r>
          </w:p>
        </w:tc>
      </w:tr>
      <w:tr w:rsidR="00A30690" w:rsidRPr="00A30690" w14:paraId="20409D46" w14:textId="77777777" w:rsidTr="00A30690">
        <w:trPr>
          <w:jc w:val="center"/>
        </w:trPr>
        <w:tc>
          <w:tcPr>
            <w:tcW w:w="708" w:type="dxa"/>
            <w:vAlign w:val="center"/>
          </w:tcPr>
          <w:p w14:paraId="0CE5D2CD" w14:textId="69DE558D" w:rsidR="00A30690" w:rsidRDefault="00A30690" w:rsidP="00A30690">
            <w:pPr>
              <w:pStyle w:val="Default"/>
              <w:spacing w:line="312" w:lineRule="auto"/>
              <w:jc w:val="center"/>
              <w:rPr>
                <w:rFonts w:asciiTheme="minorEastAsia" w:eastAsiaTheme="minorEastAsia" w:hAnsiTheme="minorEastAsia" w:cs="仿宋_GB2312" w:hint="eastAsia"/>
                <w:color w:val="auto"/>
              </w:rPr>
            </w:pPr>
            <w:r>
              <w:rPr>
                <w:rFonts w:asciiTheme="minorEastAsia" w:eastAsiaTheme="minorEastAsia" w:hAnsiTheme="minorEastAsia" w:cs="仿宋_GB2312" w:hint="eastAsia"/>
                <w:color w:val="auto"/>
              </w:rPr>
              <w:t>5</w:t>
            </w:r>
          </w:p>
        </w:tc>
        <w:tc>
          <w:tcPr>
            <w:tcW w:w="1702" w:type="dxa"/>
            <w:vAlign w:val="center"/>
          </w:tcPr>
          <w:p w14:paraId="67D4AE87" w14:textId="497E94C5" w:rsidR="00A30690" w:rsidRPr="00AA0BF1" w:rsidRDefault="00A30690" w:rsidP="00A30690">
            <w:pPr>
              <w:pStyle w:val="Default"/>
              <w:spacing w:line="312" w:lineRule="auto"/>
              <w:jc w:val="both"/>
            </w:pPr>
            <w:r w:rsidRPr="00A30690">
              <w:rPr>
                <w:rFonts w:hint="eastAsia"/>
              </w:rPr>
              <w:t>第六届监事会第九次会议</w:t>
            </w:r>
          </w:p>
        </w:tc>
        <w:tc>
          <w:tcPr>
            <w:tcW w:w="1276" w:type="dxa"/>
            <w:vAlign w:val="center"/>
          </w:tcPr>
          <w:p w14:paraId="653869C0" w14:textId="6CB984F0" w:rsidR="00A30690" w:rsidRDefault="00A30690" w:rsidP="00A30690">
            <w:pPr>
              <w:pStyle w:val="Default"/>
              <w:spacing w:line="312" w:lineRule="auto"/>
              <w:jc w:val="both"/>
              <w:rPr>
                <w:rFonts w:asciiTheme="minorEastAsia" w:eastAsiaTheme="minorEastAsia" w:hAnsiTheme="minorEastAsia" w:cs="仿宋_GB2312" w:hint="eastAsia"/>
                <w:color w:val="auto"/>
              </w:rPr>
            </w:pPr>
            <w:r w:rsidRPr="00A30690">
              <w:rPr>
                <w:rFonts w:asciiTheme="minorEastAsia" w:eastAsiaTheme="minorEastAsia" w:hAnsiTheme="minorEastAsia" w:cs="仿宋_GB2312" w:hint="eastAsia"/>
                <w:color w:val="auto"/>
              </w:rPr>
              <w:t>2024年8月20日</w:t>
            </w:r>
          </w:p>
        </w:tc>
        <w:tc>
          <w:tcPr>
            <w:tcW w:w="5523" w:type="dxa"/>
            <w:vAlign w:val="center"/>
          </w:tcPr>
          <w:p w14:paraId="285699ED" w14:textId="3CF07784" w:rsidR="00A30690" w:rsidRDefault="00A30690" w:rsidP="00A30690">
            <w:pPr>
              <w:pStyle w:val="Default"/>
              <w:spacing w:line="312" w:lineRule="auto"/>
              <w:jc w:val="both"/>
            </w:pPr>
            <w:r>
              <w:rPr>
                <w:rFonts w:hint="eastAsia"/>
              </w:rPr>
              <w:t>1</w:t>
            </w:r>
            <w:r w:rsidR="004B6DE1">
              <w:rPr>
                <w:rFonts w:hint="eastAsia"/>
              </w:rPr>
              <w:t>.</w:t>
            </w:r>
            <w:r w:rsidRPr="00A30690">
              <w:rPr>
                <w:rFonts w:hint="eastAsia"/>
              </w:rPr>
              <w:t>《关于公司2024年半年度报告及其摘要的议案》</w:t>
            </w:r>
            <w:r>
              <w:rPr>
                <w:rFonts w:hint="eastAsia"/>
              </w:rPr>
              <w:t>；</w:t>
            </w:r>
          </w:p>
          <w:p w14:paraId="403DDC7E" w14:textId="78E47A49" w:rsidR="00A30690" w:rsidRDefault="00A30690" w:rsidP="004B6DE1">
            <w:pPr>
              <w:pStyle w:val="Default"/>
              <w:spacing w:line="312" w:lineRule="auto"/>
              <w:jc w:val="both"/>
            </w:pPr>
            <w:r>
              <w:rPr>
                <w:rFonts w:hint="eastAsia"/>
              </w:rPr>
              <w:t>2</w:t>
            </w:r>
            <w:r w:rsidR="004B6DE1">
              <w:rPr>
                <w:rFonts w:hint="eastAsia"/>
              </w:rPr>
              <w:t>.</w:t>
            </w:r>
            <w:r w:rsidRPr="00A30690">
              <w:rPr>
                <w:rFonts w:hint="eastAsia"/>
              </w:rPr>
              <w:t>《关于募集资金2024年半年度存放与使用情况的专项报告的议案》</w:t>
            </w:r>
            <w:r>
              <w:rPr>
                <w:rFonts w:hint="eastAsia"/>
              </w:rPr>
              <w:t>。</w:t>
            </w:r>
          </w:p>
        </w:tc>
      </w:tr>
      <w:tr w:rsidR="00A30690" w:rsidRPr="00A30690" w14:paraId="5505CF66" w14:textId="77777777" w:rsidTr="00A30690">
        <w:trPr>
          <w:jc w:val="center"/>
        </w:trPr>
        <w:tc>
          <w:tcPr>
            <w:tcW w:w="708" w:type="dxa"/>
            <w:vAlign w:val="center"/>
          </w:tcPr>
          <w:p w14:paraId="0E5B3FEC" w14:textId="4F7D7875" w:rsidR="00A30690" w:rsidRDefault="00A30690" w:rsidP="00A30690">
            <w:pPr>
              <w:pStyle w:val="Default"/>
              <w:spacing w:line="312" w:lineRule="auto"/>
              <w:jc w:val="center"/>
              <w:rPr>
                <w:rFonts w:asciiTheme="minorEastAsia" w:eastAsiaTheme="minorEastAsia" w:hAnsiTheme="minorEastAsia" w:cs="仿宋_GB2312" w:hint="eastAsia"/>
                <w:color w:val="auto"/>
              </w:rPr>
            </w:pPr>
            <w:r>
              <w:rPr>
                <w:rFonts w:asciiTheme="minorEastAsia" w:eastAsiaTheme="minorEastAsia" w:hAnsiTheme="minorEastAsia" w:cs="仿宋_GB2312" w:hint="eastAsia"/>
                <w:color w:val="auto"/>
              </w:rPr>
              <w:t>6</w:t>
            </w:r>
          </w:p>
        </w:tc>
        <w:tc>
          <w:tcPr>
            <w:tcW w:w="1702" w:type="dxa"/>
            <w:vAlign w:val="center"/>
          </w:tcPr>
          <w:p w14:paraId="5DAFE7EC" w14:textId="6F19E545" w:rsidR="00A30690" w:rsidRPr="00A30690" w:rsidRDefault="00A30690" w:rsidP="00A30690">
            <w:pPr>
              <w:pStyle w:val="Default"/>
              <w:spacing w:line="312" w:lineRule="auto"/>
              <w:jc w:val="both"/>
            </w:pPr>
            <w:r w:rsidRPr="00A30690">
              <w:rPr>
                <w:rFonts w:hint="eastAsia"/>
              </w:rPr>
              <w:t>第六届监事会2024年第三次临时会议</w:t>
            </w:r>
          </w:p>
        </w:tc>
        <w:tc>
          <w:tcPr>
            <w:tcW w:w="1276" w:type="dxa"/>
            <w:vAlign w:val="center"/>
          </w:tcPr>
          <w:p w14:paraId="40612280" w14:textId="7D634879" w:rsidR="00A30690" w:rsidRPr="00A30690" w:rsidRDefault="00A30690" w:rsidP="00A30690">
            <w:pPr>
              <w:pStyle w:val="Default"/>
              <w:spacing w:line="312" w:lineRule="auto"/>
              <w:jc w:val="both"/>
              <w:rPr>
                <w:rFonts w:asciiTheme="minorEastAsia" w:eastAsiaTheme="minorEastAsia" w:hAnsiTheme="minorEastAsia" w:cs="仿宋_GB2312" w:hint="eastAsia"/>
                <w:color w:val="auto"/>
              </w:rPr>
            </w:pPr>
            <w:r w:rsidRPr="00A30690">
              <w:rPr>
                <w:rFonts w:asciiTheme="minorEastAsia" w:eastAsiaTheme="minorEastAsia" w:hAnsiTheme="minorEastAsia" w:cs="仿宋_GB2312" w:hint="eastAsia"/>
                <w:color w:val="auto"/>
              </w:rPr>
              <w:t>2024年9月20日</w:t>
            </w:r>
          </w:p>
        </w:tc>
        <w:tc>
          <w:tcPr>
            <w:tcW w:w="5523" w:type="dxa"/>
            <w:vAlign w:val="center"/>
          </w:tcPr>
          <w:p w14:paraId="69755334" w14:textId="1C9DAB3D" w:rsidR="00A30690" w:rsidRDefault="00A30690" w:rsidP="004B6DE1">
            <w:pPr>
              <w:pStyle w:val="Default"/>
              <w:spacing w:line="312" w:lineRule="auto"/>
              <w:jc w:val="both"/>
            </w:pPr>
            <w:r>
              <w:rPr>
                <w:rFonts w:hint="eastAsia"/>
              </w:rPr>
              <w:t>1</w:t>
            </w:r>
            <w:r w:rsidR="004B6DE1">
              <w:rPr>
                <w:rFonts w:hint="eastAsia"/>
              </w:rPr>
              <w:t>.</w:t>
            </w:r>
            <w:r w:rsidRPr="00A30690">
              <w:rPr>
                <w:rFonts w:hint="eastAsia"/>
              </w:rPr>
              <w:t>《关于分别与债权人江苏东方资管、中建投租赁签订债务代偿协议暨关联交易的议案》</w:t>
            </w:r>
            <w:r>
              <w:rPr>
                <w:rFonts w:hint="eastAsia"/>
              </w:rPr>
              <w:t>。</w:t>
            </w:r>
          </w:p>
        </w:tc>
      </w:tr>
      <w:tr w:rsidR="00A30690" w:rsidRPr="00A30690" w14:paraId="4AE0B96B" w14:textId="77777777" w:rsidTr="00A30690">
        <w:trPr>
          <w:jc w:val="center"/>
        </w:trPr>
        <w:tc>
          <w:tcPr>
            <w:tcW w:w="708" w:type="dxa"/>
            <w:vAlign w:val="center"/>
          </w:tcPr>
          <w:p w14:paraId="2AED0F5E" w14:textId="2A360EA5" w:rsidR="00A30690" w:rsidRDefault="00A30690" w:rsidP="00A30690">
            <w:pPr>
              <w:pStyle w:val="Default"/>
              <w:spacing w:line="312" w:lineRule="auto"/>
              <w:jc w:val="center"/>
              <w:rPr>
                <w:rFonts w:asciiTheme="minorEastAsia" w:eastAsiaTheme="minorEastAsia" w:hAnsiTheme="minorEastAsia" w:cs="仿宋_GB2312" w:hint="eastAsia"/>
                <w:color w:val="auto"/>
              </w:rPr>
            </w:pPr>
            <w:r>
              <w:rPr>
                <w:rFonts w:asciiTheme="minorEastAsia" w:eastAsiaTheme="minorEastAsia" w:hAnsiTheme="minorEastAsia" w:cs="仿宋_GB2312" w:hint="eastAsia"/>
                <w:color w:val="auto"/>
              </w:rPr>
              <w:t>7</w:t>
            </w:r>
          </w:p>
        </w:tc>
        <w:tc>
          <w:tcPr>
            <w:tcW w:w="1702" w:type="dxa"/>
            <w:vAlign w:val="center"/>
          </w:tcPr>
          <w:p w14:paraId="63735F9D" w14:textId="1EF20887" w:rsidR="00A30690" w:rsidRPr="00A30690" w:rsidRDefault="00A30690" w:rsidP="00A30690">
            <w:pPr>
              <w:pStyle w:val="Default"/>
              <w:spacing w:line="312" w:lineRule="auto"/>
              <w:jc w:val="both"/>
            </w:pPr>
            <w:r w:rsidRPr="00A30690">
              <w:rPr>
                <w:rFonts w:hint="eastAsia"/>
              </w:rPr>
              <w:t>第六届监事会第十次会议</w:t>
            </w:r>
          </w:p>
        </w:tc>
        <w:tc>
          <w:tcPr>
            <w:tcW w:w="1276" w:type="dxa"/>
            <w:vAlign w:val="center"/>
          </w:tcPr>
          <w:p w14:paraId="5C27FB66" w14:textId="690740D4" w:rsidR="00A30690" w:rsidRPr="00A30690" w:rsidRDefault="00A30690" w:rsidP="00A30690">
            <w:pPr>
              <w:pStyle w:val="Default"/>
              <w:spacing w:line="312" w:lineRule="auto"/>
              <w:jc w:val="both"/>
              <w:rPr>
                <w:rFonts w:asciiTheme="minorEastAsia" w:eastAsiaTheme="minorEastAsia" w:hAnsiTheme="minorEastAsia" w:cs="仿宋_GB2312" w:hint="eastAsia"/>
                <w:color w:val="auto"/>
              </w:rPr>
            </w:pPr>
            <w:r w:rsidRPr="00A30690">
              <w:rPr>
                <w:rFonts w:asciiTheme="minorEastAsia" w:eastAsiaTheme="minorEastAsia" w:hAnsiTheme="minorEastAsia" w:cs="仿宋_GB2312" w:hint="eastAsia"/>
                <w:color w:val="auto"/>
              </w:rPr>
              <w:t>2024年10月28日</w:t>
            </w:r>
          </w:p>
        </w:tc>
        <w:tc>
          <w:tcPr>
            <w:tcW w:w="5523" w:type="dxa"/>
            <w:vAlign w:val="center"/>
          </w:tcPr>
          <w:p w14:paraId="504EE323" w14:textId="23DA9EF5" w:rsidR="00A30690" w:rsidRDefault="00A30690" w:rsidP="00A30690">
            <w:pPr>
              <w:pStyle w:val="Default"/>
              <w:spacing w:line="312" w:lineRule="auto"/>
              <w:jc w:val="both"/>
            </w:pPr>
            <w:r>
              <w:rPr>
                <w:rFonts w:hint="eastAsia"/>
              </w:rPr>
              <w:t>1</w:t>
            </w:r>
            <w:r w:rsidR="004B6DE1">
              <w:rPr>
                <w:rFonts w:hint="eastAsia"/>
              </w:rPr>
              <w:t>.</w:t>
            </w:r>
            <w:r w:rsidRPr="00A30690">
              <w:rPr>
                <w:rFonts w:hint="eastAsia"/>
              </w:rPr>
              <w:t>《关于公司2024年第三季度报告的议案》</w:t>
            </w:r>
            <w:r>
              <w:rPr>
                <w:rFonts w:hint="eastAsia"/>
              </w:rPr>
              <w:t>；</w:t>
            </w:r>
          </w:p>
          <w:p w14:paraId="04E47171" w14:textId="452B618A" w:rsidR="00A30690" w:rsidRDefault="00A30690" w:rsidP="004B6DE1">
            <w:pPr>
              <w:pStyle w:val="Default"/>
              <w:spacing w:line="312" w:lineRule="auto"/>
              <w:jc w:val="both"/>
            </w:pPr>
            <w:r>
              <w:rPr>
                <w:rFonts w:hint="eastAsia"/>
              </w:rPr>
              <w:t>2</w:t>
            </w:r>
            <w:r w:rsidR="004B6DE1">
              <w:rPr>
                <w:rFonts w:hint="eastAsia"/>
              </w:rPr>
              <w:t>.</w:t>
            </w:r>
            <w:r>
              <w:rPr>
                <w:rFonts w:hint="eastAsia"/>
              </w:rPr>
              <w:t>《</w:t>
            </w:r>
            <w:r w:rsidRPr="00A30690">
              <w:rPr>
                <w:rFonts w:hint="eastAsia"/>
              </w:rPr>
              <w:t>关于与债权人仪华机电签订债务代偿协议暨关联交易的议案</w:t>
            </w:r>
            <w:r>
              <w:rPr>
                <w:rFonts w:hint="eastAsia"/>
              </w:rPr>
              <w:t>》。</w:t>
            </w:r>
          </w:p>
        </w:tc>
      </w:tr>
      <w:tr w:rsidR="00A30690" w:rsidRPr="00A30690" w14:paraId="56C77C4F" w14:textId="77777777" w:rsidTr="00A30690">
        <w:trPr>
          <w:jc w:val="center"/>
        </w:trPr>
        <w:tc>
          <w:tcPr>
            <w:tcW w:w="708" w:type="dxa"/>
            <w:vAlign w:val="center"/>
          </w:tcPr>
          <w:p w14:paraId="4E7AA8D0" w14:textId="3DF8B545" w:rsidR="00A30690" w:rsidRDefault="00A30690" w:rsidP="00A30690">
            <w:pPr>
              <w:pStyle w:val="Default"/>
              <w:spacing w:line="312" w:lineRule="auto"/>
              <w:jc w:val="center"/>
              <w:rPr>
                <w:rFonts w:asciiTheme="minorEastAsia" w:eastAsiaTheme="minorEastAsia" w:hAnsiTheme="minorEastAsia" w:cs="仿宋_GB2312" w:hint="eastAsia"/>
                <w:color w:val="auto"/>
              </w:rPr>
            </w:pPr>
            <w:r>
              <w:rPr>
                <w:rFonts w:asciiTheme="minorEastAsia" w:eastAsiaTheme="minorEastAsia" w:hAnsiTheme="minorEastAsia" w:cs="仿宋_GB2312" w:hint="eastAsia"/>
                <w:color w:val="auto"/>
              </w:rPr>
              <w:t>8</w:t>
            </w:r>
          </w:p>
        </w:tc>
        <w:tc>
          <w:tcPr>
            <w:tcW w:w="1702" w:type="dxa"/>
            <w:vAlign w:val="center"/>
          </w:tcPr>
          <w:p w14:paraId="52AB156B" w14:textId="53ED553B" w:rsidR="00A30690" w:rsidRPr="00A30690" w:rsidRDefault="00A30690" w:rsidP="00A30690">
            <w:pPr>
              <w:pStyle w:val="Default"/>
              <w:spacing w:line="312" w:lineRule="auto"/>
              <w:jc w:val="both"/>
            </w:pPr>
            <w:r w:rsidRPr="00A30690">
              <w:rPr>
                <w:rFonts w:hint="eastAsia"/>
              </w:rPr>
              <w:t>第六届监事会2024年第四次临时会议</w:t>
            </w:r>
          </w:p>
        </w:tc>
        <w:tc>
          <w:tcPr>
            <w:tcW w:w="1276" w:type="dxa"/>
            <w:vAlign w:val="center"/>
          </w:tcPr>
          <w:p w14:paraId="08618C41" w14:textId="2A9050FE" w:rsidR="00A30690" w:rsidRPr="00A30690" w:rsidRDefault="00A30690" w:rsidP="00A30690">
            <w:pPr>
              <w:pStyle w:val="Default"/>
              <w:spacing w:line="312" w:lineRule="auto"/>
              <w:jc w:val="both"/>
              <w:rPr>
                <w:rFonts w:asciiTheme="minorEastAsia" w:eastAsiaTheme="minorEastAsia" w:hAnsiTheme="minorEastAsia" w:cs="仿宋_GB2312" w:hint="eastAsia"/>
                <w:color w:val="auto"/>
              </w:rPr>
            </w:pPr>
            <w:r w:rsidRPr="00A30690">
              <w:rPr>
                <w:rFonts w:asciiTheme="minorEastAsia" w:eastAsiaTheme="minorEastAsia" w:hAnsiTheme="minorEastAsia" w:cs="仿宋_GB2312" w:hint="eastAsia"/>
                <w:color w:val="auto"/>
              </w:rPr>
              <w:t>2024年11月18日</w:t>
            </w:r>
          </w:p>
        </w:tc>
        <w:tc>
          <w:tcPr>
            <w:tcW w:w="5523" w:type="dxa"/>
            <w:vAlign w:val="center"/>
          </w:tcPr>
          <w:p w14:paraId="214E600C" w14:textId="25ABCF68" w:rsidR="00A30690" w:rsidRDefault="00A30690" w:rsidP="004B6DE1">
            <w:pPr>
              <w:pStyle w:val="Default"/>
              <w:spacing w:line="312" w:lineRule="auto"/>
              <w:jc w:val="both"/>
            </w:pPr>
            <w:r>
              <w:rPr>
                <w:rFonts w:hint="eastAsia"/>
              </w:rPr>
              <w:t>1</w:t>
            </w:r>
            <w:r w:rsidR="004B6DE1">
              <w:rPr>
                <w:rFonts w:hint="eastAsia"/>
              </w:rPr>
              <w:t>.</w:t>
            </w:r>
            <w:r w:rsidRPr="00A30690">
              <w:rPr>
                <w:rFonts w:hint="eastAsia"/>
              </w:rPr>
              <w:t>《关于与债权人交通银行常熟分行签订债务代偿协议暨关联交易的议案》</w:t>
            </w:r>
            <w:r>
              <w:rPr>
                <w:rFonts w:hint="eastAsia"/>
              </w:rPr>
              <w:t>。</w:t>
            </w:r>
          </w:p>
        </w:tc>
      </w:tr>
    </w:tbl>
    <w:p w14:paraId="5A57D51A" w14:textId="08B45B95" w:rsidR="00B44356" w:rsidRPr="00311762" w:rsidRDefault="002204C2" w:rsidP="00883496">
      <w:pPr>
        <w:pStyle w:val="Default"/>
        <w:spacing w:beforeLines="50" w:before="156" w:afterLines="50" w:after="156" w:line="360" w:lineRule="auto"/>
        <w:ind w:firstLineChars="200" w:firstLine="482"/>
        <w:rPr>
          <w:rFonts w:asciiTheme="minorEastAsia" w:eastAsiaTheme="minorEastAsia" w:hAnsiTheme="minorEastAsia" w:cs="仿宋_GB2312" w:hint="eastAsia"/>
          <w:b/>
          <w:color w:val="auto"/>
        </w:rPr>
      </w:pPr>
      <w:r>
        <w:rPr>
          <w:rFonts w:asciiTheme="minorEastAsia" w:eastAsiaTheme="minorEastAsia" w:hAnsiTheme="minorEastAsia" w:cs="仿宋_GB2312" w:hint="eastAsia"/>
          <w:b/>
          <w:color w:val="auto"/>
        </w:rPr>
        <w:t>二</w:t>
      </w:r>
      <w:r w:rsidR="0058028A" w:rsidRPr="00311762">
        <w:rPr>
          <w:rFonts w:asciiTheme="minorEastAsia" w:eastAsiaTheme="minorEastAsia" w:hAnsiTheme="minorEastAsia" w:cs="仿宋_GB2312" w:hint="eastAsia"/>
          <w:b/>
          <w:color w:val="auto"/>
        </w:rPr>
        <w:t>、监事会对公司</w:t>
      </w:r>
      <w:r w:rsidR="00A30F41">
        <w:rPr>
          <w:rFonts w:asciiTheme="minorEastAsia" w:eastAsiaTheme="minorEastAsia" w:hAnsiTheme="minorEastAsia" w:cs="仿宋_GB2312" w:hint="eastAsia"/>
          <w:b/>
          <w:color w:val="auto"/>
        </w:rPr>
        <w:t>2024</w:t>
      </w:r>
      <w:r w:rsidR="00377161">
        <w:rPr>
          <w:rFonts w:asciiTheme="minorEastAsia" w:eastAsiaTheme="minorEastAsia" w:hAnsiTheme="minorEastAsia" w:cs="仿宋_GB2312" w:hint="eastAsia"/>
          <w:b/>
          <w:color w:val="auto"/>
        </w:rPr>
        <w:t>年</w:t>
      </w:r>
      <w:r w:rsidR="006059B8">
        <w:rPr>
          <w:rFonts w:asciiTheme="minorEastAsia" w:eastAsiaTheme="minorEastAsia" w:hAnsiTheme="minorEastAsia" w:cs="仿宋_GB2312" w:hint="eastAsia"/>
          <w:b/>
          <w:color w:val="auto"/>
        </w:rPr>
        <w:t>度有关事项进行</w:t>
      </w:r>
      <w:r w:rsidR="0058028A" w:rsidRPr="00311762">
        <w:rPr>
          <w:rFonts w:asciiTheme="minorEastAsia" w:eastAsiaTheme="minorEastAsia" w:hAnsiTheme="minorEastAsia" w:cs="仿宋_GB2312" w:hint="eastAsia"/>
          <w:b/>
          <w:color w:val="auto"/>
        </w:rPr>
        <w:t>监督</w:t>
      </w:r>
      <w:r w:rsidR="006059B8">
        <w:rPr>
          <w:rFonts w:asciiTheme="minorEastAsia" w:eastAsiaTheme="minorEastAsia" w:hAnsiTheme="minorEastAsia" w:cs="仿宋_GB2312" w:hint="eastAsia"/>
          <w:b/>
          <w:color w:val="auto"/>
        </w:rPr>
        <w:t>和发表</w:t>
      </w:r>
      <w:r w:rsidR="0058028A" w:rsidRPr="00311762">
        <w:rPr>
          <w:rFonts w:asciiTheme="minorEastAsia" w:eastAsiaTheme="minorEastAsia" w:hAnsiTheme="minorEastAsia" w:cs="仿宋_GB2312" w:hint="eastAsia"/>
          <w:b/>
          <w:color w:val="auto"/>
        </w:rPr>
        <w:t>意见</w:t>
      </w:r>
    </w:p>
    <w:p w14:paraId="76973017" w14:textId="2693B0ED" w:rsidR="00B44356" w:rsidRPr="00A06354" w:rsidRDefault="00B65107" w:rsidP="00A06354">
      <w:pPr>
        <w:pStyle w:val="Default"/>
        <w:spacing w:line="360" w:lineRule="auto"/>
        <w:ind w:firstLineChars="200" w:firstLine="480"/>
        <w:rPr>
          <w:rFonts w:asciiTheme="minorEastAsia" w:eastAsiaTheme="minorEastAsia" w:hAnsiTheme="minorEastAsia" w:cs="仿宋_GB2312" w:hint="eastAsia"/>
          <w:color w:val="auto"/>
        </w:rPr>
      </w:pPr>
      <w:r>
        <w:rPr>
          <w:rFonts w:asciiTheme="minorEastAsia" w:eastAsiaTheme="minorEastAsia" w:hAnsiTheme="minorEastAsia" w:cs="仿宋_GB2312" w:hint="eastAsia"/>
          <w:color w:val="auto"/>
        </w:rPr>
        <w:t>根据《公司法》</w:t>
      </w:r>
      <w:r w:rsidR="0058028A" w:rsidRPr="00A06354">
        <w:rPr>
          <w:rFonts w:asciiTheme="minorEastAsia" w:eastAsiaTheme="minorEastAsia" w:hAnsiTheme="minorEastAsia" w:cs="仿宋_GB2312" w:hint="eastAsia"/>
          <w:color w:val="auto"/>
        </w:rPr>
        <w:t>《公司章程》及中国证监会发布的有关上市公司治理的规范性文件的规定，监事会对报告期内公司的有关情况发表如下意见：</w:t>
      </w:r>
    </w:p>
    <w:p w14:paraId="211CE6E8" w14:textId="77777777" w:rsidR="00E05050" w:rsidRPr="00A06354" w:rsidRDefault="00BA17DF" w:rsidP="00311762">
      <w:pPr>
        <w:pStyle w:val="Default"/>
        <w:spacing w:line="360" w:lineRule="auto"/>
        <w:ind w:firstLineChars="200" w:firstLine="480"/>
        <w:rPr>
          <w:rFonts w:asciiTheme="minorEastAsia" w:eastAsiaTheme="minorEastAsia" w:hAnsiTheme="minorEastAsia" w:cs="仿宋_GB2312" w:hint="eastAsia"/>
          <w:color w:val="auto"/>
        </w:rPr>
      </w:pPr>
      <w:r>
        <w:rPr>
          <w:rFonts w:asciiTheme="minorEastAsia" w:eastAsiaTheme="minorEastAsia" w:hAnsiTheme="minorEastAsia" w:cs="仿宋_GB2312" w:hint="eastAsia"/>
          <w:color w:val="auto"/>
        </w:rPr>
        <w:t>（一）</w:t>
      </w:r>
      <w:r w:rsidR="00E25223" w:rsidRPr="00A06354">
        <w:rPr>
          <w:rFonts w:asciiTheme="minorEastAsia" w:eastAsiaTheme="minorEastAsia" w:hAnsiTheme="minorEastAsia" w:cs="仿宋_GB2312" w:hint="eastAsia"/>
          <w:color w:val="auto"/>
        </w:rPr>
        <w:t>公司依法运作</w:t>
      </w:r>
      <w:r w:rsidR="0058028A" w:rsidRPr="00A06354">
        <w:rPr>
          <w:rFonts w:asciiTheme="minorEastAsia" w:eastAsiaTheme="minorEastAsia" w:hAnsiTheme="minorEastAsia" w:cs="仿宋_GB2312" w:hint="eastAsia"/>
          <w:color w:val="auto"/>
        </w:rPr>
        <w:t>情况</w:t>
      </w:r>
    </w:p>
    <w:p w14:paraId="786DDFAD" w14:textId="4E3F1C41" w:rsidR="00262E9E" w:rsidRDefault="00786BDB" w:rsidP="00574CED">
      <w:pPr>
        <w:autoSpaceDE w:val="0"/>
        <w:autoSpaceDN w:val="0"/>
        <w:adjustRightInd w:val="0"/>
        <w:spacing w:line="360" w:lineRule="auto"/>
        <w:ind w:firstLineChars="200" w:firstLine="480"/>
        <w:rPr>
          <w:rFonts w:asciiTheme="minorEastAsia" w:hAnsiTheme="minorEastAsia" w:cs="仿宋_GB2312" w:hint="eastAsia"/>
          <w:kern w:val="0"/>
          <w:sz w:val="24"/>
          <w:szCs w:val="24"/>
        </w:rPr>
      </w:pPr>
      <w:r>
        <w:rPr>
          <w:rFonts w:asciiTheme="minorEastAsia" w:hAnsiTheme="minorEastAsia" w:cs="仿宋_GB2312" w:hint="eastAsia"/>
          <w:kern w:val="0"/>
          <w:sz w:val="24"/>
          <w:szCs w:val="24"/>
        </w:rPr>
        <w:t>报告期内</w:t>
      </w:r>
      <w:r w:rsidR="00574CED">
        <w:rPr>
          <w:rFonts w:asciiTheme="minorEastAsia" w:hAnsiTheme="minorEastAsia" w:cs="仿宋_GB2312" w:hint="eastAsia"/>
          <w:kern w:val="0"/>
          <w:sz w:val="24"/>
          <w:szCs w:val="24"/>
        </w:rPr>
        <w:t>，</w:t>
      </w:r>
      <w:r>
        <w:rPr>
          <w:rFonts w:asciiTheme="minorEastAsia" w:hAnsiTheme="minorEastAsia" w:cs="仿宋_GB2312" w:hint="eastAsia"/>
          <w:kern w:val="0"/>
          <w:sz w:val="24"/>
          <w:szCs w:val="24"/>
        </w:rPr>
        <w:t>公司</w:t>
      </w:r>
      <w:r w:rsidR="00574CED">
        <w:rPr>
          <w:rFonts w:asciiTheme="minorEastAsia" w:hAnsiTheme="minorEastAsia" w:cs="仿宋_GB2312" w:hint="eastAsia"/>
          <w:kern w:val="0"/>
          <w:sz w:val="24"/>
          <w:szCs w:val="24"/>
        </w:rPr>
        <w:t>监事会出席历次股东大会、列席历次董事会，对公司运作、决策程序、内部规章制度执行情况的进行检查，</w:t>
      </w:r>
      <w:r w:rsidR="00171E6D" w:rsidRPr="00171E6D">
        <w:rPr>
          <w:rFonts w:asciiTheme="minorEastAsia" w:hAnsiTheme="minorEastAsia" w:cs="仿宋_GB2312"/>
          <w:kern w:val="0"/>
          <w:sz w:val="24"/>
          <w:szCs w:val="24"/>
        </w:rPr>
        <w:t>认为：</w:t>
      </w:r>
      <w:r w:rsidR="00262E9E">
        <w:rPr>
          <w:rFonts w:asciiTheme="minorEastAsia" w:hAnsiTheme="minorEastAsia" w:cs="仿宋_GB2312"/>
          <w:kern w:val="0"/>
          <w:sz w:val="24"/>
          <w:szCs w:val="24"/>
        </w:rPr>
        <w:t>公司</w:t>
      </w:r>
      <w:r w:rsidR="00574CED">
        <w:rPr>
          <w:rFonts w:asciiTheme="minorEastAsia" w:hAnsiTheme="minorEastAsia" w:cs="仿宋_GB2312" w:hint="eastAsia"/>
          <w:kern w:val="0"/>
          <w:sz w:val="24"/>
          <w:szCs w:val="24"/>
        </w:rPr>
        <w:t>依法运作，股东大会、</w:t>
      </w:r>
      <w:r w:rsidR="00574CED">
        <w:rPr>
          <w:rFonts w:asciiTheme="minorEastAsia" w:hAnsiTheme="minorEastAsia" w:cs="仿宋_GB2312" w:hint="eastAsia"/>
          <w:kern w:val="0"/>
          <w:sz w:val="24"/>
          <w:szCs w:val="24"/>
        </w:rPr>
        <w:lastRenderedPageBreak/>
        <w:t>董事会</w:t>
      </w:r>
      <w:r w:rsidR="00B65107">
        <w:rPr>
          <w:rFonts w:asciiTheme="minorEastAsia" w:hAnsiTheme="minorEastAsia" w:cs="仿宋_GB2312"/>
          <w:kern w:val="0"/>
          <w:sz w:val="24"/>
          <w:szCs w:val="24"/>
        </w:rPr>
        <w:t>严格依照《公司法》</w:t>
      </w:r>
      <w:r w:rsidR="00262E9E">
        <w:rPr>
          <w:rFonts w:asciiTheme="minorEastAsia" w:hAnsiTheme="minorEastAsia" w:cs="仿宋_GB2312"/>
          <w:kern w:val="0"/>
          <w:sz w:val="24"/>
          <w:szCs w:val="24"/>
        </w:rPr>
        <w:t>《证券法》</w:t>
      </w:r>
      <w:r w:rsidR="00574CED">
        <w:rPr>
          <w:rFonts w:asciiTheme="minorEastAsia" w:hAnsiTheme="minorEastAsia" w:cs="仿宋_GB2312"/>
          <w:kern w:val="0"/>
          <w:sz w:val="24"/>
          <w:szCs w:val="24"/>
        </w:rPr>
        <w:t>《公司章程》</w:t>
      </w:r>
      <w:r w:rsidR="00574CED">
        <w:rPr>
          <w:rFonts w:asciiTheme="minorEastAsia" w:hAnsiTheme="minorEastAsia" w:cs="仿宋_GB2312" w:hint="eastAsia"/>
          <w:kern w:val="0"/>
          <w:sz w:val="24"/>
          <w:szCs w:val="24"/>
        </w:rPr>
        <w:t>等有关</w:t>
      </w:r>
      <w:r w:rsidR="00262E9E" w:rsidRPr="00262E9E">
        <w:rPr>
          <w:rFonts w:asciiTheme="minorEastAsia" w:hAnsiTheme="minorEastAsia" w:cs="仿宋_GB2312"/>
          <w:kern w:val="0"/>
          <w:sz w:val="24"/>
          <w:szCs w:val="24"/>
        </w:rPr>
        <w:t>法律</w:t>
      </w:r>
      <w:r w:rsidR="00574CED">
        <w:rPr>
          <w:rFonts w:asciiTheme="minorEastAsia" w:hAnsiTheme="minorEastAsia" w:cs="仿宋_GB2312" w:hint="eastAsia"/>
          <w:kern w:val="0"/>
          <w:sz w:val="24"/>
          <w:szCs w:val="24"/>
        </w:rPr>
        <w:t>法规行使职权</w:t>
      </w:r>
      <w:r w:rsidR="0067156C">
        <w:rPr>
          <w:rFonts w:asciiTheme="minorEastAsia" w:hAnsiTheme="minorEastAsia" w:cs="仿宋_GB2312" w:hint="eastAsia"/>
          <w:kern w:val="0"/>
          <w:sz w:val="24"/>
          <w:szCs w:val="24"/>
        </w:rPr>
        <w:t>、</w:t>
      </w:r>
      <w:r w:rsidR="00262E9E" w:rsidRPr="00262E9E">
        <w:rPr>
          <w:rFonts w:asciiTheme="minorEastAsia" w:hAnsiTheme="minorEastAsia" w:cs="仿宋_GB2312"/>
          <w:kern w:val="0"/>
          <w:sz w:val="24"/>
          <w:szCs w:val="24"/>
        </w:rPr>
        <w:t>决策程序合法；</w:t>
      </w:r>
      <w:r w:rsidR="0067156C" w:rsidRPr="0067156C">
        <w:rPr>
          <w:rFonts w:asciiTheme="minorEastAsia" w:hAnsiTheme="minorEastAsia" w:cs="仿宋_GB2312" w:hint="eastAsia"/>
          <w:kern w:val="0"/>
          <w:sz w:val="24"/>
          <w:szCs w:val="24"/>
        </w:rPr>
        <w:t>公司董事</w:t>
      </w:r>
      <w:r w:rsidR="0067156C">
        <w:rPr>
          <w:rFonts w:asciiTheme="minorEastAsia" w:hAnsiTheme="minorEastAsia" w:cs="仿宋_GB2312" w:hint="eastAsia"/>
          <w:kern w:val="0"/>
          <w:sz w:val="24"/>
          <w:szCs w:val="24"/>
        </w:rPr>
        <w:t>能够</w:t>
      </w:r>
      <w:r w:rsidR="0067156C" w:rsidRPr="0067156C">
        <w:rPr>
          <w:rFonts w:asciiTheme="minorEastAsia" w:hAnsiTheme="minorEastAsia" w:cs="仿宋_GB2312" w:hint="eastAsia"/>
          <w:kern w:val="0"/>
          <w:sz w:val="24"/>
          <w:szCs w:val="24"/>
        </w:rPr>
        <w:t>认真执行</w:t>
      </w:r>
      <w:r w:rsidR="0067156C">
        <w:rPr>
          <w:rFonts w:asciiTheme="minorEastAsia" w:hAnsiTheme="minorEastAsia" w:cs="仿宋_GB2312" w:hint="eastAsia"/>
          <w:kern w:val="0"/>
          <w:sz w:val="24"/>
          <w:szCs w:val="24"/>
        </w:rPr>
        <w:t>董事会和</w:t>
      </w:r>
      <w:r w:rsidR="0067156C" w:rsidRPr="0067156C">
        <w:rPr>
          <w:rFonts w:asciiTheme="minorEastAsia" w:hAnsiTheme="minorEastAsia" w:cs="仿宋_GB2312" w:hint="eastAsia"/>
          <w:kern w:val="0"/>
          <w:sz w:val="24"/>
          <w:szCs w:val="24"/>
        </w:rPr>
        <w:t>股东大会的各项决议，</w:t>
      </w:r>
      <w:r w:rsidR="00F26386">
        <w:rPr>
          <w:rFonts w:asciiTheme="minorEastAsia" w:hAnsiTheme="minorEastAsia" w:cs="仿宋_GB2312"/>
          <w:kern w:val="0"/>
          <w:sz w:val="24"/>
          <w:szCs w:val="24"/>
        </w:rPr>
        <w:t>公司高级管理人员认真履行各自的</w:t>
      </w:r>
      <w:r w:rsidR="00F26386">
        <w:rPr>
          <w:rFonts w:asciiTheme="minorEastAsia" w:hAnsiTheme="minorEastAsia" w:cs="仿宋_GB2312" w:hint="eastAsia"/>
          <w:kern w:val="0"/>
          <w:sz w:val="24"/>
          <w:szCs w:val="24"/>
        </w:rPr>
        <w:t>职责</w:t>
      </w:r>
      <w:r w:rsidR="0092272F" w:rsidRPr="0092272F">
        <w:rPr>
          <w:rFonts w:asciiTheme="minorEastAsia" w:hAnsiTheme="minorEastAsia" w:cs="仿宋_GB2312"/>
          <w:kern w:val="0"/>
          <w:sz w:val="24"/>
          <w:szCs w:val="24"/>
        </w:rPr>
        <w:t>，认真贯彻董事会决议</w:t>
      </w:r>
      <w:r w:rsidR="0067156C">
        <w:rPr>
          <w:rFonts w:asciiTheme="minorEastAsia" w:hAnsiTheme="minorEastAsia" w:cs="仿宋_GB2312" w:hint="eastAsia"/>
          <w:kern w:val="0"/>
          <w:sz w:val="24"/>
          <w:szCs w:val="24"/>
        </w:rPr>
        <w:t>，</w:t>
      </w:r>
      <w:r w:rsidR="0067156C" w:rsidRPr="0067156C">
        <w:rPr>
          <w:rFonts w:asciiTheme="minorEastAsia" w:hAnsiTheme="minorEastAsia" w:cs="仿宋_GB2312" w:hint="eastAsia"/>
          <w:kern w:val="0"/>
          <w:sz w:val="24"/>
          <w:szCs w:val="24"/>
        </w:rPr>
        <w:t>不存在损害公司及股东利益的情形。</w:t>
      </w:r>
    </w:p>
    <w:p w14:paraId="2A2AF60C" w14:textId="77777777" w:rsidR="00B44356" w:rsidRPr="00A06354" w:rsidRDefault="0058028A" w:rsidP="00311762">
      <w:pPr>
        <w:autoSpaceDE w:val="0"/>
        <w:autoSpaceDN w:val="0"/>
        <w:adjustRightInd w:val="0"/>
        <w:spacing w:line="360" w:lineRule="auto"/>
        <w:ind w:firstLineChars="200" w:firstLine="480"/>
        <w:jc w:val="left"/>
        <w:rPr>
          <w:rFonts w:asciiTheme="minorEastAsia" w:hAnsiTheme="minorEastAsia" w:cs="仿宋_GB2312" w:hint="eastAsia"/>
          <w:kern w:val="0"/>
          <w:sz w:val="24"/>
          <w:szCs w:val="24"/>
        </w:rPr>
      </w:pPr>
      <w:r w:rsidRPr="00A06354">
        <w:rPr>
          <w:rFonts w:asciiTheme="minorEastAsia" w:hAnsiTheme="minorEastAsia" w:cs="仿宋_GB2312" w:hint="eastAsia"/>
          <w:kern w:val="0"/>
          <w:sz w:val="24"/>
          <w:szCs w:val="24"/>
        </w:rPr>
        <w:t>（二）公司财务情况</w:t>
      </w:r>
    </w:p>
    <w:p w14:paraId="6A9C5F99" w14:textId="77777777" w:rsidR="00BD250B" w:rsidRDefault="00781671" w:rsidP="00781671">
      <w:pPr>
        <w:pStyle w:val="Default"/>
        <w:spacing w:line="360" w:lineRule="auto"/>
        <w:ind w:firstLineChars="200" w:firstLine="480"/>
        <w:jc w:val="both"/>
      </w:pPr>
      <w:r>
        <w:rPr>
          <w:rFonts w:hint="eastAsia"/>
        </w:rPr>
        <w:t>报告期内，</w:t>
      </w:r>
      <w:r w:rsidR="0016644E">
        <w:t>公司监事会对公司财务运作情况</w:t>
      </w:r>
      <w:r>
        <w:rPr>
          <w:rFonts w:hint="eastAsia"/>
        </w:rPr>
        <w:t>、财务状况和经营成果</w:t>
      </w:r>
      <w:r w:rsidR="0016644E">
        <w:t>进行检查、监督</w:t>
      </w:r>
      <w:r w:rsidR="00E40046">
        <w:rPr>
          <w:rFonts w:hint="eastAsia"/>
        </w:rPr>
        <w:t>，认</w:t>
      </w:r>
      <w:r w:rsidR="00E40046">
        <w:t>为</w:t>
      </w:r>
      <w:r w:rsidR="00E40046">
        <w:rPr>
          <w:rFonts w:hint="eastAsia"/>
        </w:rPr>
        <w:t>：</w:t>
      </w:r>
      <w:r w:rsidR="00E40046" w:rsidRPr="007B3B15">
        <w:rPr>
          <w:rFonts w:hint="eastAsia"/>
        </w:rPr>
        <w:t>公</w:t>
      </w:r>
      <w:r w:rsidR="00E40046">
        <w:rPr>
          <w:rFonts w:hint="eastAsia"/>
        </w:rPr>
        <w:t>司</w:t>
      </w:r>
      <w:r w:rsidR="00A30F41">
        <w:rPr>
          <w:rFonts w:hint="eastAsia"/>
        </w:rPr>
        <w:t>2024</w:t>
      </w:r>
      <w:r>
        <w:rPr>
          <w:rFonts w:hint="eastAsia"/>
        </w:rPr>
        <w:t>年度</w:t>
      </w:r>
      <w:r w:rsidR="00E40046">
        <w:rPr>
          <w:rFonts w:hint="eastAsia"/>
        </w:rPr>
        <w:t>财务报表的编制符合《企业会计制度》和《企业会计准则》等有关规定，</w:t>
      </w:r>
      <w:r>
        <w:rPr>
          <w:rFonts w:hint="eastAsia"/>
        </w:rPr>
        <w:t>能够真实、客观地反映公司的财务状况和经营成果。</w:t>
      </w:r>
      <w:r w:rsidR="00786BDB">
        <w:rPr>
          <w:rFonts w:hint="eastAsia"/>
        </w:rPr>
        <w:t>苏亚金诚</w:t>
      </w:r>
      <w:r w:rsidR="00E40046">
        <w:rPr>
          <w:rFonts w:hint="eastAsia"/>
        </w:rPr>
        <w:t>会计师事务所（特殊普通合伙）</w:t>
      </w:r>
      <w:r>
        <w:rPr>
          <w:rFonts w:hint="eastAsia"/>
        </w:rPr>
        <w:t>为公司</w:t>
      </w:r>
      <w:r w:rsidR="00E40046">
        <w:rPr>
          <w:rFonts w:hint="eastAsia"/>
        </w:rPr>
        <w:t>出具的</w:t>
      </w:r>
      <w:r w:rsidR="00A30F41">
        <w:rPr>
          <w:rFonts w:hint="eastAsia"/>
        </w:rPr>
        <w:t>2024</w:t>
      </w:r>
      <w:r>
        <w:rPr>
          <w:rFonts w:hint="eastAsia"/>
        </w:rPr>
        <w:t>年度</w:t>
      </w:r>
      <w:r w:rsidR="00E40046">
        <w:rPr>
          <w:rFonts w:hint="eastAsia"/>
        </w:rPr>
        <w:t>审计报告的审计意见是客观</w:t>
      </w:r>
      <w:r w:rsidR="00E61C8D">
        <w:rPr>
          <w:rFonts w:hint="eastAsia"/>
        </w:rPr>
        <w:t>、</w:t>
      </w:r>
      <w:r w:rsidR="00E40046">
        <w:rPr>
          <w:rFonts w:hint="eastAsia"/>
        </w:rPr>
        <w:t>公正的。</w:t>
      </w:r>
    </w:p>
    <w:p w14:paraId="757B9734" w14:textId="688F4299" w:rsidR="00D477E7" w:rsidRDefault="00BD250B" w:rsidP="00781671">
      <w:pPr>
        <w:pStyle w:val="Default"/>
        <w:spacing w:line="360" w:lineRule="auto"/>
        <w:ind w:firstLineChars="200" w:firstLine="480"/>
        <w:jc w:val="both"/>
        <w:rPr>
          <w:rFonts w:asciiTheme="minorEastAsia" w:eastAsiaTheme="minorEastAsia" w:hAnsiTheme="minorEastAsia" w:cs="仿宋_GB2312" w:hint="eastAsia"/>
          <w:color w:val="auto"/>
        </w:rPr>
      </w:pPr>
      <w:r>
        <w:rPr>
          <w:rFonts w:hint="eastAsia"/>
        </w:rPr>
        <w:t>报告期内，公司</w:t>
      </w:r>
      <w:r w:rsidRPr="00BD250B">
        <w:rPr>
          <w:rFonts w:hint="eastAsia"/>
        </w:rPr>
        <w:t>2023年度审计报告</w:t>
      </w:r>
      <w:proofErr w:type="gramStart"/>
      <w:r w:rsidRPr="00BD250B">
        <w:rPr>
          <w:rFonts w:hint="eastAsia"/>
        </w:rPr>
        <w:t>带持续</w:t>
      </w:r>
      <w:proofErr w:type="gramEnd"/>
      <w:r w:rsidRPr="00BD250B">
        <w:rPr>
          <w:rFonts w:hint="eastAsia"/>
        </w:rPr>
        <w:t>经营相关的重大不确定性与强调事项段的无保留意见涉及事项影响已消除</w:t>
      </w:r>
      <w:r>
        <w:rPr>
          <w:rFonts w:hint="eastAsia"/>
        </w:rPr>
        <w:t>，</w:t>
      </w:r>
      <w:r w:rsidR="008D5D45">
        <w:rPr>
          <w:rFonts w:hint="eastAsia"/>
        </w:rPr>
        <w:t>公司</w:t>
      </w:r>
      <w:r>
        <w:rPr>
          <w:rFonts w:hint="eastAsia"/>
        </w:rPr>
        <w:t>监事会对</w:t>
      </w:r>
      <w:r w:rsidRPr="00BD250B">
        <w:rPr>
          <w:rFonts w:hint="eastAsia"/>
        </w:rPr>
        <w:t>《董事会关于2023年度审计报告带持续经营相关的重大</w:t>
      </w:r>
      <w:r>
        <w:rPr>
          <w:rFonts w:hint="eastAsia"/>
        </w:rPr>
        <w:t>不确定性与强调事项段的无保留意见涉及事项影响已消除的专项说明》发表了</w:t>
      </w:r>
      <w:r w:rsidR="0055503E">
        <w:rPr>
          <w:rFonts w:hint="eastAsia"/>
        </w:rPr>
        <w:t>核查</w:t>
      </w:r>
      <w:r w:rsidRPr="00BD250B">
        <w:rPr>
          <w:rFonts w:hint="eastAsia"/>
        </w:rPr>
        <w:t>意见</w:t>
      </w:r>
      <w:r>
        <w:rPr>
          <w:rFonts w:hint="eastAsia"/>
        </w:rPr>
        <w:t>。</w:t>
      </w:r>
      <w:r w:rsidR="00E40046">
        <w:cr/>
        <w:t xml:space="preserve">   </w:t>
      </w:r>
      <w:r w:rsidR="00D477E7">
        <w:rPr>
          <w:rFonts w:asciiTheme="minorEastAsia" w:eastAsiaTheme="minorEastAsia" w:hAnsiTheme="minorEastAsia" w:cs="仿宋_GB2312" w:hint="eastAsia"/>
          <w:color w:val="auto"/>
        </w:rPr>
        <w:t>（三）</w:t>
      </w:r>
      <w:r w:rsidR="005C4C4B">
        <w:rPr>
          <w:rFonts w:asciiTheme="minorEastAsia" w:eastAsiaTheme="minorEastAsia" w:hAnsiTheme="minorEastAsia" w:cs="仿宋_GB2312"/>
          <w:color w:val="auto"/>
        </w:rPr>
        <w:t>内部控制制度的</w:t>
      </w:r>
      <w:r w:rsidR="005C4C4B">
        <w:rPr>
          <w:rFonts w:asciiTheme="minorEastAsia" w:eastAsiaTheme="minorEastAsia" w:hAnsiTheme="minorEastAsia" w:cs="仿宋_GB2312" w:hint="eastAsia"/>
          <w:color w:val="auto"/>
        </w:rPr>
        <w:t>建立</w:t>
      </w:r>
      <w:r w:rsidR="00D477E7" w:rsidRPr="003D4D52">
        <w:rPr>
          <w:rFonts w:asciiTheme="minorEastAsia" w:eastAsiaTheme="minorEastAsia" w:hAnsiTheme="minorEastAsia" w:cs="仿宋_GB2312"/>
          <w:color w:val="auto"/>
        </w:rPr>
        <w:t>和运行情况</w:t>
      </w:r>
    </w:p>
    <w:p w14:paraId="21648DF8" w14:textId="43A9678D" w:rsidR="00D477E7" w:rsidRDefault="00E40046" w:rsidP="005C4C4B">
      <w:pPr>
        <w:pStyle w:val="Default"/>
        <w:spacing w:line="360" w:lineRule="auto"/>
        <w:ind w:firstLineChars="200" w:firstLine="480"/>
        <w:jc w:val="both"/>
      </w:pPr>
      <w:r>
        <w:t>报告期内，</w:t>
      </w:r>
      <w:r w:rsidR="005C4C4B" w:rsidRPr="005C4C4B">
        <w:rPr>
          <w:rFonts w:hint="eastAsia"/>
        </w:rPr>
        <w:t>公司监事会持续加强对公司内部控制体系的健全性和有效性监督。</w:t>
      </w:r>
      <w:r>
        <w:t>监事会对公司董事会编制的《</w:t>
      </w:r>
      <w:r w:rsidR="00A30F41">
        <w:t>2024</w:t>
      </w:r>
      <w:r w:rsidR="00377161">
        <w:t>年</w:t>
      </w:r>
      <w:r>
        <w:t>度内部控制自我评价报</w:t>
      </w:r>
      <w:r w:rsidR="005C4C4B">
        <w:t>告》及公司内部控制</w:t>
      </w:r>
      <w:r w:rsidR="005C4C4B">
        <w:rPr>
          <w:rFonts w:hint="eastAsia"/>
        </w:rPr>
        <w:t>制度</w:t>
      </w:r>
      <w:r w:rsidR="005C4C4B">
        <w:t>的</w:t>
      </w:r>
      <w:r w:rsidR="005C4C4B">
        <w:rPr>
          <w:rFonts w:hint="eastAsia"/>
        </w:rPr>
        <w:t>建立</w:t>
      </w:r>
      <w:r w:rsidR="005C4C4B">
        <w:t>和运行情况进行了</w:t>
      </w:r>
      <w:r w:rsidR="005C4C4B">
        <w:rPr>
          <w:rFonts w:hint="eastAsia"/>
        </w:rPr>
        <w:t>全面、细致</w:t>
      </w:r>
      <w:r w:rsidR="008B1388">
        <w:t>的</w:t>
      </w:r>
      <w:r w:rsidR="008B1388">
        <w:rPr>
          <w:rFonts w:hint="eastAsia"/>
        </w:rPr>
        <w:t>了解</w:t>
      </w:r>
      <w:r w:rsidR="00982E57">
        <w:rPr>
          <w:rFonts w:hint="eastAsia"/>
        </w:rPr>
        <w:t>。报告期内，公司</w:t>
      </w:r>
      <w:r w:rsidR="00982E57" w:rsidRPr="00982E57">
        <w:rPr>
          <w:rFonts w:hint="eastAsia"/>
        </w:rPr>
        <w:t>根据中国证监会和深交所最新发布的相关法律法规、规范性文件，</w:t>
      </w:r>
      <w:r w:rsidR="00ED4B40" w:rsidRPr="00982E57">
        <w:rPr>
          <w:rFonts w:hint="eastAsia"/>
        </w:rPr>
        <w:t>全面梳理相关治理制度，</w:t>
      </w:r>
      <w:r w:rsidR="00ED4B40">
        <w:rPr>
          <w:rFonts w:hint="eastAsia"/>
        </w:rPr>
        <w:t>进一步加强</w:t>
      </w:r>
      <w:r w:rsidR="00982E57" w:rsidRPr="00982E57">
        <w:rPr>
          <w:rFonts w:hint="eastAsia"/>
        </w:rPr>
        <w:t>内部各项管理流程，保证公司经营管理的有效运行</w:t>
      </w:r>
      <w:r w:rsidR="00982E57">
        <w:rPr>
          <w:rFonts w:hint="eastAsia"/>
        </w:rPr>
        <w:t>。</w:t>
      </w:r>
    </w:p>
    <w:p w14:paraId="54F66503" w14:textId="5AFAE90F" w:rsidR="00377463" w:rsidRPr="00B8269B" w:rsidRDefault="00377463" w:rsidP="005C4C4B">
      <w:pPr>
        <w:pStyle w:val="Default"/>
        <w:spacing w:line="360" w:lineRule="auto"/>
        <w:ind w:firstLineChars="200" w:firstLine="480"/>
        <w:jc w:val="both"/>
      </w:pPr>
      <w:r>
        <w:rPr>
          <w:rFonts w:hint="eastAsia"/>
        </w:rPr>
        <w:t>报告期内，公司</w:t>
      </w:r>
      <w:r w:rsidRPr="00377463">
        <w:rPr>
          <w:rFonts w:hint="eastAsia"/>
        </w:rPr>
        <w:t>2023年度内部控制审计报告否定意见涉及事项影响已消除</w:t>
      </w:r>
      <w:r>
        <w:rPr>
          <w:rFonts w:hint="eastAsia"/>
        </w:rPr>
        <w:t>，</w:t>
      </w:r>
      <w:r w:rsidR="008D5D45">
        <w:rPr>
          <w:rFonts w:hint="eastAsia"/>
        </w:rPr>
        <w:t>公司</w:t>
      </w:r>
      <w:r>
        <w:rPr>
          <w:rFonts w:hint="eastAsia"/>
        </w:rPr>
        <w:t>监事会对</w:t>
      </w:r>
      <w:r w:rsidRPr="00377463">
        <w:rPr>
          <w:rFonts w:hint="eastAsia"/>
        </w:rPr>
        <w:t>《董事会关于2023</w:t>
      </w:r>
      <w:r>
        <w:rPr>
          <w:rFonts w:hint="eastAsia"/>
        </w:rPr>
        <w:t>年度内部控制审计报告否定意见涉及事项影响已消除的专项说明》发表了核查</w:t>
      </w:r>
      <w:r w:rsidRPr="00377463">
        <w:rPr>
          <w:rFonts w:hint="eastAsia"/>
        </w:rPr>
        <w:t>意见</w:t>
      </w:r>
      <w:r>
        <w:rPr>
          <w:rFonts w:hint="eastAsia"/>
        </w:rPr>
        <w:t>。</w:t>
      </w:r>
    </w:p>
    <w:p w14:paraId="29A7221C" w14:textId="77777777" w:rsidR="00B44356" w:rsidRPr="00A06354" w:rsidRDefault="00D477E7" w:rsidP="00311762">
      <w:pPr>
        <w:pStyle w:val="Default"/>
        <w:spacing w:line="360" w:lineRule="auto"/>
        <w:ind w:firstLineChars="200" w:firstLine="480"/>
        <w:rPr>
          <w:rFonts w:asciiTheme="minorEastAsia" w:eastAsiaTheme="minorEastAsia" w:hAnsiTheme="minorEastAsia" w:cs="仿宋_GB2312" w:hint="eastAsia"/>
          <w:color w:val="auto"/>
        </w:rPr>
      </w:pPr>
      <w:r w:rsidRPr="00B8269B">
        <w:rPr>
          <w:rFonts w:asciiTheme="minorEastAsia" w:eastAsiaTheme="minorEastAsia" w:hAnsiTheme="minorEastAsia" w:cs="仿宋_GB2312" w:hint="eastAsia"/>
          <w:color w:val="auto"/>
        </w:rPr>
        <w:t>（四</w:t>
      </w:r>
      <w:r w:rsidR="0058028A" w:rsidRPr="00B8269B">
        <w:rPr>
          <w:rFonts w:asciiTheme="minorEastAsia" w:eastAsiaTheme="minorEastAsia" w:hAnsiTheme="minorEastAsia" w:cs="仿宋_GB2312" w:hint="eastAsia"/>
          <w:color w:val="auto"/>
        </w:rPr>
        <w:t>）</w:t>
      </w:r>
      <w:r w:rsidR="00E25223" w:rsidRPr="00B8269B">
        <w:rPr>
          <w:rFonts w:asciiTheme="minorEastAsia" w:eastAsiaTheme="minorEastAsia" w:hAnsiTheme="minorEastAsia" w:cs="仿宋_GB2312" w:hint="eastAsia"/>
          <w:color w:val="auto"/>
        </w:rPr>
        <w:t>公司</w:t>
      </w:r>
      <w:r w:rsidR="0058028A" w:rsidRPr="00B8269B">
        <w:rPr>
          <w:rFonts w:asciiTheme="minorEastAsia" w:eastAsiaTheme="minorEastAsia" w:hAnsiTheme="minorEastAsia" w:cs="仿宋_GB2312" w:hint="eastAsia"/>
          <w:color w:val="auto"/>
        </w:rPr>
        <w:t>募集资金</w:t>
      </w:r>
      <w:r w:rsidR="00E25223" w:rsidRPr="00B8269B">
        <w:rPr>
          <w:rFonts w:asciiTheme="minorEastAsia" w:eastAsiaTheme="minorEastAsia" w:hAnsiTheme="minorEastAsia" w:cs="仿宋_GB2312" w:hint="eastAsia"/>
          <w:color w:val="auto"/>
        </w:rPr>
        <w:t>使用</w:t>
      </w:r>
      <w:r w:rsidR="0058028A" w:rsidRPr="00B8269B">
        <w:rPr>
          <w:rFonts w:asciiTheme="minorEastAsia" w:eastAsiaTheme="minorEastAsia" w:hAnsiTheme="minorEastAsia" w:cs="仿宋_GB2312" w:hint="eastAsia"/>
          <w:color w:val="auto"/>
        </w:rPr>
        <w:t>情况</w:t>
      </w:r>
    </w:p>
    <w:p w14:paraId="0BD45CCC" w14:textId="18A54E1A" w:rsidR="00D245CC" w:rsidRDefault="00651E66" w:rsidP="00651E66">
      <w:pPr>
        <w:pStyle w:val="Default"/>
        <w:spacing w:line="360" w:lineRule="auto"/>
        <w:ind w:firstLineChars="200" w:firstLine="480"/>
        <w:jc w:val="both"/>
      </w:pPr>
      <w:r>
        <w:rPr>
          <w:rFonts w:asciiTheme="minorEastAsia" w:eastAsiaTheme="minorEastAsia" w:hAnsiTheme="minorEastAsia" w:cs="仿宋_GB2312" w:hint="eastAsia"/>
          <w:color w:val="auto"/>
        </w:rPr>
        <w:t>报告期内，公司</w:t>
      </w:r>
      <w:r w:rsidR="0058028A" w:rsidRPr="00A06354">
        <w:rPr>
          <w:rFonts w:asciiTheme="minorEastAsia" w:eastAsiaTheme="minorEastAsia" w:hAnsiTheme="minorEastAsia" w:cs="仿宋_GB2312" w:hint="eastAsia"/>
          <w:color w:val="auto"/>
        </w:rPr>
        <w:t>监事会对</w:t>
      </w:r>
      <w:r>
        <w:rPr>
          <w:rFonts w:asciiTheme="minorEastAsia" w:eastAsiaTheme="minorEastAsia" w:hAnsiTheme="minorEastAsia" w:cs="仿宋_GB2312" w:hint="eastAsia"/>
          <w:color w:val="auto"/>
        </w:rPr>
        <w:t>公司募集资金的使用及存放情况进行了监督和检查，认为：</w:t>
      </w:r>
      <w:r w:rsidR="00D245CC">
        <w:t>公司董事会出具的《</w:t>
      </w:r>
      <w:r w:rsidR="00D245CC">
        <w:rPr>
          <w:rFonts w:hint="eastAsia"/>
        </w:rPr>
        <w:t>募集资金</w:t>
      </w:r>
      <w:r w:rsidR="00A30F41">
        <w:rPr>
          <w:rFonts w:hint="eastAsia"/>
        </w:rPr>
        <w:t>2024</w:t>
      </w:r>
      <w:r w:rsidR="00377161">
        <w:rPr>
          <w:rFonts w:hint="eastAsia"/>
        </w:rPr>
        <w:t>年</w:t>
      </w:r>
      <w:r w:rsidR="00D245CC">
        <w:rPr>
          <w:rFonts w:hint="eastAsia"/>
        </w:rPr>
        <w:t>度存放与使用情况的专项报告</w:t>
      </w:r>
      <w:r>
        <w:t>》</w:t>
      </w:r>
      <w:r>
        <w:rPr>
          <w:rFonts w:hint="eastAsia"/>
        </w:rPr>
        <w:t>真实、客观地反映了</w:t>
      </w:r>
      <w:r w:rsidRPr="00651E66">
        <w:rPr>
          <w:rFonts w:hint="eastAsia"/>
        </w:rPr>
        <w:t>公司募集资金的存放和实际使用情况</w:t>
      </w:r>
      <w:r w:rsidR="006B14A6">
        <w:rPr>
          <w:rFonts w:hint="eastAsia"/>
        </w:rPr>
        <w:t>，对于募集资金的存放和</w:t>
      </w:r>
      <w:r w:rsidR="006B14A6">
        <w:t>使用</w:t>
      </w:r>
      <w:r w:rsidR="006B14A6">
        <w:rPr>
          <w:rFonts w:hint="eastAsia"/>
        </w:rPr>
        <w:t>不存在</w:t>
      </w:r>
      <w:r w:rsidR="006B14A6">
        <w:t>损害公司利益</w:t>
      </w:r>
      <w:r w:rsidR="006B14A6">
        <w:rPr>
          <w:rFonts w:hint="eastAsia"/>
        </w:rPr>
        <w:t>和股东权益</w:t>
      </w:r>
      <w:r w:rsidR="006B14A6">
        <w:t>的</w:t>
      </w:r>
      <w:r w:rsidR="006B14A6">
        <w:rPr>
          <w:rFonts w:hint="eastAsia"/>
        </w:rPr>
        <w:t>行为</w:t>
      </w:r>
      <w:r w:rsidR="006B14A6">
        <w:t>。</w:t>
      </w:r>
    </w:p>
    <w:p w14:paraId="6CF8C2AB" w14:textId="77777777" w:rsidR="003D4D52" w:rsidRPr="00AD779C" w:rsidRDefault="003D4D52" w:rsidP="00311762">
      <w:pPr>
        <w:pStyle w:val="Default"/>
        <w:spacing w:line="360" w:lineRule="auto"/>
        <w:ind w:firstLineChars="200" w:firstLine="480"/>
      </w:pPr>
      <w:r w:rsidRPr="00AD779C">
        <w:rPr>
          <w:rFonts w:hint="eastAsia"/>
        </w:rPr>
        <w:t>（</w:t>
      </w:r>
      <w:r w:rsidR="00D477E7" w:rsidRPr="00AD779C">
        <w:rPr>
          <w:rFonts w:hint="eastAsia"/>
        </w:rPr>
        <w:t>五</w:t>
      </w:r>
      <w:r w:rsidRPr="00AD779C">
        <w:rPr>
          <w:rFonts w:hint="eastAsia"/>
        </w:rPr>
        <w:t>）关联交易情况</w:t>
      </w:r>
    </w:p>
    <w:p w14:paraId="1E50FBAE" w14:textId="182AF410" w:rsidR="003D4D52" w:rsidRPr="00AD779C" w:rsidRDefault="0076285F" w:rsidP="00AE7DD6">
      <w:pPr>
        <w:pStyle w:val="Default"/>
        <w:spacing w:line="360" w:lineRule="auto"/>
        <w:ind w:firstLineChars="200" w:firstLine="480"/>
        <w:jc w:val="both"/>
      </w:pPr>
      <w:r w:rsidRPr="00AD779C">
        <w:rPr>
          <w:rFonts w:hint="eastAsia"/>
        </w:rPr>
        <w:lastRenderedPageBreak/>
        <w:t>报告期内，</w:t>
      </w:r>
      <w:r w:rsidR="00AE7DD6" w:rsidRPr="00AD779C">
        <w:rPr>
          <w:rFonts w:hint="eastAsia"/>
        </w:rPr>
        <w:t>公司</w:t>
      </w:r>
      <w:r w:rsidR="00AE6685">
        <w:rPr>
          <w:rFonts w:hint="eastAsia"/>
        </w:rPr>
        <w:t>监事会对公司与关联方</w:t>
      </w:r>
      <w:r w:rsidR="00AD779C">
        <w:rPr>
          <w:rFonts w:hint="eastAsia"/>
        </w:rPr>
        <w:t>发生的关联交易</w:t>
      </w:r>
      <w:r w:rsidR="003D4D52" w:rsidRPr="00AD779C">
        <w:rPr>
          <w:rFonts w:hint="eastAsia"/>
        </w:rPr>
        <w:t>进行了检查，认为：</w:t>
      </w:r>
      <w:r w:rsidR="00BF29A7" w:rsidRPr="00AD779C">
        <w:t>公司发生的关联交易事项</w:t>
      </w:r>
      <w:r w:rsidR="00AE7DD6" w:rsidRPr="00AD779C">
        <w:rPr>
          <w:rFonts w:hint="eastAsia"/>
        </w:rPr>
        <w:t>均</w:t>
      </w:r>
      <w:r w:rsidR="00AE6685">
        <w:rPr>
          <w:rFonts w:hint="eastAsia"/>
        </w:rPr>
        <w:t>具有必要性和合理性</w:t>
      </w:r>
      <w:r w:rsidR="00BF29A7" w:rsidRPr="00AD779C">
        <w:t>，</w:t>
      </w:r>
      <w:r w:rsidR="00AE7DD6" w:rsidRPr="00AD779C">
        <w:t>遵循了公平、公正、公开的原则，</w:t>
      </w:r>
      <w:r w:rsidR="00875095" w:rsidRPr="00AD779C">
        <w:rPr>
          <w:rFonts w:hint="eastAsia"/>
        </w:rPr>
        <w:t>不会</w:t>
      </w:r>
      <w:r w:rsidR="00AE7DD6" w:rsidRPr="00AD779C">
        <w:t>损害公司及</w:t>
      </w:r>
      <w:r w:rsidR="00BF29A7" w:rsidRPr="00AD779C">
        <w:t>中小投资者的利益。董事会、股东大会审议关联交易事项时，关联董事、关联股东均回避表决，表决程序合法、有效</w:t>
      </w:r>
      <w:r w:rsidR="003D4D52" w:rsidRPr="00AD779C">
        <w:t>。</w:t>
      </w:r>
    </w:p>
    <w:p w14:paraId="23D408DF" w14:textId="525D3093" w:rsidR="003D4D52" w:rsidRPr="00AD779C" w:rsidRDefault="003D4D52" w:rsidP="00311762">
      <w:pPr>
        <w:pStyle w:val="Default"/>
        <w:spacing w:line="360" w:lineRule="auto"/>
        <w:ind w:firstLineChars="200" w:firstLine="480"/>
        <w:rPr>
          <w:rFonts w:asciiTheme="minorEastAsia" w:eastAsiaTheme="minorEastAsia" w:hAnsiTheme="minorEastAsia" w:cs="仿宋_GB2312" w:hint="eastAsia"/>
          <w:color w:val="auto"/>
        </w:rPr>
      </w:pPr>
      <w:r w:rsidRPr="00AD779C">
        <w:rPr>
          <w:rFonts w:asciiTheme="minorEastAsia" w:eastAsiaTheme="minorEastAsia" w:hAnsiTheme="minorEastAsia" w:cs="仿宋_GB2312" w:hint="eastAsia"/>
          <w:color w:val="auto"/>
        </w:rPr>
        <w:t>（</w:t>
      </w:r>
      <w:r w:rsidR="00D477E7" w:rsidRPr="00AD779C">
        <w:rPr>
          <w:rFonts w:asciiTheme="minorEastAsia" w:eastAsiaTheme="minorEastAsia" w:hAnsiTheme="minorEastAsia" w:cs="仿宋_GB2312" w:hint="eastAsia"/>
          <w:color w:val="auto"/>
        </w:rPr>
        <w:t>六</w:t>
      </w:r>
      <w:r w:rsidR="0058028A" w:rsidRPr="00AD779C">
        <w:rPr>
          <w:rFonts w:asciiTheme="minorEastAsia" w:eastAsiaTheme="minorEastAsia" w:hAnsiTheme="minorEastAsia" w:cs="仿宋_GB2312" w:hint="eastAsia"/>
          <w:color w:val="auto"/>
        </w:rPr>
        <w:t>）</w:t>
      </w:r>
      <w:r w:rsidRPr="00AD779C">
        <w:rPr>
          <w:rFonts w:asciiTheme="minorEastAsia" w:eastAsiaTheme="minorEastAsia" w:hAnsiTheme="minorEastAsia" w:cs="仿宋_GB2312" w:hint="eastAsia"/>
          <w:color w:val="auto"/>
        </w:rPr>
        <w:t>对外担保</w:t>
      </w:r>
      <w:r w:rsidR="00AE31D8" w:rsidRPr="00AD779C">
        <w:rPr>
          <w:rFonts w:asciiTheme="minorEastAsia" w:eastAsiaTheme="minorEastAsia" w:hAnsiTheme="minorEastAsia" w:cs="仿宋_GB2312" w:hint="eastAsia"/>
          <w:color w:val="auto"/>
        </w:rPr>
        <w:t>及</w:t>
      </w:r>
      <w:r w:rsidR="00AE31D8" w:rsidRPr="00AD779C">
        <w:rPr>
          <w:rFonts w:asciiTheme="minorEastAsia" w:eastAsiaTheme="minorEastAsia" w:hAnsiTheme="minorEastAsia" w:cs="仿宋_GB2312"/>
          <w:color w:val="auto"/>
        </w:rPr>
        <w:t>资金</w:t>
      </w:r>
      <w:r w:rsidR="00AE31D8" w:rsidRPr="00AD779C">
        <w:rPr>
          <w:rFonts w:asciiTheme="minorEastAsia" w:eastAsiaTheme="minorEastAsia" w:hAnsiTheme="minorEastAsia" w:cs="仿宋_GB2312" w:hint="eastAsia"/>
          <w:color w:val="auto"/>
        </w:rPr>
        <w:t>往来</w:t>
      </w:r>
      <w:r w:rsidRPr="00AD779C">
        <w:rPr>
          <w:rFonts w:asciiTheme="minorEastAsia" w:eastAsiaTheme="minorEastAsia" w:hAnsiTheme="minorEastAsia" w:cs="仿宋_GB2312" w:hint="eastAsia"/>
          <w:color w:val="auto"/>
        </w:rPr>
        <w:t>情况</w:t>
      </w:r>
    </w:p>
    <w:p w14:paraId="5C1D5BA8" w14:textId="14CE7CB1" w:rsidR="00AE31D8" w:rsidRPr="003D4D52" w:rsidRDefault="002B5807" w:rsidP="002B5807">
      <w:pPr>
        <w:pStyle w:val="Default"/>
        <w:spacing w:line="360" w:lineRule="auto"/>
        <w:ind w:firstLineChars="200" w:firstLine="480"/>
        <w:jc w:val="both"/>
      </w:pPr>
      <w:r w:rsidRPr="00AD779C">
        <w:rPr>
          <w:rFonts w:hint="eastAsia"/>
        </w:rPr>
        <w:t>公司</w:t>
      </w:r>
      <w:r w:rsidR="003D4D52" w:rsidRPr="00AD779C">
        <w:t>监事会对公司对外担保</w:t>
      </w:r>
      <w:r w:rsidR="008C7E38" w:rsidRPr="00AD779C">
        <w:rPr>
          <w:rFonts w:hint="eastAsia"/>
        </w:rPr>
        <w:t>及资金往来</w:t>
      </w:r>
      <w:r w:rsidR="003D4D52" w:rsidRPr="00AD779C">
        <w:t>情况进行了检查和审核</w:t>
      </w:r>
      <w:r w:rsidR="00C036E0" w:rsidRPr="00AD779C">
        <w:rPr>
          <w:rFonts w:hint="eastAsia"/>
        </w:rPr>
        <w:t>。</w:t>
      </w:r>
      <w:r w:rsidR="00C30D0F" w:rsidRPr="00AD779C">
        <w:rPr>
          <w:rFonts w:hint="eastAsia"/>
        </w:rPr>
        <w:t>报告期内，公司</w:t>
      </w:r>
      <w:r w:rsidR="008D7055" w:rsidRPr="00AD779C">
        <w:rPr>
          <w:rFonts w:hint="eastAsia"/>
        </w:rPr>
        <w:t>存在的</w:t>
      </w:r>
      <w:r w:rsidR="0067147F" w:rsidRPr="00AD779C">
        <w:rPr>
          <w:rFonts w:hint="eastAsia"/>
        </w:rPr>
        <w:t>以前年度发生的</w:t>
      </w:r>
      <w:r w:rsidR="002B250F">
        <w:rPr>
          <w:rFonts w:hint="eastAsia"/>
        </w:rPr>
        <w:t>资金占用及</w:t>
      </w:r>
      <w:r w:rsidR="0067147F" w:rsidRPr="00AD779C">
        <w:rPr>
          <w:rFonts w:hint="eastAsia"/>
        </w:rPr>
        <w:t>违规担保的情形</w:t>
      </w:r>
      <w:r w:rsidR="002B250F" w:rsidRPr="002B250F">
        <w:rPr>
          <w:rFonts w:hint="eastAsia"/>
        </w:rPr>
        <w:t>均已得到妥善清偿或化解</w:t>
      </w:r>
      <w:r w:rsidR="0067147F" w:rsidRPr="00AD779C">
        <w:rPr>
          <w:rFonts w:hint="eastAsia"/>
        </w:rPr>
        <w:t>。</w:t>
      </w:r>
      <w:r w:rsidRPr="00AD779C">
        <w:rPr>
          <w:rFonts w:hint="eastAsia"/>
        </w:rPr>
        <w:t>公司监事会</w:t>
      </w:r>
      <w:r w:rsidR="00F7290B" w:rsidRPr="00AD779C">
        <w:rPr>
          <w:rFonts w:hint="eastAsia"/>
        </w:rPr>
        <w:t>积极督促董事会和管理层严格遵照《企业内</w:t>
      </w:r>
      <w:r w:rsidRPr="00AD779C">
        <w:rPr>
          <w:rFonts w:hint="eastAsia"/>
        </w:rPr>
        <w:t>部控制基本规范》等规定，进一步强化合</w:t>
      </w:r>
      <w:proofErr w:type="gramStart"/>
      <w:r w:rsidRPr="00AD779C">
        <w:rPr>
          <w:rFonts w:hint="eastAsia"/>
        </w:rPr>
        <w:t>规</w:t>
      </w:r>
      <w:proofErr w:type="gramEnd"/>
      <w:r w:rsidRPr="00AD779C">
        <w:rPr>
          <w:rFonts w:hint="eastAsia"/>
        </w:rPr>
        <w:t>意识，规范</w:t>
      </w:r>
      <w:r w:rsidR="00F7290B" w:rsidRPr="00AD779C">
        <w:rPr>
          <w:rFonts w:hint="eastAsia"/>
        </w:rPr>
        <w:t>内部控制</w:t>
      </w:r>
      <w:r w:rsidRPr="00AD779C">
        <w:rPr>
          <w:rFonts w:hint="eastAsia"/>
        </w:rPr>
        <w:t>制度执行的有效性</w:t>
      </w:r>
      <w:r w:rsidR="00F7290B" w:rsidRPr="00AD779C">
        <w:rPr>
          <w:rFonts w:hint="eastAsia"/>
        </w:rPr>
        <w:t>，确保公司在所有重大方面保持有效的内部控制，切实维护公司及全体股东的利益。</w:t>
      </w:r>
    </w:p>
    <w:p w14:paraId="785D4811" w14:textId="77777777" w:rsidR="00B44356" w:rsidRPr="00A06354" w:rsidRDefault="003D4D52" w:rsidP="00311762">
      <w:pPr>
        <w:pStyle w:val="Default"/>
        <w:spacing w:line="360" w:lineRule="auto"/>
        <w:ind w:firstLineChars="200" w:firstLine="480"/>
        <w:rPr>
          <w:rFonts w:asciiTheme="minorEastAsia" w:eastAsiaTheme="minorEastAsia" w:hAnsiTheme="minorEastAsia" w:cs="仿宋_GB2312" w:hint="eastAsia"/>
          <w:color w:val="auto"/>
        </w:rPr>
      </w:pPr>
      <w:r>
        <w:rPr>
          <w:rFonts w:asciiTheme="minorEastAsia" w:eastAsiaTheme="minorEastAsia" w:hAnsiTheme="minorEastAsia" w:cs="仿宋_GB2312" w:hint="eastAsia"/>
          <w:color w:val="auto"/>
        </w:rPr>
        <w:t>（七）</w:t>
      </w:r>
      <w:r w:rsidR="00E25223" w:rsidRPr="00A06354">
        <w:rPr>
          <w:rFonts w:asciiTheme="minorEastAsia" w:eastAsiaTheme="minorEastAsia" w:hAnsiTheme="minorEastAsia" w:cs="仿宋_GB2312" w:hint="eastAsia"/>
          <w:color w:val="auto"/>
        </w:rPr>
        <w:t>公司</w:t>
      </w:r>
      <w:r w:rsidR="0058028A" w:rsidRPr="00A06354">
        <w:rPr>
          <w:rFonts w:asciiTheme="minorEastAsia" w:eastAsiaTheme="minorEastAsia" w:hAnsiTheme="minorEastAsia" w:cs="仿宋_GB2312" w:hint="eastAsia"/>
          <w:color w:val="auto"/>
        </w:rPr>
        <w:t>利润分配情况</w:t>
      </w:r>
    </w:p>
    <w:p w14:paraId="2DA2BBF3" w14:textId="3E0DA39C" w:rsidR="00B44356" w:rsidRPr="00A06354" w:rsidRDefault="005162B0" w:rsidP="00A06354">
      <w:pPr>
        <w:pStyle w:val="Default"/>
        <w:spacing w:line="360" w:lineRule="auto"/>
        <w:ind w:firstLineChars="200" w:firstLine="480"/>
        <w:rPr>
          <w:rFonts w:asciiTheme="minorEastAsia" w:eastAsiaTheme="minorEastAsia" w:hAnsiTheme="minorEastAsia" w:cs="仿宋_GB2312" w:hint="eastAsia"/>
          <w:color w:val="auto"/>
        </w:rPr>
      </w:pPr>
      <w:r>
        <w:rPr>
          <w:rFonts w:asciiTheme="minorEastAsia" w:eastAsiaTheme="minorEastAsia" w:hAnsiTheme="minorEastAsia" w:cs="仿宋_GB2312" w:hint="eastAsia"/>
          <w:color w:val="auto"/>
        </w:rPr>
        <w:t>报告期内，公司严格按照《公司章程》及</w:t>
      </w:r>
      <w:r w:rsidR="0058028A" w:rsidRPr="00A06354">
        <w:rPr>
          <w:rFonts w:asciiTheme="minorEastAsia" w:eastAsiaTheme="minorEastAsia" w:hAnsiTheme="minorEastAsia" w:cs="仿宋_GB2312" w:hint="eastAsia"/>
          <w:color w:val="auto"/>
        </w:rPr>
        <w:t>相关规定，在充分考虑公司的经营状况、未来的发展需要以及股东的投资回报等因素的前提下进行分配方案的拟定，符合公司及全体股东的利益。</w:t>
      </w:r>
    </w:p>
    <w:p w14:paraId="571111D9" w14:textId="77777777" w:rsidR="00B44356" w:rsidRPr="00A06354" w:rsidRDefault="00D477E7" w:rsidP="00311762">
      <w:pPr>
        <w:pStyle w:val="Default"/>
        <w:spacing w:line="360" w:lineRule="auto"/>
        <w:ind w:firstLineChars="200" w:firstLine="480"/>
        <w:rPr>
          <w:rFonts w:asciiTheme="minorEastAsia" w:eastAsiaTheme="minorEastAsia" w:hAnsiTheme="minorEastAsia" w:cs="仿宋_GB2312" w:hint="eastAsia"/>
          <w:color w:val="auto"/>
        </w:rPr>
      </w:pPr>
      <w:r>
        <w:rPr>
          <w:rFonts w:asciiTheme="minorEastAsia" w:eastAsiaTheme="minorEastAsia" w:hAnsiTheme="minorEastAsia" w:cs="仿宋_GB2312" w:hint="eastAsia"/>
          <w:color w:val="auto"/>
        </w:rPr>
        <w:t>（八</w:t>
      </w:r>
      <w:r w:rsidR="0075292A" w:rsidRPr="00A06354">
        <w:rPr>
          <w:rFonts w:asciiTheme="minorEastAsia" w:eastAsiaTheme="minorEastAsia" w:hAnsiTheme="minorEastAsia" w:cs="仿宋_GB2312" w:hint="eastAsia"/>
          <w:color w:val="auto"/>
        </w:rPr>
        <w:t>）</w:t>
      </w:r>
      <w:r w:rsidR="00E25223" w:rsidRPr="00A06354">
        <w:rPr>
          <w:rFonts w:asciiTheme="minorEastAsia" w:eastAsiaTheme="minorEastAsia" w:hAnsiTheme="minorEastAsia" w:cs="仿宋_GB2312" w:hint="eastAsia"/>
          <w:color w:val="auto"/>
        </w:rPr>
        <w:t>公司</w:t>
      </w:r>
      <w:r w:rsidR="0075292A" w:rsidRPr="00A06354">
        <w:rPr>
          <w:rFonts w:asciiTheme="minorEastAsia" w:eastAsiaTheme="minorEastAsia" w:hAnsiTheme="minorEastAsia" w:cs="仿宋_GB2312" w:hint="eastAsia"/>
          <w:color w:val="auto"/>
        </w:rPr>
        <w:t>对外投资</w:t>
      </w:r>
      <w:r w:rsidR="0058028A" w:rsidRPr="00A06354">
        <w:rPr>
          <w:rFonts w:asciiTheme="minorEastAsia" w:eastAsiaTheme="minorEastAsia" w:hAnsiTheme="minorEastAsia" w:cs="仿宋_GB2312" w:hint="eastAsia"/>
          <w:color w:val="auto"/>
        </w:rPr>
        <w:t>情况</w:t>
      </w:r>
    </w:p>
    <w:p w14:paraId="44E690FE" w14:textId="2E32CC19" w:rsidR="00B44356" w:rsidRPr="00A06354" w:rsidRDefault="00FE1257" w:rsidP="00301639">
      <w:pPr>
        <w:pStyle w:val="Default"/>
        <w:spacing w:line="360" w:lineRule="auto"/>
        <w:jc w:val="both"/>
        <w:rPr>
          <w:rFonts w:asciiTheme="minorEastAsia" w:eastAsiaTheme="minorEastAsia" w:hAnsiTheme="minorEastAsia" w:cs="仿宋_GB2312" w:hint="eastAsia"/>
          <w:color w:val="auto"/>
        </w:rPr>
      </w:pPr>
      <w:r>
        <w:rPr>
          <w:rFonts w:asciiTheme="minorEastAsia" w:eastAsiaTheme="minorEastAsia" w:hAnsiTheme="minorEastAsia" w:cs="仿宋_GB2312" w:hint="eastAsia"/>
          <w:color w:val="auto"/>
        </w:rPr>
        <w:t xml:space="preserve">   </w:t>
      </w:r>
      <w:r w:rsidR="0058028A" w:rsidRPr="00A06354">
        <w:rPr>
          <w:rFonts w:asciiTheme="minorEastAsia" w:eastAsiaTheme="minorEastAsia" w:hAnsiTheme="minorEastAsia" w:cs="仿宋_GB2312" w:hint="eastAsia"/>
          <w:color w:val="auto"/>
        </w:rPr>
        <w:t xml:space="preserve"> </w:t>
      </w:r>
      <w:r w:rsidR="00B14FBD">
        <w:rPr>
          <w:rFonts w:asciiTheme="minorEastAsia" w:eastAsiaTheme="minorEastAsia" w:hAnsiTheme="minorEastAsia" w:cs="仿宋_GB2312" w:hint="eastAsia"/>
          <w:color w:val="auto"/>
        </w:rPr>
        <w:t>报告期内，</w:t>
      </w:r>
      <w:r w:rsidR="00301639">
        <w:rPr>
          <w:rFonts w:asciiTheme="minorEastAsia" w:eastAsiaTheme="minorEastAsia" w:hAnsiTheme="minorEastAsia" w:cs="仿宋_GB2312" w:hint="eastAsia"/>
          <w:color w:val="auto"/>
        </w:rPr>
        <w:t>公司</w:t>
      </w:r>
      <w:r w:rsidR="0075292A" w:rsidRPr="00A06354">
        <w:rPr>
          <w:rFonts w:asciiTheme="minorEastAsia" w:eastAsiaTheme="minorEastAsia" w:hAnsiTheme="minorEastAsia" w:cs="仿宋_GB2312" w:hint="eastAsia"/>
          <w:color w:val="auto"/>
        </w:rPr>
        <w:t>监事会</w:t>
      </w:r>
      <w:r w:rsidR="00B14FBD" w:rsidRPr="00B14FBD">
        <w:rPr>
          <w:rFonts w:asciiTheme="minorEastAsia" w:eastAsiaTheme="minorEastAsia" w:hAnsiTheme="minorEastAsia" w:cs="仿宋_GB2312" w:hint="eastAsia"/>
          <w:color w:val="auto"/>
        </w:rPr>
        <w:t>对公司对外投资的情况进行监督</w:t>
      </w:r>
      <w:r w:rsidR="00DA532C">
        <w:rPr>
          <w:rFonts w:asciiTheme="minorEastAsia" w:eastAsiaTheme="minorEastAsia" w:hAnsiTheme="minorEastAsia" w:cs="仿宋_GB2312" w:hint="eastAsia"/>
          <w:color w:val="auto"/>
        </w:rPr>
        <w:t>，</w:t>
      </w:r>
      <w:r w:rsidR="00E13F40">
        <w:rPr>
          <w:rFonts w:asciiTheme="minorEastAsia" w:eastAsiaTheme="minorEastAsia" w:hAnsiTheme="minorEastAsia" w:cs="仿宋_GB2312"/>
          <w:color w:val="auto"/>
        </w:rPr>
        <w:t>公司无重大对外投资行为。</w:t>
      </w:r>
    </w:p>
    <w:p w14:paraId="5C552DF9" w14:textId="3EBDE96E" w:rsidR="00B44356" w:rsidRDefault="0058028A" w:rsidP="009A53CB">
      <w:pPr>
        <w:pStyle w:val="Default"/>
        <w:spacing w:line="360" w:lineRule="auto"/>
        <w:ind w:firstLineChars="200" w:firstLine="480"/>
        <w:jc w:val="both"/>
        <w:rPr>
          <w:rFonts w:asciiTheme="minorEastAsia" w:hAnsiTheme="minorEastAsia" w:cs="仿宋_GB2312" w:hint="eastAsia"/>
        </w:rPr>
      </w:pPr>
      <w:r w:rsidRPr="00A06354">
        <w:rPr>
          <w:rFonts w:asciiTheme="minorEastAsia" w:hAnsiTheme="minorEastAsia" w:cs="仿宋_GB2312" w:hint="eastAsia"/>
        </w:rPr>
        <w:t>（</w:t>
      </w:r>
      <w:r w:rsidR="004C78F4" w:rsidRPr="00A06354">
        <w:rPr>
          <w:rFonts w:asciiTheme="minorEastAsia" w:hAnsiTheme="minorEastAsia" w:cs="仿宋_GB2312" w:hint="eastAsia"/>
        </w:rPr>
        <w:t>九</w:t>
      </w:r>
      <w:r w:rsidR="00502168">
        <w:rPr>
          <w:rFonts w:asciiTheme="minorEastAsia" w:hAnsiTheme="minorEastAsia" w:cs="仿宋_GB2312" w:hint="eastAsia"/>
        </w:rPr>
        <w:t>）内幕知情人管理制度执行</w:t>
      </w:r>
      <w:r w:rsidRPr="00A06354">
        <w:rPr>
          <w:rFonts w:asciiTheme="minorEastAsia" w:hAnsiTheme="minorEastAsia" w:cs="仿宋_GB2312" w:hint="eastAsia"/>
        </w:rPr>
        <w:t>情况</w:t>
      </w:r>
    </w:p>
    <w:p w14:paraId="1DEB9067" w14:textId="76BFE2C2" w:rsidR="00502168" w:rsidRPr="00A06354" w:rsidRDefault="00502168" w:rsidP="00883496">
      <w:pPr>
        <w:spacing w:line="360" w:lineRule="auto"/>
        <w:ind w:firstLineChars="200" w:firstLine="480"/>
        <w:rPr>
          <w:rFonts w:asciiTheme="minorEastAsia" w:hAnsiTheme="minorEastAsia" w:cs="仿宋_GB2312" w:hint="eastAsia"/>
          <w:kern w:val="0"/>
          <w:sz w:val="24"/>
          <w:szCs w:val="24"/>
        </w:rPr>
      </w:pPr>
      <w:r w:rsidRPr="00502168">
        <w:rPr>
          <w:rFonts w:asciiTheme="minorEastAsia" w:hAnsiTheme="minorEastAsia" w:cs="仿宋_GB2312" w:hint="eastAsia"/>
          <w:kern w:val="0"/>
          <w:sz w:val="24"/>
          <w:szCs w:val="24"/>
        </w:rPr>
        <w:t>报告期内，公司监事会对内幕信息知情人的登记管理工作进行了检查，认为</w:t>
      </w:r>
      <w:r>
        <w:rPr>
          <w:rFonts w:asciiTheme="minorEastAsia" w:hAnsiTheme="minorEastAsia" w:cs="仿宋_GB2312" w:hint="eastAsia"/>
          <w:kern w:val="0"/>
          <w:sz w:val="24"/>
          <w:szCs w:val="24"/>
        </w:rPr>
        <w:t>：</w:t>
      </w:r>
      <w:r w:rsidRPr="00502168">
        <w:rPr>
          <w:rFonts w:asciiTheme="minorEastAsia" w:hAnsiTheme="minorEastAsia" w:cs="仿宋_GB2312" w:hint="eastAsia"/>
          <w:kern w:val="0"/>
          <w:sz w:val="24"/>
          <w:szCs w:val="24"/>
        </w:rPr>
        <w:t>公司严格按照中国证监会《</w:t>
      </w:r>
      <w:r w:rsidR="00461552" w:rsidRPr="00461552">
        <w:rPr>
          <w:rFonts w:asciiTheme="minorEastAsia" w:hAnsiTheme="minorEastAsia" w:cs="仿宋_GB2312" w:hint="eastAsia"/>
          <w:kern w:val="0"/>
          <w:sz w:val="24"/>
          <w:szCs w:val="24"/>
        </w:rPr>
        <w:t>上市公司监管指引第5号——上市公司内幕信息知情人登记管理制度</w:t>
      </w:r>
      <w:r w:rsidRPr="00502168">
        <w:rPr>
          <w:rFonts w:asciiTheme="minorEastAsia" w:hAnsiTheme="minorEastAsia" w:cs="仿宋_GB2312" w:hint="eastAsia"/>
          <w:kern w:val="0"/>
          <w:sz w:val="24"/>
          <w:szCs w:val="24"/>
        </w:rPr>
        <w:t>》和公司</w:t>
      </w:r>
      <w:r w:rsidRPr="00BE29C1">
        <w:rPr>
          <w:rFonts w:asciiTheme="minorEastAsia" w:hAnsiTheme="minorEastAsia" w:cs="仿宋_GB2312"/>
          <w:kern w:val="0"/>
          <w:sz w:val="24"/>
          <w:szCs w:val="24"/>
        </w:rPr>
        <w:t>《内幕信息知情人登记管理制度》</w:t>
      </w:r>
      <w:r w:rsidRPr="00502168">
        <w:rPr>
          <w:rFonts w:asciiTheme="minorEastAsia" w:hAnsiTheme="minorEastAsia" w:cs="仿宋_GB2312" w:hint="eastAsia"/>
          <w:kern w:val="0"/>
          <w:sz w:val="24"/>
          <w:szCs w:val="24"/>
        </w:rPr>
        <w:t>等有关规定，做好内幕信息管理以及内幕信息知情人登记工作，能够如实、完整记录内幕信息在公开披露前的传递、编制、报告等各环节的所有内幕信息知情人名单并向监管部门报备，未发现有相关人员利用内幕信息从事内幕交易等违规行为。</w:t>
      </w:r>
    </w:p>
    <w:p w14:paraId="0BCCEE90" w14:textId="77777777" w:rsidR="0067147F" w:rsidRPr="0067147F" w:rsidRDefault="0067147F" w:rsidP="0067147F">
      <w:pPr>
        <w:pStyle w:val="Default"/>
        <w:spacing w:beforeLines="50" w:before="156" w:afterLines="50" w:after="156" w:line="360" w:lineRule="auto"/>
        <w:ind w:firstLineChars="200" w:firstLine="482"/>
        <w:rPr>
          <w:rFonts w:asciiTheme="minorEastAsia" w:eastAsiaTheme="minorEastAsia" w:hAnsiTheme="minorEastAsia" w:cs="仿宋_GB2312" w:hint="eastAsia"/>
          <w:b/>
          <w:color w:val="auto"/>
        </w:rPr>
      </w:pPr>
      <w:r w:rsidRPr="0067147F">
        <w:rPr>
          <w:rFonts w:asciiTheme="minorEastAsia" w:eastAsiaTheme="minorEastAsia" w:hAnsiTheme="minorEastAsia" w:cs="仿宋_GB2312" w:hint="eastAsia"/>
          <w:b/>
          <w:color w:val="auto"/>
        </w:rPr>
        <w:t>三、2025年度工作计划</w:t>
      </w:r>
    </w:p>
    <w:p w14:paraId="7AEFB701" w14:textId="3D449975" w:rsidR="00FF4C69" w:rsidRDefault="0067147F" w:rsidP="00311762">
      <w:pPr>
        <w:spacing w:line="360" w:lineRule="auto"/>
        <w:ind w:firstLineChars="200" w:firstLine="480"/>
        <w:rPr>
          <w:rFonts w:asciiTheme="minorEastAsia" w:hAnsiTheme="minorEastAsia" w:cs="仿宋_GB2312" w:hint="eastAsia"/>
          <w:kern w:val="0"/>
          <w:sz w:val="24"/>
          <w:szCs w:val="24"/>
        </w:rPr>
      </w:pPr>
      <w:r w:rsidRPr="0067147F">
        <w:rPr>
          <w:rFonts w:asciiTheme="minorEastAsia" w:hAnsiTheme="minorEastAsia" w:cs="仿宋_GB2312" w:hint="eastAsia"/>
          <w:kern w:val="0"/>
          <w:sz w:val="24"/>
          <w:szCs w:val="24"/>
        </w:rPr>
        <w:t>2025年，监事会将继续严格按照《公司法》和《公司章程》等有关规定，忠实、勤勉地履行职责，进一步促进公司的规范运作，维护</w:t>
      </w:r>
      <w:r w:rsidR="00461552">
        <w:rPr>
          <w:rFonts w:asciiTheme="minorEastAsia" w:hAnsiTheme="minorEastAsia" w:cs="仿宋_GB2312" w:hint="eastAsia"/>
          <w:kern w:val="0"/>
          <w:sz w:val="24"/>
          <w:szCs w:val="24"/>
        </w:rPr>
        <w:t>公司及</w:t>
      </w:r>
      <w:r w:rsidRPr="0067147F">
        <w:rPr>
          <w:rFonts w:asciiTheme="minorEastAsia" w:hAnsiTheme="minorEastAsia" w:cs="仿宋_GB2312" w:hint="eastAsia"/>
          <w:kern w:val="0"/>
          <w:sz w:val="24"/>
          <w:szCs w:val="24"/>
        </w:rPr>
        <w:t>全体股东的利益。</w:t>
      </w:r>
    </w:p>
    <w:p w14:paraId="594CAC0E" w14:textId="77777777" w:rsidR="00B44356" w:rsidRPr="00A06354" w:rsidRDefault="00635C86" w:rsidP="00A06354">
      <w:pPr>
        <w:spacing w:line="360" w:lineRule="auto"/>
        <w:jc w:val="right"/>
        <w:rPr>
          <w:rFonts w:asciiTheme="minorEastAsia" w:hAnsiTheme="minorEastAsia" w:cs="仿宋_GB2312" w:hint="eastAsia"/>
          <w:kern w:val="0"/>
          <w:sz w:val="24"/>
          <w:szCs w:val="24"/>
        </w:rPr>
      </w:pPr>
      <w:r w:rsidRPr="00A06354">
        <w:rPr>
          <w:rFonts w:asciiTheme="minorEastAsia" w:hAnsiTheme="minorEastAsia" w:cs="仿宋_GB2312" w:hint="eastAsia"/>
          <w:kern w:val="0"/>
          <w:sz w:val="24"/>
          <w:szCs w:val="24"/>
        </w:rPr>
        <w:t>江苏中利</w:t>
      </w:r>
      <w:r w:rsidR="0058028A" w:rsidRPr="00A06354">
        <w:rPr>
          <w:rFonts w:asciiTheme="minorEastAsia" w:hAnsiTheme="minorEastAsia" w:cs="仿宋_GB2312" w:hint="eastAsia"/>
          <w:kern w:val="0"/>
          <w:sz w:val="24"/>
          <w:szCs w:val="24"/>
        </w:rPr>
        <w:t>集团股份有限公司</w:t>
      </w:r>
      <w:r w:rsidR="00FD07C4" w:rsidRPr="00A06354">
        <w:rPr>
          <w:rFonts w:asciiTheme="minorEastAsia" w:hAnsiTheme="minorEastAsia" w:cs="仿宋_GB2312" w:hint="eastAsia"/>
          <w:kern w:val="0"/>
          <w:sz w:val="24"/>
          <w:szCs w:val="24"/>
        </w:rPr>
        <w:t>监事会</w:t>
      </w:r>
    </w:p>
    <w:p w14:paraId="6D717751" w14:textId="092B6157" w:rsidR="00B44356" w:rsidRPr="00A06354" w:rsidRDefault="00A30F41" w:rsidP="00A06354">
      <w:pPr>
        <w:spacing w:line="360" w:lineRule="auto"/>
        <w:ind w:firstLineChars="2300" w:firstLine="5520"/>
        <w:rPr>
          <w:rFonts w:asciiTheme="minorEastAsia" w:hAnsiTheme="minorEastAsia" w:cs="仿宋_GB2312" w:hint="eastAsia"/>
          <w:kern w:val="0"/>
          <w:sz w:val="24"/>
          <w:szCs w:val="24"/>
        </w:rPr>
      </w:pPr>
      <w:r>
        <w:rPr>
          <w:rFonts w:asciiTheme="minorEastAsia" w:hAnsiTheme="minorEastAsia" w:cs="仿宋_GB2312" w:hint="eastAsia"/>
          <w:kern w:val="0"/>
          <w:sz w:val="24"/>
          <w:szCs w:val="24"/>
        </w:rPr>
        <w:t>2025</w:t>
      </w:r>
      <w:r w:rsidR="0058028A" w:rsidRPr="00A06354">
        <w:rPr>
          <w:rFonts w:asciiTheme="minorEastAsia" w:hAnsiTheme="minorEastAsia" w:cs="仿宋_GB2312" w:hint="eastAsia"/>
          <w:kern w:val="0"/>
          <w:sz w:val="24"/>
          <w:szCs w:val="24"/>
        </w:rPr>
        <w:t>年</w:t>
      </w:r>
      <w:r w:rsidR="005B36D6">
        <w:rPr>
          <w:rFonts w:asciiTheme="minorEastAsia" w:hAnsiTheme="minorEastAsia" w:cs="仿宋_GB2312"/>
          <w:kern w:val="0"/>
          <w:sz w:val="24"/>
          <w:szCs w:val="24"/>
        </w:rPr>
        <w:t>4</w:t>
      </w:r>
      <w:r w:rsidR="0058028A" w:rsidRPr="00A06354">
        <w:rPr>
          <w:rFonts w:asciiTheme="minorEastAsia" w:hAnsiTheme="minorEastAsia" w:cs="仿宋_GB2312" w:hint="eastAsia"/>
          <w:kern w:val="0"/>
          <w:sz w:val="24"/>
          <w:szCs w:val="24"/>
        </w:rPr>
        <w:t>月</w:t>
      </w:r>
      <w:r w:rsidR="002C30AD">
        <w:rPr>
          <w:rFonts w:asciiTheme="minorEastAsia" w:hAnsiTheme="minorEastAsia" w:cs="仿宋_GB2312"/>
          <w:kern w:val="0"/>
          <w:sz w:val="24"/>
          <w:szCs w:val="24"/>
        </w:rPr>
        <w:t>22</w:t>
      </w:r>
      <w:r w:rsidR="0058028A" w:rsidRPr="00A06354">
        <w:rPr>
          <w:rFonts w:asciiTheme="minorEastAsia" w:hAnsiTheme="minorEastAsia" w:cs="仿宋_GB2312" w:hint="eastAsia"/>
          <w:kern w:val="0"/>
          <w:sz w:val="24"/>
          <w:szCs w:val="24"/>
        </w:rPr>
        <w:t>日</w:t>
      </w:r>
    </w:p>
    <w:sectPr w:rsidR="00B44356" w:rsidRPr="00A06354">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D0568" w14:textId="77777777" w:rsidR="00BE494A" w:rsidRDefault="00BE494A">
      <w:r>
        <w:separator/>
      </w:r>
    </w:p>
  </w:endnote>
  <w:endnote w:type="continuationSeparator" w:id="0">
    <w:p w14:paraId="29B79DD3" w14:textId="77777777" w:rsidR="00BE494A" w:rsidRDefault="00B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4708606"/>
      <w:docPartObj>
        <w:docPartGallery w:val="Page Numbers (Bottom of Page)"/>
        <w:docPartUnique/>
      </w:docPartObj>
    </w:sdtPr>
    <w:sdtContent>
      <w:sdt>
        <w:sdtPr>
          <w:id w:val="-1705238520"/>
          <w:docPartObj>
            <w:docPartGallery w:val="Page Numbers (Top of Page)"/>
            <w:docPartUnique/>
          </w:docPartObj>
        </w:sdtPr>
        <w:sdtContent>
          <w:p w14:paraId="79929CBA" w14:textId="5ACB1518" w:rsidR="005E6731" w:rsidRDefault="005E6731" w:rsidP="005E6731">
            <w:pPr>
              <w:pStyle w:val="a7"/>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5B16D4AD" w14:textId="77777777" w:rsidR="00420E9A" w:rsidRDefault="00420E9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A1D57" w14:textId="77777777" w:rsidR="00BE494A" w:rsidRDefault="00BE494A">
      <w:r>
        <w:separator/>
      </w:r>
    </w:p>
  </w:footnote>
  <w:footnote w:type="continuationSeparator" w:id="0">
    <w:p w14:paraId="08181180" w14:textId="77777777" w:rsidR="00BE494A" w:rsidRDefault="00BE4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15B51" w14:textId="77777777" w:rsidR="00420E9A" w:rsidRDefault="00420E9A">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257E3"/>
    <w:multiLevelType w:val="hybridMultilevel"/>
    <w:tmpl w:val="E7402996"/>
    <w:lvl w:ilvl="0" w:tplc="8C2255EE">
      <w:start w:val="1"/>
      <w:numFmt w:val="japaneseCounting"/>
      <w:lvlText w:val="（%1）"/>
      <w:lvlJc w:val="left"/>
      <w:pPr>
        <w:ind w:left="1275" w:hanging="85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56E1235B"/>
    <w:multiLevelType w:val="singleLevel"/>
    <w:tmpl w:val="56E1235B"/>
    <w:lvl w:ilvl="0">
      <w:start w:val="1"/>
      <w:numFmt w:val="decimal"/>
      <w:suff w:val="nothing"/>
      <w:lvlText w:val="%1）"/>
      <w:lvlJc w:val="left"/>
    </w:lvl>
  </w:abstractNum>
  <w:abstractNum w:abstractNumId="2" w15:restartNumberingAfterBreak="0">
    <w:nsid w:val="56E125DA"/>
    <w:multiLevelType w:val="singleLevel"/>
    <w:tmpl w:val="56E125DA"/>
    <w:lvl w:ilvl="0">
      <w:start w:val="2"/>
      <w:numFmt w:val="decimal"/>
      <w:suff w:val="nothing"/>
      <w:lvlText w:val="%1）"/>
      <w:lvlJc w:val="left"/>
    </w:lvl>
  </w:abstractNum>
  <w:abstractNum w:abstractNumId="3" w15:restartNumberingAfterBreak="0">
    <w:nsid w:val="56E12635"/>
    <w:multiLevelType w:val="singleLevel"/>
    <w:tmpl w:val="56E12635"/>
    <w:lvl w:ilvl="0">
      <w:start w:val="1"/>
      <w:numFmt w:val="decimal"/>
      <w:suff w:val="nothing"/>
      <w:lvlText w:val="%1）"/>
      <w:lvlJc w:val="left"/>
    </w:lvl>
  </w:abstractNum>
  <w:abstractNum w:abstractNumId="4" w15:restartNumberingAfterBreak="0">
    <w:nsid w:val="56E129B9"/>
    <w:multiLevelType w:val="singleLevel"/>
    <w:tmpl w:val="56E129B9"/>
    <w:lvl w:ilvl="0">
      <w:start w:val="1"/>
      <w:numFmt w:val="decimal"/>
      <w:suff w:val="nothing"/>
      <w:lvlText w:val="%1）"/>
      <w:lvlJc w:val="left"/>
    </w:lvl>
  </w:abstractNum>
  <w:abstractNum w:abstractNumId="5" w15:restartNumberingAfterBreak="0">
    <w:nsid w:val="56E12A48"/>
    <w:multiLevelType w:val="singleLevel"/>
    <w:tmpl w:val="56E12A48"/>
    <w:lvl w:ilvl="0">
      <w:start w:val="11"/>
      <w:numFmt w:val="decimal"/>
      <w:suff w:val="nothing"/>
      <w:lvlText w:val="%1）"/>
      <w:lvlJc w:val="left"/>
    </w:lvl>
  </w:abstractNum>
  <w:num w:numId="1" w16cid:durableId="828251527">
    <w:abstractNumId w:val="1"/>
  </w:num>
  <w:num w:numId="2" w16cid:durableId="1713923603">
    <w:abstractNumId w:val="2"/>
  </w:num>
  <w:num w:numId="3" w16cid:durableId="1846355835">
    <w:abstractNumId w:val="3"/>
  </w:num>
  <w:num w:numId="4" w16cid:durableId="1542551801">
    <w:abstractNumId w:val="4"/>
  </w:num>
  <w:num w:numId="5" w16cid:durableId="407459441">
    <w:abstractNumId w:val="5"/>
  </w:num>
  <w:num w:numId="6" w16cid:durableId="1998410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1B5"/>
    <w:rsid w:val="00000522"/>
    <w:rsid w:val="00001E13"/>
    <w:rsid w:val="00005423"/>
    <w:rsid w:val="00005600"/>
    <w:rsid w:val="0000642B"/>
    <w:rsid w:val="0000665D"/>
    <w:rsid w:val="00007F2D"/>
    <w:rsid w:val="0001013C"/>
    <w:rsid w:val="00010769"/>
    <w:rsid w:val="00010994"/>
    <w:rsid w:val="000109A2"/>
    <w:rsid w:val="00011C93"/>
    <w:rsid w:val="00011ED3"/>
    <w:rsid w:val="00012BFF"/>
    <w:rsid w:val="00013275"/>
    <w:rsid w:val="00014443"/>
    <w:rsid w:val="00014D17"/>
    <w:rsid w:val="00015128"/>
    <w:rsid w:val="00016D21"/>
    <w:rsid w:val="00016E63"/>
    <w:rsid w:val="00021BF0"/>
    <w:rsid w:val="0002200B"/>
    <w:rsid w:val="00022A6C"/>
    <w:rsid w:val="00022BDD"/>
    <w:rsid w:val="0002390C"/>
    <w:rsid w:val="00024969"/>
    <w:rsid w:val="00025051"/>
    <w:rsid w:val="0002561F"/>
    <w:rsid w:val="000263FB"/>
    <w:rsid w:val="00026693"/>
    <w:rsid w:val="000266E1"/>
    <w:rsid w:val="00030183"/>
    <w:rsid w:val="0003147D"/>
    <w:rsid w:val="00031487"/>
    <w:rsid w:val="00031A4E"/>
    <w:rsid w:val="00031A62"/>
    <w:rsid w:val="00031ECC"/>
    <w:rsid w:val="00032206"/>
    <w:rsid w:val="000324B8"/>
    <w:rsid w:val="000324DF"/>
    <w:rsid w:val="00032832"/>
    <w:rsid w:val="000330C5"/>
    <w:rsid w:val="000343F3"/>
    <w:rsid w:val="00034911"/>
    <w:rsid w:val="00035318"/>
    <w:rsid w:val="00035B0B"/>
    <w:rsid w:val="000368D8"/>
    <w:rsid w:val="00036912"/>
    <w:rsid w:val="00041645"/>
    <w:rsid w:val="000417F7"/>
    <w:rsid w:val="000419BA"/>
    <w:rsid w:val="000429A3"/>
    <w:rsid w:val="00043EE3"/>
    <w:rsid w:val="00044608"/>
    <w:rsid w:val="00044F45"/>
    <w:rsid w:val="00045079"/>
    <w:rsid w:val="00045673"/>
    <w:rsid w:val="00047B4E"/>
    <w:rsid w:val="000503E5"/>
    <w:rsid w:val="00050B78"/>
    <w:rsid w:val="00050C6A"/>
    <w:rsid w:val="00050C85"/>
    <w:rsid w:val="000513F9"/>
    <w:rsid w:val="00051612"/>
    <w:rsid w:val="000524B9"/>
    <w:rsid w:val="00052571"/>
    <w:rsid w:val="00052677"/>
    <w:rsid w:val="00053870"/>
    <w:rsid w:val="00053E9D"/>
    <w:rsid w:val="0005410E"/>
    <w:rsid w:val="0005427E"/>
    <w:rsid w:val="00055B4B"/>
    <w:rsid w:val="0005706C"/>
    <w:rsid w:val="00060D50"/>
    <w:rsid w:val="00063546"/>
    <w:rsid w:val="00063557"/>
    <w:rsid w:val="00064568"/>
    <w:rsid w:val="00064E22"/>
    <w:rsid w:val="000661BB"/>
    <w:rsid w:val="00066CCD"/>
    <w:rsid w:val="0006710D"/>
    <w:rsid w:val="000675C9"/>
    <w:rsid w:val="00067828"/>
    <w:rsid w:val="00067E93"/>
    <w:rsid w:val="00067FC9"/>
    <w:rsid w:val="00070E2A"/>
    <w:rsid w:val="00072D07"/>
    <w:rsid w:val="00072D8D"/>
    <w:rsid w:val="00073B8A"/>
    <w:rsid w:val="00073C88"/>
    <w:rsid w:val="00073FAA"/>
    <w:rsid w:val="00073FF0"/>
    <w:rsid w:val="0007467E"/>
    <w:rsid w:val="000750EF"/>
    <w:rsid w:val="000751C2"/>
    <w:rsid w:val="000752D4"/>
    <w:rsid w:val="00075776"/>
    <w:rsid w:val="00076212"/>
    <w:rsid w:val="00076415"/>
    <w:rsid w:val="000768DB"/>
    <w:rsid w:val="00076FE9"/>
    <w:rsid w:val="00077015"/>
    <w:rsid w:val="0007771D"/>
    <w:rsid w:val="00077AC4"/>
    <w:rsid w:val="00077B86"/>
    <w:rsid w:val="000806E0"/>
    <w:rsid w:val="0008224B"/>
    <w:rsid w:val="000833D9"/>
    <w:rsid w:val="00083DE7"/>
    <w:rsid w:val="00084A75"/>
    <w:rsid w:val="0008500D"/>
    <w:rsid w:val="00085097"/>
    <w:rsid w:val="0008572E"/>
    <w:rsid w:val="00086585"/>
    <w:rsid w:val="00087CFA"/>
    <w:rsid w:val="0009022E"/>
    <w:rsid w:val="00090CEE"/>
    <w:rsid w:val="00091306"/>
    <w:rsid w:val="00091891"/>
    <w:rsid w:val="00093F30"/>
    <w:rsid w:val="00094CAD"/>
    <w:rsid w:val="000955B1"/>
    <w:rsid w:val="000961A6"/>
    <w:rsid w:val="0009625C"/>
    <w:rsid w:val="00096568"/>
    <w:rsid w:val="00096C05"/>
    <w:rsid w:val="0009717C"/>
    <w:rsid w:val="000971AC"/>
    <w:rsid w:val="000972F0"/>
    <w:rsid w:val="00097475"/>
    <w:rsid w:val="00097619"/>
    <w:rsid w:val="000A18BC"/>
    <w:rsid w:val="000A191B"/>
    <w:rsid w:val="000A2392"/>
    <w:rsid w:val="000A2C6B"/>
    <w:rsid w:val="000A41B8"/>
    <w:rsid w:val="000A41F5"/>
    <w:rsid w:val="000A4C40"/>
    <w:rsid w:val="000A4DED"/>
    <w:rsid w:val="000A6266"/>
    <w:rsid w:val="000A6CE2"/>
    <w:rsid w:val="000A7700"/>
    <w:rsid w:val="000B0823"/>
    <w:rsid w:val="000B0BF2"/>
    <w:rsid w:val="000B0E0D"/>
    <w:rsid w:val="000B2CE8"/>
    <w:rsid w:val="000B3DAB"/>
    <w:rsid w:val="000B3EA7"/>
    <w:rsid w:val="000B3EE6"/>
    <w:rsid w:val="000B6840"/>
    <w:rsid w:val="000B6A77"/>
    <w:rsid w:val="000B6D79"/>
    <w:rsid w:val="000B6EBE"/>
    <w:rsid w:val="000B6F47"/>
    <w:rsid w:val="000B7317"/>
    <w:rsid w:val="000C033E"/>
    <w:rsid w:val="000C0A8E"/>
    <w:rsid w:val="000C157E"/>
    <w:rsid w:val="000C1D08"/>
    <w:rsid w:val="000C1F69"/>
    <w:rsid w:val="000C289B"/>
    <w:rsid w:val="000C29A8"/>
    <w:rsid w:val="000C36C8"/>
    <w:rsid w:val="000C419C"/>
    <w:rsid w:val="000C62A3"/>
    <w:rsid w:val="000C6EAE"/>
    <w:rsid w:val="000C6F0B"/>
    <w:rsid w:val="000D0420"/>
    <w:rsid w:val="000D060E"/>
    <w:rsid w:val="000D06B7"/>
    <w:rsid w:val="000D10E8"/>
    <w:rsid w:val="000D1170"/>
    <w:rsid w:val="000D1355"/>
    <w:rsid w:val="000D1890"/>
    <w:rsid w:val="000D204D"/>
    <w:rsid w:val="000D2117"/>
    <w:rsid w:val="000D2292"/>
    <w:rsid w:val="000D236F"/>
    <w:rsid w:val="000D2606"/>
    <w:rsid w:val="000D2861"/>
    <w:rsid w:val="000D3A61"/>
    <w:rsid w:val="000D59E1"/>
    <w:rsid w:val="000D6292"/>
    <w:rsid w:val="000D6814"/>
    <w:rsid w:val="000E05F4"/>
    <w:rsid w:val="000E26FA"/>
    <w:rsid w:val="000E2A30"/>
    <w:rsid w:val="000E4A28"/>
    <w:rsid w:val="000E5ADA"/>
    <w:rsid w:val="000E652F"/>
    <w:rsid w:val="000E6CBF"/>
    <w:rsid w:val="000F004E"/>
    <w:rsid w:val="000F0BE4"/>
    <w:rsid w:val="000F1AD1"/>
    <w:rsid w:val="000F1FB0"/>
    <w:rsid w:val="000F2E76"/>
    <w:rsid w:val="000F3136"/>
    <w:rsid w:val="000F3F5C"/>
    <w:rsid w:val="000F48DB"/>
    <w:rsid w:val="000F4942"/>
    <w:rsid w:val="000F607C"/>
    <w:rsid w:val="000F680A"/>
    <w:rsid w:val="000F69CE"/>
    <w:rsid w:val="000F6B18"/>
    <w:rsid w:val="000F7171"/>
    <w:rsid w:val="000F7CC7"/>
    <w:rsid w:val="000F7DAC"/>
    <w:rsid w:val="0010015A"/>
    <w:rsid w:val="00100262"/>
    <w:rsid w:val="0010063E"/>
    <w:rsid w:val="00100654"/>
    <w:rsid w:val="0010077D"/>
    <w:rsid w:val="001009D9"/>
    <w:rsid w:val="00100ED0"/>
    <w:rsid w:val="001016B9"/>
    <w:rsid w:val="00101AD4"/>
    <w:rsid w:val="00101B69"/>
    <w:rsid w:val="00101E04"/>
    <w:rsid w:val="00103172"/>
    <w:rsid w:val="00105730"/>
    <w:rsid w:val="00105E0F"/>
    <w:rsid w:val="00105FEA"/>
    <w:rsid w:val="00106BE2"/>
    <w:rsid w:val="00107E96"/>
    <w:rsid w:val="001126E2"/>
    <w:rsid w:val="00112B79"/>
    <w:rsid w:val="00113762"/>
    <w:rsid w:val="001146B6"/>
    <w:rsid w:val="00115422"/>
    <w:rsid w:val="00116723"/>
    <w:rsid w:val="001173D7"/>
    <w:rsid w:val="00121D22"/>
    <w:rsid w:val="0012264F"/>
    <w:rsid w:val="00122BFE"/>
    <w:rsid w:val="00124436"/>
    <w:rsid w:val="001244DE"/>
    <w:rsid w:val="00124E04"/>
    <w:rsid w:val="001257FB"/>
    <w:rsid w:val="00125AAC"/>
    <w:rsid w:val="00125ADC"/>
    <w:rsid w:val="00126444"/>
    <w:rsid w:val="00126EDA"/>
    <w:rsid w:val="001276A7"/>
    <w:rsid w:val="001305DF"/>
    <w:rsid w:val="00130860"/>
    <w:rsid w:val="00131EAA"/>
    <w:rsid w:val="00132661"/>
    <w:rsid w:val="001327DF"/>
    <w:rsid w:val="00132EC6"/>
    <w:rsid w:val="00133360"/>
    <w:rsid w:val="00133B08"/>
    <w:rsid w:val="0013417D"/>
    <w:rsid w:val="00134874"/>
    <w:rsid w:val="0013512E"/>
    <w:rsid w:val="001359AE"/>
    <w:rsid w:val="00135BF7"/>
    <w:rsid w:val="00136F12"/>
    <w:rsid w:val="00136F4C"/>
    <w:rsid w:val="00137D6B"/>
    <w:rsid w:val="00140587"/>
    <w:rsid w:val="00140B90"/>
    <w:rsid w:val="001425AB"/>
    <w:rsid w:val="00142C99"/>
    <w:rsid w:val="001446E3"/>
    <w:rsid w:val="00145563"/>
    <w:rsid w:val="0014646B"/>
    <w:rsid w:val="00146D17"/>
    <w:rsid w:val="00150353"/>
    <w:rsid w:val="00151C75"/>
    <w:rsid w:val="00152890"/>
    <w:rsid w:val="00152B4D"/>
    <w:rsid w:val="00153475"/>
    <w:rsid w:val="00153B5F"/>
    <w:rsid w:val="00153F4D"/>
    <w:rsid w:val="00155157"/>
    <w:rsid w:val="00156228"/>
    <w:rsid w:val="00157D6D"/>
    <w:rsid w:val="0016047C"/>
    <w:rsid w:val="00161298"/>
    <w:rsid w:val="001617D0"/>
    <w:rsid w:val="00162088"/>
    <w:rsid w:val="00162B03"/>
    <w:rsid w:val="0016348B"/>
    <w:rsid w:val="00163ECE"/>
    <w:rsid w:val="001653A0"/>
    <w:rsid w:val="0016644E"/>
    <w:rsid w:val="00167248"/>
    <w:rsid w:val="00167F38"/>
    <w:rsid w:val="001708E2"/>
    <w:rsid w:val="00170966"/>
    <w:rsid w:val="001710C2"/>
    <w:rsid w:val="00171AE5"/>
    <w:rsid w:val="00171E6D"/>
    <w:rsid w:val="001738CD"/>
    <w:rsid w:val="00174673"/>
    <w:rsid w:val="00174EBD"/>
    <w:rsid w:val="00175920"/>
    <w:rsid w:val="00175E6E"/>
    <w:rsid w:val="001767D7"/>
    <w:rsid w:val="00176848"/>
    <w:rsid w:val="00177105"/>
    <w:rsid w:val="00177C69"/>
    <w:rsid w:val="00177D8D"/>
    <w:rsid w:val="00180793"/>
    <w:rsid w:val="0018081A"/>
    <w:rsid w:val="00180DD7"/>
    <w:rsid w:val="00181F5D"/>
    <w:rsid w:val="00182883"/>
    <w:rsid w:val="00183719"/>
    <w:rsid w:val="00183E1D"/>
    <w:rsid w:val="00183EB2"/>
    <w:rsid w:val="0018409D"/>
    <w:rsid w:val="001841AA"/>
    <w:rsid w:val="00184281"/>
    <w:rsid w:val="00184F81"/>
    <w:rsid w:val="001857F1"/>
    <w:rsid w:val="00185E80"/>
    <w:rsid w:val="00190241"/>
    <w:rsid w:val="0019054F"/>
    <w:rsid w:val="00190A71"/>
    <w:rsid w:val="00191260"/>
    <w:rsid w:val="00193A55"/>
    <w:rsid w:val="00194134"/>
    <w:rsid w:val="00194462"/>
    <w:rsid w:val="001949C5"/>
    <w:rsid w:val="00194BFA"/>
    <w:rsid w:val="0019595A"/>
    <w:rsid w:val="00195CCF"/>
    <w:rsid w:val="00196491"/>
    <w:rsid w:val="00196D07"/>
    <w:rsid w:val="00197058"/>
    <w:rsid w:val="001972BF"/>
    <w:rsid w:val="00197589"/>
    <w:rsid w:val="00197B3D"/>
    <w:rsid w:val="001A013E"/>
    <w:rsid w:val="001A0875"/>
    <w:rsid w:val="001A0A61"/>
    <w:rsid w:val="001A0EAD"/>
    <w:rsid w:val="001A2E92"/>
    <w:rsid w:val="001A359A"/>
    <w:rsid w:val="001A419A"/>
    <w:rsid w:val="001A508D"/>
    <w:rsid w:val="001A5BB3"/>
    <w:rsid w:val="001A60E5"/>
    <w:rsid w:val="001A61F5"/>
    <w:rsid w:val="001A628B"/>
    <w:rsid w:val="001A69A0"/>
    <w:rsid w:val="001A6FFD"/>
    <w:rsid w:val="001A7478"/>
    <w:rsid w:val="001A74BA"/>
    <w:rsid w:val="001A7B33"/>
    <w:rsid w:val="001B0222"/>
    <w:rsid w:val="001B0C4D"/>
    <w:rsid w:val="001B0C79"/>
    <w:rsid w:val="001B0EF4"/>
    <w:rsid w:val="001B14A1"/>
    <w:rsid w:val="001B171D"/>
    <w:rsid w:val="001B17C4"/>
    <w:rsid w:val="001B1FC1"/>
    <w:rsid w:val="001B220F"/>
    <w:rsid w:val="001B3096"/>
    <w:rsid w:val="001B3234"/>
    <w:rsid w:val="001B3C60"/>
    <w:rsid w:val="001B4DFB"/>
    <w:rsid w:val="001B54BD"/>
    <w:rsid w:val="001B54EB"/>
    <w:rsid w:val="001B694F"/>
    <w:rsid w:val="001B6A5B"/>
    <w:rsid w:val="001B7693"/>
    <w:rsid w:val="001B7D4E"/>
    <w:rsid w:val="001C037B"/>
    <w:rsid w:val="001C04E9"/>
    <w:rsid w:val="001C0D8E"/>
    <w:rsid w:val="001C13D6"/>
    <w:rsid w:val="001C1DCB"/>
    <w:rsid w:val="001C2036"/>
    <w:rsid w:val="001C2B05"/>
    <w:rsid w:val="001C3F6F"/>
    <w:rsid w:val="001C472B"/>
    <w:rsid w:val="001C57B0"/>
    <w:rsid w:val="001C5AC6"/>
    <w:rsid w:val="001C5B06"/>
    <w:rsid w:val="001C5D47"/>
    <w:rsid w:val="001C5EF8"/>
    <w:rsid w:val="001C7785"/>
    <w:rsid w:val="001C7D70"/>
    <w:rsid w:val="001C7F4D"/>
    <w:rsid w:val="001D0315"/>
    <w:rsid w:val="001D080D"/>
    <w:rsid w:val="001D0DA9"/>
    <w:rsid w:val="001D16C7"/>
    <w:rsid w:val="001D2CA9"/>
    <w:rsid w:val="001D2E79"/>
    <w:rsid w:val="001D34CC"/>
    <w:rsid w:val="001D377E"/>
    <w:rsid w:val="001D40A1"/>
    <w:rsid w:val="001D47C3"/>
    <w:rsid w:val="001D5BD5"/>
    <w:rsid w:val="001D5EAC"/>
    <w:rsid w:val="001D60F2"/>
    <w:rsid w:val="001D67B2"/>
    <w:rsid w:val="001D6E27"/>
    <w:rsid w:val="001E01ED"/>
    <w:rsid w:val="001E138E"/>
    <w:rsid w:val="001E1A4E"/>
    <w:rsid w:val="001E1CA6"/>
    <w:rsid w:val="001E2474"/>
    <w:rsid w:val="001E2735"/>
    <w:rsid w:val="001E3432"/>
    <w:rsid w:val="001E3843"/>
    <w:rsid w:val="001E45C9"/>
    <w:rsid w:val="001E4649"/>
    <w:rsid w:val="001E4BDA"/>
    <w:rsid w:val="001E62AD"/>
    <w:rsid w:val="001E684B"/>
    <w:rsid w:val="001E6A11"/>
    <w:rsid w:val="001E737D"/>
    <w:rsid w:val="001E73EE"/>
    <w:rsid w:val="001E7E94"/>
    <w:rsid w:val="001F0B04"/>
    <w:rsid w:val="001F2569"/>
    <w:rsid w:val="001F2C0D"/>
    <w:rsid w:val="001F348F"/>
    <w:rsid w:val="001F3613"/>
    <w:rsid w:val="001F3A36"/>
    <w:rsid w:val="001F424C"/>
    <w:rsid w:val="001F543C"/>
    <w:rsid w:val="001F5FEB"/>
    <w:rsid w:val="001F65DF"/>
    <w:rsid w:val="001F7D9B"/>
    <w:rsid w:val="00200174"/>
    <w:rsid w:val="00200236"/>
    <w:rsid w:val="00200381"/>
    <w:rsid w:val="00201FEC"/>
    <w:rsid w:val="00202E34"/>
    <w:rsid w:val="002033AD"/>
    <w:rsid w:val="002053AF"/>
    <w:rsid w:val="0020666C"/>
    <w:rsid w:val="00207260"/>
    <w:rsid w:val="00207622"/>
    <w:rsid w:val="00211464"/>
    <w:rsid w:val="002115E2"/>
    <w:rsid w:val="002116A0"/>
    <w:rsid w:val="00211A76"/>
    <w:rsid w:val="002123DD"/>
    <w:rsid w:val="0021294A"/>
    <w:rsid w:val="00212D35"/>
    <w:rsid w:val="002139E6"/>
    <w:rsid w:val="00213E85"/>
    <w:rsid w:val="00213F4D"/>
    <w:rsid w:val="002142DA"/>
    <w:rsid w:val="002143D4"/>
    <w:rsid w:val="002161E9"/>
    <w:rsid w:val="00217172"/>
    <w:rsid w:val="00217746"/>
    <w:rsid w:val="00217C10"/>
    <w:rsid w:val="002204C2"/>
    <w:rsid w:val="00221ABA"/>
    <w:rsid w:val="0022200E"/>
    <w:rsid w:val="002224CE"/>
    <w:rsid w:val="00222703"/>
    <w:rsid w:val="002228C9"/>
    <w:rsid w:val="00223249"/>
    <w:rsid w:val="0022478A"/>
    <w:rsid w:val="00224EA3"/>
    <w:rsid w:val="002252B9"/>
    <w:rsid w:val="0022609B"/>
    <w:rsid w:val="002269AB"/>
    <w:rsid w:val="002279CA"/>
    <w:rsid w:val="00227A25"/>
    <w:rsid w:val="00227A5F"/>
    <w:rsid w:val="00227BB4"/>
    <w:rsid w:val="0023076E"/>
    <w:rsid w:val="00230A8A"/>
    <w:rsid w:val="002321A3"/>
    <w:rsid w:val="002321E6"/>
    <w:rsid w:val="00232DBC"/>
    <w:rsid w:val="002338E6"/>
    <w:rsid w:val="002346D7"/>
    <w:rsid w:val="002353A3"/>
    <w:rsid w:val="002356B6"/>
    <w:rsid w:val="00235931"/>
    <w:rsid w:val="00235BC2"/>
    <w:rsid w:val="0023623B"/>
    <w:rsid w:val="0023662D"/>
    <w:rsid w:val="0023707A"/>
    <w:rsid w:val="00237087"/>
    <w:rsid w:val="0023710C"/>
    <w:rsid w:val="00237322"/>
    <w:rsid w:val="0023734D"/>
    <w:rsid w:val="0023741A"/>
    <w:rsid w:val="00237C6C"/>
    <w:rsid w:val="002409A4"/>
    <w:rsid w:val="00240C4F"/>
    <w:rsid w:val="002416DD"/>
    <w:rsid w:val="00241774"/>
    <w:rsid w:val="0024194B"/>
    <w:rsid w:val="002419F2"/>
    <w:rsid w:val="00242340"/>
    <w:rsid w:val="00242487"/>
    <w:rsid w:val="00242780"/>
    <w:rsid w:val="00243A40"/>
    <w:rsid w:val="002454DA"/>
    <w:rsid w:val="00245642"/>
    <w:rsid w:val="0024580E"/>
    <w:rsid w:val="00246985"/>
    <w:rsid w:val="00246B3B"/>
    <w:rsid w:val="00246F33"/>
    <w:rsid w:val="0024799D"/>
    <w:rsid w:val="00247EDB"/>
    <w:rsid w:val="00250021"/>
    <w:rsid w:val="002502F2"/>
    <w:rsid w:val="00250400"/>
    <w:rsid w:val="00250656"/>
    <w:rsid w:val="00251E61"/>
    <w:rsid w:val="00252811"/>
    <w:rsid w:val="0025368F"/>
    <w:rsid w:val="002540C9"/>
    <w:rsid w:val="002542C6"/>
    <w:rsid w:val="00254768"/>
    <w:rsid w:val="00255E56"/>
    <w:rsid w:val="00256146"/>
    <w:rsid w:val="0025666B"/>
    <w:rsid w:val="0025742F"/>
    <w:rsid w:val="002574F4"/>
    <w:rsid w:val="00257616"/>
    <w:rsid w:val="0026074C"/>
    <w:rsid w:val="00260A7D"/>
    <w:rsid w:val="002623DA"/>
    <w:rsid w:val="002623EA"/>
    <w:rsid w:val="00262E9E"/>
    <w:rsid w:val="0026387D"/>
    <w:rsid w:val="00264253"/>
    <w:rsid w:val="00264977"/>
    <w:rsid w:val="00264B1A"/>
    <w:rsid w:val="00265DE4"/>
    <w:rsid w:val="00266F2E"/>
    <w:rsid w:val="00267515"/>
    <w:rsid w:val="002677FA"/>
    <w:rsid w:val="0026793D"/>
    <w:rsid w:val="00267C61"/>
    <w:rsid w:val="00267FC2"/>
    <w:rsid w:val="002703B2"/>
    <w:rsid w:val="002709DC"/>
    <w:rsid w:val="00271264"/>
    <w:rsid w:val="00272117"/>
    <w:rsid w:val="00272515"/>
    <w:rsid w:val="00272EC6"/>
    <w:rsid w:val="00273464"/>
    <w:rsid w:val="00273834"/>
    <w:rsid w:val="00274086"/>
    <w:rsid w:val="002740D9"/>
    <w:rsid w:val="0027427A"/>
    <w:rsid w:val="00274FDD"/>
    <w:rsid w:val="00275D1F"/>
    <w:rsid w:val="00276618"/>
    <w:rsid w:val="00276FC5"/>
    <w:rsid w:val="00277349"/>
    <w:rsid w:val="00277CA7"/>
    <w:rsid w:val="00280397"/>
    <w:rsid w:val="002833A2"/>
    <w:rsid w:val="00283576"/>
    <w:rsid w:val="00283C7E"/>
    <w:rsid w:val="00283DB3"/>
    <w:rsid w:val="0028427A"/>
    <w:rsid w:val="002850E9"/>
    <w:rsid w:val="00285473"/>
    <w:rsid w:val="002865FF"/>
    <w:rsid w:val="00287334"/>
    <w:rsid w:val="0028783D"/>
    <w:rsid w:val="00287A2F"/>
    <w:rsid w:val="00287BE3"/>
    <w:rsid w:val="00287F05"/>
    <w:rsid w:val="00290452"/>
    <w:rsid w:val="00290EB2"/>
    <w:rsid w:val="00291E7F"/>
    <w:rsid w:val="00292493"/>
    <w:rsid w:val="00293ECB"/>
    <w:rsid w:val="00294467"/>
    <w:rsid w:val="002949AF"/>
    <w:rsid w:val="00295343"/>
    <w:rsid w:val="002955A4"/>
    <w:rsid w:val="002979EB"/>
    <w:rsid w:val="002A02F6"/>
    <w:rsid w:val="002A0B2C"/>
    <w:rsid w:val="002A14E1"/>
    <w:rsid w:val="002A167F"/>
    <w:rsid w:val="002A2098"/>
    <w:rsid w:val="002A32AC"/>
    <w:rsid w:val="002A3377"/>
    <w:rsid w:val="002A37F7"/>
    <w:rsid w:val="002A3829"/>
    <w:rsid w:val="002A456E"/>
    <w:rsid w:val="002A4AF9"/>
    <w:rsid w:val="002A4B26"/>
    <w:rsid w:val="002A5753"/>
    <w:rsid w:val="002A6AF7"/>
    <w:rsid w:val="002A6E6A"/>
    <w:rsid w:val="002A77FE"/>
    <w:rsid w:val="002A7F38"/>
    <w:rsid w:val="002B04EA"/>
    <w:rsid w:val="002B0713"/>
    <w:rsid w:val="002B0CD1"/>
    <w:rsid w:val="002B1129"/>
    <w:rsid w:val="002B139A"/>
    <w:rsid w:val="002B176F"/>
    <w:rsid w:val="002B250F"/>
    <w:rsid w:val="002B2F6A"/>
    <w:rsid w:val="002B3D08"/>
    <w:rsid w:val="002B4FFE"/>
    <w:rsid w:val="002B510F"/>
    <w:rsid w:val="002B5807"/>
    <w:rsid w:val="002B5B3E"/>
    <w:rsid w:val="002B5D3E"/>
    <w:rsid w:val="002B6C5F"/>
    <w:rsid w:val="002B6FB1"/>
    <w:rsid w:val="002B7F83"/>
    <w:rsid w:val="002C04FA"/>
    <w:rsid w:val="002C1249"/>
    <w:rsid w:val="002C1F87"/>
    <w:rsid w:val="002C2651"/>
    <w:rsid w:val="002C2738"/>
    <w:rsid w:val="002C29FA"/>
    <w:rsid w:val="002C2A3A"/>
    <w:rsid w:val="002C30AD"/>
    <w:rsid w:val="002C3AFD"/>
    <w:rsid w:val="002C4334"/>
    <w:rsid w:val="002C4806"/>
    <w:rsid w:val="002C531E"/>
    <w:rsid w:val="002C5BA9"/>
    <w:rsid w:val="002C62FB"/>
    <w:rsid w:val="002C647A"/>
    <w:rsid w:val="002C67CC"/>
    <w:rsid w:val="002C6AB8"/>
    <w:rsid w:val="002C7A0D"/>
    <w:rsid w:val="002D0DA1"/>
    <w:rsid w:val="002D1B14"/>
    <w:rsid w:val="002D371A"/>
    <w:rsid w:val="002D3AEF"/>
    <w:rsid w:val="002D4413"/>
    <w:rsid w:val="002D62AD"/>
    <w:rsid w:val="002D6ADB"/>
    <w:rsid w:val="002D6E0C"/>
    <w:rsid w:val="002D7FC4"/>
    <w:rsid w:val="002E0386"/>
    <w:rsid w:val="002E0B4E"/>
    <w:rsid w:val="002E0C67"/>
    <w:rsid w:val="002E0CF8"/>
    <w:rsid w:val="002E0DD4"/>
    <w:rsid w:val="002E0F97"/>
    <w:rsid w:val="002E1409"/>
    <w:rsid w:val="002E1780"/>
    <w:rsid w:val="002E19BE"/>
    <w:rsid w:val="002E2576"/>
    <w:rsid w:val="002E3026"/>
    <w:rsid w:val="002E3241"/>
    <w:rsid w:val="002E3ECA"/>
    <w:rsid w:val="002E40C2"/>
    <w:rsid w:val="002E45E5"/>
    <w:rsid w:val="002E5771"/>
    <w:rsid w:val="002E5CEB"/>
    <w:rsid w:val="002E5FBA"/>
    <w:rsid w:val="002E66EF"/>
    <w:rsid w:val="002F06A4"/>
    <w:rsid w:val="002F1843"/>
    <w:rsid w:val="002F1D8B"/>
    <w:rsid w:val="002F22EA"/>
    <w:rsid w:val="002F23D6"/>
    <w:rsid w:val="002F2600"/>
    <w:rsid w:val="002F265E"/>
    <w:rsid w:val="002F4EAB"/>
    <w:rsid w:val="002F4EBE"/>
    <w:rsid w:val="002F607C"/>
    <w:rsid w:val="002F61E0"/>
    <w:rsid w:val="002F64D5"/>
    <w:rsid w:val="002F69A6"/>
    <w:rsid w:val="002F706A"/>
    <w:rsid w:val="002F7BC7"/>
    <w:rsid w:val="002F7D1E"/>
    <w:rsid w:val="00301639"/>
    <w:rsid w:val="00301962"/>
    <w:rsid w:val="00301F29"/>
    <w:rsid w:val="00302177"/>
    <w:rsid w:val="0030445A"/>
    <w:rsid w:val="00304980"/>
    <w:rsid w:val="00305595"/>
    <w:rsid w:val="003058C1"/>
    <w:rsid w:val="00305E3F"/>
    <w:rsid w:val="00306448"/>
    <w:rsid w:val="003075AA"/>
    <w:rsid w:val="003078B8"/>
    <w:rsid w:val="00307E2A"/>
    <w:rsid w:val="00311054"/>
    <w:rsid w:val="0031107C"/>
    <w:rsid w:val="00311762"/>
    <w:rsid w:val="00312184"/>
    <w:rsid w:val="003139C9"/>
    <w:rsid w:val="00313B99"/>
    <w:rsid w:val="00313E4D"/>
    <w:rsid w:val="003142A7"/>
    <w:rsid w:val="0031437B"/>
    <w:rsid w:val="00314706"/>
    <w:rsid w:val="003156A2"/>
    <w:rsid w:val="003169BC"/>
    <w:rsid w:val="003179FB"/>
    <w:rsid w:val="00320A32"/>
    <w:rsid w:val="003213D7"/>
    <w:rsid w:val="00322072"/>
    <w:rsid w:val="00322B5C"/>
    <w:rsid w:val="00322CA1"/>
    <w:rsid w:val="00323946"/>
    <w:rsid w:val="00324025"/>
    <w:rsid w:val="00325A13"/>
    <w:rsid w:val="00326381"/>
    <w:rsid w:val="0032744E"/>
    <w:rsid w:val="00327D6E"/>
    <w:rsid w:val="003305BD"/>
    <w:rsid w:val="00330E20"/>
    <w:rsid w:val="003314AA"/>
    <w:rsid w:val="003317DF"/>
    <w:rsid w:val="00333B61"/>
    <w:rsid w:val="00333CA5"/>
    <w:rsid w:val="00334611"/>
    <w:rsid w:val="00335034"/>
    <w:rsid w:val="00335F78"/>
    <w:rsid w:val="00336255"/>
    <w:rsid w:val="00337376"/>
    <w:rsid w:val="00337670"/>
    <w:rsid w:val="003378B0"/>
    <w:rsid w:val="00337BB0"/>
    <w:rsid w:val="0034015C"/>
    <w:rsid w:val="0034144B"/>
    <w:rsid w:val="00341E5E"/>
    <w:rsid w:val="00343640"/>
    <w:rsid w:val="00343884"/>
    <w:rsid w:val="00343A9B"/>
    <w:rsid w:val="003451EB"/>
    <w:rsid w:val="00345E0F"/>
    <w:rsid w:val="003461C9"/>
    <w:rsid w:val="00346F62"/>
    <w:rsid w:val="00347EC6"/>
    <w:rsid w:val="003503DA"/>
    <w:rsid w:val="00350589"/>
    <w:rsid w:val="0035121A"/>
    <w:rsid w:val="00351931"/>
    <w:rsid w:val="00351EA4"/>
    <w:rsid w:val="003528E7"/>
    <w:rsid w:val="00353E74"/>
    <w:rsid w:val="00353EB0"/>
    <w:rsid w:val="003547A7"/>
    <w:rsid w:val="003551F8"/>
    <w:rsid w:val="00355676"/>
    <w:rsid w:val="00356E9A"/>
    <w:rsid w:val="00357082"/>
    <w:rsid w:val="00357545"/>
    <w:rsid w:val="00357913"/>
    <w:rsid w:val="00357FBC"/>
    <w:rsid w:val="003603A4"/>
    <w:rsid w:val="00361CC7"/>
    <w:rsid w:val="00362063"/>
    <w:rsid w:val="00362F84"/>
    <w:rsid w:val="00363252"/>
    <w:rsid w:val="00364243"/>
    <w:rsid w:val="003644B1"/>
    <w:rsid w:val="0036567E"/>
    <w:rsid w:val="0036570E"/>
    <w:rsid w:val="00365A6D"/>
    <w:rsid w:val="00365C8F"/>
    <w:rsid w:val="00365FA4"/>
    <w:rsid w:val="003661B0"/>
    <w:rsid w:val="0036649E"/>
    <w:rsid w:val="00370791"/>
    <w:rsid w:val="00371CE9"/>
    <w:rsid w:val="00372918"/>
    <w:rsid w:val="00372BAA"/>
    <w:rsid w:val="003734B6"/>
    <w:rsid w:val="0037359C"/>
    <w:rsid w:val="00373755"/>
    <w:rsid w:val="003744E0"/>
    <w:rsid w:val="00374625"/>
    <w:rsid w:val="00375045"/>
    <w:rsid w:val="00375FB0"/>
    <w:rsid w:val="0037618C"/>
    <w:rsid w:val="00377121"/>
    <w:rsid w:val="00377161"/>
    <w:rsid w:val="00377463"/>
    <w:rsid w:val="0037779C"/>
    <w:rsid w:val="00377EB1"/>
    <w:rsid w:val="00381244"/>
    <w:rsid w:val="0038170A"/>
    <w:rsid w:val="003827FF"/>
    <w:rsid w:val="00383300"/>
    <w:rsid w:val="0038337D"/>
    <w:rsid w:val="003836C0"/>
    <w:rsid w:val="00383C3D"/>
    <w:rsid w:val="0038533B"/>
    <w:rsid w:val="003860FB"/>
    <w:rsid w:val="00386497"/>
    <w:rsid w:val="0038686F"/>
    <w:rsid w:val="00387ACE"/>
    <w:rsid w:val="00387ECA"/>
    <w:rsid w:val="003914EC"/>
    <w:rsid w:val="00391EBD"/>
    <w:rsid w:val="00392502"/>
    <w:rsid w:val="00393130"/>
    <w:rsid w:val="00393252"/>
    <w:rsid w:val="00393640"/>
    <w:rsid w:val="00393E0A"/>
    <w:rsid w:val="00394F06"/>
    <w:rsid w:val="00395AFC"/>
    <w:rsid w:val="00395F1C"/>
    <w:rsid w:val="00396301"/>
    <w:rsid w:val="00396991"/>
    <w:rsid w:val="00397FB4"/>
    <w:rsid w:val="003A0279"/>
    <w:rsid w:val="003A14CF"/>
    <w:rsid w:val="003A1552"/>
    <w:rsid w:val="003A272E"/>
    <w:rsid w:val="003A2E8B"/>
    <w:rsid w:val="003A2EE7"/>
    <w:rsid w:val="003A308E"/>
    <w:rsid w:val="003A31B2"/>
    <w:rsid w:val="003A4326"/>
    <w:rsid w:val="003A4348"/>
    <w:rsid w:val="003A4444"/>
    <w:rsid w:val="003A4F18"/>
    <w:rsid w:val="003A50C2"/>
    <w:rsid w:val="003A67B4"/>
    <w:rsid w:val="003A72B9"/>
    <w:rsid w:val="003A7F55"/>
    <w:rsid w:val="003B063A"/>
    <w:rsid w:val="003B209C"/>
    <w:rsid w:val="003B3ABC"/>
    <w:rsid w:val="003B4149"/>
    <w:rsid w:val="003B4AEE"/>
    <w:rsid w:val="003B4EF3"/>
    <w:rsid w:val="003B5C27"/>
    <w:rsid w:val="003B5D9D"/>
    <w:rsid w:val="003B5F71"/>
    <w:rsid w:val="003B6342"/>
    <w:rsid w:val="003B637D"/>
    <w:rsid w:val="003B72FA"/>
    <w:rsid w:val="003C01D7"/>
    <w:rsid w:val="003C19AE"/>
    <w:rsid w:val="003C2347"/>
    <w:rsid w:val="003C2A5F"/>
    <w:rsid w:val="003C2AEB"/>
    <w:rsid w:val="003C5969"/>
    <w:rsid w:val="003C6278"/>
    <w:rsid w:val="003C62A3"/>
    <w:rsid w:val="003C6576"/>
    <w:rsid w:val="003C6CE3"/>
    <w:rsid w:val="003C7960"/>
    <w:rsid w:val="003D01BB"/>
    <w:rsid w:val="003D0837"/>
    <w:rsid w:val="003D0C40"/>
    <w:rsid w:val="003D13E2"/>
    <w:rsid w:val="003D1482"/>
    <w:rsid w:val="003D187B"/>
    <w:rsid w:val="003D2012"/>
    <w:rsid w:val="003D20E6"/>
    <w:rsid w:val="003D2BF5"/>
    <w:rsid w:val="003D37AB"/>
    <w:rsid w:val="003D3F10"/>
    <w:rsid w:val="003D4134"/>
    <w:rsid w:val="003D434C"/>
    <w:rsid w:val="003D4D52"/>
    <w:rsid w:val="003D5825"/>
    <w:rsid w:val="003D7615"/>
    <w:rsid w:val="003D799E"/>
    <w:rsid w:val="003E00DC"/>
    <w:rsid w:val="003E09FF"/>
    <w:rsid w:val="003E0D57"/>
    <w:rsid w:val="003E10D3"/>
    <w:rsid w:val="003E1C27"/>
    <w:rsid w:val="003E299F"/>
    <w:rsid w:val="003E29E1"/>
    <w:rsid w:val="003E29F7"/>
    <w:rsid w:val="003E2FED"/>
    <w:rsid w:val="003E3466"/>
    <w:rsid w:val="003E379C"/>
    <w:rsid w:val="003E518E"/>
    <w:rsid w:val="003E59FC"/>
    <w:rsid w:val="003E5FD5"/>
    <w:rsid w:val="003E6200"/>
    <w:rsid w:val="003E6206"/>
    <w:rsid w:val="003E6F0C"/>
    <w:rsid w:val="003E6F40"/>
    <w:rsid w:val="003F04B6"/>
    <w:rsid w:val="003F0BC9"/>
    <w:rsid w:val="003F17B9"/>
    <w:rsid w:val="003F2A0B"/>
    <w:rsid w:val="003F30E3"/>
    <w:rsid w:val="003F32A8"/>
    <w:rsid w:val="003F3599"/>
    <w:rsid w:val="003F3953"/>
    <w:rsid w:val="003F4D1A"/>
    <w:rsid w:val="003F51CD"/>
    <w:rsid w:val="003F55B4"/>
    <w:rsid w:val="003F5A5F"/>
    <w:rsid w:val="003F6B08"/>
    <w:rsid w:val="003F6C2B"/>
    <w:rsid w:val="003F7258"/>
    <w:rsid w:val="003F7FEF"/>
    <w:rsid w:val="00402048"/>
    <w:rsid w:val="00402847"/>
    <w:rsid w:val="00402B7B"/>
    <w:rsid w:val="00402DF5"/>
    <w:rsid w:val="004042DC"/>
    <w:rsid w:val="00404CD8"/>
    <w:rsid w:val="00405F8C"/>
    <w:rsid w:val="00406211"/>
    <w:rsid w:val="00406621"/>
    <w:rsid w:val="00406B04"/>
    <w:rsid w:val="004102D5"/>
    <w:rsid w:val="004107E2"/>
    <w:rsid w:val="00411261"/>
    <w:rsid w:val="004114CD"/>
    <w:rsid w:val="00411511"/>
    <w:rsid w:val="00411BE9"/>
    <w:rsid w:val="00411E4E"/>
    <w:rsid w:val="00411E9A"/>
    <w:rsid w:val="0041262F"/>
    <w:rsid w:val="00412974"/>
    <w:rsid w:val="00412AFB"/>
    <w:rsid w:val="00412B0D"/>
    <w:rsid w:val="00412D96"/>
    <w:rsid w:val="00412E2E"/>
    <w:rsid w:val="00413780"/>
    <w:rsid w:val="004139E1"/>
    <w:rsid w:val="00413D96"/>
    <w:rsid w:val="00414763"/>
    <w:rsid w:val="00414F5C"/>
    <w:rsid w:val="00416370"/>
    <w:rsid w:val="0042035A"/>
    <w:rsid w:val="00420427"/>
    <w:rsid w:val="0042042A"/>
    <w:rsid w:val="00420624"/>
    <w:rsid w:val="00420E9A"/>
    <w:rsid w:val="00421A01"/>
    <w:rsid w:val="00422CB7"/>
    <w:rsid w:val="00422DBA"/>
    <w:rsid w:val="004233BB"/>
    <w:rsid w:val="00423B9B"/>
    <w:rsid w:val="00423E79"/>
    <w:rsid w:val="0042550A"/>
    <w:rsid w:val="00426722"/>
    <w:rsid w:val="00426B03"/>
    <w:rsid w:val="0042702E"/>
    <w:rsid w:val="00427510"/>
    <w:rsid w:val="00427660"/>
    <w:rsid w:val="004306A3"/>
    <w:rsid w:val="00432863"/>
    <w:rsid w:val="00435710"/>
    <w:rsid w:val="004368AC"/>
    <w:rsid w:val="004369B6"/>
    <w:rsid w:val="00436FB7"/>
    <w:rsid w:val="00440561"/>
    <w:rsid w:val="00440B2E"/>
    <w:rsid w:val="0044104E"/>
    <w:rsid w:val="00442995"/>
    <w:rsid w:val="00442E74"/>
    <w:rsid w:val="00443DDF"/>
    <w:rsid w:val="00444B5B"/>
    <w:rsid w:val="004452C3"/>
    <w:rsid w:val="00445A98"/>
    <w:rsid w:val="00445DC4"/>
    <w:rsid w:val="004469DB"/>
    <w:rsid w:val="00446E56"/>
    <w:rsid w:val="00447A35"/>
    <w:rsid w:val="00447DEE"/>
    <w:rsid w:val="004503F5"/>
    <w:rsid w:val="004508B1"/>
    <w:rsid w:val="00450901"/>
    <w:rsid w:val="00450B1B"/>
    <w:rsid w:val="00451261"/>
    <w:rsid w:val="00452089"/>
    <w:rsid w:val="0045373B"/>
    <w:rsid w:val="00454853"/>
    <w:rsid w:val="00454E13"/>
    <w:rsid w:val="00455A88"/>
    <w:rsid w:val="00460739"/>
    <w:rsid w:val="00461552"/>
    <w:rsid w:val="004619B8"/>
    <w:rsid w:val="00463720"/>
    <w:rsid w:val="004637AA"/>
    <w:rsid w:val="00463BA9"/>
    <w:rsid w:val="00463D07"/>
    <w:rsid w:val="004645ED"/>
    <w:rsid w:val="00465501"/>
    <w:rsid w:val="00465941"/>
    <w:rsid w:val="004659BE"/>
    <w:rsid w:val="00465EBA"/>
    <w:rsid w:val="0046637B"/>
    <w:rsid w:val="004664A4"/>
    <w:rsid w:val="0046673E"/>
    <w:rsid w:val="004675B6"/>
    <w:rsid w:val="004678C6"/>
    <w:rsid w:val="004721AA"/>
    <w:rsid w:val="0047246B"/>
    <w:rsid w:val="00474973"/>
    <w:rsid w:val="00475251"/>
    <w:rsid w:val="004758CE"/>
    <w:rsid w:val="00476365"/>
    <w:rsid w:val="0047672D"/>
    <w:rsid w:val="00476B7A"/>
    <w:rsid w:val="00477AA5"/>
    <w:rsid w:val="00477D37"/>
    <w:rsid w:val="004805EB"/>
    <w:rsid w:val="00480D9F"/>
    <w:rsid w:val="00481016"/>
    <w:rsid w:val="00481DFC"/>
    <w:rsid w:val="0048293E"/>
    <w:rsid w:val="00482E67"/>
    <w:rsid w:val="004830B9"/>
    <w:rsid w:val="004830EA"/>
    <w:rsid w:val="0048310D"/>
    <w:rsid w:val="0048329E"/>
    <w:rsid w:val="004832AE"/>
    <w:rsid w:val="004835CE"/>
    <w:rsid w:val="004846F3"/>
    <w:rsid w:val="00485507"/>
    <w:rsid w:val="00485629"/>
    <w:rsid w:val="004857D0"/>
    <w:rsid w:val="00486C0C"/>
    <w:rsid w:val="00487C3A"/>
    <w:rsid w:val="00487C63"/>
    <w:rsid w:val="0049102C"/>
    <w:rsid w:val="004911D6"/>
    <w:rsid w:val="0049173A"/>
    <w:rsid w:val="004923E0"/>
    <w:rsid w:val="004926F8"/>
    <w:rsid w:val="00492A72"/>
    <w:rsid w:val="00493230"/>
    <w:rsid w:val="00493C9F"/>
    <w:rsid w:val="00493F46"/>
    <w:rsid w:val="00494321"/>
    <w:rsid w:val="00494368"/>
    <w:rsid w:val="004948AB"/>
    <w:rsid w:val="00494B47"/>
    <w:rsid w:val="0049504D"/>
    <w:rsid w:val="004963D0"/>
    <w:rsid w:val="00496A32"/>
    <w:rsid w:val="00496DF4"/>
    <w:rsid w:val="0049703A"/>
    <w:rsid w:val="00497173"/>
    <w:rsid w:val="00497FF5"/>
    <w:rsid w:val="004A1031"/>
    <w:rsid w:val="004A1F28"/>
    <w:rsid w:val="004A2CDA"/>
    <w:rsid w:val="004A34F4"/>
    <w:rsid w:val="004A37BA"/>
    <w:rsid w:val="004A385C"/>
    <w:rsid w:val="004A41F3"/>
    <w:rsid w:val="004A44D4"/>
    <w:rsid w:val="004A6D5D"/>
    <w:rsid w:val="004A6F3B"/>
    <w:rsid w:val="004A7456"/>
    <w:rsid w:val="004A7E3F"/>
    <w:rsid w:val="004B05A3"/>
    <w:rsid w:val="004B0B19"/>
    <w:rsid w:val="004B19A4"/>
    <w:rsid w:val="004B1EE3"/>
    <w:rsid w:val="004B26AB"/>
    <w:rsid w:val="004B473D"/>
    <w:rsid w:val="004B489D"/>
    <w:rsid w:val="004B6DE1"/>
    <w:rsid w:val="004B7440"/>
    <w:rsid w:val="004B74CE"/>
    <w:rsid w:val="004C09B6"/>
    <w:rsid w:val="004C22C8"/>
    <w:rsid w:val="004C31F1"/>
    <w:rsid w:val="004C37B9"/>
    <w:rsid w:val="004C3ACC"/>
    <w:rsid w:val="004C3C57"/>
    <w:rsid w:val="004C436B"/>
    <w:rsid w:val="004C4AC5"/>
    <w:rsid w:val="004C4B5B"/>
    <w:rsid w:val="004C5828"/>
    <w:rsid w:val="004C5878"/>
    <w:rsid w:val="004C6F69"/>
    <w:rsid w:val="004C7745"/>
    <w:rsid w:val="004C78F4"/>
    <w:rsid w:val="004C7CFC"/>
    <w:rsid w:val="004D0DD9"/>
    <w:rsid w:val="004D139A"/>
    <w:rsid w:val="004D1E56"/>
    <w:rsid w:val="004D2149"/>
    <w:rsid w:val="004D32DF"/>
    <w:rsid w:val="004D3F78"/>
    <w:rsid w:val="004D4940"/>
    <w:rsid w:val="004D4A66"/>
    <w:rsid w:val="004D512C"/>
    <w:rsid w:val="004D5E9E"/>
    <w:rsid w:val="004D6062"/>
    <w:rsid w:val="004D6E2C"/>
    <w:rsid w:val="004D78FA"/>
    <w:rsid w:val="004E0475"/>
    <w:rsid w:val="004E09CC"/>
    <w:rsid w:val="004E1960"/>
    <w:rsid w:val="004E1A9D"/>
    <w:rsid w:val="004E1D82"/>
    <w:rsid w:val="004E228B"/>
    <w:rsid w:val="004E266B"/>
    <w:rsid w:val="004E2CA9"/>
    <w:rsid w:val="004E43DA"/>
    <w:rsid w:val="004E4A67"/>
    <w:rsid w:val="004E4C03"/>
    <w:rsid w:val="004E4E98"/>
    <w:rsid w:val="004E72D7"/>
    <w:rsid w:val="004F0E8A"/>
    <w:rsid w:val="004F14A2"/>
    <w:rsid w:val="004F14B0"/>
    <w:rsid w:val="004F2460"/>
    <w:rsid w:val="004F380C"/>
    <w:rsid w:val="004F3E56"/>
    <w:rsid w:val="004F48D9"/>
    <w:rsid w:val="004F4F67"/>
    <w:rsid w:val="004F51AA"/>
    <w:rsid w:val="004F5421"/>
    <w:rsid w:val="004F61AC"/>
    <w:rsid w:val="004F7033"/>
    <w:rsid w:val="005000D5"/>
    <w:rsid w:val="0050033D"/>
    <w:rsid w:val="0050172F"/>
    <w:rsid w:val="005019BF"/>
    <w:rsid w:val="00501FBD"/>
    <w:rsid w:val="00502168"/>
    <w:rsid w:val="0050271F"/>
    <w:rsid w:val="00502DE7"/>
    <w:rsid w:val="00502FC2"/>
    <w:rsid w:val="0050332F"/>
    <w:rsid w:val="00504A6A"/>
    <w:rsid w:val="00504A78"/>
    <w:rsid w:val="0050550B"/>
    <w:rsid w:val="00506280"/>
    <w:rsid w:val="00507425"/>
    <w:rsid w:val="00507757"/>
    <w:rsid w:val="0050798E"/>
    <w:rsid w:val="00507ED0"/>
    <w:rsid w:val="00507F13"/>
    <w:rsid w:val="005101E5"/>
    <w:rsid w:val="00511738"/>
    <w:rsid w:val="00512383"/>
    <w:rsid w:val="005127BB"/>
    <w:rsid w:val="00512E87"/>
    <w:rsid w:val="0051316C"/>
    <w:rsid w:val="005147E4"/>
    <w:rsid w:val="00514996"/>
    <w:rsid w:val="00514B87"/>
    <w:rsid w:val="00514D42"/>
    <w:rsid w:val="00514DDD"/>
    <w:rsid w:val="005154DB"/>
    <w:rsid w:val="00515673"/>
    <w:rsid w:val="00515A71"/>
    <w:rsid w:val="00515A87"/>
    <w:rsid w:val="00515AAA"/>
    <w:rsid w:val="00515E6A"/>
    <w:rsid w:val="0051616F"/>
    <w:rsid w:val="005162B0"/>
    <w:rsid w:val="0051640D"/>
    <w:rsid w:val="005165AA"/>
    <w:rsid w:val="00516806"/>
    <w:rsid w:val="00516CCD"/>
    <w:rsid w:val="0051734C"/>
    <w:rsid w:val="00517E38"/>
    <w:rsid w:val="005207E6"/>
    <w:rsid w:val="00521424"/>
    <w:rsid w:val="00521C0D"/>
    <w:rsid w:val="00522D32"/>
    <w:rsid w:val="00522F3F"/>
    <w:rsid w:val="005232C4"/>
    <w:rsid w:val="0052332C"/>
    <w:rsid w:val="005235B8"/>
    <w:rsid w:val="0052404A"/>
    <w:rsid w:val="0052488C"/>
    <w:rsid w:val="00526000"/>
    <w:rsid w:val="00526CD9"/>
    <w:rsid w:val="00531851"/>
    <w:rsid w:val="00531CC8"/>
    <w:rsid w:val="00532983"/>
    <w:rsid w:val="00532BF4"/>
    <w:rsid w:val="005334D8"/>
    <w:rsid w:val="00534A66"/>
    <w:rsid w:val="005352D1"/>
    <w:rsid w:val="00535941"/>
    <w:rsid w:val="00535B24"/>
    <w:rsid w:val="00535C89"/>
    <w:rsid w:val="00536D4A"/>
    <w:rsid w:val="005371BF"/>
    <w:rsid w:val="005373D9"/>
    <w:rsid w:val="00540262"/>
    <w:rsid w:val="0054107D"/>
    <w:rsid w:val="00541E7D"/>
    <w:rsid w:val="00541F68"/>
    <w:rsid w:val="00542774"/>
    <w:rsid w:val="005432B0"/>
    <w:rsid w:val="0054408B"/>
    <w:rsid w:val="00544B09"/>
    <w:rsid w:val="00544FC4"/>
    <w:rsid w:val="00545041"/>
    <w:rsid w:val="005452D9"/>
    <w:rsid w:val="00546658"/>
    <w:rsid w:val="00546678"/>
    <w:rsid w:val="00546AD6"/>
    <w:rsid w:val="005474D9"/>
    <w:rsid w:val="00547A52"/>
    <w:rsid w:val="005504FA"/>
    <w:rsid w:val="00550710"/>
    <w:rsid w:val="005508C5"/>
    <w:rsid w:val="005514EF"/>
    <w:rsid w:val="005514F1"/>
    <w:rsid w:val="005515A6"/>
    <w:rsid w:val="00551E9D"/>
    <w:rsid w:val="00552007"/>
    <w:rsid w:val="00553AB0"/>
    <w:rsid w:val="005542F9"/>
    <w:rsid w:val="005545F1"/>
    <w:rsid w:val="0055503E"/>
    <w:rsid w:val="00555463"/>
    <w:rsid w:val="005557F3"/>
    <w:rsid w:val="005562CC"/>
    <w:rsid w:val="00556983"/>
    <w:rsid w:val="00556FB8"/>
    <w:rsid w:val="00557669"/>
    <w:rsid w:val="005604B0"/>
    <w:rsid w:val="00561059"/>
    <w:rsid w:val="0056122C"/>
    <w:rsid w:val="00561493"/>
    <w:rsid w:val="005619C5"/>
    <w:rsid w:val="00561E77"/>
    <w:rsid w:val="005629C0"/>
    <w:rsid w:val="00562D45"/>
    <w:rsid w:val="005631EF"/>
    <w:rsid w:val="005632E3"/>
    <w:rsid w:val="005635F6"/>
    <w:rsid w:val="005642E4"/>
    <w:rsid w:val="00565514"/>
    <w:rsid w:val="00565AB8"/>
    <w:rsid w:val="00565DD7"/>
    <w:rsid w:val="00570DFB"/>
    <w:rsid w:val="00571FC3"/>
    <w:rsid w:val="0057243A"/>
    <w:rsid w:val="00572612"/>
    <w:rsid w:val="00572E90"/>
    <w:rsid w:val="00572F50"/>
    <w:rsid w:val="00572FDE"/>
    <w:rsid w:val="0057363C"/>
    <w:rsid w:val="005736C5"/>
    <w:rsid w:val="00573F4D"/>
    <w:rsid w:val="0057447F"/>
    <w:rsid w:val="00574CED"/>
    <w:rsid w:val="005755FB"/>
    <w:rsid w:val="00575D17"/>
    <w:rsid w:val="00575DC7"/>
    <w:rsid w:val="005769D2"/>
    <w:rsid w:val="00576F1A"/>
    <w:rsid w:val="00577295"/>
    <w:rsid w:val="005773CD"/>
    <w:rsid w:val="00580265"/>
    <w:rsid w:val="0058028A"/>
    <w:rsid w:val="00580EEE"/>
    <w:rsid w:val="00581188"/>
    <w:rsid w:val="00581AB3"/>
    <w:rsid w:val="00581C7C"/>
    <w:rsid w:val="0058216E"/>
    <w:rsid w:val="005826F8"/>
    <w:rsid w:val="0058364E"/>
    <w:rsid w:val="00583D74"/>
    <w:rsid w:val="00584C22"/>
    <w:rsid w:val="005863B1"/>
    <w:rsid w:val="00587032"/>
    <w:rsid w:val="005879C8"/>
    <w:rsid w:val="00587BCA"/>
    <w:rsid w:val="00590123"/>
    <w:rsid w:val="00590750"/>
    <w:rsid w:val="005910D6"/>
    <w:rsid w:val="005910FA"/>
    <w:rsid w:val="00591432"/>
    <w:rsid w:val="00592253"/>
    <w:rsid w:val="00592652"/>
    <w:rsid w:val="00592E60"/>
    <w:rsid w:val="005942C6"/>
    <w:rsid w:val="00594676"/>
    <w:rsid w:val="00595228"/>
    <w:rsid w:val="00596804"/>
    <w:rsid w:val="00596C74"/>
    <w:rsid w:val="005A1490"/>
    <w:rsid w:val="005A14E8"/>
    <w:rsid w:val="005A2287"/>
    <w:rsid w:val="005A4425"/>
    <w:rsid w:val="005A5A74"/>
    <w:rsid w:val="005A5E29"/>
    <w:rsid w:val="005A607B"/>
    <w:rsid w:val="005A6557"/>
    <w:rsid w:val="005A6AB3"/>
    <w:rsid w:val="005A6D7F"/>
    <w:rsid w:val="005A7B74"/>
    <w:rsid w:val="005B0F33"/>
    <w:rsid w:val="005B10EA"/>
    <w:rsid w:val="005B1D14"/>
    <w:rsid w:val="005B36D6"/>
    <w:rsid w:val="005B380D"/>
    <w:rsid w:val="005B42AF"/>
    <w:rsid w:val="005B4417"/>
    <w:rsid w:val="005B47F3"/>
    <w:rsid w:val="005B4DB2"/>
    <w:rsid w:val="005B5141"/>
    <w:rsid w:val="005B5420"/>
    <w:rsid w:val="005B773B"/>
    <w:rsid w:val="005C0EB4"/>
    <w:rsid w:val="005C14A9"/>
    <w:rsid w:val="005C35AA"/>
    <w:rsid w:val="005C37AA"/>
    <w:rsid w:val="005C48D9"/>
    <w:rsid w:val="005C4C4B"/>
    <w:rsid w:val="005C5F95"/>
    <w:rsid w:val="005C62C9"/>
    <w:rsid w:val="005C632B"/>
    <w:rsid w:val="005C644B"/>
    <w:rsid w:val="005C679F"/>
    <w:rsid w:val="005C7165"/>
    <w:rsid w:val="005C7698"/>
    <w:rsid w:val="005C78B9"/>
    <w:rsid w:val="005D147A"/>
    <w:rsid w:val="005D16FB"/>
    <w:rsid w:val="005D298E"/>
    <w:rsid w:val="005D2FA1"/>
    <w:rsid w:val="005D3180"/>
    <w:rsid w:val="005D3331"/>
    <w:rsid w:val="005D33D7"/>
    <w:rsid w:val="005D38B0"/>
    <w:rsid w:val="005D3ABB"/>
    <w:rsid w:val="005D41B3"/>
    <w:rsid w:val="005D4622"/>
    <w:rsid w:val="005D48B3"/>
    <w:rsid w:val="005D53DE"/>
    <w:rsid w:val="005D5624"/>
    <w:rsid w:val="005D5DFF"/>
    <w:rsid w:val="005D628D"/>
    <w:rsid w:val="005D6779"/>
    <w:rsid w:val="005D700F"/>
    <w:rsid w:val="005D7326"/>
    <w:rsid w:val="005D7513"/>
    <w:rsid w:val="005E1AAB"/>
    <w:rsid w:val="005E1F30"/>
    <w:rsid w:val="005E25C1"/>
    <w:rsid w:val="005E269E"/>
    <w:rsid w:val="005E30A8"/>
    <w:rsid w:val="005E5804"/>
    <w:rsid w:val="005E623E"/>
    <w:rsid w:val="005E6731"/>
    <w:rsid w:val="005E70A7"/>
    <w:rsid w:val="005E77C5"/>
    <w:rsid w:val="005E79F0"/>
    <w:rsid w:val="005E7B11"/>
    <w:rsid w:val="005F127F"/>
    <w:rsid w:val="005F197A"/>
    <w:rsid w:val="005F19D5"/>
    <w:rsid w:val="005F205C"/>
    <w:rsid w:val="005F3539"/>
    <w:rsid w:val="005F3E05"/>
    <w:rsid w:val="005F40F8"/>
    <w:rsid w:val="005F67BC"/>
    <w:rsid w:val="0060087D"/>
    <w:rsid w:val="006011C4"/>
    <w:rsid w:val="00602625"/>
    <w:rsid w:val="00603C4F"/>
    <w:rsid w:val="00604766"/>
    <w:rsid w:val="00605468"/>
    <w:rsid w:val="006059B8"/>
    <w:rsid w:val="00605E4C"/>
    <w:rsid w:val="0060696C"/>
    <w:rsid w:val="0060799D"/>
    <w:rsid w:val="00607E84"/>
    <w:rsid w:val="006101B2"/>
    <w:rsid w:val="00611540"/>
    <w:rsid w:val="00611B11"/>
    <w:rsid w:val="00612ED1"/>
    <w:rsid w:val="00612FA3"/>
    <w:rsid w:val="006130D0"/>
    <w:rsid w:val="006136C4"/>
    <w:rsid w:val="00613C33"/>
    <w:rsid w:val="00613E86"/>
    <w:rsid w:val="00614D08"/>
    <w:rsid w:val="00615344"/>
    <w:rsid w:val="006157E7"/>
    <w:rsid w:val="006159BA"/>
    <w:rsid w:val="00620885"/>
    <w:rsid w:val="006209F5"/>
    <w:rsid w:val="00620F2B"/>
    <w:rsid w:val="006217D7"/>
    <w:rsid w:val="006219D7"/>
    <w:rsid w:val="0062257F"/>
    <w:rsid w:val="00623B66"/>
    <w:rsid w:val="00624070"/>
    <w:rsid w:val="00625458"/>
    <w:rsid w:val="00626085"/>
    <w:rsid w:val="00627216"/>
    <w:rsid w:val="00627ECB"/>
    <w:rsid w:val="00631EA8"/>
    <w:rsid w:val="00632254"/>
    <w:rsid w:val="00632EAB"/>
    <w:rsid w:val="0063307E"/>
    <w:rsid w:val="00633657"/>
    <w:rsid w:val="0063390B"/>
    <w:rsid w:val="00633F33"/>
    <w:rsid w:val="00635246"/>
    <w:rsid w:val="00635850"/>
    <w:rsid w:val="00635C86"/>
    <w:rsid w:val="006368E7"/>
    <w:rsid w:val="00637C3C"/>
    <w:rsid w:val="00642133"/>
    <w:rsid w:val="0064261E"/>
    <w:rsid w:val="0064299F"/>
    <w:rsid w:val="006431DD"/>
    <w:rsid w:val="0064339B"/>
    <w:rsid w:val="0064342A"/>
    <w:rsid w:val="006434C1"/>
    <w:rsid w:val="00643E4E"/>
    <w:rsid w:val="0064464E"/>
    <w:rsid w:val="00644E6F"/>
    <w:rsid w:val="00644E89"/>
    <w:rsid w:val="00645DED"/>
    <w:rsid w:val="00646A98"/>
    <w:rsid w:val="00646E12"/>
    <w:rsid w:val="006479BC"/>
    <w:rsid w:val="00650641"/>
    <w:rsid w:val="00650AF3"/>
    <w:rsid w:val="00651081"/>
    <w:rsid w:val="00651AB2"/>
    <w:rsid w:val="00651DD3"/>
    <w:rsid w:val="00651E66"/>
    <w:rsid w:val="00653769"/>
    <w:rsid w:val="00653A2A"/>
    <w:rsid w:val="0065511F"/>
    <w:rsid w:val="0065735B"/>
    <w:rsid w:val="00661363"/>
    <w:rsid w:val="00663AEB"/>
    <w:rsid w:val="00663C25"/>
    <w:rsid w:val="00663C32"/>
    <w:rsid w:val="00663E36"/>
    <w:rsid w:val="006642AA"/>
    <w:rsid w:val="00664657"/>
    <w:rsid w:val="006653CF"/>
    <w:rsid w:val="006704D4"/>
    <w:rsid w:val="006708C6"/>
    <w:rsid w:val="00670F86"/>
    <w:rsid w:val="0067147F"/>
    <w:rsid w:val="0067156C"/>
    <w:rsid w:val="00672A88"/>
    <w:rsid w:val="00672FC4"/>
    <w:rsid w:val="006745E2"/>
    <w:rsid w:val="00675693"/>
    <w:rsid w:val="006771B6"/>
    <w:rsid w:val="0067724A"/>
    <w:rsid w:val="0067727E"/>
    <w:rsid w:val="006775F5"/>
    <w:rsid w:val="00680248"/>
    <w:rsid w:val="006803ED"/>
    <w:rsid w:val="006809B8"/>
    <w:rsid w:val="006809E4"/>
    <w:rsid w:val="00680CCB"/>
    <w:rsid w:val="00682473"/>
    <w:rsid w:val="00682F43"/>
    <w:rsid w:val="00683E0B"/>
    <w:rsid w:val="00683E91"/>
    <w:rsid w:val="006840BD"/>
    <w:rsid w:val="00685696"/>
    <w:rsid w:val="00685CC3"/>
    <w:rsid w:val="00685EF0"/>
    <w:rsid w:val="006868B4"/>
    <w:rsid w:val="00686E80"/>
    <w:rsid w:val="00687882"/>
    <w:rsid w:val="00687A63"/>
    <w:rsid w:val="00690749"/>
    <w:rsid w:val="006919AC"/>
    <w:rsid w:val="006925A6"/>
    <w:rsid w:val="006926BE"/>
    <w:rsid w:val="0069274E"/>
    <w:rsid w:val="0069279B"/>
    <w:rsid w:val="00694217"/>
    <w:rsid w:val="00694B82"/>
    <w:rsid w:val="00694DF0"/>
    <w:rsid w:val="006956E5"/>
    <w:rsid w:val="00696385"/>
    <w:rsid w:val="00697966"/>
    <w:rsid w:val="006A054E"/>
    <w:rsid w:val="006A111A"/>
    <w:rsid w:val="006A17BC"/>
    <w:rsid w:val="006A1FC4"/>
    <w:rsid w:val="006A2C74"/>
    <w:rsid w:val="006A3C82"/>
    <w:rsid w:val="006A43A6"/>
    <w:rsid w:val="006A4DCA"/>
    <w:rsid w:val="006A4F1C"/>
    <w:rsid w:val="006A52C7"/>
    <w:rsid w:val="006A53CC"/>
    <w:rsid w:val="006A640E"/>
    <w:rsid w:val="006A7435"/>
    <w:rsid w:val="006A745B"/>
    <w:rsid w:val="006B14A6"/>
    <w:rsid w:val="006B2B6C"/>
    <w:rsid w:val="006B2ED2"/>
    <w:rsid w:val="006B2F13"/>
    <w:rsid w:val="006B2F6E"/>
    <w:rsid w:val="006B34A0"/>
    <w:rsid w:val="006B3CDD"/>
    <w:rsid w:val="006B4975"/>
    <w:rsid w:val="006B54BD"/>
    <w:rsid w:val="006B59CE"/>
    <w:rsid w:val="006B59F4"/>
    <w:rsid w:val="006B7088"/>
    <w:rsid w:val="006B7946"/>
    <w:rsid w:val="006B7DC2"/>
    <w:rsid w:val="006C0728"/>
    <w:rsid w:val="006C120D"/>
    <w:rsid w:val="006C2E28"/>
    <w:rsid w:val="006C374C"/>
    <w:rsid w:val="006C3A7E"/>
    <w:rsid w:val="006C3B26"/>
    <w:rsid w:val="006C3C98"/>
    <w:rsid w:val="006C3F51"/>
    <w:rsid w:val="006C48C7"/>
    <w:rsid w:val="006C4DC9"/>
    <w:rsid w:val="006C5A8C"/>
    <w:rsid w:val="006C672F"/>
    <w:rsid w:val="006C6A5F"/>
    <w:rsid w:val="006C6C6A"/>
    <w:rsid w:val="006C7235"/>
    <w:rsid w:val="006C7B0F"/>
    <w:rsid w:val="006C7D75"/>
    <w:rsid w:val="006D0AED"/>
    <w:rsid w:val="006D18CD"/>
    <w:rsid w:val="006D1FF1"/>
    <w:rsid w:val="006D22EA"/>
    <w:rsid w:val="006D2387"/>
    <w:rsid w:val="006D2742"/>
    <w:rsid w:val="006D33DB"/>
    <w:rsid w:val="006D396C"/>
    <w:rsid w:val="006D4EE0"/>
    <w:rsid w:val="006D4F21"/>
    <w:rsid w:val="006D5A4E"/>
    <w:rsid w:val="006D5CC2"/>
    <w:rsid w:val="006D60E2"/>
    <w:rsid w:val="006D67C1"/>
    <w:rsid w:val="006D692C"/>
    <w:rsid w:val="006D6A08"/>
    <w:rsid w:val="006D7121"/>
    <w:rsid w:val="006E07B3"/>
    <w:rsid w:val="006E1842"/>
    <w:rsid w:val="006E2A58"/>
    <w:rsid w:val="006E4396"/>
    <w:rsid w:val="006E440B"/>
    <w:rsid w:val="006E513C"/>
    <w:rsid w:val="006E5396"/>
    <w:rsid w:val="006E5B16"/>
    <w:rsid w:val="006E5D0C"/>
    <w:rsid w:val="006E5D8A"/>
    <w:rsid w:val="006E5F0A"/>
    <w:rsid w:val="006E70F3"/>
    <w:rsid w:val="006E77A3"/>
    <w:rsid w:val="006E7BCC"/>
    <w:rsid w:val="006E7C04"/>
    <w:rsid w:val="006F07A9"/>
    <w:rsid w:val="006F0F03"/>
    <w:rsid w:val="006F2C85"/>
    <w:rsid w:val="006F4200"/>
    <w:rsid w:val="006F43F6"/>
    <w:rsid w:val="006F4E10"/>
    <w:rsid w:val="006F4E58"/>
    <w:rsid w:val="006F5AC0"/>
    <w:rsid w:val="006F5C77"/>
    <w:rsid w:val="006F5F8C"/>
    <w:rsid w:val="006F63B5"/>
    <w:rsid w:val="006F6D05"/>
    <w:rsid w:val="006F73DB"/>
    <w:rsid w:val="007000D6"/>
    <w:rsid w:val="007002A9"/>
    <w:rsid w:val="00700A39"/>
    <w:rsid w:val="00702ADB"/>
    <w:rsid w:val="0070489A"/>
    <w:rsid w:val="00704CF6"/>
    <w:rsid w:val="00704D03"/>
    <w:rsid w:val="00705124"/>
    <w:rsid w:val="00705CA1"/>
    <w:rsid w:val="007060CB"/>
    <w:rsid w:val="0070678F"/>
    <w:rsid w:val="00706954"/>
    <w:rsid w:val="00706C73"/>
    <w:rsid w:val="00706C88"/>
    <w:rsid w:val="00706FEC"/>
    <w:rsid w:val="007070A1"/>
    <w:rsid w:val="00707598"/>
    <w:rsid w:val="007102CF"/>
    <w:rsid w:val="00710B6B"/>
    <w:rsid w:val="00711A79"/>
    <w:rsid w:val="00711A7B"/>
    <w:rsid w:val="00712D05"/>
    <w:rsid w:val="00714E1D"/>
    <w:rsid w:val="00715E79"/>
    <w:rsid w:val="00717B78"/>
    <w:rsid w:val="00717C14"/>
    <w:rsid w:val="00720EFC"/>
    <w:rsid w:val="00721715"/>
    <w:rsid w:val="00722B0C"/>
    <w:rsid w:val="0072395A"/>
    <w:rsid w:val="00723B7B"/>
    <w:rsid w:val="00723E55"/>
    <w:rsid w:val="007247F2"/>
    <w:rsid w:val="00724A52"/>
    <w:rsid w:val="00725518"/>
    <w:rsid w:val="00725F7F"/>
    <w:rsid w:val="00726177"/>
    <w:rsid w:val="007271DC"/>
    <w:rsid w:val="007275C2"/>
    <w:rsid w:val="00727A37"/>
    <w:rsid w:val="007302E7"/>
    <w:rsid w:val="00731819"/>
    <w:rsid w:val="00731D3D"/>
    <w:rsid w:val="00732581"/>
    <w:rsid w:val="00732FDD"/>
    <w:rsid w:val="007335BA"/>
    <w:rsid w:val="007352BB"/>
    <w:rsid w:val="00735374"/>
    <w:rsid w:val="00735395"/>
    <w:rsid w:val="007359F0"/>
    <w:rsid w:val="00736283"/>
    <w:rsid w:val="00737A09"/>
    <w:rsid w:val="00737B7D"/>
    <w:rsid w:val="00737CCC"/>
    <w:rsid w:val="00740675"/>
    <w:rsid w:val="007413D7"/>
    <w:rsid w:val="00741819"/>
    <w:rsid w:val="0074209D"/>
    <w:rsid w:val="0074248D"/>
    <w:rsid w:val="00742829"/>
    <w:rsid w:val="00742DD3"/>
    <w:rsid w:val="007433BE"/>
    <w:rsid w:val="007437EF"/>
    <w:rsid w:val="00744270"/>
    <w:rsid w:val="007443C5"/>
    <w:rsid w:val="00744C82"/>
    <w:rsid w:val="00745454"/>
    <w:rsid w:val="007466A5"/>
    <w:rsid w:val="00746800"/>
    <w:rsid w:val="00746906"/>
    <w:rsid w:val="007471B0"/>
    <w:rsid w:val="00747A6A"/>
    <w:rsid w:val="00747C49"/>
    <w:rsid w:val="00747CB5"/>
    <w:rsid w:val="00750F87"/>
    <w:rsid w:val="007519F4"/>
    <w:rsid w:val="00751A95"/>
    <w:rsid w:val="00751BC8"/>
    <w:rsid w:val="0075243E"/>
    <w:rsid w:val="0075292A"/>
    <w:rsid w:val="00752EB5"/>
    <w:rsid w:val="00753173"/>
    <w:rsid w:val="00753CB9"/>
    <w:rsid w:val="00754079"/>
    <w:rsid w:val="00754D6F"/>
    <w:rsid w:val="007555EB"/>
    <w:rsid w:val="00755969"/>
    <w:rsid w:val="007564C1"/>
    <w:rsid w:val="00756542"/>
    <w:rsid w:val="007605D1"/>
    <w:rsid w:val="00760A7C"/>
    <w:rsid w:val="0076209A"/>
    <w:rsid w:val="00762737"/>
    <w:rsid w:val="0076285F"/>
    <w:rsid w:val="00763563"/>
    <w:rsid w:val="00763FFD"/>
    <w:rsid w:val="00764517"/>
    <w:rsid w:val="0076465E"/>
    <w:rsid w:val="00766911"/>
    <w:rsid w:val="0076734B"/>
    <w:rsid w:val="00767D46"/>
    <w:rsid w:val="0077151B"/>
    <w:rsid w:val="00772388"/>
    <w:rsid w:val="00772C42"/>
    <w:rsid w:val="00772F08"/>
    <w:rsid w:val="00773687"/>
    <w:rsid w:val="007758C4"/>
    <w:rsid w:val="00775C0E"/>
    <w:rsid w:val="00776B35"/>
    <w:rsid w:val="00776E0C"/>
    <w:rsid w:val="007770FE"/>
    <w:rsid w:val="007802B1"/>
    <w:rsid w:val="00780924"/>
    <w:rsid w:val="00780FE9"/>
    <w:rsid w:val="00781671"/>
    <w:rsid w:val="00781805"/>
    <w:rsid w:val="00781F67"/>
    <w:rsid w:val="0078284F"/>
    <w:rsid w:val="007839E3"/>
    <w:rsid w:val="007855A2"/>
    <w:rsid w:val="00786BDB"/>
    <w:rsid w:val="00786E95"/>
    <w:rsid w:val="00790837"/>
    <w:rsid w:val="00791EC4"/>
    <w:rsid w:val="0079249A"/>
    <w:rsid w:val="0079254D"/>
    <w:rsid w:val="0079256D"/>
    <w:rsid w:val="0079294F"/>
    <w:rsid w:val="007941EE"/>
    <w:rsid w:val="00794793"/>
    <w:rsid w:val="00795345"/>
    <w:rsid w:val="0079573C"/>
    <w:rsid w:val="00796870"/>
    <w:rsid w:val="00796A8D"/>
    <w:rsid w:val="00796B02"/>
    <w:rsid w:val="007A0B17"/>
    <w:rsid w:val="007A1616"/>
    <w:rsid w:val="007A3058"/>
    <w:rsid w:val="007A3712"/>
    <w:rsid w:val="007A3B78"/>
    <w:rsid w:val="007A62BD"/>
    <w:rsid w:val="007A6858"/>
    <w:rsid w:val="007A7043"/>
    <w:rsid w:val="007A72D7"/>
    <w:rsid w:val="007A793A"/>
    <w:rsid w:val="007B0B8E"/>
    <w:rsid w:val="007B1E15"/>
    <w:rsid w:val="007B1FBD"/>
    <w:rsid w:val="007B3B15"/>
    <w:rsid w:val="007B4C18"/>
    <w:rsid w:val="007B4FE8"/>
    <w:rsid w:val="007B57C7"/>
    <w:rsid w:val="007B580F"/>
    <w:rsid w:val="007B5D2C"/>
    <w:rsid w:val="007B6640"/>
    <w:rsid w:val="007B6B3A"/>
    <w:rsid w:val="007B7876"/>
    <w:rsid w:val="007C0532"/>
    <w:rsid w:val="007C0959"/>
    <w:rsid w:val="007C0A34"/>
    <w:rsid w:val="007C16A2"/>
    <w:rsid w:val="007C2937"/>
    <w:rsid w:val="007C3AE0"/>
    <w:rsid w:val="007C4CD6"/>
    <w:rsid w:val="007C591F"/>
    <w:rsid w:val="007C6784"/>
    <w:rsid w:val="007C6AC3"/>
    <w:rsid w:val="007C6C15"/>
    <w:rsid w:val="007C7CDC"/>
    <w:rsid w:val="007D0BC0"/>
    <w:rsid w:val="007D0E90"/>
    <w:rsid w:val="007D14F9"/>
    <w:rsid w:val="007D1CC2"/>
    <w:rsid w:val="007D2CD3"/>
    <w:rsid w:val="007D3189"/>
    <w:rsid w:val="007D31ED"/>
    <w:rsid w:val="007D4009"/>
    <w:rsid w:val="007D498F"/>
    <w:rsid w:val="007D527B"/>
    <w:rsid w:val="007D5ACC"/>
    <w:rsid w:val="007D6411"/>
    <w:rsid w:val="007D69CD"/>
    <w:rsid w:val="007D74A2"/>
    <w:rsid w:val="007D786E"/>
    <w:rsid w:val="007D796C"/>
    <w:rsid w:val="007D7DEE"/>
    <w:rsid w:val="007E1529"/>
    <w:rsid w:val="007E1C59"/>
    <w:rsid w:val="007E22DE"/>
    <w:rsid w:val="007E37D5"/>
    <w:rsid w:val="007E38E3"/>
    <w:rsid w:val="007E3ACD"/>
    <w:rsid w:val="007E423F"/>
    <w:rsid w:val="007E4C48"/>
    <w:rsid w:val="007E5FAA"/>
    <w:rsid w:val="007E6742"/>
    <w:rsid w:val="007E70A8"/>
    <w:rsid w:val="007E7A12"/>
    <w:rsid w:val="007F087E"/>
    <w:rsid w:val="007F0C97"/>
    <w:rsid w:val="007F13DA"/>
    <w:rsid w:val="007F1C6D"/>
    <w:rsid w:val="007F1D57"/>
    <w:rsid w:val="007F4316"/>
    <w:rsid w:val="007F4FD0"/>
    <w:rsid w:val="007F5165"/>
    <w:rsid w:val="007F5BD2"/>
    <w:rsid w:val="007F6E24"/>
    <w:rsid w:val="008000C2"/>
    <w:rsid w:val="00800122"/>
    <w:rsid w:val="008002D2"/>
    <w:rsid w:val="00800734"/>
    <w:rsid w:val="00800C86"/>
    <w:rsid w:val="00800FFF"/>
    <w:rsid w:val="00801247"/>
    <w:rsid w:val="0080130A"/>
    <w:rsid w:val="00801EBF"/>
    <w:rsid w:val="0080211A"/>
    <w:rsid w:val="008031C8"/>
    <w:rsid w:val="00803D49"/>
    <w:rsid w:val="00803DD9"/>
    <w:rsid w:val="008041C5"/>
    <w:rsid w:val="00805F45"/>
    <w:rsid w:val="008062C0"/>
    <w:rsid w:val="00806644"/>
    <w:rsid w:val="00806C70"/>
    <w:rsid w:val="008078C0"/>
    <w:rsid w:val="008079E4"/>
    <w:rsid w:val="00810661"/>
    <w:rsid w:val="00811054"/>
    <w:rsid w:val="00811B91"/>
    <w:rsid w:val="00812CD9"/>
    <w:rsid w:val="00812E69"/>
    <w:rsid w:val="00812EE4"/>
    <w:rsid w:val="00813E6C"/>
    <w:rsid w:val="00813F9F"/>
    <w:rsid w:val="00814852"/>
    <w:rsid w:val="00815445"/>
    <w:rsid w:val="00815C75"/>
    <w:rsid w:val="0082104B"/>
    <w:rsid w:val="00821087"/>
    <w:rsid w:val="008227CA"/>
    <w:rsid w:val="0082379D"/>
    <w:rsid w:val="008250FC"/>
    <w:rsid w:val="008254EF"/>
    <w:rsid w:val="00825CF1"/>
    <w:rsid w:val="00826F64"/>
    <w:rsid w:val="00827446"/>
    <w:rsid w:val="00827B39"/>
    <w:rsid w:val="00827C47"/>
    <w:rsid w:val="008301BF"/>
    <w:rsid w:val="00830E45"/>
    <w:rsid w:val="00830F76"/>
    <w:rsid w:val="00832091"/>
    <w:rsid w:val="008322E9"/>
    <w:rsid w:val="0083304F"/>
    <w:rsid w:val="00833FDB"/>
    <w:rsid w:val="0083446F"/>
    <w:rsid w:val="00834773"/>
    <w:rsid w:val="008348FD"/>
    <w:rsid w:val="00835087"/>
    <w:rsid w:val="00835CB0"/>
    <w:rsid w:val="008366A8"/>
    <w:rsid w:val="00836D73"/>
    <w:rsid w:val="00840AB4"/>
    <w:rsid w:val="00840E59"/>
    <w:rsid w:val="00842067"/>
    <w:rsid w:val="00842172"/>
    <w:rsid w:val="00842773"/>
    <w:rsid w:val="00842F87"/>
    <w:rsid w:val="008436B0"/>
    <w:rsid w:val="00844227"/>
    <w:rsid w:val="008442CF"/>
    <w:rsid w:val="00845B91"/>
    <w:rsid w:val="008465A9"/>
    <w:rsid w:val="00846714"/>
    <w:rsid w:val="00847D71"/>
    <w:rsid w:val="00850D9E"/>
    <w:rsid w:val="00851DB3"/>
    <w:rsid w:val="00853879"/>
    <w:rsid w:val="00853ED0"/>
    <w:rsid w:val="008544EF"/>
    <w:rsid w:val="0085477A"/>
    <w:rsid w:val="008554B9"/>
    <w:rsid w:val="00855BEE"/>
    <w:rsid w:val="0085655F"/>
    <w:rsid w:val="008604BB"/>
    <w:rsid w:val="00862313"/>
    <w:rsid w:val="00862335"/>
    <w:rsid w:val="00862AF2"/>
    <w:rsid w:val="00863FE3"/>
    <w:rsid w:val="00864808"/>
    <w:rsid w:val="008648E1"/>
    <w:rsid w:val="008652BB"/>
    <w:rsid w:val="00865EEA"/>
    <w:rsid w:val="00866271"/>
    <w:rsid w:val="00866318"/>
    <w:rsid w:val="008663BC"/>
    <w:rsid w:val="00866438"/>
    <w:rsid w:val="00866D93"/>
    <w:rsid w:val="00867937"/>
    <w:rsid w:val="00867A69"/>
    <w:rsid w:val="00871379"/>
    <w:rsid w:val="00871D65"/>
    <w:rsid w:val="00872ACA"/>
    <w:rsid w:val="00872EDF"/>
    <w:rsid w:val="00873C43"/>
    <w:rsid w:val="00874884"/>
    <w:rsid w:val="00875095"/>
    <w:rsid w:val="008751F3"/>
    <w:rsid w:val="008752FF"/>
    <w:rsid w:val="00877B77"/>
    <w:rsid w:val="008808DF"/>
    <w:rsid w:val="00880AD5"/>
    <w:rsid w:val="00880B00"/>
    <w:rsid w:val="00880E4B"/>
    <w:rsid w:val="008831FB"/>
    <w:rsid w:val="00883496"/>
    <w:rsid w:val="008843D5"/>
    <w:rsid w:val="0088514C"/>
    <w:rsid w:val="008855CC"/>
    <w:rsid w:val="00885635"/>
    <w:rsid w:val="0088574F"/>
    <w:rsid w:val="00885C46"/>
    <w:rsid w:val="00886C51"/>
    <w:rsid w:val="008879AA"/>
    <w:rsid w:val="008908E4"/>
    <w:rsid w:val="008908EE"/>
    <w:rsid w:val="00890A86"/>
    <w:rsid w:val="0089218F"/>
    <w:rsid w:val="008926EA"/>
    <w:rsid w:val="00892705"/>
    <w:rsid w:val="00893A99"/>
    <w:rsid w:val="00893BB2"/>
    <w:rsid w:val="00893F32"/>
    <w:rsid w:val="00895930"/>
    <w:rsid w:val="00895F15"/>
    <w:rsid w:val="00896057"/>
    <w:rsid w:val="008966E3"/>
    <w:rsid w:val="00896B5A"/>
    <w:rsid w:val="00896D54"/>
    <w:rsid w:val="008A0CE8"/>
    <w:rsid w:val="008A0E6D"/>
    <w:rsid w:val="008A13F4"/>
    <w:rsid w:val="008A1998"/>
    <w:rsid w:val="008A1D0C"/>
    <w:rsid w:val="008A2F89"/>
    <w:rsid w:val="008A376D"/>
    <w:rsid w:val="008A3857"/>
    <w:rsid w:val="008A41F3"/>
    <w:rsid w:val="008A497C"/>
    <w:rsid w:val="008A51D3"/>
    <w:rsid w:val="008A55AE"/>
    <w:rsid w:val="008A63BF"/>
    <w:rsid w:val="008A6771"/>
    <w:rsid w:val="008A73B6"/>
    <w:rsid w:val="008B0153"/>
    <w:rsid w:val="008B017C"/>
    <w:rsid w:val="008B1388"/>
    <w:rsid w:val="008B146F"/>
    <w:rsid w:val="008B1B0C"/>
    <w:rsid w:val="008B1DDA"/>
    <w:rsid w:val="008B2292"/>
    <w:rsid w:val="008B3DAC"/>
    <w:rsid w:val="008B4561"/>
    <w:rsid w:val="008B4FE1"/>
    <w:rsid w:val="008B58BD"/>
    <w:rsid w:val="008B5A42"/>
    <w:rsid w:val="008B64A2"/>
    <w:rsid w:val="008B7317"/>
    <w:rsid w:val="008B7D37"/>
    <w:rsid w:val="008B7EF4"/>
    <w:rsid w:val="008C02A2"/>
    <w:rsid w:val="008C2B08"/>
    <w:rsid w:val="008C2B83"/>
    <w:rsid w:val="008C3884"/>
    <w:rsid w:val="008C392D"/>
    <w:rsid w:val="008C5715"/>
    <w:rsid w:val="008C572B"/>
    <w:rsid w:val="008C5EB7"/>
    <w:rsid w:val="008C6A13"/>
    <w:rsid w:val="008C7687"/>
    <w:rsid w:val="008C7E38"/>
    <w:rsid w:val="008D089C"/>
    <w:rsid w:val="008D19CA"/>
    <w:rsid w:val="008D2077"/>
    <w:rsid w:val="008D2261"/>
    <w:rsid w:val="008D3223"/>
    <w:rsid w:val="008D34FF"/>
    <w:rsid w:val="008D354D"/>
    <w:rsid w:val="008D3A5D"/>
    <w:rsid w:val="008D4519"/>
    <w:rsid w:val="008D5073"/>
    <w:rsid w:val="008D5312"/>
    <w:rsid w:val="008D5D45"/>
    <w:rsid w:val="008D60ED"/>
    <w:rsid w:val="008D6B6B"/>
    <w:rsid w:val="008D7055"/>
    <w:rsid w:val="008E0BCC"/>
    <w:rsid w:val="008E111E"/>
    <w:rsid w:val="008E181D"/>
    <w:rsid w:val="008E29D8"/>
    <w:rsid w:val="008E2D64"/>
    <w:rsid w:val="008E2E85"/>
    <w:rsid w:val="008E30D4"/>
    <w:rsid w:val="008E33B5"/>
    <w:rsid w:val="008E357C"/>
    <w:rsid w:val="008E35D3"/>
    <w:rsid w:val="008E593F"/>
    <w:rsid w:val="008E646B"/>
    <w:rsid w:val="008E67C2"/>
    <w:rsid w:val="008E7399"/>
    <w:rsid w:val="008E76E1"/>
    <w:rsid w:val="008F08F5"/>
    <w:rsid w:val="008F111C"/>
    <w:rsid w:val="008F174B"/>
    <w:rsid w:val="008F1A65"/>
    <w:rsid w:val="008F2225"/>
    <w:rsid w:val="008F2238"/>
    <w:rsid w:val="008F4462"/>
    <w:rsid w:val="008F44C1"/>
    <w:rsid w:val="008F4E46"/>
    <w:rsid w:val="008F53F9"/>
    <w:rsid w:val="008F5D1F"/>
    <w:rsid w:val="008F7681"/>
    <w:rsid w:val="008F7904"/>
    <w:rsid w:val="008F7E58"/>
    <w:rsid w:val="00904240"/>
    <w:rsid w:val="0090441F"/>
    <w:rsid w:val="009044C9"/>
    <w:rsid w:val="0090450C"/>
    <w:rsid w:val="00904620"/>
    <w:rsid w:val="00904AF7"/>
    <w:rsid w:val="00904C5E"/>
    <w:rsid w:val="009052AE"/>
    <w:rsid w:val="00905696"/>
    <w:rsid w:val="009057D6"/>
    <w:rsid w:val="00906352"/>
    <w:rsid w:val="00906CE2"/>
    <w:rsid w:val="00907A25"/>
    <w:rsid w:val="00907B60"/>
    <w:rsid w:val="00907FDA"/>
    <w:rsid w:val="0091064E"/>
    <w:rsid w:val="00911DF5"/>
    <w:rsid w:val="00911EB0"/>
    <w:rsid w:val="00912426"/>
    <w:rsid w:val="00913034"/>
    <w:rsid w:val="0091360F"/>
    <w:rsid w:val="0091455A"/>
    <w:rsid w:val="00914958"/>
    <w:rsid w:val="00916832"/>
    <w:rsid w:val="009215D1"/>
    <w:rsid w:val="009217A0"/>
    <w:rsid w:val="0092272F"/>
    <w:rsid w:val="00922C33"/>
    <w:rsid w:val="00923D5A"/>
    <w:rsid w:val="00923E38"/>
    <w:rsid w:val="00923FB9"/>
    <w:rsid w:val="0092491E"/>
    <w:rsid w:val="00924A97"/>
    <w:rsid w:val="00924EFC"/>
    <w:rsid w:val="00926E0C"/>
    <w:rsid w:val="0092743C"/>
    <w:rsid w:val="009276E2"/>
    <w:rsid w:val="00927BB1"/>
    <w:rsid w:val="00927F2D"/>
    <w:rsid w:val="00930DC3"/>
    <w:rsid w:val="0093285F"/>
    <w:rsid w:val="00932937"/>
    <w:rsid w:val="00932B6C"/>
    <w:rsid w:val="00934704"/>
    <w:rsid w:val="00934A98"/>
    <w:rsid w:val="00935C53"/>
    <w:rsid w:val="00936D41"/>
    <w:rsid w:val="00936E63"/>
    <w:rsid w:val="009373FC"/>
    <w:rsid w:val="00937984"/>
    <w:rsid w:val="00940187"/>
    <w:rsid w:val="00940B3B"/>
    <w:rsid w:val="00940C15"/>
    <w:rsid w:val="00941E71"/>
    <w:rsid w:val="009425C3"/>
    <w:rsid w:val="0094365C"/>
    <w:rsid w:val="00943BF9"/>
    <w:rsid w:val="00944DA3"/>
    <w:rsid w:val="009454BB"/>
    <w:rsid w:val="00945748"/>
    <w:rsid w:val="00945830"/>
    <w:rsid w:val="00945B54"/>
    <w:rsid w:val="00945D7D"/>
    <w:rsid w:val="00946FD9"/>
    <w:rsid w:val="0095055D"/>
    <w:rsid w:val="009505BA"/>
    <w:rsid w:val="00950862"/>
    <w:rsid w:val="00950AFB"/>
    <w:rsid w:val="00954400"/>
    <w:rsid w:val="009544B3"/>
    <w:rsid w:val="009544D6"/>
    <w:rsid w:val="009549DE"/>
    <w:rsid w:val="00954C0D"/>
    <w:rsid w:val="00955CA4"/>
    <w:rsid w:val="009564C7"/>
    <w:rsid w:val="00956D0C"/>
    <w:rsid w:val="00956DBC"/>
    <w:rsid w:val="0095718C"/>
    <w:rsid w:val="00957D0B"/>
    <w:rsid w:val="009616EB"/>
    <w:rsid w:val="00961D80"/>
    <w:rsid w:val="00961E53"/>
    <w:rsid w:val="00961F25"/>
    <w:rsid w:val="0096247A"/>
    <w:rsid w:val="009624BD"/>
    <w:rsid w:val="0096324C"/>
    <w:rsid w:val="00965C91"/>
    <w:rsid w:val="00966AFC"/>
    <w:rsid w:val="0096721E"/>
    <w:rsid w:val="00967D2D"/>
    <w:rsid w:val="00970744"/>
    <w:rsid w:val="00970856"/>
    <w:rsid w:val="00971488"/>
    <w:rsid w:val="0097148A"/>
    <w:rsid w:val="00971663"/>
    <w:rsid w:val="00971837"/>
    <w:rsid w:val="00971F53"/>
    <w:rsid w:val="009720E4"/>
    <w:rsid w:val="00972994"/>
    <w:rsid w:val="00972BDA"/>
    <w:rsid w:val="00973257"/>
    <w:rsid w:val="00973392"/>
    <w:rsid w:val="00973CC1"/>
    <w:rsid w:val="00974236"/>
    <w:rsid w:val="00975E86"/>
    <w:rsid w:val="00976FFC"/>
    <w:rsid w:val="009770DD"/>
    <w:rsid w:val="0097747A"/>
    <w:rsid w:val="0097760D"/>
    <w:rsid w:val="00977C97"/>
    <w:rsid w:val="0098024F"/>
    <w:rsid w:val="00980BCC"/>
    <w:rsid w:val="00981314"/>
    <w:rsid w:val="0098153D"/>
    <w:rsid w:val="00981DA7"/>
    <w:rsid w:val="00982DEA"/>
    <w:rsid w:val="00982E57"/>
    <w:rsid w:val="0098463A"/>
    <w:rsid w:val="00984CF0"/>
    <w:rsid w:val="00984E67"/>
    <w:rsid w:val="009851FC"/>
    <w:rsid w:val="00985CBF"/>
    <w:rsid w:val="00985CF4"/>
    <w:rsid w:val="00985E81"/>
    <w:rsid w:val="00986239"/>
    <w:rsid w:val="00986242"/>
    <w:rsid w:val="00986AEF"/>
    <w:rsid w:val="00986CB8"/>
    <w:rsid w:val="00986FC1"/>
    <w:rsid w:val="00987AB6"/>
    <w:rsid w:val="00990126"/>
    <w:rsid w:val="00990B9A"/>
    <w:rsid w:val="00990D8D"/>
    <w:rsid w:val="00991B83"/>
    <w:rsid w:val="00992EA0"/>
    <w:rsid w:val="00993EEB"/>
    <w:rsid w:val="00994BBC"/>
    <w:rsid w:val="0099509B"/>
    <w:rsid w:val="00995B47"/>
    <w:rsid w:val="00996D3A"/>
    <w:rsid w:val="00997083"/>
    <w:rsid w:val="009971CF"/>
    <w:rsid w:val="00997DBC"/>
    <w:rsid w:val="009A0043"/>
    <w:rsid w:val="009A034A"/>
    <w:rsid w:val="009A05D6"/>
    <w:rsid w:val="009A0C60"/>
    <w:rsid w:val="009A0D9F"/>
    <w:rsid w:val="009A3544"/>
    <w:rsid w:val="009A390C"/>
    <w:rsid w:val="009A3E74"/>
    <w:rsid w:val="009A42DF"/>
    <w:rsid w:val="009A4C4C"/>
    <w:rsid w:val="009A53CB"/>
    <w:rsid w:val="009A7401"/>
    <w:rsid w:val="009A7B60"/>
    <w:rsid w:val="009B00AB"/>
    <w:rsid w:val="009B0B26"/>
    <w:rsid w:val="009B0B2F"/>
    <w:rsid w:val="009B0BFE"/>
    <w:rsid w:val="009B403D"/>
    <w:rsid w:val="009B462D"/>
    <w:rsid w:val="009B54AE"/>
    <w:rsid w:val="009B5F04"/>
    <w:rsid w:val="009B6B7F"/>
    <w:rsid w:val="009B7170"/>
    <w:rsid w:val="009C0494"/>
    <w:rsid w:val="009C0B5F"/>
    <w:rsid w:val="009C1BAE"/>
    <w:rsid w:val="009C2A0F"/>
    <w:rsid w:val="009C2EA3"/>
    <w:rsid w:val="009C37D8"/>
    <w:rsid w:val="009C3936"/>
    <w:rsid w:val="009C41B5"/>
    <w:rsid w:val="009C4AB7"/>
    <w:rsid w:val="009C5DC0"/>
    <w:rsid w:val="009C6780"/>
    <w:rsid w:val="009C679E"/>
    <w:rsid w:val="009C7607"/>
    <w:rsid w:val="009C7948"/>
    <w:rsid w:val="009D0E95"/>
    <w:rsid w:val="009D145E"/>
    <w:rsid w:val="009D1BAF"/>
    <w:rsid w:val="009D1D84"/>
    <w:rsid w:val="009D211D"/>
    <w:rsid w:val="009D2669"/>
    <w:rsid w:val="009D2713"/>
    <w:rsid w:val="009D2A34"/>
    <w:rsid w:val="009D36C1"/>
    <w:rsid w:val="009D3E0F"/>
    <w:rsid w:val="009D6D51"/>
    <w:rsid w:val="009D7615"/>
    <w:rsid w:val="009D7E9F"/>
    <w:rsid w:val="009E0053"/>
    <w:rsid w:val="009E0452"/>
    <w:rsid w:val="009E08DE"/>
    <w:rsid w:val="009E18CF"/>
    <w:rsid w:val="009E1EB7"/>
    <w:rsid w:val="009E2A6B"/>
    <w:rsid w:val="009E2FFA"/>
    <w:rsid w:val="009E6030"/>
    <w:rsid w:val="009E7182"/>
    <w:rsid w:val="009E73B3"/>
    <w:rsid w:val="009E78FC"/>
    <w:rsid w:val="009E7D11"/>
    <w:rsid w:val="009F09D8"/>
    <w:rsid w:val="009F0D05"/>
    <w:rsid w:val="009F2462"/>
    <w:rsid w:val="009F260A"/>
    <w:rsid w:val="009F2FD4"/>
    <w:rsid w:val="009F2FFE"/>
    <w:rsid w:val="009F30CD"/>
    <w:rsid w:val="009F346B"/>
    <w:rsid w:val="009F3522"/>
    <w:rsid w:val="009F4329"/>
    <w:rsid w:val="009F4E41"/>
    <w:rsid w:val="009F4FD5"/>
    <w:rsid w:val="009F5000"/>
    <w:rsid w:val="009F5466"/>
    <w:rsid w:val="009F5B03"/>
    <w:rsid w:val="009F61DB"/>
    <w:rsid w:val="009F68DA"/>
    <w:rsid w:val="009F6A96"/>
    <w:rsid w:val="00A00728"/>
    <w:rsid w:val="00A019D4"/>
    <w:rsid w:val="00A0227B"/>
    <w:rsid w:val="00A034A9"/>
    <w:rsid w:val="00A03C64"/>
    <w:rsid w:val="00A03D5D"/>
    <w:rsid w:val="00A040A2"/>
    <w:rsid w:val="00A0453B"/>
    <w:rsid w:val="00A046DF"/>
    <w:rsid w:val="00A05565"/>
    <w:rsid w:val="00A05BEC"/>
    <w:rsid w:val="00A06131"/>
    <w:rsid w:val="00A06354"/>
    <w:rsid w:val="00A06BDF"/>
    <w:rsid w:val="00A07629"/>
    <w:rsid w:val="00A100A8"/>
    <w:rsid w:val="00A105AD"/>
    <w:rsid w:val="00A10E4F"/>
    <w:rsid w:val="00A110FA"/>
    <w:rsid w:val="00A11434"/>
    <w:rsid w:val="00A11E21"/>
    <w:rsid w:val="00A129A1"/>
    <w:rsid w:val="00A13790"/>
    <w:rsid w:val="00A138FF"/>
    <w:rsid w:val="00A13E2D"/>
    <w:rsid w:val="00A142A9"/>
    <w:rsid w:val="00A1460B"/>
    <w:rsid w:val="00A151C1"/>
    <w:rsid w:val="00A17014"/>
    <w:rsid w:val="00A17581"/>
    <w:rsid w:val="00A17D90"/>
    <w:rsid w:val="00A2004C"/>
    <w:rsid w:val="00A201E9"/>
    <w:rsid w:val="00A20747"/>
    <w:rsid w:val="00A21FA5"/>
    <w:rsid w:val="00A2340A"/>
    <w:rsid w:val="00A23828"/>
    <w:rsid w:val="00A238EA"/>
    <w:rsid w:val="00A23CEB"/>
    <w:rsid w:val="00A24973"/>
    <w:rsid w:val="00A24A54"/>
    <w:rsid w:val="00A24A8E"/>
    <w:rsid w:val="00A24C31"/>
    <w:rsid w:val="00A25034"/>
    <w:rsid w:val="00A257CA"/>
    <w:rsid w:val="00A30690"/>
    <w:rsid w:val="00A30C79"/>
    <w:rsid w:val="00A30F41"/>
    <w:rsid w:val="00A31B32"/>
    <w:rsid w:val="00A3343C"/>
    <w:rsid w:val="00A33585"/>
    <w:rsid w:val="00A339A1"/>
    <w:rsid w:val="00A33C04"/>
    <w:rsid w:val="00A3410D"/>
    <w:rsid w:val="00A3428D"/>
    <w:rsid w:val="00A3447F"/>
    <w:rsid w:val="00A34751"/>
    <w:rsid w:val="00A352FF"/>
    <w:rsid w:val="00A35681"/>
    <w:rsid w:val="00A358F1"/>
    <w:rsid w:val="00A35C07"/>
    <w:rsid w:val="00A3716F"/>
    <w:rsid w:val="00A37AA1"/>
    <w:rsid w:val="00A40F49"/>
    <w:rsid w:val="00A41529"/>
    <w:rsid w:val="00A42258"/>
    <w:rsid w:val="00A42410"/>
    <w:rsid w:val="00A433D5"/>
    <w:rsid w:val="00A43FA4"/>
    <w:rsid w:val="00A451F5"/>
    <w:rsid w:val="00A4598F"/>
    <w:rsid w:val="00A45DAA"/>
    <w:rsid w:val="00A4613D"/>
    <w:rsid w:val="00A461FE"/>
    <w:rsid w:val="00A472F9"/>
    <w:rsid w:val="00A47DC0"/>
    <w:rsid w:val="00A50041"/>
    <w:rsid w:val="00A50907"/>
    <w:rsid w:val="00A5171C"/>
    <w:rsid w:val="00A52BBC"/>
    <w:rsid w:val="00A5329D"/>
    <w:rsid w:val="00A53A63"/>
    <w:rsid w:val="00A53B0A"/>
    <w:rsid w:val="00A53E06"/>
    <w:rsid w:val="00A540C4"/>
    <w:rsid w:val="00A543D3"/>
    <w:rsid w:val="00A55235"/>
    <w:rsid w:val="00A56574"/>
    <w:rsid w:val="00A56DDD"/>
    <w:rsid w:val="00A56ED0"/>
    <w:rsid w:val="00A57307"/>
    <w:rsid w:val="00A573AA"/>
    <w:rsid w:val="00A575C6"/>
    <w:rsid w:val="00A57652"/>
    <w:rsid w:val="00A5775A"/>
    <w:rsid w:val="00A577CC"/>
    <w:rsid w:val="00A57C4C"/>
    <w:rsid w:val="00A60440"/>
    <w:rsid w:val="00A609CB"/>
    <w:rsid w:val="00A61049"/>
    <w:rsid w:val="00A612D1"/>
    <w:rsid w:val="00A6192A"/>
    <w:rsid w:val="00A61FA0"/>
    <w:rsid w:val="00A6209E"/>
    <w:rsid w:val="00A624A6"/>
    <w:rsid w:val="00A62A37"/>
    <w:rsid w:val="00A62CBD"/>
    <w:rsid w:val="00A62E94"/>
    <w:rsid w:val="00A6393E"/>
    <w:rsid w:val="00A63EB8"/>
    <w:rsid w:val="00A64D3C"/>
    <w:rsid w:val="00A64E41"/>
    <w:rsid w:val="00A6526D"/>
    <w:rsid w:val="00A659F0"/>
    <w:rsid w:val="00A65BA5"/>
    <w:rsid w:val="00A7030E"/>
    <w:rsid w:val="00A705F4"/>
    <w:rsid w:val="00A721FE"/>
    <w:rsid w:val="00A72275"/>
    <w:rsid w:val="00A738A1"/>
    <w:rsid w:val="00A73F76"/>
    <w:rsid w:val="00A7468B"/>
    <w:rsid w:val="00A74744"/>
    <w:rsid w:val="00A7605F"/>
    <w:rsid w:val="00A76CAE"/>
    <w:rsid w:val="00A7729E"/>
    <w:rsid w:val="00A7731B"/>
    <w:rsid w:val="00A77CFB"/>
    <w:rsid w:val="00A80288"/>
    <w:rsid w:val="00A809B8"/>
    <w:rsid w:val="00A8182B"/>
    <w:rsid w:val="00A82633"/>
    <w:rsid w:val="00A828A0"/>
    <w:rsid w:val="00A82A2D"/>
    <w:rsid w:val="00A82ECE"/>
    <w:rsid w:val="00A83EDC"/>
    <w:rsid w:val="00A85781"/>
    <w:rsid w:val="00A863E1"/>
    <w:rsid w:val="00A86A08"/>
    <w:rsid w:val="00A86A79"/>
    <w:rsid w:val="00A87BF2"/>
    <w:rsid w:val="00A914A4"/>
    <w:rsid w:val="00A91521"/>
    <w:rsid w:val="00A919DA"/>
    <w:rsid w:val="00A93A83"/>
    <w:rsid w:val="00A94D3F"/>
    <w:rsid w:val="00A94F6A"/>
    <w:rsid w:val="00A9549A"/>
    <w:rsid w:val="00A95546"/>
    <w:rsid w:val="00A959EA"/>
    <w:rsid w:val="00A974E0"/>
    <w:rsid w:val="00A978CA"/>
    <w:rsid w:val="00A97CC3"/>
    <w:rsid w:val="00AA08A7"/>
    <w:rsid w:val="00AA0BF1"/>
    <w:rsid w:val="00AA0CBB"/>
    <w:rsid w:val="00AA162C"/>
    <w:rsid w:val="00AA28F9"/>
    <w:rsid w:val="00AA2E05"/>
    <w:rsid w:val="00AA4D2C"/>
    <w:rsid w:val="00AA51C4"/>
    <w:rsid w:val="00AA59C5"/>
    <w:rsid w:val="00AA70FD"/>
    <w:rsid w:val="00AB001B"/>
    <w:rsid w:val="00AB10EF"/>
    <w:rsid w:val="00AB12E3"/>
    <w:rsid w:val="00AB1BC5"/>
    <w:rsid w:val="00AB1E50"/>
    <w:rsid w:val="00AB21C5"/>
    <w:rsid w:val="00AB2972"/>
    <w:rsid w:val="00AB2F96"/>
    <w:rsid w:val="00AB3DEC"/>
    <w:rsid w:val="00AB3E12"/>
    <w:rsid w:val="00AB4E7D"/>
    <w:rsid w:val="00AB59E3"/>
    <w:rsid w:val="00AB65D4"/>
    <w:rsid w:val="00AB65E2"/>
    <w:rsid w:val="00AB6A09"/>
    <w:rsid w:val="00AB6AE5"/>
    <w:rsid w:val="00AB715E"/>
    <w:rsid w:val="00AB7CB8"/>
    <w:rsid w:val="00AB7D3B"/>
    <w:rsid w:val="00AB7E96"/>
    <w:rsid w:val="00AC024D"/>
    <w:rsid w:val="00AC0729"/>
    <w:rsid w:val="00AC07EC"/>
    <w:rsid w:val="00AC088E"/>
    <w:rsid w:val="00AC094B"/>
    <w:rsid w:val="00AC0EBA"/>
    <w:rsid w:val="00AC0EBC"/>
    <w:rsid w:val="00AC284A"/>
    <w:rsid w:val="00AC2B7A"/>
    <w:rsid w:val="00AC36D6"/>
    <w:rsid w:val="00AC3EBC"/>
    <w:rsid w:val="00AC4069"/>
    <w:rsid w:val="00AC41C0"/>
    <w:rsid w:val="00AC464B"/>
    <w:rsid w:val="00AC4D1A"/>
    <w:rsid w:val="00AC4F76"/>
    <w:rsid w:val="00AC520A"/>
    <w:rsid w:val="00AC5851"/>
    <w:rsid w:val="00AC5EDB"/>
    <w:rsid w:val="00AC61F0"/>
    <w:rsid w:val="00AD07F2"/>
    <w:rsid w:val="00AD10B5"/>
    <w:rsid w:val="00AD1CD4"/>
    <w:rsid w:val="00AD4060"/>
    <w:rsid w:val="00AD41FA"/>
    <w:rsid w:val="00AD45A8"/>
    <w:rsid w:val="00AD48F3"/>
    <w:rsid w:val="00AD527F"/>
    <w:rsid w:val="00AD53D8"/>
    <w:rsid w:val="00AD5C76"/>
    <w:rsid w:val="00AD71DD"/>
    <w:rsid w:val="00AD74E4"/>
    <w:rsid w:val="00AD779C"/>
    <w:rsid w:val="00AD7C29"/>
    <w:rsid w:val="00AE02AA"/>
    <w:rsid w:val="00AE0538"/>
    <w:rsid w:val="00AE0688"/>
    <w:rsid w:val="00AE0D60"/>
    <w:rsid w:val="00AE1906"/>
    <w:rsid w:val="00AE1949"/>
    <w:rsid w:val="00AE2897"/>
    <w:rsid w:val="00AE2EF6"/>
    <w:rsid w:val="00AE31D8"/>
    <w:rsid w:val="00AE43BC"/>
    <w:rsid w:val="00AE4CA7"/>
    <w:rsid w:val="00AE4CC2"/>
    <w:rsid w:val="00AE51B7"/>
    <w:rsid w:val="00AE5540"/>
    <w:rsid w:val="00AE5784"/>
    <w:rsid w:val="00AE5AA4"/>
    <w:rsid w:val="00AE5AD8"/>
    <w:rsid w:val="00AE5B2D"/>
    <w:rsid w:val="00AE5D2E"/>
    <w:rsid w:val="00AE5FD0"/>
    <w:rsid w:val="00AE6559"/>
    <w:rsid w:val="00AE6685"/>
    <w:rsid w:val="00AE699A"/>
    <w:rsid w:val="00AE79FC"/>
    <w:rsid w:val="00AE7DD6"/>
    <w:rsid w:val="00AF1310"/>
    <w:rsid w:val="00AF145F"/>
    <w:rsid w:val="00AF1D0F"/>
    <w:rsid w:val="00AF2D64"/>
    <w:rsid w:val="00AF373E"/>
    <w:rsid w:val="00AF3B10"/>
    <w:rsid w:val="00AF4476"/>
    <w:rsid w:val="00AF68E6"/>
    <w:rsid w:val="00AF7720"/>
    <w:rsid w:val="00AF7BCB"/>
    <w:rsid w:val="00AF7F28"/>
    <w:rsid w:val="00B00015"/>
    <w:rsid w:val="00B00BA7"/>
    <w:rsid w:val="00B01BE8"/>
    <w:rsid w:val="00B01D35"/>
    <w:rsid w:val="00B03274"/>
    <w:rsid w:val="00B045C3"/>
    <w:rsid w:val="00B05D34"/>
    <w:rsid w:val="00B07554"/>
    <w:rsid w:val="00B07C3A"/>
    <w:rsid w:val="00B07F5D"/>
    <w:rsid w:val="00B128C8"/>
    <w:rsid w:val="00B12EB8"/>
    <w:rsid w:val="00B1393C"/>
    <w:rsid w:val="00B13D7E"/>
    <w:rsid w:val="00B13F6D"/>
    <w:rsid w:val="00B14D4B"/>
    <w:rsid w:val="00B14FBD"/>
    <w:rsid w:val="00B154CF"/>
    <w:rsid w:val="00B156DA"/>
    <w:rsid w:val="00B20EC6"/>
    <w:rsid w:val="00B21586"/>
    <w:rsid w:val="00B2192B"/>
    <w:rsid w:val="00B21A58"/>
    <w:rsid w:val="00B21E40"/>
    <w:rsid w:val="00B23077"/>
    <w:rsid w:val="00B23AF0"/>
    <w:rsid w:val="00B24543"/>
    <w:rsid w:val="00B24EC6"/>
    <w:rsid w:val="00B2516F"/>
    <w:rsid w:val="00B25441"/>
    <w:rsid w:val="00B261B2"/>
    <w:rsid w:val="00B275EA"/>
    <w:rsid w:val="00B3074E"/>
    <w:rsid w:val="00B30C73"/>
    <w:rsid w:val="00B31518"/>
    <w:rsid w:val="00B32320"/>
    <w:rsid w:val="00B3252C"/>
    <w:rsid w:val="00B33DAF"/>
    <w:rsid w:val="00B33E67"/>
    <w:rsid w:val="00B34457"/>
    <w:rsid w:val="00B34766"/>
    <w:rsid w:val="00B34DEB"/>
    <w:rsid w:val="00B363D6"/>
    <w:rsid w:val="00B36446"/>
    <w:rsid w:val="00B36AC8"/>
    <w:rsid w:val="00B379D5"/>
    <w:rsid w:val="00B37E0F"/>
    <w:rsid w:val="00B40500"/>
    <w:rsid w:val="00B40FEE"/>
    <w:rsid w:val="00B410F5"/>
    <w:rsid w:val="00B413CB"/>
    <w:rsid w:val="00B41D23"/>
    <w:rsid w:val="00B42AA5"/>
    <w:rsid w:val="00B42C28"/>
    <w:rsid w:val="00B42D85"/>
    <w:rsid w:val="00B42FC7"/>
    <w:rsid w:val="00B44356"/>
    <w:rsid w:val="00B4619A"/>
    <w:rsid w:val="00B4655F"/>
    <w:rsid w:val="00B478C7"/>
    <w:rsid w:val="00B5063A"/>
    <w:rsid w:val="00B51E89"/>
    <w:rsid w:val="00B5209E"/>
    <w:rsid w:val="00B52A3F"/>
    <w:rsid w:val="00B54001"/>
    <w:rsid w:val="00B54897"/>
    <w:rsid w:val="00B549FE"/>
    <w:rsid w:val="00B54B7D"/>
    <w:rsid w:val="00B55275"/>
    <w:rsid w:val="00B557EE"/>
    <w:rsid w:val="00B5587B"/>
    <w:rsid w:val="00B56951"/>
    <w:rsid w:val="00B579DB"/>
    <w:rsid w:val="00B607CE"/>
    <w:rsid w:val="00B61973"/>
    <w:rsid w:val="00B627DC"/>
    <w:rsid w:val="00B62B0A"/>
    <w:rsid w:val="00B630F6"/>
    <w:rsid w:val="00B640D5"/>
    <w:rsid w:val="00B647FB"/>
    <w:rsid w:val="00B65107"/>
    <w:rsid w:val="00B668FA"/>
    <w:rsid w:val="00B66E6A"/>
    <w:rsid w:val="00B702E4"/>
    <w:rsid w:val="00B70347"/>
    <w:rsid w:val="00B708F2"/>
    <w:rsid w:val="00B7193D"/>
    <w:rsid w:val="00B71FD2"/>
    <w:rsid w:val="00B72110"/>
    <w:rsid w:val="00B72A37"/>
    <w:rsid w:val="00B72F44"/>
    <w:rsid w:val="00B737DA"/>
    <w:rsid w:val="00B73F79"/>
    <w:rsid w:val="00B75236"/>
    <w:rsid w:val="00B75585"/>
    <w:rsid w:val="00B756E1"/>
    <w:rsid w:val="00B75A3B"/>
    <w:rsid w:val="00B75F31"/>
    <w:rsid w:val="00B76449"/>
    <w:rsid w:val="00B766D2"/>
    <w:rsid w:val="00B7687E"/>
    <w:rsid w:val="00B7761E"/>
    <w:rsid w:val="00B7786E"/>
    <w:rsid w:val="00B810DD"/>
    <w:rsid w:val="00B81BD5"/>
    <w:rsid w:val="00B821E2"/>
    <w:rsid w:val="00B8269B"/>
    <w:rsid w:val="00B82A55"/>
    <w:rsid w:val="00B83270"/>
    <w:rsid w:val="00B83E2B"/>
    <w:rsid w:val="00B83EA8"/>
    <w:rsid w:val="00B848B2"/>
    <w:rsid w:val="00B84BF2"/>
    <w:rsid w:val="00B86BEB"/>
    <w:rsid w:val="00B87ED7"/>
    <w:rsid w:val="00B91232"/>
    <w:rsid w:val="00B927F1"/>
    <w:rsid w:val="00B9280E"/>
    <w:rsid w:val="00B930ED"/>
    <w:rsid w:val="00B9347E"/>
    <w:rsid w:val="00B93E28"/>
    <w:rsid w:val="00B94C33"/>
    <w:rsid w:val="00B96EE0"/>
    <w:rsid w:val="00B9760A"/>
    <w:rsid w:val="00B97A41"/>
    <w:rsid w:val="00BA08B5"/>
    <w:rsid w:val="00BA1602"/>
    <w:rsid w:val="00BA17DF"/>
    <w:rsid w:val="00BA2BF4"/>
    <w:rsid w:val="00BA2DD0"/>
    <w:rsid w:val="00BA3089"/>
    <w:rsid w:val="00BA4466"/>
    <w:rsid w:val="00BA4CE0"/>
    <w:rsid w:val="00BA57F9"/>
    <w:rsid w:val="00BA59C8"/>
    <w:rsid w:val="00BA5F80"/>
    <w:rsid w:val="00BA725B"/>
    <w:rsid w:val="00BA7538"/>
    <w:rsid w:val="00BB0450"/>
    <w:rsid w:val="00BB089B"/>
    <w:rsid w:val="00BB0DA9"/>
    <w:rsid w:val="00BB1241"/>
    <w:rsid w:val="00BB1565"/>
    <w:rsid w:val="00BB2A0C"/>
    <w:rsid w:val="00BB2FD8"/>
    <w:rsid w:val="00BB420B"/>
    <w:rsid w:val="00BB4F15"/>
    <w:rsid w:val="00BB5809"/>
    <w:rsid w:val="00BB5D72"/>
    <w:rsid w:val="00BB612A"/>
    <w:rsid w:val="00BB6C16"/>
    <w:rsid w:val="00BB79FB"/>
    <w:rsid w:val="00BB7F4D"/>
    <w:rsid w:val="00BC19E8"/>
    <w:rsid w:val="00BC1D96"/>
    <w:rsid w:val="00BC21B0"/>
    <w:rsid w:val="00BC2E85"/>
    <w:rsid w:val="00BC3855"/>
    <w:rsid w:val="00BC4364"/>
    <w:rsid w:val="00BC5F5B"/>
    <w:rsid w:val="00BC603B"/>
    <w:rsid w:val="00BC642B"/>
    <w:rsid w:val="00BC6FF1"/>
    <w:rsid w:val="00BC71E0"/>
    <w:rsid w:val="00BC7E8E"/>
    <w:rsid w:val="00BD039F"/>
    <w:rsid w:val="00BD0489"/>
    <w:rsid w:val="00BD0537"/>
    <w:rsid w:val="00BD0E9A"/>
    <w:rsid w:val="00BD0F77"/>
    <w:rsid w:val="00BD1B48"/>
    <w:rsid w:val="00BD250B"/>
    <w:rsid w:val="00BD2A42"/>
    <w:rsid w:val="00BD4BB8"/>
    <w:rsid w:val="00BD522A"/>
    <w:rsid w:val="00BD62C6"/>
    <w:rsid w:val="00BD7287"/>
    <w:rsid w:val="00BD759C"/>
    <w:rsid w:val="00BD7BAE"/>
    <w:rsid w:val="00BE0394"/>
    <w:rsid w:val="00BE07F4"/>
    <w:rsid w:val="00BE164B"/>
    <w:rsid w:val="00BE1EFB"/>
    <w:rsid w:val="00BE29C1"/>
    <w:rsid w:val="00BE2C42"/>
    <w:rsid w:val="00BE335C"/>
    <w:rsid w:val="00BE379A"/>
    <w:rsid w:val="00BE3B5D"/>
    <w:rsid w:val="00BE44B7"/>
    <w:rsid w:val="00BE494A"/>
    <w:rsid w:val="00BE6069"/>
    <w:rsid w:val="00BE62B9"/>
    <w:rsid w:val="00BF09ED"/>
    <w:rsid w:val="00BF29A7"/>
    <w:rsid w:val="00BF2A49"/>
    <w:rsid w:val="00BF2E02"/>
    <w:rsid w:val="00BF348B"/>
    <w:rsid w:val="00BF37EE"/>
    <w:rsid w:val="00BF638C"/>
    <w:rsid w:val="00BF7E29"/>
    <w:rsid w:val="00C004EC"/>
    <w:rsid w:val="00C006A2"/>
    <w:rsid w:val="00C00E95"/>
    <w:rsid w:val="00C01287"/>
    <w:rsid w:val="00C01873"/>
    <w:rsid w:val="00C01BD8"/>
    <w:rsid w:val="00C03032"/>
    <w:rsid w:val="00C036E0"/>
    <w:rsid w:val="00C03C49"/>
    <w:rsid w:val="00C0402C"/>
    <w:rsid w:val="00C041B4"/>
    <w:rsid w:val="00C0447A"/>
    <w:rsid w:val="00C04704"/>
    <w:rsid w:val="00C052CC"/>
    <w:rsid w:val="00C054AC"/>
    <w:rsid w:val="00C05E69"/>
    <w:rsid w:val="00C06E3A"/>
    <w:rsid w:val="00C075F8"/>
    <w:rsid w:val="00C07C51"/>
    <w:rsid w:val="00C10259"/>
    <w:rsid w:val="00C10E6D"/>
    <w:rsid w:val="00C11311"/>
    <w:rsid w:val="00C11449"/>
    <w:rsid w:val="00C115FC"/>
    <w:rsid w:val="00C12323"/>
    <w:rsid w:val="00C12FED"/>
    <w:rsid w:val="00C139A7"/>
    <w:rsid w:val="00C147E8"/>
    <w:rsid w:val="00C14C2A"/>
    <w:rsid w:val="00C14FF5"/>
    <w:rsid w:val="00C1519D"/>
    <w:rsid w:val="00C1534B"/>
    <w:rsid w:val="00C160EC"/>
    <w:rsid w:val="00C1621B"/>
    <w:rsid w:val="00C162BD"/>
    <w:rsid w:val="00C16760"/>
    <w:rsid w:val="00C16AE9"/>
    <w:rsid w:val="00C17524"/>
    <w:rsid w:val="00C17953"/>
    <w:rsid w:val="00C17A9D"/>
    <w:rsid w:val="00C2058D"/>
    <w:rsid w:val="00C206A0"/>
    <w:rsid w:val="00C20EE9"/>
    <w:rsid w:val="00C213DE"/>
    <w:rsid w:val="00C215E3"/>
    <w:rsid w:val="00C22393"/>
    <w:rsid w:val="00C225F1"/>
    <w:rsid w:val="00C2267B"/>
    <w:rsid w:val="00C22A89"/>
    <w:rsid w:val="00C22ACA"/>
    <w:rsid w:val="00C2394C"/>
    <w:rsid w:val="00C23FFD"/>
    <w:rsid w:val="00C25BFF"/>
    <w:rsid w:val="00C269DB"/>
    <w:rsid w:val="00C26D48"/>
    <w:rsid w:val="00C27B19"/>
    <w:rsid w:val="00C27C03"/>
    <w:rsid w:val="00C27FAA"/>
    <w:rsid w:val="00C3032F"/>
    <w:rsid w:val="00C30599"/>
    <w:rsid w:val="00C30D0F"/>
    <w:rsid w:val="00C30D21"/>
    <w:rsid w:val="00C3165E"/>
    <w:rsid w:val="00C318E9"/>
    <w:rsid w:val="00C31BF5"/>
    <w:rsid w:val="00C31DAC"/>
    <w:rsid w:val="00C323AE"/>
    <w:rsid w:val="00C32988"/>
    <w:rsid w:val="00C32A9D"/>
    <w:rsid w:val="00C32EBF"/>
    <w:rsid w:val="00C3312B"/>
    <w:rsid w:val="00C35467"/>
    <w:rsid w:val="00C35AD2"/>
    <w:rsid w:val="00C35F35"/>
    <w:rsid w:val="00C36907"/>
    <w:rsid w:val="00C373E0"/>
    <w:rsid w:val="00C37EB5"/>
    <w:rsid w:val="00C4003E"/>
    <w:rsid w:val="00C400F0"/>
    <w:rsid w:val="00C4063D"/>
    <w:rsid w:val="00C40CF6"/>
    <w:rsid w:val="00C423B4"/>
    <w:rsid w:val="00C44365"/>
    <w:rsid w:val="00C451EF"/>
    <w:rsid w:val="00C45DBA"/>
    <w:rsid w:val="00C45F32"/>
    <w:rsid w:val="00C46FB0"/>
    <w:rsid w:val="00C47C1B"/>
    <w:rsid w:val="00C51CBD"/>
    <w:rsid w:val="00C51F81"/>
    <w:rsid w:val="00C5282E"/>
    <w:rsid w:val="00C53688"/>
    <w:rsid w:val="00C53A55"/>
    <w:rsid w:val="00C53B44"/>
    <w:rsid w:val="00C53D8D"/>
    <w:rsid w:val="00C53E04"/>
    <w:rsid w:val="00C5420C"/>
    <w:rsid w:val="00C547C4"/>
    <w:rsid w:val="00C55765"/>
    <w:rsid w:val="00C57172"/>
    <w:rsid w:val="00C61273"/>
    <w:rsid w:val="00C61ABD"/>
    <w:rsid w:val="00C61B16"/>
    <w:rsid w:val="00C61BD5"/>
    <w:rsid w:val="00C62425"/>
    <w:rsid w:val="00C634BD"/>
    <w:rsid w:val="00C63653"/>
    <w:rsid w:val="00C63738"/>
    <w:rsid w:val="00C63DB0"/>
    <w:rsid w:val="00C656A8"/>
    <w:rsid w:val="00C65DF2"/>
    <w:rsid w:val="00C66AFD"/>
    <w:rsid w:val="00C66D22"/>
    <w:rsid w:val="00C67177"/>
    <w:rsid w:val="00C67980"/>
    <w:rsid w:val="00C67C0E"/>
    <w:rsid w:val="00C70950"/>
    <w:rsid w:val="00C723BB"/>
    <w:rsid w:val="00C72FF0"/>
    <w:rsid w:val="00C730BA"/>
    <w:rsid w:val="00C7370D"/>
    <w:rsid w:val="00C74B98"/>
    <w:rsid w:val="00C7524F"/>
    <w:rsid w:val="00C75319"/>
    <w:rsid w:val="00C75489"/>
    <w:rsid w:val="00C766B9"/>
    <w:rsid w:val="00C815A7"/>
    <w:rsid w:val="00C81AFF"/>
    <w:rsid w:val="00C82A8A"/>
    <w:rsid w:val="00C83699"/>
    <w:rsid w:val="00C85E7F"/>
    <w:rsid w:val="00C86774"/>
    <w:rsid w:val="00C86BA0"/>
    <w:rsid w:val="00C86D53"/>
    <w:rsid w:val="00C876A2"/>
    <w:rsid w:val="00C878AB"/>
    <w:rsid w:val="00C87AC0"/>
    <w:rsid w:val="00C90272"/>
    <w:rsid w:val="00C90BB0"/>
    <w:rsid w:val="00C927C9"/>
    <w:rsid w:val="00C929FC"/>
    <w:rsid w:val="00C943C2"/>
    <w:rsid w:val="00C94B7E"/>
    <w:rsid w:val="00C956DB"/>
    <w:rsid w:val="00C964A0"/>
    <w:rsid w:val="00C96B09"/>
    <w:rsid w:val="00C96B7C"/>
    <w:rsid w:val="00C9700D"/>
    <w:rsid w:val="00C9728D"/>
    <w:rsid w:val="00CA1096"/>
    <w:rsid w:val="00CA13C1"/>
    <w:rsid w:val="00CA2C81"/>
    <w:rsid w:val="00CA3A22"/>
    <w:rsid w:val="00CA3A73"/>
    <w:rsid w:val="00CA4021"/>
    <w:rsid w:val="00CA40B7"/>
    <w:rsid w:val="00CA4569"/>
    <w:rsid w:val="00CA4712"/>
    <w:rsid w:val="00CA4F1B"/>
    <w:rsid w:val="00CA573F"/>
    <w:rsid w:val="00CA5ACE"/>
    <w:rsid w:val="00CA5BCF"/>
    <w:rsid w:val="00CA6244"/>
    <w:rsid w:val="00CA6DDF"/>
    <w:rsid w:val="00CA75AE"/>
    <w:rsid w:val="00CA7A62"/>
    <w:rsid w:val="00CB0168"/>
    <w:rsid w:val="00CB024B"/>
    <w:rsid w:val="00CB06BE"/>
    <w:rsid w:val="00CB0D0E"/>
    <w:rsid w:val="00CB1275"/>
    <w:rsid w:val="00CB1FBB"/>
    <w:rsid w:val="00CB22C9"/>
    <w:rsid w:val="00CB231B"/>
    <w:rsid w:val="00CB2E7E"/>
    <w:rsid w:val="00CB5742"/>
    <w:rsid w:val="00CB5B79"/>
    <w:rsid w:val="00CB5C26"/>
    <w:rsid w:val="00CB6A49"/>
    <w:rsid w:val="00CB7C30"/>
    <w:rsid w:val="00CC1566"/>
    <w:rsid w:val="00CC1AA5"/>
    <w:rsid w:val="00CC2833"/>
    <w:rsid w:val="00CC2B09"/>
    <w:rsid w:val="00CC2C04"/>
    <w:rsid w:val="00CC4EA1"/>
    <w:rsid w:val="00CC54A6"/>
    <w:rsid w:val="00CD0B2E"/>
    <w:rsid w:val="00CD0B99"/>
    <w:rsid w:val="00CD2194"/>
    <w:rsid w:val="00CD3AF4"/>
    <w:rsid w:val="00CD40C1"/>
    <w:rsid w:val="00CD4403"/>
    <w:rsid w:val="00CD4560"/>
    <w:rsid w:val="00CD475D"/>
    <w:rsid w:val="00CD5E1C"/>
    <w:rsid w:val="00CD648A"/>
    <w:rsid w:val="00CD67E6"/>
    <w:rsid w:val="00CD7244"/>
    <w:rsid w:val="00CE07C7"/>
    <w:rsid w:val="00CE15E5"/>
    <w:rsid w:val="00CE1A7B"/>
    <w:rsid w:val="00CE2135"/>
    <w:rsid w:val="00CE2CB3"/>
    <w:rsid w:val="00CE374B"/>
    <w:rsid w:val="00CE41FF"/>
    <w:rsid w:val="00CE5B9A"/>
    <w:rsid w:val="00CE64EC"/>
    <w:rsid w:val="00CE791B"/>
    <w:rsid w:val="00CE7EE7"/>
    <w:rsid w:val="00CF0548"/>
    <w:rsid w:val="00CF0F8F"/>
    <w:rsid w:val="00CF1493"/>
    <w:rsid w:val="00CF2578"/>
    <w:rsid w:val="00CF2DD4"/>
    <w:rsid w:val="00CF4812"/>
    <w:rsid w:val="00CF4A51"/>
    <w:rsid w:val="00CF5144"/>
    <w:rsid w:val="00CF5664"/>
    <w:rsid w:val="00CF60EB"/>
    <w:rsid w:val="00CF6AB1"/>
    <w:rsid w:val="00CF75A3"/>
    <w:rsid w:val="00CF7B47"/>
    <w:rsid w:val="00CF7DAB"/>
    <w:rsid w:val="00D01A30"/>
    <w:rsid w:val="00D0257A"/>
    <w:rsid w:val="00D02B1C"/>
    <w:rsid w:val="00D03321"/>
    <w:rsid w:val="00D04398"/>
    <w:rsid w:val="00D04CE6"/>
    <w:rsid w:val="00D056DF"/>
    <w:rsid w:val="00D0610C"/>
    <w:rsid w:val="00D065D1"/>
    <w:rsid w:val="00D073BA"/>
    <w:rsid w:val="00D07676"/>
    <w:rsid w:val="00D10037"/>
    <w:rsid w:val="00D130B5"/>
    <w:rsid w:val="00D131CC"/>
    <w:rsid w:val="00D1339E"/>
    <w:rsid w:val="00D134F6"/>
    <w:rsid w:val="00D1385D"/>
    <w:rsid w:val="00D13CC3"/>
    <w:rsid w:val="00D1414C"/>
    <w:rsid w:val="00D147AC"/>
    <w:rsid w:val="00D15601"/>
    <w:rsid w:val="00D15C3D"/>
    <w:rsid w:val="00D16BBB"/>
    <w:rsid w:val="00D200C1"/>
    <w:rsid w:val="00D224CE"/>
    <w:rsid w:val="00D22FED"/>
    <w:rsid w:val="00D2407F"/>
    <w:rsid w:val="00D2434B"/>
    <w:rsid w:val="00D245CC"/>
    <w:rsid w:val="00D247AE"/>
    <w:rsid w:val="00D24A30"/>
    <w:rsid w:val="00D24E1B"/>
    <w:rsid w:val="00D255CE"/>
    <w:rsid w:val="00D258CA"/>
    <w:rsid w:val="00D25C13"/>
    <w:rsid w:val="00D263FA"/>
    <w:rsid w:val="00D269E3"/>
    <w:rsid w:val="00D27453"/>
    <w:rsid w:val="00D27A81"/>
    <w:rsid w:val="00D3007D"/>
    <w:rsid w:val="00D321DA"/>
    <w:rsid w:val="00D3220E"/>
    <w:rsid w:val="00D3234B"/>
    <w:rsid w:val="00D3278A"/>
    <w:rsid w:val="00D329A0"/>
    <w:rsid w:val="00D32DE2"/>
    <w:rsid w:val="00D34505"/>
    <w:rsid w:val="00D34BE0"/>
    <w:rsid w:val="00D3556A"/>
    <w:rsid w:val="00D35774"/>
    <w:rsid w:val="00D35A4A"/>
    <w:rsid w:val="00D368FB"/>
    <w:rsid w:val="00D3736F"/>
    <w:rsid w:val="00D37965"/>
    <w:rsid w:val="00D37F48"/>
    <w:rsid w:val="00D40544"/>
    <w:rsid w:val="00D4082D"/>
    <w:rsid w:val="00D4117C"/>
    <w:rsid w:val="00D4118E"/>
    <w:rsid w:val="00D417E3"/>
    <w:rsid w:val="00D41BA4"/>
    <w:rsid w:val="00D4211D"/>
    <w:rsid w:val="00D42D48"/>
    <w:rsid w:val="00D42F8D"/>
    <w:rsid w:val="00D43462"/>
    <w:rsid w:val="00D43979"/>
    <w:rsid w:val="00D43BC6"/>
    <w:rsid w:val="00D44461"/>
    <w:rsid w:val="00D456FE"/>
    <w:rsid w:val="00D45711"/>
    <w:rsid w:val="00D46404"/>
    <w:rsid w:val="00D46678"/>
    <w:rsid w:val="00D470B8"/>
    <w:rsid w:val="00D4746D"/>
    <w:rsid w:val="00D477E7"/>
    <w:rsid w:val="00D524DF"/>
    <w:rsid w:val="00D5290D"/>
    <w:rsid w:val="00D53C4E"/>
    <w:rsid w:val="00D54CC1"/>
    <w:rsid w:val="00D54F25"/>
    <w:rsid w:val="00D5519F"/>
    <w:rsid w:val="00D559C3"/>
    <w:rsid w:val="00D55C50"/>
    <w:rsid w:val="00D55F33"/>
    <w:rsid w:val="00D5760D"/>
    <w:rsid w:val="00D57ACF"/>
    <w:rsid w:val="00D57EE0"/>
    <w:rsid w:val="00D57EF1"/>
    <w:rsid w:val="00D60478"/>
    <w:rsid w:val="00D61757"/>
    <w:rsid w:val="00D61A2F"/>
    <w:rsid w:val="00D6234B"/>
    <w:rsid w:val="00D6271D"/>
    <w:rsid w:val="00D63B2C"/>
    <w:rsid w:val="00D63B71"/>
    <w:rsid w:val="00D651D9"/>
    <w:rsid w:val="00D655B8"/>
    <w:rsid w:val="00D65B45"/>
    <w:rsid w:val="00D6664A"/>
    <w:rsid w:val="00D67094"/>
    <w:rsid w:val="00D672AE"/>
    <w:rsid w:val="00D67581"/>
    <w:rsid w:val="00D70FB1"/>
    <w:rsid w:val="00D71CD0"/>
    <w:rsid w:val="00D723A3"/>
    <w:rsid w:val="00D739CF"/>
    <w:rsid w:val="00D7455B"/>
    <w:rsid w:val="00D771A6"/>
    <w:rsid w:val="00D815A3"/>
    <w:rsid w:val="00D817F6"/>
    <w:rsid w:val="00D825FD"/>
    <w:rsid w:val="00D82A70"/>
    <w:rsid w:val="00D83D29"/>
    <w:rsid w:val="00D8468D"/>
    <w:rsid w:val="00D854BC"/>
    <w:rsid w:val="00D8635D"/>
    <w:rsid w:val="00D8638E"/>
    <w:rsid w:val="00D86E23"/>
    <w:rsid w:val="00D87A5E"/>
    <w:rsid w:val="00D87DB3"/>
    <w:rsid w:val="00D87F17"/>
    <w:rsid w:val="00D90A56"/>
    <w:rsid w:val="00D927D8"/>
    <w:rsid w:val="00D93F7D"/>
    <w:rsid w:val="00D94F68"/>
    <w:rsid w:val="00D95380"/>
    <w:rsid w:val="00D95384"/>
    <w:rsid w:val="00D96AD9"/>
    <w:rsid w:val="00D96B1B"/>
    <w:rsid w:val="00D979DA"/>
    <w:rsid w:val="00DA0438"/>
    <w:rsid w:val="00DA0FE1"/>
    <w:rsid w:val="00DA1187"/>
    <w:rsid w:val="00DA1B20"/>
    <w:rsid w:val="00DA1E14"/>
    <w:rsid w:val="00DA238C"/>
    <w:rsid w:val="00DA26E3"/>
    <w:rsid w:val="00DA30CD"/>
    <w:rsid w:val="00DA39DE"/>
    <w:rsid w:val="00DA3E22"/>
    <w:rsid w:val="00DA41C6"/>
    <w:rsid w:val="00DA4315"/>
    <w:rsid w:val="00DA532C"/>
    <w:rsid w:val="00DA6EA6"/>
    <w:rsid w:val="00DA7F37"/>
    <w:rsid w:val="00DB05EB"/>
    <w:rsid w:val="00DB0938"/>
    <w:rsid w:val="00DB0EA1"/>
    <w:rsid w:val="00DB0EA8"/>
    <w:rsid w:val="00DB1EF2"/>
    <w:rsid w:val="00DB1F30"/>
    <w:rsid w:val="00DB29F5"/>
    <w:rsid w:val="00DB33D3"/>
    <w:rsid w:val="00DB3B83"/>
    <w:rsid w:val="00DB3CA2"/>
    <w:rsid w:val="00DB3F57"/>
    <w:rsid w:val="00DB4CFD"/>
    <w:rsid w:val="00DB68F3"/>
    <w:rsid w:val="00DC0C54"/>
    <w:rsid w:val="00DC1C5E"/>
    <w:rsid w:val="00DC2A10"/>
    <w:rsid w:val="00DC2B28"/>
    <w:rsid w:val="00DC37AE"/>
    <w:rsid w:val="00DC46DF"/>
    <w:rsid w:val="00DC538B"/>
    <w:rsid w:val="00DC6037"/>
    <w:rsid w:val="00DC6D0B"/>
    <w:rsid w:val="00DC70E7"/>
    <w:rsid w:val="00DC777F"/>
    <w:rsid w:val="00DD0953"/>
    <w:rsid w:val="00DD1AFC"/>
    <w:rsid w:val="00DD22C8"/>
    <w:rsid w:val="00DD2723"/>
    <w:rsid w:val="00DD272F"/>
    <w:rsid w:val="00DD31D2"/>
    <w:rsid w:val="00DD467E"/>
    <w:rsid w:val="00DD4BEB"/>
    <w:rsid w:val="00DD4D0C"/>
    <w:rsid w:val="00DD5179"/>
    <w:rsid w:val="00DD58D4"/>
    <w:rsid w:val="00DD5A14"/>
    <w:rsid w:val="00DD5F6F"/>
    <w:rsid w:val="00DD7328"/>
    <w:rsid w:val="00DD73C5"/>
    <w:rsid w:val="00DD79E2"/>
    <w:rsid w:val="00DD7D0F"/>
    <w:rsid w:val="00DE027B"/>
    <w:rsid w:val="00DE04B3"/>
    <w:rsid w:val="00DE1A8F"/>
    <w:rsid w:val="00DE2599"/>
    <w:rsid w:val="00DE25ED"/>
    <w:rsid w:val="00DE2F3B"/>
    <w:rsid w:val="00DE349A"/>
    <w:rsid w:val="00DE3E1F"/>
    <w:rsid w:val="00DE4FB8"/>
    <w:rsid w:val="00DE501A"/>
    <w:rsid w:val="00DE536B"/>
    <w:rsid w:val="00DE562C"/>
    <w:rsid w:val="00DE6044"/>
    <w:rsid w:val="00DE688E"/>
    <w:rsid w:val="00DE72FE"/>
    <w:rsid w:val="00DE762E"/>
    <w:rsid w:val="00DE77E4"/>
    <w:rsid w:val="00DE7A04"/>
    <w:rsid w:val="00DF0C6E"/>
    <w:rsid w:val="00DF0CC0"/>
    <w:rsid w:val="00DF0DF3"/>
    <w:rsid w:val="00DF0F0F"/>
    <w:rsid w:val="00DF1554"/>
    <w:rsid w:val="00DF30F8"/>
    <w:rsid w:val="00DF3263"/>
    <w:rsid w:val="00DF35CB"/>
    <w:rsid w:val="00DF3EA7"/>
    <w:rsid w:val="00DF567F"/>
    <w:rsid w:val="00DF5A30"/>
    <w:rsid w:val="00DF6059"/>
    <w:rsid w:val="00DF61B6"/>
    <w:rsid w:val="00DF61F6"/>
    <w:rsid w:val="00DF6D50"/>
    <w:rsid w:val="00DF7214"/>
    <w:rsid w:val="00DF7D0C"/>
    <w:rsid w:val="00E004FE"/>
    <w:rsid w:val="00E008E0"/>
    <w:rsid w:val="00E01478"/>
    <w:rsid w:val="00E0160F"/>
    <w:rsid w:val="00E016AD"/>
    <w:rsid w:val="00E01994"/>
    <w:rsid w:val="00E02391"/>
    <w:rsid w:val="00E03262"/>
    <w:rsid w:val="00E0442C"/>
    <w:rsid w:val="00E05050"/>
    <w:rsid w:val="00E05217"/>
    <w:rsid w:val="00E052AB"/>
    <w:rsid w:val="00E05434"/>
    <w:rsid w:val="00E058EE"/>
    <w:rsid w:val="00E0599B"/>
    <w:rsid w:val="00E06767"/>
    <w:rsid w:val="00E0758E"/>
    <w:rsid w:val="00E10041"/>
    <w:rsid w:val="00E100A6"/>
    <w:rsid w:val="00E126D8"/>
    <w:rsid w:val="00E12BAC"/>
    <w:rsid w:val="00E12D1E"/>
    <w:rsid w:val="00E13F40"/>
    <w:rsid w:val="00E14C42"/>
    <w:rsid w:val="00E14F28"/>
    <w:rsid w:val="00E152AD"/>
    <w:rsid w:val="00E16162"/>
    <w:rsid w:val="00E163EC"/>
    <w:rsid w:val="00E166B0"/>
    <w:rsid w:val="00E167DC"/>
    <w:rsid w:val="00E16ACB"/>
    <w:rsid w:val="00E170FF"/>
    <w:rsid w:val="00E17B0F"/>
    <w:rsid w:val="00E20376"/>
    <w:rsid w:val="00E2043B"/>
    <w:rsid w:val="00E21011"/>
    <w:rsid w:val="00E22FC2"/>
    <w:rsid w:val="00E24CEF"/>
    <w:rsid w:val="00E24E51"/>
    <w:rsid w:val="00E25187"/>
    <w:rsid w:val="00E25223"/>
    <w:rsid w:val="00E2589F"/>
    <w:rsid w:val="00E25D40"/>
    <w:rsid w:val="00E25FB7"/>
    <w:rsid w:val="00E2604B"/>
    <w:rsid w:val="00E266B9"/>
    <w:rsid w:val="00E27A0F"/>
    <w:rsid w:val="00E30109"/>
    <w:rsid w:val="00E31AA6"/>
    <w:rsid w:val="00E31DEF"/>
    <w:rsid w:val="00E3245B"/>
    <w:rsid w:val="00E326AE"/>
    <w:rsid w:val="00E33073"/>
    <w:rsid w:val="00E33370"/>
    <w:rsid w:val="00E3358C"/>
    <w:rsid w:val="00E33A57"/>
    <w:rsid w:val="00E33F0D"/>
    <w:rsid w:val="00E340AA"/>
    <w:rsid w:val="00E35105"/>
    <w:rsid w:val="00E36D59"/>
    <w:rsid w:val="00E377F9"/>
    <w:rsid w:val="00E37902"/>
    <w:rsid w:val="00E40046"/>
    <w:rsid w:val="00E40525"/>
    <w:rsid w:val="00E42C57"/>
    <w:rsid w:val="00E42D7E"/>
    <w:rsid w:val="00E430C3"/>
    <w:rsid w:val="00E4367B"/>
    <w:rsid w:val="00E4410C"/>
    <w:rsid w:val="00E44D80"/>
    <w:rsid w:val="00E44F89"/>
    <w:rsid w:val="00E44FBB"/>
    <w:rsid w:val="00E456A5"/>
    <w:rsid w:val="00E4652F"/>
    <w:rsid w:val="00E471AC"/>
    <w:rsid w:val="00E475C0"/>
    <w:rsid w:val="00E47EFB"/>
    <w:rsid w:val="00E501BC"/>
    <w:rsid w:val="00E50584"/>
    <w:rsid w:val="00E5106B"/>
    <w:rsid w:val="00E51244"/>
    <w:rsid w:val="00E51B69"/>
    <w:rsid w:val="00E5243B"/>
    <w:rsid w:val="00E52BAA"/>
    <w:rsid w:val="00E52D67"/>
    <w:rsid w:val="00E53157"/>
    <w:rsid w:val="00E539ED"/>
    <w:rsid w:val="00E53FFE"/>
    <w:rsid w:val="00E54576"/>
    <w:rsid w:val="00E54E36"/>
    <w:rsid w:val="00E54E73"/>
    <w:rsid w:val="00E561C4"/>
    <w:rsid w:val="00E5634D"/>
    <w:rsid w:val="00E60741"/>
    <w:rsid w:val="00E6102C"/>
    <w:rsid w:val="00E614E5"/>
    <w:rsid w:val="00E61C8D"/>
    <w:rsid w:val="00E6232E"/>
    <w:rsid w:val="00E6258D"/>
    <w:rsid w:val="00E63F84"/>
    <w:rsid w:val="00E64871"/>
    <w:rsid w:val="00E64928"/>
    <w:rsid w:val="00E6765B"/>
    <w:rsid w:val="00E67F72"/>
    <w:rsid w:val="00E7041D"/>
    <w:rsid w:val="00E7111B"/>
    <w:rsid w:val="00E716E6"/>
    <w:rsid w:val="00E71708"/>
    <w:rsid w:val="00E71AE3"/>
    <w:rsid w:val="00E71B9A"/>
    <w:rsid w:val="00E71E3A"/>
    <w:rsid w:val="00E7202B"/>
    <w:rsid w:val="00E732C2"/>
    <w:rsid w:val="00E73AE5"/>
    <w:rsid w:val="00E73D4B"/>
    <w:rsid w:val="00E7481D"/>
    <w:rsid w:val="00E7609E"/>
    <w:rsid w:val="00E7639E"/>
    <w:rsid w:val="00E7738F"/>
    <w:rsid w:val="00E778A3"/>
    <w:rsid w:val="00E778B7"/>
    <w:rsid w:val="00E80836"/>
    <w:rsid w:val="00E80BC0"/>
    <w:rsid w:val="00E81691"/>
    <w:rsid w:val="00E81D00"/>
    <w:rsid w:val="00E82055"/>
    <w:rsid w:val="00E82AA9"/>
    <w:rsid w:val="00E83719"/>
    <w:rsid w:val="00E83A3A"/>
    <w:rsid w:val="00E84B93"/>
    <w:rsid w:val="00E8599D"/>
    <w:rsid w:val="00E862E9"/>
    <w:rsid w:val="00E9042B"/>
    <w:rsid w:val="00E905A0"/>
    <w:rsid w:val="00E92D98"/>
    <w:rsid w:val="00E932F3"/>
    <w:rsid w:val="00E9361A"/>
    <w:rsid w:val="00E9397B"/>
    <w:rsid w:val="00E93D57"/>
    <w:rsid w:val="00E94983"/>
    <w:rsid w:val="00E95477"/>
    <w:rsid w:val="00E95E12"/>
    <w:rsid w:val="00E9635B"/>
    <w:rsid w:val="00E96BC3"/>
    <w:rsid w:val="00E97D61"/>
    <w:rsid w:val="00EA11C0"/>
    <w:rsid w:val="00EA1BAC"/>
    <w:rsid w:val="00EA2116"/>
    <w:rsid w:val="00EA218A"/>
    <w:rsid w:val="00EA2941"/>
    <w:rsid w:val="00EA2F94"/>
    <w:rsid w:val="00EA4804"/>
    <w:rsid w:val="00EA4FDC"/>
    <w:rsid w:val="00EA539B"/>
    <w:rsid w:val="00EA53BD"/>
    <w:rsid w:val="00EA5888"/>
    <w:rsid w:val="00EA59E8"/>
    <w:rsid w:val="00EA6708"/>
    <w:rsid w:val="00EA7CEE"/>
    <w:rsid w:val="00EB017B"/>
    <w:rsid w:val="00EB087A"/>
    <w:rsid w:val="00EB0E02"/>
    <w:rsid w:val="00EB10EB"/>
    <w:rsid w:val="00EB22AB"/>
    <w:rsid w:val="00EB2366"/>
    <w:rsid w:val="00EB265D"/>
    <w:rsid w:val="00EB27B6"/>
    <w:rsid w:val="00EB3626"/>
    <w:rsid w:val="00EB3687"/>
    <w:rsid w:val="00EB41A3"/>
    <w:rsid w:val="00EB4380"/>
    <w:rsid w:val="00EB4E39"/>
    <w:rsid w:val="00EB525B"/>
    <w:rsid w:val="00EB6E92"/>
    <w:rsid w:val="00EB70F9"/>
    <w:rsid w:val="00EC0770"/>
    <w:rsid w:val="00EC0F2A"/>
    <w:rsid w:val="00EC1043"/>
    <w:rsid w:val="00EC2838"/>
    <w:rsid w:val="00EC2D4A"/>
    <w:rsid w:val="00EC2F8A"/>
    <w:rsid w:val="00EC3318"/>
    <w:rsid w:val="00EC50FD"/>
    <w:rsid w:val="00EC5428"/>
    <w:rsid w:val="00EC554B"/>
    <w:rsid w:val="00EC7217"/>
    <w:rsid w:val="00EC740A"/>
    <w:rsid w:val="00ED0468"/>
    <w:rsid w:val="00ED2149"/>
    <w:rsid w:val="00ED2C2B"/>
    <w:rsid w:val="00ED2D80"/>
    <w:rsid w:val="00ED3380"/>
    <w:rsid w:val="00ED344B"/>
    <w:rsid w:val="00ED3D72"/>
    <w:rsid w:val="00ED3FDC"/>
    <w:rsid w:val="00ED4B40"/>
    <w:rsid w:val="00ED5543"/>
    <w:rsid w:val="00ED554E"/>
    <w:rsid w:val="00ED6753"/>
    <w:rsid w:val="00ED6865"/>
    <w:rsid w:val="00ED7404"/>
    <w:rsid w:val="00ED758F"/>
    <w:rsid w:val="00ED78BA"/>
    <w:rsid w:val="00ED793E"/>
    <w:rsid w:val="00ED7B87"/>
    <w:rsid w:val="00ED7FAD"/>
    <w:rsid w:val="00EE0A7F"/>
    <w:rsid w:val="00EE0CF9"/>
    <w:rsid w:val="00EE37B7"/>
    <w:rsid w:val="00EE38CB"/>
    <w:rsid w:val="00EE39BE"/>
    <w:rsid w:val="00EE4137"/>
    <w:rsid w:val="00EE44E3"/>
    <w:rsid w:val="00EE4C15"/>
    <w:rsid w:val="00EE5A72"/>
    <w:rsid w:val="00EE5EA1"/>
    <w:rsid w:val="00EE6528"/>
    <w:rsid w:val="00EF0066"/>
    <w:rsid w:val="00EF1202"/>
    <w:rsid w:val="00EF1C91"/>
    <w:rsid w:val="00EF2410"/>
    <w:rsid w:val="00EF2546"/>
    <w:rsid w:val="00EF2C3F"/>
    <w:rsid w:val="00EF2FF1"/>
    <w:rsid w:val="00EF37CB"/>
    <w:rsid w:val="00EF4064"/>
    <w:rsid w:val="00EF409F"/>
    <w:rsid w:val="00EF4984"/>
    <w:rsid w:val="00EF5015"/>
    <w:rsid w:val="00EF53B6"/>
    <w:rsid w:val="00EF5A5E"/>
    <w:rsid w:val="00EF6BF6"/>
    <w:rsid w:val="00EF71CD"/>
    <w:rsid w:val="00F00537"/>
    <w:rsid w:val="00F015AA"/>
    <w:rsid w:val="00F026CD"/>
    <w:rsid w:val="00F02EDB"/>
    <w:rsid w:val="00F03679"/>
    <w:rsid w:val="00F03BE1"/>
    <w:rsid w:val="00F03FE4"/>
    <w:rsid w:val="00F0533D"/>
    <w:rsid w:val="00F05BC9"/>
    <w:rsid w:val="00F05D8D"/>
    <w:rsid w:val="00F0608D"/>
    <w:rsid w:val="00F062EE"/>
    <w:rsid w:val="00F11013"/>
    <w:rsid w:val="00F11D22"/>
    <w:rsid w:val="00F13BFB"/>
    <w:rsid w:val="00F15350"/>
    <w:rsid w:val="00F1548A"/>
    <w:rsid w:val="00F15795"/>
    <w:rsid w:val="00F15C7D"/>
    <w:rsid w:val="00F15F5C"/>
    <w:rsid w:val="00F205AF"/>
    <w:rsid w:val="00F20FAC"/>
    <w:rsid w:val="00F21701"/>
    <w:rsid w:val="00F219A8"/>
    <w:rsid w:val="00F233DE"/>
    <w:rsid w:val="00F23AB3"/>
    <w:rsid w:val="00F23EC2"/>
    <w:rsid w:val="00F23F10"/>
    <w:rsid w:val="00F248BA"/>
    <w:rsid w:val="00F254C5"/>
    <w:rsid w:val="00F25B6F"/>
    <w:rsid w:val="00F26386"/>
    <w:rsid w:val="00F26823"/>
    <w:rsid w:val="00F27DB5"/>
    <w:rsid w:val="00F27FBA"/>
    <w:rsid w:val="00F305AD"/>
    <w:rsid w:val="00F30644"/>
    <w:rsid w:val="00F3077D"/>
    <w:rsid w:val="00F30959"/>
    <w:rsid w:val="00F31971"/>
    <w:rsid w:val="00F31D99"/>
    <w:rsid w:val="00F31DEC"/>
    <w:rsid w:val="00F32BB6"/>
    <w:rsid w:val="00F334FB"/>
    <w:rsid w:val="00F33D68"/>
    <w:rsid w:val="00F3537B"/>
    <w:rsid w:val="00F35E29"/>
    <w:rsid w:val="00F361CA"/>
    <w:rsid w:val="00F36614"/>
    <w:rsid w:val="00F36C70"/>
    <w:rsid w:val="00F37447"/>
    <w:rsid w:val="00F37589"/>
    <w:rsid w:val="00F379F4"/>
    <w:rsid w:val="00F37A14"/>
    <w:rsid w:val="00F37F94"/>
    <w:rsid w:val="00F401D5"/>
    <w:rsid w:val="00F402EC"/>
    <w:rsid w:val="00F43169"/>
    <w:rsid w:val="00F43BD3"/>
    <w:rsid w:val="00F44101"/>
    <w:rsid w:val="00F44A6D"/>
    <w:rsid w:val="00F44F23"/>
    <w:rsid w:val="00F44F64"/>
    <w:rsid w:val="00F458A0"/>
    <w:rsid w:val="00F4678E"/>
    <w:rsid w:val="00F475CA"/>
    <w:rsid w:val="00F475DE"/>
    <w:rsid w:val="00F503B7"/>
    <w:rsid w:val="00F50536"/>
    <w:rsid w:val="00F517D3"/>
    <w:rsid w:val="00F517D7"/>
    <w:rsid w:val="00F51FA7"/>
    <w:rsid w:val="00F5213C"/>
    <w:rsid w:val="00F52600"/>
    <w:rsid w:val="00F5318F"/>
    <w:rsid w:val="00F5339B"/>
    <w:rsid w:val="00F5348A"/>
    <w:rsid w:val="00F53953"/>
    <w:rsid w:val="00F53BB3"/>
    <w:rsid w:val="00F546A3"/>
    <w:rsid w:val="00F54950"/>
    <w:rsid w:val="00F54CC2"/>
    <w:rsid w:val="00F54E88"/>
    <w:rsid w:val="00F55F09"/>
    <w:rsid w:val="00F56382"/>
    <w:rsid w:val="00F56909"/>
    <w:rsid w:val="00F575BC"/>
    <w:rsid w:val="00F57653"/>
    <w:rsid w:val="00F57CAE"/>
    <w:rsid w:val="00F61EAF"/>
    <w:rsid w:val="00F620E9"/>
    <w:rsid w:val="00F62AE7"/>
    <w:rsid w:val="00F641ED"/>
    <w:rsid w:val="00F64557"/>
    <w:rsid w:val="00F6464C"/>
    <w:rsid w:val="00F64F8E"/>
    <w:rsid w:val="00F65BFE"/>
    <w:rsid w:val="00F6645E"/>
    <w:rsid w:val="00F66CF5"/>
    <w:rsid w:val="00F66EE5"/>
    <w:rsid w:val="00F679FF"/>
    <w:rsid w:val="00F67C9A"/>
    <w:rsid w:val="00F70F19"/>
    <w:rsid w:val="00F710F0"/>
    <w:rsid w:val="00F716F6"/>
    <w:rsid w:val="00F71AA4"/>
    <w:rsid w:val="00F720FA"/>
    <w:rsid w:val="00F72445"/>
    <w:rsid w:val="00F7290B"/>
    <w:rsid w:val="00F72930"/>
    <w:rsid w:val="00F72ABE"/>
    <w:rsid w:val="00F741A0"/>
    <w:rsid w:val="00F74703"/>
    <w:rsid w:val="00F75262"/>
    <w:rsid w:val="00F75497"/>
    <w:rsid w:val="00F754BF"/>
    <w:rsid w:val="00F758AE"/>
    <w:rsid w:val="00F75E12"/>
    <w:rsid w:val="00F76992"/>
    <w:rsid w:val="00F76E5D"/>
    <w:rsid w:val="00F77F60"/>
    <w:rsid w:val="00F80AD5"/>
    <w:rsid w:val="00F80D7C"/>
    <w:rsid w:val="00F80E04"/>
    <w:rsid w:val="00F812A5"/>
    <w:rsid w:val="00F81BBB"/>
    <w:rsid w:val="00F82AE0"/>
    <w:rsid w:val="00F8355B"/>
    <w:rsid w:val="00F83AAA"/>
    <w:rsid w:val="00F8437A"/>
    <w:rsid w:val="00F843BA"/>
    <w:rsid w:val="00F844F0"/>
    <w:rsid w:val="00F8491D"/>
    <w:rsid w:val="00F84A6F"/>
    <w:rsid w:val="00F85231"/>
    <w:rsid w:val="00F85E7B"/>
    <w:rsid w:val="00F8613C"/>
    <w:rsid w:val="00F867C0"/>
    <w:rsid w:val="00F86C36"/>
    <w:rsid w:val="00F86DEB"/>
    <w:rsid w:val="00F90200"/>
    <w:rsid w:val="00F90222"/>
    <w:rsid w:val="00F907D4"/>
    <w:rsid w:val="00F91203"/>
    <w:rsid w:val="00F918AE"/>
    <w:rsid w:val="00F92517"/>
    <w:rsid w:val="00F92F83"/>
    <w:rsid w:val="00F93620"/>
    <w:rsid w:val="00F936DF"/>
    <w:rsid w:val="00F93C4E"/>
    <w:rsid w:val="00F93EFE"/>
    <w:rsid w:val="00F94269"/>
    <w:rsid w:val="00F94D2D"/>
    <w:rsid w:val="00F94E01"/>
    <w:rsid w:val="00F94E2B"/>
    <w:rsid w:val="00F94FEA"/>
    <w:rsid w:val="00F9519B"/>
    <w:rsid w:val="00F957B6"/>
    <w:rsid w:val="00F95B40"/>
    <w:rsid w:val="00F95F9A"/>
    <w:rsid w:val="00F9694C"/>
    <w:rsid w:val="00F96CBD"/>
    <w:rsid w:val="00F96ECE"/>
    <w:rsid w:val="00F9721E"/>
    <w:rsid w:val="00F97DC6"/>
    <w:rsid w:val="00F97F78"/>
    <w:rsid w:val="00FA08CB"/>
    <w:rsid w:val="00FA0DF5"/>
    <w:rsid w:val="00FA3BA2"/>
    <w:rsid w:val="00FA40E9"/>
    <w:rsid w:val="00FA5343"/>
    <w:rsid w:val="00FA5518"/>
    <w:rsid w:val="00FA5876"/>
    <w:rsid w:val="00FA59D8"/>
    <w:rsid w:val="00FA5EAE"/>
    <w:rsid w:val="00FA62F1"/>
    <w:rsid w:val="00FA74A8"/>
    <w:rsid w:val="00FB077D"/>
    <w:rsid w:val="00FB087A"/>
    <w:rsid w:val="00FB19C9"/>
    <w:rsid w:val="00FB20D4"/>
    <w:rsid w:val="00FB2AE6"/>
    <w:rsid w:val="00FB3BCD"/>
    <w:rsid w:val="00FB4A0B"/>
    <w:rsid w:val="00FB4A49"/>
    <w:rsid w:val="00FB566D"/>
    <w:rsid w:val="00FB5FFA"/>
    <w:rsid w:val="00FB6539"/>
    <w:rsid w:val="00FB6795"/>
    <w:rsid w:val="00FB69AC"/>
    <w:rsid w:val="00FB6E27"/>
    <w:rsid w:val="00FC0EA9"/>
    <w:rsid w:val="00FC0F41"/>
    <w:rsid w:val="00FC2544"/>
    <w:rsid w:val="00FC25FF"/>
    <w:rsid w:val="00FC2D6B"/>
    <w:rsid w:val="00FC51B5"/>
    <w:rsid w:val="00FC5FCF"/>
    <w:rsid w:val="00FC7BD2"/>
    <w:rsid w:val="00FC7C34"/>
    <w:rsid w:val="00FD0424"/>
    <w:rsid w:val="00FD07C4"/>
    <w:rsid w:val="00FD12F9"/>
    <w:rsid w:val="00FD25BB"/>
    <w:rsid w:val="00FD2649"/>
    <w:rsid w:val="00FD33E1"/>
    <w:rsid w:val="00FD353A"/>
    <w:rsid w:val="00FD3905"/>
    <w:rsid w:val="00FD3A7E"/>
    <w:rsid w:val="00FD3AF7"/>
    <w:rsid w:val="00FD578F"/>
    <w:rsid w:val="00FD69E4"/>
    <w:rsid w:val="00FD7065"/>
    <w:rsid w:val="00FD7146"/>
    <w:rsid w:val="00FE011C"/>
    <w:rsid w:val="00FE0552"/>
    <w:rsid w:val="00FE10A5"/>
    <w:rsid w:val="00FE1250"/>
    <w:rsid w:val="00FE1257"/>
    <w:rsid w:val="00FE1EDE"/>
    <w:rsid w:val="00FE26F9"/>
    <w:rsid w:val="00FE3180"/>
    <w:rsid w:val="00FE3DBC"/>
    <w:rsid w:val="00FE42BF"/>
    <w:rsid w:val="00FE46A7"/>
    <w:rsid w:val="00FE5A69"/>
    <w:rsid w:val="00FE6B3A"/>
    <w:rsid w:val="00FE6FAD"/>
    <w:rsid w:val="00FF000C"/>
    <w:rsid w:val="00FF0B1E"/>
    <w:rsid w:val="00FF1176"/>
    <w:rsid w:val="00FF2146"/>
    <w:rsid w:val="00FF283C"/>
    <w:rsid w:val="00FF2856"/>
    <w:rsid w:val="00FF4104"/>
    <w:rsid w:val="00FF4323"/>
    <w:rsid w:val="00FF4771"/>
    <w:rsid w:val="00FF4C69"/>
    <w:rsid w:val="00FF4C94"/>
    <w:rsid w:val="00FF517B"/>
    <w:rsid w:val="00FF52B2"/>
    <w:rsid w:val="00FF58E8"/>
    <w:rsid w:val="00FF5A47"/>
    <w:rsid w:val="036567CE"/>
    <w:rsid w:val="14071963"/>
    <w:rsid w:val="14244C0F"/>
    <w:rsid w:val="27254B03"/>
    <w:rsid w:val="312C3A97"/>
    <w:rsid w:val="397D739C"/>
    <w:rsid w:val="47867E81"/>
    <w:rsid w:val="619E16F4"/>
    <w:rsid w:val="69900D86"/>
    <w:rsid w:val="723D6B91"/>
    <w:rsid w:val="7A0C6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46D0F"/>
  <w15:docId w15:val="{601138DB-DBE1-4414-8B15-14B353B1D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qFormat/>
    <w:pPr>
      <w:spacing w:after="120"/>
      <w:ind w:leftChars="200" w:left="420"/>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character" w:customStyle="1" w:styleId="a4">
    <w:name w:val="正文文本缩进 字符"/>
    <w:basedOn w:val="a0"/>
    <w:link w:val="a3"/>
    <w:uiPriority w:val="99"/>
    <w:semiHidden/>
    <w:qFormat/>
  </w:style>
  <w:style w:type="character" w:styleId="ab">
    <w:name w:val="annotation reference"/>
    <w:basedOn w:val="a0"/>
    <w:uiPriority w:val="99"/>
    <w:semiHidden/>
    <w:unhideWhenUsed/>
    <w:rsid w:val="005545F1"/>
    <w:rPr>
      <w:sz w:val="21"/>
      <w:szCs w:val="21"/>
    </w:rPr>
  </w:style>
  <w:style w:type="paragraph" w:styleId="ac">
    <w:name w:val="annotation text"/>
    <w:basedOn w:val="a"/>
    <w:link w:val="ad"/>
    <w:uiPriority w:val="99"/>
    <w:semiHidden/>
    <w:unhideWhenUsed/>
    <w:rsid w:val="005545F1"/>
    <w:pPr>
      <w:jc w:val="left"/>
    </w:pPr>
  </w:style>
  <w:style w:type="character" w:customStyle="1" w:styleId="ad">
    <w:name w:val="批注文字 字符"/>
    <w:basedOn w:val="a0"/>
    <w:link w:val="ac"/>
    <w:uiPriority w:val="99"/>
    <w:semiHidden/>
    <w:rsid w:val="005545F1"/>
    <w:rPr>
      <w:kern w:val="2"/>
      <w:sz w:val="21"/>
      <w:szCs w:val="22"/>
    </w:rPr>
  </w:style>
  <w:style w:type="paragraph" w:styleId="ae">
    <w:name w:val="annotation subject"/>
    <w:basedOn w:val="ac"/>
    <w:next w:val="ac"/>
    <w:link w:val="af"/>
    <w:uiPriority w:val="99"/>
    <w:semiHidden/>
    <w:unhideWhenUsed/>
    <w:rsid w:val="005545F1"/>
    <w:rPr>
      <w:b/>
      <w:bCs/>
    </w:rPr>
  </w:style>
  <w:style w:type="character" w:customStyle="1" w:styleId="af">
    <w:name w:val="批注主题 字符"/>
    <w:basedOn w:val="ad"/>
    <w:link w:val="ae"/>
    <w:uiPriority w:val="99"/>
    <w:semiHidden/>
    <w:rsid w:val="005545F1"/>
    <w:rPr>
      <w:b/>
      <w:bCs/>
      <w:kern w:val="2"/>
      <w:sz w:val="21"/>
      <w:szCs w:val="22"/>
    </w:rPr>
  </w:style>
  <w:style w:type="table" w:styleId="af0">
    <w:name w:val="Table Grid"/>
    <w:basedOn w:val="a1"/>
    <w:uiPriority w:val="59"/>
    <w:rsid w:val="00690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31578">
      <w:bodyDiv w:val="1"/>
      <w:marLeft w:val="0"/>
      <w:marRight w:val="0"/>
      <w:marTop w:val="0"/>
      <w:marBottom w:val="0"/>
      <w:divBdr>
        <w:top w:val="none" w:sz="0" w:space="0" w:color="auto"/>
        <w:left w:val="none" w:sz="0" w:space="0" w:color="auto"/>
        <w:bottom w:val="none" w:sz="0" w:space="0" w:color="auto"/>
        <w:right w:val="none" w:sz="0" w:space="0" w:color="auto"/>
      </w:divBdr>
      <w:divsChild>
        <w:div w:id="1572539677">
          <w:marLeft w:val="0"/>
          <w:marRight w:val="0"/>
          <w:marTop w:val="0"/>
          <w:marBottom w:val="0"/>
          <w:divBdr>
            <w:top w:val="none" w:sz="0" w:space="0" w:color="auto"/>
            <w:left w:val="none" w:sz="0" w:space="0" w:color="auto"/>
            <w:bottom w:val="none" w:sz="0" w:space="0" w:color="auto"/>
            <w:right w:val="none" w:sz="0" w:space="0" w:color="auto"/>
          </w:divBdr>
        </w:div>
        <w:div w:id="645279840">
          <w:marLeft w:val="0"/>
          <w:marRight w:val="0"/>
          <w:marTop w:val="0"/>
          <w:marBottom w:val="0"/>
          <w:divBdr>
            <w:top w:val="none" w:sz="0" w:space="0" w:color="auto"/>
            <w:left w:val="none" w:sz="0" w:space="0" w:color="auto"/>
            <w:bottom w:val="none" w:sz="0" w:space="0" w:color="auto"/>
            <w:right w:val="none" w:sz="0" w:space="0" w:color="auto"/>
          </w:divBdr>
        </w:div>
        <w:div w:id="1601718008">
          <w:marLeft w:val="0"/>
          <w:marRight w:val="0"/>
          <w:marTop w:val="0"/>
          <w:marBottom w:val="0"/>
          <w:divBdr>
            <w:top w:val="none" w:sz="0" w:space="0" w:color="auto"/>
            <w:left w:val="none" w:sz="0" w:space="0" w:color="auto"/>
            <w:bottom w:val="none" w:sz="0" w:space="0" w:color="auto"/>
            <w:right w:val="none" w:sz="0" w:space="0" w:color="auto"/>
          </w:divBdr>
        </w:div>
        <w:div w:id="846676571">
          <w:marLeft w:val="0"/>
          <w:marRight w:val="0"/>
          <w:marTop w:val="0"/>
          <w:marBottom w:val="0"/>
          <w:divBdr>
            <w:top w:val="none" w:sz="0" w:space="0" w:color="auto"/>
            <w:left w:val="none" w:sz="0" w:space="0" w:color="auto"/>
            <w:bottom w:val="none" w:sz="0" w:space="0" w:color="auto"/>
            <w:right w:val="none" w:sz="0" w:space="0" w:color="auto"/>
          </w:divBdr>
        </w:div>
        <w:div w:id="1187865031">
          <w:marLeft w:val="0"/>
          <w:marRight w:val="0"/>
          <w:marTop w:val="0"/>
          <w:marBottom w:val="0"/>
          <w:divBdr>
            <w:top w:val="none" w:sz="0" w:space="0" w:color="auto"/>
            <w:left w:val="none" w:sz="0" w:space="0" w:color="auto"/>
            <w:bottom w:val="none" w:sz="0" w:space="0" w:color="auto"/>
            <w:right w:val="none" w:sz="0" w:space="0" w:color="auto"/>
          </w:divBdr>
        </w:div>
        <w:div w:id="1156536664">
          <w:marLeft w:val="0"/>
          <w:marRight w:val="0"/>
          <w:marTop w:val="0"/>
          <w:marBottom w:val="0"/>
          <w:divBdr>
            <w:top w:val="none" w:sz="0" w:space="0" w:color="auto"/>
            <w:left w:val="none" w:sz="0" w:space="0" w:color="auto"/>
            <w:bottom w:val="none" w:sz="0" w:space="0" w:color="auto"/>
            <w:right w:val="none" w:sz="0" w:space="0" w:color="auto"/>
          </w:divBdr>
        </w:div>
        <w:div w:id="490364798">
          <w:marLeft w:val="0"/>
          <w:marRight w:val="0"/>
          <w:marTop w:val="0"/>
          <w:marBottom w:val="0"/>
          <w:divBdr>
            <w:top w:val="none" w:sz="0" w:space="0" w:color="auto"/>
            <w:left w:val="none" w:sz="0" w:space="0" w:color="auto"/>
            <w:bottom w:val="none" w:sz="0" w:space="0" w:color="auto"/>
            <w:right w:val="none" w:sz="0" w:space="0" w:color="auto"/>
          </w:divBdr>
        </w:div>
        <w:div w:id="468672392">
          <w:marLeft w:val="0"/>
          <w:marRight w:val="0"/>
          <w:marTop w:val="0"/>
          <w:marBottom w:val="0"/>
          <w:divBdr>
            <w:top w:val="none" w:sz="0" w:space="0" w:color="auto"/>
            <w:left w:val="none" w:sz="0" w:space="0" w:color="auto"/>
            <w:bottom w:val="none" w:sz="0" w:space="0" w:color="auto"/>
            <w:right w:val="none" w:sz="0" w:space="0" w:color="auto"/>
          </w:divBdr>
        </w:div>
        <w:div w:id="2107000016">
          <w:marLeft w:val="0"/>
          <w:marRight w:val="0"/>
          <w:marTop w:val="0"/>
          <w:marBottom w:val="0"/>
          <w:divBdr>
            <w:top w:val="none" w:sz="0" w:space="0" w:color="auto"/>
            <w:left w:val="none" w:sz="0" w:space="0" w:color="auto"/>
            <w:bottom w:val="none" w:sz="0" w:space="0" w:color="auto"/>
            <w:right w:val="none" w:sz="0" w:space="0" w:color="auto"/>
          </w:divBdr>
        </w:div>
      </w:divsChild>
    </w:div>
    <w:div w:id="56974916">
      <w:bodyDiv w:val="1"/>
      <w:marLeft w:val="0"/>
      <w:marRight w:val="0"/>
      <w:marTop w:val="0"/>
      <w:marBottom w:val="0"/>
      <w:divBdr>
        <w:top w:val="none" w:sz="0" w:space="0" w:color="auto"/>
        <w:left w:val="none" w:sz="0" w:space="0" w:color="auto"/>
        <w:bottom w:val="none" w:sz="0" w:space="0" w:color="auto"/>
        <w:right w:val="none" w:sz="0" w:space="0" w:color="auto"/>
      </w:divBdr>
      <w:divsChild>
        <w:div w:id="955334983">
          <w:marLeft w:val="0"/>
          <w:marRight w:val="0"/>
          <w:marTop w:val="0"/>
          <w:marBottom w:val="0"/>
          <w:divBdr>
            <w:top w:val="none" w:sz="0" w:space="0" w:color="auto"/>
            <w:left w:val="none" w:sz="0" w:space="0" w:color="auto"/>
            <w:bottom w:val="none" w:sz="0" w:space="0" w:color="auto"/>
            <w:right w:val="none" w:sz="0" w:space="0" w:color="auto"/>
          </w:divBdr>
        </w:div>
        <w:div w:id="1715036060">
          <w:marLeft w:val="0"/>
          <w:marRight w:val="0"/>
          <w:marTop w:val="0"/>
          <w:marBottom w:val="0"/>
          <w:divBdr>
            <w:top w:val="none" w:sz="0" w:space="0" w:color="auto"/>
            <w:left w:val="none" w:sz="0" w:space="0" w:color="auto"/>
            <w:bottom w:val="none" w:sz="0" w:space="0" w:color="auto"/>
            <w:right w:val="none" w:sz="0" w:space="0" w:color="auto"/>
          </w:divBdr>
        </w:div>
        <w:div w:id="249118477">
          <w:marLeft w:val="0"/>
          <w:marRight w:val="0"/>
          <w:marTop w:val="0"/>
          <w:marBottom w:val="0"/>
          <w:divBdr>
            <w:top w:val="none" w:sz="0" w:space="0" w:color="auto"/>
            <w:left w:val="none" w:sz="0" w:space="0" w:color="auto"/>
            <w:bottom w:val="none" w:sz="0" w:space="0" w:color="auto"/>
            <w:right w:val="none" w:sz="0" w:space="0" w:color="auto"/>
          </w:divBdr>
        </w:div>
        <w:div w:id="1757940024">
          <w:marLeft w:val="0"/>
          <w:marRight w:val="0"/>
          <w:marTop w:val="0"/>
          <w:marBottom w:val="0"/>
          <w:divBdr>
            <w:top w:val="none" w:sz="0" w:space="0" w:color="auto"/>
            <w:left w:val="none" w:sz="0" w:space="0" w:color="auto"/>
            <w:bottom w:val="none" w:sz="0" w:space="0" w:color="auto"/>
            <w:right w:val="none" w:sz="0" w:space="0" w:color="auto"/>
          </w:divBdr>
        </w:div>
        <w:div w:id="633684803">
          <w:marLeft w:val="0"/>
          <w:marRight w:val="0"/>
          <w:marTop w:val="0"/>
          <w:marBottom w:val="0"/>
          <w:divBdr>
            <w:top w:val="none" w:sz="0" w:space="0" w:color="auto"/>
            <w:left w:val="none" w:sz="0" w:space="0" w:color="auto"/>
            <w:bottom w:val="none" w:sz="0" w:space="0" w:color="auto"/>
            <w:right w:val="none" w:sz="0" w:space="0" w:color="auto"/>
          </w:divBdr>
        </w:div>
      </w:divsChild>
    </w:div>
    <w:div w:id="70124366">
      <w:bodyDiv w:val="1"/>
      <w:marLeft w:val="0"/>
      <w:marRight w:val="0"/>
      <w:marTop w:val="0"/>
      <w:marBottom w:val="0"/>
      <w:divBdr>
        <w:top w:val="none" w:sz="0" w:space="0" w:color="auto"/>
        <w:left w:val="none" w:sz="0" w:space="0" w:color="auto"/>
        <w:bottom w:val="none" w:sz="0" w:space="0" w:color="auto"/>
        <w:right w:val="none" w:sz="0" w:space="0" w:color="auto"/>
      </w:divBdr>
      <w:divsChild>
        <w:div w:id="1599100138">
          <w:marLeft w:val="0"/>
          <w:marRight w:val="0"/>
          <w:marTop w:val="0"/>
          <w:marBottom w:val="0"/>
          <w:divBdr>
            <w:top w:val="none" w:sz="0" w:space="0" w:color="auto"/>
            <w:left w:val="none" w:sz="0" w:space="0" w:color="auto"/>
            <w:bottom w:val="none" w:sz="0" w:space="0" w:color="auto"/>
            <w:right w:val="none" w:sz="0" w:space="0" w:color="auto"/>
          </w:divBdr>
        </w:div>
        <w:div w:id="1156654585">
          <w:marLeft w:val="0"/>
          <w:marRight w:val="0"/>
          <w:marTop w:val="0"/>
          <w:marBottom w:val="0"/>
          <w:divBdr>
            <w:top w:val="none" w:sz="0" w:space="0" w:color="auto"/>
            <w:left w:val="none" w:sz="0" w:space="0" w:color="auto"/>
            <w:bottom w:val="none" w:sz="0" w:space="0" w:color="auto"/>
            <w:right w:val="none" w:sz="0" w:space="0" w:color="auto"/>
          </w:divBdr>
        </w:div>
        <w:div w:id="1140613537">
          <w:marLeft w:val="0"/>
          <w:marRight w:val="0"/>
          <w:marTop w:val="0"/>
          <w:marBottom w:val="0"/>
          <w:divBdr>
            <w:top w:val="none" w:sz="0" w:space="0" w:color="auto"/>
            <w:left w:val="none" w:sz="0" w:space="0" w:color="auto"/>
            <w:bottom w:val="none" w:sz="0" w:space="0" w:color="auto"/>
            <w:right w:val="none" w:sz="0" w:space="0" w:color="auto"/>
          </w:divBdr>
        </w:div>
        <w:div w:id="312685716">
          <w:marLeft w:val="0"/>
          <w:marRight w:val="0"/>
          <w:marTop w:val="0"/>
          <w:marBottom w:val="0"/>
          <w:divBdr>
            <w:top w:val="none" w:sz="0" w:space="0" w:color="auto"/>
            <w:left w:val="none" w:sz="0" w:space="0" w:color="auto"/>
            <w:bottom w:val="none" w:sz="0" w:space="0" w:color="auto"/>
            <w:right w:val="none" w:sz="0" w:space="0" w:color="auto"/>
          </w:divBdr>
        </w:div>
        <w:div w:id="555239589">
          <w:marLeft w:val="0"/>
          <w:marRight w:val="0"/>
          <w:marTop w:val="0"/>
          <w:marBottom w:val="0"/>
          <w:divBdr>
            <w:top w:val="none" w:sz="0" w:space="0" w:color="auto"/>
            <w:left w:val="none" w:sz="0" w:space="0" w:color="auto"/>
            <w:bottom w:val="none" w:sz="0" w:space="0" w:color="auto"/>
            <w:right w:val="none" w:sz="0" w:space="0" w:color="auto"/>
          </w:divBdr>
        </w:div>
        <w:div w:id="2097363069">
          <w:marLeft w:val="0"/>
          <w:marRight w:val="0"/>
          <w:marTop w:val="0"/>
          <w:marBottom w:val="0"/>
          <w:divBdr>
            <w:top w:val="none" w:sz="0" w:space="0" w:color="auto"/>
            <w:left w:val="none" w:sz="0" w:space="0" w:color="auto"/>
            <w:bottom w:val="none" w:sz="0" w:space="0" w:color="auto"/>
            <w:right w:val="none" w:sz="0" w:space="0" w:color="auto"/>
          </w:divBdr>
        </w:div>
        <w:div w:id="485316772">
          <w:marLeft w:val="0"/>
          <w:marRight w:val="0"/>
          <w:marTop w:val="0"/>
          <w:marBottom w:val="0"/>
          <w:divBdr>
            <w:top w:val="none" w:sz="0" w:space="0" w:color="auto"/>
            <w:left w:val="none" w:sz="0" w:space="0" w:color="auto"/>
            <w:bottom w:val="none" w:sz="0" w:space="0" w:color="auto"/>
            <w:right w:val="none" w:sz="0" w:space="0" w:color="auto"/>
          </w:divBdr>
        </w:div>
        <w:div w:id="647321138">
          <w:marLeft w:val="0"/>
          <w:marRight w:val="0"/>
          <w:marTop w:val="0"/>
          <w:marBottom w:val="0"/>
          <w:divBdr>
            <w:top w:val="none" w:sz="0" w:space="0" w:color="auto"/>
            <w:left w:val="none" w:sz="0" w:space="0" w:color="auto"/>
            <w:bottom w:val="none" w:sz="0" w:space="0" w:color="auto"/>
            <w:right w:val="none" w:sz="0" w:space="0" w:color="auto"/>
          </w:divBdr>
        </w:div>
        <w:div w:id="1430614491">
          <w:marLeft w:val="0"/>
          <w:marRight w:val="0"/>
          <w:marTop w:val="0"/>
          <w:marBottom w:val="0"/>
          <w:divBdr>
            <w:top w:val="none" w:sz="0" w:space="0" w:color="auto"/>
            <w:left w:val="none" w:sz="0" w:space="0" w:color="auto"/>
            <w:bottom w:val="none" w:sz="0" w:space="0" w:color="auto"/>
            <w:right w:val="none" w:sz="0" w:space="0" w:color="auto"/>
          </w:divBdr>
        </w:div>
      </w:divsChild>
    </w:div>
    <w:div w:id="106314409">
      <w:bodyDiv w:val="1"/>
      <w:marLeft w:val="0"/>
      <w:marRight w:val="0"/>
      <w:marTop w:val="0"/>
      <w:marBottom w:val="0"/>
      <w:divBdr>
        <w:top w:val="none" w:sz="0" w:space="0" w:color="auto"/>
        <w:left w:val="none" w:sz="0" w:space="0" w:color="auto"/>
        <w:bottom w:val="none" w:sz="0" w:space="0" w:color="auto"/>
        <w:right w:val="none" w:sz="0" w:space="0" w:color="auto"/>
      </w:divBdr>
      <w:divsChild>
        <w:div w:id="272516397">
          <w:marLeft w:val="0"/>
          <w:marRight w:val="0"/>
          <w:marTop w:val="0"/>
          <w:marBottom w:val="0"/>
          <w:divBdr>
            <w:top w:val="none" w:sz="0" w:space="0" w:color="auto"/>
            <w:left w:val="none" w:sz="0" w:space="0" w:color="auto"/>
            <w:bottom w:val="none" w:sz="0" w:space="0" w:color="auto"/>
            <w:right w:val="none" w:sz="0" w:space="0" w:color="auto"/>
          </w:divBdr>
        </w:div>
        <w:div w:id="1686057176">
          <w:marLeft w:val="0"/>
          <w:marRight w:val="0"/>
          <w:marTop w:val="0"/>
          <w:marBottom w:val="0"/>
          <w:divBdr>
            <w:top w:val="none" w:sz="0" w:space="0" w:color="auto"/>
            <w:left w:val="none" w:sz="0" w:space="0" w:color="auto"/>
            <w:bottom w:val="none" w:sz="0" w:space="0" w:color="auto"/>
            <w:right w:val="none" w:sz="0" w:space="0" w:color="auto"/>
          </w:divBdr>
        </w:div>
        <w:div w:id="1688406031">
          <w:marLeft w:val="0"/>
          <w:marRight w:val="0"/>
          <w:marTop w:val="0"/>
          <w:marBottom w:val="0"/>
          <w:divBdr>
            <w:top w:val="none" w:sz="0" w:space="0" w:color="auto"/>
            <w:left w:val="none" w:sz="0" w:space="0" w:color="auto"/>
            <w:bottom w:val="none" w:sz="0" w:space="0" w:color="auto"/>
            <w:right w:val="none" w:sz="0" w:space="0" w:color="auto"/>
          </w:divBdr>
        </w:div>
        <w:div w:id="962343436">
          <w:marLeft w:val="0"/>
          <w:marRight w:val="0"/>
          <w:marTop w:val="0"/>
          <w:marBottom w:val="0"/>
          <w:divBdr>
            <w:top w:val="none" w:sz="0" w:space="0" w:color="auto"/>
            <w:left w:val="none" w:sz="0" w:space="0" w:color="auto"/>
            <w:bottom w:val="none" w:sz="0" w:space="0" w:color="auto"/>
            <w:right w:val="none" w:sz="0" w:space="0" w:color="auto"/>
          </w:divBdr>
        </w:div>
      </w:divsChild>
    </w:div>
    <w:div w:id="116528957">
      <w:bodyDiv w:val="1"/>
      <w:marLeft w:val="0"/>
      <w:marRight w:val="0"/>
      <w:marTop w:val="0"/>
      <w:marBottom w:val="0"/>
      <w:divBdr>
        <w:top w:val="none" w:sz="0" w:space="0" w:color="auto"/>
        <w:left w:val="none" w:sz="0" w:space="0" w:color="auto"/>
        <w:bottom w:val="none" w:sz="0" w:space="0" w:color="auto"/>
        <w:right w:val="none" w:sz="0" w:space="0" w:color="auto"/>
      </w:divBdr>
      <w:divsChild>
        <w:div w:id="54554418">
          <w:marLeft w:val="0"/>
          <w:marRight w:val="0"/>
          <w:marTop w:val="0"/>
          <w:marBottom w:val="0"/>
          <w:divBdr>
            <w:top w:val="none" w:sz="0" w:space="0" w:color="auto"/>
            <w:left w:val="none" w:sz="0" w:space="0" w:color="auto"/>
            <w:bottom w:val="none" w:sz="0" w:space="0" w:color="auto"/>
            <w:right w:val="none" w:sz="0" w:space="0" w:color="auto"/>
          </w:divBdr>
        </w:div>
        <w:div w:id="104273873">
          <w:marLeft w:val="0"/>
          <w:marRight w:val="0"/>
          <w:marTop w:val="0"/>
          <w:marBottom w:val="0"/>
          <w:divBdr>
            <w:top w:val="none" w:sz="0" w:space="0" w:color="auto"/>
            <w:left w:val="none" w:sz="0" w:space="0" w:color="auto"/>
            <w:bottom w:val="none" w:sz="0" w:space="0" w:color="auto"/>
            <w:right w:val="none" w:sz="0" w:space="0" w:color="auto"/>
          </w:divBdr>
        </w:div>
        <w:div w:id="1029138950">
          <w:marLeft w:val="0"/>
          <w:marRight w:val="0"/>
          <w:marTop w:val="0"/>
          <w:marBottom w:val="0"/>
          <w:divBdr>
            <w:top w:val="none" w:sz="0" w:space="0" w:color="auto"/>
            <w:left w:val="none" w:sz="0" w:space="0" w:color="auto"/>
            <w:bottom w:val="none" w:sz="0" w:space="0" w:color="auto"/>
            <w:right w:val="none" w:sz="0" w:space="0" w:color="auto"/>
          </w:divBdr>
        </w:div>
      </w:divsChild>
    </w:div>
    <w:div w:id="120804425">
      <w:bodyDiv w:val="1"/>
      <w:marLeft w:val="0"/>
      <w:marRight w:val="0"/>
      <w:marTop w:val="0"/>
      <w:marBottom w:val="0"/>
      <w:divBdr>
        <w:top w:val="none" w:sz="0" w:space="0" w:color="auto"/>
        <w:left w:val="none" w:sz="0" w:space="0" w:color="auto"/>
        <w:bottom w:val="none" w:sz="0" w:space="0" w:color="auto"/>
        <w:right w:val="none" w:sz="0" w:space="0" w:color="auto"/>
      </w:divBdr>
      <w:divsChild>
        <w:div w:id="133448078">
          <w:marLeft w:val="0"/>
          <w:marRight w:val="0"/>
          <w:marTop w:val="0"/>
          <w:marBottom w:val="0"/>
          <w:divBdr>
            <w:top w:val="none" w:sz="0" w:space="0" w:color="auto"/>
            <w:left w:val="none" w:sz="0" w:space="0" w:color="auto"/>
            <w:bottom w:val="none" w:sz="0" w:space="0" w:color="auto"/>
            <w:right w:val="none" w:sz="0" w:space="0" w:color="auto"/>
          </w:divBdr>
        </w:div>
        <w:div w:id="2067486935">
          <w:marLeft w:val="0"/>
          <w:marRight w:val="0"/>
          <w:marTop w:val="0"/>
          <w:marBottom w:val="0"/>
          <w:divBdr>
            <w:top w:val="none" w:sz="0" w:space="0" w:color="auto"/>
            <w:left w:val="none" w:sz="0" w:space="0" w:color="auto"/>
            <w:bottom w:val="none" w:sz="0" w:space="0" w:color="auto"/>
            <w:right w:val="none" w:sz="0" w:space="0" w:color="auto"/>
          </w:divBdr>
        </w:div>
        <w:div w:id="1129013172">
          <w:marLeft w:val="0"/>
          <w:marRight w:val="0"/>
          <w:marTop w:val="0"/>
          <w:marBottom w:val="0"/>
          <w:divBdr>
            <w:top w:val="none" w:sz="0" w:space="0" w:color="auto"/>
            <w:left w:val="none" w:sz="0" w:space="0" w:color="auto"/>
            <w:bottom w:val="none" w:sz="0" w:space="0" w:color="auto"/>
            <w:right w:val="none" w:sz="0" w:space="0" w:color="auto"/>
          </w:divBdr>
        </w:div>
        <w:div w:id="627275809">
          <w:marLeft w:val="0"/>
          <w:marRight w:val="0"/>
          <w:marTop w:val="0"/>
          <w:marBottom w:val="0"/>
          <w:divBdr>
            <w:top w:val="none" w:sz="0" w:space="0" w:color="auto"/>
            <w:left w:val="none" w:sz="0" w:space="0" w:color="auto"/>
            <w:bottom w:val="none" w:sz="0" w:space="0" w:color="auto"/>
            <w:right w:val="none" w:sz="0" w:space="0" w:color="auto"/>
          </w:divBdr>
        </w:div>
        <w:div w:id="663046193">
          <w:marLeft w:val="0"/>
          <w:marRight w:val="0"/>
          <w:marTop w:val="0"/>
          <w:marBottom w:val="0"/>
          <w:divBdr>
            <w:top w:val="none" w:sz="0" w:space="0" w:color="auto"/>
            <w:left w:val="none" w:sz="0" w:space="0" w:color="auto"/>
            <w:bottom w:val="none" w:sz="0" w:space="0" w:color="auto"/>
            <w:right w:val="none" w:sz="0" w:space="0" w:color="auto"/>
          </w:divBdr>
        </w:div>
        <w:div w:id="266616775">
          <w:marLeft w:val="0"/>
          <w:marRight w:val="0"/>
          <w:marTop w:val="0"/>
          <w:marBottom w:val="0"/>
          <w:divBdr>
            <w:top w:val="none" w:sz="0" w:space="0" w:color="auto"/>
            <w:left w:val="none" w:sz="0" w:space="0" w:color="auto"/>
            <w:bottom w:val="none" w:sz="0" w:space="0" w:color="auto"/>
            <w:right w:val="none" w:sz="0" w:space="0" w:color="auto"/>
          </w:divBdr>
        </w:div>
        <w:div w:id="1071394659">
          <w:marLeft w:val="0"/>
          <w:marRight w:val="0"/>
          <w:marTop w:val="0"/>
          <w:marBottom w:val="0"/>
          <w:divBdr>
            <w:top w:val="none" w:sz="0" w:space="0" w:color="auto"/>
            <w:left w:val="none" w:sz="0" w:space="0" w:color="auto"/>
            <w:bottom w:val="none" w:sz="0" w:space="0" w:color="auto"/>
            <w:right w:val="none" w:sz="0" w:space="0" w:color="auto"/>
          </w:divBdr>
        </w:div>
        <w:div w:id="1960604913">
          <w:marLeft w:val="0"/>
          <w:marRight w:val="0"/>
          <w:marTop w:val="0"/>
          <w:marBottom w:val="0"/>
          <w:divBdr>
            <w:top w:val="none" w:sz="0" w:space="0" w:color="auto"/>
            <w:left w:val="none" w:sz="0" w:space="0" w:color="auto"/>
            <w:bottom w:val="none" w:sz="0" w:space="0" w:color="auto"/>
            <w:right w:val="none" w:sz="0" w:space="0" w:color="auto"/>
          </w:divBdr>
        </w:div>
        <w:div w:id="1754088197">
          <w:marLeft w:val="0"/>
          <w:marRight w:val="0"/>
          <w:marTop w:val="0"/>
          <w:marBottom w:val="0"/>
          <w:divBdr>
            <w:top w:val="none" w:sz="0" w:space="0" w:color="auto"/>
            <w:left w:val="none" w:sz="0" w:space="0" w:color="auto"/>
            <w:bottom w:val="none" w:sz="0" w:space="0" w:color="auto"/>
            <w:right w:val="none" w:sz="0" w:space="0" w:color="auto"/>
          </w:divBdr>
        </w:div>
        <w:div w:id="978463095">
          <w:marLeft w:val="0"/>
          <w:marRight w:val="0"/>
          <w:marTop w:val="0"/>
          <w:marBottom w:val="0"/>
          <w:divBdr>
            <w:top w:val="none" w:sz="0" w:space="0" w:color="auto"/>
            <w:left w:val="none" w:sz="0" w:space="0" w:color="auto"/>
            <w:bottom w:val="none" w:sz="0" w:space="0" w:color="auto"/>
            <w:right w:val="none" w:sz="0" w:space="0" w:color="auto"/>
          </w:divBdr>
        </w:div>
        <w:div w:id="1209606420">
          <w:marLeft w:val="0"/>
          <w:marRight w:val="0"/>
          <w:marTop w:val="0"/>
          <w:marBottom w:val="0"/>
          <w:divBdr>
            <w:top w:val="none" w:sz="0" w:space="0" w:color="auto"/>
            <w:left w:val="none" w:sz="0" w:space="0" w:color="auto"/>
            <w:bottom w:val="none" w:sz="0" w:space="0" w:color="auto"/>
            <w:right w:val="none" w:sz="0" w:space="0" w:color="auto"/>
          </w:divBdr>
        </w:div>
      </w:divsChild>
    </w:div>
    <w:div w:id="134959126">
      <w:bodyDiv w:val="1"/>
      <w:marLeft w:val="0"/>
      <w:marRight w:val="0"/>
      <w:marTop w:val="0"/>
      <w:marBottom w:val="0"/>
      <w:divBdr>
        <w:top w:val="none" w:sz="0" w:space="0" w:color="auto"/>
        <w:left w:val="none" w:sz="0" w:space="0" w:color="auto"/>
        <w:bottom w:val="none" w:sz="0" w:space="0" w:color="auto"/>
        <w:right w:val="none" w:sz="0" w:space="0" w:color="auto"/>
      </w:divBdr>
      <w:divsChild>
        <w:div w:id="1298948058">
          <w:marLeft w:val="0"/>
          <w:marRight w:val="0"/>
          <w:marTop w:val="0"/>
          <w:marBottom w:val="0"/>
          <w:divBdr>
            <w:top w:val="none" w:sz="0" w:space="0" w:color="auto"/>
            <w:left w:val="none" w:sz="0" w:space="0" w:color="auto"/>
            <w:bottom w:val="none" w:sz="0" w:space="0" w:color="auto"/>
            <w:right w:val="none" w:sz="0" w:space="0" w:color="auto"/>
          </w:divBdr>
        </w:div>
        <w:div w:id="1500727990">
          <w:marLeft w:val="0"/>
          <w:marRight w:val="0"/>
          <w:marTop w:val="0"/>
          <w:marBottom w:val="0"/>
          <w:divBdr>
            <w:top w:val="none" w:sz="0" w:space="0" w:color="auto"/>
            <w:left w:val="none" w:sz="0" w:space="0" w:color="auto"/>
            <w:bottom w:val="none" w:sz="0" w:space="0" w:color="auto"/>
            <w:right w:val="none" w:sz="0" w:space="0" w:color="auto"/>
          </w:divBdr>
        </w:div>
        <w:div w:id="1155755531">
          <w:marLeft w:val="0"/>
          <w:marRight w:val="0"/>
          <w:marTop w:val="0"/>
          <w:marBottom w:val="0"/>
          <w:divBdr>
            <w:top w:val="none" w:sz="0" w:space="0" w:color="auto"/>
            <w:left w:val="none" w:sz="0" w:space="0" w:color="auto"/>
            <w:bottom w:val="none" w:sz="0" w:space="0" w:color="auto"/>
            <w:right w:val="none" w:sz="0" w:space="0" w:color="auto"/>
          </w:divBdr>
        </w:div>
        <w:div w:id="911547818">
          <w:marLeft w:val="0"/>
          <w:marRight w:val="0"/>
          <w:marTop w:val="0"/>
          <w:marBottom w:val="0"/>
          <w:divBdr>
            <w:top w:val="none" w:sz="0" w:space="0" w:color="auto"/>
            <w:left w:val="none" w:sz="0" w:space="0" w:color="auto"/>
            <w:bottom w:val="none" w:sz="0" w:space="0" w:color="auto"/>
            <w:right w:val="none" w:sz="0" w:space="0" w:color="auto"/>
          </w:divBdr>
        </w:div>
      </w:divsChild>
    </w:div>
    <w:div w:id="160976079">
      <w:bodyDiv w:val="1"/>
      <w:marLeft w:val="0"/>
      <w:marRight w:val="0"/>
      <w:marTop w:val="0"/>
      <w:marBottom w:val="0"/>
      <w:divBdr>
        <w:top w:val="none" w:sz="0" w:space="0" w:color="auto"/>
        <w:left w:val="none" w:sz="0" w:space="0" w:color="auto"/>
        <w:bottom w:val="none" w:sz="0" w:space="0" w:color="auto"/>
        <w:right w:val="none" w:sz="0" w:space="0" w:color="auto"/>
      </w:divBdr>
      <w:divsChild>
        <w:div w:id="186217628">
          <w:marLeft w:val="0"/>
          <w:marRight w:val="0"/>
          <w:marTop w:val="0"/>
          <w:marBottom w:val="0"/>
          <w:divBdr>
            <w:top w:val="none" w:sz="0" w:space="0" w:color="auto"/>
            <w:left w:val="none" w:sz="0" w:space="0" w:color="auto"/>
            <w:bottom w:val="none" w:sz="0" w:space="0" w:color="auto"/>
            <w:right w:val="none" w:sz="0" w:space="0" w:color="auto"/>
          </w:divBdr>
        </w:div>
        <w:div w:id="683947087">
          <w:marLeft w:val="0"/>
          <w:marRight w:val="0"/>
          <w:marTop w:val="0"/>
          <w:marBottom w:val="0"/>
          <w:divBdr>
            <w:top w:val="none" w:sz="0" w:space="0" w:color="auto"/>
            <w:left w:val="none" w:sz="0" w:space="0" w:color="auto"/>
            <w:bottom w:val="none" w:sz="0" w:space="0" w:color="auto"/>
            <w:right w:val="none" w:sz="0" w:space="0" w:color="auto"/>
          </w:divBdr>
        </w:div>
        <w:div w:id="1475100264">
          <w:marLeft w:val="0"/>
          <w:marRight w:val="0"/>
          <w:marTop w:val="0"/>
          <w:marBottom w:val="0"/>
          <w:divBdr>
            <w:top w:val="none" w:sz="0" w:space="0" w:color="auto"/>
            <w:left w:val="none" w:sz="0" w:space="0" w:color="auto"/>
            <w:bottom w:val="none" w:sz="0" w:space="0" w:color="auto"/>
            <w:right w:val="none" w:sz="0" w:space="0" w:color="auto"/>
          </w:divBdr>
        </w:div>
        <w:div w:id="1027296013">
          <w:marLeft w:val="0"/>
          <w:marRight w:val="0"/>
          <w:marTop w:val="0"/>
          <w:marBottom w:val="0"/>
          <w:divBdr>
            <w:top w:val="none" w:sz="0" w:space="0" w:color="auto"/>
            <w:left w:val="none" w:sz="0" w:space="0" w:color="auto"/>
            <w:bottom w:val="none" w:sz="0" w:space="0" w:color="auto"/>
            <w:right w:val="none" w:sz="0" w:space="0" w:color="auto"/>
          </w:divBdr>
        </w:div>
        <w:div w:id="1395810798">
          <w:marLeft w:val="0"/>
          <w:marRight w:val="0"/>
          <w:marTop w:val="0"/>
          <w:marBottom w:val="0"/>
          <w:divBdr>
            <w:top w:val="none" w:sz="0" w:space="0" w:color="auto"/>
            <w:left w:val="none" w:sz="0" w:space="0" w:color="auto"/>
            <w:bottom w:val="none" w:sz="0" w:space="0" w:color="auto"/>
            <w:right w:val="none" w:sz="0" w:space="0" w:color="auto"/>
          </w:divBdr>
        </w:div>
      </w:divsChild>
    </w:div>
    <w:div w:id="306322262">
      <w:bodyDiv w:val="1"/>
      <w:marLeft w:val="0"/>
      <w:marRight w:val="0"/>
      <w:marTop w:val="0"/>
      <w:marBottom w:val="0"/>
      <w:divBdr>
        <w:top w:val="none" w:sz="0" w:space="0" w:color="auto"/>
        <w:left w:val="none" w:sz="0" w:space="0" w:color="auto"/>
        <w:bottom w:val="none" w:sz="0" w:space="0" w:color="auto"/>
        <w:right w:val="none" w:sz="0" w:space="0" w:color="auto"/>
      </w:divBdr>
      <w:divsChild>
        <w:div w:id="647562194">
          <w:marLeft w:val="0"/>
          <w:marRight w:val="0"/>
          <w:marTop w:val="0"/>
          <w:marBottom w:val="0"/>
          <w:divBdr>
            <w:top w:val="none" w:sz="0" w:space="0" w:color="auto"/>
            <w:left w:val="none" w:sz="0" w:space="0" w:color="auto"/>
            <w:bottom w:val="none" w:sz="0" w:space="0" w:color="auto"/>
            <w:right w:val="none" w:sz="0" w:space="0" w:color="auto"/>
          </w:divBdr>
        </w:div>
        <w:div w:id="443698729">
          <w:marLeft w:val="0"/>
          <w:marRight w:val="0"/>
          <w:marTop w:val="0"/>
          <w:marBottom w:val="0"/>
          <w:divBdr>
            <w:top w:val="none" w:sz="0" w:space="0" w:color="auto"/>
            <w:left w:val="none" w:sz="0" w:space="0" w:color="auto"/>
            <w:bottom w:val="none" w:sz="0" w:space="0" w:color="auto"/>
            <w:right w:val="none" w:sz="0" w:space="0" w:color="auto"/>
          </w:divBdr>
        </w:div>
        <w:div w:id="350107879">
          <w:marLeft w:val="0"/>
          <w:marRight w:val="0"/>
          <w:marTop w:val="0"/>
          <w:marBottom w:val="0"/>
          <w:divBdr>
            <w:top w:val="none" w:sz="0" w:space="0" w:color="auto"/>
            <w:left w:val="none" w:sz="0" w:space="0" w:color="auto"/>
            <w:bottom w:val="none" w:sz="0" w:space="0" w:color="auto"/>
            <w:right w:val="none" w:sz="0" w:space="0" w:color="auto"/>
          </w:divBdr>
        </w:div>
      </w:divsChild>
    </w:div>
    <w:div w:id="314798971">
      <w:bodyDiv w:val="1"/>
      <w:marLeft w:val="0"/>
      <w:marRight w:val="0"/>
      <w:marTop w:val="0"/>
      <w:marBottom w:val="0"/>
      <w:divBdr>
        <w:top w:val="none" w:sz="0" w:space="0" w:color="auto"/>
        <w:left w:val="none" w:sz="0" w:space="0" w:color="auto"/>
        <w:bottom w:val="none" w:sz="0" w:space="0" w:color="auto"/>
        <w:right w:val="none" w:sz="0" w:space="0" w:color="auto"/>
      </w:divBdr>
      <w:divsChild>
        <w:div w:id="1812939624">
          <w:marLeft w:val="0"/>
          <w:marRight w:val="0"/>
          <w:marTop w:val="0"/>
          <w:marBottom w:val="0"/>
          <w:divBdr>
            <w:top w:val="none" w:sz="0" w:space="0" w:color="auto"/>
            <w:left w:val="none" w:sz="0" w:space="0" w:color="auto"/>
            <w:bottom w:val="none" w:sz="0" w:space="0" w:color="auto"/>
            <w:right w:val="none" w:sz="0" w:space="0" w:color="auto"/>
          </w:divBdr>
        </w:div>
        <w:div w:id="370424830">
          <w:marLeft w:val="0"/>
          <w:marRight w:val="0"/>
          <w:marTop w:val="0"/>
          <w:marBottom w:val="0"/>
          <w:divBdr>
            <w:top w:val="none" w:sz="0" w:space="0" w:color="auto"/>
            <w:left w:val="none" w:sz="0" w:space="0" w:color="auto"/>
            <w:bottom w:val="none" w:sz="0" w:space="0" w:color="auto"/>
            <w:right w:val="none" w:sz="0" w:space="0" w:color="auto"/>
          </w:divBdr>
        </w:div>
      </w:divsChild>
    </w:div>
    <w:div w:id="335233957">
      <w:bodyDiv w:val="1"/>
      <w:marLeft w:val="0"/>
      <w:marRight w:val="0"/>
      <w:marTop w:val="0"/>
      <w:marBottom w:val="0"/>
      <w:divBdr>
        <w:top w:val="none" w:sz="0" w:space="0" w:color="auto"/>
        <w:left w:val="none" w:sz="0" w:space="0" w:color="auto"/>
        <w:bottom w:val="none" w:sz="0" w:space="0" w:color="auto"/>
        <w:right w:val="none" w:sz="0" w:space="0" w:color="auto"/>
      </w:divBdr>
      <w:divsChild>
        <w:div w:id="44450038">
          <w:marLeft w:val="0"/>
          <w:marRight w:val="0"/>
          <w:marTop w:val="0"/>
          <w:marBottom w:val="0"/>
          <w:divBdr>
            <w:top w:val="none" w:sz="0" w:space="0" w:color="auto"/>
            <w:left w:val="none" w:sz="0" w:space="0" w:color="auto"/>
            <w:bottom w:val="none" w:sz="0" w:space="0" w:color="auto"/>
            <w:right w:val="none" w:sz="0" w:space="0" w:color="auto"/>
          </w:divBdr>
        </w:div>
        <w:div w:id="809522201">
          <w:marLeft w:val="0"/>
          <w:marRight w:val="0"/>
          <w:marTop w:val="0"/>
          <w:marBottom w:val="0"/>
          <w:divBdr>
            <w:top w:val="none" w:sz="0" w:space="0" w:color="auto"/>
            <w:left w:val="none" w:sz="0" w:space="0" w:color="auto"/>
            <w:bottom w:val="none" w:sz="0" w:space="0" w:color="auto"/>
            <w:right w:val="none" w:sz="0" w:space="0" w:color="auto"/>
          </w:divBdr>
        </w:div>
        <w:div w:id="1832483585">
          <w:marLeft w:val="0"/>
          <w:marRight w:val="0"/>
          <w:marTop w:val="0"/>
          <w:marBottom w:val="0"/>
          <w:divBdr>
            <w:top w:val="none" w:sz="0" w:space="0" w:color="auto"/>
            <w:left w:val="none" w:sz="0" w:space="0" w:color="auto"/>
            <w:bottom w:val="none" w:sz="0" w:space="0" w:color="auto"/>
            <w:right w:val="none" w:sz="0" w:space="0" w:color="auto"/>
          </w:divBdr>
        </w:div>
        <w:div w:id="1971132919">
          <w:marLeft w:val="0"/>
          <w:marRight w:val="0"/>
          <w:marTop w:val="0"/>
          <w:marBottom w:val="0"/>
          <w:divBdr>
            <w:top w:val="none" w:sz="0" w:space="0" w:color="auto"/>
            <w:left w:val="none" w:sz="0" w:space="0" w:color="auto"/>
            <w:bottom w:val="none" w:sz="0" w:space="0" w:color="auto"/>
            <w:right w:val="none" w:sz="0" w:space="0" w:color="auto"/>
          </w:divBdr>
        </w:div>
        <w:div w:id="902981029">
          <w:marLeft w:val="0"/>
          <w:marRight w:val="0"/>
          <w:marTop w:val="0"/>
          <w:marBottom w:val="0"/>
          <w:divBdr>
            <w:top w:val="none" w:sz="0" w:space="0" w:color="auto"/>
            <w:left w:val="none" w:sz="0" w:space="0" w:color="auto"/>
            <w:bottom w:val="none" w:sz="0" w:space="0" w:color="auto"/>
            <w:right w:val="none" w:sz="0" w:space="0" w:color="auto"/>
          </w:divBdr>
        </w:div>
      </w:divsChild>
    </w:div>
    <w:div w:id="379020408">
      <w:bodyDiv w:val="1"/>
      <w:marLeft w:val="0"/>
      <w:marRight w:val="0"/>
      <w:marTop w:val="0"/>
      <w:marBottom w:val="0"/>
      <w:divBdr>
        <w:top w:val="none" w:sz="0" w:space="0" w:color="auto"/>
        <w:left w:val="none" w:sz="0" w:space="0" w:color="auto"/>
        <w:bottom w:val="none" w:sz="0" w:space="0" w:color="auto"/>
        <w:right w:val="none" w:sz="0" w:space="0" w:color="auto"/>
      </w:divBdr>
      <w:divsChild>
        <w:div w:id="1847162668">
          <w:marLeft w:val="0"/>
          <w:marRight w:val="0"/>
          <w:marTop w:val="0"/>
          <w:marBottom w:val="0"/>
          <w:divBdr>
            <w:top w:val="none" w:sz="0" w:space="0" w:color="auto"/>
            <w:left w:val="none" w:sz="0" w:space="0" w:color="auto"/>
            <w:bottom w:val="none" w:sz="0" w:space="0" w:color="auto"/>
            <w:right w:val="none" w:sz="0" w:space="0" w:color="auto"/>
          </w:divBdr>
        </w:div>
        <w:div w:id="71196423">
          <w:marLeft w:val="0"/>
          <w:marRight w:val="0"/>
          <w:marTop w:val="0"/>
          <w:marBottom w:val="0"/>
          <w:divBdr>
            <w:top w:val="none" w:sz="0" w:space="0" w:color="auto"/>
            <w:left w:val="none" w:sz="0" w:space="0" w:color="auto"/>
            <w:bottom w:val="none" w:sz="0" w:space="0" w:color="auto"/>
            <w:right w:val="none" w:sz="0" w:space="0" w:color="auto"/>
          </w:divBdr>
        </w:div>
        <w:div w:id="768963009">
          <w:marLeft w:val="0"/>
          <w:marRight w:val="0"/>
          <w:marTop w:val="0"/>
          <w:marBottom w:val="0"/>
          <w:divBdr>
            <w:top w:val="none" w:sz="0" w:space="0" w:color="auto"/>
            <w:left w:val="none" w:sz="0" w:space="0" w:color="auto"/>
            <w:bottom w:val="none" w:sz="0" w:space="0" w:color="auto"/>
            <w:right w:val="none" w:sz="0" w:space="0" w:color="auto"/>
          </w:divBdr>
        </w:div>
      </w:divsChild>
    </w:div>
    <w:div w:id="379745522">
      <w:bodyDiv w:val="1"/>
      <w:marLeft w:val="0"/>
      <w:marRight w:val="0"/>
      <w:marTop w:val="0"/>
      <w:marBottom w:val="0"/>
      <w:divBdr>
        <w:top w:val="none" w:sz="0" w:space="0" w:color="auto"/>
        <w:left w:val="none" w:sz="0" w:space="0" w:color="auto"/>
        <w:bottom w:val="none" w:sz="0" w:space="0" w:color="auto"/>
        <w:right w:val="none" w:sz="0" w:space="0" w:color="auto"/>
      </w:divBdr>
      <w:divsChild>
        <w:div w:id="1055272135">
          <w:marLeft w:val="0"/>
          <w:marRight w:val="0"/>
          <w:marTop w:val="0"/>
          <w:marBottom w:val="0"/>
          <w:divBdr>
            <w:top w:val="none" w:sz="0" w:space="0" w:color="auto"/>
            <w:left w:val="none" w:sz="0" w:space="0" w:color="auto"/>
            <w:bottom w:val="none" w:sz="0" w:space="0" w:color="auto"/>
            <w:right w:val="none" w:sz="0" w:space="0" w:color="auto"/>
          </w:divBdr>
        </w:div>
        <w:div w:id="1992324910">
          <w:marLeft w:val="0"/>
          <w:marRight w:val="0"/>
          <w:marTop w:val="0"/>
          <w:marBottom w:val="0"/>
          <w:divBdr>
            <w:top w:val="none" w:sz="0" w:space="0" w:color="auto"/>
            <w:left w:val="none" w:sz="0" w:space="0" w:color="auto"/>
            <w:bottom w:val="none" w:sz="0" w:space="0" w:color="auto"/>
            <w:right w:val="none" w:sz="0" w:space="0" w:color="auto"/>
          </w:divBdr>
        </w:div>
        <w:div w:id="1362516892">
          <w:marLeft w:val="0"/>
          <w:marRight w:val="0"/>
          <w:marTop w:val="0"/>
          <w:marBottom w:val="0"/>
          <w:divBdr>
            <w:top w:val="none" w:sz="0" w:space="0" w:color="auto"/>
            <w:left w:val="none" w:sz="0" w:space="0" w:color="auto"/>
            <w:bottom w:val="none" w:sz="0" w:space="0" w:color="auto"/>
            <w:right w:val="none" w:sz="0" w:space="0" w:color="auto"/>
          </w:divBdr>
        </w:div>
        <w:div w:id="418795528">
          <w:marLeft w:val="0"/>
          <w:marRight w:val="0"/>
          <w:marTop w:val="0"/>
          <w:marBottom w:val="0"/>
          <w:divBdr>
            <w:top w:val="none" w:sz="0" w:space="0" w:color="auto"/>
            <w:left w:val="none" w:sz="0" w:space="0" w:color="auto"/>
            <w:bottom w:val="none" w:sz="0" w:space="0" w:color="auto"/>
            <w:right w:val="none" w:sz="0" w:space="0" w:color="auto"/>
          </w:divBdr>
        </w:div>
        <w:div w:id="1455714333">
          <w:marLeft w:val="0"/>
          <w:marRight w:val="0"/>
          <w:marTop w:val="0"/>
          <w:marBottom w:val="0"/>
          <w:divBdr>
            <w:top w:val="none" w:sz="0" w:space="0" w:color="auto"/>
            <w:left w:val="none" w:sz="0" w:space="0" w:color="auto"/>
            <w:bottom w:val="none" w:sz="0" w:space="0" w:color="auto"/>
            <w:right w:val="none" w:sz="0" w:space="0" w:color="auto"/>
          </w:divBdr>
        </w:div>
        <w:div w:id="778529873">
          <w:marLeft w:val="0"/>
          <w:marRight w:val="0"/>
          <w:marTop w:val="0"/>
          <w:marBottom w:val="0"/>
          <w:divBdr>
            <w:top w:val="none" w:sz="0" w:space="0" w:color="auto"/>
            <w:left w:val="none" w:sz="0" w:space="0" w:color="auto"/>
            <w:bottom w:val="none" w:sz="0" w:space="0" w:color="auto"/>
            <w:right w:val="none" w:sz="0" w:space="0" w:color="auto"/>
          </w:divBdr>
        </w:div>
      </w:divsChild>
    </w:div>
    <w:div w:id="425273490">
      <w:bodyDiv w:val="1"/>
      <w:marLeft w:val="0"/>
      <w:marRight w:val="0"/>
      <w:marTop w:val="0"/>
      <w:marBottom w:val="0"/>
      <w:divBdr>
        <w:top w:val="none" w:sz="0" w:space="0" w:color="auto"/>
        <w:left w:val="none" w:sz="0" w:space="0" w:color="auto"/>
        <w:bottom w:val="none" w:sz="0" w:space="0" w:color="auto"/>
        <w:right w:val="none" w:sz="0" w:space="0" w:color="auto"/>
      </w:divBdr>
      <w:divsChild>
        <w:div w:id="909732134">
          <w:marLeft w:val="0"/>
          <w:marRight w:val="0"/>
          <w:marTop w:val="0"/>
          <w:marBottom w:val="0"/>
          <w:divBdr>
            <w:top w:val="none" w:sz="0" w:space="0" w:color="auto"/>
            <w:left w:val="none" w:sz="0" w:space="0" w:color="auto"/>
            <w:bottom w:val="none" w:sz="0" w:space="0" w:color="auto"/>
            <w:right w:val="none" w:sz="0" w:space="0" w:color="auto"/>
          </w:divBdr>
        </w:div>
        <w:div w:id="1957373810">
          <w:marLeft w:val="0"/>
          <w:marRight w:val="0"/>
          <w:marTop w:val="0"/>
          <w:marBottom w:val="0"/>
          <w:divBdr>
            <w:top w:val="none" w:sz="0" w:space="0" w:color="auto"/>
            <w:left w:val="none" w:sz="0" w:space="0" w:color="auto"/>
            <w:bottom w:val="none" w:sz="0" w:space="0" w:color="auto"/>
            <w:right w:val="none" w:sz="0" w:space="0" w:color="auto"/>
          </w:divBdr>
        </w:div>
        <w:div w:id="1144927020">
          <w:marLeft w:val="0"/>
          <w:marRight w:val="0"/>
          <w:marTop w:val="0"/>
          <w:marBottom w:val="0"/>
          <w:divBdr>
            <w:top w:val="none" w:sz="0" w:space="0" w:color="auto"/>
            <w:left w:val="none" w:sz="0" w:space="0" w:color="auto"/>
            <w:bottom w:val="none" w:sz="0" w:space="0" w:color="auto"/>
            <w:right w:val="none" w:sz="0" w:space="0" w:color="auto"/>
          </w:divBdr>
        </w:div>
        <w:div w:id="975766332">
          <w:marLeft w:val="0"/>
          <w:marRight w:val="0"/>
          <w:marTop w:val="0"/>
          <w:marBottom w:val="0"/>
          <w:divBdr>
            <w:top w:val="none" w:sz="0" w:space="0" w:color="auto"/>
            <w:left w:val="none" w:sz="0" w:space="0" w:color="auto"/>
            <w:bottom w:val="none" w:sz="0" w:space="0" w:color="auto"/>
            <w:right w:val="none" w:sz="0" w:space="0" w:color="auto"/>
          </w:divBdr>
        </w:div>
      </w:divsChild>
    </w:div>
    <w:div w:id="465243032">
      <w:bodyDiv w:val="1"/>
      <w:marLeft w:val="0"/>
      <w:marRight w:val="0"/>
      <w:marTop w:val="0"/>
      <w:marBottom w:val="0"/>
      <w:divBdr>
        <w:top w:val="none" w:sz="0" w:space="0" w:color="auto"/>
        <w:left w:val="none" w:sz="0" w:space="0" w:color="auto"/>
        <w:bottom w:val="none" w:sz="0" w:space="0" w:color="auto"/>
        <w:right w:val="none" w:sz="0" w:space="0" w:color="auto"/>
      </w:divBdr>
      <w:divsChild>
        <w:div w:id="768308677">
          <w:marLeft w:val="0"/>
          <w:marRight w:val="0"/>
          <w:marTop w:val="0"/>
          <w:marBottom w:val="0"/>
          <w:divBdr>
            <w:top w:val="none" w:sz="0" w:space="0" w:color="auto"/>
            <w:left w:val="none" w:sz="0" w:space="0" w:color="auto"/>
            <w:bottom w:val="none" w:sz="0" w:space="0" w:color="auto"/>
            <w:right w:val="none" w:sz="0" w:space="0" w:color="auto"/>
          </w:divBdr>
        </w:div>
        <w:div w:id="814419521">
          <w:marLeft w:val="0"/>
          <w:marRight w:val="0"/>
          <w:marTop w:val="0"/>
          <w:marBottom w:val="0"/>
          <w:divBdr>
            <w:top w:val="none" w:sz="0" w:space="0" w:color="auto"/>
            <w:left w:val="none" w:sz="0" w:space="0" w:color="auto"/>
            <w:bottom w:val="none" w:sz="0" w:space="0" w:color="auto"/>
            <w:right w:val="none" w:sz="0" w:space="0" w:color="auto"/>
          </w:divBdr>
        </w:div>
        <w:div w:id="1926720293">
          <w:marLeft w:val="0"/>
          <w:marRight w:val="0"/>
          <w:marTop w:val="0"/>
          <w:marBottom w:val="0"/>
          <w:divBdr>
            <w:top w:val="none" w:sz="0" w:space="0" w:color="auto"/>
            <w:left w:val="none" w:sz="0" w:space="0" w:color="auto"/>
            <w:bottom w:val="none" w:sz="0" w:space="0" w:color="auto"/>
            <w:right w:val="none" w:sz="0" w:space="0" w:color="auto"/>
          </w:divBdr>
        </w:div>
      </w:divsChild>
    </w:div>
    <w:div w:id="482965375">
      <w:bodyDiv w:val="1"/>
      <w:marLeft w:val="0"/>
      <w:marRight w:val="0"/>
      <w:marTop w:val="0"/>
      <w:marBottom w:val="0"/>
      <w:divBdr>
        <w:top w:val="none" w:sz="0" w:space="0" w:color="auto"/>
        <w:left w:val="none" w:sz="0" w:space="0" w:color="auto"/>
        <w:bottom w:val="none" w:sz="0" w:space="0" w:color="auto"/>
        <w:right w:val="none" w:sz="0" w:space="0" w:color="auto"/>
      </w:divBdr>
      <w:divsChild>
        <w:div w:id="587815018">
          <w:marLeft w:val="0"/>
          <w:marRight w:val="0"/>
          <w:marTop w:val="0"/>
          <w:marBottom w:val="0"/>
          <w:divBdr>
            <w:top w:val="none" w:sz="0" w:space="0" w:color="auto"/>
            <w:left w:val="none" w:sz="0" w:space="0" w:color="auto"/>
            <w:bottom w:val="none" w:sz="0" w:space="0" w:color="auto"/>
            <w:right w:val="none" w:sz="0" w:space="0" w:color="auto"/>
          </w:divBdr>
        </w:div>
        <w:div w:id="2080209238">
          <w:marLeft w:val="0"/>
          <w:marRight w:val="0"/>
          <w:marTop w:val="0"/>
          <w:marBottom w:val="0"/>
          <w:divBdr>
            <w:top w:val="none" w:sz="0" w:space="0" w:color="auto"/>
            <w:left w:val="none" w:sz="0" w:space="0" w:color="auto"/>
            <w:bottom w:val="none" w:sz="0" w:space="0" w:color="auto"/>
            <w:right w:val="none" w:sz="0" w:space="0" w:color="auto"/>
          </w:divBdr>
        </w:div>
        <w:div w:id="1936397166">
          <w:marLeft w:val="0"/>
          <w:marRight w:val="0"/>
          <w:marTop w:val="0"/>
          <w:marBottom w:val="0"/>
          <w:divBdr>
            <w:top w:val="none" w:sz="0" w:space="0" w:color="auto"/>
            <w:left w:val="none" w:sz="0" w:space="0" w:color="auto"/>
            <w:bottom w:val="none" w:sz="0" w:space="0" w:color="auto"/>
            <w:right w:val="none" w:sz="0" w:space="0" w:color="auto"/>
          </w:divBdr>
        </w:div>
        <w:div w:id="1830171144">
          <w:marLeft w:val="0"/>
          <w:marRight w:val="0"/>
          <w:marTop w:val="0"/>
          <w:marBottom w:val="0"/>
          <w:divBdr>
            <w:top w:val="none" w:sz="0" w:space="0" w:color="auto"/>
            <w:left w:val="none" w:sz="0" w:space="0" w:color="auto"/>
            <w:bottom w:val="none" w:sz="0" w:space="0" w:color="auto"/>
            <w:right w:val="none" w:sz="0" w:space="0" w:color="auto"/>
          </w:divBdr>
        </w:div>
        <w:div w:id="2077821049">
          <w:marLeft w:val="0"/>
          <w:marRight w:val="0"/>
          <w:marTop w:val="0"/>
          <w:marBottom w:val="0"/>
          <w:divBdr>
            <w:top w:val="none" w:sz="0" w:space="0" w:color="auto"/>
            <w:left w:val="none" w:sz="0" w:space="0" w:color="auto"/>
            <w:bottom w:val="none" w:sz="0" w:space="0" w:color="auto"/>
            <w:right w:val="none" w:sz="0" w:space="0" w:color="auto"/>
          </w:divBdr>
        </w:div>
        <w:div w:id="254437270">
          <w:marLeft w:val="0"/>
          <w:marRight w:val="0"/>
          <w:marTop w:val="0"/>
          <w:marBottom w:val="0"/>
          <w:divBdr>
            <w:top w:val="none" w:sz="0" w:space="0" w:color="auto"/>
            <w:left w:val="none" w:sz="0" w:space="0" w:color="auto"/>
            <w:bottom w:val="none" w:sz="0" w:space="0" w:color="auto"/>
            <w:right w:val="none" w:sz="0" w:space="0" w:color="auto"/>
          </w:divBdr>
        </w:div>
      </w:divsChild>
    </w:div>
    <w:div w:id="526065043">
      <w:bodyDiv w:val="1"/>
      <w:marLeft w:val="0"/>
      <w:marRight w:val="0"/>
      <w:marTop w:val="0"/>
      <w:marBottom w:val="0"/>
      <w:divBdr>
        <w:top w:val="none" w:sz="0" w:space="0" w:color="auto"/>
        <w:left w:val="none" w:sz="0" w:space="0" w:color="auto"/>
        <w:bottom w:val="none" w:sz="0" w:space="0" w:color="auto"/>
        <w:right w:val="none" w:sz="0" w:space="0" w:color="auto"/>
      </w:divBdr>
      <w:divsChild>
        <w:div w:id="1181777374">
          <w:marLeft w:val="0"/>
          <w:marRight w:val="0"/>
          <w:marTop w:val="0"/>
          <w:marBottom w:val="0"/>
          <w:divBdr>
            <w:top w:val="none" w:sz="0" w:space="0" w:color="auto"/>
            <w:left w:val="none" w:sz="0" w:space="0" w:color="auto"/>
            <w:bottom w:val="none" w:sz="0" w:space="0" w:color="auto"/>
            <w:right w:val="none" w:sz="0" w:space="0" w:color="auto"/>
          </w:divBdr>
        </w:div>
        <w:div w:id="1422414144">
          <w:marLeft w:val="0"/>
          <w:marRight w:val="0"/>
          <w:marTop w:val="0"/>
          <w:marBottom w:val="0"/>
          <w:divBdr>
            <w:top w:val="none" w:sz="0" w:space="0" w:color="auto"/>
            <w:left w:val="none" w:sz="0" w:space="0" w:color="auto"/>
            <w:bottom w:val="none" w:sz="0" w:space="0" w:color="auto"/>
            <w:right w:val="none" w:sz="0" w:space="0" w:color="auto"/>
          </w:divBdr>
        </w:div>
        <w:div w:id="619074958">
          <w:marLeft w:val="0"/>
          <w:marRight w:val="0"/>
          <w:marTop w:val="0"/>
          <w:marBottom w:val="0"/>
          <w:divBdr>
            <w:top w:val="none" w:sz="0" w:space="0" w:color="auto"/>
            <w:left w:val="none" w:sz="0" w:space="0" w:color="auto"/>
            <w:bottom w:val="none" w:sz="0" w:space="0" w:color="auto"/>
            <w:right w:val="none" w:sz="0" w:space="0" w:color="auto"/>
          </w:divBdr>
        </w:div>
        <w:div w:id="1311246487">
          <w:marLeft w:val="0"/>
          <w:marRight w:val="0"/>
          <w:marTop w:val="0"/>
          <w:marBottom w:val="0"/>
          <w:divBdr>
            <w:top w:val="none" w:sz="0" w:space="0" w:color="auto"/>
            <w:left w:val="none" w:sz="0" w:space="0" w:color="auto"/>
            <w:bottom w:val="none" w:sz="0" w:space="0" w:color="auto"/>
            <w:right w:val="none" w:sz="0" w:space="0" w:color="auto"/>
          </w:divBdr>
        </w:div>
        <w:div w:id="124540944">
          <w:marLeft w:val="0"/>
          <w:marRight w:val="0"/>
          <w:marTop w:val="0"/>
          <w:marBottom w:val="0"/>
          <w:divBdr>
            <w:top w:val="none" w:sz="0" w:space="0" w:color="auto"/>
            <w:left w:val="none" w:sz="0" w:space="0" w:color="auto"/>
            <w:bottom w:val="none" w:sz="0" w:space="0" w:color="auto"/>
            <w:right w:val="none" w:sz="0" w:space="0" w:color="auto"/>
          </w:divBdr>
        </w:div>
        <w:div w:id="2073262603">
          <w:marLeft w:val="0"/>
          <w:marRight w:val="0"/>
          <w:marTop w:val="0"/>
          <w:marBottom w:val="0"/>
          <w:divBdr>
            <w:top w:val="none" w:sz="0" w:space="0" w:color="auto"/>
            <w:left w:val="none" w:sz="0" w:space="0" w:color="auto"/>
            <w:bottom w:val="none" w:sz="0" w:space="0" w:color="auto"/>
            <w:right w:val="none" w:sz="0" w:space="0" w:color="auto"/>
          </w:divBdr>
        </w:div>
      </w:divsChild>
    </w:div>
    <w:div w:id="543636396">
      <w:bodyDiv w:val="1"/>
      <w:marLeft w:val="0"/>
      <w:marRight w:val="0"/>
      <w:marTop w:val="0"/>
      <w:marBottom w:val="0"/>
      <w:divBdr>
        <w:top w:val="none" w:sz="0" w:space="0" w:color="auto"/>
        <w:left w:val="none" w:sz="0" w:space="0" w:color="auto"/>
        <w:bottom w:val="none" w:sz="0" w:space="0" w:color="auto"/>
        <w:right w:val="none" w:sz="0" w:space="0" w:color="auto"/>
      </w:divBdr>
      <w:divsChild>
        <w:div w:id="1390113354">
          <w:marLeft w:val="0"/>
          <w:marRight w:val="0"/>
          <w:marTop w:val="0"/>
          <w:marBottom w:val="0"/>
          <w:divBdr>
            <w:top w:val="none" w:sz="0" w:space="0" w:color="auto"/>
            <w:left w:val="none" w:sz="0" w:space="0" w:color="auto"/>
            <w:bottom w:val="none" w:sz="0" w:space="0" w:color="auto"/>
            <w:right w:val="none" w:sz="0" w:space="0" w:color="auto"/>
          </w:divBdr>
        </w:div>
        <w:div w:id="460072919">
          <w:marLeft w:val="0"/>
          <w:marRight w:val="0"/>
          <w:marTop w:val="0"/>
          <w:marBottom w:val="0"/>
          <w:divBdr>
            <w:top w:val="none" w:sz="0" w:space="0" w:color="auto"/>
            <w:left w:val="none" w:sz="0" w:space="0" w:color="auto"/>
            <w:bottom w:val="none" w:sz="0" w:space="0" w:color="auto"/>
            <w:right w:val="none" w:sz="0" w:space="0" w:color="auto"/>
          </w:divBdr>
        </w:div>
        <w:div w:id="90704534">
          <w:marLeft w:val="0"/>
          <w:marRight w:val="0"/>
          <w:marTop w:val="0"/>
          <w:marBottom w:val="0"/>
          <w:divBdr>
            <w:top w:val="none" w:sz="0" w:space="0" w:color="auto"/>
            <w:left w:val="none" w:sz="0" w:space="0" w:color="auto"/>
            <w:bottom w:val="none" w:sz="0" w:space="0" w:color="auto"/>
            <w:right w:val="none" w:sz="0" w:space="0" w:color="auto"/>
          </w:divBdr>
        </w:div>
      </w:divsChild>
    </w:div>
    <w:div w:id="586377958">
      <w:bodyDiv w:val="1"/>
      <w:marLeft w:val="0"/>
      <w:marRight w:val="0"/>
      <w:marTop w:val="0"/>
      <w:marBottom w:val="0"/>
      <w:divBdr>
        <w:top w:val="none" w:sz="0" w:space="0" w:color="auto"/>
        <w:left w:val="none" w:sz="0" w:space="0" w:color="auto"/>
        <w:bottom w:val="none" w:sz="0" w:space="0" w:color="auto"/>
        <w:right w:val="none" w:sz="0" w:space="0" w:color="auto"/>
      </w:divBdr>
      <w:divsChild>
        <w:div w:id="152916799">
          <w:marLeft w:val="0"/>
          <w:marRight w:val="0"/>
          <w:marTop w:val="0"/>
          <w:marBottom w:val="0"/>
          <w:divBdr>
            <w:top w:val="none" w:sz="0" w:space="0" w:color="auto"/>
            <w:left w:val="none" w:sz="0" w:space="0" w:color="auto"/>
            <w:bottom w:val="none" w:sz="0" w:space="0" w:color="auto"/>
            <w:right w:val="none" w:sz="0" w:space="0" w:color="auto"/>
          </w:divBdr>
        </w:div>
        <w:div w:id="1221557117">
          <w:marLeft w:val="0"/>
          <w:marRight w:val="0"/>
          <w:marTop w:val="0"/>
          <w:marBottom w:val="0"/>
          <w:divBdr>
            <w:top w:val="none" w:sz="0" w:space="0" w:color="auto"/>
            <w:left w:val="none" w:sz="0" w:space="0" w:color="auto"/>
            <w:bottom w:val="none" w:sz="0" w:space="0" w:color="auto"/>
            <w:right w:val="none" w:sz="0" w:space="0" w:color="auto"/>
          </w:divBdr>
        </w:div>
        <w:div w:id="226651101">
          <w:marLeft w:val="0"/>
          <w:marRight w:val="0"/>
          <w:marTop w:val="0"/>
          <w:marBottom w:val="0"/>
          <w:divBdr>
            <w:top w:val="none" w:sz="0" w:space="0" w:color="auto"/>
            <w:left w:val="none" w:sz="0" w:space="0" w:color="auto"/>
            <w:bottom w:val="none" w:sz="0" w:space="0" w:color="auto"/>
            <w:right w:val="none" w:sz="0" w:space="0" w:color="auto"/>
          </w:divBdr>
        </w:div>
      </w:divsChild>
    </w:div>
    <w:div w:id="632755854">
      <w:bodyDiv w:val="1"/>
      <w:marLeft w:val="0"/>
      <w:marRight w:val="0"/>
      <w:marTop w:val="0"/>
      <w:marBottom w:val="0"/>
      <w:divBdr>
        <w:top w:val="none" w:sz="0" w:space="0" w:color="auto"/>
        <w:left w:val="none" w:sz="0" w:space="0" w:color="auto"/>
        <w:bottom w:val="none" w:sz="0" w:space="0" w:color="auto"/>
        <w:right w:val="none" w:sz="0" w:space="0" w:color="auto"/>
      </w:divBdr>
      <w:divsChild>
        <w:div w:id="26220617">
          <w:marLeft w:val="0"/>
          <w:marRight w:val="0"/>
          <w:marTop w:val="0"/>
          <w:marBottom w:val="0"/>
          <w:divBdr>
            <w:top w:val="none" w:sz="0" w:space="0" w:color="auto"/>
            <w:left w:val="none" w:sz="0" w:space="0" w:color="auto"/>
            <w:bottom w:val="none" w:sz="0" w:space="0" w:color="auto"/>
            <w:right w:val="none" w:sz="0" w:space="0" w:color="auto"/>
          </w:divBdr>
        </w:div>
        <w:div w:id="1015155518">
          <w:marLeft w:val="0"/>
          <w:marRight w:val="0"/>
          <w:marTop w:val="0"/>
          <w:marBottom w:val="0"/>
          <w:divBdr>
            <w:top w:val="none" w:sz="0" w:space="0" w:color="auto"/>
            <w:left w:val="none" w:sz="0" w:space="0" w:color="auto"/>
            <w:bottom w:val="none" w:sz="0" w:space="0" w:color="auto"/>
            <w:right w:val="none" w:sz="0" w:space="0" w:color="auto"/>
          </w:divBdr>
        </w:div>
        <w:div w:id="1310401809">
          <w:marLeft w:val="0"/>
          <w:marRight w:val="0"/>
          <w:marTop w:val="0"/>
          <w:marBottom w:val="0"/>
          <w:divBdr>
            <w:top w:val="none" w:sz="0" w:space="0" w:color="auto"/>
            <w:left w:val="none" w:sz="0" w:space="0" w:color="auto"/>
            <w:bottom w:val="none" w:sz="0" w:space="0" w:color="auto"/>
            <w:right w:val="none" w:sz="0" w:space="0" w:color="auto"/>
          </w:divBdr>
        </w:div>
        <w:div w:id="473370405">
          <w:marLeft w:val="0"/>
          <w:marRight w:val="0"/>
          <w:marTop w:val="0"/>
          <w:marBottom w:val="0"/>
          <w:divBdr>
            <w:top w:val="none" w:sz="0" w:space="0" w:color="auto"/>
            <w:left w:val="none" w:sz="0" w:space="0" w:color="auto"/>
            <w:bottom w:val="none" w:sz="0" w:space="0" w:color="auto"/>
            <w:right w:val="none" w:sz="0" w:space="0" w:color="auto"/>
          </w:divBdr>
        </w:div>
        <w:div w:id="454452137">
          <w:marLeft w:val="0"/>
          <w:marRight w:val="0"/>
          <w:marTop w:val="0"/>
          <w:marBottom w:val="0"/>
          <w:divBdr>
            <w:top w:val="none" w:sz="0" w:space="0" w:color="auto"/>
            <w:left w:val="none" w:sz="0" w:space="0" w:color="auto"/>
            <w:bottom w:val="none" w:sz="0" w:space="0" w:color="auto"/>
            <w:right w:val="none" w:sz="0" w:space="0" w:color="auto"/>
          </w:divBdr>
        </w:div>
        <w:div w:id="1849557917">
          <w:marLeft w:val="0"/>
          <w:marRight w:val="0"/>
          <w:marTop w:val="0"/>
          <w:marBottom w:val="0"/>
          <w:divBdr>
            <w:top w:val="none" w:sz="0" w:space="0" w:color="auto"/>
            <w:left w:val="none" w:sz="0" w:space="0" w:color="auto"/>
            <w:bottom w:val="none" w:sz="0" w:space="0" w:color="auto"/>
            <w:right w:val="none" w:sz="0" w:space="0" w:color="auto"/>
          </w:divBdr>
        </w:div>
      </w:divsChild>
    </w:div>
    <w:div w:id="659432748">
      <w:bodyDiv w:val="1"/>
      <w:marLeft w:val="0"/>
      <w:marRight w:val="0"/>
      <w:marTop w:val="0"/>
      <w:marBottom w:val="0"/>
      <w:divBdr>
        <w:top w:val="none" w:sz="0" w:space="0" w:color="auto"/>
        <w:left w:val="none" w:sz="0" w:space="0" w:color="auto"/>
        <w:bottom w:val="none" w:sz="0" w:space="0" w:color="auto"/>
        <w:right w:val="none" w:sz="0" w:space="0" w:color="auto"/>
      </w:divBdr>
      <w:divsChild>
        <w:div w:id="2093811921">
          <w:marLeft w:val="0"/>
          <w:marRight w:val="0"/>
          <w:marTop w:val="0"/>
          <w:marBottom w:val="0"/>
          <w:divBdr>
            <w:top w:val="none" w:sz="0" w:space="0" w:color="auto"/>
            <w:left w:val="none" w:sz="0" w:space="0" w:color="auto"/>
            <w:bottom w:val="none" w:sz="0" w:space="0" w:color="auto"/>
            <w:right w:val="none" w:sz="0" w:space="0" w:color="auto"/>
          </w:divBdr>
        </w:div>
        <w:div w:id="991835455">
          <w:marLeft w:val="0"/>
          <w:marRight w:val="0"/>
          <w:marTop w:val="0"/>
          <w:marBottom w:val="0"/>
          <w:divBdr>
            <w:top w:val="none" w:sz="0" w:space="0" w:color="auto"/>
            <w:left w:val="none" w:sz="0" w:space="0" w:color="auto"/>
            <w:bottom w:val="none" w:sz="0" w:space="0" w:color="auto"/>
            <w:right w:val="none" w:sz="0" w:space="0" w:color="auto"/>
          </w:divBdr>
        </w:div>
        <w:div w:id="1103454768">
          <w:marLeft w:val="0"/>
          <w:marRight w:val="0"/>
          <w:marTop w:val="0"/>
          <w:marBottom w:val="0"/>
          <w:divBdr>
            <w:top w:val="none" w:sz="0" w:space="0" w:color="auto"/>
            <w:left w:val="none" w:sz="0" w:space="0" w:color="auto"/>
            <w:bottom w:val="none" w:sz="0" w:space="0" w:color="auto"/>
            <w:right w:val="none" w:sz="0" w:space="0" w:color="auto"/>
          </w:divBdr>
        </w:div>
        <w:div w:id="1936982774">
          <w:marLeft w:val="0"/>
          <w:marRight w:val="0"/>
          <w:marTop w:val="0"/>
          <w:marBottom w:val="0"/>
          <w:divBdr>
            <w:top w:val="none" w:sz="0" w:space="0" w:color="auto"/>
            <w:left w:val="none" w:sz="0" w:space="0" w:color="auto"/>
            <w:bottom w:val="none" w:sz="0" w:space="0" w:color="auto"/>
            <w:right w:val="none" w:sz="0" w:space="0" w:color="auto"/>
          </w:divBdr>
        </w:div>
      </w:divsChild>
    </w:div>
    <w:div w:id="670987426">
      <w:bodyDiv w:val="1"/>
      <w:marLeft w:val="0"/>
      <w:marRight w:val="0"/>
      <w:marTop w:val="0"/>
      <w:marBottom w:val="0"/>
      <w:divBdr>
        <w:top w:val="none" w:sz="0" w:space="0" w:color="auto"/>
        <w:left w:val="none" w:sz="0" w:space="0" w:color="auto"/>
        <w:bottom w:val="none" w:sz="0" w:space="0" w:color="auto"/>
        <w:right w:val="none" w:sz="0" w:space="0" w:color="auto"/>
      </w:divBdr>
      <w:divsChild>
        <w:div w:id="728575596">
          <w:marLeft w:val="0"/>
          <w:marRight w:val="0"/>
          <w:marTop w:val="0"/>
          <w:marBottom w:val="0"/>
          <w:divBdr>
            <w:top w:val="none" w:sz="0" w:space="0" w:color="auto"/>
            <w:left w:val="none" w:sz="0" w:space="0" w:color="auto"/>
            <w:bottom w:val="none" w:sz="0" w:space="0" w:color="auto"/>
            <w:right w:val="none" w:sz="0" w:space="0" w:color="auto"/>
          </w:divBdr>
        </w:div>
        <w:div w:id="1886023224">
          <w:marLeft w:val="0"/>
          <w:marRight w:val="0"/>
          <w:marTop w:val="0"/>
          <w:marBottom w:val="0"/>
          <w:divBdr>
            <w:top w:val="none" w:sz="0" w:space="0" w:color="auto"/>
            <w:left w:val="none" w:sz="0" w:space="0" w:color="auto"/>
            <w:bottom w:val="none" w:sz="0" w:space="0" w:color="auto"/>
            <w:right w:val="none" w:sz="0" w:space="0" w:color="auto"/>
          </w:divBdr>
        </w:div>
        <w:div w:id="335421240">
          <w:marLeft w:val="0"/>
          <w:marRight w:val="0"/>
          <w:marTop w:val="0"/>
          <w:marBottom w:val="0"/>
          <w:divBdr>
            <w:top w:val="none" w:sz="0" w:space="0" w:color="auto"/>
            <w:left w:val="none" w:sz="0" w:space="0" w:color="auto"/>
            <w:bottom w:val="none" w:sz="0" w:space="0" w:color="auto"/>
            <w:right w:val="none" w:sz="0" w:space="0" w:color="auto"/>
          </w:divBdr>
        </w:div>
      </w:divsChild>
    </w:div>
    <w:div w:id="748312681">
      <w:bodyDiv w:val="1"/>
      <w:marLeft w:val="0"/>
      <w:marRight w:val="0"/>
      <w:marTop w:val="0"/>
      <w:marBottom w:val="0"/>
      <w:divBdr>
        <w:top w:val="none" w:sz="0" w:space="0" w:color="auto"/>
        <w:left w:val="none" w:sz="0" w:space="0" w:color="auto"/>
        <w:bottom w:val="none" w:sz="0" w:space="0" w:color="auto"/>
        <w:right w:val="none" w:sz="0" w:space="0" w:color="auto"/>
      </w:divBdr>
      <w:divsChild>
        <w:div w:id="852886845">
          <w:marLeft w:val="0"/>
          <w:marRight w:val="0"/>
          <w:marTop w:val="0"/>
          <w:marBottom w:val="0"/>
          <w:divBdr>
            <w:top w:val="none" w:sz="0" w:space="0" w:color="auto"/>
            <w:left w:val="none" w:sz="0" w:space="0" w:color="auto"/>
            <w:bottom w:val="none" w:sz="0" w:space="0" w:color="auto"/>
            <w:right w:val="none" w:sz="0" w:space="0" w:color="auto"/>
          </w:divBdr>
        </w:div>
        <w:div w:id="128323951">
          <w:marLeft w:val="0"/>
          <w:marRight w:val="0"/>
          <w:marTop w:val="0"/>
          <w:marBottom w:val="0"/>
          <w:divBdr>
            <w:top w:val="none" w:sz="0" w:space="0" w:color="auto"/>
            <w:left w:val="none" w:sz="0" w:space="0" w:color="auto"/>
            <w:bottom w:val="none" w:sz="0" w:space="0" w:color="auto"/>
            <w:right w:val="none" w:sz="0" w:space="0" w:color="auto"/>
          </w:divBdr>
        </w:div>
        <w:div w:id="1782148517">
          <w:marLeft w:val="0"/>
          <w:marRight w:val="0"/>
          <w:marTop w:val="0"/>
          <w:marBottom w:val="0"/>
          <w:divBdr>
            <w:top w:val="none" w:sz="0" w:space="0" w:color="auto"/>
            <w:left w:val="none" w:sz="0" w:space="0" w:color="auto"/>
            <w:bottom w:val="none" w:sz="0" w:space="0" w:color="auto"/>
            <w:right w:val="none" w:sz="0" w:space="0" w:color="auto"/>
          </w:divBdr>
        </w:div>
        <w:div w:id="1866138822">
          <w:marLeft w:val="0"/>
          <w:marRight w:val="0"/>
          <w:marTop w:val="0"/>
          <w:marBottom w:val="0"/>
          <w:divBdr>
            <w:top w:val="none" w:sz="0" w:space="0" w:color="auto"/>
            <w:left w:val="none" w:sz="0" w:space="0" w:color="auto"/>
            <w:bottom w:val="none" w:sz="0" w:space="0" w:color="auto"/>
            <w:right w:val="none" w:sz="0" w:space="0" w:color="auto"/>
          </w:divBdr>
        </w:div>
      </w:divsChild>
    </w:div>
    <w:div w:id="748313500">
      <w:bodyDiv w:val="1"/>
      <w:marLeft w:val="0"/>
      <w:marRight w:val="0"/>
      <w:marTop w:val="0"/>
      <w:marBottom w:val="0"/>
      <w:divBdr>
        <w:top w:val="none" w:sz="0" w:space="0" w:color="auto"/>
        <w:left w:val="none" w:sz="0" w:space="0" w:color="auto"/>
        <w:bottom w:val="none" w:sz="0" w:space="0" w:color="auto"/>
        <w:right w:val="none" w:sz="0" w:space="0" w:color="auto"/>
      </w:divBdr>
      <w:divsChild>
        <w:div w:id="743727357">
          <w:marLeft w:val="0"/>
          <w:marRight w:val="0"/>
          <w:marTop w:val="0"/>
          <w:marBottom w:val="0"/>
          <w:divBdr>
            <w:top w:val="none" w:sz="0" w:space="0" w:color="auto"/>
            <w:left w:val="none" w:sz="0" w:space="0" w:color="auto"/>
            <w:bottom w:val="none" w:sz="0" w:space="0" w:color="auto"/>
            <w:right w:val="none" w:sz="0" w:space="0" w:color="auto"/>
          </w:divBdr>
        </w:div>
        <w:div w:id="1693915284">
          <w:marLeft w:val="0"/>
          <w:marRight w:val="0"/>
          <w:marTop w:val="0"/>
          <w:marBottom w:val="0"/>
          <w:divBdr>
            <w:top w:val="none" w:sz="0" w:space="0" w:color="auto"/>
            <w:left w:val="none" w:sz="0" w:space="0" w:color="auto"/>
            <w:bottom w:val="none" w:sz="0" w:space="0" w:color="auto"/>
            <w:right w:val="none" w:sz="0" w:space="0" w:color="auto"/>
          </w:divBdr>
        </w:div>
        <w:div w:id="1959293724">
          <w:marLeft w:val="0"/>
          <w:marRight w:val="0"/>
          <w:marTop w:val="0"/>
          <w:marBottom w:val="0"/>
          <w:divBdr>
            <w:top w:val="none" w:sz="0" w:space="0" w:color="auto"/>
            <w:left w:val="none" w:sz="0" w:space="0" w:color="auto"/>
            <w:bottom w:val="none" w:sz="0" w:space="0" w:color="auto"/>
            <w:right w:val="none" w:sz="0" w:space="0" w:color="auto"/>
          </w:divBdr>
        </w:div>
        <w:div w:id="327633132">
          <w:marLeft w:val="0"/>
          <w:marRight w:val="0"/>
          <w:marTop w:val="0"/>
          <w:marBottom w:val="0"/>
          <w:divBdr>
            <w:top w:val="none" w:sz="0" w:space="0" w:color="auto"/>
            <w:left w:val="none" w:sz="0" w:space="0" w:color="auto"/>
            <w:bottom w:val="none" w:sz="0" w:space="0" w:color="auto"/>
            <w:right w:val="none" w:sz="0" w:space="0" w:color="auto"/>
          </w:divBdr>
        </w:div>
      </w:divsChild>
    </w:div>
    <w:div w:id="761800106">
      <w:bodyDiv w:val="1"/>
      <w:marLeft w:val="0"/>
      <w:marRight w:val="0"/>
      <w:marTop w:val="0"/>
      <w:marBottom w:val="0"/>
      <w:divBdr>
        <w:top w:val="none" w:sz="0" w:space="0" w:color="auto"/>
        <w:left w:val="none" w:sz="0" w:space="0" w:color="auto"/>
        <w:bottom w:val="none" w:sz="0" w:space="0" w:color="auto"/>
        <w:right w:val="none" w:sz="0" w:space="0" w:color="auto"/>
      </w:divBdr>
      <w:divsChild>
        <w:div w:id="1819609804">
          <w:marLeft w:val="0"/>
          <w:marRight w:val="0"/>
          <w:marTop w:val="0"/>
          <w:marBottom w:val="0"/>
          <w:divBdr>
            <w:top w:val="none" w:sz="0" w:space="0" w:color="auto"/>
            <w:left w:val="none" w:sz="0" w:space="0" w:color="auto"/>
            <w:bottom w:val="none" w:sz="0" w:space="0" w:color="auto"/>
            <w:right w:val="none" w:sz="0" w:space="0" w:color="auto"/>
          </w:divBdr>
        </w:div>
        <w:div w:id="771323861">
          <w:marLeft w:val="0"/>
          <w:marRight w:val="0"/>
          <w:marTop w:val="0"/>
          <w:marBottom w:val="0"/>
          <w:divBdr>
            <w:top w:val="none" w:sz="0" w:space="0" w:color="auto"/>
            <w:left w:val="none" w:sz="0" w:space="0" w:color="auto"/>
            <w:bottom w:val="none" w:sz="0" w:space="0" w:color="auto"/>
            <w:right w:val="none" w:sz="0" w:space="0" w:color="auto"/>
          </w:divBdr>
        </w:div>
        <w:div w:id="1651058421">
          <w:marLeft w:val="0"/>
          <w:marRight w:val="0"/>
          <w:marTop w:val="0"/>
          <w:marBottom w:val="0"/>
          <w:divBdr>
            <w:top w:val="none" w:sz="0" w:space="0" w:color="auto"/>
            <w:left w:val="none" w:sz="0" w:space="0" w:color="auto"/>
            <w:bottom w:val="none" w:sz="0" w:space="0" w:color="auto"/>
            <w:right w:val="none" w:sz="0" w:space="0" w:color="auto"/>
          </w:divBdr>
        </w:div>
        <w:div w:id="451482456">
          <w:marLeft w:val="0"/>
          <w:marRight w:val="0"/>
          <w:marTop w:val="0"/>
          <w:marBottom w:val="0"/>
          <w:divBdr>
            <w:top w:val="none" w:sz="0" w:space="0" w:color="auto"/>
            <w:left w:val="none" w:sz="0" w:space="0" w:color="auto"/>
            <w:bottom w:val="none" w:sz="0" w:space="0" w:color="auto"/>
            <w:right w:val="none" w:sz="0" w:space="0" w:color="auto"/>
          </w:divBdr>
        </w:div>
      </w:divsChild>
    </w:div>
    <w:div w:id="766463484">
      <w:bodyDiv w:val="1"/>
      <w:marLeft w:val="0"/>
      <w:marRight w:val="0"/>
      <w:marTop w:val="0"/>
      <w:marBottom w:val="0"/>
      <w:divBdr>
        <w:top w:val="none" w:sz="0" w:space="0" w:color="auto"/>
        <w:left w:val="none" w:sz="0" w:space="0" w:color="auto"/>
        <w:bottom w:val="none" w:sz="0" w:space="0" w:color="auto"/>
        <w:right w:val="none" w:sz="0" w:space="0" w:color="auto"/>
      </w:divBdr>
      <w:divsChild>
        <w:div w:id="1627156524">
          <w:marLeft w:val="0"/>
          <w:marRight w:val="0"/>
          <w:marTop w:val="0"/>
          <w:marBottom w:val="0"/>
          <w:divBdr>
            <w:top w:val="none" w:sz="0" w:space="0" w:color="auto"/>
            <w:left w:val="none" w:sz="0" w:space="0" w:color="auto"/>
            <w:bottom w:val="none" w:sz="0" w:space="0" w:color="auto"/>
            <w:right w:val="none" w:sz="0" w:space="0" w:color="auto"/>
          </w:divBdr>
        </w:div>
        <w:div w:id="1929653474">
          <w:marLeft w:val="0"/>
          <w:marRight w:val="0"/>
          <w:marTop w:val="0"/>
          <w:marBottom w:val="0"/>
          <w:divBdr>
            <w:top w:val="none" w:sz="0" w:space="0" w:color="auto"/>
            <w:left w:val="none" w:sz="0" w:space="0" w:color="auto"/>
            <w:bottom w:val="none" w:sz="0" w:space="0" w:color="auto"/>
            <w:right w:val="none" w:sz="0" w:space="0" w:color="auto"/>
          </w:divBdr>
        </w:div>
        <w:div w:id="1946116088">
          <w:marLeft w:val="0"/>
          <w:marRight w:val="0"/>
          <w:marTop w:val="0"/>
          <w:marBottom w:val="0"/>
          <w:divBdr>
            <w:top w:val="none" w:sz="0" w:space="0" w:color="auto"/>
            <w:left w:val="none" w:sz="0" w:space="0" w:color="auto"/>
            <w:bottom w:val="none" w:sz="0" w:space="0" w:color="auto"/>
            <w:right w:val="none" w:sz="0" w:space="0" w:color="auto"/>
          </w:divBdr>
        </w:div>
        <w:div w:id="1403748154">
          <w:marLeft w:val="0"/>
          <w:marRight w:val="0"/>
          <w:marTop w:val="0"/>
          <w:marBottom w:val="0"/>
          <w:divBdr>
            <w:top w:val="none" w:sz="0" w:space="0" w:color="auto"/>
            <w:left w:val="none" w:sz="0" w:space="0" w:color="auto"/>
            <w:bottom w:val="none" w:sz="0" w:space="0" w:color="auto"/>
            <w:right w:val="none" w:sz="0" w:space="0" w:color="auto"/>
          </w:divBdr>
        </w:div>
        <w:div w:id="1941139874">
          <w:marLeft w:val="0"/>
          <w:marRight w:val="0"/>
          <w:marTop w:val="0"/>
          <w:marBottom w:val="0"/>
          <w:divBdr>
            <w:top w:val="none" w:sz="0" w:space="0" w:color="auto"/>
            <w:left w:val="none" w:sz="0" w:space="0" w:color="auto"/>
            <w:bottom w:val="none" w:sz="0" w:space="0" w:color="auto"/>
            <w:right w:val="none" w:sz="0" w:space="0" w:color="auto"/>
          </w:divBdr>
        </w:div>
        <w:div w:id="2035766204">
          <w:marLeft w:val="0"/>
          <w:marRight w:val="0"/>
          <w:marTop w:val="0"/>
          <w:marBottom w:val="0"/>
          <w:divBdr>
            <w:top w:val="none" w:sz="0" w:space="0" w:color="auto"/>
            <w:left w:val="none" w:sz="0" w:space="0" w:color="auto"/>
            <w:bottom w:val="none" w:sz="0" w:space="0" w:color="auto"/>
            <w:right w:val="none" w:sz="0" w:space="0" w:color="auto"/>
          </w:divBdr>
        </w:div>
        <w:div w:id="2102679446">
          <w:marLeft w:val="0"/>
          <w:marRight w:val="0"/>
          <w:marTop w:val="0"/>
          <w:marBottom w:val="0"/>
          <w:divBdr>
            <w:top w:val="none" w:sz="0" w:space="0" w:color="auto"/>
            <w:left w:val="none" w:sz="0" w:space="0" w:color="auto"/>
            <w:bottom w:val="none" w:sz="0" w:space="0" w:color="auto"/>
            <w:right w:val="none" w:sz="0" w:space="0" w:color="auto"/>
          </w:divBdr>
        </w:div>
      </w:divsChild>
    </w:div>
    <w:div w:id="852914140">
      <w:bodyDiv w:val="1"/>
      <w:marLeft w:val="0"/>
      <w:marRight w:val="0"/>
      <w:marTop w:val="0"/>
      <w:marBottom w:val="0"/>
      <w:divBdr>
        <w:top w:val="none" w:sz="0" w:space="0" w:color="auto"/>
        <w:left w:val="none" w:sz="0" w:space="0" w:color="auto"/>
        <w:bottom w:val="none" w:sz="0" w:space="0" w:color="auto"/>
        <w:right w:val="none" w:sz="0" w:space="0" w:color="auto"/>
      </w:divBdr>
      <w:divsChild>
        <w:div w:id="806313606">
          <w:marLeft w:val="0"/>
          <w:marRight w:val="0"/>
          <w:marTop w:val="0"/>
          <w:marBottom w:val="0"/>
          <w:divBdr>
            <w:top w:val="none" w:sz="0" w:space="0" w:color="auto"/>
            <w:left w:val="none" w:sz="0" w:space="0" w:color="auto"/>
            <w:bottom w:val="none" w:sz="0" w:space="0" w:color="auto"/>
            <w:right w:val="none" w:sz="0" w:space="0" w:color="auto"/>
          </w:divBdr>
        </w:div>
        <w:div w:id="1648707933">
          <w:marLeft w:val="0"/>
          <w:marRight w:val="0"/>
          <w:marTop w:val="0"/>
          <w:marBottom w:val="0"/>
          <w:divBdr>
            <w:top w:val="none" w:sz="0" w:space="0" w:color="auto"/>
            <w:left w:val="none" w:sz="0" w:space="0" w:color="auto"/>
            <w:bottom w:val="none" w:sz="0" w:space="0" w:color="auto"/>
            <w:right w:val="none" w:sz="0" w:space="0" w:color="auto"/>
          </w:divBdr>
        </w:div>
        <w:div w:id="289746725">
          <w:marLeft w:val="0"/>
          <w:marRight w:val="0"/>
          <w:marTop w:val="0"/>
          <w:marBottom w:val="0"/>
          <w:divBdr>
            <w:top w:val="none" w:sz="0" w:space="0" w:color="auto"/>
            <w:left w:val="none" w:sz="0" w:space="0" w:color="auto"/>
            <w:bottom w:val="none" w:sz="0" w:space="0" w:color="auto"/>
            <w:right w:val="none" w:sz="0" w:space="0" w:color="auto"/>
          </w:divBdr>
        </w:div>
      </w:divsChild>
    </w:div>
    <w:div w:id="852959387">
      <w:bodyDiv w:val="1"/>
      <w:marLeft w:val="0"/>
      <w:marRight w:val="0"/>
      <w:marTop w:val="0"/>
      <w:marBottom w:val="0"/>
      <w:divBdr>
        <w:top w:val="none" w:sz="0" w:space="0" w:color="auto"/>
        <w:left w:val="none" w:sz="0" w:space="0" w:color="auto"/>
        <w:bottom w:val="none" w:sz="0" w:space="0" w:color="auto"/>
        <w:right w:val="none" w:sz="0" w:space="0" w:color="auto"/>
      </w:divBdr>
      <w:divsChild>
        <w:div w:id="1358312316">
          <w:marLeft w:val="0"/>
          <w:marRight w:val="0"/>
          <w:marTop w:val="0"/>
          <w:marBottom w:val="0"/>
          <w:divBdr>
            <w:top w:val="none" w:sz="0" w:space="0" w:color="auto"/>
            <w:left w:val="none" w:sz="0" w:space="0" w:color="auto"/>
            <w:bottom w:val="none" w:sz="0" w:space="0" w:color="auto"/>
            <w:right w:val="none" w:sz="0" w:space="0" w:color="auto"/>
          </w:divBdr>
        </w:div>
        <w:div w:id="1040934597">
          <w:marLeft w:val="0"/>
          <w:marRight w:val="0"/>
          <w:marTop w:val="0"/>
          <w:marBottom w:val="0"/>
          <w:divBdr>
            <w:top w:val="none" w:sz="0" w:space="0" w:color="auto"/>
            <w:left w:val="none" w:sz="0" w:space="0" w:color="auto"/>
            <w:bottom w:val="none" w:sz="0" w:space="0" w:color="auto"/>
            <w:right w:val="none" w:sz="0" w:space="0" w:color="auto"/>
          </w:divBdr>
        </w:div>
        <w:div w:id="856698227">
          <w:marLeft w:val="0"/>
          <w:marRight w:val="0"/>
          <w:marTop w:val="0"/>
          <w:marBottom w:val="0"/>
          <w:divBdr>
            <w:top w:val="none" w:sz="0" w:space="0" w:color="auto"/>
            <w:left w:val="none" w:sz="0" w:space="0" w:color="auto"/>
            <w:bottom w:val="none" w:sz="0" w:space="0" w:color="auto"/>
            <w:right w:val="none" w:sz="0" w:space="0" w:color="auto"/>
          </w:divBdr>
        </w:div>
        <w:div w:id="956329643">
          <w:marLeft w:val="0"/>
          <w:marRight w:val="0"/>
          <w:marTop w:val="0"/>
          <w:marBottom w:val="0"/>
          <w:divBdr>
            <w:top w:val="none" w:sz="0" w:space="0" w:color="auto"/>
            <w:left w:val="none" w:sz="0" w:space="0" w:color="auto"/>
            <w:bottom w:val="none" w:sz="0" w:space="0" w:color="auto"/>
            <w:right w:val="none" w:sz="0" w:space="0" w:color="auto"/>
          </w:divBdr>
        </w:div>
        <w:div w:id="1370908664">
          <w:marLeft w:val="0"/>
          <w:marRight w:val="0"/>
          <w:marTop w:val="0"/>
          <w:marBottom w:val="0"/>
          <w:divBdr>
            <w:top w:val="none" w:sz="0" w:space="0" w:color="auto"/>
            <w:left w:val="none" w:sz="0" w:space="0" w:color="auto"/>
            <w:bottom w:val="none" w:sz="0" w:space="0" w:color="auto"/>
            <w:right w:val="none" w:sz="0" w:space="0" w:color="auto"/>
          </w:divBdr>
        </w:div>
        <w:div w:id="750663935">
          <w:marLeft w:val="0"/>
          <w:marRight w:val="0"/>
          <w:marTop w:val="0"/>
          <w:marBottom w:val="0"/>
          <w:divBdr>
            <w:top w:val="none" w:sz="0" w:space="0" w:color="auto"/>
            <w:left w:val="none" w:sz="0" w:space="0" w:color="auto"/>
            <w:bottom w:val="none" w:sz="0" w:space="0" w:color="auto"/>
            <w:right w:val="none" w:sz="0" w:space="0" w:color="auto"/>
          </w:divBdr>
        </w:div>
      </w:divsChild>
    </w:div>
    <w:div w:id="882713250">
      <w:bodyDiv w:val="1"/>
      <w:marLeft w:val="0"/>
      <w:marRight w:val="0"/>
      <w:marTop w:val="0"/>
      <w:marBottom w:val="0"/>
      <w:divBdr>
        <w:top w:val="none" w:sz="0" w:space="0" w:color="auto"/>
        <w:left w:val="none" w:sz="0" w:space="0" w:color="auto"/>
        <w:bottom w:val="none" w:sz="0" w:space="0" w:color="auto"/>
        <w:right w:val="none" w:sz="0" w:space="0" w:color="auto"/>
      </w:divBdr>
      <w:divsChild>
        <w:div w:id="824736920">
          <w:marLeft w:val="0"/>
          <w:marRight w:val="0"/>
          <w:marTop w:val="0"/>
          <w:marBottom w:val="0"/>
          <w:divBdr>
            <w:top w:val="none" w:sz="0" w:space="0" w:color="auto"/>
            <w:left w:val="none" w:sz="0" w:space="0" w:color="auto"/>
            <w:bottom w:val="none" w:sz="0" w:space="0" w:color="auto"/>
            <w:right w:val="none" w:sz="0" w:space="0" w:color="auto"/>
          </w:divBdr>
        </w:div>
        <w:div w:id="1848783122">
          <w:marLeft w:val="0"/>
          <w:marRight w:val="0"/>
          <w:marTop w:val="0"/>
          <w:marBottom w:val="0"/>
          <w:divBdr>
            <w:top w:val="none" w:sz="0" w:space="0" w:color="auto"/>
            <w:left w:val="none" w:sz="0" w:space="0" w:color="auto"/>
            <w:bottom w:val="none" w:sz="0" w:space="0" w:color="auto"/>
            <w:right w:val="none" w:sz="0" w:space="0" w:color="auto"/>
          </w:divBdr>
        </w:div>
        <w:div w:id="290750040">
          <w:marLeft w:val="0"/>
          <w:marRight w:val="0"/>
          <w:marTop w:val="0"/>
          <w:marBottom w:val="0"/>
          <w:divBdr>
            <w:top w:val="none" w:sz="0" w:space="0" w:color="auto"/>
            <w:left w:val="none" w:sz="0" w:space="0" w:color="auto"/>
            <w:bottom w:val="none" w:sz="0" w:space="0" w:color="auto"/>
            <w:right w:val="none" w:sz="0" w:space="0" w:color="auto"/>
          </w:divBdr>
        </w:div>
        <w:div w:id="297151067">
          <w:marLeft w:val="0"/>
          <w:marRight w:val="0"/>
          <w:marTop w:val="0"/>
          <w:marBottom w:val="0"/>
          <w:divBdr>
            <w:top w:val="none" w:sz="0" w:space="0" w:color="auto"/>
            <w:left w:val="none" w:sz="0" w:space="0" w:color="auto"/>
            <w:bottom w:val="none" w:sz="0" w:space="0" w:color="auto"/>
            <w:right w:val="none" w:sz="0" w:space="0" w:color="auto"/>
          </w:divBdr>
        </w:div>
        <w:div w:id="62218718">
          <w:marLeft w:val="0"/>
          <w:marRight w:val="0"/>
          <w:marTop w:val="0"/>
          <w:marBottom w:val="0"/>
          <w:divBdr>
            <w:top w:val="none" w:sz="0" w:space="0" w:color="auto"/>
            <w:left w:val="none" w:sz="0" w:space="0" w:color="auto"/>
            <w:bottom w:val="none" w:sz="0" w:space="0" w:color="auto"/>
            <w:right w:val="none" w:sz="0" w:space="0" w:color="auto"/>
          </w:divBdr>
        </w:div>
      </w:divsChild>
    </w:div>
    <w:div w:id="911894199">
      <w:bodyDiv w:val="1"/>
      <w:marLeft w:val="0"/>
      <w:marRight w:val="0"/>
      <w:marTop w:val="0"/>
      <w:marBottom w:val="0"/>
      <w:divBdr>
        <w:top w:val="none" w:sz="0" w:space="0" w:color="auto"/>
        <w:left w:val="none" w:sz="0" w:space="0" w:color="auto"/>
        <w:bottom w:val="none" w:sz="0" w:space="0" w:color="auto"/>
        <w:right w:val="none" w:sz="0" w:space="0" w:color="auto"/>
      </w:divBdr>
      <w:divsChild>
        <w:div w:id="1321225881">
          <w:marLeft w:val="0"/>
          <w:marRight w:val="0"/>
          <w:marTop w:val="0"/>
          <w:marBottom w:val="0"/>
          <w:divBdr>
            <w:top w:val="none" w:sz="0" w:space="0" w:color="auto"/>
            <w:left w:val="none" w:sz="0" w:space="0" w:color="auto"/>
            <w:bottom w:val="none" w:sz="0" w:space="0" w:color="auto"/>
            <w:right w:val="none" w:sz="0" w:space="0" w:color="auto"/>
          </w:divBdr>
        </w:div>
        <w:div w:id="1444690563">
          <w:marLeft w:val="0"/>
          <w:marRight w:val="0"/>
          <w:marTop w:val="0"/>
          <w:marBottom w:val="0"/>
          <w:divBdr>
            <w:top w:val="none" w:sz="0" w:space="0" w:color="auto"/>
            <w:left w:val="none" w:sz="0" w:space="0" w:color="auto"/>
            <w:bottom w:val="none" w:sz="0" w:space="0" w:color="auto"/>
            <w:right w:val="none" w:sz="0" w:space="0" w:color="auto"/>
          </w:divBdr>
        </w:div>
        <w:div w:id="1468665080">
          <w:marLeft w:val="0"/>
          <w:marRight w:val="0"/>
          <w:marTop w:val="0"/>
          <w:marBottom w:val="0"/>
          <w:divBdr>
            <w:top w:val="none" w:sz="0" w:space="0" w:color="auto"/>
            <w:left w:val="none" w:sz="0" w:space="0" w:color="auto"/>
            <w:bottom w:val="none" w:sz="0" w:space="0" w:color="auto"/>
            <w:right w:val="none" w:sz="0" w:space="0" w:color="auto"/>
          </w:divBdr>
        </w:div>
        <w:div w:id="128548583">
          <w:marLeft w:val="0"/>
          <w:marRight w:val="0"/>
          <w:marTop w:val="0"/>
          <w:marBottom w:val="0"/>
          <w:divBdr>
            <w:top w:val="none" w:sz="0" w:space="0" w:color="auto"/>
            <w:left w:val="none" w:sz="0" w:space="0" w:color="auto"/>
            <w:bottom w:val="none" w:sz="0" w:space="0" w:color="auto"/>
            <w:right w:val="none" w:sz="0" w:space="0" w:color="auto"/>
          </w:divBdr>
        </w:div>
        <w:div w:id="552665990">
          <w:marLeft w:val="0"/>
          <w:marRight w:val="0"/>
          <w:marTop w:val="0"/>
          <w:marBottom w:val="0"/>
          <w:divBdr>
            <w:top w:val="none" w:sz="0" w:space="0" w:color="auto"/>
            <w:left w:val="none" w:sz="0" w:space="0" w:color="auto"/>
            <w:bottom w:val="none" w:sz="0" w:space="0" w:color="auto"/>
            <w:right w:val="none" w:sz="0" w:space="0" w:color="auto"/>
          </w:divBdr>
        </w:div>
        <w:div w:id="913471745">
          <w:marLeft w:val="0"/>
          <w:marRight w:val="0"/>
          <w:marTop w:val="0"/>
          <w:marBottom w:val="0"/>
          <w:divBdr>
            <w:top w:val="none" w:sz="0" w:space="0" w:color="auto"/>
            <w:left w:val="none" w:sz="0" w:space="0" w:color="auto"/>
            <w:bottom w:val="none" w:sz="0" w:space="0" w:color="auto"/>
            <w:right w:val="none" w:sz="0" w:space="0" w:color="auto"/>
          </w:divBdr>
        </w:div>
      </w:divsChild>
    </w:div>
    <w:div w:id="912083937">
      <w:bodyDiv w:val="1"/>
      <w:marLeft w:val="0"/>
      <w:marRight w:val="0"/>
      <w:marTop w:val="0"/>
      <w:marBottom w:val="0"/>
      <w:divBdr>
        <w:top w:val="none" w:sz="0" w:space="0" w:color="auto"/>
        <w:left w:val="none" w:sz="0" w:space="0" w:color="auto"/>
        <w:bottom w:val="none" w:sz="0" w:space="0" w:color="auto"/>
        <w:right w:val="none" w:sz="0" w:space="0" w:color="auto"/>
      </w:divBdr>
      <w:divsChild>
        <w:div w:id="1089349388">
          <w:marLeft w:val="0"/>
          <w:marRight w:val="0"/>
          <w:marTop w:val="0"/>
          <w:marBottom w:val="0"/>
          <w:divBdr>
            <w:top w:val="none" w:sz="0" w:space="0" w:color="auto"/>
            <w:left w:val="none" w:sz="0" w:space="0" w:color="auto"/>
            <w:bottom w:val="none" w:sz="0" w:space="0" w:color="auto"/>
            <w:right w:val="none" w:sz="0" w:space="0" w:color="auto"/>
          </w:divBdr>
        </w:div>
        <w:div w:id="2024435463">
          <w:marLeft w:val="0"/>
          <w:marRight w:val="0"/>
          <w:marTop w:val="0"/>
          <w:marBottom w:val="0"/>
          <w:divBdr>
            <w:top w:val="none" w:sz="0" w:space="0" w:color="auto"/>
            <w:left w:val="none" w:sz="0" w:space="0" w:color="auto"/>
            <w:bottom w:val="none" w:sz="0" w:space="0" w:color="auto"/>
            <w:right w:val="none" w:sz="0" w:space="0" w:color="auto"/>
          </w:divBdr>
        </w:div>
        <w:div w:id="178811256">
          <w:marLeft w:val="0"/>
          <w:marRight w:val="0"/>
          <w:marTop w:val="0"/>
          <w:marBottom w:val="0"/>
          <w:divBdr>
            <w:top w:val="none" w:sz="0" w:space="0" w:color="auto"/>
            <w:left w:val="none" w:sz="0" w:space="0" w:color="auto"/>
            <w:bottom w:val="none" w:sz="0" w:space="0" w:color="auto"/>
            <w:right w:val="none" w:sz="0" w:space="0" w:color="auto"/>
          </w:divBdr>
        </w:div>
      </w:divsChild>
    </w:div>
    <w:div w:id="918170167">
      <w:bodyDiv w:val="1"/>
      <w:marLeft w:val="0"/>
      <w:marRight w:val="0"/>
      <w:marTop w:val="0"/>
      <w:marBottom w:val="0"/>
      <w:divBdr>
        <w:top w:val="none" w:sz="0" w:space="0" w:color="auto"/>
        <w:left w:val="none" w:sz="0" w:space="0" w:color="auto"/>
        <w:bottom w:val="none" w:sz="0" w:space="0" w:color="auto"/>
        <w:right w:val="none" w:sz="0" w:space="0" w:color="auto"/>
      </w:divBdr>
      <w:divsChild>
        <w:div w:id="1940789659">
          <w:marLeft w:val="0"/>
          <w:marRight w:val="0"/>
          <w:marTop w:val="0"/>
          <w:marBottom w:val="0"/>
          <w:divBdr>
            <w:top w:val="none" w:sz="0" w:space="0" w:color="auto"/>
            <w:left w:val="none" w:sz="0" w:space="0" w:color="auto"/>
            <w:bottom w:val="none" w:sz="0" w:space="0" w:color="auto"/>
            <w:right w:val="none" w:sz="0" w:space="0" w:color="auto"/>
          </w:divBdr>
        </w:div>
        <w:div w:id="1637955005">
          <w:marLeft w:val="0"/>
          <w:marRight w:val="0"/>
          <w:marTop w:val="0"/>
          <w:marBottom w:val="0"/>
          <w:divBdr>
            <w:top w:val="none" w:sz="0" w:space="0" w:color="auto"/>
            <w:left w:val="none" w:sz="0" w:space="0" w:color="auto"/>
            <w:bottom w:val="none" w:sz="0" w:space="0" w:color="auto"/>
            <w:right w:val="none" w:sz="0" w:space="0" w:color="auto"/>
          </w:divBdr>
        </w:div>
      </w:divsChild>
    </w:div>
    <w:div w:id="934242774">
      <w:bodyDiv w:val="1"/>
      <w:marLeft w:val="0"/>
      <w:marRight w:val="0"/>
      <w:marTop w:val="0"/>
      <w:marBottom w:val="0"/>
      <w:divBdr>
        <w:top w:val="none" w:sz="0" w:space="0" w:color="auto"/>
        <w:left w:val="none" w:sz="0" w:space="0" w:color="auto"/>
        <w:bottom w:val="none" w:sz="0" w:space="0" w:color="auto"/>
        <w:right w:val="none" w:sz="0" w:space="0" w:color="auto"/>
      </w:divBdr>
      <w:divsChild>
        <w:div w:id="1639384825">
          <w:marLeft w:val="0"/>
          <w:marRight w:val="0"/>
          <w:marTop w:val="0"/>
          <w:marBottom w:val="0"/>
          <w:divBdr>
            <w:top w:val="none" w:sz="0" w:space="0" w:color="auto"/>
            <w:left w:val="none" w:sz="0" w:space="0" w:color="auto"/>
            <w:bottom w:val="none" w:sz="0" w:space="0" w:color="auto"/>
            <w:right w:val="none" w:sz="0" w:space="0" w:color="auto"/>
          </w:divBdr>
        </w:div>
        <w:div w:id="2099717738">
          <w:marLeft w:val="0"/>
          <w:marRight w:val="0"/>
          <w:marTop w:val="0"/>
          <w:marBottom w:val="0"/>
          <w:divBdr>
            <w:top w:val="none" w:sz="0" w:space="0" w:color="auto"/>
            <w:left w:val="none" w:sz="0" w:space="0" w:color="auto"/>
            <w:bottom w:val="none" w:sz="0" w:space="0" w:color="auto"/>
            <w:right w:val="none" w:sz="0" w:space="0" w:color="auto"/>
          </w:divBdr>
        </w:div>
        <w:div w:id="881333252">
          <w:marLeft w:val="0"/>
          <w:marRight w:val="0"/>
          <w:marTop w:val="0"/>
          <w:marBottom w:val="0"/>
          <w:divBdr>
            <w:top w:val="none" w:sz="0" w:space="0" w:color="auto"/>
            <w:left w:val="none" w:sz="0" w:space="0" w:color="auto"/>
            <w:bottom w:val="none" w:sz="0" w:space="0" w:color="auto"/>
            <w:right w:val="none" w:sz="0" w:space="0" w:color="auto"/>
          </w:divBdr>
        </w:div>
        <w:div w:id="1883706144">
          <w:marLeft w:val="0"/>
          <w:marRight w:val="0"/>
          <w:marTop w:val="0"/>
          <w:marBottom w:val="0"/>
          <w:divBdr>
            <w:top w:val="none" w:sz="0" w:space="0" w:color="auto"/>
            <w:left w:val="none" w:sz="0" w:space="0" w:color="auto"/>
            <w:bottom w:val="none" w:sz="0" w:space="0" w:color="auto"/>
            <w:right w:val="none" w:sz="0" w:space="0" w:color="auto"/>
          </w:divBdr>
        </w:div>
      </w:divsChild>
    </w:div>
    <w:div w:id="980109878">
      <w:bodyDiv w:val="1"/>
      <w:marLeft w:val="0"/>
      <w:marRight w:val="0"/>
      <w:marTop w:val="0"/>
      <w:marBottom w:val="0"/>
      <w:divBdr>
        <w:top w:val="none" w:sz="0" w:space="0" w:color="auto"/>
        <w:left w:val="none" w:sz="0" w:space="0" w:color="auto"/>
        <w:bottom w:val="none" w:sz="0" w:space="0" w:color="auto"/>
        <w:right w:val="none" w:sz="0" w:space="0" w:color="auto"/>
      </w:divBdr>
    </w:div>
    <w:div w:id="1004674144">
      <w:bodyDiv w:val="1"/>
      <w:marLeft w:val="0"/>
      <w:marRight w:val="0"/>
      <w:marTop w:val="0"/>
      <w:marBottom w:val="0"/>
      <w:divBdr>
        <w:top w:val="none" w:sz="0" w:space="0" w:color="auto"/>
        <w:left w:val="none" w:sz="0" w:space="0" w:color="auto"/>
        <w:bottom w:val="none" w:sz="0" w:space="0" w:color="auto"/>
        <w:right w:val="none" w:sz="0" w:space="0" w:color="auto"/>
      </w:divBdr>
      <w:divsChild>
        <w:div w:id="1107700143">
          <w:marLeft w:val="0"/>
          <w:marRight w:val="0"/>
          <w:marTop w:val="0"/>
          <w:marBottom w:val="0"/>
          <w:divBdr>
            <w:top w:val="none" w:sz="0" w:space="0" w:color="auto"/>
            <w:left w:val="none" w:sz="0" w:space="0" w:color="auto"/>
            <w:bottom w:val="none" w:sz="0" w:space="0" w:color="auto"/>
            <w:right w:val="none" w:sz="0" w:space="0" w:color="auto"/>
          </w:divBdr>
        </w:div>
        <w:div w:id="645401968">
          <w:marLeft w:val="0"/>
          <w:marRight w:val="0"/>
          <w:marTop w:val="0"/>
          <w:marBottom w:val="0"/>
          <w:divBdr>
            <w:top w:val="none" w:sz="0" w:space="0" w:color="auto"/>
            <w:left w:val="none" w:sz="0" w:space="0" w:color="auto"/>
            <w:bottom w:val="none" w:sz="0" w:space="0" w:color="auto"/>
            <w:right w:val="none" w:sz="0" w:space="0" w:color="auto"/>
          </w:divBdr>
        </w:div>
        <w:div w:id="37240240">
          <w:marLeft w:val="0"/>
          <w:marRight w:val="0"/>
          <w:marTop w:val="0"/>
          <w:marBottom w:val="0"/>
          <w:divBdr>
            <w:top w:val="none" w:sz="0" w:space="0" w:color="auto"/>
            <w:left w:val="none" w:sz="0" w:space="0" w:color="auto"/>
            <w:bottom w:val="none" w:sz="0" w:space="0" w:color="auto"/>
            <w:right w:val="none" w:sz="0" w:space="0" w:color="auto"/>
          </w:divBdr>
        </w:div>
        <w:div w:id="733701922">
          <w:marLeft w:val="0"/>
          <w:marRight w:val="0"/>
          <w:marTop w:val="0"/>
          <w:marBottom w:val="0"/>
          <w:divBdr>
            <w:top w:val="none" w:sz="0" w:space="0" w:color="auto"/>
            <w:left w:val="none" w:sz="0" w:space="0" w:color="auto"/>
            <w:bottom w:val="none" w:sz="0" w:space="0" w:color="auto"/>
            <w:right w:val="none" w:sz="0" w:space="0" w:color="auto"/>
          </w:divBdr>
        </w:div>
      </w:divsChild>
    </w:div>
    <w:div w:id="1023674748">
      <w:bodyDiv w:val="1"/>
      <w:marLeft w:val="0"/>
      <w:marRight w:val="0"/>
      <w:marTop w:val="0"/>
      <w:marBottom w:val="0"/>
      <w:divBdr>
        <w:top w:val="none" w:sz="0" w:space="0" w:color="auto"/>
        <w:left w:val="none" w:sz="0" w:space="0" w:color="auto"/>
        <w:bottom w:val="none" w:sz="0" w:space="0" w:color="auto"/>
        <w:right w:val="none" w:sz="0" w:space="0" w:color="auto"/>
      </w:divBdr>
      <w:divsChild>
        <w:div w:id="86535469">
          <w:marLeft w:val="0"/>
          <w:marRight w:val="0"/>
          <w:marTop w:val="0"/>
          <w:marBottom w:val="0"/>
          <w:divBdr>
            <w:top w:val="none" w:sz="0" w:space="0" w:color="auto"/>
            <w:left w:val="none" w:sz="0" w:space="0" w:color="auto"/>
            <w:bottom w:val="none" w:sz="0" w:space="0" w:color="auto"/>
            <w:right w:val="none" w:sz="0" w:space="0" w:color="auto"/>
          </w:divBdr>
        </w:div>
        <w:div w:id="1905291199">
          <w:marLeft w:val="0"/>
          <w:marRight w:val="0"/>
          <w:marTop w:val="0"/>
          <w:marBottom w:val="0"/>
          <w:divBdr>
            <w:top w:val="none" w:sz="0" w:space="0" w:color="auto"/>
            <w:left w:val="none" w:sz="0" w:space="0" w:color="auto"/>
            <w:bottom w:val="none" w:sz="0" w:space="0" w:color="auto"/>
            <w:right w:val="none" w:sz="0" w:space="0" w:color="auto"/>
          </w:divBdr>
        </w:div>
        <w:div w:id="250622943">
          <w:marLeft w:val="0"/>
          <w:marRight w:val="0"/>
          <w:marTop w:val="0"/>
          <w:marBottom w:val="0"/>
          <w:divBdr>
            <w:top w:val="none" w:sz="0" w:space="0" w:color="auto"/>
            <w:left w:val="none" w:sz="0" w:space="0" w:color="auto"/>
            <w:bottom w:val="none" w:sz="0" w:space="0" w:color="auto"/>
            <w:right w:val="none" w:sz="0" w:space="0" w:color="auto"/>
          </w:divBdr>
        </w:div>
        <w:div w:id="417095875">
          <w:marLeft w:val="0"/>
          <w:marRight w:val="0"/>
          <w:marTop w:val="0"/>
          <w:marBottom w:val="0"/>
          <w:divBdr>
            <w:top w:val="none" w:sz="0" w:space="0" w:color="auto"/>
            <w:left w:val="none" w:sz="0" w:space="0" w:color="auto"/>
            <w:bottom w:val="none" w:sz="0" w:space="0" w:color="auto"/>
            <w:right w:val="none" w:sz="0" w:space="0" w:color="auto"/>
          </w:divBdr>
        </w:div>
        <w:div w:id="1032534082">
          <w:marLeft w:val="0"/>
          <w:marRight w:val="0"/>
          <w:marTop w:val="0"/>
          <w:marBottom w:val="0"/>
          <w:divBdr>
            <w:top w:val="none" w:sz="0" w:space="0" w:color="auto"/>
            <w:left w:val="none" w:sz="0" w:space="0" w:color="auto"/>
            <w:bottom w:val="none" w:sz="0" w:space="0" w:color="auto"/>
            <w:right w:val="none" w:sz="0" w:space="0" w:color="auto"/>
          </w:divBdr>
        </w:div>
        <w:div w:id="1541622741">
          <w:marLeft w:val="0"/>
          <w:marRight w:val="0"/>
          <w:marTop w:val="0"/>
          <w:marBottom w:val="0"/>
          <w:divBdr>
            <w:top w:val="none" w:sz="0" w:space="0" w:color="auto"/>
            <w:left w:val="none" w:sz="0" w:space="0" w:color="auto"/>
            <w:bottom w:val="none" w:sz="0" w:space="0" w:color="auto"/>
            <w:right w:val="none" w:sz="0" w:space="0" w:color="auto"/>
          </w:divBdr>
        </w:div>
      </w:divsChild>
    </w:div>
    <w:div w:id="1109006175">
      <w:bodyDiv w:val="1"/>
      <w:marLeft w:val="0"/>
      <w:marRight w:val="0"/>
      <w:marTop w:val="0"/>
      <w:marBottom w:val="0"/>
      <w:divBdr>
        <w:top w:val="none" w:sz="0" w:space="0" w:color="auto"/>
        <w:left w:val="none" w:sz="0" w:space="0" w:color="auto"/>
        <w:bottom w:val="none" w:sz="0" w:space="0" w:color="auto"/>
        <w:right w:val="none" w:sz="0" w:space="0" w:color="auto"/>
      </w:divBdr>
      <w:divsChild>
        <w:div w:id="476723895">
          <w:marLeft w:val="0"/>
          <w:marRight w:val="0"/>
          <w:marTop w:val="0"/>
          <w:marBottom w:val="0"/>
          <w:divBdr>
            <w:top w:val="none" w:sz="0" w:space="0" w:color="auto"/>
            <w:left w:val="none" w:sz="0" w:space="0" w:color="auto"/>
            <w:bottom w:val="none" w:sz="0" w:space="0" w:color="auto"/>
            <w:right w:val="none" w:sz="0" w:space="0" w:color="auto"/>
          </w:divBdr>
        </w:div>
        <w:div w:id="529296611">
          <w:marLeft w:val="0"/>
          <w:marRight w:val="0"/>
          <w:marTop w:val="0"/>
          <w:marBottom w:val="0"/>
          <w:divBdr>
            <w:top w:val="none" w:sz="0" w:space="0" w:color="auto"/>
            <w:left w:val="none" w:sz="0" w:space="0" w:color="auto"/>
            <w:bottom w:val="none" w:sz="0" w:space="0" w:color="auto"/>
            <w:right w:val="none" w:sz="0" w:space="0" w:color="auto"/>
          </w:divBdr>
        </w:div>
        <w:div w:id="1571576697">
          <w:marLeft w:val="0"/>
          <w:marRight w:val="0"/>
          <w:marTop w:val="0"/>
          <w:marBottom w:val="0"/>
          <w:divBdr>
            <w:top w:val="none" w:sz="0" w:space="0" w:color="auto"/>
            <w:left w:val="none" w:sz="0" w:space="0" w:color="auto"/>
            <w:bottom w:val="none" w:sz="0" w:space="0" w:color="auto"/>
            <w:right w:val="none" w:sz="0" w:space="0" w:color="auto"/>
          </w:divBdr>
        </w:div>
        <w:div w:id="1138299429">
          <w:marLeft w:val="0"/>
          <w:marRight w:val="0"/>
          <w:marTop w:val="0"/>
          <w:marBottom w:val="0"/>
          <w:divBdr>
            <w:top w:val="none" w:sz="0" w:space="0" w:color="auto"/>
            <w:left w:val="none" w:sz="0" w:space="0" w:color="auto"/>
            <w:bottom w:val="none" w:sz="0" w:space="0" w:color="auto"/>
            <w:right w:val="none" w:sz="0" w:space="0" w:color="auto"/>
          </w:divBdr>
        </w:div>
        <w:div w:id="566182691">
          <w:marLeft w:val="0"/>
          <w:marRight w:val="0"/>
          <w:marTop w:val="0"/>
          <w:marBottom w:val="0"/>
          <w:divBdr>
            <w:top w:val="none" w:sz="0" w:space="0" w:color="auto"/>
            <w:left w:val="none" w:sz="0" w:space="0" w:color="auto"/>
            <w:bottom w:val="none" w:sz="0" w:space="0" w:color="auto"/>
            <w:right w:val="none" w:sz="0" w:space="0" w:color="auto"/>
          </w:divBdr>
        </w:div>
        <w:div w:id="878511530">
          <w:marLeft w:val="0"/>
          <w:marRight w:val="0"/>
          <w:marTop w:val="0"/>
          <w:marBottom w:val="0"/>
          <w:divBdr>
            <w:top w:val="none" w:sz="0" w:space="0" w:color="auto"/>
            <w:left w:val="none" w:sz="0" w:space="0" w:color="auto"/>
            <w:bottom w:val="none" w:sz="0" w:space="0" w:color="auto"/>
            <w:right w:val="none" w:sz="0" w:space="0" w:color="auto"/>
          </w:divBdr>
        </w:div>
      </w:divsChild>
    </w:div>
    <w:div w:id="1112824223">
      <w:bodyDiv w:val="1"/>
      <w:marLeft w:val="0"/>
      <w:marRight w:val="0"/>
      <w:marTop w:val="0"/>
      <w:marBottom w:val="0"/>
      <w:divBdr>
        <w:top w:val="none" w:sz="0" w:space="0" w:color="auto"/>
        <w:left w:val="none" w:sz="0" w:space="0" w:color="auto"/>
        <w:bottom w:val="none" w:sz="0" w:space="0" w:color="auto"/>
        <w:right w:val="none" w:sz="0" w:space="0" w:color="auto"/>
      </w:divBdr>
      <w:divsChild>
        <w:div w:id="1795708490">
          <w:marLeft w:val="0"/>
          <w:marRight w:val="0"/>
          <w:marTop w:val="0"/>
          <w:marBottom w:val="0"/>
          <w:divBdr>
            <w:top w:val="none" w:sz="0" w:space="0" w:color="auto"/>
            <w:left w:val="none" w:sz="0" w:space="0" w:color="auto"/>
            <w:bottom w:val="none" w:sz="0" w:space="0" w:color="auto"/>
            <w:right w:val="none" w:sz="0" w:space="0" w:color="auto"/>
          </w:divBdr>
        </w:div>
        <w:div w:id="2071032132">
          <w:marLeft w:val="0"/>
          <w:marRight w:val="0"/>
          <w:marTop w:val="0"/>
          <w:marBottom w:val="0"/>
          <w:divBdr>
            <w:top w:val="none" w:sz="0" w:space="0" w:color="auto"/>
            <w:left w:val="none" w:sz="0" w:space="0" w:color="auto"/>
            <w:bottom w:val="none" w:sz="0" w:space="0" w:color="auto"/>
            <w:right w:val="none" w:sz="0" w:space="0" w:color="auto"/>
          </w:divBdr>
        </w:div>
        <w:div w:id="1684476517">
          <w:marLeft w:val="0"/>
          <w:marRight w:val="0"/>
          <w:marTop w:val="0"/>
          <w:marBottom w:val="0"/>
          <w:divBdr>
            <w:top w:val="none" w:sz="0" w:space="0" w:color="auto"/>
            <w:left w:val="none" w:sz="0" w:space="0" w:color="auto"/>
            <w:bottom w:val="none" w:sz="0" w:space="0" w:color="auto"/>
            <w:right w:val="none" w:sz="0" w:space="0" w:color="auto"/>
          </w:divBdr>
        </w:div>
      </w:divsChild>
    </w:div>
    <w:div w:id="1176378852">
      <w:bodyDiv w:val="1"/>
      <w:marLeft w:val="0"/>
      <w:marRight w:val="0"/>
      <w:marTop w:val="0"/>
      <w:marBottom w:val="0"/>
      <w:divBdr>
        <w:top w:val="none" w:sz="0" w:space="0" w:color="auto"/>
        <w:left w:val="none" w:sz="0" w:space="0" w:color="auto"/>
        <w:bottom w:val="none" w:sz="0" w:space="0" w:color="auto"/>
        <w:right w:val="none" w:sz="0" w:space="0" w:color="auto"/>
      </w:divBdr>
      <w:divsChild>
        <w:div w:id="2036491877">
          <w:marLeft w:val="0"/>
          <w:marRight w:val="0"/>
          <w:marTop w:val="0"/>
          <w:marBottom w:val="0"/>
          <w:divBdr>
            <w:top w:val="none" w:sz="0" w:space="0" w:color="auto"/>
            <w:left w:val="none" w:sz="0" w:space="0" w:color="auto"/>
            <w:bottom w:val="none" w:sz="0" w:space="0" w:color="auto"/>
            <w:right w:val="none" w:sz="0" w:space="0" w:color="auto"/>
          </w:divBdr>
        </w:div>
        <w:div w:id="1279096034">
          <w:marLeft w:val="0"/>
          <w:marRight w:val="0"/>
          <w:marTop w:val="0"/>
          <w:marBottom w:val="0"/>
          <w:divBdr>
            <w:top w:val="none" w:sz="0" w:space="0" w:color="auto"/>
            <w:left w:val="none" w:sz="0" w:space="0" w:color="auto"/>
            <w:bottom w:val="none" w:sz="0" w:space="0" w:color="auto"/>
            <w:right w:val="none" w:sz="0" w:space="0" w:color="auto"/>
          </w:divBdr>
        </w:div>
        <w:div w:id="654141495">
          <w:marLeft w:val="0"/>
          <w:marRight w:val="0"/>
          <w:marTop w:val="0"/>
          <w:marBottom w:val="0"/>
          <w:divBdr>
            <w:top w:val="none" w:sz="0" w:space="0" w:color="auto"/>
            <w:left w:val="none" w:sz="0" w:space="0" w:color="auto"/>
            <w:bottom w:val="none" w:sz="0" w:space="0" w:color="auto"/>
            <w:right w:val="none" w:sz="0" w:space="0" w:color="auto"/>
          </w:divBdr>
        </w:div>
        <w:div w:id="779840151">
          <w:marLeft w:val="0"/>
          <w:marRight w:val="0"/>
          <w:marTop w:val="0"/>
          <w:marBottom w:val="0"/>
          <w:divBdr>
            <w:top w:val="none" w:sz="0" w:space="0" w:color="auto"/>
            <w:left w:val="none" w:sz="0" w:space="0" w:color="auto"/>
            <w:bottom w:val="none" w:sz="0" w:space="0" w:color="auto"/>
            <w:right w:val="none" w:sz="0" w:space="0" w:color="auto"/>
          </w:divBdr>
        </w:div>
        <w:div w:id="1011489863">
          <w:marLeft w:val="0"/>
          <w:marRight w:val="0"/>
          <w:marTop w:val="0"/>
          <w:marBottom w:val="0"/>
          <w:divBdr>
            <w:top w:val="none" w:sz="0" w:space="0" w:color="auto"/>
            <w:left w:val="none" w:sz="0" w:space="0" w:color="auto"/>
            <w:bottom w:val="none" w:sz="0" w:space="0" w:color="auto"/>
            <w:right w:val="none" w:sz="0" w:space="0" w:color="auto"/>
          </w:divBdr>
        </w:div>
        <w:div w:id="1428766693">
          <w:marLeft w:val="0"/>
          <w:marRight w:val="0"/>
          <w:marTop w:val="0"/>
          <w:marBottom w:val="0"/>
          <w:divBdr>
            <w:top w:val="none" w:sz="0" w:space="0" w:color="auto"/>
            <w:left w:val="none" w:sz="0" w:space="0" w:color="auto"/>
            <w:bottom w:val="none" w:sz="0" w:space="0" w:color="auto"/>
            <w:right w:val="none" w:sz="0" w:space="0" w:color="auto"/>
          </w:divBdr>
        </w:div>
        <w:div w:id="1069110281">
          <w:marLeft w:val="0"/>
          <w:marRight w:val="0"/>
          <w:marTop w:val="0"/>
          <w:marBottom w:val="0"/>
          <w:divBdr>
            <w:top w:val="none" w:sz="0" w:space="0" w:color="auto"/>
            <w:left w:val="none" w:sz="0" w:space="0" w:color="auto"/>
            <w:bottom w:val="none" w:sz="0" w:space="0" w:color="auto"/>
            <w:right w:val="none" w:sz="0" w:space="0" w:color="auto"/>
          </w:divBdr>
        </w:div>
        <w:div w:id="1904371419">
          <w:marLeft w:val="0"/>
          <w:marRight w:val="0"/>
          <w:marTop w:val="0"/>
          <w:marBottom w:val="0"/>
          <w:divBdr>
            <w:top w:val="none" w:sz="0" w:space="0" w:color="auto"/>
            <w:left w:val="none" w:sz="0" w:space="0" w:color="auto"/>
            <w:bottom w:val="none" w:sz="0" w:space="0" w:color="auto"/>
            <w:right w:val="none" w:sz="0" w:space="0" w:color="auto"/>
          </w:divBdr>
        </w:div>
        <w:div w:id="284895817">
          <w:marLeft w:val="0"/>
          <w:marRight w:val="0"/>
          <w:marTop w:val="0"/>
          <w:marBottom w:val="0"/>
          <w:divBdr>
            <w:top w:val="none" w:sz="0" w:space="0" w:color="auto"/>
            <w:left w:val="none" w:sz="0" w:space="0" w:color="auto"/>
            <w:bottom w:val="none" w:sz="0" w:space="0" w:color="auto"/>
            <w:right w:val="none" w:sz="0" w:space="0" w:color="auto"/>
          </w:divBdr>
        </w:div>
      </w:divsChild>
    </w:div>
    <w:div w:id="1186405739">
      <w:bodyDiv w:val="1"/>
      <w:marLeft w:val="0"/>
      <w:marRight w:val="0"/>
      <w:marTop w:val="0"/>
      <w:marBottom w:val="0"/>
      <w:divBdr>
        <w:top w:val="none" w:sz="0" w:space="0" w:color="auto"/>
        <w:left w:val="none" w:sz="0" w:space="0" w:color="auto"/>
        <w:bottom w:val="none" w:sz="0" w:space="0" w:color="auto"/>
        <w:right w:val="none" w:sz="0" w:space="0" w:color="auto"/>
      </w:divBdr>
      <w:divsChild>
        <w:div w:id="51084751">
          <w:marLeft w:val="0"/>
          <w:marRight w:val="0"/>
          <w:marTop w:val="0"/>
          <w:marBottom w:val="0"/>
          <w:divBdr>
            <w:top w:val="none" w:sz="0" w:space="0" w:color="auto"/>
            <w:left w:val="none" w:sz="0" w:space="0" w:color="auto"/>
            <w:bottom w:val="none" w:sz="0" w:space="0" w:color="auto"/>
            <w:right w:val="none" w:sz="0" w:space="0" w:color="auto"/>
          </w:divBdr>
        </w:div>
        <w:div w:id="220944502">
          <w:marLeft w:val="0"/>
          <w:marRight w:val="0"/>
          <w:marTop w:val="0"/>
          <w:marBottom w:val="0"/>
          <w:divBdr>
            <w:top w:val="none" w:sz="0" w:space="0" w:color="auto"/>
            <w:left w:val="none" w:sz="0" w:space="0" w:color="auto"/>
            <w:bottom w:val="none" w:sz="0" w:space="0" w:color="auto"/>
            <w:right w:val="none" w:sz="0" w:space="0" w:color="auto"/>
          </w:divBdr>
        </w:div>
        <w:div w:id="1465851174">
          <w:marLeft w:val="0"/>
          <w:marRight w:val="0"/>
          <w:marTop w:val="0"/>
          <w:marBottom w:val="0"/>
          <w:divBdr>
            <w:top w:val="none" w:sz="0" w:space="0" w:color="auto"/>
            <w:left w:val="none" w:sz="0" w:space="0" w:color="auto"/>
            <w:bottom w:val="none" w:sz="0" w:space="0" w:color="auto"/>
            <w:right w:val="none" w:sz="0" w:space="0" w:color="auto"/>
          </w:divBdr>
        </w:div>
        <w:div w:id="1218778667">
          <w:marLeft w:val="0"/>
          <w:marRight w:val="0"/>
          <w:marTop w:val="0"/>
          <w:marBottom w:val="0"/>
          <w:divBdr>
            <w:top w:val="none" w:sz="0" w:space="0" w:color="auto"/>
            <w:left w:val="none" w:sz="0" w:space="0" w:color="auto"/>
            <w:bottom w:val="none" w:sz="0" w:space="0" w:color="auto"/>
            <w:right w:val="none" w:sz="0" w:space="0" w:color="auto"/>
          </w:divBdr>
        </w:div>
        <w:div w:id="2115007130">
          <w:marLeft w:val="0"/>
          <w:marRight w:val="0"/>
          <w:marTop w:val="0"/>
          <w:marBottom w:val="0"/>
          <w:divBdr>
            <w:top w:val="none" w:sz="0" w:space="0" w:color="auto"/>
            <w:left w:val="none" w:sz="0" w:space="0" w:color="auto"/>
            <w:bottom w:val="none" w:sz="0" w:space="0" w:color="auto"/>
            <w:right w:val="none" w:sz="0" w:space="0" w:color="auto"/>
          </w:divBdr>
        </w:div>
        <w:div w:id="923149370">
          <w:marLeft w:val="0"/>
          <w:marRight w:val="0"/>
          <w:marTop w:val="0"/>
          <w:marBottom w:val="0"/>
          <w:divBdr>
            <w:top w:val="none" w:sz="0" w:space="0" w:color="auto"/>
            <w:left w:val="none" w:sz="0" w:space="0" w:color="auto"/>
            <w:bottom w:val="none" w:sz="0" w:space="0" w:color="auto"/>
            <w:right w:val="none" w:sz="0" w:space="0" w:color="auto"/>
          </w:divBdr>
        </w:div>
      </w:divsChild>
    </w:div>
    <w:div w:id="1212840717">
      <w:bodyDiv w:val="1"/>
      <w:marLeft w:val="0"/>
      <w:marRight w:val="0"/>
      <w:marTop w:val="0"/>
      <w:marBottom w:val="0"/>
      <w:divBdr>
        <w:top w:val="none" w:sz="0" w:space="0" w:color="auto"/>
        <w:left w:val="none" w:sz="0" w:space="0" w:color="auto"/>
        <w:bottom w:val="none" w:sz="0" w:space="0" w:color="auto"/>
        <w:right w:val="none" w:sz="0" w:space="0" w:color="auto"/>
      </w:divBdr>
      <w:divsChild>
        <w:div w:id="1111243616">
          <w:marLeft w:val="0"/>
          <w:marRight w:val="0"/>
          <w:marTop w:val="0"/>
          <w:marBottom w:val="0"/>
          <w:divBdr>
            <w:top w:val="none" w:sz="0" w:space="0" w:color="auto"/>
            <w:left w:val="none" w:sz="0" w:space="0" w:color="auto"/>
            <w:bottom w:val="none" w:sz="0" w:space="0" w:color="auto"/>
            <w:right w:val="none" w:sz="0" w:space="0" w:color="auto"/>
          </w:divBdr>
        </w:div>
        <w:div w:id="1837189029">
          <w:marLeft w:val="0"/>
          <w:marRight w:val="0"/>
          <w:marTop w:val="0"/>
          <w:marBottom w:val="0"/>
          <w:divBdr>
            <w:top w:val="none" w:sz="0" w:space="0" w:color="auto"/>
            <w:left w:val="none" w:sz="0" w:space="0" w:color="auto"/>
            <w:bottom w:val="none" w:sz="0" w:space="0" w:color="auto"/>
            <w:right w:val="none" w:sz="0" w:space="0" w:color="auto"/>
          </w:divBdr>
        </w:div>
        <w:div w:id="677193002">
          <w:marLeft w:val="0"/>
          <w:marRight w:val="0"/>
          <w:marTop w:val="0"/>
          <w:marBottom w:val="0"/>
          <w:divBdr>
            <w:top w:val="none" w:sz="0" w:space="0" w:color="auto"/>
            <w:left w:val="none" w:sz="0" w:space="0" w:color="auto"/>
            <w:bottom w:val="none" w:sz="0" w:space="0" w:color="auto"/>
            <w:right w:val="none" w:sz="0" w:space="0" w:color="auto"/>
          </w:divBdr>
        </w:div>
        <w:div w:id="1130323732">
          <w:marLeft w:val="0"/>
          <w:marRight w:val="0"/>
          <w:marTop w:val="0"/>
          <w:marBottom w:val="0"/>
          <w:divBdr>
            <w:top w:val="none" w:sz="0" w:space="0" w:color="auto"/>
            <w:left w:val="none" w:sz="0" w:space="0" w:color="auto"/>
            <w:bottom w:val="none" w:sz="0" w:space="0" w:color="auto"/>
            <w:right w:val="none" w:sz="0" w:space="0" w:color="auto"/>
          </w:divBdr>
        </w:div>
        <w:div w:id="594939476">
          <w:marLeft w:val="0"/>
          <w:marRight w:val="0"/>
          <w:marTop w:val="0"/>
          <w:marBottom w:val="0"/>
          <w:divBdr>
            <w:top w:val="none" w:sz="0" w:space="0" w:color="auto"/>
            <w:left w:val="none" w:sz="0" w:space="0" w:color="auto"/>
            <w:bottom w:val="none" w:sz="0" w:space="0" w:color="auto"/>
            <w:right w:val="none" w:sz="0" w:space="0" w:color="auto"/>
          </w:divBdr>
        </w:div>
      </w:divsChild>
    </w:div>
    <w:div w:id="1261371760">
      <w:bodyDiv w:val="1"/>
      <w:marLeft w:val="0"/>
      <w:marRight w:val="0"/>
      <w:marTop w:val="0"/>
      <w:marBottom w:val="0"/>
      <w:divBdr>
        <w:top w:val="none" w:sz="0" w:space="0" w:color="auto"/>
        <w:left w:val="none" w:sz="0" w:space="0" w:color="auto"/>
        <w:bottom w:val="none" w:sz="0" w:space="0" w:color="auto"/>
        <w:right w:val="none" w:sz="0" w:space="0" w:color="auto"/>
      </w:divBdr>
      <w:divsChild>
        <w:div w:id="1697000444">
          <w:marLeft w:val="0"/>
          <w:marRight w:val="0"/>
          <w:marTop w:val="0"/>
          <w:marBottom w:val="0"/>
          <w:divBdr>
            <w:top w:val="none" w:sz="0" w:space="0" w:color="auto"/>
            <w:left w:val="none" w:sz="0" w:space="0" w:color="auto"/>
            <w:bottom w:val="none" w:sz="0" w:space="0" w:color="auto"/>
            <w:right w:val="none" w:sz="0" w:space="0" w:color="auto"/>
          </w:divBdr>
        </w:div>
        <w:div w:id="1794981244">
          <w:marLeft w:val="0"/>
          <w:marRight w:val="0"/>
          <w:marTop w:val="0"/>
          <w:marBottom w:val="0"/>
          <w:divBdr>
            <w:top w:val="none" w:sz="0" w:space="0" w:color="auto"/>
            <w:left w:val="none" w:sz="0" w:space="0" w:color="auto"/>
            <w:bottom w:val="none" w:sz="0" w:space="0" w:color="auto"/>
            <w:right w:val="none" w:sz="0" w:space="0" w:color="auto"/>
          </w:divBdr>
        </w:div>
        <w:div w:id="1286615794">
          <w:marLeft w:val="0"/>
          <w:marRight w:val="0"/>
          <w:marTop w:val="0"/>
          <w:marBottom w:val="0"/>
          <w:divBdr>
            <w:top w:val="none" w:sz="0" w:space="0" w:color="auto"/>
            <w:left w:val="none" w:sz="0" w:space="0" w:color="auto"/>
            <w:bottom w:val="none" w:sz="0" w:space="0" w:color="auto"/>
            <w:right w:val="none" w:sz="0" w:space="0" w:color="auto"/>
          </w:divBdr>
        </w:div>
        <w:div w:id="370610954">
          <w:marLeft w:val="0"/>
          <w:marRight w:val="0"/>
          <w:marTop w:val="0"/>
          <w:marBottom w:val="0"/>
          <w:divBdr>
            <w:top w:val="none" w:sz="0" w:space="0" w:color="auto"/>
            <w:left w:val="none" w:sz="0" w:space="0" w:color="auto"/>
            <w:bottom w:val="none" w:sz="0" w:space="0" w:color="auto"/>
            <w:right w:val="none" w:sz="0" w:space="0" w:color="auto"/>
          </w:divBdr>
        </w:div>
        <w:div w:id="1644891532">
          <w:marLeft w:val="0"/>
          <w:marRight w:val="0"/>
          <w:marTop w:val="0"/>
          <w:marBottom w:val="0"/>
          <w:divBdr>
            <w:top w:val="none" w:sz="0" w:space="0" w:color="auto"/>
            <w:left w:val="none" w:sz="0" w:space="0" w:color="auto"/>
            <w:bottom w:val="none" w:sz="0" w:space="0" w:color="auto"/>
            <w:right w:val="none" w:sz="0" w:space="0" w:color="auto"/>
          </w:divBdr>
        </w:div>
      </w:divsChild>
    </w:div>
    <w:div w:id="1285309158">
      <w:bodyDiv w:val="1"/>
      <w:marLeft w:val="0"/>
      <w:marRight w:val="0"/>
      <w:marTop w:val="0"/>
      <w:marBottom w:val="0"/>
      <w:divBdr>
        <w:top w:val="none" w:sz="0" w:space="0" w:color="auto"/>
        <w:left w:val="none" w:sz="0" w:space="0" w:color="auto"/>
        <w:bottom w:val="none" w:sz="0" w:space="0" w:color="auto"/>
        <w:right w:val="none" w:sz="0" w:space="0" w:color="auto"/>
      </w:divBdr>
      <w:divsChild>
        <w:div w:id="1967393148">
          <w:marLeft w:val="0"/>
          <w:marRight w:val="0"/>
          <w:marTop w:val="0"/>
          <w:marBottom w:val="0"/>
          <w:divBdr>
            <w:top w:val="none" w:sz="0" w:space="0" w:color="auto"/>
            <w:left w:val="none" w:sz="0" w:space="0" w:color="auto"/>
            <w:bottom w:val="none" w:sz="0" w:space="0" w:color="auto"/>
            <w:right w:val="none" w:sz="0" w:space="0" w:color="auto"/>
          </w:divBdr>
        </w:div>
        <w:div w:id="1907449098">
          <w:marLeft w:val="0"/>
          <w:marRight w:val="0"/>
          <w:marTop w:val="0"/>
          <w:marBottom w:val="0"/>
          <w:divBdr>
            <w:top w:val="none" w:sz="0" w:space="0" w:color="auto"/>
            <w:left w:val="none" w:sz="0" w:space="0" w:color="auto"/>
            <w:bottom w:val="none" w:sz="0" w:space="0" w:color="auto"/>
            <w:right w:val="none" w:sz="0" w:space="0" w:color="auto"/>
          </w:divBdr>
        </w:div>
        <w:div w:id="2045784835">
          <w:marLeft w:val="0"/>
          <w:marRight w:val="0"/>
          <w:marTop w:val="0"/>
          <w:marBottom w:val="0"/>
          <w:divBdr>
            <w:top w:val="none" w:sz="0" w:space="0" w:color="auto"/>
            <w:left w:val="none" w:sz="0" w:space="0" w:color="auto"/>
            <w:bottom w:val="none" w:sz="0" w:space="0" w:color="auto"/>
            <w:right w:val="none" w:sz="0" w:space="0" w:color="auto"/>
          </w:divBdr>
        </w:div>
        <w:div w:id="449981160">
          <w:marLeft w:val="0"/>
          <w:marRight w:val="0"/>
          <w:marTop w:val="0"/>
          <w:marBottom w:val="0"/>
          <w:divBdr>
            <w:top w:val="none" w:sz="0" w:space="0" w:color="auto"/>
            <w:left w:val="none" w:sz="0" w:space="0" w:color="auto"/>
            <w:bottom w:val="none" w:sz="0" w:space="0" w:color="auto"/>
            <w:right w:val="none" w:sz="0" w:space="0" w:color="auto"/>
          </w:divBdr>
        </w:div>
        <w:div w:id="768697309">
          <w:marLeft w:val="0"/>
          <w:marRight w:val="0"/>
          <w:marTop w:val="0"/>
          <w:marBottom w:val="0"/>
          <w:divBdr>
            <w:top w:val="none" w:sz="0" w:space="0" w:color="auto"/>
            <w:left w:val="none" w:sz="0" w:space="0" w:color="auto"/>
            <w:bottom w:val="none" w:sz="0" w:space="0" w:color="auto"/>
            <w:right w:val="none" w:sz="0" w:space="0" w:color="auto"/>
          </w:divBdr>
        </w:div>
      </w:divsChild>
    </w:div>
    <w:div w:id="1288388127">
      <w:bodyDiv w:val="1"/>
      <w:marLeft w:val="0"/>
      <w:marRight w:val="0"/>
      <w:marTop w:val="0"/>
      <w:marBottom w:val="0"/>
      <w:divBdr>
        <w:top w:val="none" w:sz="0" w:space="0" w:color="auto"/>
        <w:left w:val="none" w:sz="0" w:space="0" w:color="auto"/>
        <w:bottom w:val="none" w:sz="0" w:space="0" w:color="auto"/>
        <w:right w:val="none" w:sz="0" w:space="0" w:color="auto"/>
      </w:divBdr>
    </w:div>
    <w:div w:id="1306819709">
      <w:bodyDiv w:val="1"/>
      <w:marLeft w:val="0"/>
      <w:marRight w:val="0"/>
      <w:marTop w:val="0"/>
      <w:marBottom w:val="0"/>
      <w:divBdr>
        <w:top w:val="none" w:sz="0" w:space="0" w:color="auto"/>
        <w:left w:val="none" w:sz="0" w:space="0" w:color="auto"/>
        <w:bottom w:val="none" w:sz="0" w:space="0" w:color="auto"/>
        <w:right w:val="none" w:sz="0" w:space="0" w:color="auto"/>
      </w:divBdr>
      <w:divsChild>
        <w:div w:id="439184429">
          <w:marLeft w:val="0"/>
          <w:marRight w:val="0"/>
          <w:marTop w:val="0"/>
          <w:marBottom w:val="0"/>
          <w:divBdr>
            <w:top w:val="none" w:sz="0" w:space="0" w:color="auto"/>
            <w:left w:val="none" w:sz="0" w:space="0" w:color="auto"/>
            <w:bottom w:val="none" w:sz="0" w:space="0" w:color="auto"/>
            <w:right w:val="none" w:sz="0" w:space="0" w:color="auto"/>
          </w:divBdr>
        </w:div>
        <w:div w:id="852761547">
          <w:marLeft w:val="0"/>
          <w:marRight w:val="0"/>
          <w:marTop w:val="0"/>
          <w:marBottom w:val="0"/>
          <w:divBdr>
            <w:top w:val="none" w:sz="0" w:space="0" w:color="auto"/>
            <w:left w:val="none" w:sz="0" w:space="0" w:color="auto"/>
            <w:bottom w:val="none" w:sz="0" w:space="0" w:color="auto"/>
            <w:right w:val="none" w:sz="0" w:space="0" w:color="auto"/>
          </w:divBdr>
        </w:div>
        <w:div w:id="1305695593">
          <w:marLeft w:val="0"/>
          <w:marRight w:val="0"/>
          <w:marTop w:val="0"/>
          <w:marBottom w:val="0"/>
          <w:divBdr>
            <w:top w:val="none" w:sz="0" w:space="0" w:color="auto"/>
            <w:left w:val="none" w:sz="0" w:space="0" w:color="auto"/>
            <w:bottom w:val="none" w:sz="0" w:space="0" w:color="auto"/>
            <w:right w:val="none" w:sz="0" w:space="0" w:color="auto"/>
          </w:divBdr>
        </w:div>
        <w:div w:id="899554568">
          <w:marLeft w:val="0"/>
          <w:marRight w:val="0"/>
          <w:marTop w:val="0"/>
          <w:marBottom w:val="0"/>
          <w:divBdr>
            <w:top w:val="none" w:sz="0" w:space="0" w:color="auto"/>
            <w:left w:val="none" w:sz="0" w:space="0" w:color="auto"/>
            <w:bottom w:val="none" w:sz="0" w:space="0" w:color="auto"/>
            <w:right w:val="none" w:sz="0" w:space="0" w:color="auto"/>
          </w:divBdr>
        </w:div>
      </w:divsChild>
    </w:div>
    <w:div w:id="1311401254">
      <w:bodyDiv w:val="1"/>
      <w:marLeft w:val="0"/>
      <w:marRight w:val="0"/>
      <w:marTop w:val="0"/>
      <w:marBottom w:val="0"/>
      <w:divBdr>
        <w:top w:val="none" w:sz="0" w:space="0" w:color="auto"/>
        <w:left w:val="none" w:sz="0" w:space="0" w:color="auto"/>
        <w:bottom w:val="none" w:sz="0" w:space="0" w:color="auto"/>
        <w:right w:val="none" w:sz="0" w:space="0" w:color="auto"/>
      </w:divBdr>
      <w:divsChild>
        <w:div w:id="1540318303">
          <w:marLeft w:val="0"/>
          <w:marRight w:val="0"/>
          <w:marTop w:val="0"/>
          <w:marBottom w:val="0"/>
          <w:divBdr>
            <w:top w:val="none" w:sz="0" w:space="0" w:color="auto"/>
            <w:left w:val="none" w:sz="0" w:space="0" w:color="auto"/>
            <w:bottom w:val="none" w:sz="0" w:space="0" w:color="auto"/>
            <w:right w:val="none" w:sz="0" w:space="0" w:color="auto"/>
          </w:divBdr>
        </w:div>
        <w:div w:id="991447120">
          <w:marLeft w:val="0"/>
          <w:marRight w:val="0"/>
          <w:marTop w:val="0"/>
          <w:marBottom w:val="0"/>
          <w:divBdr>
            <w:top w:val="none" w:sz="0" w:space="0" w:color="auto"/>
            <w:left w:val="none" w:sz="0" w:space="0" w:color="auto"/>
            <w:bottom w:val="none" w:sz="0" w:space="0" w:color="auto"/>
            <w:right w:val="none" w:sz="0" w:space="0" w:color="auto"/>
          </w:divBdr>
        </w:div>
      </w:divsChild>
    </w:div>
    <w:div w:id="1316107528">
      <w:bodyDiv w:val="1"/>
      <w:marLeft w:val="0"/>
      <w:marRight w:val="0"/>
      <w:marTop w:val="0"/>
      <w:marBottom w:val="0"/>
      <w:divBdr>
        <w:top w:val="none" w:sz="0" w:space="0" w:color="auto"/>
        <w:left w:val="none" w:sz="0" w:space="0" w:color="auto"/>
        <w:bottom w:val="none" w:sz="0" w:space="0" w:color="auto"/>
        <w:right w:val="none" w:sz="0" w:space="0" w:color="auto"/>
      </w:divBdr>
      <w:divsChild>
        <w:div w:id="677579136">
          <w:marLeft w:val="0"/>
          <w:marRight w:val="0"/>
          <w:marTop w:val="0"/>
          <w:marBottom w:val="0"/>
          <w:divBdr>
            <w:top w:val="none" w:sz="0" w:space="0" w:color="auto"/>
            <w:left w:val="none" w:sz="0" w:space="0" w:color="auto"/>
            <w:bottom w:val="none" w:sz="0" w:space="0" w:color="auto"/>
            <w:right w:val="none" w:sz="0" w:space="0" w:color="auto"/>
          </w:divBdr>
        </w:div>
        <w:div w:id="1944339947">
          <w:marLeft w:val="0"/>
          <w:marRight w:val="0"/>
          <w:marTop w:val="0"/>
          <w:marBottom w:val="0"/>
          <w:divBdr>
            <w:top w:val="none" w:sz="0" w:space="0" w:color="auto"/>
            <w:left w:val="none" w:sz="0" w:space="0" w:color="auto"/>
            <w:bottom w:val="none" w:sz="0" w:space="0" w:color="auto"/>
            <w:right w:val="none" w:sz="0" w:space="0" w:color="auto"/>
          </w:divBdr>
        </w:div>
        <w:div w:id="1967000354">
          <w:marLeft w:val="0"/>
          <w:marRight w:val="0"/>
          <w:marTop w:val="0"/>
          <w:marBottom w:val="0"/>
          <w:divBdr>
            <w:top w:val="none" w:sz="0" w:space="0" w:color="auto"/>
            <w:left w:val="none" w:sz="0" w:space="0" w:color="auto"/>
            <w:bottom w:val="none" w:sz="0" w:space="0" w:color="auto"/>
            <w:right w:val="none" w:sz="0" w:space="0" w:color="auto"/>
          </w:divBdr>
        </w:div>
        <w:div w:id="831064624">
          <w:marLeft w:val="0"/>
          <w:marRight w:val="0"/>
          <w:marTop w:val="0"/>
          <w:marBottom w:val="0"/>
          <w:divBdr>
            <w:top w:val="none" w:sz="0" w:space="0" w:color="auto"/>
            <w:left w:val="none" w:sz="0" w:space="0" w:color="auto"/>
            <w:bottom w:val="none" w:sz="0" w:space="0" w:color="auto"/>
            <w:right w:val="none" w:sz="0" w:space="0" w:color="auto"/>
          </w:divBdr>
        </w:div>
        <w:div w:id="1272931528">
          <w:marLeft w:val="0"/>
          <w:marRight w:val="0"/>
          <w:marTop w:val="0"/>
          <w:marBottom w:val="0"/>
          <w:divBdr>
            <w:top w:val="none" w:sz="0" w:space="0" w:color="auto"/>
            <w:left w:val="none" w:sz="0" w:space="0" w:color="auto"/>
            <w:bottom w:val="none" w:sz="0" w:space="0" w:color="auto"/>
            <w:right w:val="none" w:sz="0" w:space="0" w:color="auto"/>
          </w:divBdr>
        </w:div>
        <w:div w:id="1872643002">
          <w:marLeft w:val="0"/>
          <w:marRight w:val="0"/>
          <w:marTop w:val="0"/>
          <w:marBottom w:val="0"/>
          <w:divBdr>
            <w:top w:val="none" w:sz="0" w:space="0" w:color="auto"/>
            <w:left w:val="none" w:sz="0" w:space="0" w:color="auto"/>
            <w:bottom w:val="none" w:sz="0" w:space="0" w:color="auto"/>
            <w:right w:val="none" w:sz="0" w:space="0" w:color="auto"/>
          </w:divBdr>
        </w:div>
        <w:div w:id="1150710590">
          <w:marLeft w:val="0"/>
          <w:marRight w:val="0"/>
          <w:marTop w:val="0"/>
          <w:marBottom w:val="0"/>
          <w:divBdr>
            <w:top w:val="none" w:sz="0" w:space="0" w:color="auto"/>
            <w:left w:val="none" w:sz="0" w:space="0" w:color="auto"/>
            <w:bottom w:val="none" w:sz="0" w:space="0" w:color="auto"/>
            <w:right w:val="none" w:sz="0" w:space="0" w:color="auto"/>
          </w:divBdr>
        </w:div>
      </w:divsChild>
    </w:div>
    <w:div w:id="1325209425">
      <w:bodyDiv w:val="1"/>
      <w:marLeft w:val="0"/>
      <w:marRight w:val="0"/>
      <w:marTop w:val="0"/>
      <w:marBottom w:val="0"/>
      <w:divBdr>
        <w:top w:val="none" w:sz="0" w:space="0" w:color="auto"/>
        <w:left w:val="none" w:sz="0" w:space="0" w:color="auto"/>
        <w:bottom w:val="none" w:sz="0" w:space="0" w:color="auto"/>
        <w:right w:val="none" w:sz="0" w:space="0" w:color="auto"/>
      </w:divBdr>
      <w:divsChild>
        <w:div w:id="278879102">
          <w:marLeft w:val="0"/>
          <w:marRight w:val="0"/>
          <w:marTop w:val="0"/>
          <w:marBottom w:val="0"/>
          <w:divBdr>
            <w:top w:val="none" w:sz="0" w:space="0" w:color="auto"/>
            <w:left w:val="none" w:sz="0" w:space="0" w:color="auto"/>
            <w:bottom w:val="none" w:sz="0" w:space="0" w:color="auto"/>
            <w:right w:val="none" w:sz="0" w:space="0" w:color="auto"/>
          </w:divBdr>
        </w:div>
        <w:div w:id="352263444">
          <w:marLeft w:val="0"/>
          <w:marRight w:val="0"/>
          <w:marTop w:val="0"/>
          <w:marBottom w:val="0"/>
          <w:divBdr>
            <w:top w:val="none" w:sz="0" w:space="0" w:color="auto"/>
            <w:left w:val="none" w:sz="0" w:space="0" w:color="auto"/>
            <w:bottom w:val="none" w:sz="0" w:space="0" w:color="auto"/>
            <w:right w:val="none" w:sz="0" w:space="0" w:color="auto"/>
          </w:divBdr>
        </w:div>
        <w:div w:id="282543151">
          <w:marLeft w:val="0"/>
          <w:marRight w:val="0"/>
          <w:marTop w:val="0"/>
          <w:marBottom w:val="0"/>
          <w:divBdr>
            <w:top w:val="none" w:sz="0" w:space="0" w:color="auto"/>
            <w:left w:val="none" w:sz="0" w:space="0" w:color="auto"/>
            <w:bottom w:val="none" w:sz="0" w:space="0" w:color="auto"/>
            <w:right w:val="none" w:sz="0" w:space="0" w:color="auto"/>
          </w:divBdr>
        </w:div>
      </w:divsChild>
    </w:div>
    <w:div w:id="1329020326">
      <w:bodyDiv w:val="1"/>
      <w:marLeft w:val="0"/>
      <w:marRight w:val="0"/>
      <w:marTop w:val="0"/>
      <w:marBottom w:val="0"/>
      <w:divBdr>
        <w:top w:val="none" w:sz="0" w:space="0" w:color="auto"/>
        <w:left w:val="none" w:sz="0" w:space="0" w:color="auto"/>
        <w:bottom w:val="none" w:sz="0" w:space="0" w:color="auto"/>
        <w:right w:val="none" w:sz="0" w:space="0" w:color="auto"/>
      </w:divBdr>
      <w:divsChild>
        <w:div w:id="1243831590">
          <w:marLeft w:val="0"/>
          <w:marRight w:val="0"/>
          <w:marTop w:val="0"/>
          <w:marBottom w:val="0"/>
          <w:divBdr>
            <w:top w:val="none" w:sz="0" w:space="0" w:color="auto"/>
            <w:left w:val="none" w:sz="0" w:space="0" w:color="auto"/>
            <w:bottom w:val="none" w:sz="0" w:space="0" w:color="auto"/>
            <w:right w:val="none" w:sz="0" w:space="0" w:color="auto"/>
          </w:divBdr>
        </w:div>
        <w:div w:id="235746893">
          <w:marLeft w:val="0"/>
          <w:marRight w:val="0"/>
          <w:marTop w:val="0"/>
          <w:marBottom w:val="0"/>
          <w:divBdr>
            <w:top w:val="none" w:sz="0" w:space="0" w:color="auto"/>
            <w:left w:val="none" w:sz="0" w:space="0" w:color="auto"/>
            <w:bottom w:val="none" w:sz="0" w:space="0" w:color="auto"/>
            <w:right w:val="none" w:sz="0" w:space="0" w:color="auto"/>
          </w:divBdr>
        </w:div>
      </w:divsChild>
    </w:div>
    <w:div w:id="1329599187">
      <w:bodyDiv w:val="1"/>
      <w:marLeft w:val="0"/>
      <w:marRight w:val="0"/>
      <w:marTop w:val="0"/>
      <w:marBottom w:val="0"/>
      <w:divBdr>
        <w:top w:val="none" w:sz="0" w:space="0" w:color="auto"/>
        <w:left w:val="none" w:sz="0" w:space="0" w:color="auto"/>
        <w:bottom w:val="none" w:sz="0" w:space="0" w:color="auto"/>
        <w:right w:val="none" w:sz="0" w:space="0" w:color="auto"/>
      </w:divBdr>
      <w:divsChild>
        <w:div w:id="1482429849">
          <w:marLeft w:val="0"/>
          <w:marRight w:val="0"/>
          <w:marTop w:val="0"/>
          <w:marBottom w:val="0"/>
          <w:divBdr>
            <w:top w:val="none" w:sz="0" w:space="0" w:color="auto"/>
            <w:left w:val="none" w:sz="0" w:space="0" w:color="auto"/>
            <w:bottom w:val="none" w:sz="0" w:space="0" w:color="auto"/>
            <w:right w:val="none" w:sz="0" w:space="0" w:color="auto"/>
          </w:divBdr>
        </w:div>
        <w:div w:id="192500872">
          <w:marLeft w:val="0"/>
          <w:marRight w:val="0"/>
          <w:marTop w:val="0"/>
          <w:marBottom w:val="0"/>
          <w:divBdr>
            <w:top w:val="none" w:sz="0" w:space="0" w:color="auto"/>
            <w:left w:val="none" w:sz="0" w:space="0" w:color="auto"/>
            <w:bottom w:val="none" w:sz="0" w:space="0" w:color="auto"/>
            <w:right w:val="none" w:sz="0" w:space="0" w:color="auto"/>
          </w:divBdr>
        </w:div>
        <w:div w:id="1942301473">
          <w:marLeft w:val="0"/>
          <w:marRight w:val="0"/>
          <w:marTop w:val="0"/>
          <w:marBottom w:val="0"/>
          <w:divBdr>
            <w:top w:val="none" w:sz="0" w:space="0" w:color="auto"/>
            <w:left w:val="none" w:sz="0" w:space="0" w:color="auto"/>
            <w:bottom w:val="none" w:sz="0" w:space="0" w:color="auto"/>
            <w:right w:val="none" w:sz="0" w:space="0" w:color="auto"/>
          </w:divBdr>
        </w:div>
        <w:div w:id="808479116">
          <w:marLeft w:val="0"/>
          <w:marRight w:val="0"/>
          <w:marTop w:val="0"/>
          <w:marBottom w:val="0"/>
          <w:divBdr>
            <w:top w:val="none" w:sz="0" w:space="0" w:color="auto"/>
            <w:left w:val="none" w:sz="0" w:space="0" w:color="auto"/>
            <w:bottom w:val="none" w:sz="0" w:space="0" w:color="auto"/>
            <w:right w:val="none" w:sz="0" w:space="0" w:color="auto"/>
          </w:divBdr>
        </w:div>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409503521">
      <w:bodyDiv w:val="1"/>
      <w:marLeft w:val="0"/>
      <w:marRight w:val="0"/>
      <w:marTop w:val="0"/>
      <w:marBottom w:val="0"/>
      <w:divBdr>
        <w:top w:val="none" w:sz="0" w:space="0" w:color="auto"/>
        <w:left w:val="none" w:sz="0" w:space="0" w:color="auto"/>
        <w:bottom w:val="none" w:sz="0" w:space="0" w:color="auto"/>
        <w:right w:val="none" w:sz="0" w:space="0" w:color="auto"/>
      </w:divBdr>
      <w:divsChild>
        <w:div w:id="510071073">
          <w:marLeft w:val="0"/>
          <w:marRight w:val="0"/>
          <w:marTop w:val="0"/>
          <w:marBottom w:val="0"/>
          <w:divBdr>
            <w:top w:val="none" w:sz="0" w:space="0" w:color="auto"/>
            <w:left w:val="none" w:sz="0" w:space="0" w:color="auto"/>
            <w:bottom w:val="none" w:sz="0" w:space="0" w:color="auto"/>
            <w:right w:val="none" w:sz="0" w:space="0" w:color="auto"/>
          </w:divBdr>
        </w:div>
        <w:div w:id="1032271141">
          <w:marLeft w:val="0"/>
          <w:marRight w:val="0"/>
          <w:marTop w:val="0"/>
          <w:marBottom w:val="0"/>
          <w:divBdr>
            <w:top w:val="none" w:sz="0" w:space="0" w:color="auto"/>
            <w:left w:val="none" w:sz="0" w:space="0" w:color="auto"/>
            <w:bottom w:val="none" w:sz="0" w:space="0" w:color="auto"/>
            <w:right w:val="none" w:sz="0" w:space="0" w:color="auto"/>
          </w:divBdr>
        </w:div>
      </w:divsChild>
    </w:div>
    <w:div w:id="1436830982">
      <w:bodyDiv w:val="1"/>
      <w:marLeft w:val="0"/>
      <w:marRight w:val="0"/>
      <w:marTop w:val="0"/>
      <w:marBottom w:val="0"/>
      <w:divBdr>
        <w:top w:val="none" w:sz="0" w:space="0" w:color="auto"/>
        <w:left w:val="none" w:sz="0" w:space="0" w:color="auto"/>
        <w:bottom w:val="none" w:sz="0" w:space="0" w:color="auto"/>
        <w:right w:val="none" w:sz="0" w:space="0" w:color="auto"/>
      </w:divBdr>
      <w:divsChild>
        <w:div w:id="848253238">
          <w:marLeft w:val="0"/>
          <w:marRight w:val="0"/>
          <w:marTop w:val="0"/>
          <w:marBottom w:val="0"/>
          <w:divBdr>
            <w:top w:val="none" w:sz="0" w:space="0" w:color="auto"/>
            <w:left w:val="none" w:sz="0" w:space="0" w:color="auto"/>
            <w:bottom w:val="none" w:sz="0" w:space="0" w:color="auto"/>
            <w:right w:val="none" w:sz="0" w:space="0" w:color="auto"/>
          </w:divBdr>
        </w:div>
        <w:div w:id="564755396">
          <w:marLeft w:val="0"/>
          <w:marRight w:val="0"/>
          <w:marTop w:val="0"/>
          <w:marBottom w:val="0"/>
          <w:divBdr>
            <w:top w:val="none" w:sz="0" w:space="0" w:color="auto"/>
            <w:left w:val="none" w:sz="0" w:space="0" w:color="auto"/>
            <w:bottom w:val="none" w:sz="0" w:space="0" w:color="auto"/>
            <w:right w:val="none" w:sz="0" w:space="0" w:color="auto"/>
          </w:divBdr>
        </w:div>
        <w:div w:id="689529368">
          <w:marLeft w:val="0"/>
          <w:marRight w:val="0"/>
          <w:marTop w:val="0"/>
          <w:marBottom w:val="0"/>
          <w:divBdr>
            <w:top w:val="none" w:sz="0" w:space="0" w:color="auto"/>
            <w:left w:val="none" w:sz="0" w:space="0" w:color="auto"/>
            <w:bottom w:val="none" w:sz="0" w:space="0" w:color="auto"/>
            <w:right w:val="none" w:sz="0" w:space="0" w:color="auto"/>
          </w:divBdr>
        </w:div>
      </w:divsChild>
    </w:div>
    <w:div w:id="1463183930">
      <w:bodyDiv w:val="1"/>
      <w:marLeft w:val="0"/>
      <w:marRight w:val="0"/>
      <w:marTop w:val="0"/>
      <w:marBottom w:val="0"/>
      <w:divBdr>
        <w:top w:val="none" w:sz="0" w:space="0" w:color="auto"/>
        <w:left w:val="none" w:sz="0" w:space="0" w:color="auto"/>
        <w:bottom w:val="none" w:sz="0" w:space="0" w:color="auto"/>
        <w:right w:val="none" w:sz="0" w:space="0" w:color="auto"/>
      </w:divBdr>
      <w:divsChild>
        <w:div w:id="1826822316">
          <w:marLeft w:val="0"/>
          <w:marRight w:val="0"/>
          <w:marTop w:val="0"/>
          <w:marBottom w:val="0"/>
          <w:divBdr>
            <w:top w:val="none" w:sz="0" w:space="0" w:color="auto"/>
            <w:left w:val="none" w:sz="0" w:space="0" w:color="auto"/>
            <w:bottom w:val="none" w:sz="0" w:space="0" w:color="auto"/>
            <w:right w:val="none" w:sz="0" w:space="0" w:color="auto"/>
          </w:divBdr>
        </w:div>
        <w:div w:id="412316014">
          <w:marLeft w:val="0"/>
          <w:marRight w:val="0"/>
          <w:marTop w:val="0"/>
          <w:marBottom w:val="0"/>
          <w:divBdr>
            <w:top w:val="none" w:sz="0" w:space="0" w:color="auto"/>
            <w:left w:val="none" w:sz="0" w:space="0" w:color="auto"/>
            <w:bottom w:val="none" w:sz="0" w:space="0" w:color="auto"/>
            <w:right w:val="none" w:sz="0" w:space="0" w:color="auto"/>
          </w:divBdr>
        </w:div>
        <w:div w:id="716123882">
          <w:marLeft w:val="0"/>
          <w:marRight w:val="0"/>
          <w:marTop w:val="0"/>
          <w:marBottom w:val="0"/>
          <w:divBdr>
            <w:top w:val="none" w:sz="0" w:space="0" w:color="auto"/>
            <w:left w:val="none" w:sz="0" w:space="0" w:color="auto"/>
            <w:bottom w:val="none" w:sz="0" w:space="0" w:color="auto"/>
            <w:right w:val="none" w:sz="0" w:space="0" w:color="auto"/>
          </w:divBdr>
        </w:div>
        <w:div w:id="1819105549">
          <w:marLeft w:val="0"/>
          <w:marRight w:val="0"/>
          <w:marTop w:val="0"/>
          <w:marBottom w:val="0"/>
          <w:divBdr>
            <w:top w:val="none" w:sz="0" w:space="0" w:color="auto"/>
            <w:left w:val="none" w:sz="0" w:space="0" w:color="auto"/>
            <w:bottom w:val="none" w:sz="0" w:space="0" w:color="auto"/>
            <w:right w:val="none" w:sz="0" w:space="0" w:color="auto"/>
          </w:divBdr>
        </w:div>
      </w:divsChild>
    </w:div>
    <w:div w:id="1470584897">
      <w:bodyDiv w:val="1"/>
      <w:marLeft w:val="0"/>
      <w:marRight w:val="0"/>
      <w:marTop w:val="0"/>
      <w:marBottom w:val="0"/>
      <w:divBdr>
        <w:top w:val="none" w:sz="0" w:space="0" w:color="auto"/>
        <w:left w:val="none" w:sz="0" w:space="0" w:color="auto"/>
        <w:bottom w:val="none" w:sz="0" w:space="0" w:color="auto"/>
        <w:right w:val="none" w:sz="0" w:space="0" w:color="auto"/>
      </w:divBdr>
      <w:divsChild>
        <w:div w:id="2055957807">
          <w:marLeft w:val="0"/>
          <w:marRight w:val="0"/>
          <w:marTop w:val="0"/>
          <w:marBottom w:val="0"/>
          <w:divBdr>
            <w:top w:val="none" w:sz="0" w:space="0" w:color="auto"/>
            <w:left w:val="none" w:sz="0" w:space="0" w:color="auto"/>
            <w:bottom w:val="none" w:sz="0" w:space="0" w:color="auto"/>
            <w:right w:val="none" w:sz="0" w:space="0" w:color="auto"/>
          </w:divBdr>
        </w:div>
        <w:div w:id="1496647312">
          <w:marLeft w:val="0"/>
          <w:marRight w:val="0"/>
          <w:marTop w:val="0"/>
          <w:marBottom w:val="0"/>
          <w:divBdr>
            <w:top w:val="none" w:sz="0" w:space="0" w:color="auto"/>
            <w:left w:val="none" w:sz="0" w:space="0" w:color="auto"/>
            <w:bottom w:val="none" w:sz="0" w:space="0" w:color="auto"/>
            <w:right w:val="none" w:sz="0" w:space="0" w:color="auto"/>
          </w:divBdr>
        </w:div>
        <w:div w:id="1544558626">
          <w:marLeft w:val="0"/>
          <w:marRight w:val="0"/>
          <w:marTop w:val="0"/>
          <w:marBottom w:val="0"/>
          <w:divBdr>
            <w:top w:val="none" w:sz="0" w:space="0" w:color="auto"/>
            <w:left w:val="none" w:sz="0" w:space="0" w:color="auto"/>
            <w:bottom w:val="none" w:sz="0" w:space="0" w:color="auto"/>
            <w:right w:val="none" w:sz="0" w:space="0" w:color="auto"/>
          </w:divBdr>
        </w:div>
        <w:div w:id="1832482212">
          <w:marLeft w:val="0"/>
          <w:marRight w:val="0"/>
          <w:marTop w:val="0"/>
          <w:marBottom w:val="0"/>
          <w:divBdr>
            <w:top w:val="none" w:sz="0" w:space="0" w:color="auto"/>
            <w:left w:val="none" w:sz="0" w:space="0" w:color="auto"/>
            <w:bottom w:val="none" w:sz="0" w:space="0" w:color="auto"/>
            <w:right w:val="none" w:sz="0" w:space="0" w:color="auto"/>
          </w:divBdr>
        </w:div>
        <w:div w:id="930889538">
          <w:marLeft w:val="0"/>
          <w:marRight w:val="0"/>
          <w:marTop w:val="0"/>
          <w:marBottom w:val="0"/>
          <w:divBdr>
            <w:top w:val="none" w:sz="0" w:space="0" w:color="auto"/>
            <w:left w:val="none" w:sz="0" w:space="0" w:color="auto"/>
            <w:bottom w:val="none" w:sz="0" w:space="0" w:color="auto"/>
            <w:right w:val="none" w:sz="0" w:space="0" w:color="auto"/>
          </w:divBdr>
        </w:div>
      </w:divsChild>
    </w:div>
    <w:div w:id="1474788848">
      <w:bodyDiv w:val="1"/>
      <w:marLeft w:val="0"/>
      <w:marRight w:val="0"/>
      <w:marTop w:val="0"/>
      <w:marBottom w:val="0"/>
      <w:divBdr>
        <w:top w:val="none" w:sz="0" w:space="0" w:color="auto"/>
        <w:left w:val="none" w:sz="0" w:space="0" w:color="auto"/>
        <w:bottom w:val="none" w:sz="0" w:space="0" w:color="auto"/>
        <w:right w:val="none" w:sz="0" w:space="0" w:color="auto"/>
      </w:divBdr>
      <w:divsChild>
        <w:div w:id="1933472034">
          <w:marLeft w:val="0"/>
          <w:marRight w:val="0"/>
          <w:marTop w:val="0"/>
          <w:marBottom w:val="0"/>
          <w:divBdr>
            <w:top w:val="none" w:sz="0" w:space="0" w:color="auto"/>
            <w:left w:val="none" w:sz="0" w:space="0" w:color="auto"/>
            <w:bottom w:val="none" w:sz="0" w:space="0" w:color="auto"/>
            <w:right w:val="none" w:sz="0" w:space="0" w:color="auto"/>
          </w:divBdr>
        </w:div>
        <w:div w:id="1255821681">
          <w:marLeft w:val="0"/>
          <w:marRight w:val="0"/>
          <w:marTop w:val="0"/>
          <w:marBottom w:val="0"/>
          <w:divBdr>
            <w:top w:val="none" w:sz="0" w:space="0" w:color="auto"/>
            <w:left w:val="none" w:sz="0" w:space="0" w:color="auto"/>
            <w:bottom w:val="none" w:sz="0" w:space="0" w:color="auto"/>
            <w:right w:val="none" w:sz="0" w:space="0" w:color="auto"/>
          </w:divBdr>
        </w:div>
        <w:div w:id="1819417663">
          <w:marLeft w:val="0"/>
          <w:marRight w:val="0"/>
          <w:marTop w:val="0"/>
          <w:marBottom w:val="0"/>
          <w:divBdr>
            <w:top w:val="none" w:sz="0" w:space="0" w:color="auto"/>
            <w:left w:val="none" w:sz="0" w:space="0" w:color="auto"/>
            <w:bottom w:val="none" w:sz="0" w:space="0" w:color="auto"/>
            <w:right w:val="none" w:sz="0" w:space="0" w:color="auto"/>
          </w:divBdr>
        </w:div>
        <w:div w:id="1004942301">
          <w:marLeft w:val="0"/>
          <w:marRight w:val="0"/>
          <w:marTop w:val="0"/>
          <w:marBottom w:val="0"/>
          <w:divBdr>
            <w:top w:val="none" w:sz="0" w:space="0" w:color="auto"/>
            <w:left w:val="none" w:sz="0" w:space="0" w:color="auto"/>
            <w:bottom w:val="none" w:sz="0" w:space="0" w:color="auto"/>
            <w:right w:val="none" w:sz="0" w:space="0" w:color="auto"/>
          </w:divBdr>
        </w:div>
        <w:div w:id="1042293655">
          <w:marLeft w:val="0"/>
          <w:marRight w:val="0"/>
          <w:marTop w:val="0"/>
          <w:marBottom w:val="0"/>
          <w:divBdr>
            <w:top w:val="none" w:sz="0" w:space="0" w:color="auto"/>
            <w:left w:val="none" w:sz="0" w:space="0" w:color="auto"/>
            <w:bottom w:val="none" w:sz="0" w:space="0" w:color="auto"/>
            <w:right w:val="none" w:sz="0" w:space="0" w:color="auto"/>
          </w:divBdr>
        </w:div>
        <w:div w:id="1641767352">
          <w:marLeft w:val="0"/>
          <w:marRight w:val="0"/>
          <w:marTop w:val="0"/>
          <w:marBottom w:val="0"/>
          <w:divBdr>
            <w:top w:val="none" w:sz="0" w:space="0" w:color="auto"/>
            <w:left w:val="none" w:sz="0" w:space="0" w:color="auto"/>
            <w:bottom w:val="none" w:sz="0" w:space="0" w:color="auto"/>
            <w:right w:val="none" w:sz="0" w:space="0" w:color="auto"/>
          </w:divBdr>
        </w:div>
        <w:div w:id="1991521778">
          <w:marLeft w:val="0"/>
          <w:marRight w:val="0"/>
          <w:marTop w:val="0"/>
          <w:marBottom w:val="0"/>
          <w:divBdr>
            <w:top w:val="none" w:sz="0" w:space="0" w:color="auto"/>
            <w:left w:val="none" w:sz="0" w:space="0" w:color="auto"/>
            <w:bottom w:val="none" w:sz="0" w:space="0" w:color="auto"/>
            <w:right w:val="none" w:sz="0" w:space="0" w:color="auto"/>
          </w:divBdr>
        </w:div>
        <w:div w:id="466777475">
          <w:marLeft w:val="0"/>
          <w:marRight w:val="0"/>
          <w:marTop w:val="0"/>
          <w:marBottom w:val="0"/>
          <w:divBdr>
            <w:top w:val="none" w:sz="0" w:space="0" w:color="auto"/>
            <w:left w:val="none" w:sz="0" w:space="0" w:color="auto"/>
            <w:bottom w:val="none" w:sz="0" w:space="0" w:color="auto"/>
            <w:right w:val="none" w:sz="0" w:space="0" w:color="auto"/>
          </w:divBdr>
        </w:div>
        <w:div w:id="1376009539">
          <w:marLeft w:val="0"/>
          <w:marRight w:val="0"/>
          <w:marTop w:val="0"/>
          <w:marBottom w:val="0"/>
          <w:divBdr>
            <w:top w:val="none" w:sz="0" w:space="0" w:color="auto"/>
            <w:left w:val="none" w:sz="0" w:space="0" w:color="auto"/>
            <w:bottom w:val="none" w:sz="0" w:space="0" w:color="auto"/>
            <w:right w:val="none" w:sz="0" w:space="0" w:color="auto"/>
          </w:divBdr>
        </w:div>
      </w:divsChild>
    </w:div>
    <w:div w:id="1484933670">
      <w:bodyDiv w:val="1"/>
      <w:marLeft w:val="0"/>
      <w:marRight w:val="0"/>
      <w:marTop w:val="0"/>
      <w:marBottom w:val="0"/>
      <w:divBdr>
        <w:top w:val="none" w:sz="0" w:space="0" w:color="auto"/>
        <w:left w:val="none" w:sz="0" w:space="0" w:color="auto"/>
        <w:bottom w:val="none" w:sz="0" w:space="0" w:color="auto"/>
        <w:right w:val="none" w:sz="0" w:space="0" w:color="auto"/>
      </w:divBdr>
      <w:divsChild>
        <w:div w:id="481047303">
          <w:marLeft w:val="0"/>
          <w:marRight w:val="0"/>
          <w:marTop w:val="0"/>
          <w:marBottom w:val="0"/>
          <w:divBdr>
            <w:top w:val="none" w:sz="0" w:space="0" w:color="auto"/>
            <w:left w:val="none" w:sz="0" w:space="0" w:color="auto"/>
            <w:bottom w:val="none" w:sz="0" w:space="0" w:color="auto"/>
            <w:right w:val="none" w:sz="0" w:space="0" w:color="auto"/>
          </w:divBdr>
        </w:div>
        <w:div w:id="554586744">
          <w:marLeft w:val="0"/>
          <w:marRight w:val="0"/>
          <w:marTop w:val="0"/>
          <w:marBottom w:val="0"/>
          <w:divBdr>
            <w:top w:val="none" w:sz="0" w:space="0" w:color="auto"/>
            <w:left w:val="none" w:sz="0" w:space="0" w:color="auto"/>
            <w:bottom w:val="none" w:sz="0" w:space="0" w:color="auto"/>
            <w:right w:val="none" w:sz="0" w:space="0" w:color="auto"/>
          </w:divBdr>
        </w:div>
      </w:divsChild>
    </w:div>
    <w:div w:id="1512141990">
      <w:bodyDiv w:val="1"/>
      <w:marLeft w:val="0"/>
      <w:marRight w:val="0"/>
      <w:marTop w:val="0"/>
      <w:marBottom w:val="0"/>
      <w:divBdr>
        <w:top w:val="none" w:sz="0" w:space="0" w:color="auto"/>
        <w:left w:val="none" w:sz="0" w:space="0" w:color="auto"/>
        <w:bottom w:val="none" w:sz="0" w:space="0" w:color="auto"/>
        <w:right w:val="none" w:sz="0" w:space="0" w:color="auto"/>
      </w:divBdr>
      <w:divsChild>
        <w:div w:id="1063405907">
          <w:marLeft w:val="0"/>
          <w:marRight w:val="0"/>
          <w:marTop w:val="0"/>
          <w:marBottom w:val="0"/>
          <w:divBdr>
            <w:top w:val="none" w:sz="0" w:space="0" w:color="auto"/>
            <w:left w:val="none" w:sz="0" w:space="0" w:color="auto"/>
            <w:bottom w:val="none" w:sz="0" w:space="0" w:color="auto"/>
            <w:right w:val="none" w:sz="0" w:space="0" w:color="auto"/>
          </w:divBdr>
        </w:div>
        <w:div w:id="322853870">
          <w:marLeft w:val="0"/>
          <w:marRight w:val="0"/>
          <w:marTop w:val="0"/>
          <w:marBottom w:val="0"/>
          <w:divBdr>
            <w:top w:val="none" w:sz="0" w:space="0" w:color="auto"/>
            <w:left w:val="none" w:sz="0" w:space="0" w:color="auto"/>
            <w:bottom w:val="none" w:sz="0" w:space="0" w:color="auto"/>
            <w:right w:val="none" w:sz="0" w:space="0" w:color="auto"/>
          </w:divBdr>
        </w:div>
        <w:div w:id="1480687103">
          <w:marLeft w:val="0"/>
          <w:marRight w:val="0"/>
          <w:marTop w:val="0"/>
          <w:marBottom w:val="0"/>
          <w:divBdr>
            <w:top w:val="none" w:sz="0" w:space="0" w:color="auto"/>
            <w:left w:val="none" w:sz="0" w:space="0" w:color="auto"/>
            <w:bottom w:val="none" w:sz="0" w:space="0" w:color="auto"/>
            <w:right w:val="none" w:sz="0" w:space="0" w:color="auto"/>
          </w:divBdr>
        </w:div>
      </w:divsChild>
    </w:div>
    <w:div w:id="1527138877">
      <w:bodyDiv w:val="1"/>
      <w:marLeft w:val="0"/>
      <w:marRight w:val="0"/>
      <w:marTop w:val="0"/>
      <w:marBottom w:val="0"/>
      <w:divBdr>
        <w:top w:val="none" w:sz="0" w:space="0" w:color="auto"/>
        <w:left w:val="none" w:sz="0" w:space="0" w:color="auto"/>
        <w:bottom w:val="none" w:sz="0" w:space="0" w:color="auto"/>
        <w:right w:val="none" w:sz="0" w:space="0" w:color="auto"/>
      </w:divBdr>
      <w:divsChild>
        <w:div w:id="1899396903">
          <w:marLeft w:val="0"/>
          <w:marRight w:val="0"/>
          <w:marTop w:val="0"/>
          <w:marBottom w:val="0"/>
          <w:divBdr>
            <w:top w:val="none" w:sz="0" w:space="0" w:color="auto"/>
            <w:left w:val="none" w:sz="0" w:space="0" w:color="auto"/>
            <w:bottom w:val="none" w:sz="0" w:space="0" w:color="auto"/>
            <w:right w:val="none" w:sz="0" w:space="0" w:color="auto"/>
          </w:divBdr>
        </w:div>
        <w:div w:id="933898010">
          <w:marLeft w:val="0"/>
          <w:marRight w:val="0"/>
          <w:marTop w:val="0"/>
          <w:marBottom w:val="0"/>
          <w:divBdr>
            <w:top w:val="none" w:sz="0" w:space="0" w:color="auto"/>
            <w:left w:val="none" w:sz="0" w:space="0" w:color="auto"/>
            <w:bottom w:val="none" w:sz="0" w:space="0" w:color="auto"/>
            <w:right w:val="none" w:sz="0" w:space="0" w:color="auto"/>
          </w:divBdr>
        </w:div>
        <w:div w:id="789713937">
          <w:marLeft w:val="0"/>
          <w:marRight w:val="0"/>
          <w:marTop w:val="0"/>
          <w:marBottom w:val="0"/>
          <w:divBdr>
            <w:top w:val="none" w:sz="0" w:space="0" w:color="auto"/>
            <w:left w:val="none" w:sz="0" w:space="0" w:color="auto"/>
            <w:bottom w:val="none" w:sz="0" w:space="0" w:color="auto"/>
            <w:right w:val="none" w:sz="0" w:space="0" w:color="auto"/>
          </w:divBdr>
        </w:div>
        <w:div w:id="1564826302">
          <w:marLeft w:val="0"/>
          <w:marRight w:val="0"/>
          <w:marTop w:val="0"/>
          <w:marBottom w:val="0"/>
          <w:divBdr>
            <w:top w:val="none" w:sz="0" w:space="0" w:color="auto"/>
            <w:left w:val="none" w:sz="0" w:space="0" w:color="auto"/>
            <w:bottom w:val="none" w:sz="0" w:space="0" w:color="auto"/>
            <w:right w:val="none" w:sz="0" w:space="0" w:color="auto"/>
          </w:divBdr>
        </w:div>
      </w:divsChild>
    </w:div>
    <w:div w:id="1529567569">
      <w:bodyDiv w:val="1"/>
      <w:marLeft w:val="0"/>
      <w:marRight w:val="0"/>
      <w:marTop w:val="0"/>
      <w:marBottom w:val="0"/>
      <w:divBdr>
        <w:top w:val="none" w:sz="0" w:space="0" w:color="auto"/>
        <w:left w:val="none" w:sz="0" w:space="0" w:color="auto"/>
        <w:bottom w:val="none" w:sz="0" w:space="0" w:color="auto"/>
        <w:right w:val="none" w:sz="0" w:space="0" w:color="auto"/>
      </w:divBdr>
      <w:divsChild>
        <w:div w:id="163134655">
          <w:marLeft w:val="0"/>
          <w:marRight w:val="0"/>
          <w:marTop w:val="0"/>
          <w:marBottom w:val="0"/>
          <w:divBdr>
            <w:top w:val="none" w:sz="0" w:space="0" w:color="auto"/>
            <w:left w:val="none" w:sz="0" w:space="0" w:color="auto"/>
            <w:bottom w:val="none" w:sz="0" w:space="0" w:color="auto"/>
            <w:right w:val="none" w:sz="0" w:space="0" w:color="auto"/>
          </w:divBdr>
        </w:div>
        <w:div w:id="373312629">
          <w:marLeft w:val="0"/>
          <w:marRight w:val="0"/>
          <w:marTop w:val="0"/>
          <w:marBottom w:val="0"/>
          <w:divBdr>
            <w:top w:val="none" w:sz="0" w:space="0" w:color="auto"/>
            <w:left w:val="none" w:sz="0" w:space="0" w:color="auto"/>
            <w:bottom w:val="none" w:sz="0" w:space="0" w:color="auto"/>
            <w:right w:val="none" w:sz="0" w:space="0" w:color="auto"/>
          </w:divBdr>
        </w:div>
        <w:div w:id="835918369">
          <w:marLeft w:val="0"/>
          <w:marRight w:val="0"/>
          <w:marTop w:val="0"/>
          <w:marBottom w:val="0"/>
          <w:divBdr>
            <w:top w:val="none" w:sz="0" w:space="0" w:color="auto"/>
            <w:left w:val="none" w:sz="0" w:space="0" w:color="auto"/>
            <w:bottom w:val="none" w:sz="0" w:space="0" w:color="auto"/>
            <w:right w:val="none" w:sz="0" w:space="0" w:color="auto"/>
          </w:divBdr>
        </w:div>
        <w:div w:id="1801455615">
          <w:marLeft w:val="0"/>
          <w:marRight w:val="0"/>
          <w:marTop w:val="0"/>
          <w:marBottom w:val="0"/>
          <w:divBdr>
            <w:top w:val="none" w:sz="0" w:space="0" w:color="auto"/>
            <w:left w:val="none" w:sz="0" w:space="0" w:color="auto"/>
            <w:bottom w:val="none" w:sz="0" w:space="0" w:color="auto"/>
            <w:right w:val="none" w:sz="0" w:space="0" w:color="auto"/>
          </w:divBdr>
        </w:div>
      </w:divsChild>
    </w:div>
    <w:div w:id="1582328093">
      <w:bodyDiv w:val="1"/>
      <w:marLeft w:val="0"/>
      <w:marRight w:val="0"/>
      <w:marTop w:val="0"/>
      <w:marBottom w:val="0"/>
      <w:divBdr>
        <w:top w:val="none" w:sz="0" w:space="0" w:color="auto"/>
        <w:left w:val="none" w:sz="0" w:space="0" w:color="auto"/>
        <w:bottom w:val="none" w:sz="0" w:space="0" w:color="auto"/>
        <w:right w:val="none" w:sz="0" w:space="0" w:color="auto"/>
      </w:divBdr>
      <w:divsChild>
        <w:div w:id="95909617">
          <w:marLeft w:val="0"/>
          <w:marRight w:val="0"/>
          <w:marTop w:val="0"/>
          <w:marBottom w:val="0"/>
          <w:divBdr>
            <w:top w:val="none" w:sz="0" w:space="0" w:color="auto"/>
            <w:left w:val="none" w:sz="0" w:space="0" w:color="auto"/>
            <w:bottom w:val="none" w:sz="0" w:space="0" w:color="auto"/>
            <w:right w:val="none" w:sz="0" w:space="0" w:color="auto"/>
          </w:divBdr>
        </w:div>
        <w:div w:id="745569477">
          <w:marLeft w:val="0"/>
          <w:marRight w:val="0"/>
          <w:marTop w:val="0"/>
          <w:marBottom w:val="0"/>
          <w:divBdr>
            <w:top w:val="none" w:sz="0" w:space="0" w:color="auto"/>
            <w:left w:val="none" w:sz="0" w:space="0" w:color="auto"/>
            <w:bottom w:val="none" w:sz="0" w:space="0" w:color="auto"/>
            <w:right w:val="none" w:sz="0" w:space="0" w:color="auto"/>
          </w:divBdr>
        </w:div>
        <w:div w:id="1146513883">
          <w:marLeft w:val="0"/>
          <w:marRight w:val="0"/>
          <w:marTop w:val="0"/>
          <w:marBottom w:val="0"/>
          <w:divBdr>
            <w:top w:val="none" w:sz="0" w:space="0" w:color="auto"/>
            <w:left w:val="none" w:sz="0" w:space="0" w:color="auto"/>
            <w:bottom w:val="none" w:sz="0" w:space="0" w:color="auto"/>
            <w:right w:val="none" w:sz="0" w:space="0" w:color="auto"/>
          </w:divBdr>
        </w:div>
        <w:div w:id="292256189">
          <w:marLeft w:val="0"/>
          <w:marRight w:val="0"/>
          <w:marTop w:val="0"/>
          <w:marBottom w:val="0"/>
          <w:divBdr>
            <w:top w:val="none" w:sz="0" w:space="0" w:color="auto"/>
            <w:left w:val="none" w:sz="0" w:space="0" w:color="auto"/>
            <w:bottom w:val="none" w:sz="0" w:space="0" w:color="auto"/>
            <w:right w:val="none" w:sz="0" w:space="0" w:color="auto"/>
          </w:divBdr>
        </w:div>
        <w:div w:id="1640112979">
          <w:marLeft w:val="0"/>
          <w:marRight w:val="0"/>
          <w:marTop w:val="0"/>
          <w:marBottom w:val="0"/>
          <w:divBdr>
            <w:top w:val="none" w:sz="0" w:space="0" w:color="auto"/>
            <w:left w:val="none" w:sz="0" w:space="0" w:color="auto"/>
            <w:bottom w:val="none" w:sz="0" w:space="0" w:color="auto"/>
            <w:right w:val="none" w:sz="0" w:space="0" w:color="auto"/>
          </w:divBdr>
        </w:div>
        <w:div w:id="837425812">
          <w:marLeft w:val="0"/>
          <w:marRight w:val="0"/>
          <w:marTop w:val="0"/>
          <w:marBottom w:val="0"/>
          <w:divBdr>
            <w:top w:val="none" w:sz="0" w:space="0" w:color="auto"/>
            <w:left w:val="none" w:sz="0" w:space="0" w:color="auto"/>
            <w:bottom w:val="none" w:sz="0" w:space="0" w:color="auto"/>
            <w:right w:val="none" w:sz="0" w:space="0" w:color="auto"/>
          </w:divBdr>
        </w:div>
        <w:div w:id="748845594">
          <w:marLeft w:val="0"/>
          <w:marRight w:val="0"/>
          <w:marTop w:val="0"/>
          <w:marBottom w:val="0"/>
          <w:divBdr>
            <w:top w:val="none" w:sz="0" w:space="0" w:color="auto"/>
            <w:left w:val="none" w:sz="0" w:space="0" w:color="auto"/>
            <w:bottom w:val="none" w:sz="0" w:space="0" w:color="auto"/>
            <w:right w:val="none" w:sz="0" w:space="0" w:color="auto"/>
          </w:divBdr>
        </w:div>
      </w:divsChild>
    </w:div>
    <w:div w:id="1648897799">
      <w:bodyDiv w:val="1"/>
      <w:marLeft w:val="0"/>
      <w:marRight w:val="0"/>
      <w:marTop w:val="0"/>
      <w:marBottom w:val="0"/>
      <w:divBdr>
        <w:top w:val="none" w:sz="0" w:space="0" w:color="auto"/>
        <w:left w:val="none" w:sz="0" w:space="0" w:color="auto"/>
        <w:bottom w:val="none" w:sz="0" w:space="0" w:color="auto"/>
        <w:right w:val="none" w:sz="0" w:space="0" w:color="auto"/>
      </w:divBdr>
      <w:divsChild>
        <w:div w:id="708184276">
          <w:marLeft w:val="0"/>
          <w:marRight w:val="0"/>
          <w:marTop w:val="0"/>
          <w:marBottom w:val="0"/>
          <w:divBdr>
            <w:top w:val="none" w:sz="0" w:space="0" w:color="auto"/>
            <w:left w:val="none" w:sz="0" w:space="0" w:color="auto"/>
            <w:bottom w:val="none" w:sz="0" w:space="0" w:color="auto"/>
            <w:right w:val="none" w:sz="0" w:space="0" w:color="auto"/>
          </w:divBdr>
        </w:div>
        <w:div w:id="819150509">
          <w:marLeft w:val="0"/>
          <w:marRight w:val="0"/>
          <w:marTop w:val="0"/>
          <w:marBottom w:val="0"/>
          <w:divBdr>
            <w:top w:val="none" w:sz="0" w:space="0" w:color="auto"/>
            <w:left w:val="none" w:sz="0" w:space="0" w:color="auto"/>
            <w:bottom w:val="none" w:sz="0" w:space="0" w:color="auto"/>
            <w:right w:val="none" w:sz="0" w:space="0" w:color="auto"/>
          </w:divBdr>
        </w:div>
        <w:div w:id="50662913">
          <w:marLeft w:val="0"/>
          <w:marRight w:val="0"/>
          <w:marTop w:val="0"/>
          <w:marBottom w:val="0"/>
          <w:divBdr>
            <w:top w:val="none" w:sz="0" w:space="0" w:color="auto"/>
            <w:left w:val="none" w:sz="0" w:space="0" w:color="auto"/>
            <w:bottom w:val="none" w:sz="0" w:space="0" w:color="auto"/>
            <w:right w:val="none" w:sz="0" w:space="0" w:color="auto"/>
          </w:divBdr>
        </w:div>
        <w:div w:id="1060439710">
          <w:marLeft w:val="0"/>
          <w:marRight w:val="0"/>
          <w:marTop w:val="0"/>
          <w:marBottom w:val="0"/>
          <w:divBdr>
            <w:top w:val="none" w:sz="0" w:space="0" w:color="auto"/>
            <w:left w:val="none" w:sz="0" w:space="0" w:color="auto"/>
            <w:bottom w:val="none" w:sz="0" w:space="0" w:color="auto"/>
            <w:right w:val="none" w:sz="0" w:space="0" w:color="auto"/>
          </w:divBdr>
        </w:div>
        <w:div w:id="1679502748">
          <w:marLeft w:val="0"/>
          <w:marRight w:val="0"/>
          <w:marTop w:val="0"/>
          <w:marBottom w:val="0"/>
          <w:divBdr>
            <w:top w:val="none" w:sz="0" w:space="0" w:color="auto"/>
            <w:left w:val="none" w:sz="0" w:space="0" w:color="auto"/>
            <w:bottom w:val="none" w:sz="0" w:space="0" w:color="auto"/>
            <w:right w:val="none" w:sz="0" w:space="0" w:color="auto"/>
          </w:divBdr>
        </w:div>
      </w:divsChild>
    </w:div>
    <w:div w:id="1663195593">
      <w:bodyDiv w:val="1"/>
      <w:marLeft w:val="0"/>
      <w:marRight w:val="0"/>
      <w:marTop w:val="0"/>
      <w:marBottom w:val="0"/>
      <w:divBdr>
        <w:top w:val="none" w:sz="0" w:space="0" w:color="auto"/>
        <w:left w:val="none" w:sz="0" w:space="0" w:color="auto"/>
        <w:bottom w:val="none" w:sz="0" w:space="0" w:color="auto"/>
        <w:right w:val="none" w:sz="0" w:space="0" w:color="auto"/>
      </w:divBdr>
      <w:divsChild>
        <w:div w:id="48841628">
          <w:marLeft w:val="0"/>
          <w:marRight w:val="0"/>
          <w:marTop w:val="0"/>
          <w:marBottom w:val="0"/>
          <w:divBdr>
            <w:top w:val="none" w:sz="0" w:space="0" w:color="auto"/>
            <w:left w:val="none" w:sz="0" w:space="0" w:color="auto"/>
            <w:bottom w:val="none" w:sz="0" w:space="0" w:color="auto"/>
            <w:right w:val="none" w:sz="0" w:space="0" w:color="auto"/>
          </w:divBdr>
        </w:div>
        <w:div w:id="1383865761">
          <w:marLeft w:val="0"/>
          <w:marRight w:val="0"/>
          <w:marTop w:val="0"/>
          <w:marBottom w:val="0"/>
          <w:divBdr>
            <w:top w:val="none" w:sz="0" w:space="0" w:color="auto"/>
            <w:left w:val="none" w:sz="0" w:space="0" w:color="auto"/>
            <w:bottom w:val="none" w:sz="0" w:space="0" w:color="auto"/>
            <w:right w:val="none" w:sz="0" w:space="0" w:color="auto"/>
          </w:divBdr>
        </w:div>
        <w:div w:id="998574893">
          <w:marLeft w:val="0"/>
          <w:marRight w:val="0"/>
          <w:marTop w:val="0"/>
          <w:marBottom w:val="0"/>
          <w:divBdr>
            <w:top w:val="none" w:sz="0" w:space="0" w:color="auto"/>
            <w:left w:val="none" w:sz="0" w:space="0" w:color="auto"/>
            <w:bottom w:val="none" w:sz="0" w:space="0" w:color="auto"/>
            <w:right w:val="none" w:sz="0" w:space="0" w:color="auto"/>
          </w:divBdr>
        </w:div>
        <w:div w:id="1058241476">
          <w:marLeft w:val="0"/>
          <w:marRight w:val="0"/>
          <w:marTop w:val="0"/>
          <w:marBottom w:val="0"/>
          <w:divBdr>
            <w:top w:val="none" w:sz="0" w:space="0" w:color="auto"/>
            <w:left w:val="none" w:sz="0" w:space="0" w:color="auto"/>
            <w:bottom w:val="none" w:sz="0" w:space="0" w:color="auto"/>
            <w:right w:val="none" w:sz="0" w:space="0" w:color="auto"/>
          </w:divBdr>
        </w:div>
        <w:div w:id="1068042512">
          <w:marLeft w:val="0"/>
          <w:marRight w:val="0"/>
          <w:marTop w:val="0"/>
          <w:marBottom w:val="0"/>
          <w:divBdr>
            <w:top w:val="none" w:sz="0" w:space="0" w:color="auto"/>
            <w:left w:val="none" w:sz="0" w:space="0" w:color="auto"/>
            <w:bottom w:val="none" w:sz="0" w:space="0" w:color="auto"/>
            <w:right w:val="none" w:sz="0" w:space="0" w:color="auto"/>
          </w:divBdr>
        </w:div>
        <w:div w:id="883638855">
          <w:marLeft w:val="0"/>
          <w:marRight w:val="0"/>
          <w:marTop w:val="0"/>
          <w:marBottom w:val="0"/>
          <w:divBdr>
            <w:top w:val="none" w:sz="0" w:space="0" w:color="auto"/>
            <w:left w:val="none" w:sz="0" w:space="0" w:color="auto"/>
            <w:bottom w:val="none" w:sz="0" w:space="0" w:color="auto"/>
            <w:right w:val="none" w:sz="0" w:space="0" w:color="auto"/>
          </w:divBdr>
        </w:div>
        <w:div w:id="786236449">
          <w:marLeft w:val="0"/>
          <w:marRight w:val="0"/>
          <w:marTop w:val="0"/>
          <w:marBottom w:val="0"/>
          <w:divBdr>
            <w:top w:val="none" w:sz="0" w:space="0" w:color="auto"/>
            <w:left w:val="none" w:sz="0" w:space="0" w:color="auto"/>
            <w:bottom w:val="none" w:sz="0" w:space="0" w:color="auto"/>
            <w:right w:val="none" w:sz="0" w:space="0" w:color="auto"/>
          </w:divBdr>
        </w:div>
      </w:divsChild>
    </w:div>
    <w:div w:id="1680739858">
      <w:bodyDiv w:val="1"/>
      <w:marLeft w:val="0"/>
      <w:marRight w:val="0"/>
      <w:marTop w:val="0"/>
      <w:marBottom w:val="0"/>
      <w:divBdr>
        <w:top w:val="none" w:sz="0" w:space="0" w:color="auto"/>
        <w:left w:val="none" w:sz="0" w:space="0" w:color="auto"/>
        <w:bottom w:val="none" w:sz="0" w:space="0" w:color="auto"/>
        <w:right w:val="none" w:sz="0" w:space="0" w:color="auto"/>
      </w:divBdr>
      <w:divsChild>
        <w:div w:id="480779772">
          <w:marLeft w:val="0"/>
          <w:marRight w:val="0"/>
          <w:marTop w:val="0"/>
          <w:marBottom w:val="0"/>
          <w:divBdr>
            <w:top w:val="none" w:sz="0" w:space="0" w:color="auto"/>
            <w:left w:val="none" w:sz="0" w:space="0" w:color="auto"/>
            <w:bottom w:val="none" w:sz="0" w:space="0" w:color="auto"/>
            <w:right w:val="none" w:sz="0" w:space="0" w:color="auto"/>
          </w:divBdr>
        </w:div>
        <w:div w:id="1651866274">
          <w:marLeft w:val="0"/>
          <w:marRight w:val="0"/>
          <w:marTop w:val="0"/>
          <w:marBottom w:val="0"/>
          <w:divBdr>
            <w:top w:val="none" w:sz="0" w:space="0" w:color="auto"/>
            <w:left w:val="none" w:sz="0" w:space="0" w:color="auto"/>
            <w:bottom w:val="none" w:sz="0" w:space="0" w:color="auto"/>
            <w:right w:val="none" w:sz="0" w:space="0" w:color="auto"/>
          </w:divBdr>
        </w:div>
        <w:div w:id="1127940973">
          <w:marLeft w:val="0"/>
          <w:marRight w:val="0"/>
          <w:marTop w:val="0"/>
          <w:marBottom w:val="0"/>
          <w:divBdr>
            <w:top w:val="none" w:sz="0" w:space="0" w:color="auto"/>
            <w:left w:val="none" w:sz="0" w:space="0" w:color="auto"/>
            <w:bottom w:val="none" w:sz="0" w:space="0" w:color="auto"/>
            <w:right w:val="none" w:sz="0" w:space="0" w:color="auto"/>
          </w:divBdr>
        </w:div>
      </w:divsChild>
    </w:div>
    <w:div w:id="1689745905">
      <w:bodyDiv w:val="1"/>
      <w:marLeft w:val="0"/>
      <w:marRight w:val="0"/>
      <w:marTop w:val="0"/>
      <w:marBottom w:val="0"/>
      <w:divBdr>
        <w:top w:val="none" w:sz="0" w:space="0" w:color="auto"/>
        <w:left w:val="none" w:sz="0" w:space="0" w:color="auto"/>
        <w:bottom w:val="none" w:sz="0" w:space="0" w:color="auto"/>
        <w:right w:val="none" w:sz="0" w:space="0" w:color="auto"/>
      </w:divBdr>
      <w:divsChild>
        <w:div w:id="1993748158">
          <w:marLeft w:val="0"/>
          <w:marRight w:val="0"/>
          <w:marTop w:val="0"/>
          <w:marBottom w:val="0"/>
          <w:divBdr>
            <w:top w:val="none" w:sz="0" w:space="0" w:color="auto"/>
            <w:left w:val="none" w:sz="0" w:space="0" w:color="auto"/>
            <w:bottom w:val="none" w:sz="0" w:space="0" w:color="auto"/>
            <w:right w:val="none" w:sz="0" w:space="0" w:color="auto"/>
          </w:divBdr>
        </w:div>
        <w:div w:id="907692963">
          <w:marLeft w:val="0"/>
          <w:marRight w:val="0"/>
          <w:marTop w:val="0"/>
          <w:marBottom w:val="0"/>
          <w:divBdr>
            <w:top w:val="none" w:sz="0" w:space="0" w:color="auto"/>
            <w:left w:val="none" w:sz="0" w:space="0" w:color="auto"/>
            <w:bottom w:val="none" w:sz="0" w:space="0" w:color="auto"/>
            <w:right w:val="none" w:sz="0" w:space="0" w:color="auto"/>
          </w:divBdr>
        </w:div>
        <w:div w:id="1257399856">
          <w:marLeft w:val="0"/>
          <w:marRight w:val="0"/>
          <w:marTop w:val="0"/>
          <w:marBottom w:val="0"/>
          <w:divBdr>
            <w:top w:val="none" w:sz="0" w:space="0" w:color="auto"/>
            <w:left w:val="none" w:sz="0" w:space="0" w:color="auto"/>
            <w:bottom w:val="none" w:sz="0" w:space="0" w:color="auto"/>
            <w:right w:val="none" w:sz="0" w:space="0" w:color="auto"/>
          </w:divBdr>
        </w:div>
        <w:div w:id="1711564626">
          <w:marLeft w:val="0"/>
          <w:marRight w:val="0"/>
          <w:marTop w:val="0"/>
          <w:marBottom w:val="0"/>
          <w:divBdr>
            <w:top w:val="none" w:sz="0" w:space="0" w:color="auto"/>
            <w:left w:val="none" w:sz="0" w:space="0" w:color="auto"/>
            <w:bottom w:val="none" w:sz="0" w:space="0" w:color="auto"/>
            <w:right w:val="none" w:sz="0" w:space="0" w:color="auto"/>
          </w:divBdr>
        </w:div>
      </w:divsChild>
    </w:div>
    <w:div w:id="1719165353">
      <w:bodyDiv w:val="1"/>
      <w:marLeft w:val="0"/>
      <w:marRight w:val="0"/>
      <w:marTop w:val="0"/>
      <w:marBottom w:val="0"/>
      <w:divBdr>
        <w:top w:val="none" w:sz="0" w:space="0" w:color="auto"/>
        <w:left w:val="none" w:sz="0" w:space="0" w:color="auto"/>
        <w:bottom w:val="none" w:sz="0" w:space="0" w:color="auto"/>
        <w:right w:val="none" w:sz="0" w:space="0" w:color="auto"/>
      </w:divBdr>
      <w:divsChild>
        <w:div w:id="1739353020">
          <w:marLeft w:val="0"/>
          <w:marRight w:val="0"/>
          <w:marTop w:val="0"/>
          <w:marBottom w:val="0"/>
          <w:divBdr>
            <w:top w:val="none" w:sz="0" w:space="0" w:color="auto"/>
            <w:left w:val="none" w:sz="0" w:space="0" w:color="auto"/>
            <w:bottom w:val="none" w:sz="0" w:space="0" w:color="auto"/>
            <w:right w:val="none" w:sz="0" w:space="0" w:color="auto"/>
          </w:divBdr>
        </w:div>
        <w:div w:id="1173566640">
          <w:marLeft w:val="0"/>
          <w:marRight w:val="0"/>
          <w:marTop w:val="0"/>
          <w:marBottom w:val="0"/>
          <w:divBdr>
            <w:top w:val="none" w:sz="0" w:space="0" w:color="auto"/>
            <w:left w:val="none" w:sz="0" w:space="0" w:color="auto"/>
            <w:bottom w:val="none" w:sz="0" w:space="0" w:color="auto"/>
            <w:right w:val="none" w:sz="0" w:space="0" w:color="auto"/>
          </w:divBdr>
        </w:div>
      </w:divsChild>
    </w:div>
    <w:div w:id="1724789847">
      <w:bodyDiv w:val="1"/>
      <w:marLeft w:val="0"/>
      <w:marRight w:val="0"/>
      <w:marTop w:val="0"/>
      <w:marBottom w:val="0"/>
      <w:divBdr>
        <w:top w:val="none" w:sz="0" w:space="0" w:color="auto"/>
        <w:left w:val="none" w:sz="0" w:space="0" w:color="auto"/>
        <w:bottom w:val="none" w:sz="0" w:space="0" w:color="auto"/>
        <w:right w:val="none" w:sz="0" w:space="0" w:color="auto"/>
      </w:divBdr>
      <w:divsChild>
        <w:div w:id="957906849">
          <w:marLeft w:val="0"/>
          <w:marRight w:val="0"/>
          <w:marTop w:val="0"/>
          <w:marBottom w:val="0"/>
          <w:divBdr>
            <w:top w:val="none" w:sz="0" w:space="0" w:color="auto"/>
            <w:left w:val="none" w:sz="0" w:space="0" w:color="auto"/>
            <w:bottom w:val="none" w:sz="0" w:space="0" w:color="auto"/>
            <w:right w:val="none" w:sz="0" w:space="0" w:color="auto"/>
          </w:divBdr>
        </w:div>
        <w:div w:id="1868134266">
          <w:marLeft w:val="0"/>
          <w:marRight w:val="0"/>
          <w:marTop w:val="0"/>
          <w:marBottom w:val="0"/>
          <w:divBdr>
            <w:top w:val="none" w:sz="0" w:space="0" w:color="auto"/>
            <w:left w:val="none" w:sz="0" w:space="0" w:color="auto"/>
            <w:bottom w:val="none" w:sz="0" w:space="0" w:color="auto"/>
            <w:right w:val="none" w:sz="0" w:space="0" w:color="auto"/>
          </w:divBdr>
        </w:div>
        <w:div w:id="497817017">
          <w:marLeft w:val="0"/>
          <w:marRight w:val="0"/>
          <w:marTop w:val="0"/>
          <w:marBottom w:val="0"/>
          <w:divBdr>
            <w:top w:val="none" w:sz="0" w:space="0" w:color="auto"/>
            <w:left w:val="none" w:sz="0" w:space="0" w:color="auto"/>
            <w:bottom w:val="none" w:sz="0" w:space="0" w:color="auto"/>
            <w:right w:val="none" w:sz="0" w:space="0" w:color="auto"/>
          </w:divBdr>
        </w:div>
      </w:divsChild>
    </w:div>
    <w:div w:id="1738934286">
      <w:bodyDiv w:val="1"/>
      <w:marLeft w:val="0"/>
      <w:marRight w:val="0"/>
      <w:marTop w:val="0"/>
      <w:marBottom w:val="0"/>
      <w:divBdr>
        <w:top w:val="none" w:sz="0" w:space="0" w:color="auto"/>
        <w:left w:val="none" w:sz="0" w:space="0" w:color="auto"/>
        <w:bottom w:val="none" w:sz="0" w:space="0" w:color="auto"/>
        <w:right w:val="none" w:sz="0" w:space="0" w:color="auto"/>
      </w:divBdr>
      <w:divsChild>
        <w:div w:id="298458520">
          <w:marLeft w:val="0"/>
          <w:marRight w:val="0"/>
          <w:marTop w:val="0"/>
          <w:marBottom w:val="0"/>
          <w:divBdr>
            <w:top w:val="none" w:sz="0" w:space="0" w:color="auto"/>
            <w:left w:val="none" w:sz="0" w:space="0" w:color="auto"/>
            <w:bottom w:val="none" w:sz="0" w:space="0" w:color="auto"/>
            <w:right w:val="none" w:sz="0" w:space="0" w:color="auto"/>
          </w:divBdr>
        </w:div>
        <w:div w:id="1757819339">
          <w:marLeft w:val="0"/>
          <w:marRight w:val="0"/>
          <w:marTop w:val="0"/>
          <w:marBottom w:val="0"/>
          <w:divBdr>
            <w:top w:val="none" w:sz="0" w:space="0" w:color="auto"/>
            <w:left w:val="none" w:sz="0" w:space="0" w:color="auto"/>
            <w:bottom w:val="none" w:sz="0" w:space="0" w:color="auto"/>
            <w:right w:val="none" w:sz="0" w:space="0" w:color="auto"/>
          </w:divBdr>
        </w:div>
        <w:div w:id="1217668960">
          <w:marLeft w:val="0"/>
          <w:marRight w:val="0"/>
          <w:marTop w:val="0"/>
          <w:marBottom w:val="0"/>
          <w:divBdr>
            <w:top w:val="none" w:sz="0" w:space="0" w:color="auto"/>
            <w:left w:val="none" w:sz="0" w:space="0" w:color="auto"/>
            <w:bottom w:val="none" w:sz="0" w:space="0" w:color="auto"/>
            <w:right w:val="none" w:sz="0" w:space="0" w:color="auto"/>
          </w:divBdr>
        </w:div>
        <w:div w:id="504393844">
          <w:marLeft w:val="0"/>
          <w:marRight w:val="0"/>
          <w:marTop w:val="0"/>
          <w:marBottom w:val="0"/>
          <w:divBdr>
            <w:top w:val="none" w:sz="0" w:space="0" w:color="auto"/>
            <w:left w:val="none" w:sz="0" w:space="0" w:color="auto"/>
            <w:bottom w:val="none" w:sz="0" w:space="0" w:color="auto"/>
            <w:right w:val="none" w:sz="0" w:space="0" w:color="auto"/>
          </w:divBdr>
        </w:div>
        <w:div w:id="1031229545">
          <w:marLeft w:val="0"/>
          <w:marRight w:val="0"/>
          <w:marTop w:val="0"/>
          <w:marBottom w:val="0"/>
          <w:divBdr>
            <w:top w:val="none" w:sz="0" w:space="0" w:color="auto"/>
            <w:left w:val="none" w:sz="0" w:space="0" w:color="auto"/>
            <w:bottom w:val="none" w:sz="0" w:space="0" w:color="auto"/>
            <w:right w:val="none" w:sz="0" w:space="0" w:color="auto"/>
          </w:divBdr>
        </w:div>
        <w:div w:id="1497333354">
          <w:marLeft w:val="0"/>
          <w:marRight w:val="0"/>
          <w:marTop w:val="0"/>
          <w:marBottom w:val="0"/>
          <w:divBdr>
            <w:top w:val="none" w:sz="0" w:space="0" w:color="auto"/>
            <w:left w:val="none" w:sz="0" w:space="0" w:color="auto"/>
            <w:bottom w:val="none" w:sz="0" w:space="0" w:color="auto"/>
            <w:right w:val="none" w:sz="0" w:space="0" w:color="auto"/>
          </w:divBdr>
        </w:div>
      </w:divsChild>
    </w:div>
    <w:div w:id="1768960236">
      <w:bodyDiv w:val="1"/>
      <w:marLeft w:val="0"/>
      <w:marRight w:val="0"/>
      <w:marTop w:val="0"/>
      <w:marBottom w:val="0"/>
      <w:divBdr>
        <w:top w:val="none" w:sz="0" w:space="0" w:color="auto"/>
        <w:left w:val="none" w:sz="0" w:space="0" w:color="auto"/>
        <w:bottom w:val="none" w:sz="0" w:space="0" w:color="auto"/>
        <w:right w:val="none" w:sz="0" w:space="0" w:color="auto"/>
      </w:divBdr>
      <w:divsChild>
        <w:div w:id="2112162975">
          <w:marLeft w:val="0"/>
          <w:marRight w:val="0"/>
          <w:marTop w:val="0"/>
          <w:marBottom w:val="0"/>
          <w:divBdr>
            <w:top w:val="none" w:sz="0" w:space="0" w:color="auto"/>
            <w:left w:val="none" w:sz="0" w:space="0" w:color="auto"/>
            <w:bottom w:val="none" w:sz="0" w:space="0" w:color="auto"/>
            <w:right w:val="none" w:sz="0" w:space="0" w:color="auto"/>
          </w:divBdr>
        </w:div>
        <w:div w:id="837767843">
          <w:marLeft w:val="0"/>
          <w:marRight w:val="0"/>
          <w:marTop w:val="0"/>
          <w:marBottom w:val="0"/>
          <w:divBdr>
            <w:top w:val="none" w:sz="0" w:space="0" w:color="auto"/>
            <w:left w:val="none" w:sz="0" w:space="0" w:color="auto"/>
            <w:bottom w:val="none" w:sz="0" w:space="0" w:color="auto"/>
            <w:right w:val="none" w:sz="0" w:space="0" w:color="auto"/>
          </w:divBdr>
        </w:div>
        <w:div w:id="1263029990">
          <w:marLeft w:val="0"/>
          <w:marRight w:val="0"/>
          <w:marTop w:val="0"/>
          <w:marBottom w:val="0"/>
          <w:divBdr>
            <w:top w:val="none" w:sz="0" w:space="0" w:color="auto"/>
            <w:left w:val="none" w:sz="0" w:space="0" w:color="auto"/>
            <w:bottom w:val="none" w:sz="0" w:space="0" w:color="auto"/>
            <w:right w:val="none" w:sz="0" w:space="0" w:color="auto"/>
          </w:divBdr>
        </w:div>
      </w:divsChild>
    </w:div>
    <w:div w:id="1777166320">
      <w:bodyDiv w:val="1"/>
      <w:marLeft w:val="0"/>
      <w:marRight w:val="0"/>
      <w:marTop w:val="0"/>
      <w:marBottom w:val="0"/>
      <w:divBdr>
        <w:top w:val="none" w:sz="0" w:space="0" w:color="auto"/>
        <w:left w:val="none" w:sz="0" w:space="0" w:color="auto"/>
        <w:bottom w:val="none" w:sz="0" w:space="0" w:color="auto"/>
        <w:right w:val="none" w:sz="0" w:space="0" w:color="auto"/>
      </w:divBdr>
      <w:divsChild>
        <w:div w:id="1829979958">
          <w:marLeft w:val="0"/>
          <w:marRight w:val="0"/>
          <w:marTop w:val="0"/>
          <w:marBottom w:val="0"/>
          <w:divBdr>
            <w:top w:val="none" w:sz="0" w:space="0" w:color="auto"/>
            <w:left w:val="none" w:sz="0" w:space="0" w:color="auto"/>
            <w:bottom w:val="none" w:sz="0" w:space="0" w:color="auto"/>
            <w:right w:val="none" w:sz="0" w:space="0" w:color="auto"/>
          </w:divBdr>
        </w:div>
        <w:div w:id="1917857140">
          <w:marLeft w:val="0"/>
          <w:marRight w:val="0"/>
          <w:marTop w:val="0"/>
          <w:marBottom w:val="0"/>
          <w:divBdr>
            <w:top w:val="none" w:sz="0" w:space="0" w:color="auto"/>
            <w:left w:val="none" w:sz="0" w:space="0" w:color="auto"/>
            <w:bottom w:val="none" w:sz="0" w:space="0" w:color="auto"/>
            <w:right w:val="none" w:sz="0" w:space="0" w:color="auto"/>
          </w:divBdr>
        </w:div>
        <w:div w:id="1530529045">
          <w:marLeft w:val="0"/>
          <w:marRight w:val="0"/>
          <w:marTop w:val="0"/>
          <w:marBottom w:val="0"/>
          <w:divBdr>
            <w:top w:val="none" w:sz="0" w:space="0" w:color="auto"/>
            <w:left w:val="none" w:sz="0" w:space="0" w:color="auto"/>
            <w:bottom w:val="none" w:sz="0" w:space="0" w:color="auto"/>
            <w:right w:val="none" w:sz="0" w:space="0" w:color="auto"/>
          </w:divBdr>
        </w:div>
        <w:div w:id="2068912067">
          <w:marLeft w:val="0"/>
          <w:marRight w:val="0"/>
          <w:marTop w:val="0"/>
          <w:marBottom w:val="0"/>
          <w:divBdr>
            <w:top w:val="none" w:sz="0" w:space="0" w:color="auto"/>
            <w:left w:val="none" w:sz="0" w:space="0" w:color="auto"/>
            <w:bottom w:val="none" w:sz="0" w:space="0" w:color="auto"/>
            <w:right w:val="none" w:sz="0" w:space="0" w:color="auto"/>
          </w:divBdr>
        </w:div>
        <w:div w:id="325672406">
          <w:marLeft w:val="0"/>
          <w:marRight w:val="0"/>
          <w:marTop w:val="0"/>
          <w:marBottom w:val="0"/>
          <w:divBdr>
            <w:top w:val="none" w:sz="0" w:space="0" w:color="auto"/>
            <w:left w:val="none" w:sz="0" w:space="0" w:color="auto"/>
            <w:bottom w:val="none" w:sz="0" w:space="0" w:color="auto"/>
            <w:right w:val="none" w:sz="0" w:space="0" w:color="auto"/>
          </w:divBdr>
        </w:div>
        <w:div w:id="193232075">
          <w:marLeft w:val="0"/>
          <w:marRight w:val="0"/>
          <w:marTop w:val="0"/>
          <w:marBottom w:val="0"/>
          <w:divBdr>
            <w:top w:val="none" w:sz="0" w:space="0" w:color="auto"/>
            <w:left w:val="none" w:sz="0" w:space="0" w:color="auto"/>
            <w:bottom w:val="none" w:sz="0" w:space="0" w:color="auto"/>
            <w:right w:val="none" w:sz="0" w:space="0" w:color="auto"/>
          </w:divBdr>
        </w:div>
        <w:div w:id="893002423">
          <w:marLeft w:val="0"/>
          <w:marRight w:val="0"/>
          <w:marTop w:val="0"/>
          <w:marBottom w:val="0"/>
          <w:divBdr>
            <w:top w:val="none" w:sz="0" w:space="0" w:color="auto"/>
            <w:left w:val="none" w:sz="0" w:space="0" w:color="auto"/>
            <w:bottom w:val="none" w:sz="0" w:space="0" w:color="auto"/>
            <w:right w:val="none" w:sz="0" w:space="0" w:color="auto"/>
          </w:divBdr>
        </w:div>
      </w:divsChild>
    </w:div>
    <w:div w:id="1803881282">
      <w:bodyDiv w:val="1"/>
      <w:marLeft w:val="0"/>
      <w:marRight w:val="0"/>
      <w:marTop w:val="0"/>
      <w:marBottom w:val="0"/>
      <w:divBdr>
        <w:top w:val="none" w:sz="0" w:space="0" w:color="auto"/>
        <w:left w:val="none" w:sz="0" w:space="0" w:color="auto"/>
        <w:bottom w:val="none" w:sz="0" w:space="0" w:color="auto"/>
        <w:right w:val="none" w:sz="0" w:space="0" w:color="auto"/>
      </w:divBdr>
      <w:divsChild>
        <w:div w:id="1792940588">
          <w:marLeft w:val="0"/>
          <w:marRight w:val="0"/>
          <w:marTop w:val="0"/>
          <w:marBottom w:val="0"/>
          <w:divBdr>
            <w:top w:val="none" w:sz="0" w:space="0" w:color="auto"/>
            <w:left w:val="none" w:sz="0" w:space="0" w:color="auto"/>
            <w:bottom w:val="none" w:sz="0" w:space="0" w:color="auto"/>
            <w:right w:val="none" w:sz="0" w:space="0" w:color="auto"/>
          </w:divBdr>
        </w:div>
        <w:div w:id="748191051">
          <w:marLeft w:val="0"/>
          <w:marRight w:val="0"/>
          <w:marTop w:val="0"/>
          <w:marBottom w:val="0"/>
          <w:divBdr>
            <w:top w:val="none" w:sz="0" w:space="0" w:color="auto"/>
            <w:left w:val="none" w:sz="0" w:space="0" w:color="auto"/>
            <w:bottom w:val="none" w:sz="0" w:space="0" w:color="auto"/>
            <w:right w:val="none" w:sz="0" w:space="0" w:color="auto"/>
          </w:divBdr>
        </w:div>
        <w:div w:id="1202398884">
          <w:marLeft w:val="0"/>
          <w:marRight w:val="0"/>
          <w:marTop w:val="0"/>
          <w:marBottom w:val="0"/>
          <w:divBdr>
            <w:top w:val="none" w:sz="0" w:space="0" w:color="auto"/>
            <w:left w:val="none" w:sz="0" w:space="0" w:color="auto"/>
            <w:bottom w:val="none" w:sz="0" w:space="0" w:color="auto"/>
            <w:right w:val="none" w:sz="0" w:space="0" w:color="auto"/>
          </w:divBdr>
        </w:div>
      </w:divsChild>
    </w:div>
    <w:div w:id="1884441095">
      <w:bodyDiv w:val="1"/>
      <w:marLeft w:val="0"/>
      <w:marRight w:val="0"/>
      <w:marTop w:val="0"/>
      <w:marBottom w:val="0"/>
      <w:divBdr>
        <w:top w:val="none" w:sz="0" w:space="0" w:color="auto"/>
        <w:left w:val="none" w:sz="0" w:space="0" w:color="auto"/>
        <w:bottom w:val="none" w:sz="0" w:space="0" w:color="auto"/>
        <w:right w:val="none" w:sz="0" w:space="0" w:color="auto"/>
      </w:divBdr>
      <w:divsChild>
        <w:div w:id="876162709">
          <w:marLeft w:val="0"/>
          <w:marRight w:val="0"/>
          <w:marTop w:val="0"/>
          <w:marBottom w:val="0"/>
          <w:divBdr>
            <w:top w:val="none" w:sz="0" w:space="0" w:color="auto"/>
            <w:left w:val="none" w:sz="0" w:space="0" w:color="auto"/>
            <w:bottom w:val="none" w:sz="0" w:space="0" w:color="auto"/>
            <w:right w:val="none" w:sz="0" w:space="0" w:color="auto"/>
          </w:divBdr>
        </w:div>
        <w:div w:id="430669097">
          <w:marLeft w:val="0"/>
          <w:marRight w:val="0"/>
          <w:marTop w:val="0"/>
          <w:marBottom w:val="0"/>
          <w:divBdr>
            <w:top w:val="none" w:sz="0" w:space="0" w:color="auto"/>
            <w:left w:val="none" w:sz="0" w:space="0" w:color="auto"/>
            <w:bottom w:val="none" w:sz="0" w:space="0" w:color="auto"/>
            <w:right w:val="none" w:sz="0" w:space="0" w:color="auto"/>
          </w:divBdr>
        </w:div>
        <w:div w:id="1151556624">
          <w:marLeft w:val="0"/>
          <w:marRight w:val="0"/>
          <w:marTop w:val="0"/>
          <w:marBottom w:val="0"/>
          <w:divBdr>
            <w:top w:val="none" w:sz="0" w:space="0" w:color="auto"/>
            <w:left w:val="none" w:sz="0" w:space="0" w:color="auto"/>
            <w:bottom w:val="none" w:sz="0" w:space="0" w:color="auto"/>
            <w:right w:val="none" w:sz="0" w:space="0" w:color="auto"/>
          </w:divBdr>
        </w:div>
        <w:div w:id="1811246227">
          <w:marLeft w:val="0"/>
          <w:marRight w:val="0"/>
          <w:marTop w:val="0"/>
          <w:marBottom w:val="0"/>
          <w:divBdr>
            <w:top w:val="none" w:sz="0" w:space="0" w:color="auto"/>
            <w:left w:val="none" w:sz="0" w:space="0" w:color="auto"/>
            <w:bottom w:val="none" w:sz="0" w:space="0" w:color="auto"/>
            <w:right w:val="none" w:sz="0" w:space="0" w:color="auto"/>
          </w:divBdr>
        </w:div>
        <w:div w:id="1900550539">
          <w:marLeft w:val="0"/>
          <w:marRight w:val="0"/>
          <w:marTop w:val="0"/>
          <w:marBottom w:val="0"/>
          <w:divBdr>
            <w:top w:val="none" w:sz="0" w:space="0" w:color="auto"/>
            <w:left w:val="none" w:sz="0" w:space="0" w:color="auto"/>
            <w:bottom w:val="none" w:sz="0" w:space="0" w:color="auto"/>
            <w:right w:val="none" w:sz="0" w:space="0" w:color="auto"/>
          </w:divBdr>
        </w:div>
        <w:div w:id="1770659906">
          <w:marLeft w:val="0"/>
          <w:marRight w:val="0"/>
          <w:marTop w:val="0"/>
          <w:marBottom w:val="0"/>
          <w:divBdr>
            <w:top w:val="none" w:sz="0" w:space="0" w:color="auto"/>
            <w:left w:val="none" w:sz="0" w:space="0" w:color="auto"/>
            <w:bottom w:val="none" w:sz="0" w:space="0" w:color="auto"/>
            <w:right w:val="none" w:sz="0" w:space="0" w:color="auto"/>
          </w:divBdr>
        </w:div>
        <w:div w:id="289871100">
          <w:marLeft w:val="0"/>
          <w:marRight w:val="0"/>
          <w:marTop w:val="0"/>
          <w:marBottom w:val="0"/>
          <w:divBdr>
            <w:top w:val="none" w:sz="0" w:space="0" w:color="auto"/>
            <w:left w:val="none" w:sz="0" w:space="0" w:color="auto"/>
            <w:bottom w:val="none" w:sz="0" w:space="0" w:color="auto"/>
            <w:right w:val="none" w:sz="0" w:space="0" w:color="auto"/>
          </w:divBdr>
        </w:div>
        <w:div w:id="429474422">
          <w:marLeft w:val="0"/>
          <w:marRight w:val="0"/>
          <w:marTop w:val="0"/>
          <w:marBottom w:val="0"/>
          <w:divBdr>
            <w:top w:val="none" w:sz="0" w:space="0" w:color="auto"/>
            <w:left w:val="none" w:sz="0" w:space="0" w:color="auto"/>
            <w:bottom w:val="none" w:sz="0" w:space="0" w:color="auto"/>
            <w:right w:val="none" w:sz="0" w:space="0" w:color="auto"/>
          </w:divBdr>
        </w:div>
        <w:div w:id="1074547950">
          <w:marLeft w:val="0"/>
          <w:marRight w:val="0"/>
          <w:marTop w:val="0"/>
          <w:marBottom w:val="0"/>
          <w:divBdr>
            <w:top w:val="none" w:sz="0" w:space="0" w:color="auto"/>
            <w:left w:val="none" w:sz="0" w:space="0" w:color="auto"/>
            <w:bottom w:val="none" w:sz="0" w:space="0" w:color="auto"/>
            <w:right w:val="none" w:sz="0" w:space="0" w:color="auto"/>
          </w:divBdr>
        </w:div>
      </w:divsChild>
    </w:div>
    <w:div w:id="1888492264">
      <w:bodyDiv w:val="1"/>
      <w:marLeft w:val="0"/>
      <w:marRight w:val="0"/>
      <w:marTop w:val="0"/>
      <w:marBottom w:val="0"/>
      <w:divBdr>
        <w:top w:val="none" w:sz="0" w:space="0" w:color="auto"/>
        <w:left w:val="none" w:sz="0" w:space="0" w:color="auto"/>
        <w:bottom w:val="none" w:sz="0" w:space="0" w:color="auto"/>
        <w:right w:val="none" w:sz="0" w:space="0" w:color="auto"/>
      </w:divBdr>
      <w:divsChild>
        <w:div w:id="834884886">
          <w:marLeft w:val="0"/>
          <w:marRight w:val="0"/>
          <w:marTop w:val="0"/>
          <w:marBottom w:val="0"/>
          <w:divBdr>
            <w:top w:val="none" w:sz="0" w:space="0" w:color="auto"/>
            <w:left w:val="none" w:sz="0" w:space="0" w:color="auto"/>
            <w:bottom w:val="none" w:sz="0" w:space="0" w:color="auto"/>
            <w:right w:val="none" w:sz="0" w:space="0" w:color="auto"/>
          </w:divBdr>
        </w:div>
        <w:div w:id="1268343454">
          <w:marLeft w:val="0"/>
          <w:marRight w:val="0"/>
          <w:marTop w:val="0"/>
          <w:marBottom w:val="0"/>
          <w:divBdr>
            <w:top w:val="none" w:sz="0" w:space="0" w:color="auto"/>
            <w:left w:val="none" w:sz="0" w:space="0" w:color="auto"/>
            <w:bottom w:val="none" w:sz="0" w:space="0" w:color="auto"/>
            <w:right w:val="none" w:sz="0" w:space="0" w:color="auto"/>
          </w:divBdr>
        </w:div>
      </w:divsChild>
    </w:div>
    <w:div w:id="1941452551">
      <w:bodyDiv w:val="1"/>
      <w:marLeft w:val="0"/>
      <w:marRight w:val="0"/>
      <w:marTop w:val="0"/>
      <w:marBottom w:val="0"/>
      <w:divBdr>
        <w:top w:val="none" w:sz="0" w:space="0" w:color="auto"/>
        <w:left w:val="none" w:sz="0" w:space="0" w:color="auto"/>
        <w:bottom w:val="none" w:sz="0" w:space="0" w:color="auto"/>
        <w:right w:val="none" w:sz="0" w:space="0" w:color="auto"/>
      </w:divBdr>
      <w:divsChild>
        <w:div w:id="33845674">
          <w:marLeft w:val="0"/>
          <w:marRight w:val="0"/>
          <w:marTop w:val="0"/>
          <w:marBottom w:val="0"/>
          <w:divBdr>
            <w:top w:val="none" w:sz="0" w:space="0" w:color="auto"/>
            <w:left w:val="none" w:sz="0" w:space="0" w:color="auto"/>
            <w:bottom w:val="none" w:sz="0" w:space="0" w:color="auto"/>
            <w:right w:val="none" w:sz="0" w:space="0" w:color="auto"/>
          </w:divBdr>
        </w:div>
        <w:div w:id="776482123">
          <w:marLeft w:val="0"/>
          <w:marRight w:val="0"/>
          <w:marTop w:val="0"/>
          <w:marBottom w:val="0"/>
          <w:divBdr>
            <w:top w:val="none" w:sz="0" w:space="0" w:color="auto"/>
            <w:left w:val="none" w:sz="0" w:space="0" w:color="auto"/>
            <w:bottom w:val="none" w:sz="0" w:space="0" w:color="auto"/>
            <w:right w:val="none" w:sz="0" w:space="0" w:color="auto"/>
          </w:divBdr>
        </w:div>
        <w:div w:id="930818607">
          <w:marLeft w:val="0"/>
          <w:marRight w:val="0"/>
          <w:marTop w:val="0"/>
          <w:marBottom w:val="0"/>
          <w:divBdr>
            <w:top w:val="none" w:sz="0" w:space="0" w:color="auto"/>
            <w:left w:val="none" w:sz="0" w:space="0" w:color="auto"/>
            <w:bottom w:val="none" w:sz="0" w:space="0" w:color="auto"/>
            <w:right w:val="none" w:sz="0" w:space="0" w:color="auto"/>
          </w:divBdr>
        </w:div>
      </w:divsChild>
    </w:div>
    <w:div w:id="1963724458">
      <w:bodyDiv w:val="1"/>
      <w:marLeft w:val="0"/>
      <w:marRight w:val="0"/>
      <w:marTop w:val="0"/>
      <w:marBottom w:val="0"/>
      <w:divBdr>
        <w:top w:val="none" w:sz="0" w:space="0" w:color="auto"/>
        <w:left w:val="none" w:sz="0" w:space="0" w:color="auto"/>
        <w:bottom w:val="none" w:sz="0" w:space="0" w:color="auto"/>
        <w:right w:val="none" w:sz="0" w:space="0" w:color="auto"/>
      </w:divBdr>
      <w:divsChild>
        <w:div w:id="1056855489">
          <w:marLeft w:val="0"/>
          <w:marRight w:val="0"/>
          <w:marTop w:val="0"/>
          <w:marBottom w:val="0"/>
          <w:divBdr>
            <w:top w:val="none" w:sz="0" w:space="0" w:color="auto"/>
            <w:left w:val="none" w:sz="0" w:space="0" w:color="auto"/>
            <w:bottom w:val="none" w:sz="0" w:space="0" w:color="auto"/>
            <w:right w:val="none" w:sz="0" w:space="0" w:color="auto"/>
          </w:divBdr>
        </w:div>
        <w:div w:id="1659915388">
          <w:marLeft w:val="0"/>
          <w:marRight w:val="0"/>
          <w:marTop w:val="0"/>
          <w:marBottom w:val="0"/>
          <w:divBdr>
            <w:top w:val="none" w:sz="0" w:space="0" w:color="auto"/>
            <w:left w:val="none" w:sz="0" w:space="0" w:color="auto"/>
            <w:bottom w:val="none" w:sz="0" w:space="0" w:color="auto"/>
            <w:right w:val="none" w:sz="0" w:space="0" w:color="auto"/>
          </w:divBdr>
        </w:div>
        <w:div w:id="1465735972">
          <w:marLeft w:val="0"/>
          <w:marRight w:val="0"/>
          <w:marTop w:val="0"/>
          <w:marBottom w:val="0"/>
          <w:divBdr>
            <w:top w:val="none" w:sz="0" w:space="0" w:color="auto"/>
            <w:left w:val="none" w:sz="0" w:space="0" w:color="auto"/>
            <w:bottom w:val="none" w:sz="0" w:space="0" w:color="auto"/>
            <w:right w:val="none" w:sz="0" w:space="0" w:color="auto"/>
          </w:divBdr>
        </w:div>
        <w:div w:id="217865525">
          <w:marLeft w:val="0"/>
          <w:marRight w:val="0"/>
          <w:marTop w:val="0"/>
          <w:marBottom w:val="0"/>
          <w:divBdr>
            <w:top w:val="none" w:sz="0" w:space="0" w:color="auto"/>
            <w:left w:val="none" w:sz="0" w:space="0" w:color="auto"/>
            <w:bottom w:val="none" w:sz="0" w:space="0" w:color="auto"/>
            <w:right w:val="none" w:sz="0" w:space="0" w:color="auto"/>
          </w:divBdr>
        </w:div>
        <w:div w:id="1352073446">
          <w:marLeft w:val="0"/>
          <w:marRight w:val="0"/>
          <w:marTop w:val="0"/>
          <w:marBottom w:val="0"/>
          <w:divBdr>
            <w:top w:val="none" w:sz="0" w:space="0" w:color="auto"/>
            <w:left w:val="none" w:sz="0" w:space="0" w:color="auto"/>
            <w:bottom w:val="none" w:sz="0" w:space="0" w:color="auto"/>
            <w:right w:val="none" w:sz="0" w:space="0" w:color="auto"/>
          </w:divBdr>
        </w:div>
        <w:div w:id="2141068033">
          <w:marLeft w:val="0"/>
          <w:marRight w:val="0"/>
          <w:marTop w:val="0"/>
          <w:marBottom w:val="0"/>
          <w:divBdr>
            <w:top w:val="none" w:sz="0" w:space="0" w:color="auto"/>
            <w:left w:val="none" w:sz="0" w:space="0" w:color="auto"/>
            <w:bottom w:val="none" w:sz="0" w:space="0" w:color="auto"/>
            <w:right w:val="none" w:sz="0" w:space="0" w:color="auto"/>
          </w:divBdr>
        </w:div>
      </w:divsChild>
    </w:div>
    <w:div w:id="1969118558">
      <w:bodyDiv w:val="1"/>
      <w:marLeft w:val="0"/>
      <w:marRight w:val="0"/>
      <w:marTop w:val="0"/>
      <w:marBottom w:val="0"/>
      <w:divBdr>
        <w:top w:val="none" w:sz="0" w:space="0" w:color="auto"/>
        <w:left w:val="none" w:sz="0" w:space="0" w:color="auto"/>
        <w:bottom w:val="none" w:sz="0" w:space="0" w:color="auto"/>
        <w:right w:val="none" w:sz="0" w:space="0" w:color="auto"/>
      </w:divBdr>
      <w:divsChild>
        <w:div w:id="196546377">
          <w:marLeft w:val="0"/>
          <w:marRight w:val="0"/>
          <w:marTop w:val="0"/>
          <w:marBottom w:val="0"/>
          <w:divBdr>
            <w:top w:val="none" w:sz="0" w:space="0" w:color="auto"/>
            <w:left w:val="none" w:sz="0" w:space="0" w:color="auto"/>
            <w:bottom w:val="none" w:sz="0" w:space="0" w:color="auto"/>
            <w:right w:val="none" w:sz="0" w:space="0" w:color="auto"/>
          </w:divBdr>
        </w:div>
        <w:div w:id="1594127013">
          <w:marLeft w:val="0"/>
          <w:marRight w:val="0"/>
          <w:marTop w:val="0"/>
          <w:marBottom w:val="0"/>
          <w:divBdr>
            <w:top w:val="none" w:sz="0" w:space="0" w:color="auto"/>
            <w:left w:val="none" w:sz="0" w:space="0" w:color="auto"/>
            <w:bottom w:val="none" w:sz="0" w:space="0" w:color="auto"/>
            <w:right w:val="none" w:sz="0" w:space="0" w:color="auto"/>
          </w:divBdr>
        </w:div>
        <w:div w:id="1254969438">
          <w:marLeft w:val="0"/>
          <w:marRight w:val="0"/>
          <w:marTop w:val="0"/>
          <w:marBottom w:val="0"/>
          <w:divBdr>
            <w:top w:val="none" w:sz="0" w:space="0" w:color="auto"/>
            <w:left w:val="none" w:sz="0" w:space="0" w:color="auto"/>
            <w:bottom w:val="none" w:sz="0" w:space="0" w:color="auto"/>
            <w:right w:val="none" w:sz="0" w:space="0" w:color="auto"/>
          </w:divBdr>
        </w:div>
        <w:div w:id="1317034013">
          <w:marLeft w:val="0"/>
          <w:marRight w:val="0"/>
          <w:marTop w:val="0"/>
          <w:marBottom w:val="0"/>
          <w:divBdr>
            <w:top w:val="none" w:sz="0" w:space="0" w:color="auto"/>
            <w:left w:val="none" w:sz="0" w:space="0" w:color="auto"/>
            <w:bottom w:val="none" w:sz="0" w:space="0" w:color="auto"/>
            <w:right w:val="none" w:sz="0" w:space="0" w:color="auto"/>
          </w:divBdr>
        </w:div>
        <w:div w:id="1920167073">
          <w:marLeft w:val="0"/>
          <w:marRight w:val="0"/>
          <w:marTop w:val="0"/>
          <w:marBottom w:val="0"/>
          <w:divBdr>
            <w:top w:val="none" w:sz="0" w:space="0" w:color="auto"/>
            <w:left w:val="none" w:sz="0" w:space="0" w:color="auto"/>
            <w:bottom w:val="none" w:sz="0" w:space="0" w:color="auto"/>
            <w:right w:val="none" w:sz="0" w:space="0" w:color="auto"/>
          </w:divBdr>
        </w:div>
      </w:divsChild>
    </w:div>
    <w:div w:id="1975596738">
      <w:bodyDiv w:val="1"/>
      <w:marLeft w:val="0"/>
      <w:marRight w:val="0"/>
      <w:marTop w:val="0"/>
      <w:marBottom w:val="0"/>
      <w:divBdr>
        <w:top w:val="none" w:sz="0" w:space="0" w:color="auto"/>
        <w:left w:val="none" w:sz="0" w:space="0" w:color="auto"/>
        <w:bottom w:val="none" w:sz="0" w:space="0" w:color="auto"/>
        <w:right w:val="none" w:sz="0" w:space="0" w:color="auto"/>
      </w:divBdr>
      <w:divsChild>
        <w:div w:id="563487649">
          <w:marLeft w:val="0"/>
          <w:marRight w:val="0"/>
          <w:marTop w:val="0"/>
          <w:marBottom w:val="0"/>
          <w:divBdr>
            <w:top w:val="none" w:sz="0" w:space="0" w:color="auto"/>
            <w:left w:val="none" w:sz="0" w:space="0" w:color="auto"/>
            <w:bottom w:val="none" w:sz="0" w:space="0" w:color="auto"/>
            <w:right w:val="none" w:sz="0" w:space="0" w:color="auto"/>
          </w:divBdr>
        </w:div>
      </w:divsChild>
    </w:div>
    <w:div w:id="2106607314">
      <w:bodyDiv w:val="1"/>
      <w:marLeft w:val="0"/>
      <w:marRight w:val="0"/>
      <w:marTop w:val="0"/>
      <w:marBottom w:val="0"/>
      <w:divBdr>
        <w:top w:val="none" w:sz="0" w:space="0" w:color="auto"/>
        <w:left w:val="none" w:sz="0" w:space="0" w:color="auto"/>
        <w:bottom w:val="none" w:sz="0" w:space="0" w:color="auto"/>
        <w:right w:val="none" w:sz="0" w:space="0" w:color="auto"/>
      </w:divBdr>
      <w:divsChild>
        <w:div w:id="848713268">
          <w:marLeft w:val="0"/>
          <w:marRight w:val="0"/>
          <w:marTop w:val="0"/>
          <w:marBottom w:val="0"/>
          <w:divBdr>
            <w:top w:val="none" w:sz="0" w:space="0" w:color="auto"/>
            <w:left w:val="none" w:sz="0" w:space="0" w:color="auto"/>
            <w:bottom w:val="none" w:sz="0" w:space="0" w:color="auto"/>
            <w:right w:val="none" w:sz="0" w:space="0" w:color="auto"/>
          </w:divBdr>
        </w:div>
        <w:div w:id="605649875">
          <w:marLeft w:val="0"/>
          <w:marRight w:val="0"/>
          <w:marTop w:val="0"/>
          <w:marBottom w:val="0"/>
          <w:divBdr>
            <w:top w:val="none" w:sz="0" w:space="0" w:color="auto"/>
            <w:left w:val="none" w:sz="0" w:space="0" w:color="auto"/>
            <w:bottom w:val="none" w:sz="0" w:space="0" w:color="auto"/>
            <w:right w:val="none" w:sz="0" w:space="0" w:color="auto"/>
          </w:divBdr>
        </w:div>
        <w:div w:id="144590352">
          <w:marLeft w:val="0"/>
          <w:marRight w:val="0"/>
          <w:marTop w:val="0"/>
          <w:marBottom w:val="0"/>
          <w:divBdr>
            <w:top w:val="none" w:sz="0" w:space="0" w:color="auto"/>
            <w:left w:val="none" w:sz="0" w:space="0" w:color="auto"/>
            <w:bottom w:val="none" w:sz="0" w:space="0" w:color="auto"/>
            <w:right w:val="none" w:sz="0" w:space="0" w:color="auto"/>
          </w:divBdr>
        </w:div>
        <w:div w:id="1785463102">
          <w:marLeft w:val="0"/>
          <w:marRight w:val="0"/>
          <w:marTop w:val="0"/>
          <w:marBottom w:val="0"/>
          <w:divBdr>
            <w:top w:val="none" w:sz="0" w:space="0" w:color="auto"/>
            <w:left w:val="none" w:sz="0" w:space="0" w:color="auto"/>
            <w:bottom w:val="none" w:sz="0" w:space="0" w:color="auto"/>
            <w:right w:val="none" w:sz="0" w:space="0" w:color="auto"/>
          </w:divBdr>
        </w:div>
        <w:div w:id="995914957">
          <w:marLeft w:val="0"/>
          <w:marRight w:val="0"/>
          <w:marTop w:val="0"/>
          <w:marBottom w:val="0"/>
          <w:divBdr>
            <w:top w:val="none" w:sz="0" w:space="0" w:color="auto"/>
            <w:left w:val="none" w:sz="0" w:space="0" w:color="auto"/>
            <w:bottom w:val="none" w:sz="0" w:space="0" w:color="auto"/>
            <w:right w:val="none" w:sz="0" w:space="0" w:color="auto"/>
          </w:divBdr>
        </w:div>
        <w:div w:id="438067740">
          <w:marLeft w:val="0"/>
          <w:marRight w:val="0"/>
          <w:marTop w:val="0"/>
          <w:marBottom w:val="0"/>
          <w:divBdr>
            <w:top w:val="none" w:sz="0" w:space="0" w:color="auto"/>
            <w:left w:val="none" w:sz="0" w:space="0" w:color="auto"/>
            <w:bottom w:val="none" w:sz="0" w:space="0" w:color="auto"/>
            <w:right w:val="none" w:sz="0" w:space="0" w:color="auto"/>
          </w:divBdr>
        </w:div>
        <w:div w:id="2105613285">
          <w:marLeft w:val="0"/>
          <w:marRight w:val="0"/>
          <w:marTop w:val="0"/>
          <w:marBottom w:val="0"/>
          <w:divBdr>
            <w:top w:val="none" w:sz="0" w:space="0" w:color="auto"/>
            <w:left w:val="none" w:sz="0" w:space="0" w:color="auto"/>
            <w:bottom w:val="none" w:sz="0" w:space="0" w:color="auto"/>
            <w:right w:val="none" w:sz="0" w:space="0" w:color="auto"/>
          </w:divBdr>
        </w:div>
        <w:div w:id="1088506648">
          <w:marLeft w:val="0"/>
          <w:marRight w:val="0"/>
          <w:marTop w:val="0"/>
          <w:marBottom w:val="0"/>
          <w:divBdr>
            <w:top w:val="none" w:sz="0" w:space="0" w:color="auto"/>
            <w:left w:val="none" w:sz="0" w:space="0" w:color="auto"/>
            <w:bottom w:val="none" w:sz="0" w:space="0" w:color="auto"/>
            <w:right w:val="none" w:sz="0" w:space="0" w:color="auto"/>
          </w:divBdr>
        </w:div>
        <w:div w:id="1744257652">
          <w:marLeft w:val="0"/>
          <w:marRight w:val="0"/>
          <w:marTop w:val="0"/>
          <w:marBottom w:val="0"/>
          <w:divBdr>
            <w:top w:val="none" w:sz="0" w:space="0" w:color="auto"/>
            <w:left w:val="none" w:sz="0" w:space="0" w:color="auto"/>
            <w:bottom w:val="none" w:sz="0" w:space="0" w:color="auto"/>
            <w:right w:val="none" w:sz="0" w:space="0" w:color="auto"/>
          </w:divBdr>
        </w:div>
      </w:divsChild>
    </w:div>
    <w:div w:id="2122534418">
      <w:bodyDiv w:val="1"/>
      <w:marLeft w:val="0"/>
      <w:marRight w:val="0"/>
      <w:marTop w:val="0"/>
      <w:marBottom w:val="0"/>
      <w:divBdr>
        <w:top w:val="none" w:sz="0" w:space="0" w:color="auto"/>
        <w:left w:val="none" w:sz="0" w:space="0" w:color="auto"/>
        <w:bottom w:val="none" w:sz="0" w:space="0" w:color="auto"/>
        <w:right w:val="none" w:sz="0" w:space="0" w:color="auto"/>
      </w:divBdr>
      <w:divsChild>
        <w:div w:id="769398815">
          <w:marLeft w:val="0"/>
          <w:marRight w:val="0"/>
          <w:marTop w:val="0"/>
          <w:marBottom w:val="0"/>
          <w:divBdr>
            <w:top w:val="none" w:sz="0" w:space="0" w:color="auto"/>
            <w:left w:val="none" w:sz="0" w:space="0" w:color="auto"/>
            <w:bottom w:val="none" w:sz="0" w:space="0" w:color="auto"/>
            <w:right w:val="none" w:sz="0" w:space="0" w:color="auto"/>
          </w:divBdr>
        </w:div>
        <w:div w:id="178082918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5844FB7-4D4D-4981-856D-323D9CB9F09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457</Words>
  <Characters>2606</Characters>
  <Application>Microsoft Office Word</Application>
  <DocSecurity>0</DocSecurity>
  <Lines>21</Lines>
  <Paragraphs>6</Paragraphs>
  <ScaleCrop>false</ScaleCrop>
  <Company>微软中国</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周玲</cp:lastModifiedBy>
  <cp:revision>52</cp:revision>
  <cp:lastPrinted>2025-04-21T01:15:00Z</cp:lastPrinted>
  <dcterms:created xsi:type="dcterms:W3CDTF">2025-03-21T05:33:00Z</dcterms:created>
  <dcterms:modified xsi:type="dcterms:W3CDTF">2025-04-21T01:15:00Z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