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5495E" w14:textId="78A7CD07" w:rsidR="00722D1B" w:rsidRPr="00B958AD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B958AD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B958AD">
        <w:rPr>
          <w:rFonts w:asciiTheme="minorEastAsia" w:eastAsiaTheme="minorEastAsia" w:hAnsiTheme="minorEastAsia" w:cs="宋体"/>
          <w:b/>
          <w:kern w:val="0"/>
        </w:rPr>
        <w:t>002309</w:t>
      </w:r>
      <w:r w:rsidRPr="00B958AD">
        <w:rPr>
          <w:rFonts w:asciiTheme="minorEastAsia" w:eastAsiaTheme="minorEastAsia" w:hAnsiTheme="minorEastAsia" w:cs="宋体" w:hint="eastAsia"/>
          <w:b/>
          <w:kern w:val="0"/>
        </w:rPr>
        <w:t xml:space="preserve">      </w:t>
      </w:r>
      <w:r w:rsidR="00B958AD">
        <w:rPr>
          <w:rFonts w:asciiTheme="minorEastAsia" w:eastAsiaTheme="minorEastAsia" w:hAnsiTheme="minorEastAsia" w:cs="宋体"/>
          <w:b/>
          <w:kern w:val="0"/>
        </w:rPr>
        <w:t xml:space="preserve">       </w:t>
      </w:r>
      <w:r w:rsidRPr="00B958AD">
        <w:rPr>
          <w:rFonts w:asciiTheme="minorEastAsia" w:eastAsiaTheme="minorEastAsia" w:hAnsiTheme="minorEastAsia" w:cs="宋体" w:hint="eastAsia"/>
          <w:b/>
          <w:kern w:val="0"/>
        </w:rPr>
        <w:t xml:space="preserve"> </w:t>
      </w:r>
      <w:r w:rsidR="00B958AD">
        <w:rPr>
          <w:rFonts w:asciiTheme="minorEastAsia" w:eastAsiaTheme="minorEastAsia" w:hAnsiTheme="minorEastAsia" w:cs="宋体" w:hint="eastAsia"/>
          <w:b/>
          <w:kern w:val="0"/>
        </w:rPr>
        <w:t>证券简称：</w:t>
      </w:r>
      <w:r w:rsidR="00F63D0A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B958AD">
        <w:rPr>
          <w:rFonts w:asciiTheme="minorEastAsia" w:eastAsiaTheme="minorEastAsia" w:hAnsiTheme="minorEastAsia" w:cs="宋体" w:hint="eastAsia"/>
          <w:b/>
          <w:kern w:val="0"/>
        </w:rPr>
        <w:t>S</w:t>
      </w:r>
      <w:r w:rsidR="00B958AD">
        <w:rPr>
          <w:rFonts w:asciiTheme="minorEastAsia" w:eastAsiaTheme="minorEastAsia" w:hAnsiTheme="minorEastAsia" w:cs="宋体"/>
          <w:b/>
          <w:kern w:val="0"/>
        </w:rPr>
        <w:t>T</w:t>
      </w:r>
      <w:r w:rsidR="00B958AD">
        <w:rPr>
          <w:rFonts w:asciiTheme="minorEastAsia" w:eastAsiaTheme="minorEastAsia" w:hAnsiTheme="minorEastAsia" w:cs="宋体" w:hint="eastAsia"/>
          <w:b/>
          <w:kern w:val="0"/>
        </w:rPr>
        <w:t>中利</w:t>
      </w:r>
      <w:r w:rsidRPr="00B958A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B958AD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B958AD">
        <w:rPr>
          <w:rFonts w:asciiTheme="minorEastAsia" w:eastAsiaTheme="minorEastAsia" w:hAnsiTheme="minorEastAsia" w:cs="宋体"/>
          <w:b/>
          <w:kern w:val="0"/>
        </w:rPr>
        <w:t xml:space="preserve">     </w:t>
      </w:r>
      <w:r w:rsidR="00AB3388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D85FBB" w:rsidRPr="00B958AD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B958AD">
        <w:rPr>
          <w:rFonts w:asciiTheme="minorEastAsia" w:eastAsiaTheme="minorEastAsia" w:hAnsiTheme="minorEastAsia" w:cs="宋体" w:hint="eastAsia"/>
          <w:b/>
          <w:kern w:val="0"/>
        </w:rPr>
        <w:t>公告编号：</w:t>
      </w:r>
      <w:r w:rsidR="00F63D0A">
        <w:rPr>
          <w:rFonts w:asciiTheme="minorEastAsia" w:eastAsiaTheme="minorEastAsia" w:hAnsiTheme="minorEastAsia" w:cs="宋体" w:hint="eastAsia"/>
          <w:b/>
          <w:kern w:val="0"/>
        </w:rPr>
        <w:t>2025</w:t>
      </w:r>
      <w:r w:rsidR="007F40E6" w:rsidRPr="00B958AD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B958AD">
        <w:rPr>
          <w:rFonts w:asciiTheme="minorEastAsia" w:eastAsiaTheme="minorEastAsia" w:hAnsiTheme="minorEastAsia" w:cs="宋体"/>
          <w:b/>
          <w:kern w:val="0"/>
        </w:rPr>
        <w:t>0</w:t>
      </w:r>
      <w:r w:rsidR="00EE3A44">
        <w:rPr>
          <w:rFonts w:asciiTheme="minorEastAsia" w:eastAsiaTheme="minorEastAsia" w:hAnsiTheme="minorEastAsia" w:cs="宋体"/>
          <w:b/>
          <w:kern w:val="0"/>
        </w:rPr>
        <w:t>27</w:t>
      </w:r>
      <w:bookmarkStart w:id="0" w:name="_GoBack"/>
      <w:bookmarkEnd w:id="0"/>
    </w:p>
    <w:p w14:paraId="4C4C713E" w14:textId="77777777" w:rsidR="006A2333" w:rsidRPr="00847957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2BA1260D" w14:textId="77777777" w:rsidR="00563CB0" w:rsidRPr="00E241AC" w:rsidRDefault="00365AAE" w:rsidP="00FE7E62">
      <w:pPr>
        <w:jc w:val="center"/>
        <w:outlineLvl w:val="0"/>
        <w:rPr>
          <w:rFonts w:asciiTheme="minorEastAsia" w:eastAsiaTheme="minorEastAsia" w:hAnsiTheme="minorEastAsia"/>
          <w:b/>
          <w:sz w:val="28"/>
          <w:szCs w:val="32"/>
        </w:rPr>
      </w:pPr>
      <w:r w:rsidRPr="00E241AC">
        <w:rPr>
          <w:rFonts w:asciiTheme="minorEastAsia" w:eastAsiaTheme="minorEastAsia" w:hAnsiTheme="minorEastAsia" w:hint="eastAsia"/>
          <w:b/>
          <w:sz w:val="28"/>
          <w:szCs w:val="32"/>
        </w:rPr>
        <w:t>江苏中利集团股份有限公司</w:t>
      </w:r>
    </w:p>
    <w:p w14:paraId="603D81FC" w14:textId="431D5014" w:rsidR="00722D1B" w:rsidRPr="00E241AC" w:rsidRDefault="003451B4" w:rsidP="00751FFB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E241AC">
        <w:rPr>
          <w:rFonts w:asciiTheme="minorEastAsia" w:eastAsiaTheme="minorEastAsia" w:hAnsiTheme="minorEastAsia" w:hint="eastAsia"/>
          <w:b/>
          <w:sz w:val="28"/>
          <w:szCs w:val="32"/>
        </w:rPr>
        <w:t>关于</w:t>
      </w:r>
      <w:r w:rsidR="00393D37">
        <w:rPr>
          <w:rFonts w:asciiTheme="minorEastAsia" w:eastAsiaTheme="minorEastAsia" w:hAnsiTheme="minorEastAsia" w:hint="eastAsia"/>
          <w:b/>
          <w:sz w:val="28"/>
          <w:szCs w:val="32"/>
        </w:rPr>
        <w:t>2025</w:t>
      </w:r>
      <w:r w:rsidR="00393D37" w:rsidRPr="00E241AC">
        <w:rPr>
          <w:rFonts w:asciiTheme="minorEastAsia" w:eastAsiaTheme="minorEastAsia" w:hAnsiTheme="minorEastAsia" w:hint="eastAsia"/>
          <w:b/>
          <w:sz w:val="28"/>
          <w:szCs w:val="32"/>
        </w:rPr>
        <w:t>年度</w:t>
      </w:r>
      <w:r w:rsidR="009247EE" w:rsidRPr="00E241AC">
        <w:rPr>
          <w:rFonts w:asciiTheme="minorEastAsia" w:eastAsiaTheme="minorEastAsia" w:hAnsiTheme="minorEastAsia" w:hint="eastAsia"/>
          <w:b/>
          <w:sz w:val="28"/>
          <w:szCs w:val="32"/>
        </w:rPr>
        <w:t>公司</w:t>
      </w:r>
      <w:r w:rsidR="009247EE" w:rsidRPr="00E241AC">
        <w:rPr>
          <w:rFonts w:asciiTheme="minorEastAsia" w:eastAsiaTheme="minorEastAsia" w:hAnsiTheme="minorEastAsia"/>
          <w:b/>
          <w:sz w:val="28"/>
          <w:szCs w:val="32"/>
        </w:rPr>
        <w:t>及</w:t>
      </w:r>
      <w:r w:rsidR="003F7463" w:rsidRPr="00E241AC">
        <w:rPr>
          <w:rFonts w:asciiTheme="minorEastAsia" w:eastAsiaTheme="minorEastAsia" w:hAnsiTheme="minorEastAsia" w:hint="eastAsia"/>
          <w:b/>
          <w:sz w:val="28"/>
          <w:szCs w:val="32"/>
        </w:rPr>
        <w:t>控股</w:t>
      </w:r>
      <w:r w:rsidR="001713E4" w:rsidRPr="00E241AC">
        <w:rPr>
          <w:rFonts w:asciiTheme="minorEastAsia" w:eastAsiaTheme="minorEastAsia" w:hAnsiTheme="minorEastAsia" w:hint="eastAsia"/>
          <w:b/>
          <w:sz w:val="28"/>
          <w:szCs w:val="32"/>
        </w:rPr>
        <w:t>子公司开展</w:t>
      </w:r>
      <w:r w:rsidRPr="00E241AC">
        <w:rPr>
          <w:rFonts w:asciiTheme="minorEastAsia" w:eastAsiaTheme="minorEastAsia" w:hAnsiTheme="minorEastAsia" w:hint="eastAsia"/>
          <w:b/>
          <w:sz w:val="28"/>
          <w:szCs w:val="32"/>
        </w:rPr>
        <w:t>外汇套期保值业务的公告</w:t>
      </w:r>
    </w:p>
    <w:p w14:paraId="32B08268" w14:textId="77777777" w:rsidR="003451B4" w:rsidRPr="003451B4" w:rsidRDefault="003451B4" w:rsidP="003451B4">
      <w:pPr>
        <w:ind w:firstLineChars="200" w:firstLine="482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20589D" w14:paraId="430AFDE8" w14:textId="77777777" w:rsidTr="000D093A">
        <w:tc>
          <w:tcPr>
            <w:tcW w:w="8522" w:type="dxa"/>
          </w:tcPr>
          <w:p w14:paraId="38878BCD" w14:textId="77777777" w:rsidR="00722D1B" w:rsidRPr="0020589D" w:rsidRDefault="00722D1B" w:rsidP="00722D1B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20589D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4A4D75EB" w14:textId="48F1F32C" w:rsidR="00E3751C" w:rsidRPr="00E3751C" w:rsidRDefault="00E3751C" w:rsidP="003E00D6">
      <w:pPr>
        <w:widowControl/>
        <w:spacing w:beforeLines="50" w:before="156" w:afterLines="50" w:after="156"/>
        <w:ind w:firstLineChars="200" w:firstLine="482"/>
        <w:rPr>
          <w:rStyle w:val="fontstyle01"/>
          <w:rFonts w:hint="default"/>
          <w:b/>
          <w:sz w:val="24"/>
        </w:rPr>
      </w:pPr>
      <w:r w:rsidRPr="00E3751C">
        <w:rPr>
          <w:rStyle w:val="fontstyle01"/>
          <w:rFonts w:hint="default"/>
          <w:b/>
          <w:sz w:val="24"/>
        </w:rPr>
        <w:t>重要内容提示：</w:t>
      </w:r>
    </w:p>
    <w:p w14:paraId="050AACEA" w14:textId="6628AF65" w:rsidR="00E3751C" w:rsidRDefault="00E3751C" w:rsidP="00FF4AEC">
      <w:pPr>
        <w:widowControl/>
        <w:spacing w:line="360" w:lineRule="auto"/>
        <w:ind w:firstLineChars="200" w:firstLine="482"/>
        <w:rPr>
          <w:rStyle w:val="fontstyle01"/>
          <w:rFonts w:hint="default"/>
          <w:sz w:val="24"/>
        </w:rPr>
      </w:pPr>
      <w:r w:rsidRPr="002541FD">
        <w:rPr>
          <w:rStyle w:val="fontstyle01"/>
          <w:rFonts w:hint="default"/>
          <w:b/>
          <w:sz w:val="24"/>
        </w:rPr>
        <w:t>1、交易概述</w:t>
      </w:r>
      <w:r>
        <w:rPr>
          <w:rStyle w:val="fontstyle01"/>
          <w:rFonts w:hint="default"/>
          <w:sz w:val="24"/>
        </w:rPr>
        <w:t>：</w:t>
      </w:r>
      <w:r w:rsidR="00272625">
        <w:rPr>
          <w:rStyle w:val="fontstyle01"/>
          <w:rFonts w:hint="default"/>
          <w:sz w:val="24"/>
        </w:rPr>
        <w:t>由于公司及控股子公司海外业务涉及到美元、欧元等外币</w:t>
      </w:r>
      <w:r w:rsidR="00272625" w:rsidRPr="001713E4">
        <w:rPr>
          <w:rStyle w:val="fontstyle01"/>
          <w:rFonts w:hint="default"/>
          <w:sz w:val="24"/>
        </w:rPr>
        <w:t>结算，</w:t>
      </w:r>
      <w:r w:rsidR="00272625" w:rsidRPr="00C83D56">
        <w:rPr>
          <w:rStyle w:val="fontstyle01"/>
          <w:rFonts w:hint="default"/>
          <w:sz w:val="24"/>
        </w:rPr>
        <w:t>为有效规避外汇市场的风险，防范汇率大幅波动对公司造成不良影响，公司遵循稳健原则，不以投机为目的，在不影响公司主营业务发展和资金使用安排的前提下，</w:t>
      </w:r>
      <w:r w:rsidR="00272625">
        <w:rPr>
          <w:rStyle w:val="fontstyle01"/>
          <w:rFonts w:hint="default"/>
          <w:sz w:val="24"/>
        </w:rPr>
        <w:t>同意公司及控股子公司</w:t>
      </w:r>
      <w:r w:rsidR="00272625" w:rsidRPr="001713E4">
        <w:rPr>
          <w:rStyle w:val="fontstyle01"/>
          <w:rFonts w:hint="default"/>
          <w:sz w:val="24"/>
        </w:rPr>
        <w:t>开展外汇套期保值业务。</w:t>
      </w:r>
      <w:r w:rsidR="00A90AAB">
        <w:rPr>
          <w:rStyle w:val="fontstyle01"/>
          <w:rFonts w:hint="default"/>
          <w:sz w:val="24"/>
        </w:rPr>
        <w:t>根</w:t>
      </w:r>
      <w:r w:rsidR="00A90AAB" w:rsidRPr="00BD6799">
        <w:rPr>
          <w:rStyle w:val="fontstyle01"/>
          <w:rFonts w:hint="default"/>
          <w:sz w:val="24"/>
        </w:rPr>
        <w:t>据公司经营及业务需求情况，</w:t>
      </w:r>
      <w:r w:rsidR="00393D37">
        <w:rPr>
          <w:rStyle w:val="fontstyle01"/>
          <w:rFonts w:hint="default"/>
          <w:sz w:val="24"/>
        </w:rPr>
        <w:t>2025年度</w:t>
      </w:r>
      <w:r w:rsidR="00A90AAB">
        <w:rPr>
          <w:rStyle w:val="fontstyle01"/>
          <w:rFonts w:hint="default"/>
          <w:sz w:val="24"/>
        </w:rPr>
        <w:t>公司及控股子</w:t>
      </w:r>
      <w:r w:rsidR="00A90AAB" w:rsidRPr="00BD6799">
        <w:rPr>
          <w:rStyle w:val="fontstyle01"/>
          <w:rFonts w:hint="default"/>
          <w:sz w:val="24"/>
        </w:rPr>
        <w:t>公司拟开展外汇套期保值业务</w:t>
      </w:r>
      <w:r w:rsidR="00C00523" w:rsidRPr="00C00523">
        <w:rPr>
          <w:rFonts w:ascii="宋体" w:hAnsi="宋体"/>
          <w:color w:val="000000"/>
          <w:sz w:val="24"/>
        </w:rPr>
        <w:t>在任</w:t>
      </w:r>
      <w:r w:rsidR="00C00523">
        <w:rPr>
          <w:rFonts w:ascii="宋体" w:hAnsi="宋体" w:hint="eastAsia"/>
          <w:color w:val="000000"/>
          <w:sz w:val="24"/>
        </w:rPr>
        <w:t>一</w:t>
      </w:r>
      <w:r w:rsidR="00C00523" w:rsidRPr="00C00523">
        <w:rPr>
          <w:rFonts w:ascii="宋体" w:hAnsi="宋体"/>
          <w:color w:val="000000"/>
          <w:sz w:val="24"/>
        </w:rPr>
        <w:t>时点</w:t>
      </w:r>
      <w:r w:rsidR="00A90AAB" w:rsidRPr="00BD6799">
        <w:rPr>
          <w:rStyle w:val="fontstyle01"/>
          <w:rFonts w:hint="default"/>
          <w:sz w:val="24"/>
        </w:rPr>
        <w:t>的</w:t>
      </w:r>
      <w:r w:rsidR="00F83370">
        <w:rPr>
          <w:rStyle w:val="fontstyle01"/>
          <w:rFonts w:hint="default"/>
          <w:sz w:val="24"/>
        </w:rPr>
        <w:t>总</w:t>
      </w:r>
      <w:r w:rsidR="00A90AAB">
        <w:rPr>
          <w:rStyle w:val="fontstyle01"/>
          <w:rFonts w:hint="default"/>
          <w:sz w:val="24"/>
        </w:rPr>
        <w:t>金额</w:t>
      </w:r>
      <w:r w:rsidR="00C00523" w:rsidRPr="00C00523">
        <w:rPr>
          <w:rFonts w:ascii="宋体" w:hAnsi="宋体"/>
          <w:color w:val="000000"/>
          <w:sz w:val="24"/>
        </w:rPr>
        <w:t>合计</w:t>
      </w:r>
      <w:r w:rsidR="00D81ED2">
        <w:rPr>
          <w:rFonts w:ascii="宋体" w:hAnsi="宋体" w:hint="eastAsia"/>
          <w:color w:val="000000"/>
          <w:sz w:val="24"/>
        </w:rPr>
        <w:t>不超过</w:t>
      </w:r>
      <w:r w:rsidR="00D81ED2">
        <w:rPr>
          <w:rStyle w:val="fontstyle01"/>
          <w:rFonts w:hint="default"/>
          <w:sz w:val="24"/>
        </w:rPr>
        <w:t>10</w:t>
      </w:r>
      <w:r w:rsidR="00D81ED2">
        <w:rPr>
          <w:rStyle w:val="fontstyle01"/>
          <w:rFonts w:hint="default"/>
          <w:kern w:val="0"/>
          <w:sz w:val="24"/>
        </w:rPr>
        <w:t>亿元人民币</w:t>
      </w:r>
      <w:r w:rsidR="00FB04A5" w:rsidRPr="00FB04A5">
        <w:rPr>
          <w:rStyle w:val="fontstyle01"/>
          <w:rFonts w:hint="default"/>
          <w:kern w:val="0"/>
          <w:sz w:val="24"/>
        </w:rPr>
        <w:t>或等值外币</w:t>
      </w:r>
      <w:r w:rsidR="00592E05" w:rsidRPr="00592E05">
        <w:rPr>
          <w:rStyle w:val="fontstyle01"/>
          <w:rFonts w:hint="default"/>
          <w:sz w:val="24"/>
        </w:rPr>
        <w:t>。</w:t>
      </w:r>
      <w:r w:rsidR="00EA10F3" w:rsidRPr="001713E4">
        <w:rPr>
          <w:rStyle w:val="fontstyle01"/>
          <w:rFonts w:hint="default"/>
          <w:sz w:val="24"/>
        </w:rPr>
        <w:t>上述额度</w:t>
      </w:r>
      <w:r w:rsidR="00EA10F3">
        <w:rPr>
          <w:rStyle w:val="fontstyle01"/>
          <w:rFonts w:hint="default"/>
          <w:sz w:val="24"/>
        </w:rPr>
        <w:t>在审批期限内</w:t>
      </w:r>
      <w:r w:rsidR="00EA10F3" w:rsidRPr="001713E4">
        <w:rPr>
          <w:rStyle w:val="fontstyle01"/>
          <w:rFonts w:hint="default"/>
          <w:sz w:val="24"/>
        </w:rPr>
        <w:t>可循环滚动使用。</w:t>
      </w:r>
      <w:r w:rsidR="00A90AAB">
        <w:rPr>
          <w:rStyle w:val="fontstyle01"/>
          <w:rFonts w:hint="default"/>
          <w:sz w:val="24"/>
        </w:rPr>
        <w:t>公司及控股</w:t>
      </w:r>
      <w:r w:rsidR="00A90AAB" w:rsidRPr="002E56E3">
        <w:rPr>
          <w:rStyle w:val="fontstyle01"/>
          <w:rFonts w:hint="default"/>
          <w:sz w:val="24"/>
        </w:rPr>
        <w:t>子公司开展外汇套期保值业务的交易场所为经监管机构批准、具有相应业务资质的银行</w:t>
      </w:r>
      <w:r w:rsidR="00A90AAB">
        <w:rPr>
          <w:rStyle w:val="fontstyle01"/>
          <w:rFonts w:hint="default"/>
          <w:sz w:val="24"/>
        </w:rPr>
        <w:t>等金融机构。交易品种为公司及控股子公司海外业务涉及的美元、欧元</w:t>
      </w:r>
      <w:r w:rsidR="00A90AAB" w:rsidRPr="002E56E3">
        <w:rPr>
          <w:rStyle w:val="fontstyle01"/>
          <w:rFonts w:hint="default"/>
          <w:sz w:val="24"/>
        </w:rPr>
        <w:t>等外汇。交易工具包括但不限于远期结售汇、外汇掉期、外汇期权、利率互换等</w:t>
      </w:r>
      <w:r w:rsidR="00A90AAB">
        <w:rPr>
          <w:rStyle w:val="fontstyle01"/>
          <w:rFonts w:hint="default"/>
          <w:sz w:val="24"/>
        </w:rPr>
        <w:t>单一品种</w:t>
      </w:r>
      <w:r w:rsidR="00A90AAB" w:rsidRPr="002E56E3">
        <w:rPr>
          <w:rStyle w:val="fontstyle01"/>
          <w:rFonts w:hint="default"/>
          <w:sz w:val="24"/>
        </w:rPr>
        <w:t>或上述产品的组合</w:t>
      </w:r>
      <w:r w:rsidR="00EA10F3">
        <w:rPr>
          <w:rStyle w:val="fontstyle01"/>
          <w:rFonts w:hint="default"/>
          <w:sz w:val="24"/>
        </w:rPr>
        <w:t>。</w:t>
      </w:r>
    </w:p>
    <w:p w14:paraId="21E32E32" w14:textId="659AFE75" w:rsidR="00E3751C" w:rsidRDefault="00E3751C" w:rsidP="00E3751C">
      <w:pPr>
        <w:widowControl/>
        <w:spacing w:line="360" w:lineRule="auto"/>
        <w:ind w:firstLineChars="200" w:firstLine="482"/>
        <w:rPr>
          <w:rStyle w:val="fontstyle01"/>
          <w:rFonts w:hint="default"/>
          <w:sz w:val="24"/>
        </w:rPr>
      </w:pPr>
      <w:r w:rsidRPr="002541FD">
        <w:rPr>
          <w:rStyle w:val="fontstyle01"/>
          <w:rFonts w:hint="default"/>
          <w:b/>
          <w:sz w:val="24"/>
        </w:rPr>
        <w:t>2、已履行的审议程序：</w:t>
      </w:r>
      <w:r w:rsidR="00EA10F3">
        <w:rPr>
          <w:rFonts w:ascii="宋体" w:hAnsi="宋体" w:hint="eastAsia"/>
          <w:sz w:val="24"/>
        </w:rPr>
        <w:t>公司</w:t>
      </w:r>
      <w:r w:rsidR="00F63D0A">
        <w:rPr>
          <w:rFonts w:ascii="宋体" w:hAnsi="宋体" w:hint="eastAsia"/>
          <w:sz w:val="24"/>
        </w:rPr>
        <w:t>第七届</w:t>
      </w:r>
      <w:r w:rsidR="00EA10F3" w:rsidRPr="003451B4">
        <w:rPr>
          <w:rFonts w:ascii="宋体" w:hAnsi="宋体" w:hint="eastAsia"/>
          <w:sz w:val="24"/>
        </w:rPr>
        <w:t>董事会</w:t>
      </w:r>
      <w:r w:rsidR="00F63D0A">
        <w:rPr>
          <w:rFonts w:ascii="宋体" w:hAnsi="宋体" w:hint="eastAsia"/>
          <w:sz w:val="24"/>
        </w:rPr>
        <w:t>2025</w:t>
      </w:r>
      <w:r w:rsidR="00EA10F3">
        <w:rPr>
          <w:rFonts w:ascii="宋体" w:hAnsi="宋体" w:hint="eastAsia"/>
          <w:sz w:val="24"/>
        </w:rPr>
        <w:t>年第一</w:t>
      </w:r>
      <w:r w:rsidR="00EA10F3" w:rsidRPr="003451B4">
        <w:rPr>
          <w:rFonts w:ascii="宋体" w:hAnsi="宋体" w:hint="eastAsia"/>
          <w:sz w:val="24"/>
        </w:rPr>
        <w:t>次临时会议审议通过了</w:t>
      </w:r>
      <w:r w:rsidR="00EA10F3" w:rsidRPr="001713E4">
        <w:rPr>
          <w:rFonts w:ascii="宋体" w:hAnsi="宋体" w:hint="eastAsia"/>
          <w:sz w:val="24"/>
        </w:rPr>
        <w:t>《关于</w:t>
      </w:r>
      <w:r w:rsidR="00393D37">
        <w:rPr>
          <w:rFonts w:ascii="宋体" w:hAnsi="宋体" w:hint="eastAsia"/>
          <w:sz w:val="24"/>
        </w:rPr>
        <w:t>2025</w:t>
      </w:r>
      <w:r w:rsidR="00393D37" w:rsidRPr="001713E4">
        <w:rPr>
          <w:rFonts w:ascii="宋体" w:hAnsi="宋体" w:hint="eastAsia"/>
          <w:sz w:val="24"/>
        </w:rPr>
        <w:t>年度</w:t>
      </w:r>
      <w:r w:rsidR="001A2483">
        <w:rPr>
          <w:rFonts w:ascii="宋体" w:hAnsi="宋体" w:hint="eastAsia"/>
          <w:sz w:val="24"/>
        </w:rPr>
        <w:t>公司及控股</w:t>
      </w:r>
      <w:r w:rsidR="00EA10F3" w:rsidRPr="001713E4">
        <w:rPr>
          <w:rFonts w:ascii="宋体" w:hAnsi="宋体" w:hint="eastAsia"/>
          <w:sz w:val="24"/>
        </w:rPr>
        <w:t>子公司开展外汇套期保值业务的议案》</w:t>
      </w:r>
      <w:r w:rsidR="00EA10F3" w:rsidRPr="003451B4">
        <w:rPr>
          <w:rFonts w:ascii="宋体" w:hAnsi="宋体" w:hint="eastAsia"/>
          <w:sz w:val="24"/>
        </w:rPr>
        <w:t>，</w:t>
      </w:r>
      <w:r w:rsidR="00EA10F3">
        <w:rPr>
          <w:rFonts w:ascii="宋体" w:hAnsi="宋体" w:hint="eastAsia"/>
          <w:sz w:val="24"/>
        </w:rPr>
        <w:t>该议案尚需</w:t>
      </w:r>
      <w:r w:rsidR="00EA10F3" w:rsidRPr="00E72F2C">
        <w:rPr>
          <w:rStyle w:val="fontstyle01"/>
          <w:rFonts w:hint="default"/>
          <w:sz w:val="24"/>
        </w:rPr>
        <w:t>提交</w:t>
      </w:r>
      <w:r w:rsidR="00EA10F3">
        <w:rPr>
          <w:rStyle w:val="fontstyle01"/>
          <w:rFonts w:hint="default"/>
          <w:sz w:val="24"/>
        </w:rPr>
        <w:t>公司</w:t>
      </w:r>
      <w:r w:rsidR="00EA10F3" w:rsidRPr="00E72F2C">
        <w:rPr>
          <w:rStyle w:val="fontstyle01"/>
          <w:rFonts w:hint="default"/>
          <w:sz w:val="24"/>
        </w:rPr>
        <w:t>股东大会审议</w:t>
      </w:r>
      <w:r w:rsidR="00EA10F3">
        <w:rPr>
          <w:rStyle w:val="fontstyle01"/>
          <w:rFonts w:hint="default"/>
          <w:sz w:val="24"/>
        </w:rPr>
        <w:t>。</w:t>
      </w:r>
    </w:p>
    <w:p w14:paraId="151246A5" w14:textId="34281B3C" w:rsidR="00E3751C" w:rsidRDefault="00E3751C" w:rsidP="00E3751C">
      <w:pPr>
        <w:widowControl/>
        <w:spacing w:line="360" w:lineRule="auto"/>
        <w:ind w:firstLineChars="200" w:firstLine="482"/>
        <w:rPr>
          <w:rStyle w:val="fontstyle01"/>
          <w:rFonts w:hint="default"/>
          <w:sz w:val="24"/>
        </w:rPr>
      </w:pPr>
      <w:r w:rsidRPr="002541FD">
        <w:rPr>
          <w:rStyle w:val="fontstyle01"/>
          <w:rFonts w:hint="default"/>
          <w:b/>
          <w:sz w:val="24"/>
        </w:rPr>
        <w:t>3、风险提示：</w:t>
      </w:r>
      <w:r w:rsidR="001A2483" w:rsidRPr="001A2483">
        <w:rPr>
          <w:rStyle w:val="fontstyle01"/>
          <w:rFonts w:hint="default"/>
          <w:sz w:val="24"/>
        </w:rPr>
        <w:t>公司及控股</w:t>
      </w:r>
      <w:r w:rsidR="002541FD">
        <w:rPr>
          <w:rStyle w:val="fontstyle01"/>
          <w:rFonts w:hint="default"/>
          <w:sz w:val="24"/>
        </w:rPr>
        <w:t>子公司进行的</w:t>
      </w:r>
      <w:r w:rsidR="002541FD" w:rsidRPr="001713E4">
        <w:rPr>
          <w:rStyle w:val="fontstyle01"/>
          <w:rFonts w:hint="default"/>
          <w:sz w:val="24"/>
        </w:rPr>
        <w:t>外汇套期保值业务遵循的是锁定汇率、套期保值的原则，</w:t>
      </w:r>
      <w:r w:rsidR="002541FD" w:rsidRPr="00AF794D">
        <w:rPr>
          <w:rStyle w:val="fontstyle01"/>
          <w:rFonts w:hint="default"/>
          <w:sz w:val="24"/>
        </w:rPr>
        <w:t>不进行以投机为目的的外汇交易，所有外汇套期保值业务均以正常生产经营为基础，以具体经营业务为依托，以规避和防范汇率风险为目的。</w:t>
      </w:r>
      <w:r w:rsidR="002541FD" w:rsidRPr="002541FD">
        <w:rPr>
          <w:rStyle w:val="fontstyle01"/>
          <w:rFonts w:hint="default"/>
          <w:sz w:val="24"/>
        </w:rPr>
        <w:t>但是外汇套期保值业务也会存在一定的</w:t>
      </w:r>
      <w:r w:rsidR="00141FEB">
        <w:rPr>
          <w:rStyle w:val="fontstyle01"/>
          <w:rFonts w:hint="default"/>
          <w:sz w:val="24"/>
        </w:rPr>
        <w:t>汇率大幅波动背离预期</w:t>
      </w:r>
      <w:r w:rsidR="002541FD" w:rsidRPr="001713E4">
        <w:rPr>
          <w:rStyle w:val="fontstyle01"/>
          <w:rFonts w:hint="default"/>
          <w:sz w:val="24"/>
        </w:rPr>
        <w:t>风险</w:t>
      </w:r>
      <w:r w:rsidR="002541FD">
        <w:rPr>
          <w:rStyle w:val="fontstyle01"/>
          <w:rFonts w:hint="default"/>
          <w:sz w:val="24"/>
        </w:rPr>
        <w:t>、客户违约</w:t>
      </w:r>
      <w:r w:rsidR="002541FD" w:rsidRPr="002541FD">
        <w:rPr>
          <w:rStyle w:val="fontstyle01"/>
          <w:rFonts w:hint="default"/>
          <w:sz w:val="24"/>
        </w:rPr>
        <w:t>风险</w:t>
      </w:r>
      <w:r w:rsidR="00C00238">
        <w:rPr>
          <w:rStyle w:val="fontstyle01"/>
          <w:rFonts w:hint="default"/>
          <w:sz w:val="24"/>
        </w:rPr>
        <w:t>等</w:t>
      </w:r>
      <w:r w:rsidR="002541FD" w:rsidRPr="002541FD">
        <w:rPr>
          <w:rStyle w:val="fontstyle01"/>
          <w:rFonts w:hint="default"/>
          <w:sz w:val="24"/>
        </w:rPr>
        <w:t>。敬请</w:t>
      </w:r>
      <w:r w:rsidR="002541FD">
        <w:rPr>
          <w:rStyle w:val="fontstyle01"/>
          <w:rFonts w:hint="default"/>
          <w:sz w:val="24"/>
        </w:rPr>
        <w:t>广大</w:t>
      </w:r>
      <w:r w:rsidR="002541FD" w:rsidRPr="002541FD">
        <w:rPr>
          <w:rStyle w:val="fontstyle01"/>
          <w:rFonts w:hint="default"/>
          <w:sz w:val="24"/>
        </w:rPr>
        <w:t>投资者注意投资风险</w:t>
      </w:r>
      <w:r w:rsidR="006F2C9F">
        <w:rPr>
          <w:rStyle w:val="fontstyle01"/>
          <w:rFonts w:hint="default"/>
          <w:sz w:val="24"/>
        </w:rPr>
        <w:t>。</w:t>
      </w:r>
    </w:p>
    <w:p w14:paraId="0F67C418" w14:textId="77777777" w:rsidR="00E3751C" w:rsidRDefault="00E3751C" w:rsidP="00E3751C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</w:p>
    <w:p w14:paraId="0EC01302" w14:textId="0620BA7B" w:rsidR="0048501E" w:rsidRDefault="003451B4" w:rsidP="001713E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451B4">
        <w:rPr>
          <w:rFonts w:ascii="宋体" w:hAnsi="宋体" w:hint="eastAsia"/>
          <w:sz w:val="24"/>
        </w:rPr>
        <w:t>江苏中利集团股份有限公司（以下简称</w:t>
      </w:r>
      <w:r w:rsidR="00C00523" w:rsidRPr="003451B4">
        <w:rPr>
          <w:rFonts w:ascii="宋体" w:hAnsi="宋体" w:hint="eastAsia"/>
          <w:sz w:val="24"/>
        </w:rPr>
        <w:t xml:space="preserve"> </w:t>
      </w:r>
      <w:r w:rsidRPr="003451B4">
        <w:rPr>
          <w:rFonts w:ascii="宋体" w:hAnsi="宋体" w:hint="eastAsia"/>
          <w:sz w:val="24"/>
        </w:rPr>
        <w:t>“公司”）</w:t>
      </w:r>
      <w:r w:rsidR="00F63D0A">
        <w:rPr>
          <w:rFonts w:ascii="宋体" w:hAnsi="宋体" w:hint="eastAsia"/>
          <w:sz w:val="24"/>
        </w:rPr>
        <w:t>第七届</w:t>
      </w:r>
      <w:r w:rsidRPr="003451B4">
        <w:rPr>
          <w:rFonts w:ascii="宋体" w:hAnsi="宋体" w:hint="eastAsia"/>
          <w:sz w:val="24"/>
        </w:rPr>
        <w:t>董事会</w:t>
      </w:r>
      <w:r w:rsidR="00F63D0A">
        <w:rPr>
          <w:rFonts w:ascii="宋体" w:hAnsi="宋体" w:hint="eastAsia"/>
          <w:sz w:val="24"/>
        </w:rPr>
        <w:t>2025</w:t>
      </w:r>
      <w:r w:rsidR="00B958AD">
        <w:rPr>
          <w:rFonts w:ascii="宋体" w:hAnsi="宋体" w:hint="eastAsia"/>
          <w:sz w:val="24"/>
        </w:rPr>
        <w:t>年第一</w:t>
      </w:r>
      <w:r w:rsidRPr="003451B4">
        <w:rPr>
          <w:rFonts w:ascii="宋体" w:hAnsi="宋体" w:hint="eastAsia"/>
          <w:sz w:val="24"/>
        </w:rPr>
        <w:t>次临时会议审议通过了</w:t>
      </w:r>
      <w:r w:rsidR="001713E4" w:rsidRPr="001713E4">
        <w:rPr>
          <w:rFonts w:ascii="宋体" w:hAnsi="宋体" w:hint="eastAsia"/>
          <w:sz w:val="24"/>
        </w:rPr>
        <w:t>《关于</w:t>
      </w:r>
      <w:r w:rsidR="00393D37">
        <w:rPr>
          <w:rFonts w:ascii="宋体" w:hAnsi="宋体" w:hint="eastAsia"/>
          <w:sz w:val="24"/>
        </w:rPr>
        <w:t>2025</w:t>
      </w:r>
      <w:r w:rsidR="00393D37" w:rsidRPr="001713E4">
        <w:rPr>
          <w:rFonts w:ascii="宋体" w:hAnsi="宋体" w:hint="eastAsia"/>
          <w:sz w:val="24"/>
        </w:rPr>
        <w:t>年度</w:t>
      </w:r>
      <w:r w:rsidR="001A2483">
        <w:rPr>
          <w:rFonts w:ascii="宋体" w:hAnsi="宋体" w:hint="eastAsia"/>
          <w:sz w:val="24"/>
        </w:rPr>
        <w:t>公司及控股</w:t>
      </w:r>
      <w:r w:rsidR="001713E4" w:rsidRPr="001713E4">
        <w:rPr>
          <w:rFonts w:ascii="宋体" w:hAnsi="宋体" w:hint="eastAsia"/>
          <w:sz w:val="24"/>
        </w:rPr>
        <w:t>子公司开展外汇套期保值</w:t>
      </w:r>
      <w:r w:rsidR="001713E4" w:rsidRPr="001713E4">
        <w:rPr>
          <w:rFonts w:ascii="宋体" w:hAnsi="宋体" w:hint="eastAsia"/>
          <w:sz w:val="24"/>
        </w:rPr>
        <w:lastRenderedPageBreak/>
        <w:t>业务的议案》</w:t>
      </w:r>
      <w:r w:rsidRPr="003451B4">
        <w:rPr>
          <w:rFonts w:ascii="宋体" w:hAnsi="宋体" w:hint="eastAsia"/>
          <w:sz w:val="24"/>
        </w:rPr>
        <w:t>，现将相关情况公告如下：</w:t>
      </w:r>
      <w:r>
        <w:rPr>
          <w:rFonts w:ascii="宋体" w:hAnsi="宋体"/>
          <w:sz w:val="24"/>
        </w:rPr>
        <w:t xml:space="preserve"> </w:t>
      </w:r>
    </w:p>
    <w:p w14:paraId="79A5EDA5" w14:textId="133DACCC" w:rsidR="000A54F9" w:rsidRPr="006F0D32" w:rsidRDefault="001713E4" w:rsidP="006F0D32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b/>
          <w:sz w:val="24"/>
        </w:rPr>
        <w:t>一</w:t>
      </w:r>
      <w:r w:rsidR="00BA6DFC">
        <w:rPr>
          <w:rStyle w:val="fontstyle01"/>
          <w:rFonts w:hint="default"/>
          <w:b/>
          <w:sz w:val="24"/>
        </w:rPr>
        <w:t>、</w:t>
      </w:r>
      <w:r w:rsidR="00C83D56">
        <w:rPr>
          <w:rStyle w:val="fontstyle01"/>
          <w:rFonts w:hint="default"/>
          <w:b/>
          <w:sz w:val="24"/>
        </w:rPr>
        <w:t>开展外汇套期保值业务情况概述</w:t>
      </w:r>
    </w:p>
    <w:p w14:paraId="2991075A" w14:textId="7B1C4826" w:rsidR="00C83D56" w:rsidRPr="00393D37" w:rsidRDefault="00393D37" w:rsidP="00393D37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393D37">
        <w:rPr>
          <w:rStyle w:val="fontstyle01"/>
          <w:rFonts w:hint="default"/>
          <w:b/>
          <w:sz w:val="24"/>
        </w:rPr>
        <w:t>（一）</w:t>
      </w:r>
      <w:r w:rsidR="00C83D56" w:rsidRPr="00393D37">
        <w:rPr>
          <w:rStyle w:val="fontstyle01"/>
          <w:rFonts w:hint="default"/>
          <w:b/>
          <w:sz w:val="24"/>
        </w:rPr>
        <w:t>交易目的</w:t>
      </w:r>
    </w:p>
    <w:p w14:paraId="467C42BC" w14:textId="61FFB76B" w:rsidR="003855B8" w:rsidRPr="003855B8" w:rsidRDefault="00E32CC9" w:rsidP="00393D37">
      <w:pPr>
        <w:widowControl/>
        <w:spacing w:line="360" w:lineRule="auto"/>
        <w:ind w:firstLineChars="200" w:firstLine="480"/>
        <w:jc w:val="left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由于</w:t>
      </w:r>
      <w:r w:rsidR="009247EE">
        <w:rPr>
          <w:rStyle w:val="fontstyle01"/>
          <w:rFonts w:hint="default"/>
          <w:sz w:val="24"/>
        </w:rPr>
        <w:t>公司及</w:t>
      </w:r>
      <w:r w:rsidR="001A2483">
        <w:rPr>
          <w:rStyle w:val="fontstyle01"/>
          <w:rFonts w:hint="default"/>
          <w:sz w:val="24"/>
        </w:rPr>
        <w:t>控股</w:t>
      </w:r>
      <w:r>
        <w:rPr>
          <w:rStyle w:val="fontstyle01"/>
          <w:rFonts w:hint="default"/>
          <w:sz w:val="24"/>
        </w:rPr>
        <w:t>子公司海外业务涉及到美元、欧元</w:t>
      </w:r>
      <w:r w:rsidR="00C83D56">
        <w:rPr>
          <w:rStyle w:val="fontstyle01"/>
          <w:rFonts w:hint="default"/>
          <w:sz w:val="24"/>
        </w:rPr>
        <w:t>等外币</w:t>
      </w:r>
      <w:r w:rsidR="001713E4" w:rsidRPr="001713E4">
        <w:rPr>
          <w:rStyle w:val="fontstyle01"/>
          <w:rFonts w:hint="default"/>
          <w:sz w:val="24"/>
        </w:rPr>
        <w:t>结算，</w:t>
      </w:r>
      <w:r w:rsidR="00C83D56" w:rsidRPr="00C83D56">
        <w:rPr>
          <w:rStyle w:val="fontstyle01"/>
          <w:rFonts w:hint="default"/>
          <w:sz w:val="24"/>
        </w:rPr>
        <w:t>为有效规避外汇市场的风险，防范汇率大幅波动对公司造成不良影响，公司遵循稳健原则，不以投机为目的，在不影响公司主营业务发展和资金使用安排的前提下，</w:t>
      </w:r>
      <w:r w:rsidR="009247EE">
        <w:rPr>
          <w:rStyle w:val="fontstyle01"/>
          <w:rFonts w:hint="default"/>
          <w:sz w:val="24"/>
        </w:rPr>
        <w:t>公司及</w:t>
      </w:r>
      <w:r w:rsidR="001A2483">
        <w:rPr>
          <w:rStyle w:val="fontstyle01"/>
          <w:rFonts w:hint="default"/>
          <w:sz w:val="24"/>
        </w:rPr>
        <w:t>控股</w:t>
      </w:r>
      <w:r w:rsidR="009247EE">
        <w:rPr>
          <w:rStyle w:val="fontstyle01"/>
          <w:rFonts w:hint="default"/>
          <w:sz w:val="24"/>
        </w:rPr>
        <w:t>子</w:t>
      </w:r>
      <w:r w:rsidR="00AF6253">
        <w:rPr>
          <w:rStyle w:val="fontstyle01"/>
          <w:rFonts w:hint="default"/>
          <w:sz w:val="24"/>
        </w:rPr>
        <w:t>公司</w:t>
      </w:r>
      <w:r w:rsidR="001713E4" w:rsidRPr="001713E4">
        <w:rPr>
          <w:rStyle w:val="fontstyle01"/>
          <w:rFonts w:hint="default"/>
          <w:sz w:val="24"/>
        </w:rPr>
        <w:t>开展外汇套期保值业务。</w:t>
      </w:r>
      <w:r w:rsidR="003855B8" w:rsidRPr="003855B8">
        <w:rPr>
          <w:rStyle w:val="fontstyle01"/>
          <w:rFonts w:hint="default"/>
          <w:sz w:val="24"/>
        </w:rPr>
        <w:t>套期保值业务以正常的本外币收支业务为背景，以具体贸易合同为依托，交易金额</w:t>
      </w:r>
      <w:r w:rsidR="00616910">
        <w:rPr>
          <w:rStyle w:val="fontstyle01"/>
          <w:rFonts w:hint="default"/>
          <w:sz w:val="24"/>
        </w:rPr>
        <w:t>、交易期限</w:t>
      </w:r>
      <w:r w:rsidR="00393D37">
        <w:rPr>
          <w:rStyle w:val="fontstyle01"/>
          <w:rFonts w:hint="default"/>
          <w:sz w:val="24"/>
        </w:rPr>
        <w:t>与实际业务需求或者风险敞口相匹配，以合理安排使用资金</w:t>
      </w:r>
      <w:r w:rsidR="00616910">
        <w:rPr>
          <w:rStyle w:val="fontstyle01"/>
          <w:rFonts w:hint="default"/>
          <w:sz w:val="24"/>
        </w:rPr>
        <w:t>。</w:t>
      </w:r>
    </w:p>
    <w:p w14:paraId="437E5063" w14:textId="0C59F7C8" w:rsidR="00C83D56" w:rsidRPr="00393D37" w:rsidRDefault="00393D37" w:rsidP="00393D37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>
        <w:rPr>
          <w:rStyle w:val="fontstyle01"/>
          <w:rFonts w:hint="default"/>
          <w:b/>
          <w:sz w:val="24"/>
        </w:rPr>
        <w:t>（二）</w:t>
      </w:r>
      <w:r w:rsidR="00C83D56" w:rsidRPr="00393D37">
        <w:rPr>
          <w:rStyle w:val="fontstyle01"/>
          <w:rFonts w:hint="default"/>
          <w:b/>
          <w:sz w:val="24"/>
        </w:rPr>
        <w:t>交易金额</w:t>
      </w:r>
    </w:p>
    <w:p w14:paraId="6D263262" w14:textId="7E9AD8EF" w:rsidR="00BD6799" w:rsidRDefault="00BD6799" w:rsidP="002E56E3">
      <w:pPr>
        <w:widowControl/>
        <w:spacing w:line="360" w:lineRule="auto"/>
        <w:ind w:firstLineChars="200" w:firstLine="480"/>
        <w:rPr>
          <w:rStyle w:val="fontstyle01"/>
          <w:rFonts w:hint="default"/>
          <w:b/>
          <w:sz w:val="24"/>
        </w:rPr>
      </w:pPr>
      <w:r w:rsidRPr="00BD6799">
        <w:rPr>
          <w:rStyle w:val="fontstyle01"/>
          <w:rFonts w:hint="default"/>
          <w:sz w:val="24"/>
        </w:rPr>
        <w:t>根据公司经营及业务需求情况，</w:t>
      </w:r>
      <w:r w:rsidR="00B11F1A">
        <w:rPr>
          <w:rStyle w:val="fontstyle01"/>
          <w:rFonts w:hint="default"/>
          <w:sz w:val="24"/>
        </w:rPr>
        <w:t>2025年度</w:t>
      </w:r>
      <w:r w:rsidR="009247EE">
        <w:rPr>
          <w:rStyle w:val="fontstyle01"/>
          <w:rFonts w:hint="default"/>
          <w:sz w:val="24"/>
        </w:rPr>
        <w:t>公司及</w:t>
      </w:r>
      <w:r w:rsidR="001A2483">
        <w:rPr>
          <w:rStyle w:val="fontstyle01"/>
          <w:rFonts w:hint="default"/>
          <w:sz w:val="24"/>
        </w:rPr>
        <w:t>控股</w:t>
      </w:r>
      <w:r>
        <w:rPr>
          <w:rStyle w:val="fontstyle01"/>
          <w:rFonts w:hint="default"/>
          <w:sz w:val="24"/>
        </w:rPr>
        <w:t>子</w:t>
      </w:r>
      <w:r w:rsidRPr="00BD6799">
        <w:rPr>
          <w:rStyle w:val="fontstyle01"/>
          <w:rFonts w:hint="default"/>
          <w:sz w:val="24"/>
        </w:rPr>
        <w:t>公司拟开展外汇套期保值业务</w:t>
      </w:r>
      <w:r w:rsidR="00031F59">
        <w:rPr>
          <w:rStyle w:val="fontstyle01"/>
          <w:rFonts w:hint="default"/>
          <w:sz w:val="24"/>
        </w:rPr>
        <w:t>在任一时点</w:t>
      </w:r>
      <w:r w:rsidRPr="00BD6799">
        <w:rPr>
          <w:rStyle w:val="fontstyle01"/>
          <w:rFonts w:hint="default"/>
          <w:sz w:val="24"/>
        </w:rPr>
        <w:t>的</w:t>
      </w:r>
      <w:r w:rsidR="000E272A">
        <w:rPr>
          <w:rStyle w:val="fontstyle01"/>
          <w:rFonts w:hint="default"/>
          <w:sz w:val="24"/>
        </w:rPr>
        <w:t>总</w:t>
      </w:r>
      <w:r w:rsidR="009247EE">
        <w:rPr>
          <w:rStyle w:val="fontstyle01"/>
          <w:rFonts w:hint="default"/>
          <w:sz w:val="24"/>
        </w:rPr>
        <w:t>金额</w:t>
      </w:r>
      <w:r w:rsidR="00031F59">
        <w:rPr>
          <w:rStyle w:val="fontstyle01"/>
          <w:rFonts w:hint="default"/>
          <w:sz w:val="24"/>
        </w:rPr>
        <w:t>合</w:t>
      </w:r>
      <w:r w:rsidR="00031F59" w:rsidRPr="00D81ED2">
        <w:rPr>
          <w:rStyle w:val="fontstyle01"/>
          <w:rFonts w:hint="default"/>
          <w:sz w:val="24"/>
        </w:rPr>
        <w:t>计</w:t>
      </w:r>
      <w:r w:rsidR="00AE7A27" w:rsidRPr="00D81ED2">
        <w:rPr>
          <w:rStyle w:val="fontstyle01"/>
          <w:rFonts w:hint="default"/>
          <w:sz w:val="24"/>
        </w:rPr>
        <w:t>不超过</w:t>
      </w:r>
      <w:r w:rsidR="00D81ED2" w:rsidRPr="00D81ED2">
        <w:rPr>
          <w:rStyle w:val="fontstyle01"/>
          <w:rFonts w:hint="default"/>
          <w:kern w:val="0"/>
          <w:sz w:val="24"/>
        </w:rPr>
        <w:t>10亿元人民币</w:t>
      </w:r>
      <w:r w:rsidR="00FB04A5" w:rsidRPr="00FB04A5">
        <w:rPr>
          <w:rStyle w:val="fontstyle01"/>
          <w:rFonts w:hint="default"/>
          <w:kern w:val="0"/>
          <w:sz w:val="24"/>
        </w:rPr>
        <w:t>或等值外币</w:t>
      </w:r>
      <w:r w:rsidR="00AE7A27" w:rsidRPr="00D81ED2">
        <w:rPr>
          <w:rStyle w:val="fontstyle01"/>
          <w:rFonts w:hint="default"/>
          <w:sz w:val="24"/>
        </w:rPr>
        <w:t>，</w:t>
      </w:r>
      <w:r w:rsidRPr="00BD6799">
        <w:rPr>
          <w:rStyle w:val="fontstyle01"/>
          <w:rFonts w:hint="default"/>
          <w:sz w:val="24"/>
        </w:rPr>
        <w:t>签订相关协议需要缴纳一定比例的保证金，缴纳的保证金比例根据具体协议确定。</w:t>
      </w:r>
      <w:r w:rsidR="002E56E3" w:rsidRPr="001713E4">
        <w:rPr>
          <w:rStyle w:val="fontstyle01"/>
          <w:rFonts w:hint="default"/>
          <w:sz w:val="24"/>
        </w:rPr>
        <w:t>上述额度</w:t>
      </w:r>
      <w:r>
        <w:rPr>
          <w:rStyle w:val="fontstyle01"/>
          <w:rFonts w:hint="default"/>
          <w:sz w:val="24"/>
        </w:rPr>
        <w:t>在审批期限内</w:t>
      </w:r>
      <w:r w:rsidR="002E56E3" w:rsidRPr="001713E4">
        <w:rPr>
          <w:rStyle w:val="fontstyle01"/>
          <w:rFonts w:hint="default"/>
          <w:sz w:val="24"/>
        </w:rPr>
        <w:t>可循环滚动使用。</w:t>
      </w:r>
    </w:p>
    <w:p w14:paraId="17815327" w14:textId="31A2E264" w:rsidR="002E56E3" w:rsidRPr="00393D37" w:rsidRDefault="00393D37" w:rsidP="00393D37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>
        <w:rPr>
          <w:rStyle w:val="fontstyle01"/>
          <w:rFonts w:hint="default"/>
          <w:b/>
          <w:sz w:val="24"/>
        </w:rPr>
        <w:t>（三）</w:t>
      </w:r>
      <w:r w:rsidR="002E56E3" w:rsidRPr="00393D37">
        <w:rPr>
          <w:rStyle w:val="fontstyle01"/>
          <w:rFonts w:hint="default"/>
          <w:b/>
          <w:sz w:val="24"/>
        </w:rPr>
        <w:t>交易方式</w:t>
      </w:r>
    </w:p>
    <w:p w14:paraId="22B66EE0" w14:textId="60A74966" w:rsidR="002E56E3" w:rsidRDefault="001A2483" w:rsidP="002E56E3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公司及控股</w:t>
      </w:r>
      <w:r w:rsidR="002E56E3" w:rsidRPr="002E56E3">
        <w:rPr>
          <w:rStyle w:val="fontstyle01"/>
          <w:rFonts w:hint="default"/>
          <w:sz w:val="24"/>
        </w:rPr>
        <w:t>子公司开展外汇套期保值业务的交易场所为经监管机构批准、具有相应业务资质的银行</w:t>
      </w:r>
      <w:r w:rsidR="00E32CC9">
        <w:rPr>
          <w:rStyle w:val="fontstyle01"/>
          <w:rFonts w:hint="default"/>
          <w:sz w:val="24"/>
        </w:rPr>
        <w:t>等金融机构。交易品种为</w:t>
      </w:r>
      <w:r w:rsidR="009247EE">
        <w:rPr>
          <w:rStyle w:val="fontstyle01"/>
          <w:rFonts w:hint="default"/>
          <w:sz w:val="24"/>
        </w:rPr>
        <w:t>公司及</w:t>
      </w:r>
      <w:r>
        <w:rPr>
          <w:rStyle w:val="fontstyle01"/>
          <w:rFonts w:hint="default"/>
          <w:sz w:val="24"/>
        </w:rPr>
        <w:t>控股</w:t>
      </w:r>
      <w:r w:rsidR="00E32CC9">
        <w:rPr>
          <w:rStyle w:val="fontstyle01"/>
          <w:rFonts w:hint="default"/>
          <w:sz w:val="24"/>
        </w:rPr>
        <w:t>子公司海外业务涉及的美元、欧元</w:t>
      </w:r>
      <w:r w:rsidR="002E56E3" w:rsidRPr="002E56E3">
        <w:rPr>
          <w:rStyle w:val="fontstyle01"/>
          <w:rFonts w:hint="default"/>
          <w:sz w:val="24"/>
        </w:rPr>
        <w:t>等外汇。交易工具包括但不限于远期结售汇、外汇掉期、外汇期权、利率互换等</w:t>
      </w:r>
      <w:r w:rsidR="009247EE">
        <w:rPr>
          <w:rStyle w:val="fontstyle01"/>
          <w:rFonts w:hint="default"/>
          <w:sz w:val="24"/>
        </w:rPr>
        <w:t>单一品种</w:t>
      </w:r>
      <w:r w:rsidR="002E56E3" w:rsidRPr="002E56E3">
        <w:rPr>
          <w:rStyle w:val="fontstyle01"/>
          <w:rFonts w:hint="default"/>
          <w:sz w:val="24"/>
        </w:rPr>
        <w:t>或上述产品的组合。</w:t>
      </w:r>
    </w:p>
    <w:p w14:paraId="14B6AAEA" w14:textId="6057DDDE" w:rsidR="003D032F" w:rsidRPr="00393D37" w:rsidRDefault="00393D37" w:rsidP="00393D37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>
        <w:rPr>
          <w:rStyle w:val="fontstyle01"/>
          <w:rFonts w:hint="default"/>
          <w:b/>
          <w:sz w:val="24"/>
        </w:rPr>
        <w:t>（四）</w:t>
      </w:r>
      <w:r w:rsidR="003D032F" w:rsidRPr="00393D37">
        <w:rPr>
          <w:rStyle w:val="fontstyle01"/>
          <w:rFonts w:hint="default"/>
          <w:b/>
          <w:sz w:val="24"/>
        </w:rPr>
        <w:t>交易期限</w:t>
      </w:r>
    </w:p>
    <w:p w14:paraId="1A0ACE49" w14:textId="5842D48C" w:rsidR="003D032F" w:rsidRDefault="00357DC7" w:rsidP="002E56E3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E1655B">
        <w:rPr>
          <w:rStyle w:val="fontstyle01"/>
          <w:rFonts w:hint="default"/>
          <w:sz w:val="24"/>
        </w:rPr>
        <w:t>自股东大会审议通过之日起</w:t>
      </w:r>
      <w:r>
        <w:rPr>
          <w:rStyle w:val="fontstyle01"/>
          <w:rFonts w:hint="default"/>
          <w:sz w:val="24"/>
        </w:rPr>
        <w:t>至2025年12月31日</w:t>
      </w:r>
      <w:r w:rsidR="00031F59">
        <w:rPr>
          <w:rStyle w:val="fontstyle01"/>
          <w:rFonts w:hint="default"/>
          <w:sz w:val="24"/>
        </w:rPr>
        <w:t>。</w:t>
      </w:r>
    </w:p>
    <w:p w14:paraId="7B9ACD25" w14:textId="0796AFDE" w:rsidR="003D032F" w:rsidRPr="00393D37" w:rsidRDefault="00393D37" w:rsidP="00393D37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>
        <w:rPr>
          <w:rStyle w:val="fontstyle01"/>
          <w:rFonts w:hint="default"/>
          <w:b/>
          <w:sz w:val="24"/>
        </w:rPr>
        <w:t>（五）</w:t>
      </w:r>
      <w:r w:rsidR="003D032F" w:rsidRPr="00393D37">
        <w:rPr>
          <w:rStyle w:val="fontstyle01"/>
          <w:rFonts w:hint="default"/>
          <w:b/>
          <w:sz w:val="24"/>
        </w:rPr>
        <w:t>资金来源</w:t>
      </w:r>
    </w:p>
    <w:p w14:paraId="4BC85A9F" w14:textId="13A8A3F5" w:rsidR="002E56E3" w:rsidRPr="003855B8" w:rsidRDefault="003D032F" w:rsidP="003855B8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3D032F">
        <w:rPr>
          <w:rStyle w:val="fontstyle01"/>
          <w:rFonts w:hint="default"/>
          <w:sz w:val="24"/>
        </w:rPr>
        <w:t>外汇套期保值业务只限于使用</w:t>
      </w:r>
      <w:r w:rsidR="00031F59">
        <w:rPr>
          <w:rStyle w:val="fontstyle01"/>
          <w:rFonts w:hint="default"/>
          <w:sz w:val="24"/>
        </w:rPr>
        <w:t>公司及控股</w:t>
      </w:r>
      <w:r>
        <w:rPr>
          <w:rStyle w:val="fontstyle01"/>
          <w:rFonts w:hint="default"/>
          <w:sz w:val="24"/>
        </w:rPr>
        <w:t>子</w:t>
      </w:r>
      <w:r w:rsidRPr="003D032F">
        <w:rPr>
          <w:rStyle w:val="fontstyle01"/>
          <w:rFonts w:hint="default"/>
          <w:sz w:val="24"/>
        </w:rPr>
        <w:t>公司外币收入的自有资金，不涉及使用募集资金或银行信贷资金。</w:t>
      </w:r>
    </w:p>
    <w:p w14:paraId="4B5735C1" w14:textId="6B53AED5" w:rsidR="003B325A" w:rsidRPr="006F0D32" w:rsidRDefault="00BD2099" w:rsidP="003B325A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b/>
          <w:sz w:val="24"/>
        </w:rPr>
        <w:t>二</w:t>
      </w:r>
      <w:r w:rsidR="003B325A">
        <w:rPr>
          <w:rStyle w:val="fontstyle01"/>
          <w:rFonts w:hint="default"/>
          <w:b/>
          <w:sz w:val="24"/>
        </w:rPr>
        <w:t>、</w:t>
      </w:r>
      <w:r>
        <w:rPr>
          <w:rStyle w:val="fontstyle01"/>
          <w:rFonts w:hint="default"/>
          <w:b/>
          <w:sz w:val="24"/>
        </w:rPr>
        <w:t>审议程序</w:t>
      </w:r>
    </w:p>
    <w:p w14:paraId="6BB61423" w14:textId="4F7C9634" w:rsidR="00BD2B26" w:rsidRDefault="0063328F" w:rsidP="00206577">
      <w:pPr>
        <w:widowControl/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Fonts w:ascii="宋体" w:hAnsi="宋体" w:hint="eastAsia"/>
          <w:sz w:val="24"/>
        </w:rPr>
        <w:lastRenderedPageBreak/>
        <w:t>公司</w:t>
      </w:r>
      <w:r w:rsidR="00F63D0A">
        <w:rPr>
          <w:rFonts w:ascii="宋体" w:hAnsi="宋体" w:hint="eastAsia"/>
          <w:sz w:val="24"/>
        </w:rPr>
        <w:t>第七届</w:t>
      </w:r>
      <w:r w:rsidRPr="003451B4">
        <w:rPr>
          <w:rFonts w:ascii="宋体" w:hAnsi="宋体" w:hint="eastAsia"/>
          <w:sz w:val="24"/>
        </w:rPr>
        <w:t>董事会</w:t>
      </w:r>
      <w:r w:rsidR="00F63D0A">
        <w:rPr>
          <w:rFonts w:ascii="宋体" w:hAnsi="宋体" w:hint="eastAsia"/>
          <w:sz w:val="24"/>
        </w:rPr>
        <w:t>2025</w:t>
      </w:r>
      <w:r>
        <w:rPr>
          <w:rFonts w:ascii="宋体" w:hAnsi="宋体" w:hint="eastAsia"/>
          <w:sz w:val="24"/>
        </w:rPr>
        <w:t>年第一</w:t>
      </w:r>
      <w:r w:rsidRPr="003451B4">
        <w:rPr>
          <w:rFonts w:ascii="宋体" w:hAnsi="宋体" w:hint="eastAsia"/>
          <w:sz w:val="24"/>
        </w:rPr>
        <w:t>次临时会议审议通过了</w:t>
      </w:r>
      <w:r w:rsidRPr="001713E4">
        <w:rPr>
          <w:rFonts w:ascii="宋体" w:hAnsi="宋体" w:hint="eastAsia"/>
          <w:sz w:val="24"/>
        </w:rPr>
        <w:t>《关于</w:t>
      </w:r>
      <w:r w:rsidR="000160A7">
        <w:rPr>
          <w:rFonts w:ascii="宋体" w:hAnsi="宋体" w:hint="eastAsia"/>
          <w:sz w:val="24"/>
        </w:rPr>
        <w:t>2025</w:t>
      </w:r>
      <w:r w:rsidR="000160A7" w:rsidRPr="001713E4">
        <w:rPr>
          <w:rFonts w:ascii="宋体" w:hAnsi="宋体" w:hint="eastAsia"/>
          <w:sz w:val="24"/>
        </w:rPr>
        <w:t>年度</w:t>
      </w:r>
      <w:r w:rsidR="001A2483">
        <w:rPr>
          <w:rFonts w:ascii="宋体" w:hAnsi="宋体" w:hint="eastAsia"/>
          <w:sz w:val="24"/>
        </w:rPr>
        <w:t>公司及控股</w:t>
      </w:r>
      <w:r w:rsidRPr="001713E4">
        <w:rPr>
          <w:rFonts w:ascii="宋体" w:hAnsi="宋体" w:hint="eastAsia"/>
          <w:sz w:val="24"/>
        </w:rPr>
        <w:t>子公司开展外汇套期保值业务的议案》</w:t>
      </w:r>
      <w:r w:rsidRPr="003451B4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该议案尚需</w:t>
      </w:r>
      <w:r w:rsidR="00546ADD" w:rsidRPr="00E72F2C">
        <w:rPr>
          <w:rStyle w:val="fontstyle01"/>
          <w:rFonts w:hint="default"/>
          <w:sz w:val="24"/>
        </w:rPr>
        <w:t>提交</w:t>
      </w:r>
      <w:r w:rsidR="00546ADD">
        <w:rPr>
          <w:rStyle w:val="fontstyle01"/>
          <w:rFonts w:hint="default"/>
          <w:sz w:val="24"/>
        </w:rPr>
        <w:t>公司</w:t>
      </w:r>
      <w:r w:rsidR="00546ADD" w:rsidRPr="00E72F2C">
        <w:rPr>
          <w:rStyle w:val="fontstyle01"/>
          <w:rFonts w:hint="default"/>
          <w:sz w:val="24"/>
        </w:rPr>
        <w:t>股东大会审议</w:t>
      </w:r>
      <w:r w:rsidR="00546ADD">
        <w:rPr>
          <w:rStyle w:val="fontstyle01"/>
          <w:rFonts w:hint="default"/>
          <w:sz w:val="24"/>
        </w:rPr>
        <w:t>。</w:t>
      </w:r>
      <w:r w:rsidR="00331D19" w:rsidRPr="00331D19">
        <w:rPr>
          <w:rStyle w:val="fontstyle01"/>
          <w:rFonts w:hint="default"/>
          <w:sz w:val="24"/>
        </w:rPr>
        <w:t>相关业务不构成关联交易，无需履行关联交易审议程序。</w:t>
      </w:r>
    </w:p>
    <w:p w14:paraId="432F798D" w14:textId="4929FA05" w:rsidR="003B325A" w:rsidRPr="006F0D32" w:rsidRDefault="008D2D5E" w:rsidP="003B325A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b/>
          <w:sz w:val="24"/>
        </w:rPr>
        <w:t>三</w:t>
      </w:r>
      <w:r w:rsidR="003B325A">
        <w:rPr>
          <w:rStyle w:val="fontstyle01"/>
          <w:rFonts w:hint="default"/>
          <w:b/>
          <w:sz w:val="24"/>
        </w:rPr>
        <w:t>、</w:t>
      </w:r>
      <w:r>
        <w:rPr>
          <w:rStyle w:val="fontstyle01"/>
          <w:rFonts w:hint="default"/>
          <w:b/>
          <w:sz w:val="24"/>
        </w:rPr>
        <w:t>交易</w:t>
      </w:r>
      <w:r w:rsidR="001713E4" w:rsidRPr="001713E4">
        <w:rPr>
          <w:rStyle w:val="fontstyle01"/>
          <w:rFonts w:hint="default"/>
          <w:b/>
          <w:sz w:val="24"/>
        </w:rPr>
        <w:t>风险分析</w:t>
      </w:r>
      <w:r w:rsidR="00145679">
        <w:rPr>
          <w:rStyle w:val="fontstyle01"/>
          <w:rFonts w:hint="default"/>
          <w:b/>
          <w:sz w:val="24"/>
        </w:rPr>
        <w:t>和</w:t>
      </w:r>
      <w:r>
        <w:rPr>
          <w:rStyle w:val="fontstyle01"/>
          <w:rFonts w:hint="default"/>
          <w:b/>
          <w:sz w:val="24"/>
        </w:rPr>
        <w:t>风控措施</w:t>
      </w:r>
    </w:p>
    <w:p w14:paraId="27CDF8BB" w14:textId="50F6E830" w:rsidR="000340E1" w:rsidRPr="007D5825" w:rsidRDefault="000340E1" w:rsidP="007D5825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7D5825">
        <w:rPr>
          <w:rStyle w:val="fontstyle01"/>
          <w:rFonts w:hint="default"/>
          <w:b/>
          <w:sz w:val="24"/>
        </w:rPr>
        <w:t>（一）交易风险分析</w:t>
      </w:r>
    </w:p>
    <w:p w14:paraId="0F56F35D" w14:textId="0260991E" w:rsidR="001713E4" w:rsidRPr="001713E4" w:rsidRDefault="001A2483" w:rsidP="001713E4">
      <w:pPr>
        <w:widowControl/>
        <w:spacing w:line="360" w:lineRule="auto"/>
        <w:ind w:firstLineChars="200" w:firstLine="480"/>
        <w:jc w:val="left"/>
        <w:rPr>
          <w:rStyle w:val="fontstyle01"/>
          <w:rFonts w:hint="default"/>
          <w:sz w:val="24"/>
        </w:rPr>
      </w:pPr>
      <w:r>
        <w:rPr>
          <w:rStyle w:val="fontstyle01"/>
          <w:rFonts w:hint="default"/>
          <w:sz w:val="24"/>
        </w:rPr>
        <w:t>公司及控股</w:t>
      </w:r>
      <w:r w:rsidR="00F2601B">
        <w:rPr>
          <w:rStyle w:val="fontstyle01"/>
          <w:rFonts w:hint="default"/>
          <w:sz w:val="24"/>
        </w:rPr>
        <w:t>子</w:t>
      </w:r>
      <w:r w:rsidR="00AF794D">
        <w:rPr>
          <w:rStyle w:val="fontstyle01"/>
          <w:rFonts w:hint="default"/>
          <w:sz w:val="24"/>
        </w:rPr>
        <w:t>公司进行的</w:t>
      </w:r>
      <w:r w:rsidR="001713E4" w:rsidRPr="001713E4">
        <w:rPr>
          <w:rStyle w:val="fontstyle01"/>
          <w:rFonts w:hint="default"/>
          <w:sz w:val="24"/>
        </w:rPr>
        <w:t>外汇套期保值业务遵循的是锁定汇率、套期保值的原则，</w:t>
      </w:r>
      <w:r w:rsidR="00AF794D" w:rsidRPr="00AF794D">
        <w:rPr>
          <w:rStyle w:val="fontstyle01"/>
          <w:rFonts w:hint="default"/>
          <w:sz w:val="24"/>
        </w:rPr>
        <w:t>不进行以投机为目的的外汇交易，所有外汇套期保值业务均以正常生产经营为基础，以具体经营业务为依托，以规避和防范汇率风险为目的。</w:t>
      </w:r>
      <w:r w:rsidR="00AF794D">
        <w:rPr>
          <w:rStyle w:val="fontstyle01"/>
          <w:rFonts w:hint="default"/>
          <w:sz w:val="24"/>
        </w:rPr>
        <w:t>但是外汇套期保值业务</w:t>
      </w:r>
      <w:r w:rsidR="001713E4" w:rsidRPr="001713E4">
        <w:rPr>
          <w:rStyle w:val="fontstyle01"/>
          <w:rFonts w:hint="default"/>
          <w:sz w:val="24"/>
        </w:rPr>
        <w:t>本身也具有一定风险，</w:t>
      </w:r>
      <w:r w:rsidR="00AF794D">
        <w:rPr>
          <w:rStyle w:val="fontstyle01"/>
          <w:rFonts w:hint="default"/>
          <w:sz w:val="24"/>
        </w:rPr>
        <w:t>主要包括：</w:t>
      </w:r>
    </w:p>
    <w:p w14:paraId="15C2E1CC" w14:textId="6379D1D5" w:rsidR="001713E4" w:rsidRPr="001713E4" w:rsidRDefault="001713E4" w:rsidP="001713E4">
      <w:pPr>
        <w:widowControl/>
        <w:spacing w:line="360" w:lineRule="auto"/>
        <w:ind w:firstLineChars="200" w:firstLine="480"/>
        <w:jc w:val="left"/>
        <w:rPr>
          <w:rStyle w:val="fontstyle01"/>
          <w:rFonts w:hint="default"/>
          <w:sz w:val="24"/>
        </w:rPr>
      </w:pPr>
      <w:r w:rsidRPr="001713E4">
        <w:rPr>
          <w:rStyle w:val="fontstyle01"/>
          <w:rFonts w:hint="default"/>
          <w:sz w:val="24"/>
        </w:rPr>
        <w:t>1、汇率大幅波动</w:t>
      </w:r>
      <w:r w:rsidR="00141FEB">
        <w:rPr>
          <w:rStyle w:val="fontstyle01"/>
          <w:rFonts w:hint="default"/>
          <w:sz w:val="24"/>
        </w:rPr>
        <w:t>背离预期</w:t>
      </w:r>
      <w:r w:rsidRPr="001713E4">
        <w:rPr>
          <w:rStyle w:val="fontstyle01"/>
          <w:rFonts w:hint="default"/>
          <w:sz w:val="24"/>
        </w:rPr>
        <w:t>风险：在外汇汇率变动较大时，公司研判汇率大幅波动方向与外汇套保合约方向不一致，造成汇兑损失</w:t>
      </w:r>
      <w:r w:rsidR="00C53D2A">
        <w:rPr>
          <w:rStyle w:val="fontstyle01"/>
          <w:rFonts w:hint="default"/>
          <w:sz w:val="24"/>
        </w:rPr>
        <w:t>；若汇率在未来未发生波动时，与外汇套保合约偏差较大造成汇兑损失；</w:t>
      </w:r>
    </w:p>
    <w:p w14:paraId="705D0C9F" w14:textId="4A7A72B7" w:rsidR="00BD2B26" w:rsidRDefault="001713E4" w:rsidP="001713E4">
      <w:pPr>
        <w:widowControl/>
        <w:spacing w:line="360" w:lineRule="auto"/>
        <w:ind w:firstLineChars="200" w:firstLine="480"/>
        <w:jc w:val="left"/>
        <w:rPr>
          <w:rStyle w:val="fontstyle01"/>
          <w:rFonts w:hint="default"/>
          <w:sz w:val="24"/>
        </w:rPr>
      </w:pPr>
      <w:r w:rsidRPr="001713E4">
        <w:rPr>
          <w:rStyle w:val="fontstyle01"/>
          <w:rFonts w:hint="default"/>
          <w:sz w:val="24"/>
        </w:rPr>
        <w:t>2、客户违约风险：当客户支付能力发生变化不能按时支付时，公司不能按时结汇，造成公司损失。</w:t>
      </w:r>
    </w:p>
    <w:p w14:paraId="3CBA34D6" w14:textId="466AC962" w:rsidR="00BB47C5" w:rsidRPr="007D5825" w:rsidRDefault="000340E1" w:rsidP="007D5825">
      <w:pPr>
        <w:widowControl/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</w:rPr>
      </w:pPr>
      <w:r w:rsidRPr="007D5825">
        <w:rPr>
          <w:rStyle w:val="fontstyle01"/>
          <w:rFonts w:hint="default"/>
          <w:b/>
          <w:sz w:val="24"/>
        </w:rPr>
        <w:t>（二）</w:t>
      </w:r>
      <w:r w:rsidR="001713E4" w:rsidRPr="007D5825">
        <w:rPr>
          <w:rStyle w:val="fontstyle01"/>
          <w:rFonts w:hint="default"/>
          <w:b/>
          <w:sz w:val="24"/>
        </w:rPr>
        <w:t>风险控制措施</w:t>
      </w:r>
    </w:p>
    <w:p w14:paraId="4E89BFFF" w14:textId="1003B91A" w:rsidR="001713E4" w:rsidRPr="001713E4" w:rsidRDefault="001713E4" w:rsidP="001713E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1713E4">
        <w:rPr>
          <w:rStyle w:val="fontstyle01"/>
          <w:rFonts w:hint="default"/>
          <w:sz w:val="24"/>
        </w:rPr>
        <w:t>1、公司已制定了《外汇套期保值管理制度》，</w:t>
      </w:r>
      <w:r w:rsidR="007800FA">
        <w:rPr>
          <w:rStyle w:val="fontstyle01"/>
          <w:rFonts w:hint="default"/>
          <w:sz w:val="24"/>
        </w:rPr>
        <w:t>对</w:t>
      </w:r>
      <w:r w:rsidRPr="001713E4">
        <w:rPr>
          <w:rStyle w:val="fontstyle01"/>
          <w:rFonts w:hint="default"/>
          <w:sz w:val="24"/>
        </w:rPr>
        <w:t>公司套期保值</w:t>
      </w:r>
      <w:r w:rsidR="007800FA">
        <w:rPr>
          <w:rStyle w:val="fontstyle01"/>
          <w:rFonts w:hint="default"/>
          <w:sz w:val="24"/>
        </w:rPr>
        <w:t>业务的操作原则</w:t>
      </w:r>
      <w:r w:rsidRPr="001713E4">
        <w:rPr>
          <w:rStyle w:val="fontstyle01"/>
          <w:rFonts w:hint="default"/>
          <w:sz w:val="24"/>
        </w:rPr>
        <w:t>、分级授权制度、</w:t>
      </w:r>
      <w:r w:rsidR="006208E5">
        <w:rPr>
          <w:rStyle w:val="fontstyle01"/>
          <w:rFonts w:hint="default"/>
          <w:sz w:val="24"/>
        </w:rPr>
        <w:t>内部控制</w:t>
      </w:r>
      <w:r w:rsidR="007800FA">
        <w:rPr>
          <w:rStyle w:val="fontstyle01"/>
          <w:rFonts w:hint="default"/>
          <w:sz w:val="24"/>
        </w:rPr>
        <w:t>流程、责任部门、信息隔离措施、风险报告及处理程序等作了</w:t>
      </w:r>
      <w:r w:rsidRPr="001713E4">
        <w:rPr>
          <w:rStyle w:val="fontstyle01"/>
          <w:rFonts w:hint="default"/>
          <w:sz w:val="24"/>
        </w:rPr>
        <w:t>明确</w:t>
      </w:r>
      <w:r w:rsidR="00BC51BB">
        <w:rPr>
          <w:rStyle w:val="fontstyle01"/>
          <w:rFonts w:hint="default"/>
          <w:sz w:val="24"/>
        </w:rPr>
        <w:t>规定，该制度符合监管部门的有关要求，满足实际操作的需要，相关</w:t>
      </w:r>
      <w:r w:rsidRPr="001713E4">
        <w:rPr>
          <w:rStyle w:val="fontstyle01"/>
          <w:rFonts w:hint="default"/>
          <w:sz w:val="24"/>
        </w:rPr>
        <w:t>风险控制措施是切实有效的。</w:t>
      </w:r>
    </w:p>
    <w:p w14:paraId="66697A25" w14:textId="18749B93" w:rsidR="00675820" w:rsidRPr="00675820" w:rsidRDefault="001713E4" w:rsidP="001713E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1713E4">
        <w:rPr>
          <w:rStyle w:val="fontstyle01"/>
          <w:rFonts w:hint="default"/>
          <w:sz w:val="24"/>
        </w:rPr>
        <w:t>2、</w:t>
      </w:r>
      <w:r w:rsidR="00675820" w:rsidRPr="00E95764">
        <w:rPr>
          <w:rStyle w:val="fontstyle01"/>
          <w:rFonts w:hint="default"/>
          <w:sz w:val="24"/>
        </w:rPr>
        <w:t>公司严格按照已制定的《外汇套期保值管理制度》，</w:t>
      </w:r>
      <w:r w:rsidR="00675820" w:rsidRPr="00675820">
        <w:rPr>
          <w:rStyle w:val="fontstyle01"/>
          <w:rFonts w:hint="default"/>
          <w:sz w:val="24"/>
        </w:rPr>
        <w:t>建立了外汇管理小组，配备了专岗人员开展具体工作，由总经理或小组组长担任负责人，公司财务部门及开展业务子公司财务部门负责具体业务操作，内部审计部门负责审查业务操作及资金使用情况。</w:t>
      </w:r>
    </w:p>
    <w:p w14:paraId="6E3E809A" w14:textId="12FFC801" w:rsidR="001713E4" w:rsidRPr="001713E4" w:rsidRDefault="001713E4" w:rsidP="001713E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1713E4">
        <w:rPr>
          <w:rStyle w:val="fontstyle01"/>
          <w:rFonts w:hint="default"/>
          <w:sz w:val="24"/>
        </w:rPr>
        <w:t>3、</w:t>
      </w:r>
      <w:r w:rsidR="009C157E">
        <w:rPr>
          <w:rStyle w:val="fontstyle01"/>
          <w:rFonts w:hint="default"/>
          <w:sz w:val="24"/>
        </w:rPr>
        <w:t>公司</w:t>
      </w:r>
      <w:r w:rsidRPr="001713E4">
        <w:rPr>
          <w:rStyle w:val="fontstyle01"/>
          <w:rFonts w:hint="default"/>
          <w:sz w:val="24"/>
        </w:rPr>
        <w:t>严格控制套期保值的资金规模，外汇远期交易必须基于营销部门制订的外币收款计划，公司全年外汇套期</w:t>
      </w:r>
      <w:r w:rsidR="00A56D30">
        <w:rPr>
          <w:rStyle w:val="fontstyle01"/>
          <w:rFonts w:hint="default"/>
          <w:sz w:val="24"/>
        </w:rPr>
        <w:t>保值累计发生额限制在公司出口业务预测量之内，严格按照公司外汇套期保值</w:t>
      </w:r>
      <w:r w:rsidRPr="001713E4">
        <w:rPr>
          <w:rStyle w:val="fontstyle01"/>
          <w:rFonts w:hint="default"/>
          <w:sz w:val="24"/>
        </w:rPr>
        <w:t>管理制度中规定权限下达操作指令，根据规定进行审批后，方可进行操作。</w:t>
      </w:r>
    </w:p>
    <w:p w14:paraId="03CCBD98" w14:textId="3963F11C" w:rsidR="001713E4" w:rsidRDefault="00D27848" w:rsidP="001713E4">
      <w:pPr>
        <w:spacing w:beforeLines="50" w:before="156" w:afterLines="50" w:after="156" w:line="360" w:lineRule="auto"/>
        <w:ind w:firstLineChars="200" w:firstLine="482"/>
        <w:rPr>
          <w:b/>
          <w:color w:val="000000"/>
          <w:sz w:val="24"/>
          <w:szCs w:val="28"/>
        </w:rPr>
      </w:pPr>
      <w:r>
        <w:rPr>
          <w:rStyle w:val="fontstyle01"/>
          <w:rFonts w:hint="default"/>
          <w:b/>
          <w:sz w:val="24"/>
        </w:rPr>
        <w:lastRenderedPageBreak/>
        <w:t>四</w:t>
      </w:r>
      <w:r w:rsidR="001713E4" w:rsidRPr="007A4512">
        <w:rPr>
          <w:rStyle w:val="fontstyle01"/>
          <w:rFonts w:hint="default"/>
          <w:b/>
          <w:sz w:val="24"/>
        </w:rPr>
        <w:t>、</w:t>
      </w:r>
      <w:r>
        <w:rPr>
          <w:rStyle w:val="fontstyle01"/>
          <w:rFonts w:hint="default"/>
          <w:b/>
          <w:sz w:val="24"/>
        </w:rPr>
        <w:t>交易相关会计处理</w:t>
      </w:r>
    </w:p>
    <w:p w14:paraId="354CCFD8" w14:textId="13239C88" w:rsidR="007D5825" w:rsidRDefault="007D5825" w:rsidP="001713E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C22A6">
        <w:rPr>
          <w:rFonts w:ascii="宋体" w:hAnsi="宋体" w:hint="eastAsia"/>
          <w:color w:val="000000"/>
          <w:sz w:val="24"/>
          <w:szCs w:val="28"/>
        </w:rPr>
        <w:t>公司开展</w:t>
      </w:r>
      <w:r>
        <w:rPr>
          <w:rFonts w:ascii="宋体" w:hAnsi="宋体" w:hint="eastAsia"/>
          <w:color w:val="000000"/>
          <w:sz w:val="24"/>
          <w:szCs w:val="28"/>
        </w:rPr>
        <w:t>外汇</w:t>
      </w:r>
      <w:r w:rsidRPr="009C22A6">
        <w:rPr>
          <w:rFonts w:ascii="宋体" w:hAnsi="宋体" w:hint="eastAsia"/>
          <w:color w:val="000000"/>
          <w:sz w:val="24"/>
          <w:szCs w:val="28"/>
        </w:rPr>
        <w:t>套期保值业务，</w:t>
      </w:r>
      <w:r>
        <w:rPr>
          <w:rStyle w:val="fontstyle01"/>
          <w:rFonts w:hint="default"/>
          <w:sz w:val="24"/>
        </w:rPr>
        <w:t>可</w:t>
      </w:r>
      <w:r w:rsidRPr="00C83D56">
        <w:rPr>
          <w:rStyle w:val="fontstyle01"/>
          <w:rFonts w:hint="default"/>
          <w:sz w:val="24"/>
        </w:rPr>
        <w:t>有效规避外汇市场的风险，防范汇率大幅波动对公司造成不良影响</w:t>
      </w:r>
      <w:r>
        <w:rPr>
          <w:rStyle w:val="fontstyle01"/>
          <w:rFonts w:hint="default"/>
          <w:sz w:val="24"/>
        </w:rPr>
        <w:t>，</w:t>
      </w:r>
      <w:r w:rsidRPr="009C22A6">
        <w:rPr>
          <w:rFonts w:ascii="宋体" w:hAnsi="宋体" w:hint="eastAsia"/>
          <w:color w:val="000000"/>
          <w:sz w:val="24"/>
          <w:szCs w:val="28"/>
        </w:rPr>
        <w:t>实现长期稳定经营与发展。</w:t>
      </w:r>
    </w:p>
    <w:p w14:paraId="6092317B" w14:textId="1A445148" w:rsidR="001713E4" w:rsidRDefault="007D5825" w:rsidP="001713E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8"/>
        </w:rPr>
      </w:pPr>
      <w:r>
        <w:rPr>
          <w:rFonts w:ascii="宋体" w:hAnsi="宋体" w:hint="eastAsia"/>
          <w:color w:val="000000"/>
          <w:sz w:val="24"/>
          <w:szCs w:val="28"/>
        </w:rPr>
        <w:t>公司</w:t>
      </w:r>
      <w:r w:rsidR="00D27848" w:rsidRPr="00D27848">
        <w:rPr>
          <w:rFonts w:ascii="宋体" w:hAnsi="宋体" w:hint="eastAsia"/>
          <w:color w:val="000000"/>
          <w:sz w:val="24"/>
          <w:szCs w:val="28"/>
        </w:rPr>
        <w:t>根据《企业会计准则第22号</w:t>
      </w:r>
      <w:r w:rsidR="00A142A0">
        <w:rPr>
          <w:rFonts w:ascii="宋体" w:hAnsi="宋体" w:hint="eastAsia"/>
          <w:color w:val="000000"/>
          <w:sz w:val="24"/>
          <w:szCs w:val="28"/>
        </w:rPr>
        <w:t>——</w:t>
      </w:r>
      <w:r>
        <w:rPr>
          <w:rFonts w:ascii="宋体" w:hAnsi="宋体" w:hint="eastAsia"/>
          <w:color w:val="000000"/>
          <w:sz w:val="24"/>
          <w:szCs w:val="28"/>
        </w:rPr>
        <w:t>金融工具确认和计量》</w:t>
      </w:r>
      <w:r w:rsidR="00D27848" w:rsidRPr="00D27848">
        <w:rPr>
          <w:rFonts w:ascii="宋体" w:hAnsi="宋体" w:hint="eastAsia"/>
          <w:color w:val="000000"/>
          <w:sz w:val="24"/>
          <w:szCs w:val="28"/>
        </w:rPr>
        <w:t>《企业会计准则第24号</w:t>
      </w:r>
      <w:r w:rsidR="00A142A0">
        <w:rPr>
          <w:rFonts w:ascii="宋体" w:hAnsi="宋体" w:hint="eastAsia"/>
          <w:color w:val="000000"/>
          <w:sz w:val="24"/>
          <w:szCs w:val="28"/>
        </w:rPr>
        <w:t>——</w:t>
      </w:r>
      <w:r>
        <w:rPr>
          <w:rFonts w:ascii="宋体" w:hAnsi="宋体" w:hint="eastAsia"/>
          <w:color w:val="000000"/>
          <w:sz w:val="24"/>
          <w:szCs w:val="28"/>
        </w:rPr>
        <w:t>套期会计》及</w:t>
      </w:r>
      <w:r w:rsidR="00D27848" w:rsidRPr="00D27848">
        <w:rPr>
          <w:rFonts w:ascii="宋体" w:hAnsi="宋体" w:hint="eastAsia"/>
          <w:color w:val="000000"/>
          <w:sz w:val="24"/>
          <w:szCs w:val="28"/>
        </w:rPr>
        <w:t>《企业会计准则第37号</w:t>
      </w:r>
      <w:r w:rsidR="00A142A0">
        <w:rPr>
          <w:rFonts w:ascii="宋体" w:hAnsi="宋体" w:hint="eastAsia"/>
          <w:color w:val="000000"/>
          <w:sz w:val="24"/>
          <w:szCs w:val="28"/>
        </w:rPr>
        <w:t>——</w:t>
      </w:r>
      <w:r>
        <w:rPr>
          <w:rFonts w:ascii="宋体" w:hAnsi="宋体" w:hint="eastAsia"/>
          <w:color w:val="000000"/>
          <w:sz w:val="24"/>
          <w:szCs w:val="28"/>
        </w:rPr>
        <w:t>金融工具列报》等相关规定及其指南，对</w:t>
      </w:r>
      <w:r w:rsidR="00D27848" w:rsidRPr="00D27848">
        <w:rPr>
          <w:rFonts w:ascii="宋体" w:hAnsi="宋体" w:hint="eastAsia"/>
          <w:color w:val="000000"/>
          <w:sz w:val="24"/>
          <w:szCs w:val="28"/>
        </w:rPr>
        <w:t>外汇套期保值业务进行相应的会计核算处理。</w:t>
      </w:r>
    </w:p>
    <w:p w14:paraId="06DADCEB" w14:textId="77777777" w:rsidR="00BB47C5" w:rsidRPr="00AC6B08" w:rsidRDefault="00BB47C5" w:rsidP="001815BE">
      <w:pPr>
        <w:spacing w:line="360" w:lineRule="auto"/>
        <w:rPr>
          <w:color w:val="000000"/>
          <w:sz w:val="24"/>
          <w:szCs w:val="28"/>
        </w:rPr>
      </w:pPr>
    </w:p>
    <w:p w14:paraId="1559CF95" w14:textId="77777777" w:rsidR="006A2333" w:rsidRDefault="006A2333" w:rsidP="009C3952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9C3952">
        <w:rPr>
          <w:rStyle w:val="fontstyle01"/>
          <w:rFonts w:hint="default"/>
          <w:sz w:val="24"/>
        </w:rPr>
        <w:t>特此公告。</w:t>
      </w:r>
    </w:p>
    <w:p w14:paraId="71B8922B" w14:textId="77777777" w:rsidR="006A2333" w:rsidRPr="009C3952" w:rsidRDefault="006A2333" w:rsidP="009C3952">
      <w:pPr>
        <w:spacing w:line="360" w:lineRule="auto"/>
        <w:ind w:firstLineChars="200" w:firstLine="480"/>
        <w:jc w:val="right"/>
        <w:rPr>
          <w:color w:val="000000"/>
          <w:sz w:val="24"/>
          <w:szCs w:val="28"/>
        </w:rPr>
      </w:pPr>
      <w:r w:rsidRPr="009C3952">
        <w:rPr>
          <w:rStyle w:val="fontstyle01"/>
          <w:rFonts w:hint="default"/>
          <w:sz w:val="24"/>
        </w:rPr>
        <w:t>江苏中利集团股份有限公司董事会</w:t>
      </w:r>
    </w:p>
    <w:p w14:paraId="50CC6A11" w14:textId="6464C4FA" w:rsidR="00425037" w:rsidRPr="009C3952" w:rsidRDefault="00F63D0A" w:rsidP="00D023AA">
      <w:pPr>
        <w:spacing w:line="360" w:lineRule="auto"/>
        <w:ind w:right="480" w:firstLineChars="2300" w:firstLine="5520"/>
        <w:rPr>
          <w:rFonts w:ascii="宋体" w:hAnsi="宋体"/>
          <w:color w:val="000000"/>
          <w:sz w:val="24"/>
          <w:szCs w:val="28"/>
        </w:rPr>
      </w:pPr>
      <w:r>
        <w:rPr>
          <w:rStyle w:val="fontstyle01"/>
          <w:rFonts w:hint="default"/>
          <w:sz w:val="24"/>
        </w:rPr>
        <w:t>2025</w:t>
      </w:r>
      <w:r w:rsidR="006A2333" w:rsidRPr="00C42C25">
        <w:rPr>
          <w:rStyle w:val="fontstyle01"/>
          <w:rFonts w:hint="default"/>
          <w:sz w:val="24"/>
        </w:rPr>
        <w:t>年</w:t>
      </w:r>
      <w:r w:rsidR="00BA042A">
        <w:rPr>
          <w:rStyle w:val="fontstyle01"/>
          <w:rFonts w:hint="default"/>
          <w:sz w:val="24"/>
        </w:rPr>
        <w:t>2</w:t>
      </w:r>
      <w:r w:rsidR="006A2333" w:rsidRPr="00C42C25">
        <w:rPr>
          <w:rStyle w:val="fontstyle01"/>
          <w:rFonts w:hint="default"/>
          <w:sz w:val="24"/>
        </w:rPr>
        <w:t>月</w:t>
      </w:r>
      <w:r>
        <w:rPr>
          <w:rStyle w:val="fontstyle01"/>
          <w:rFonts w:hint="default"/>
          <w:sz w:val="24"/>
        </w:rPr>
        <w:t>6</w:t>
      </w:r>
      <w:r w:rsidR="006A2333" w:rsidRPr="00C42C25">
        <w:rPr>
          <w:rStyle w:val="fontstyle01"/>
          <w:rFonts w:hint="default"/>
          <w:sz w:val="24"/>
        </w:rPr>
        <w:t>日</w:t>
      </w:r>
    </w:p>
    <w:sectPr w:rsidR="00425037" w:rsidRPr="009C39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700A" w14:textId="77777777" w:rsidR="00562CFC" w:rsidRDefault="00562CFC" w:rsidP="00365AAE">
      <w:r>
        <w:separator/>
      </w:r>
    </w:p>
  </w:endnote>
  <w:endnote w:type="continuationSeparator" w:id="0">
    <w:p w14:paraId="23EF6F69" w14:textId="77777777" w:rsidR="00562CFC" w:rsidRDefault="00562CFC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727D70" w14:textId="3CCE7268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A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A4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431D5C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F234D" w14:textId="77777777" w:rsidR="00562CFC" w:rsidRDefault="00562CFC" w:rsidP="00365AAE">
      <w:r>
        <w:separator/>
      </w:r>
    </w:p>
  </w:footnote>
  <w:footnote w:type="continuationSeparator" w:id="0">
    <w:p w14:paraId="786F0398" w14:textId="77777777" w:rsidR="00562CFC" w:rsidRDefault="00562CFC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116E2"/>
    <w:rsid w:val="000160A7"/>
    <w:rsid w:val="000250AB"/>
    <w:rsid w:val="00031F59"/>
    <w:rsid w:val="00032587"/>
    <w:rsid w:val="00033D76"/>
    <w:rsid w:val="000340E1"/>
    <w:rsid w:val="00041843"/>
    <w:rsid w:val="00042598"/>
    <w:rsid w:val="000427DA"/>
    <w:rsid w:val="000432B0"/>
    <w:rsid w:val="00043CD6"/>
    <w:rsid w:val="00046F19"/>
    <w:rsid w:val="00050D57"/>
    <w:rsid w:val="000515C2"/>
    <w:rsid w:val="00062643"/>
    <w:rsid w:val="00065238"/>
    <w:rsid w:val="0007318F"/>
    <w:rsid w:val="00075251"/>
    <w:rsid w:val="00076CF5"/>
    <w:rsid w:val="0008112D"/>
    <w:rsid w:val="000830FB"/>
    <w:rsid w:val="00083194"/>
    <w:rsid w:val="00084CE0"/>
    <w:rsid w:val="00086BB3"/>
    <w:rsid w:val="00094CCB"/>
    <w:rsid w:val="000A54F9"/>
    <w:rsid w:val="000A5BC1"/>
    <w:rsid w:val="000B0A8F"/>
    <w:rsid w:val="000B0EE0"/>
    <w:rsid w:val="000B4EA0"/>
    <w:rsid w:val="000B5F0F"/>
    <w:rsid w:val="000B7639"/>
    <w:rsid w:val="000C2628"/>
    <w:rsid w:val="000C294D"/>
    <w:rsid w:val="000C78A7"/>
    <w:rsid w:val="000D093A"/>
    <w:rsid w:val="000D2BAC"/>
    <w:rsid w:val="000D63C8"/>
    <w:rsid w:val="000E070C"/>
    <w:rsid w:val="000E1BB7"/>
    <w:rsid w:val="000E1F89"/>
    <w:rsid w:val="000E272A"/>
    <w:rsid w:val="000E3093"/>
    <w:rsid w:val="000E3C80"/>
    <w:rsid w:val="000E654B"/>
    <w:rsid w:val="000E7B4E"/>
    <w:rsid w:val="000F1686"/>
    <w:rsid w:val="000F280A"/>
    <w:rsid w:val="000F3243"/>
    <w:rsid w:val="000F5632"/>
    <w:rsid w:val="000F60AA"/>
    <w:rsid w:val="001028C5"/>
    <w:rsid w:val="00102E93"/>
    <w:rsid w:val="00103B0F"/>
    <w:rsid w:val="0010454D"/>
    <w:rsid w:val="00111B3B"/>
    <w:rsid w:val="00123252"/>
    <w:rsid w:val="001367B7"/>
    <w:rsid w:val="001374D3"/>
    <w:rsid w:val="00140FC4"/>
    <w:rsid w:val="00141FEB"/>
    <w:rsid w:val="00145679"/>
    <w:rsid w:val="00151F2F"/>
    <w:rsid w:val="001572AF"/>
    <w:rsid w:val="0016031C"/>
    <w:rsid w:val="001702FF"/>
    <w:rsid w:val="0017044A"/>
    <w:rsid w:val="0017049B"/>
    <w:rsid w:val="001713E4"/>
    <w:rsid w:val="0017209B"/>
    <w:rsid w:val="00173573"/>
    <w:rsid w:val="00180456"/>
    <w:rsid w:val="001815BE"/>
    <w:rsid w:val="00187A5D"/>
    <w:rsid w:val="00187F26"/>
    <w:rsid w:val="001907FC"/>
    <w:rsid w:val="001975BA"/>
    <w:rsid w:val="001A042B"/>
    <w:rsid w:val="001A1A4D"/>
    <w:rsid w:val="001A2483"/>
    <w:rsid w:val="001A5847"/>
    <w:rsid w:val="001A717C"/>
    <w:rsid w:val="001A7602"/>
    <w:rsid w:val="001B07C8"/>
    <w:rsid w:val="001C0E52"/>
    <w:rsid w:val="001C579E"/>
    <w:rsid w:val="001D0F59"/>
    <w:rsid w:val="001D3541"/>
    <w:rsid w:val="001D6E0E"/>
    <w:rsid w:val="001D6FC5"/>
    <w:rsid w:val="001E30AD"/>
    <w:rsid w:val="0020589D"/>
    <w:rsid w:val="00206577"/>
    <w:rsid w:val="00207A9E"/>
    <w:rsid w:val="00210D61"/>
    <w:rsid w:val="00216D16"/>
    <w:rsid w:val="00220627"/>
    <w:rsid w:val="00223330"/>
    <w:rsid w:val="002253DA"/>
    <w:rsid w:val="00226CE1"/>
    <w:rsid w:val="00230C57"/>
    <w:rsid w:val="002336BA"/>
    <w:rsid w:val="00233725"/>
    <w:rsid w:val="00235389"/>
    <w:rsid w:val="00235551"/>
    <w:rsid w:val="00237190"/>
    <w:rsid w:val="00250538"/>
    <w:rsid w:val="0025123D"/>
    <w:rsid w:val="00252685"/>
    <w:rsid w:val="002541FD"/>
    <w:rsid w:val="00262125"/>
    <w:rsid w:val="002628EC"/>
    <w:rsid w:val="0026291D"/>
    <w:rsid w:val="00262922"/>
    <w:rsid w:val="00263AA3"/>
    <w:rsid w:val="00265F49"/>
    <w:rsid w:val="00266CA8"/>
    <w:rsid w:val="002675C8"/>
    <w:rsid w:val="00267AE0"/>
    <w:rsid w:val="00272625"/>
    <w:rsid w:val="002767B6"/>
    <w:rsid w:val="00286045"/>
    <w:rsid w:val="002879EA"/>
    <w:rsid w:val="00287A4F"/>
    <w:rsid w:val="00291805"/>
    <w:rsid w:val="0029275B"/>
    <w:rsid w:val="0029434A"/>
    <w:rsid w:val="00294D5C"/>
    <w:rsid w:val="00296343"/>
    <w:rsid w:val="00297488"/>
    <w:rsid w:val="002A374F"/>
    <w:rsid w:val="002A4E1D"/>
    <w:rsid w:val="002A6997"/>
    <w:rsid w:val="002B1C91"/>
    <w:rsid w:val="002B1CBF"/>
    <w:rsid w:val="002B297B"/>
    <w:rsid w:val="002B35D3"/>
    <w:rsid w:val="002B4FDF"/>
    <w:rsid w:val="002C0487"/>
    <w:rsid w:val="002C05AA"/>
    <w:rsid w:val="002C0D97"/>
    <w:rsid w:val="002C1B5E"/>
    <w:rsid w:val="002C23A4"/>
    <w:rsid w:val="002C39B1"/>
    <w:rsid w:val="002D49AE"/>
    <w:rsid w:val="002D58CB"/>
    <w:rsid w:val="002D6A76"/>
    <w:rsid w:val="002E2DD4"/>
    <w:rsid w:val="002E56E3"/>
    <w:rsid w:val="002F096B"/>
    <w:rsid w:val="002F246E"/>
    <w:rsid w:val="002F3D67"/>
    <w:rsid w:val="00302040"/>
    <w:rsid w:val="003036A5"/>
    <w:rsid w:val="00304B55"/>
    <w:rsid w:val="0031077F"/>
    <w:rsid w:val="00311383"/>
    <w:rsid w:val="003120B0"/>
    <w:rsid w:val="00313451"/>
    <w:rsid w:val="0031417B"/>
    <w:rsid w:val="00315FD8"/>
    <w:rsid w:val="00317B29"/>
    <w:rsid w:val="00320C9F"/>
    <w:rsid w:val="00320FAF"/>
    <w:rsid w:val="003233E8"/>
    <w:rsid w:val="00325D8D"/>
    <w:rsid w:val="003264EB"/>
    <w:rsid w:val="00326697"/>
    <w:rsid w:val="0032725A"/>
    <w:rsid w:val="00327F78"/>
    <w:rsid w:val="00331D19"/>
    <w:rsid w:val="00331F45"/>
    <w:rsid w:val="003328C8"/>
    <w:rsid w:val="003338F8"/>
    <w:rsid w:val="00333C15"/>
    <w:rsid w:val="003408F6"/>
    <w:rsid w:val="00342D3B"/>
    <w:rsid w:val="003451B4"/>
    <w:rsid w:val="003479CE"/>
    <w:rsid w:val="00355DA4"/>
    <w:rsid w:val="00356049"/>
    <w:rsid w:val="00357DC7"/>
    <w:rsid w:val="003612B2"/>
    <w:rsid w:val="00362EB3"/>
    <w:rsid w:val="003651BC"/>
    <w:rsid w:val="00365AAE"/>
    <w:rsid w:val="003669F8"/>
    <w:rsid w:val="003717CB"/>
    <w:rsid w:val="00371AC1"/>
    <w:rsid w:val="003819FB"/>
    <w:rsid w:val="00383A17"/>
    <w:rsid w:val="003855B8"/>
    <w:rsid w:val="00385DC6"/>
    <w:rsid w:val="003863B3"/>
    <w:rsid w:val="003872DB"/>
    <w:rsid w:val="00387981"/>
    <w:rsid w:val="00393746"/>
    <w:rsid w:val="00393D37"/>
    <w:rsid w:val="003965D3"/>
    <w:rsid w:val="003A285C"/>
    <w:rsid w:val="003A3252"/>
    <w:rsid w:val="003A36BE"/>
    <w:rsid w:val="003A45E1"/>
    <w:rsid w:val="003A6324"/>
    <w:rsid w:val="003A63F5"/>
    <w:rsid w:val="003A7392"/>
    <w:rsid w:val="003B1946"/>
    <w:rsid w:val="003B325A"/>
    <w:rsid w:val="003B3340"/>
    <w:rsid w:val="003B694E"/>
    <w:rsid w:val="003C0E17"/>
    <w:rsid w:val="003C1E7F"/>
    <w:rsid w:val="003C2ABE"/>
    <w:rsid w:val="003C3B41"/>
    <w:rsid w:val="003C3B72"/>
    <w:rsid w:val="003C50BC"/>
    <w:rsid w:val="003D032F"/>
    <w:rsid w:val="003D2CE1"/>
    <w:rsid w:val="003D2E93"/>
    <w:rsid w:val="003D3122"/>
    <w:rsid w:val="003E00D6"/>
    <w:rsid w:val="003E12C3"/>
    <w:rsid w:val="003E3F7B"/>
    <w:rsid w:val="003E5D48"/>
    <w:rsid w:val="003F1E96"/>
    <w:rsid w:val="003F20BA"/>
    <w:rsid w:val="003F2578"/>
    <w:rsid w:val="003F514C"/>
    <w:rsid w:val="003F6060"/>
    <w:rsid w:val="003F6606"/>
    <w:rsid w:val="003F7463"/>
    <w:rsid w:val="00406AFA"/>
    <w:rsid w:val="00406CE2"/>
    <w:rsid w:val="00410643"/>
    <w:rsid w:val="004117E2"/>
    <w:rsid w:val="004146F9"/>
    <w:rsid w:val="00421674"/>
    <w:rsid w:val="00423E11"/>
    <w:rsid w:val="00425037"/>
    <w:rsid w:val="00425FBA"/>
    <w:rsid w:val="00433755"/>
    <w:rsid w:val="00433E2E"/>
    <w:rsid w:val="004343C2"/>
    <w:rsid w:val="00443B90"/>
    <w:rsid w:val="00452620"/>
    <w:rsid w:val="00455E72"/>
    <w:rsid w:val="00461993"/>
    <w:rsid w:val="0046224E"/>
    <w:rsid w:val="004658F6"/>
    <w:rsid w:val="00465F50"/>
    <w:rsid w:val="00467DB6"/>
    <w:rsid w:val="0047792B"/>
    <w:rsid w:val="0048029E"/>
    <w:rsid w:val="0048501E"/>
    <w:rsid w:val="004854F1"/>
    <w:rsid w:val="0049187F"/>
    <w:rsid w:val="004945A9"/>
    <w:rsid w:val="00495D28"/>
    <w:rsid w:val="004A2250"/>
    <w:rsid w:val="004A5D67"/>
    <w:rsid w:val="004B20FF"/>
    <w:rsid w:val="004B3359"/>
    <w:rsid w:val="004B5AAC"/>
    <w:rsid w:val="004B5B71"/>
    <w:rsid w:val="004B792E"/>
    <w:rsid w:val="004C571B"/>
    <w:rsid w:val="004C7109"/>
    <w:rsid w:val="004D6D34"/>
    <w:rsid w:val="004E0C71"/>
    <w:rsid w:val="004E2052"/>
    <w:rsid w:val="004E4E0A"/>
    <w:rsid w:val="004F5C8A"/>
    <w:rsid w:val="004F7E42"/>
    <w:rsid w:val="0050135F"/>
    <w:rsid w:val="00502251"/>
    <w:rsid w:val="00503413"/>
    <w:rsid w:val="00503EEC"/>
    <w:rsid w:val="00510D34"/>
    <w:rsid w:val="00511337"/>
    <w:rsid w:val="005162CF"/>
    <w:rsid w:val="00521719"/>
    <w:rsid w:val="005223F2"/>
    <w:rsid w:val="00524E90"/>
    <w:rsid w:val="00526997"/>
    <w:rsid w:val="00526A0A"/>
    <w:rsid w:val="005277D0"/>
    <w:rsid w:val="00527F7D"/>
    <w:rsid w:val="005308BB"/>
    <w:rsid w:val="00531DA8"/>
    <w:rsid w:val="00537C6C"/>
    <w:rsid w:val="00541F8A"/>
    <w:rsid w:val="00546ADD"/>
    <w:rsid w:val="00551839"/>
    <w:rsid w:val="0055390F"/>
    <w:rsid w:val="00554347"/>
    <w:rsid w:val="005552D0"/>
    <w:rsid w:val="00556D1E"/>
    <w:rsid w:val="0056077F"/>
    <w:rsid w:val="0056131B"/>
    <w:rsid w:val="00562CFC"/>
    <w:rsid w:val="00563CB0"/>
    <w:rsid w:val="00567C05"/>
    <w:rsid w:val="00573A22"/>
    <w:rsid w:val="00575CDD"/>
    <w:rsid w:val="00576526"/>
    <w:rsid w:val="005824BB"/>
    <w:rsid w:val="00583532"/>
    <w:rsid w:val="005856D8"/>
    <w:rsid w:val="00586BBC"/>
    <w:rsid w:val="00586C20"/>
    <w:rsid w:val="00587C53"/>
    <w:rsid w:val="00587F3E"/>
    <w:rsid w:val="00590C21"/>
    <w:rsid w:val="005922DC"/>
    <w:rsid w:val="00592E05"/>
    <w:rsid w:val="005933BD"/>
    <w:rsid w:val="00594D82"/>
    <w:rsid w:val="005950FC"/>
    <w:rsid w:val="00596198"/>
    <w:rsid w:val="005A028A"/>
    <w:rsid w:val="005A041F"/>
    <w:rsid w:val="005A1F32"/>
    <w:rsid w:val="005A21AA"/>
    <w:rsid w:val="005A2356"/>
    <w:rsid w:val="005A3806"/>
    <w:rsid w:val="005B501C"/>
    <w:rsid w:val="005C0ECE"/>
    <w:rsid w:val="005C2693"/>
    <w:rsid w:val="005C3043"/>
    <w:rsid w:val="005C5878"/>
    <w:rsid w:val="005C6A4F"/>
    <w:rsid w:val="005C71C1"/>
    <w:rsid w:val="005D5267"/>
    <w:rsid w:val="005D7877"/>
    <w:rsid w:val="005E0C1A"/>
    <w:rsid w:val="005E6044"/>
    <w:rsid w:val="005E79A8"/>
    <w:rsid w:val="005F26EC"/>
    <w:rsid w:val="005F490C"/>
    <w:rsid w:val="005F5FCB"/>
    <w:rsid w:val="0060503F"/>
    <w:rsid w:val="00606F1A"/>
    <w:rsid w:val="00613102"/>
    <w:rsid w:val="0061664C"/>
    <w:rsid w:val="00616910"/>
    <w:rsid w:val="006208E5"/>
    <w:rsid w:val="00627273"/>
    <w:rsid w:val="0063103E"/>
    <w:rsid w:val="006316FE"/>
    <w:rsid w:val="0063282F"/>
    <w:rsid w:val="00633034"/>
    <w:rsid w:val="0063328F"/>
    <w:rsid w:val="006339A4"/>
    <w:rsid w:val="00634469"/>
    <w:rsid w:val="00635A16"/>
    <w:rsid w:val="00637A88"/>
    <w:rsid w:val="00640373"/>
    <w:rsid w:val="00641F94"/>
    <w:rsid w:val="00643B05"/>
    <w:rsid w:val="00644570"/>
    <w:rsid w:val="006451DF"/>
    <w:rsid w:val="00651304"/>
    <w:rsid w:val="00651E1E"/>
    <w:rsid w:val="00652FB4"/>
    <w:rsid w:val="00655302"/>
    <w:rsid w:val="006571EA"/>
    <w:rsid w:val="0066338F"/>
    <w:rsid w:val="0066399D"/>
    <w:rsid w:val="00665FFF"/>
    <w:rsid w:val="0066647D"/>
    <w:rsid w:val="006666B8"/>
    <w:rsid w:val="006709F2"/>
    <w:rsid w:val="00672773"/>
    <w:rsid w:val="00672AF9"/>
    <w:rsid w:val="00675820"/>
    <w:rsid w:val="0068295C"/>
    <w:rsid w:val="006836C8"/>
    <w:rsid w:val="0068746F"/>
    <w:rsid w:val="00690238"/>
    <w:rsid w:val="006902C5"/>
    <w:rsid w:val="00694C9A"/>
    <w:rsid w:val="006970F3"/>
    <w:rsid w:val="0069791A"/>
    <w:rsid w:val="006A0B01"/>
    <w:rsid w:val="006A1750"/>
    <w:rsid w:val="006A1BB6"/>
    <w:rsid w:val="006A2333"/>
    <w:rsid w:val="006B032A"/>
    <w:rsid w:val="006B5553"/>
    <w:rsid w:val="006B607D"/>
    <w:rsid w:val="006C151C"/>
    <w:rsid w:val="006C18FD"/>
    <w:rsid w:val="006C1931"/>
    <w:rsid w:val="006C49AA"/>
    <w:rsid w:val="006C7EAB"/>
    <w:rsid w:val="006D094F"/>
    <w:rsid w:val="006D25B5"/>
    <w:rsid w:val="006D3B92"/>
    <w:rsid w:val="006D5271"/>
    <w:rsid w:val="006D5BBC"/>
    <w:rsid w:val="006D74D3"/>
    <w:rsid w:val="006E1EC6"/>
    <w:rsid w:val="006E4CEA"/>
    <w:rsid w:val="006E7A0E"/>
    <w:rsid w:val="006F0D32"/>
    <w:rsid w:val="006F173C"/>
    <w:rsid w:val="006F217F"/>
    <w:rsid w:val="006F2C9F"/>
    <w:rsid w:val="006F4404"/>
    <w:rsid w:val="006F49DD"/>
    <w:rsid w:val="00700DB1"/>
    <w:rsid w:val="00702905"/>
    <w:rsid w:val="00703FC9"/>
    <w:rsid w:val="00704317"/>
    <w:rsid w:val="00704637"/>
    <w:rsid w:val="00711AC2"/>
    <w:rsid w:val="00716150"/>
    <w:rsid w:val="007177B1"/>
    <w:rsid w:val="007200D3"/>
    <w:rsid w:val="00720A9B"/>
    <w:rsid w:val="00722D1B"/>
    <w:rsid w:val="00725D28"/>
    <w:rsid w:val="0072630A"/>
    <w:rsid w:val="00726997"/>
    <w:rsid w:val="00732ABF"/>
    <w:rsid w:val="00740B56"/>
    <w:rsid w:val="00741602"/>
    <w:rsid w:val="00750BE1"/>
    <w:rsid w:val="00751FFB"/>
    <w:rsid w:val="0075521A"/>
    <w:rsid w:val="00756FC3"/>
    <w:rsid w:val="0076630D"/>
    <w:rsid w:val="00766BB2"/>
    <w:rsid w:val="00774117"/>
    <w:rsid w:val="007800FA"/>
    <w:rsid w:val="00784784"/>
    <w:rsid w:val="00784E50"/>
    <w:rsid w:val="00785936"/>
    <w:rsid w:val="00790360"/>
    <w:rsid w:val="007A0C10"/>
    <w:rsid w:val="007A4512"/>
    <w:rsid w:val="007B0923"/>
    <w:rsid w:val="007B0E7A"/>
    <w:rsid w:val="007B1D7C"/>
    <w:rsid w:val="007C35D6"/>
    <w:rsid w:val="007C372B"/>
    <w:rsid w:val="007C5AE7"/>
    <w:rsid w:val="007C5E5F"/>
    <w:rsid w:val="007C5E99"/>
    <w:rsid w:val="007C7567"/>
    <w:rsid w:val="007D0D25"/>
    <w:rsid w:val="007D20B5"/>
    <w:rsid w:val="007D313F"/>
    <w:rsid w:val="007D5825"/>
    <w:rsid w:val="007D792E"/>
    <w:rsid w:val="007E6771"/>
    <w:rsid w:val="007F40E6"/>
    <w:rsid w:val="007F56DF"/>
    <w:rsid w:val="007F5D6B"/>
    <w:rsid w:val="007F727D"/>
    <w:rsid w:val="007F7390"/>
    <w:rsid w:val="008043E7"/>
    <w:rsid w:val="00805C74"/>
    <w:rsid w:val="008153EC"/>
    <w:rsid w:val="008210D7"/>
    <w:rsid w:val="00821965"/>
    <w:rsid w:val="00822910"/>
    <w:rsid w:val="00822AC4"/>
    <w:rsid w:val="008254F2"/>
    <w:rsid w:val="008342AD"/>
    <w:rsid w:val="0083694D"/>
    <w:rsid w:val="00842494"/>
    <w:rsid w:val="00844B5E"/>
    <w:rsid w:val="00846874"/>
    <w:rsid w:val="00847957"/>
    <w:rsid w:val="008501D8"/>
    <w:rsid w:val="00854E78"/>
    <w:rsid w:val="008602AE"/>
    <w:rsid w:val="00861738"/>
    <w:rsid w:val="00862308"/>
    <w:rsid w:val="00865D7F"/>
    <w:rsid w:val="0087270A"/>
    <w:rsid w:val="0087428D"/>
    <w:rsid w:val="008858DC"/>
    <w:rsid w:val="00885D5B"/>
    <w:rsid w:val="0089043F"/>
    <w:rsid w:val="00890D86"/>
    <w:rsid w:val="0089582B"/>
    <w:rsid w:val="008A30E5"/>
    <w:rsid w:val="008A35A0"/>
    <w:rsid w:val="008A79C5"/>
    <w:rsid w:val="008B36F4"/>
    <w:rsid w:val="008B5E25"/>
    <w:rsid w:val="008B6385"/>
    <w:rsid w:val="008C0BC1"/>
    <w:rsid w:val="008C481C"/>
    <w:rsid w:val="008C5E4E"/>
    <w:rsid w:val="008C756F"/>
    <w:rsid w:val="008D0BFE"/>
    <w:rsid w:val="008D1D9F"/>
    <w:rsid w:val="008D2194"/>
    <w:rsid w:val="008D278A"/>
    <w:rsid w:val="008D2D5E"/>
    <w:rsid w:val="008D60CC"/>
    <w:rsid w:val="008D7E0D"/>
    <w:rsid w:val="008E3F8B"/>
    <w:rsid w:val="008F00D9"/>
    <w:rsid w:val="008F4BB4"/>
    <w:rsid w:val="0090037C"/>
    <w:rsid w:val="00901841"/>
    <w:rsid w:val="00901F50"/>
    <w:rsid w:val="00902319"/>
    <w:rsid w:val="00902644"/>
    <w:rsid w:val="00902702"/>
    <w:rsid w:val="00903D2B"/>
    <w:rsid w:val="00907C42"/>
    <w:rsid w:val="009124B8"/>
    <w:rsid w:val="0091354E"/>
    <w:rsid w:val="00913AB4"/>
    <w:rsid w:val="00915875"/>
    <w:rsid w:val="009165A3"/>
    <w:rsid w:val="009232B8"/>
    <w:rsid w:val="009247EE"/>
    <w:rsid w:val="00927EF3"/>
    <w:rsid w:val="00931306"/>
    <w:rsid w:val="00932391"/>
    <w:rsid w:val="0093269E"/>
    <w:rsid w:val="00932D42"/>
    <w:rsid w:val="00937DF1"/>
    <w:rsid w:val="00951259"/>
    <w:rsid w:val="00952504"/>
    <w:rsid w:val="0095520D"/>
    <w:rsid w:val="009632AF"/>
    <w:rsid w:val="00963B44"/>
    <w:rsid w:val="00970BE5"/>
    <w:rsid w:val="0097125F"/>
    <w:rsid w:val="00977E68"/>
    <w:rsid w:val="00985CB4"/>
    <w:rsid w:val="009930A3"/>
    <w:rsid w:val="00993E2E"/>
    <w:rsid w:val="00995E5B"/>
    <w:rsid w:val="00996FBD"/>
    <w:rsid w:val="009A2427"/>
    <w:rsid w:val="009A629C"/>
    <w:rsid w:val="009A6846"/>
    <w:rsid w:val="009B1370"/>
    <w:rsid w:val="009B20DE"/>
    <w:rsid w:val="009C157E"/>
    <w:rsid w:val="009C319E"/>
    <w:rsid w:val="009C3952"/>
    <w:rsid w:val="009C605E"/>
    <w:rsid w:val="009C73C8"/>
    <w:rsid w:val="009D21D7"/>
    <w:rsid w:val="009D3440"/>
    <w:rsid w:val="009D52B6"/>
    <w:rsid w:val="009D7CB9"/>
    <w:rsid w:val="009E3783"/>
    <w:rsid w:val="009E39D5"/>
    <w:rsid w:val="009E56D2"/>
    <w:rsid w:val="009F5D3A"/>
    <w:rsid w:val="009F7C2C"/>
    <w:rsid w:val="009F7C3E"/>
    <w:rsid w:val="00A12A8E"/>
    <w:rsid w:val="00A142A0"/>
    <w:rsid w:val="00A153F9"/>
    <w:rsid w:val="00A17EC7"/>
    <w:rsid w:val="00A24BE8"/>
    <w:rsid w:val="00A26F28"/>
    <w:rsid w:val="00A349F1"/>
    <w:rsid w:val="00A41610"/>
    <w:rsid w:val="00A43AC9"/>
    <w:rsid w:val="00A46CB8"/>
    <w:rsid w:val="00A4796A"/>
    <w:rsid w:val="00A50576"/>
    <w:rsid w:val="00A5096C"/>
    <w:rsid w:val="00A50C71"/>
    <w:rsid w:val="00A51F02"/>
    <w:rsid w:val="00A54BF0"/>
    <w:rsid w:val="00A55B49"/>
    <w:rsid w:val="00A56468"/>
    <w:rsid w:val="00A56D30"/>
    <w:rsid w:val="00A6073C"/>
    <w:rsid w:val="00A60865"/>
    <w:rsid w:val="00A617EF"/>
    <w:rsid w:val="00A67636"/>
    <w:rsid w:val="00A67DC4"/>
    <w:rsid w:val="00A777AB"/>
    <w:rsid w:val="00A77A59"/>
    <w:rsid w:val="00A83D66"/>
    <w:rsid w:val="00A84957"/>
    <w:rsid w:val="00A850AA"/>
    <w:rsid w:val="00A85130"/>
    <w:rsid w:val="00A8697F"/>
    <w:rsid w:val="00A86A09"/>
    <w:rsid w:val="00A90643"/>
    <w:rsid w:val="00A90AAB"/>
    <w:rsid w:val="00A94669"/>
    <w:rsid w:val="00A9534D"/>
    <w:rsid w:val="00A96C4F"/>
    <w:rsid w:val="00A978B6"/>
    <w:rsid w:val="00A97D84"/>
    <w:rsid w:val="00AA3FFA"/>
    <w:rsid w:val="00AA52DD"/>
    <w:rsid w:val="00AA55D0"/>
    <w:rsid w:val="00AA6E8A"/>
    <w:rsid w:val="00AB3388"/>
    <w:rsid w:val="00AB37C7"/>
    <w:rsid w:val="00AB487A"/>
    <w:rsid w:val="00AB53F0"/>
    <w:rsid w:val="00AC2D50"/>
    <w:rsid w:val="00AC6B08"/>
    <w:rsid w:val="00AD1DBC"/>
    <w:rsid w:val="00AD2E88"/>
    <w:rsid w:val="00AD39A9"/>
    <w:rsid w:val="00AD4B30"/>
    <w:rsid w:val="00AD7AB8"/>
    <w:rsid w:val="00AE0AAF"/>
    <w:rsid w:val="00AE1010"/>
    <w:rsid w:val="00AE1C64"/>
    <w:rsid w:val="00AE7A27"/>
    <w:rsid w:val="00AF03B7"/>
    <w:rsid w:val="00AF0797"/>
    <w:rsid w:val="00AF0843"/>
    <w:rsid w:val="00AF6253"/>
    <w:rsid w:val="00AF6EC1"/>
    <w:rsid w:val="00AF78DF"/>
    <w:rsid w:val="00AF794D"/>
    <w:rsid w:val="00B00D4D"/>
    <w:rsid w:val="00B0695B"/>
    <w:rsid w:val="00B11F1A"/>
    <w:rsid w:val="00B16E1F"/>
    <w:rsid w:val="00B26B32"/>
    <w:rsid w:val="00B26B6D"/>
    <w:rsid w:val="00B30E06"/>
    <w:rsid w:val="00B3519F"/>
    <w:rsid w:val="00B42215"/>
    <w:rsid w:val="00B44726"/>
    <w:rsid w:val="00B50B71"/>
    <w:rsid w:val="00B52502"/>
    <w:rsid w:val="00B54E54"/>
    <w:rsid w:val="00B5539B"/>
    <w:rsid w:val="00B57FA8"/>
    <w:rsid w:val="00B62F8C"/>
    <w:rsid w:val="00B65549"/>
    <w:rsid w:val="00B662EB"/>
    <w:rsid w:val="00B716EF"/>
    <w:rsid w:val="00B7520D"/>
    <w:rsid w:val="00B76143"/>
    <w:rsid w:val="00B77BDD"/>
    <w:rsid w:val="00B80FA0"/>
    <w:rsid w:val="00B86050"/>
    <w:rsid w:val="00B864F9"/>
    <w:rsid w:val="00B91046"/>
    <w:rsid w:val="00B911F6"/>
    <w:rsid w:val="00B92D3B"/>
    <w:rsid w:val="00B958AD"/>
    <w:rsid w:val="00B9647E"/>
    <w:rsid w:val="00B96D7F"/>
    <w:rsid w:val="00BA042A"/>
    <w:rsid w:val="00BA2AF6"/>
    <w:rsid w:val="00BA6DFC"/>
    <w:rsid w:val="00BB0BAE"/>
    <w:rsid w:val="00BB3940"/>
    <w:rsid w:val="00BB47C5"/>
    <w:rsid w:val="00BB5808"/>
    <w:rsid w:val="00BB5824"/>
    <w:rsid w:val="00BC0112"/>
    <w:rsid w:val="00BC24E6"/>
    <w:rsid w:val="00BC51BB"/>
    <w:rsid w:val="00BC53B6"/>
    <w:rsid w:val="00BC56D8"/>
    <w:rsid w:val="00BC7643"/>
    <w:rsid w:val="00BC7DB7"/>
    <w:rsid w:val="00BD2099"/>
    <w:rsid w:val="00BD2A5E"/>
    <w:rsid w:val="00BD2B26"/>
    <w:rsid w:val="00BD6799"/>
    <w:rsid w:val="00BD70F4"/>
    <w:rsid w:val="00BD71E3"/>
    <w:rsid w:val="00BE0A93"/>
    <w:rsid w:val="00BE175D"/>
    <w:rsid w:val="00BE271A"/>
    <w:rsid w:val="00BE5CD2"/>
    <w:rsid w:val="00BE7F4E"/>
    <w:rsid w:val="00BF24A9"/>
    <w:rsid w:val="00BF7989"/>
    <w:rsid w:val="00C00238"/>
    <w:rsid w:val="00C00523"/>
    <w:rsid w:val="00C049C3"/>
    <w:rsid w:val="00C052CE"/>
    <w:rsid w:val="00C064DA"/>
    <w:rsid w:val="00C07F42"/>
    <w:rsid w:val="00C1158E"/>
    <w:rsid w:val="00C15A52"/>
    <w:rsid w:val="00C2038D"/>
    <w:rsid w:val="00C23370"/>
    <w:rsid w:val="00C24C7F"/>
    <w:rsid w:val="00C24E8A"/>
    <w:rsid w:val="00C40435"/>
    <w:rsid w:val="00C40984"/>
    <w:rsid w:val="00C42C25"/>
    <w:rsid w:val="00C42E7D"/>
    <w:rsid w:val="00C5098F"/>
    <w:rsid w:val="00C53D2A"/>
    <w:rsid w:val="00C54344"/>
    <w:rsid w:val="00C54CB3"/>
    <w:rsid w:val="00C56138"/>
    <w:rsid w:val="00C5620A"/>
    <w:rsid w:val="00C563BD"/>
    <w:rsid w:val="00C60505"/>
    <w:rsid w:val="00C6571F"/>
    <w:rsid w:val="00C706E8"/>
    <w:rsid w:val="00C74A58"/>
    <w:rsid w:val="00C74D4B"/>
    <w:rsid w:val="00C82EC2"/>
    <w:rsid w:val="00C832A9"/>
    <w:rsid w:val="00C83D56"/>
    <w:rsid w:val="00C8553B"/>
    <w:rsid w:val="00C877C7"/>
    <w:rsid w:val="00C87BDC"/>
    <w:rsid w:val="00CA2893"/>
    <w:rsid w:val="00CA3E46"/>
    <w:rsid w:val="00CB3964"/>
    <w:rsid w:val="00CB45AB"/>
    <w:rsid w:val="00CB54B1"/>
    <w:rsid w:val="00CB65AF"/>
    <w:rsid w:val="00CC1607"/>
    <w:rsid w:val="00CC203D"/>
    <w:rsid w:val="00CC2D16"/>
    <w:rsid w:val="00CC53A1"/>
    <w:rsid w:val="00CC70FA"/>
    <w:rsid w:val="00CD3201"/>
    <w:rsid w:val="00CD7B0B"/>
    <w:rsid w:val="00CE014B"/>
    <w:rsid w:val="00CE0E69"/>
    <w:rsid w:val="00CF00C9"/>
    <w:rsid w:val="00CF26BF"/>
    <w:rsid w:val="00CF3596"/>
    <w:rsid w:val="00CF4E89"/>
    <w:rsid w:val="00CF5AEB"/>
    <w:rsid w:val="00D00A43"/>
    <w:rsid w:val="00D00C3B"/>
    <w:rsid w:val="00D023AA"/>
    <w:rsid w:val="00D13548"/>
    <w:rsid w:val="00D13DF5"/>
    <w:rsid w:val="00D15C10"/>
    <w:rsid w:val="00D22452"/>
    <w:rsid w:val="00D22F28"/>
    <w:rsid w:val="00D27425"/>
    <w:rsid w:val="00D27481"/>
    <w:rsid w:val="00D27499"/>
    <w:rsid w:val="00D27848"/>
    <w:rsid w:val="00D339A6"/>
    <w:rsid w:val="00D43057"/>
    <w:rsid w:val="00D47FC8"/>
    <w:rsid w:val="00D60195"/>
    <w:rsid w:val="00D6253E"/>
    <w:rsid w:val="00D62B37"/>
    <w:rsid w:val="00D62FAD"/>
    <w:rsid w:val="00D63D21"/>
    <w:rsid w:val="00D7340A"/>
    <w:rsid w:val="00D81ED2"/>
    <w:rsid w:val="00D822B0"/>
    <w:rsid w:val="00D852F9"/>
    <w:rsid w:val="00D85FBB"/>
    <w:rsid w:val="00D877D1"/>
    <w:rsid w:val="00D91804"/>
    <w:rsid w:val="00D9742D"/>
    <w:rsid w:val="00DA09FE"/>
    <w:rsid w:val="00DA2925"/>
    <w:rsid w:val="00DA40D5"/>
    <w:rsid w:val="00DB3872"/>
    <w:rsid w:val="00DB4C5D"/>
    <w:rsid w:val="00DB7F13"/>
    <w:rsid w:val="00DC3D7B"/>
    <w:rsid w:val="00DC3D9E"/>
    <w:rsid w:val="00DC3FF0"/>
    <w:rsid w:val="00DC5D03"/>
    <w:rsid w:val="00DC6FE0"/>
    <w:rsid w:val="00DC73A3"/>
    <w:rsid w:val="00DC74BE"/>
    <w:rsid w:val="00DD1181"/>
    <w:rsid w:val="00DD2293"/>
    <w:rsid w:val="00DE1DC1"/>
    <w:rsid w:val="00DE37DE"/>
    <w:rsid w:val="00DE5FB5"/>
    <w:rsid w:val="00DE6063"/>
    <w:rsid w:val="00DF4FEF"/>
    <w:rsid w:val="00E019D6"/>
    <w:rsid w:val="00E02D96"/>
    <w:rsid w:val="00E17E25"/>
    <w:rsid w:val="00E201AD"/>
    <w:rsid w:val="00E207EE"/>
    <w:rsid w:val="00E241AC"/>
    <w:rsid w:val="00E30BF7"/>
    <w:rsid w:val="00E318F5"/>
    <w:rsid w:val="00E32CC9"/>
    <w:rsid w:val="00E347AE"/>
    <w:rsid w:val="00E3751C"/>
    <w:rsid w:val="00E5324B"/>
    <w:rsid w:val="00E614D5"/>
    <w:rsid w:val="00E62DEC"/>
    <w:rsid w:val="00E64CAD"/>
    <w:rsid w:val="00E6661F"/>
    <w:rsid w:val="00E66F65"/>
    <w:rsid w:val="00E67077"/>
    <w:rsid w:val="00E671CE"/>
    <w:rsid w:val="00E67D35"/>
    <w:rsid w:val="00E7312A"/>
    <w:rsid w:val="00E73F71"/>
    <w:rsid w:val="00E77013"/>
    <w:rsid w:val="00E8076F"/>
    <w:rsid w:val="00E82081"/>
    <w:rsid w:val="00E83ACA"/>
    <w:rsid w:val="00E871CA"/>
    <w:rsid w:val="00E87EE9"/>
    <w:rsid w:val="00EA10F3"/>
    <w:rsid w:val="00EA3BE2"/>
    <w:rsid w:val="00EB0E65"/>
    <w:rsid w:val="00EB5439"/>
    <w:rsid w:val="00EB6950"/>
    <w:rsid w:val="00EB7F7E"/>
    <w:rsid w:val="00EC0EA8"/>
    <w:rsid w:val="00EC4BF3"/>
    <w:rsid w:val="00EC5C63"/>
    <w:rsid w:val="00ED2264"/>
    <w:rsid w:val="00ED3E90"/>
    <w:rsid w:val="00ED5312"/>
    <w:rsid w:val="00EE3A44"/>
    <w:rsid w:val="00EE58BB"/>
    <w:rsid w:val="00EE6AE7"/>
    <w:rsid w:val="00EE720E"/>
    <w:rsid w:val="00EF3557"/>
    <w:rsid w:val="00EF3770"/>
    <w:rsid w:val="00F038D9"/>
    <w:rsid w:val="00F039B4"/>
    <w:rsid w:val="00F0487B"/>
    <w:rsid w:val="00F04DFB"/>
    <w:rsid w:val="00F0730A"/>
    <w:rsid w:val="00F11F1A"/>
    <w:rsid w:val="00F12604"/>
    <w:rsid w:val="00F14492"/>
    <w:rsid w:val="00F2601B"/>
    <w:rsid w:val="00F27E57"/>
    <w:rsid w:val="00F32AE2"/>
    <w:rsid w:val="00F35590"/>
    <w:rsid w:val="00F35C7E"/>
    <w:rsid w:val="00F36048"/>
    <w:rsid w:val="00F44700"/>
    <w:rsid w:val="00F47D8C"/>
    <w:rsid w:val="00F531EB"/>
    <w:rsid w:val="00F54BB3"/>
    <w:rsid w:val="00F56A5C"/>
    <w:rsid w:val="00F608EE"/>
    <w:rsid w:val="00F63D0A"/>
    <w:rsid w:val="00F66C32"/>
    <w:rsid w:val="00F67A08"/>
    <w:rsid w:val="00F713A5"/>
    <w:rsid w:val="00F72B37"/>
    <w:rsid w:val="00F777B2"/>
    <w:rsid w:val="00F77EAC"/>
    <w:rsid w:val="00F8275E"/>
    <w:rsid w:val="00F82FAF"/>
    <w:rsid w:val="00F83370"/>
    <w:rsid w:val="00F93C3B"/>
    <w:rsid w:val="00F95ED2"/>
    <w:rsid w:val="00F977BF"/>
    <w:rsid w:val="00FA0278"/>
    <w:rsid w:val="00FA1F41"/>
    <w:rsid w:val="00FA2231"/>
    <w:rsid w:val="00FA47F2"/>
    <w:rsid w:val="00FA5693"/>
    <w:rsid w:val="00FA78C7"/>
    <w:rsid w:val="00FB04A5"/>
    <w:rsid w:val="00FB1473"/>
    <w:rsid w:val="00FB1B08"/>
    <w:rsid w:val="00FB6101"/>
    <w:rsid w:val="00FB6A74"/>
    <w:rsid w:val="00FC234B"/>
    <w:rsid w:val="00FD00E3"/>
    <w:rsid w:val="00FD1F35"/>
    <w:rsid w:val="00FE69C1"/>
    <w:rsid w:val="00FE7E62"/>
    <w:rsid w:val="00FF4AEC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892EF"/>
  <w15:docId w15:val="{4E48FA46-A6D2-4B06-B8F1-19C84399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07318F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318F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318F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318F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318F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005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52C31-3A6A-49BE-9E0E-7B3840B5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14</cp:revision>
  <cp:lastPrinted>2021-09-07T06:29:00Z</cp:lastPrinted>
  <dcterms:created xsi:type="dcterms:W3CDTF">2025-01-23T11:00:00Z</dcterms:created>
  <dcterms:modified xsi:type="dcterms:W3CDTF">2025-02-06T07:04:00Z</dcterms:modified>
</cp:coreProperties>
</file>