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24A01" w14:textId="77777777" w:rsidR="00C05BDE" w:rsidRPr="001007A1" w:rsidRDefault="00B254C4">
      <w:pPr>
        <w:jc w:val="center"/>
        <w:rPr>
          <w:b/>
          <w:sz w:val="32"/>
          <w:szCs w:val="32"/>
        </w:rPr>
      </w:pPr>
      <w:r w:rsidRPr="001007A1">
        <w:rPr>
          <w:rFonts w:hint="eastAsia"/>
          <w:b/>
          <w:sz w:val="32"/>
          <w:szCs w:val="32"/>
        </w:rPr>
        <w:t>江苏中利集团股份有限公司</w:t>
      </w:r>
    </w:p>
    <w:p w14:paraId="01C66B82" w14:textId="77777777" w:rsidR="00C05BDE" w:rsidRPr="001007A1" w:rsidRDefault="00B254C4">
      <w:pPr>
        <w:jc w:val="center"/>
        <w:rPr>
          <w:b/>
          <w:sz w:val="32"/>
          <w:szCs w:val="32"/>
        </w:rPr>
      </w:pPr>
      <w:r w:rsidRPr="001007A1">
        <w:rPr>
          <w:rFonts w:hint="eastAsia"/>
          <w:b/>
          <w:sz w:val="32"/>
          <w:szCs w:val="32"/>
        </w:rPr>
        <w:t>董事会战略委员会实施细则</w:t>
      </w:r>
    </w:p>
    <w:p w14:paraId="3E4A2689" w14:textId="77777777" w:rsidR="00C05BDE" w:rsidRDefault="00C05BD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451530DE" w14:textId="77777777" w:rsidR="00C05BDE" w:rsidRDefault="00B254C4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总则</w:t>
      </w:r>
    </w:p>
    <w:p w14:paraId="07A53340" w14:textId="68A12F75" w:rsidR="00C05BDE" w:rsidRDefault="00B254C4">
      <w:pPr>
        <w:numPr>
          <w:ilvl w:val="1"/>
          <w:numId w:val="1"/>
        </w:numPr>
        <w:tabs>
          <w:tab w:val="left" w:pos="1440"/>
        </w:tabs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为适应公司战略发展需要</w:t>
      </w:r>
      <w:r>
        <w:rPr>
          <w:rFonts w:ascii="宋体" w:hAnsi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增强公司核心竞争力</w:t>
      </w:r>
      <w:r>
        <w:rPr>
          <w:rFonts w:ascii="宋体" w:hAnsi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确定公司发展规划</w:t>
      </w:r>
      <w:r>
        <w:rPr>
          <w:rFonts w:ascii="宋体" w:hAnsi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健全投资决策程序</w:t>
      </w:r>
      <w:r>
        <w:rPr>
          <w:rFonts w:ascii="宋体" w:hAnsi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加强决策科学性</w:t>
      </w:r>
      <w:r>
        <w:rPr>
          <w:rFonts w:ascii="宋体" w:hAnsi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提高重大投资决策的效益和决策的质量</w:t>
      </w:r>
      <w:r>
        <w:rPr>
          <w:rFonts w:ascii="宋体" w:hAnsi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完善公司治理结构</w:t>
      </w:r>
      <w:r>
        <w:rPr>
          <w:rFonts w:ascii="宋体" w:hAnsi="宋体"/>
          <w:color w:val="000000"/>
          <w:kern w:val="0"/>
          <w:sz w:val="24"/>
        </w:rPr>
        <w:t>,</w:t>
      </w:r>
      <w:r>
        <w:rPr>
          <w:rFonts w:ascii="宋体" w:hAnsi="宋体" w:hint="eastAsia"/>
          <w:color w:val="000000"/>
          <w:kern w:val="0"/>
          <w:sz w:val="24"/>
        </w:rPr>
        <w:t xml:space="preserve"> 根据</w:t>
      </w:r>
      <w:r w:rsidR="00A251A3">
        <w:rPr>
          <w:rFonts w:ascii="宋体" w:hAnsi="宋体" w:hint="eastAsia"/>
          <w:color w:val="000000"/>
          <w:kern w:val="0"/>
          <w:sz w:val="24"/>
        </w:rPr>
        <w:t>《中华人民共和国公司法》、《江苏中利集团股份有限公司章程》及其他</w:t>
      </w:r>
      <w:r>
        <w:rPr>
          <w:rFonts w:ascii="宋体" w:hAnsi="宋体" w:hint="eastAsia"/>
          <w:color w:val="000000"/>
          <w:kern w:val="0"/>
          <w:sz w:val="24"/>
        </w:rPr>
        <w:t>相关规定，</w:t>
      </w:r>
      <w:r>
        <w:rPr>
          <w:rFonts w:ascii="宋体" w:hAnsi="宋体" w:cs="宋体" w:hint="eastAsia"/>
          <w:color w:val="000000"/>
          <w:kern w:val="0"/>
          <w:sz w:val="24"/>
        </w:rPr>
        <w:t>特制定本实施细则。</w:t>
      </w:r>
    </w:p>
    <w:p w14:paraId="06CA991C" w14:textId="23DE768F" w:rsidR="00C05BDE" w:rsidRDefault="00B254C4">
      <w:pPr>
        <w:numPr>
          <w:ilvl w:val="1"/>
          <w:numId w:val="1"/>
        </w:numPr>
        <w:tabs>
          <w:tab w:val="left" w:pos="1440"/>
        </w:tabs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董事会战略委员会</w:t>
      </w:r>
      <w:r>
        <w:rPr>
          <w:rFonts w:hint="eastAsia"/>
          <w:kern w:val="0"/>
          <w:sz w:val="24"/>
          <w:szCs w:val="24"/>
        </w:rPr>
        <w:t>（以下简称“战略委员会”）</w:t>
      </w:r>
      <w:r>
        <w:rPr>
          <w:rFonts w:ascii="宋体" w:hAnsi="宋体" w:cs="宋体" w:hint="eastAsia"/>
          <w:color w:val="000000"/>
          <w:kern w:val="0"/>
          <w:sz w:val="24"/>
        </w:rPr>
        <w:t>是董事会按照公司章程规定设立的专门工作机构，</w:t>
      </w:r>
      <w:r>
        <w:rPr>
          <w:kern w:val="0"/>
          <w:sz w:val="24"/>
          <w:szCs w:val="24"/>
        </w:rPr>
        <w:t>主要负责对公司长期发展战略和重大投资决策进行研究并提出建议</w:t>
      </w:r>
      <w:r>
        <w:rPr>
          <w:rFonts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kern w:val="0"/>
          <w:sz w:val="24"/>
        </w:rPr>
        <w:t>对董事会负责。</w:t>
      </w:r>
    </w:p>
    <w:p w14:paraId="0CECC603" w14:textId="77777777" w:rsidR="00C05BDE" w:rsidRDefault="00C05BD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167E8924" w14:textId="77777777" w:rsidR="00C05BDE" w:rsidRDefault="00B254C4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人员组成</w:t>
      </w:r>
    </w:p>
    <w:p w14:paraId="03547BDE" w14:textId="2877226B" w:rsidR="00C05BDE" w:rsidRDefault="00B254C4">
      <w:pPr>
        <w:numPr>
          <w:ilvl w:val="0"/>
          <w:numId w:val="2"/>
        </w:numPr>
        <w:tabs>
          <w:tab w:val="clear" w:pos="1770"/>
          <w:tab w:val="left" w:pos="144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战略委员会成员由三名董事组成。</w:t>
      </w:r>
    </w:p>
    <w:p w14:paraId="085D7F70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44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战略委员会委员由董事长、二分之一以上独立董事或者全体董事的三分之一提名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并由董事会选举产生。</w:t>
      </w:r>
    </w:p>
    <w:p w14:paraId="2F8895A2" w14:textId="6401AEEC" w:rsidR="00C05BDE" w:rsidRDefault="00B254C4">
      <w:pPr>
        <w:numPr>
          <w:ilvl w:val="0"/>
          <w:numId w:val="2"/>
        </w:numPr>
        <w:tabs>
          <w:tab w:val="clear" w:pos="1770"/>
          <w:tab w:val="left" w:pos="144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战略委员会设主任委员（召集人）一名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负责主持委员会工作。</w:t>
      </w:r>
    </w:p>
    <w:p w14:paraId="079BDA92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44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战略委员会任期与董事会任期一致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委员任期届满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连选可以连任。期间如有委员不再担任公司董事职务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自动失去委员资格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并由董事会根据上述第三至第五条规定补足委员人数。</w:t>
      </w:r>
    </w:p>
    <w:p w14:paraId="64B3205D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44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战略委员会下设投资评审小组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由公司总经理任投资评审小组组长。</w:t>
      </w:r>
    </w:p>
    <w:p w14:paraId="305CF162" w14:textId="77777777" w:rsidR="00C05BDE" w:rsidRDefault="00C05BD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715ABC93" w14:textId="77777777" w:rsidR="00C05BDE" w:rsidRDefault="00B254C4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职责权限</w:t>
      </w:r>
    </w:p>
    <w:p w14:paraId="0359DCD6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44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战略委员会的主要职责权限：</w:t>
      </w:r>
    </w:p>
    <w:p w14:paraId="4449948C" w14:textId="39088D08" w:rsidR="00C05BDE" w:rsidRDefault="00B254C4" w:rsidP="00E94448">
      <w:pPr>
        <w:numPr>
          <w:ilvl w:val="1"/>
          <w:numId w:val="2"/>
        </w:num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kern w:val="0"/>
          <w:sz w:val="24"/>
          <w:szCs w:val="24"/>
        </w:rPr>
        <w:t>对公司</w:t>
      </w:r>
      <w:r w:rsidR="00E94448" w:rsidRPr="00E94448">
        <w:rPr>
          <w:rFonts w:hint="eastAsia"/>
          <w:kern w:val="0"/>
          <w:sz w:val="24"/>
          <w:szCs w:val="24"/>
        </w:rPr>
        <w:t>发展战略规划</w:t>
      </w:r>
      <w:r w:rsidR="00E94448">
        <w:rPr>
          <w:rFonts w:hint="eastAsia"/>
          <w:kern w:val="0"/>
          <w:sz w:val="24"/>
          <w:szCs w:val="24"/>
        </w:rPr>
        <w:t>和中、</w:t>
      </w:r>
      <w:r>
        <w:rPr>
          <w:rFonts w:hint="eastAsia"/>
          <w:kern w:val="0"/>
          <w:sz w:val="24"/>
          <w:szCs w:val="24"/>
        </w:rPr>
        <w:t>长期发展规划</w:t>
      </w:r>
      <w:r w:rsidR="00E94448">
        <w:rPr>
          <w:rFonts w:hint="eastAsia"/>
          <w:kern w:val="0"/>
          <w:sz w:val="24"/>
          <w:szCs w:val="24"/>
        </w:rPr>
        <w:t>方案</w:t>
      </w:r>
      <w:r>
        <w:rPr>
          <w:rFonts w:hint="eastAsia"/>
          <w:kern w:val="0"/>
          <w:sz w:val="24"/>
          <w:szCs w:val="24"/>
        </w:rPr>
        <w:t>进行研究并提出建议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</w:p>
    <w:p w14:paraId="18ACC411" w14:textId="05900DE1" w:rsidR="00C05BDE" w:rsidRDefault="00B254C4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kern w:val="0"/>
          <w:sz w:val="24"/>
          <w:szCs w:val="24"/>
        </w:rPr>
        <w:t>对公司章程</w:t>
      </w:r>
      <w:r w:rsidR="00E94448">
        <w:rPr>
          <w:rFonts w:hint="eastAsia"/>
          <w:kern w:val="0"/>
          <w:sz w:val="24"/>
          <w:szCs w:val="24"/>
        </w:rPr>
        <w:t>及相关制度</w:t>
      </w:r>
      <w:r>
        <w:rPr>
          <w:kern w:val="0"/>
          <w:sz w:val="24"/>
          <w:szCs w:val="24"/>
        </w:rPr>
        <w:t>规定须经董事会批准的重大投资</w:t>
      </w:r>
      <w:r>
        <w:rPr>
          <w:rFonts w:hint="eastAsia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融资方案进行研究并提出建议</w:t>
      </w:r>
      <w:r>
        <w:rPr>
          <w:rFonts w:hint="eastAsia"/>
          <w:kern w:val="0"/>
          <w:sz w:val="24"/>
          <w:szCs w:val="24"/>
        </w:rPr>
        <w:t>；</w:t>
      </w:r>
    </w:p>
    <w:p w14:paraId="448D1803" w14:textId="73F0F420" w:rsidR="00C05BDE" w:rsidRDefault="00B254C4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kern w:val="0"/>
          <w:sz w:val="24"/>
          <w:szCs w:val="24"/>
        </w:rPr>
        <w:t>对公司章程规定</w:t>
      </w:r>
      <w:r w:rsidR="00E94448">
        <w:rPr>
          <w:rFonts w:hint="eastAsia"/>
          <w:kern w:val="0"/>
          <w:sz w:val="24"/>
          <w:szCs w:val="24"/>
        </w:rPr>
        <w:t>及相关制度</w:t>
      </w:r>
      <w:r>
        <w:rPr>
          <w:kern w:val="0"/>
          <w:sz w:val="24"/>
          <w:szCs w:val="24"/>
        </w:rPr>
        <w:t>须经董事会批准的重大资本运作、资产经营项目进行研究并提出建议</w:t>
      </w:r>
      <w:r>
        <w:rPr>
          <w:rFonts w:hint="eastAsia"/>
          <w:kern w:val="0"/>
          <w:sz w:val="24"/>
          <w:szCs w:val="24"/>
        </w:rPr>
        <w:t>；</w:t>
      </w:r>
    </w:p>
    <w:p w14:paraId="2C2CC5B4" w14:textId="7DD253F3" w:rsidR="00C05BDE" w:rsidRDefault="00E94448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kern w:val="0"/>
          <w:sz w:val="24"/>
          <w:szCs w:val="24"/>
        </w:rPr>
        <w:lastRenderedPageBreak/>
        <w:t>对</w:t>
      </w:r>
      <w:r w:rsidR="00B254C4">
        <w:rPr>
          <w:kern w:val="0"/>
          <w:sz w:val="24"/>
          <w:szCs w:val="24"/>
        </w:rPr>
        <w:t>其他影响公司发展的重大事项进行研究并提出建议</w:t>
      </w:r>
      <w:r w:rsidR="00B254C4">
        <w:rPr>
          <w:rFonts w:hint="eastAsia"/>
          <w:kern w:val="0"/>
          <w:sz w:val="24"/>
          <w:szCs w:val="24"/>
        </w:rPr>
        <w:t>；</w:t>
      </w:r>
    </w:p>
    <w:p w14:paraId="6CF2780E" w14:textId="18173E08" w:rsidR="00C05BDE" w:rsidRDefault="00B254C4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对以上事项</w:t>
      </w:r>
      <w:r w:rsidR="00E94448">
        <w:rPr>
          <w:rFonts w:ascii="宋体" w:hAnsi="宋体" w:cs="宋体" w:hint="eastAsia"/>
          <w:color w:val="000000"/>
          <w:kern w:val="0"/>
          <w:sz w:val="24"/>
        </w:rPr>
        <w:t>提交董事会批准实施后，对其实施过程进行监督和跟踪管理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</w:p>
    <w:p w14:paraId="42B25CD0" w14:textId="77777777" w:rsidR="00C05BDE" w:rsidRDefault="00B254C4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董事会授权的其他事宜。</w:t>
      </w:r>
    </w:p>
    <w:p w14:paraId="4FE7C9D2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44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战略委员会对董事会负责</w:t>
      </w:r>
      <w:r>
        <w:rPr>
          <w:rFonts w:ascii="宋体" w:hAnsi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委员会的提案提交董事会审议决定。</w:t>
      </w:r>
    </w:p>
    <w:p w14:paraId="42F7BE40" w14:textId="77777777" w:rsidR="00C05BDE" w:rsidRDefault="00C05BD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18A4F216" w14:textId="77777777" w:rsidR="00C05BDE" w:rsidRDefault="00B254C4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决策程序</w:t>
      </w:r>
    </w:p>
    <w:p w14:paraId="45B6AAB9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44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投资评审小组负责做好战略委员会决策的前期准备工作</w:t>
      </w:r>
      <w:r>
        <w:rPr>
          <w:rFonts w:ascii="宋体" w:hAnsi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提供公司有关方面的资料：</w:t>
      </w:r>
    </w:p>
    <w:p w14:paraId="0FE1AB7D" w14:textId="77777777" w:rsidR="00C05BDE" w:rsidRDefault="00B254C4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由公司有关部门或控股（参股）企业的负责人上报重大投资融资、资本运作、资产经营项目的意向、初步可行性报告以及合作方的基本情况等资料；</w:t>
      </w:r>
    </w:p>
    <w:p w14:paraId="2F984AD1" w14:textId="77777777" w:rsidR="00C05BDE" w:rsidRDefault="00B254C4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kern w:val="0"/>
          <w:sz w:val="24"/>
          <w:szCs w:val="24"/>
        </w:rPr>
        <w:t>由投资评审小组进行初审，签发立项意见书，并报战略委员会备案</w:t>
      </w:r>
      <w:r>
        <w:rPr>
          <w:rFonts w:hint="eastAsia"/>
          <w:kern w:val="0"/>
          <w:sz w:val="24"/>
          <w:szCs w:val="24"/>
        </w:rPr>
        <w:t>；</w:t>
      </w:r>
    </w:p>
    <w:p w14:paraId="002D697E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62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战略委员会根据投资评审小组的提案召开会议</w:t>
      </w:r>
      <w:r>
        <w:rPr>
          <w:rFonts w:ascii="宋体" w:hAnsi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进行讨论</w:t>
      </w:r>
      <w:r>
        <w:rPr>
          <w:rFonts w:ascii="宋体" w:hAnsi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将讨论结果提交董事会</w:t>
      </w:r>
      <w:r>
        <w:rPr>
          <w:rFonts w:ascii="宋体" w:hAnsi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同时反馈给投资评审小组。</w:t>
      </w:r>
    </w:p>
    <w:p w14:paraId="4E5FDFDA" w14:textId="77777777" w:rsidR="00C05BDE" w:rsidRDefault="00C05BDE">
      <w:pPr>
        <w:tabs>
          <w:tab w:val="left" w:pos="840"/>
        </w:tabs>
        <w:spacing w:line="360" w:lineRule="auto"/>
        <w:ind w:firstLine="482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 w14:paraId="4431E163" w14:textId="77777777" w:rsidR="00C05BDE" w:rsidRDefault="00B254C4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议事规则</w:t>
      </w:r>
    </w:p>
    <w:p w14:paraId="789EC16B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62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战略委员会会议</w:t>
      </w:r>
      <w:r>
        <w:rPr>
          <w:rFonts w:hint="eastAsia"/>
          <w:kern w:val="0"/>
          <w:sz w:val="24"/>
          <w:szCs w:val="24"/>
        </w:rPr>
        <w:t>根据工作需要召开。</w:t>
      </w:r>
      <w:r>
        <w:rPr>
          <w:kern w:val="0"/>
          <w:sz w:val="24"/>
          <w:szCs w:val="24"/>
        </w:rPr>
        <w:t>会议由董事长或主任委员提出，</w:t>
      </w:r>
      <w:r>
        <w:rPr>
          <w:rFonts w:ascii="宋体" w:hAnsi="宋体" w:cs="宋体" w:hint="eastAsia"/>
          <w:color w:val="000000"/>
          <w:kern w:val="0"/>
          <w:sz w:val="24"/>
        </w:rPr>
        <w:t>于会议召开前三日通知全体委员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会议由主任委员主持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主任委员不能出席时可委托其他一名委员（独立董事）主持。</w:t>
      </w:r>
      <w:r>
        <w:rPr>
          <w:rFonts w:ascii="宋体" w:hAnsi="宋体" w:cs="宋体"/>
          <w:sz w:val="24"/>
          <w:szCs w:val="24"/>
        </w:rPr>
        <w:t>情况紧急，需要尽快召开临时会议的，可以随时通过电话或者其他口头方式发出会议通知，但召集人应当在会议上作出说明。</w:t>
      </w:r>
    </w:p>
    <w:p w14:paraId="63D42674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62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战略委员会会议应由三分之二以上的委员出席方可举行；</w:t>
      </w:r>
      <w:r>
        <w:rPr>
          <w:rFonts w:ascii="宋体" w:hAnsi="宋体" w:cs="宋体"/>
          <w:sz w:val="24"/>
          <w:szCs w:val="24"/>
        </w:rPr>
        <w:t>无法出席会议的委员可委托其他委员出席会议，委托方法参照董事会授权委托程序进行</w:t>
      </w:r>
      <w:r>
        <w:rPr>
          <w:rFonts w:ascii="宋体" w:hAnsi="宋体" w:cs="宋体" w:hint="eastAsia"/>
          <w:sz w:val="24"/>
          <w:szCs w:val="24"/>
        </w:rPr>
        <w:t>；</w:t>
      </w:r>
      <w:r>
        <w:rPr>
          <w:rFonts w:ascii="宋体" w:hAnsi="宋体" w:cs="宋体" w:hint="eastAsia"/>
          <w:color w:val="000000"/>
          <w:kern w:val="0"/>
          <w:sz w:val="24"/>
        </w:rPr>
        <w:t>每一名委员有一票的表决权；会议做出的决议，必须经全体委员的过半数通过。</w:t>
      </w:r>
    </w:p>
    <w:p w14:paraId="268BE239" w14:textId="4D333490" w:rsidR="00C05BDE" w:rsidRDefault="008C795F">
      <w:pPr>
        <w:numPr>
          <w:ilvl w:val="0"/>
          <w:numId w:val="2"/>
        </w:numPr>
        <w:tabs>
          <w:tab w:val="left" w:pos="1620"/>
        </w:tabs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在保证全体参会董事能够充分沟通并表达意见的前提下，战略</w:t>
      </w:r>
      <w:r w:rsidRPr="00D61FC0">
        <w:rPr>
          <w:rFonts w:ascii="宋体" w:hAnsi="宋体" w:hint="eastAsia"/>
          <w:color w:val="000000"/>
          <w:kern w:val="0"/>
          <w:sz w:val="24"/>
        </w:rPr>
        <w:t>委员会会议可以通过现场、通讯或其他方式召开，并可以采取口头、举手、投票等</w:t>
      </w:r>
      <w:r>
        <w:rPr>
          <w:rFonts w:ascii="宋体" w:hAnsi="宋体" w:hint="eastAsia"/>
          <w:color w:val="000000"/>
          <w:kern w:val="0"/>
          <w:sz w:val="24"/>
        </w:rPr>
        <w:t>多种方式进行表决</w:t>
      </w:r>
      <w:r w:rsidR="00B254C4"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00C5A598" w14:textId="539CBD65" w:rsidR="00C05BDE" w:rsidRDefault="00B254C4">
      <w:pPr>
        <w:numPr>
          <w:ilvl w:val="0"/>
          <w:numId w:val="2"/>
        </w:numPr>
        <w:tabs>
          <w:tab w:val="clear" w:pos="1770"/>
          <w:tab w:val="left" w:pos="162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投资评审小组组长可列席战略委员会会议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必要时亦可邀请公司董事、高级管理人员列席会议。</w:t>
      </w:r>
    </w:p>
    <w:p w14:paraId="0C44E350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62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如有必要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战略委员会可以聘请中介机构为其决策提供专业意见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费用由公司支付。</w:t>
      </w:r>
    </w:p>
    <w:p w14:paraId="6A4E2F48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62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战略委员会会议的召开程序、表决方式和会议通过的议案必须遵循有关法律、法规、公司章程及本细则的规定。</w:t>
      </w:r>
    </w:p>
    <w:p w14:paraId="1F541EEA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62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战略委员会会议应当有记录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出席会议的委员应当在会议记录上签名；会议记录由公司董事会秘书保存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 w:cs="宋体"/>
          <w:sz w:val="24"/>
          <w:szCs w:val="24"/>
        </w:rPr>
        <w:t>保存期限至少为10年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73E2F07A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62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战略委员会会议通过的议案及表决结果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应以书面形式报公司董事会。</w:t>
      </w:r>
    </w:p>
    <w:p w14:paraId="1EF5DEDC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62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出席会议的委员均对会议所议事项有保密义务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不得擅自披露有关信息。</w:t>
      </w:r>
    </w:p>
    <w:p w14:paraId="2C64FB6F" w14:textId="77777777" w:rsidR="00C05BDE" w:rsidRDefault="00C05BD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4DFDD54D" w14:textId="77777777" w:rsidR="00C05BDE" w:rsidRDefault="00B254C4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附则</w:t>
      </w:r>
    </w:p>
    <w:p w14:paraId="123DE54B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62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本实施细则自董事会决议通过之日起生效并实施。</w:t>
      </w:r>
    </w:p>
    <w:p w14:paraId="07A21604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62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本实施细则未尽事宜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按国家有关法律、法规和公司章程、董事会议事规则的规定执行；本细则如与国家日后颁布的法律、法规或经合法程序修改后的公司章程、董事会议事规则相抵触时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按国家有关法律、法规和公司章程、董事会议事规则的规定执行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并立即修订</w:t>
      </w:r>
      <w:r>
        <w:rPr>
          <w:rFonts w:ascii="宋体" w:hAnsi="宋体" w:cs="宋体"/>
          <w:color w:val="000000"/>
          <w:kern w:val="0"/>
          <w:sz w:val="24"/>
        </w:rPr>
        <w:t>,</w:t>
      </w:r>
      <w:r>
        <w:rPr>
          <w:rFonts w:ascii="宋体" w:hAnsi="宋体" w:cs="宋体" w:hint="eastAsia"/>
          <w:color w:val="000000"/>
          <w:kern w:val="0"/>
          <w:sz w:val="24"/>
        </w:rPr>
        <w:t>报董事会审议通过。</w:t>
      </w:r>
    </w:p>
    <w:p w14:paraId="53F3738D" w14:textId="77777777" w:rsidR="00C05BDE" w:rsidRDefault="00B254C4">
      <w:pPr>
        <w:numPr>
          <w:ilvl w:val="0"/>
          <w:numId w:val="2"/>
        </w:numPr>
        <w:tabs>
          <w:tab w:val="clear" w:pos="1770"/>
          <w:tab w:val="left" w:pos="1620"/>
        </w:tabs>
        <w:spacing w:line="360" w:lineRule="auto"/>
        <w:ind w:left="0"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本细则解释权归属公司董事会。</w:t>
      </w:r>
    </w:p>
    <w:p w14:paraId="68243864" w14:textId="77777777" w:rsidR="00C05BDE" w:rsidRDefault="00C05BD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5793605E" w14:textId="77777777" w:rsidR="00C05BDE" w:rsidRDefault="00C05BD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44176BAF" w14:textId="77777777" w:rsidR="00C05BDE" w:rsidRDefault="00B254C4">
      <w:pPr>
        <w:spacing w:line="360" w:lineRule="auto"/>
        <w:ind w:firstLineChars="200" w:firstLine="48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江苏中利集团股份有限公司</w:t>
      </w:r>
    </w:p>
    <w:p w14:paraId="57B75CA9" w14:textId="77777777" w:rsidR="00C05BDE" w:rsidRDefault="00C05BDE">
      <w:pPr>
        <w:spacing w:line="360" w:lineRule="auto"/>
        <w:ind w:firstLineChars="200" w:firstLine="480"/>
        <w:jc w:val="right"/>
        <w:rPr>
          <w:rFonts w:ascii="宋体" w:hAnsi="宋体" w:cs="宋体"/>
          <w:color w:val="000000"/>
          <w:kern w:val="0"/>
          <w:sz w:val="24"/>
        </w:rPr>
      </w:pPr>
    </w:p>
    <w:p w14:paraId="669DC95D" w14:textId="740C4F14" w:rsidR="00C05BDE" w:rsidRDefault="00B254C4">
      <w:pPr>
        <w:wordWrap w:val="0"/>
        <w:spacing w:line="360" w:lineRule="auto"/>
        <w:ind w:firstLineChars="200" w:firstLine="48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2025</w:t>
      </w:r>
      <w:r w:rsidR="0013198D">
        <w:rPr>
          <w:rFonts w:ascii="宋体" w:hAnsi="宋体" w:cs="宋体" w:hint="eastAsia"/>
          <w:color w:val="000000"/>
          <w:kern w:val="0"/>
          <w:sz w:val="24"/>
        </w:rPr>
        <w:t>年2月6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日</w:t>
      </w:r>
    </w:p>
    <w:p w14:paraId="1C1F3958" w14:textId="77777777" w:rsidR="00C05BDE" w:rsidRDefault="00C05BDE">
      <w:pPr>
        <w:spacing w:line="360" w:lineRule="auto"/>
        <w:ind w:right="560" w:firstLineChars="200" w:firstLine="420"/>
        <w:jc w:val="right"/>
      </w:pPr>
    </w:p>
    <w:sectPr w:rsidR="00C05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B1607" w14:textId="77777777" w:rsidR="009A11E6" w:rsidRDefault="009A11E6" w:rsidP="008C795F">
      <w:r>
        <w:separator/>
      </w:r>
    </w:p>
  </w:endnote>
  <w:endnote w:type="continuationSeparator" w:id="0">
    <w:p w14:paraId="4A6BC645" w14:textId="77777777" w:rsidR="009A11E6" w:rsidRDefault="009A11E6" w:rsidP="008C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22E4F" w14:textId="77777777" w:rsidR="009A11E6" w:rsidRDefault="009A11E6" w:rsidP="008C795F">
      <w:r>
        <w:separator/>
      </w:r>
    </w:p>
  </w:footnote>
  <w:footnote w:type="continuationSeparator" w:id="0">
    <w:p w14:paraId="4C6F8799" w14:textId="77777777" w:rsidR="009A11E6" w:rsidRDefault="009A11E6" w:rsidP="008C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641"/>
    <w:multiLevelType w:val="multilevel"/>
    <w:tmpl w:val="05734641"/>
    <w:lvl w:ilvl="0">
      <w:start w:val="3"/>
      <w:numFmt w:val="chineseCountingThousand"/>
      <w:lvlText w:val="第%1条"/>
      <w:lvlJc w:val="left"/>
      <w:pPr>
        <w:tabs>
          <w:tab w:val="left" w:pos="1770"/>
        </w:tabs>
        <w:ind w:left="-180" w:firstLine="600"/>
      </w:pPr>
      <w:rPr>
        <w:rFonts w:hint="default"/>
        <w:b/>
      </w:rPr>
    </w:lvl>
    <w:lvl w:ilvl="1">
      <w:start w:val="1"/>
      <w:numFmt w:val="chineseCountingThousand"/>
      <w:lvlText w:val="（%2）"/>
      <w:lvlJc w:val="left"/>
      <w:pPr>
        <w:tabs>
          <w:tab w:val="left" w:pos="780"/>
        </w:tabs>
        <w:ind w:left="-60" w:firstLine="480"/>
      </w:pPr>
      <w:rPr>
        <w:rFonts w:hint="default"/>
        <w:b w:val="0"/>
      </w:rPr>
    </w:lvl>
    <w:lvl w:ilvl="2">
      <w:start w:val="1"/>
      <w:numFmt w:val="japaneseCounting"/>
      <w:lvlText w:val="（%3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D1314BE"/>
    <w:multiLevelType w:val="multilevel"/>
    <w:tmpl w:val="1D1314BE"/>
    <w:lvl w:ilvl="0">
      <w:start w:val="1"/>
      <w:numFmt w:val="chineseCounting"/>
      <w:lvlText w:val="第%1章"/>
      <w:lvlJc w:val="left"/>
      <w:pPr>
        <w:tabs>
          <w:tab w:val="left" w:pos="840"/>
        </w:tabs>
        <w:ind w:left="840" w:hanging="840"/>
      </w:pPr>
      <w:rPr>
        <w:rFonts w:ascii="宋体" w:eastAsia="宋体" w:hAnsi="宋体" w:cs="宋体" w:hint="eastAsia"/>
        <w:b/>
        <w:bCs w:val="0"/>
      </w:rPr>
    </w:lvl>
    <w:lvl w:ilvl="1">
      <w:start w:val="1"/>
      <w:numFmt w:val="chineseCountingThousand"/>
      <w:lvlText w:val="第%2条"/>
      <w:lvlJc w:val="left"/>
      <w:pPr>
        <w:tabs>
          <w:tab w:val="left" w:pos="1770"/>
        </w:tabs>
        <w:ind w:left="-180" w:firstLine="600"/>
      </w:pPr>
      <w:rPr>
        <w:rFonts w:hint="eastAsia"/>
        <w:b/>
      </w:rPr>
    </w:lvl>
    <w:lvl w:ilvl="2">
      <w:start w:val="1"/>
      <w:numFmt w:val="japaneseCounting"/>
      <w:lvlText w:val="第%3条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zJiYWY0MDA3NmRkMjNlMGMxNzE5ZWQ4MDBkNTcifQ=="/>
  </w:docVars>
  <w:rsids>
    <w:rsidRoot w:val="00E64B30"/>
    <w:rsid w:val="0007208E"/>
    <w:rsid w:val="000E7713"/>
    <w:rsid w:val="001007A1"/>
    <w:rsid w:val="0013198D"/>
    <w:rsid w:val="00134F07"/>
    <w:rsid w:val="001454FA"/>
    <w:rsid w:val="00181BC1"/>
    <w:rsid w:val="0020513B"/>
    <w:rsid w:val="002A6BC1"/>
    <w:rsid w:val="0033725B"/>
    <w:rsid w:val="004C5940"/>
    <w:rsid w:val="00533062"/>
    <w:rsid w:val="0065176D"/>
    <w:rsid w:val="00676872"/>
    <w:rsid w:val="00832647"/>
    <w:rsid w:val="008C795F"/>
    <w:rsid w:val="009A11E6"/>
    <w:rsid w:val="009E4E47"/>
    <w:rsid w:val="00A251A3"/>
    <w:rsid w:val="00A959EA"/>
    <w:rsid w:val="00AE0911"/>
    <w:rsid w:val="00B254C4"/>
    <w:rsid w:val="00B40E01"/>
    <w:rsid w:val="00B76FD3"/>
    <w:rsid w:val="00BB306E"/>
    <w:rsid w:val="00BE07D5"/>
    <w:rsid w:val="00C05BDE"/>
    <w:rsid w:val="00C60D77"/>
    <w:rsid w:val="00C9752F"/>
    <w:rsid w:val="00CB2319"/>
    <w:rsid w:val="00CE6BB1"/>
    <w:rsid w:val="00D2479D"/>
    <w:rsid w:val="00DF59F9"/>
    <w:rsid w:val="00E02FCA"/>
    <w:rsid w:val="00E57721"/>
    <w:rsid w:val="00E64B30"/>
    <w:rsid w:val="00E94448"/>
    <w:rsid w:val="00F05F50"/>
    <w:rsid w:val="00F45F06"/>
    <w:rsid w:val="00F542DD"/>
    <w:rsid w:val="00F77EAC"/>
    <w:rsid w:val="00FA05B8"/>
    <w:rsid w:val="037704A8"/>
    <w:rsid w:val="047539EA"/>
    <w:rsid w:val="05C73085"/>
    <w:rsid w:val="0CB945F3"/>
    <w:rsid w:val="2403100B"/>
    <w:rsid w:val="293446EA"/>
    <w:rsid w:val="295E721F"/>
    <w:rsid w:val="35012707"/>
    <w:rsid w:val="399871CB"/>
    <w:rsid w:val="42280A15"/>
    <w:rsid w:val="4C351941"/>
    <w:rsid w:val="54EB315B"/>
    <w:rsid w:val="57945217"/>
    <w:rsid w:val="59867BA3"/>
    <w:rsid w:val="67C74BCE"/>
    <w:rsid w:val="68C427BD"/>
    <w:rsid w:val="6B94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61218"/>
  <w15:docId w15:val="{85B35008-F30A-491C-9D18-C7A9572D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宋泽林</cp:lastModifiedBy>
  <cp:revision>23</cp:revision>
  <dcterms:created xsi:type="dcterms:W3CDTF">2020-02-27T00:56:00Z</dcterms:created>
  <dcterms:modified xsi:type="dcterms:W3CDTF">2025-02-06T08:05:00Z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B95D95B5DA624C3A9020ACBE99252B7C_12</vt:lpwstr>
  </property>
  <property fmtid="{D5CDD505-2E9C-101B-9397-08002B2CF9AE}" pid="4" name="KSOTemplateDocerSaveRecord">
    <vt:lpwstr>eyJoZGlkIjoiNDQyYzJiYWY0MDA3NmRkMjNlMGMxNzE5ZWQ4MDBkNTciLCJ1c2VySWQiOiI0MTg0MjU2MDkifQ==</vt:lpwstr>
  </property>
</Properties>
</file>